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8DDB" w14:textId="492151F5" w:rsidR="00592EB7" w:rsidRPr="00D55F38" w:rsidRDefault="004D199F" w:rsidP="00224FDD">
      <w:pPr>
        <w:spacing w:line="240" w:lineRule="auto"/>
        <w:jc w:val="both"/>
        <w:rPr>
          <w:rFonts w:ascii="Times New Roman" w:hAnsi="Times New Roman" w:cs="Times New Roman"/>
          <w:sz w:val="24"/>
          <w:szCs w:val="24"/>
        </w:rPr>
      </w:pPr>
      <w:r w:rsidRPr="00D55F38">
        <w:rPr>
          <w:rFonts w:ascii="Times New Roman" w:hAnsi="Times New Roman" w:cs="Times New Roman"/>
          <w:sz w:val="24"/>
          <w:szCs w:val="24"/>
        </w:rPr>
        <w:t xml:space="preserve">Comparative analysis of </w:t>
      </w:r>
      <w:r w:rsidR="009C416B">
        <w:rPr>
          <w:rFonts w:ascii="Times New Roman" w:hAnsi="Times New Roman" w:cs="Times New Roman"/>
          <w:sz w:val="24"/>
          <w:szCs w:val="24"/>
        </w:rPr>
        <w:t xml:space="preserve">Bilirubin, </w:t>
      </w:r>
      <w:r w:rsidR="009C416B" w:rsidRPr="00F658BB">
        <w:rPr>
          <w:rFonts w:ascii="Times New Roman" w:hAnsi="Times New Roman" w:cs="Times New Roman"/>
          <w:sz w:val="24"/>
          <w:szCs w:val="24"/>
        </w:rPr>
        <w:t>Aspartate Transaminase</w:t>
      </w:r>
      <w:r w:rsidR="009C416B">
        <w:rPr>
          <w:rFonts w:ascii="Times New Roman" w:hAnsi="Times New Roman" w:cs="Times New Roman"/>
          <w:sz w:val="24"/>
          <w:szCs w:val="24"/>
        </w:rPr>
        <w:t xml:space="preserve">, </w:t>
      </w:r>
      <w:r w:rsidR="009C416B" w:rsidRPr="00F658BB">
        <w:rPr>
          <w:rFonts w:ascii="Times New Roman" w:hAnsi="Times New Roman" w:cs="Times New Roman"/>
          <w:sz w:val="24"/>
          <w:szCs w:val="24"/>
        </w:rPr>
        <w:t>Alanine Aminotransaminase</w:t>
      </w:r>
      <w:r w:rsidR="009C416B">
        <w:rPr>
          <w:rFonts w:ascii="Times New Roman" w:hAnsi="Times New Roman" w:cs="Times New Roman"/>
          <w:sz w:val="24"/>
          <w:szCs w:val="24"/>
        </w:rPr>
        <w:t xml:space="preserve">, </w:t>
      </w:r>
      <w:r w:rsidR="009C416B" w:rsidRPr="00F658BB">
        <w:rPr>
          <w:rFonts w:ascii="Times New Roman" w:hAnsi="Times New Roman" w:cs="Times New Roman"/>
          <w:sz w:val="24"/>
          <w:szCs w:val="24"/>
        </w:rPr>
        <w:t>Alkaline Phosphatase</w:t>
      </w:r>
      <w:r w:rsidR="009C416B">
        <w:rPr>
          <w:rFonts w:ascii="Times New Roman" w:hAnsi="Times New Roman" w:cs="Times New Roman"/>
          <w:sz w:val="24"/>
          <w:szCs w:val="24"/>
        </w:rPr>
        <w:t xml:space="preserve"> and </w:t>
      </w:r>
      <w:r w:rsidR="009C416B" w:rsidRPr="001A6777">
        <w:rPr>
          <w:rFonts w:ascii="Times New Roman" w:hAnsi="Times New Roman" w:cs="Times New Roman"/>
          <w:sz w:val="24"/>
          <w:szCs w:val="24"/>
        </w:rPr>
        <w:t xml:space="preserve">Lactate Dehydrogenase </w:t>
      </w:r>
      <w:r w:rsidRPr="00D55F38">
        <w:rPr>
          <w:rFonts w:ascii="Times New Roman" w:hAnsi="Times New Roman" w:cs="Times New Roman"/>
          <w:sz w:val="24"/>
          <w:szCs w:val="24"/>
        </w:rPr>
        <w:t xml:space="preserve">in neonates with </w:t>
      </w:r>
      <w:r w:rsidR="009C416B">
        <w:rPr>
          <w:rFonts w:ascii="Times New Roman" w:hAnsi="Times New Roman" w:cs="Times New Roman"/>
          <w:sz w:val="24"/>
          <w:szCs w:val="24"/>
        </w:rPr>
        <w:t>Jaundice</w:t>
      </w:r>
      <w:r w:rsidRPr="00D55F38">
        <w:rPr>
          <w:rFonts w:ascii="Times New Roman" w:hAnsi="Times New Roman" w:cs="Times New Roman"/>
          <w:sz w:val="24"/>
          <w:szCs w:val="24"/>
        </w:rPr>
        <w:t xml:space="preserve"> and healthy controls</w:t>
      </w:r>
      <w:r w:rsidR="009C416B">
        <w:rPr>
          <w:rFonts w:ascii="Times New Roman" w:hAnsi="Times New Roman" w:cs="Times New Roman"/>
          <w:sz w:val="24"/>
          <w:szCs w:val="24"/>
        </w:rPr>
        <w:t xml:space="preserve"> in Keffi</w:t>
      </w:r>
      <w:r w:rsidR="00D23E66">
        <w:rPr>
          <w:rFonts w:ascii="Times New Roman" w:hAnsi="Times New Roman" w:cs="Times New Roman"/>
          <w:sz w:val="24"/>
          <w:szCs w:val="24"/>
        </w:rPr>
        <w:t>, Nigeria</w:t>
      </w:r>
    </w:p>
    <w:p w14:paraId="40436893" w14:textId="77777777" w:rsidR="009C416B" w:rsidRDefault="009C416B" w:rsidP="00224FDD">
      <w:pPr>
        <w:spacing w:line="240" w:lineRule="auto"/>
        <w:rPr>
          <w:rFonts w:ascii="Times New Roman" w:hAnsi="Times New Roman" w:cs="Times New Roman"/>
          <w:sz w:val="24"/>
          <w:szCs w:val="24"/>
        </w:rPr>
      </w:pPr>
    </w:p>
    <w:p w14:paraId="7791EA40" w14:textId="77777777" w:rsidR="00224FDD" w:rsidRDefault="00224FDD" w:rsidP="00413E00">
      <w:pPr>
        <w:rPr>
          <w:rFonts w:ascii="Times New Roman" w:hAnsi="Times New Roman" w:cs="Times New Roman"/>
          <w:b/>
          <w:bCs/>
          <w:sz w:val="24"/>
          <w:szCs w:val="24"/>
        </w:rPr>
      </w:pPr>
    </w:p>
    <w:p w14:paraId="61978CA2" w14:textId="115AB756" w:rsidR="00D55F38" w:rsidRPr="00110EBE" w:rsidRDefault="00D55F38" w:rsidP="00413E00">
      <w:pPr>
        <w:rPr>
          <w:rFonts w:ascii="Times New Roman" w:hAnsi="Times New Roman" w:cs="Times New Roman"/>
          <w:b/>
          <w:bCs/>
          <w:sz w:val="24"/>
          <w:szCs w:val="24"/>
        </w:rPr>
      </w:pPr>
      <w:r w:rsidRPr="00110EBE">
        <w:rPr>
          <w:rFonts w:ascii="Times New Roman" w:hAnsi="Times New Roman" w:cs="Times New Roman"/>
          <w:b/>
          <w:bCs/>
          <w:sz w:val="24"/>
          <w:szCs w:val="24"/>
        </w:rPr>
        <w:t>Abstract</w:t>
      </w:r>
    </w:p>
    <w:p w14:paraId="35544D61" w14:textId="26A82924" w:rsidR="007C43B3" w:rsidRPr="008E2EC2" w:rsidRDefault="00D55F38" w:rsidP="008E2EC2">
      <w:pPr>
        <w:autoSpaceDE w:val="0"/>
        <w:autoSpaceDN w:val="0"/>
        <w:adjustRightInd w:val="0"/>
        <w:spacing w:after="0"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 xml:space="preserve">Background: </w:t>
      </w:r>
      <w:r w:rsidR="00573C19" w:rsidRPr="008E2EC2">
        <w:rPr>
          <w:rFonts w:ascii="Times New Roman" w:hAnsi="Times New Roman" w:cs="Times New Roman"/>
          <w:sz w:val="24"/>
          <w:szCs w:val="24"/>
        </w:rPr>
        <w:t xml:space="preserve">Approximately 60% of full-term neonates experience jaundice due to </w:t>
      </w:r>
      <w:r w:rsidR="002D65D4">
        <w:rPr>
          <w:rFonts w:ascii="Times New Roman" w:hAnsi="Times New Roman" w:cs="Times New Roman"/>
          <w:sz w:val="24"/>
          <w:szCs w:val="24"/>
        </w:rPr>
        <w:t>increased</w:t>
      </w:r>
      <w:r w:rsidR="00573C19" w:rsidRPr="008E2EC2">
        <w:rPr>
          <w:rFonts w:ascii="Times New Roman" w:hAnsi="Times New Roman" w:cs="Times New Roman"/>
          <w:sz w:val="24"/>
          <w:szCs w:val="24"/>
        </w:rPr>
        <w:t xml:space="preserve"> bilirubin concentration</w:t>
      </w:r>
      <w:r w:rsidR="007C43B3" w:rsidRPr="008E2EC2">
        <w:rPr>
          <w:rFonts w:ascii="Times New Roman" w:hAnsi="Times New Roman" w:cs="Times New Roman"/>
          <w:sz w:val="24"/>
          <w:szCs w:val="24"/>
        </w:rPr>
        <w:t xml:space="preserve">. </w:t>
      </w:r>
      <w:r w:rsidR="007C43B3" w:rsidRPr="008E2EC2">
        <w:rPr>
          <w:rFonts w:ascii="Times New Roman" w:hAnsi="Times New Roman" w:cs="Times New Roman"/>
          <w:color w:val="222222"/>
          <w:sz w:val="24"/>
          <w:szCs w:val="24"/>
          <w:shd w:val="clear" w:color="auto" w:fill="FFFFFF"/>
        </w:rPr>
        <w:t xml:space="preserve">Jaundice is caused by increased serum bilirubin levels that accumulate in tissues, resulting from the destruction of red blood cells. </w:t>
      </w:r>
      <w:r w:rsidR="00EC44C1" w:rsidRPr="008E2EC2">
        <w:rPr>
          <w:rFonts w:ascii="Times New Roman" w:hAnsi="Times New Roman" w:cs="Times New Roman"/>
          <w:color w:val="222222"/>
          <w:sz w:val="24"/>
          <w:szCs w:val="24"/>
          <w:shd w:val="clear" w:color="auto" w:fill="FFFFFF"/>
        </w:rPr>
        <w:t xml:space="preserve">Furthermore, increased levels of </w:t>
      </w:r>
      <w:r w:rsidR="00EC44C1" w:rsidRPr="008E2EC2">
        <w:rPr>
          <w:rFonts w:ascii="Times New Roman" w:hAnsi="Times New Roman" w:cs="Times New Roman"/>
          <w:sz w:val="24"/>
          <w:szCs w:val="24"/>
        </w:rPr>
        <w:t xml:space="preserve">lactate dehydrogenase (LDH) are </w:t>
      </w:r>
      <w:r w:rsidR="00224FDD">
        <w:rPr>
          <w:rFonts w:ascii="Times New Roman" w:hAnsi="Times New Roman" w:cs="Times New Roman"/>
          <w:sz w:val="24"/>
          <w:szCs w:val="24"/>
        </w:rPr>
        <w:t>observed</w:t>
      </w:r>
      <w:r w:rsidR="00EC44C1" w:rsidRPr="008E2EC2">
        <w:rPr>
          <w:rFonts w:ascii="Times New Roman" w:hAnsi="Times New Roman" w:cs="Times New Roman"/>
          <w:sz w:val="24"/>
          <w:szCs w:val="24"/>
        </w:rPr>
        <w:t xml:space="preserve"> in cases of haemolytic jaundice</w:t>
      </w:r>
      <w:r w:rsidR="002D65D4">
        <w:rPr>
          <w:rFonts w:ascii="Times New Roman" w:hAnsi="Times New Roman" w:cs="Times New Roman"/>
          <w:sz w:val="24"/>
          <w:szCs w:val="24"/>
        </w:rPr>
        <w:t>,</w:t>
      </w:r>
      <w:r w:rsidR="00224FDD">
        <w:rPr>
          <w:rFonts w:ascii="Times New Roman" w:hAnsi="Times New Roman" w:cs="Times New Roman"/>
          <w:sz w:val="24"/>
          <w:szCs w:val="24"/>
        </w:rPr>
        <w:t xml:space="preserve"> and e</w:t>
      </w:r>
      <w:r w:rsidR="00EC44C1" w:rsidRPr="008E2EC2">
        <w:rPr>
          <w:rFonts w:ascii="Times New Roman" w:hAnsi="Times New Roman" w:cs="Times New Roman"/>
          <w:sz w:val="24"/>
          <w:szCs w:val="24"/>
        </w:rPr>
        <w:t>levated levels of Aspartate Transaminase</w:t>
      </w:r>
      <w:r w:rsidR="008E2EC2" w:rsidRPr="008E2EC2">
        <w:rPr>
          <w:rFonts w:ascii="Times New Roman" w:hAnsi="Times New Roman" w:cs="Times New Roman"/>
          <w:sz w:val="24"/>
          <w:szCs w:val="24"/>
        </w:rPr>
        <w:t xml:space="preserve"> (AST)</w:t>
      </w:r>
      <w:r w:rsidR="00EC44C1" w:rsidRPr="008E2EC2">
        <w:rPr>
          <w:rFonts w:ascii="Times New Roman" w:hAnsi="Times New Roman" w:cs="Times New Roman"/>
          <w:sz w:val="24"/>
          <w:szCs w:val="24"/>
        </w:rPr>
        <w:t xml:space="preserve">, Alanine </w:t>
      </w:r>
      <w:r w:rsidR="002D65D4">
        <w:rPr>
          <w:rFonts w:ascii="Times New Roman" w:hAnsi="Times New Roman" w:cs="Times New Roman"/>
          <w:sz w:val="24"/>
          <w:szCs w:val="24"/>
        </w:rPr>
        <w:t>a</w:t>
      </w:r>
      <w:r w:rsidR="00EC44C1" w:rsidRPr="008E2EC2">
        <w:rPr>
          <w:rFonts w:ascii="Times New Roman" w:hAnsi="Times New Roman" w:cs="Times New Roman"/>
          <w:sz w:val="24"/>
          <w:szCs w:val="24"/>
        </w:rPr>
        <w:t>minotransaminase</w:t>
      </w:r>
      <w:r w:rsidR="008E2EC2" w:rsidRPr="008E2EC2">
        <w:rPr>
          <w:rFonts w:ascii="Times New Roman" w:hAnsi="Times New Roman" w:cs="Times New Roman"/>
          <w:sz w:val="24"/>
          <w:szCs w:val="24"/>
        </w:rPr>
        <w:t xml:space="preserve"> (ALT) and </w:t>
      </w:r>
      <w:r w:rsidR="00EC44C1" w:rsidRPr="008E2EC2">
        <w:rPr>
          <w:rFonts w:ascii="Times New Roman" w:hAnsi="Times New Roman" w:cs="Times New Roman"/>
          <w:sz w:val="24"/>
          <w:szCs w:val="24"/>
        </w:rPr>
        <w:t>Alkaline Phosphatase</w:t>
      </w:r>
      <w:r w:rsidR="008E2EC2">
        <w:rPr>
          <w:rFonts w:ascii="Times New Roman" w:hAnsi="Times New Roman" w:cs="Times New Roman"/>
          <w:sz w:val="24"/>
          <w:szCs w:val="24"/>
        </w:rPr>
        <w:t xml:space="preserve"> (ALP)</w:t>
      </w:r>
      <w:r w:rsidR="00EC44C1" w:rsidRPr="008E2EC2">
        <w:rPr>
          <w:rFonts w:ascii="Times New Roman" w:hAnsi="Times New Roman" w:cs="Times New Roman"/>
          <w:sz w:val="24"/>
          <w:szCs w:val="24"/>
        </w:rPr>
        <w:t xml:space="preserve"> </w:t>
      </w:r>
      <w:r w:rsidR="008E2EC2" w:rsidRPr="008E2EC2">
        <w:rPr>
          <w:rFonts w:ascii="Times New Roman" w:hAnsi="Times New Roman" w:cs="Times New Roman"/>
          <w:sz w:val="24"/>
          <w:szCs w:val="24"/>
        </w:rPr>
        <w:t>are characteristic of hepatocellular jaundice.</w:t>
      </w:r>
      <w:r w:rsidR="00EC44C1" w:rsidRPr="008E2EC2">
        <w:rPr>
          <w:rFonts w:ascii="Times New Roman" w:hAnsi="Times New Roman" w:cs="Times New Roman"/>
          <w:sz w:val="24"/>
          <w:szCs w:val="24"/>
        </w:rPr>
        <w:t xml:space="preserve"> </w:t>
      </w:r>
      <w:r w:rsidR="00EC44C1" w:rsidRPr="008E2EC2">
        <w:rPr>
          <w:rFonts w:ascii="Times New Roman" w:hAnsi="Times New Roman" w:cs="Times New Roman"/>
          <w:color w:val="222222"/>
          <w:sz w:val="24"/>
          <w:szCs w:val="24"/>
          <w:shd w:val="clear" w:color="auto" w:fill="FFFFFF"/>
        </w:rPr>
        <w:t xml:space="preserve">Jaundice </w:t>
      </w:r>
      <w:r w:rsidR="002162FA" w:rsidRPr="008E2EC2">
        <w:rPr>
          <w:rFonts w:ascii="Times New Roman" w:hAnsi="Times New Roman" w:cs="Times New Roman"/>
          <w:sz w:val="24"/>
          <w:szCs w:val="24"/>
        </w:rPr>
        <w:t xml:space="preserve">remains a significant cause of neonatal morbidity and mortality in Nigeria and other low-resource settings, largely due to inadequate </w:t>
      </w:r>
      <w:r w:rsidR="007C43B3" w:rsidRPr="008E2EC2">
        <w:rPr>
          <w:rFonts w:ascii="Times New Roman" w:hAnsi="Times New Roman" w:cs="Times New Roman"/>
          <w:sz w:val="24"/>
          <w:szCs w:val="24"/>
        </w:rPr>
        <w:t xml:space="preserve">and </w:t>
      </w:r>
      <w:r w:rsidR="002D65D4">
        <w:rPr>
          <w:rFonts w:ascii="Times New Roman" w:hAnsi="Times New Roman" w:cs="Times New Roman"/>
          <w:sz w:val="24"/>
          <w:szCs w:val="24"/>
        </w:rPr>
        <w:t xml:space="preserve">a </w:t>
      </w:r>
      <w:r w:rsidR="007C43B3" w:rsidRPr="008E2EC2">
        <w:rPr>
          <w:rFonts w:ascii="Times New Roman" w:hAnsi="Times New Roman" w:cs="Times New Roman"/>
          <w:sz w:val="24"/>
          <w:szCs w:val="24"/>
        </w:rPr>
        <w:t xml:space="preserve">lack of access to neonatal care </w:t>
      </w:r>
    </w:p>
    <w:p w14:paraId="284A1D23" w14:textId="68B5311E" w:rsidR="002162FA" w:rsidRPr="00110EBE" w:rsidRDefault="002162FA"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Objective:</w:t>
      </w:r>
      <w:r w:rsidR="00D55F38" w:rsidRPr="00110EBE">
        <w:rPr>
          <w:rFonts w:ascii="Times New Roman" w:hAnsi="Times New Roman" w:cs="Times New Roman"/>
          <w:sz w:val="24"/>
          <w:szCs w:val="24"/>
        </w:rPr>
        <w:t xml:space="preserve"> </w:t>
      </w:r>
      <w:r w:rsidRPr="00110EBE">
        <w:rPr>
          <w:rFonts w:ascii="Times New Roman" w:hAnsi="Times New Roman" w:cs="Times New Roman"/>
          <w:sz w:val="24"/>
          <w:szCs w:val="24"/>
        </w:rPr>
        <w:t>This study evaluated the biochemical alterations associated with</w:t>
      </w:r>
      <w:r w:rsidR="008E2EC2">
        <w:rPr>
          <w:rFonts w:ascii="Times New Roman" w:hAnsi="Times New Roman" w:cs="Times New Roman"/>
          <w:sz w:val="24"/>
          <w:szCs w:val="24"/>
        </w:rPr>
        <w:t xml:space="preserve"> neonates diagnosed with</w:t>
      </w:r>
      <w:r w:rsidRPr="00110EBE">
        <w:rPr>
          <w:rFonts w:ascii="Times New Roman" w:hAnsi="Times New Roman" w:cs="Times New Roman"/>
          <w:sz w:val="24"/>
          <w:szCs w:val="24"/>
        </w:rPr>
        <w:t xml:space="preserve"> </w:t>
      </w:r>
      <w:r w:rsidR="008E2EC2">
        <w:rPr>
          <w:rFonts w:ascii="Times New Roman" w:hAnsi="Times New Roman" w:cs="Times New Roman"/>
          <w:sz w:val="24"/>
          <w:szCs w:val="24"/>
        </w:rPr>
        <w:t>jaundice</w:t>
      </w:r>
      <w:r w:rsidRPr="00110EBE">
        <w:rPr>
          <w:rFonts w:ascii="Times New Roman" w:hAnsi="Times New Roman" w:cs="Times New Roman"/>
          <w:sz w:val="24"/>
          <w:szCs w:val="24"/>
        </w:rPr>
        <w:t xml:space="preserve"> compared to healthy neonates</w:t>
      </w:r>
      <w:r w:rsidR="008E2EC2">
        <w:rPr>
          <w:rFonts w:ascii="Times New Roman" w:hAnsi="Times New Roman" w:cs="Times New Roman"/>
          <w:sz w:val="24"/>
          <w:szCs w:val="24"/>
        </w:rPr>
        <w:t xml:space="preserve"> </w:t>
      </w:r>
      <w:r w:rsidR="008E2EC2" w:rsidRPr="00110EBE">
        <w:rPr>
          <w:rFonts w:ascii="Times New Roman" w:hAnsi="Times New Roman" w:cs="Times New Roman"/>
          <w:sz w:val="24"/>
          <w:szCs w:val="24"/>
        </w:rPr>
        <w:t>in Keffi, Nasarawa Stat</w:t>
      </w:r>
      <w:r w:rsidR="008E2EC2">
        <w:rPr>
          <w:rFonts w:ascii="Times New Roman" w:hAnsi="Times New Roman" w:cs="Times New Roman"/>
          <w:sz w:val="24"/>
          <w:szCs w:val="24"/>
        </w:rPr>
        <w:t>e,</w:t>
      </w:r>
      <w:r w:rsidRPr="00110EBE">
        <w:rPr>
          <w:rFonts w:ascii="Times New Roman" w:hAnsi="Times New Roman" w:cs="Times New Roman"/>
          <w:sz w:val="24"/>
          <w:szCs w:val="24"/>
        </w:rPr>
        <w:t xml:space="preserve"> focusing on bilirubin metabolism, liver enzyme activity, and lactate dehydrogenase levels. </w:t>
      </w:r>
    </w:p>
    <w:p w14:paraId="669657A8" w14:textId="77777777" w:rsidR="002D65D4"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sz w:val="24"/>
          <w:szCs w:val="24"/>
        </w:rPr>
        <w:t>Study Design:</w:t>
      </w:r>
      <w:r w:rsidRPr="00110EBE">
        <w:rPr>
          <w:rFonts w:ascii="Times New Roman" w:hAnsi="Times New Roman" w:cs="Times New Roman"/>
          <w:sz w:val="24"/>
          <w:szCs w:val="24"/>
        </w:rPr>
        <w:t xml:space="preserve"> </w:t>
      </w:r>
      <w:r w:rsidR="002162FA" w:rsidRPr="002D65D4">
        <w:rPr>
          <w:rFonts w:ascii="Times New Roman" w:hAnsi="Times New Roman" w:cs="Times New Roman"/>
          <w:sz w:val="24"/>
          <w:szCs w:val="24"/>
        </w:rPr>
        <w:t>A</w:t>
      </w:r>
      <w:r w:rsidR="002D65D4">
        <w:rPr>
          <w:rFonts w:ascii="Times New Roman" w:hAnsi="Times New Roman" w:cs="Times New Roman"/>
          <w:sz w:val="24"/>
          <w:szCs w:val="24"/>
        </w:rPr>
        <w:t>n</w:t>
      </w:r>
      <w:r w:rsidRPr="002D65D4">
        <w:rPr>
          <w:rFonts w:ascii="Times New Roman" w:hAnsi="Times New Roman" w:cs="Times New Roman"/>
          <w:sz w:val="24"/>
          <w:szCs w:val="24"/>
        </w:rPr>
        <w:t xml:space="preserve"> </w:t>
      </w:r>
      <w:r w:rsidR="002D65D4" w:rsidRPr="002D65D4">
        <w:rPr>
          <w:rFonts w:ascii="Times New Roman" w:hAnsi="Times New Roman" w:cs="Times New Roman"/>
          <w:sz w:val="24"/>
          <w:szCs w:val="24"/>
        </w:rPr>
        <w:t>unmatched case-control study was conducted</w:t>
      </w:r>
      <w:r w:rsidR="002D65D4">
        <w:rPr>
          <w:rFonts w:ascii="Times New Roman" w:hAnsi="Times New Roman" w:cs="Times New Roman"/>
          <w:sz w:val="24"/>
          <w:szCs w:val="24"/>
        </w:rPr>
        <w:t>.</w:t>
      </w:r>
    </w:p>
    <w:p w14:paraId="7988014D" w14:textId="7584113D" w:rsidR="00345F40" w:rsidRPr="00110EBE"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color w:val="000000"/>
          <w:sz w:val="24"/>
          <w:szCs w:val="24"/>
          <w:shd w:val="clear" w:color="auto" w:fill="FFFFFF"/>
        </w:rPr>
        <w:t xml:space="preserve">Place and Duration of Study: </w:t>
      </w:r>
      <w:r w:rsidRPr="00110EBE">
        <w:rPr>
          <w:rFonts w:ascii="Times New Roman" w:hAnsi="Times New Roman" w:cs="Times New Roman"/>
          <w:bCs/>
          <w:color w:val="000000"/>
          <w:sz w:val="24"/>
          <w:szCs w:val="24"/>
          <w:shd w:val="clear" w:color="auto" w:fill="FFFFFF"/>
        </w:rPr>
        <w:t xml:space="preserve">This study was carried out in </w:t>
      </w:r>
      <w:r w:rsidR="002162FA" w:rsidRPr="00110EBE">
        <w:rPr>
          <w:rFonts w:ascii="Times New Roman" w:hAnsi="Times New Roman" w:cs="Times New Roman"/>
          <w:bCs/>
          <w:color w:val="000000"/>
          <w:sz w:val="24"/>
          <w:szCs w:val="24"/>
          <w:shd w:val="clear" w:color="auto" w:fill="FFFFFF"/>
        </w:rPr>
        <w:t xml:space="preserve">Federal Medical Centre Keffi, </w:t>
      </w:r>
      <w:r w:rsidRPr="00110EBE">
        <w:rPr>
          <w:rFonts w:ascii="Times New Roman" w:hAnsi="Times New Roman" w:cs="Times New Roman"/>
          <w:bCs/>
          <w:color w:val="000000"/>
          <w:sz w:val="24"/>
          <w:szCs w:val="24"/>
          <w:shd w:val="clear" w:color="auto" w:fill="FFFFFF"/>
        </w:rPr>
        <w:t>Nasarawa State, Nigeria</w:t>
      </w:r>
      <w:r w:rsidR="00A57BFE">
        <w:rPr>
          <w:rFonts w:ascii="Times New Roman" w:hAnsi="Times New Roman" w:cs="Times New Roman"/>
          <w:bCs/>
          <w:color w:val="000000"/>
          <w:sz w:val="24"/>
          <w:szCs w:val="24"/>
          <w:shd w:val="clear" w:color="auto" w:fill="FFFFFF"/>
        </w:rPr>
        <w:t>,</w:t>
      </w:r>
      <w:r w:rsidRPr="00110EBE">
        <w:rPr>
          <w:rFonts w:ascii="Times New Roman" w:hAnsi="Times New Roman" w:cs="Times New Roman"/>
          <w:bCs/>
          <w:color w:val="000000"/>
          <w:sz w:val="24"/>
          <w:szCs w:val="24"/>
          <w:shd w:val="clear" w:color="auto" w:fill="FFFFFF"/>
        </w:rPr>
        <w:t xml:space="preserve"> </w:t>
      </w:r>
      <w:r w:rsidRPr="00110EBE">
        <w:rPr>
          <w:rFonts w:ascii="Times New Roman" w:hAnsi="Times New Roman" w:cs="Times New Roman"/>
          <w:sz w:val="24"/>
          <w:szCs w:val="24"/>
        </w:rPr>
        <w:t xml:space="preserve">from July 2024 to </w:t>
      </w:r>
      <w:r w:rsidR="00EC365C">
        <w:rPr>
          <w:rFonts w:ascii="Times New Roman" w:hAnsi="Times New Roman" w:cs="Times New Roman"/>
          <w:sz w:val="24"/>
          <w:szCs w:val="24"/>
        </w:rPr>
        <w:t>Septem</w:t>
      </w:r>
      <w:r w:rsidR="002162FA" w:rsidRPr="00110EBE">
        <w:rPr>
          <w:rFonts w:ascii="Times New Roman" w:hAnsi="Times New Roman" w:cs="Times New Roman"/>
          <w:sz w:val="24"/>
          <w:szCs w:val="24"/>
        </w:rPr>
        <w:t xml:space="preserve">ber </w:t>
      </w:r>
      <w:r w:rsidRPr="00110EBE">
        <w:rPr>
          <w:rFonts w:ascii="Times New Roman" w:hAnsi="Times New Roman" w:cs="Times New Roman"/>
          <w:sz w:val="24"/>
          <w:szCs w:val="24"/>
        </w:rPr>
        <w:t>2024.</w:t>
      </w:r>
    </w:p>
    <w:p w14:paraId="443D38CC" w14:textId="2EED565D" w:rsidR="00D55F38" w:rsidRPr="00110EBE" w:rsidRDefault="00D55F38" w:rsidP="00D55F38">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rPr>
        <w:t xml:space="preserve">Methodology: </w:t>
      </w:r>
      <w:r w:rsidR="00E71B36">
        <w:rPr>
          <w:rFonts w:ascii="Times New Roman" w:hAnsi="Times New Roman" w:cs="Times New Roman"/>
          <w:sz w:val="24"/>
          <w:szCs w:val="24"/>
        </w:rPr>
        <w:t>Five ml of venous blood</w:t>
      </w:r>
      <w:r w:rsidRPr="00110EBE">
        <w:rPr>
          <w:rFonts w:ascii="Times New Roman" w:hAnsi="Times New Roman" w:cs="Times New Roman"/>
          <w:sz w:val="24"/>
          <w:szCs w:val="24"/>
        </w:rPr>
        <w:t xml:space="preserve"> were collected from </w:t>
      </w:r>
      <w:r w:rsidR="00345F40" w:rsidRPr="00110EBE">
        <w:rPr>
          <w:rFonts w:ascii="Times New Roman" w:hAnsi="Times New Roman" w:cs="Times New Roman"/>
          <w:sz w:val="24"/>
          <w:szCs w:val="24"/>
        </w:rPr>
        <w:t xml:space="preserve">a total of 137 </w:t>
      </w:r>
      <w:r w:rsidR="00E55E15">
        <w:rPr>
          <w:rFonts w:ascii="Times New Roman" w:hAnsi="Times New Roman" w:cs="Times New Roman"/>
          <w:sz w:val="24"/>
          <w:szCs w:val="24"/>
        </w:rPr>
        <w:t xml:space="preserve">term </w:t>
      </w:r>
      <w:r w:rsidR="002162FA" w:rsidRPr="00110EBE">
        <w:rPr>
          <w:rFonts w:ascii="Times New Roman" w:hAnsi="Times New Roman" w:cs="Times New Roman"/>
          <w:sz w:val="24"/>
          <w:szCs w:val="24"/>
        </w:rPr>
        <w:t>neonates</w:t>
      </w:r>
      <w:r w:rsidR="00345F40" w:rsidRPr="00110EBE">
        <w:rPr>
          <w:rFonts w:ascii="Times New Roman" w:hAnsi="Times New Roman" w:cs="Times New Roman"/>
          <w:sz w:val="24"/>
          <w:szCs w:val="24"/>
        </w:rPr>
        <w:t xml:space="preserve">, comprising </w:t>
      </w:r>
      <w:r w:rsidR="00E71B36">
        <w:rPr>
          <w:rFonts w:ascii="Times New Roman" w:hAnsi="Times New Roman" w:cs="Times New Roman"/>
          <w:sz w:val="24"/>
          <w:szCs w:val="24"/>
        </w:rPr>
        <w:t>4</w:t>
      </w:r>
      <w:r w:rsidR="00345F40" w:rsidRPr="00110EBE">
        <w:rPr>
          <w:rFonts w:ascii="Times New Roman" w:hAnsi="Times New Roman" w:cs="Times New Roman"/>
          <w:sz w:val="24"/>
          <w:szCs w:val="24"/>
        </w:rPr>
        <w:t xml:space="preserve">6 </w:t>
      </w:r>
      <w:r w:rsidR="002162FA" w:rsidRPr="00110EBE">
        <w:rPr>
          <w:rFonts w:ascii="Times New Roman" w:hAnsi="Times New Roman" w:cs="Times New Roman"/>
          <w:sz w:val="24"/>
          <w:szCs w:val="24"/>
        </w:rPr>
        <w:t xml:space="preserve">diagnosed with </w:t>
      </w:r>
      <w:r w:rsidR="00E55E15">
        <w:rPr>
          <w:rFonts w:ascii="Times New Roman" w:hAnsi="Times New Roman" w:cs="Times New Roman"/>
          <w:sz w:val="24"/>
          <w:szCs w:val="24"/>
        </w:rPr>
        <w:t>jaundice</w:t>
      </w:r>
      <w:r w:rsidR="002162FA" w:rsidRPr="00110EBE">
        <w:rPr>
          <w:rFonts w:ascii="Times New Roman" w:hAnsi="Times New Roman" w:cs="Times New Roman"/>
          <w:sz w:val="24"/>
          <w:szCs w:val="24"/>
        </w:rPr>
        <w:t xml:space="preserve"> in the </w:t>
      </w:r>
      <w:r w:rsidR="00345F40" w:rsidRPr="00110EBE">
        <w:rPr>
          <w:rFonts w:ascii="Times New Roman" w:hAnsi="Times New Roman" w:cs="Times New Roman"/>
          <w:sz w:val="24"/>
          <w:szCs w:val="24"/>
        </w:rPr>
        <w:t xml:space="preserve">study site and </w:t>
      </w:r>
      <w:r w:rsidR="00E71B36">
        <w:rPr>
          <w:rFonts w:ascii="Times New Roman" w:hAnsi="Times New Roman" w:cs="Times New Roman"/>
          <w:sz w:val="24"/>
          <w:szCs w:val="24"/>
        </w:rPr>
        <w:t>9</w:t>
      </w:r>
      <w:r w:rsidR="00345F40" w:rsidRPr="00110EBE">
        <w:rPr>
          <w:rFonts w:ascii="Times New Roman" w:hAnsi="Times New Roman" w:cs="Times New Roman"/>
          <w:sz w:val="24"/>
          <w:szCs w:val="24"/>
        </w:rPr>
        <w:t xml:space="preserve">1 healthy neonates without </w:t>
      </w:r>
      <w:r w:rsidR="00E55E15">
        <w:rPr>
          <w:rFonts w:ascii="Times New Roman" w:hAnsi="Times New Roman" w:cs="Times New Roman"/>
          <w:sz w:val="24"/>
          <w:szCs w:val="24"/>
        </w:rPr>
        <w:t>jaundice</w:t>
      </w:r>
      <w:r w:rsidR="00345F40" w:rsidRPr="00110EBE">
        <w:rPr>
          <w:rFonts w:ascii="Times New Roman" w:hAnsi="Times New Roman" w:cs="Times New Roman"/>
          <w:sz w:val="24"/>
          <w:szCs w:val="24"/>
        </w:rPr>
        <w:t xml:space="preserve"> (controls)</w:t>
      </w:r>
      <w:r w:rsidR="00A57BFE">
        <w:rPr>
          <w:rFonts w:ascii="Times New Roman" w:hAnsi="Times New Roman" w:cs="Times New Roman"/>
          <w:sz w:val="24"/>
          <w:szCs w:val="24"/>
        </w:rPr>
        <w:t>,</w:t>
      </w:r>
      <w:r w:rsidR="00345F40" w:rsidRPr="00110EBE">
        <w:rPr>
          <w:rFonts w:ascii="Times New Roman" w:hAnsi="Times New Roman" w:cs="Times New Roman"/>
          <w:sz w:val="24"/>
          <w:szCs w:val="24"/>
        </w:rPr>
        <w:t xml:space="preserve"> </w:t>
      </w:r>
      <w:r w:rsidRPr="00110EBE">
        <w:rPr>
          <w:rFonts w:ascii="Times New Roman" w:hAnsi="Times New Roman" w:cs="Times New Roman"/>
          <w:sz w:val="24"/>
          <w:szCs w:val="24"/>
        </w:rPr>
        <w:t xml:space="preserve">into </w:t>
      </w:r>
      <w:r w:rsidR="00345F40" w:rsidRPr="00110EBE">
        <w:rPr>
          <w:rFonts w:ascii="Times New Roman" w:hAnsi="Times New Roman" w:cs="Times New Roman"/>
          <w:sz w:val="24"/>
          <w:szCs w:val="24"/>
        </w:rPr>
        <w:t>plain vacutainer</w:t>
      </w:r>
      <w:r w:rsidRPr="00110EBE">
        <w:rPr>
          <w:rFonts w:ascii="Times New Roman" w:hAnsi="Times New Roman" w:cs="Times New Roman"/>
          <w:sz w:val="24"/>
          <w:szCs w:val="24"/>
        </w:rPr>
        <w:t xml:space="preserve"> tubes</w:t>
      </w:r>
      <w:r w:rsidR="00345F40" w:rsidRPr="00110EBE">
        <w:rPr>
          <w:rFonts w:ascii="Times New Roman" w:hAnsi="Times New Roman" w:cs="Times New Roman"/>
          <w:sz w:val="24"/>
          <w:szCs w:val="24"/>
        </w:rPr>
        <w:t xml:space="preserve"> and allowed to clot</w:t>
      </w:r>
      <w:r w:rsidRPr="00110EBE">
        <w:rPr>
          <w:rFonts w:ascii="Times New Roman" w:hAnsi="Times New Roman" w:cs="Times New Roman"/>
          <w:sz w:val="24"/>
          <w:szCs w:val="24"/>
        </w:rPr>
        <w:t xml:space="preserve">, </w:t>
      </w:r>
      <w:r w:rsidR="00345F40" w:rsidRPr="00110EBE">
        <w:rPr>
          <w:rFonts w:ascii="Times New Roman" w:hAnsi="Times New Roman" w:cs="Times New Roman"/>
          <w:sz w:val="24"/>
          <w:szCs w:val="24"/>
        </w:rPr>
        <w:t xml:space="preserve">then </w:t>
      </w:r>
      <w:r w:rsidRPr="00110EBE">
        <w:rPr>
          <w:rFonts w:ascii="Times New Roman" w:hAnsi="Times New Roman" w:cs="Times New Roman"/>
          <w:sz w:val="24"/>
          <w:szCs w:val="24"/>
        </w:rPr>
        <w:t xml:space="preserve">spun at 3000 rpm for 10 minutes before collecting the </w:t>
      </w:r>
      <w:r w:rsidR="00345F40" w:rsidRPr="00110EBE">
        <w:rPr>
          <w:rFonts w:ascii="Times New Roman" w:hAnsi="Times New Roman" w:cs="Times New Roman"/>
          <w:sz w:val="24"/>
          <w:szCs w:val="24"/>
        </w:rPr>
        <w:t>serum</w:t>
      </w:r>
      <w:r w:rsidRPr="00110EBE">
        <w:rPr>
          <w:rFonts w:ascii="Times New Roman" w:hAnsi="Times New Roman" w:cs="Times New Roman"/>
          <w:sz w:val="24"/>
          <w:szCs w:val="24"/>
        </w:rPr>
        <w:t xml:space="preserve"> into </w:t>
      </w:r>
      <w:r w:rsidR="00A57BFE">
        <w:rPr>
          <w:rFonts w:ascii="Times New Roman" w:hAnsi="Times New Roman" w:cs="Times New Roman"/>
          <w:sz w:val="24"/>
          <w:szCs w:val="24"/>
        </w:rPr>
        <w:t>labelled</w:t>
      </w:r>
      <w:r w:rsidRPr="00110EBE">
        <w:rPr>
          <w:rFonts w:ascii="Times New Roman" w:hAnsi="Times New Roman" w:cs="Times New Roman"/>
          <w:sz w:val="24"/>
          <w:szCs w:val="24"/>
        </w:rPr>
        <w:t xml:space="preserve"> tubes and stored at -</w:t>
      </w:r>
      <w:r w:rsidR="00A57BFE">
        <w:rPr>
          <w:rFonts w:ascii="Times New Roman" w:hAnsi="Times New Roman" w:cs="Times New Roman"/>
          <w:sz w:val="24"/>
          <w:szCs w:val="24"/>
        </w:rPr>
        <w:t>20 °C</w:t>
      </w:r>
      <w:r w:rsidRPr="00110EBE">
        <w:rPr>
          <w:rFonts w:ascii="Times New Roman" w:hAnsi="Times New Roman" w:cs="Times New Roman"/>
          <w:sz w:val="24"/>
          <w:szCs w:val="24"/>
        </w:rPr>
        <w:t xml:space="preserve"> until ready for analysis. </w:t>
      </w:r>
      <w:r w:rsidR="00345F40" w:rsidRPr="00110EBE">
        <w:rPr>
          <w:rFonts w:ascii="Times New Roman" w:hAnsi="Times New Roman" w:cs="Times New Roman"/>
          <w:sz w:val="24"/>
          <w:szCs w:val="24"/>
        </w:rPr>
        <w:t>Bilirubin (Direct and Total), AST, ALT, ALP and LDH levels</w:t>
      </w:r>
      <w:r w:rsidRPr="00110EBE">
        <w:rPr>
          <w:rFonts w:ascii="Times New Roman" w:hAnsi="Times New Roman" w:cs="Times New Roman"/>
          <w:sz w:val="24"/>
          <w:szCs w:val="24"/>
        </w:rPr>
        <w:t xml:space="preserve"> were estimated </w:t>
      </w:r>
      <w:r w:rsidR="00224FDD">
        <w:rPr>
          <w:rFonts w:ascii="Times New Roman" w:hAnsi="Times New Roman" w:cs="Times New Roman"/>
          <w:sz w:val="24"/>
          <w:szCs w:val="24"/>
        </w:rPr>
        <w:t>using</w:t>
      </w:r>
      <w:r w:rsidR="007F5856">
        <w:rPr>
          <w:rFonts w:ascii="Times New Roman" w:hAnsi="Times New Roman" w:cs="Times New Roman"/>
          <w:sz w:val="24"/>
          <w:szCs w:val="24"/>
        </w:rPr>
        <w:t xml:space="preserve"> </w:t>
      </w:r>
      <w:r w:rsidR="00543740">
        <w:rPr>
          <w:rFonts w:ascii="Times New Roman" w:hAnsi="Times New Roman" w:cs="Times New Roman"/>
          <w:sz w:val="24"/>
          <w:szCs w:val="24"/>
        </w:rPr>
        <w:t>DiaLab</w:t>
      </w:r>
      <w:r w:rsidR="007F5856">
        <w:rPr>
          <w:rFonts w:ascii="Times New Roman" w:hAnsi="Times New Roman" w:cs="Times New Roman"/>
          <w:sz w:val="24"/>
          <w:szCs w:val="24"/>
        </w:rPr>
        <w:t xml:space="preserve"> reagents</w:t>
      </w:r>
      <w:r w:rsidR="00543740">
        <w:rPr>
          <w:rFonts w:ascii="Times New Roman" w:hAnsi="Times New Roman" w:cs="Times New Roman"/>
          <w:sz w:val="24"/>
          <w:szCs w:val="24"/>
        </w:rPr>
        <w:t xml:space="preserve"> (</w:t>
      </w:r>
      <w:r w:rsidR="00543740" w:rsidRPr="00F658BB">
        <w:rPr>
          <w:rFonts w:ascii="Times New Roman" w:hAnsi="Times New Roman" w:cs="Times New Roman"/>
          <w:sz w:val="24"/>
          <w:szCs w:val="24"/>
        </w:rPr>
        <w:t>DiaLab Austria</w:t>
      </w:r>
      <w:r w:rsidR="00543740">
        <w:rPr>
          <w:rFonts w:ascii="Times New Roman" w:hAnsi="Times New Roman" w:cs="Times New Roman"/>
          <w:sz w:val="24"/>
          <w:szCs w:val="24"/>
        </w:rPr>
        <w:t xml:space="preserve">) </w:t>
      </w:r>
      <w:r w:rsidR="00224FDD">
        <w:rPr>
          <w:rFonts w:ascii="Times New Roman" w:hAnsi="Times New Roman" w:cs="Times New Roman"/>
          <w:sz w:val="24"/>
          <w:szCs w:val="24"/>
        </w:rPr>
        <w:t>with</w:t>
      </w:r>
      <w:r w:rsidRPr="00110EBE">
        <w:rPr>
          <w:rFonts w:ascii="Times New Roman" w:hAnsi="Times New Roman" w:cs="Times New Roman"/>
          <w:sz w:val="24"/>
          <w:szCs w:val="24"/>
        </w:rPr>
        <w:t xml:space="preserve"> </w:t>
      </w:r>
      <w:r w:rsidR="00A57BFE">
        <w:rPr>
          <w:rFonts w:ascii="Times New Roman" w:hAnsi="Times New Roman" w:cs="Times New Roman"/>
          <w:sz w:val="24"/>
          <w:szCs w:val="24"/>
        </w:rPr>
        <w:t xml:space="preserve">the </w:t>
      </w:r>
      <w:r w:rsidR="007F5856">
        <w:rPr>
          <w:rFonts w:ascii="Times New Roman" w:hAnsi="Times New Roman" w:cs="Times New Roman"/>
          <w:sz w:val="24"/>
          <w:szCs w:val="24"/>
        </w:rPr>
        <w:t>fully automated ChemWell 2902 Bi</w:t>
      </w:r>
      <w:r w:rsidR="00205211">
        <w:rPr>
          <w:rFonts w:ascii="Times New Roman" w:hAnsi="Times New Roman" w:cs="Times New Roman"/>
          <w:sz w:val="24"/>
          <w:szCs w:val="24"/>
        </w:rPr>
        <w:t>o</w:t>
      </w:r>
      <w:r w:rsidR="007F5856">
        <w:rPr>
          <w:rFonts w:ascii="Times New Roman" w:hAnsi="Times New Roman" w:cs="Times New Roman"/>
          <w:sz w:val="24"/>
          <w:szCs w:val="24"/>
        </w:rPr>
        <w:t>chemistry Analyser (Awareness Technologies, USA)</w:t>
      </w:r>
      <w:r w:rsidRPr="00110EBE">
        <w:rPr>
          <w:rFonts w:ascii="Times New Roman" w:hAnsi="Times New Roman" w:cs="Times New Roman"/>
          <w:sz w:val="24"/>
          <w:szCs w:val="24"/>
        </w:rPr>
        <w:t xml:space="preserve">. </w:t>
      </w:r>
      <w:r w:rsidR="00A57BFE">
        <w:rPr>
          <w:rFonts w:ascii="Times New Roman" w:hAnsi="Times New Roman" w:cs="Times New Roman"/>
          <w:sz w:val="24"/>
          <w:szCs w:val="24"/>
        </w:rPr>
        <w:t>The d</w:t>
      </w:r>
      <w:r w:rsidR="00345F40" w:rsidRPr="00110EBE">
        <w:rPr>
          <w:rFonts w:ascii="Times New Roman" w:hAnsi="Times New Roman" w:cs="Times New Roman"/>
          <w:sz w:val="24"/>
          <w:szCs w:val="24"/>
        </w:rPr>
        <w:t xml:space="preserve">ata obtained were </w:t>
      </w:r>
      <w:r w:rsidR="00110EBE" w:rsidRPr="00110EBE">
        <w:rPr>
          <w:rFonts w:ascii="Times New Roman" w:hAnsi="Times New Roman" w:cs="Times New Roman"/>
          <w:sz w:val="24"/>
          <w:szCs w:val="24"/>
        </w:rPr>
        <w:t xml:space="preserve">analysed using descriptive and inferential statistics, including independent t-tests, chi-square tests, ANOVA, and Pearson’s correlation </w:t>
      </w:r>
      <w:r w:rsidRPr="00110EBE">
        <w:rPr>
          <w:rFonts w:ascii="Times New Roman" w:hAnsi="Times New Roman" w:cs="Times New Roman"/>
          <w:sz w:val="24"/>
          <w:szCs w:val="24"/>
        </w:rPr>
        <w:t>(P&lt;0.05).</w:t>
      </w:r>
      <w:r w:rsidR="00345F40" w:rsidRPr="00110EBE">
        <w:rPr>
          <w:rFonts w:ascii="Times New Roman" w:hAnsi="Times New Roman" w:cs="Times New Roman"/>
          <w:sz w:val="24"/>
          <w:szCs w:val="24"/>
        </w:rPr>
        <w:t xml:space="preserve"> </w:t>
      </w:r>
    </w:p>
    <w:p w14:paraId="7BB8D0AF" w14:textId="1F204C41" w:rsidR="00D55F38" w:rsidRPr="00110EBE" w:rsidRDefault="00D55F38" w:rsidP="00D55F38">
      <w:pPr>
        <w:spacing w:line="240" w:lineRule="auto"/>
        <w:jc w:val="both"/>
        <w:rPr>
          <w:rFonts w:ascii="Times New Roman" w:hAnsi="Times New Roman" w:cs="Times New Roman"/>
          <w:b/>
          <w:bCs/>
          <w:sz w:val="24"/>
          <w:szCs w:val="24"/>
          <w:shd w:val="clear" w:color="auto" w:fill="FFFFFF"/>
        </w:rPr>
      </w:pPr>
      <w:r w:rsidRPr="00110EBE">
        <w:rPr>
          <w:rFonts w:ascii="Times New Roman" w:hAnsi="Times New Roman" w:cs="Times New Roman"/>
          <w:b/>
          <w:bCs/>
          <w:sz w:val="24"/>
          <w:szCs w:val="24"/>
          <w:shd w:val="clear" w:color="auto" w:fill="FFFFFF"/>
        </w:rPr>
        <w:t xml:space="preserve">Results: </w:t>
      </w:r>
      <w:r w:rsidR="00110EBE" w:rsidRPr="00110EBE">
        <w:rPr>
          <w:rFonts w:ascii="Times New Roman" w:hAnsi="Times New Roman" w:cs="Times New Roman"/>
          <w:sz w:val="24"/>
          <w:szCs w:val="24"/>
        </w:rPr>
        <w:t xml:space="preserve">The results revealed significantly elevated levels of total bilirubin (241.3 ± 108.5 µmol/L vs. 124.5 ± 35.1 µmol/L), direct bilirubin (80.2 ± 83.2 µmol/L vs. 33.2 ± 9.2 µmol/L), ALP (528.8 ± 385.5 IU/L vs. 231.4 ± 96.5 IU/L), AST (119.1 ± 222.7 IU/L vs. 21.7 ± 3.7 IU/L), ALT (107.4 ± 214.3 IU/L vs. 19.0 ± 4.3 IU/L), and LDH (722.2 ± 181.2 IU/L vs. 473.3 ± 174.0 IU/L) </w:t>
      </w:r>
      <w:r w:rsidR="007F5856" w:rsidRPr="00110EBE">
        <w:rPr>
          <w:rFonts w:ascii="Times New Roman" w:hAnsi="Times New Roman" w:cs="Times New Roman"/>
          <w:sz w:val="24"/>
          <w:szCs w:val="24"/>
        </w:rPr>
        <w:t>in neonates</w:t>
      </w:r>
      <w:r w:rsidR="00110EBE" w:rsidRPr="00110EBE">
        <w:rPr>
          <w:rFonts w:ascii="Times New Roman" w:hAnsi="Times New Roman" w:cs="Times New Roman"/>
          <w:sz w:val="24"/>
          <w:szCs w:val="24"/>
        </w:rPr>
        <w:t xml:space="preserve"> </w:t>
      </w:r>
      <w:r w:rsidR="007F5856">
        <w:rPr>
          <w:rFonts w:ascii="Times New Roman" w:hAnsi="Times New Roman" w:cs="Times New Roman"/>
          <w:sz w:val="24"/>
          <w:szCs w:val="24"/>
        </w:rPr>
        <w:t xml:space="preserve">with jaundice </w:t>
      </w:r>
      <w:r w:rsidR="00110EBE" w:rsidRPr="00110EBE">
        <w:rPr>
          <w:rFonts w:ascii="Times New Roman" w:hAnsi="Times New Roman" w:cs="Times New Roman"/>
          <w:sz w:val="24"/>
          <w:szCs w:val="24"/>
        </w:rPr>
        <w:t>compared with controls (</w:t>
      </w:r>
      <w:r w:rsidR="00205211" w:rsidRPr="00205211">
        <w:rPr>
          <w:rFonts w:ascii="Times New Roman" w:hAnsi="Times New Roman" w:cs="Times New Roman"/>
          <w:i/>
          <w:iCs/>
          <w:sz w:val="24"/>
          <w:szCs w:val="24"/>
        </w:rPr>
        <w:t>P</w:t>
      </w:r>
      <w:r w:rsidR="00110EBE" w:rsidRPr="00110EBE">
        <w:rPr>
          <w:rFonts w:ascii="Times New Roman" w:hAnsi="Times New Roman" w:cs="Times New Roman"/>
          <w:sz w:val="24"/>
          <w:szCs w:val="24"/>
        </w:rPr>
        <w:t xml:space="preserve"> &lt; 0.0</w:t>
      </w:r>
      <w:r w:rsidR="00205211">
        <w:rPr>
          <w:rFonts w:ascii="Times New Roman" w:hAnsi="Times New Roman" w:cs="Times New Roman"/>
          <w:sz w:val="24"/>
          <w:szCs w:val="24"/>
        </w:rPr>
        <w:t>5</w:t>
      </w:r>
      <w:r w:rsidR="00110EBE" w:rsidRPr="00110EBE">
        <w:rPr>
          <w:rFonts w:ascii="Times New Roman" w:hAnsi="Times New Roman" w:cs="Times New Roman"/>
          <w:sz w:val="24"/>
          <w:szCs w:val="24"/>
        </w:rPr>
        <w:t>). Strong correlations were observed between bilirubin and LDH (r = 0.68) and between AST and LDH (r = 0.61), highlighting the interplay of haemolysis and hepatic stress. Biochemical derangements were most pronounced within the first five days of life, after which values gradually declined, reflecting the natural course of disease and response</w:t>
      </w:r>
      <w:r w:rsidR="00224FDD">
        <w:rPr>
          <w:rFonts w:ascii="Times New Roman" w:hAnsi="Times New Roman" w:cs="Times New Roman"/>
          <w:sz w:val="24"/>
          <w:szCs w:val="24"/>
        </w:rPr>
        <w:t xml:space="preserve"> to treatment</w:t>
      </w:r>
      <w:r w:rsidR="00110EBE" w:rsidRPr="00110EBE">
        <w:rPr>
          <w:rFonts w:ascii="Times New Roman" w:hAnsi="Times New Roman" w:cs="Times New Roman"/>
          <w:sz w:val="24"/>
          <w:szCs w:val="24"/>
        </w:rPr>
        <w:t>.</w:t>
      </w:r>
    </w:p>
    <w:p w14:paraId="793536FB" w14:textId="7BF38361" w:rsidR="00110EBE" w:rsidRPr="00110EBE" w:rsidRDefault="00D55F38" w:rsidP="00110EBE">
      <w:pPr>
        <w:spacing w:line="240" w:lineRule="auto"/>
        <w:jc w:val="both"/>
        <w:rPr>
          <w:rFonts w:ascii="Times New Roman" w:hAnsi="Times New Roman" w:cs="Times New Roman"/>
          <w:sz w:val="24"/>
          <w:szCs w:val="24"/>
        </w:rPr>
      </w:pPr>
      <w:r w:rsidRPr="00110EBE">
        <w:rPr>
          <w:rFonts w:ascii="Times New Roman" w:hAnsi="Times New Roman" w:cs="Times New Roman"/>
          <w:b/>
          <w:bCs/>
          <w:sz w:val="24"/>
          <w:szCs w:val="24"/>
          <w:shd w:val="clear" w:color="auto" w:fill="FFFFFF"/>
        </w:rPr>
        <w:t xml:space="preserve">Conclusion: </w:t>
      </w:r>
      <w:r w:rsidRPr="00110EBE">
        <w:rPr>
          <w:rFonts w:ascii="Times New Roman" w:hAnsi="Times New Roman" w:cs="Times New Roman"/>
          <w:sz w:val="24"/>
          <w:szCs w:val="24"/>
        </w:rPr>
        <w:t>Th</w:t>
      </w:r>
      <w:r w:rsidR="00110EBE" w:rsidRPr="00110EBE">
        <w:rPr>
          <w:rFonts w:ascii="Times New Roman" w:hAnsi="Times New Roman" w:cs="Times New Roman"/>
          <w:sz w:val="24"/>
          <w:szCs w:val="24"/>
        </w:rPr>
        <w:t>e</w:t>
      </w:r>
      <w:r w:rsidRPr="00110EBE">
        <w:rPr>
          <w:rFonts w:ascii="Times New Roman" w:hAnsi="Times New Roman" w:cs="Times New Roman"/>
          <w:sz w:val="24"/>
          <w:szCs w:val="24"/>
        </w:rPr>
        <w:t xml:space="preserve"> elevated levels </w:t>
      </w:r>
      <w:r w:rsidR="00110EBE" w:rsidRPr="00110EBE">
        <w:rPr>
          <w:rFonts w:ascii="Times New Roman" w:hAnsi="Times New Roman" w:cs="Times New Roman"/>
          <w:sz w:val="24"/>
          <w:szCs w:val="24"/>
        </w:rPr>
        <w:t xml:space="preserve">of bilirubin, liver enzymes and lactate dehydrogenase in this study </w:t>
      </w:r>
      <w:r w:rsidR="00224FDD">
        <w:rPr>
          <w:rFonts w:ascii="Times New Roman" w:hAnsi="Times New Roman" w:cs="Times New Roman"/>
          <w:sz w:val="24"/>
          <w:szCs w:val="24"/>
        </w:rPr>
        <w:t>are</w:t>
      </w:r>
      <w:r w:rsidR="00110EBE" w:rsidRPr="00110EBE">
        <w:rPr>
          <w:rFonts w:ascii="Times New Roman" w:hAnsi="Times New Roman" w:cs="Times New Roman"/>
          <w:sz w:val="24"/>
          <w:szCs w:val="24"/>
        </w:rPr>
        <w:t xml:space="preserve"> significant. It provides region-specific evidence that </w:t>
      </w:r>
      <w:r w:rsidR="00224FDD">
        <w:rPr>
          <w:rFonts w:ascii="Times New Roman" w:hAnsi="Times New Roman" w:cs="Times New Roman"/>
          <w:sz w:val="24"/>
          <w:szCs w:val="24"/>
        </w:rPr>
        <w:t>they</w:t>
      </w:r>
      <w:r w:rsidR="007F5856">
        <w:rPr>
          <w:rFonts w:ascii="Times New Roman" w:hAnsi="Times New Roman" w:cs="Times New Roman"/>
          <w:sz w:val="24"/>
          <w:szCs w:val="24"/>
        </w:rPr>
        <w:t xml:space="preserve"> </w:t>
      </w:r>
      <w:r w:rsidR="00110EBE" w:rsidRPr="00110EBE">
        <w:rPr>
          <w:rFonts w:ascii="Times New Roman" w:hAnsi="Times New Roman" w:cs="Times New Roman"/>
          <w:sz w:val="24"/>
          <w:szCs w:val="24"/>
        </w:rPr>
        <w:t xml:space="preserve">are reliable diagnostic and prognostic biomarkers </w:t>
      </w:r>
      <w:r w:rsidR="007F5856" w:rsidRPr="00110EBE">
        <w:rPr>
          <w:rFonts w:ascii="Times New Roman" w:hAnsi="Times New Roman" w:cs="Times New Roman"/>
          <w:sz w:val="24"/>
          <w:szCs w:val="24"/>
        </w:rPr>
        <w:t>for</w:t>
      </w:r>
      <w:r w:rsidR="007F5856">
        <w:rPr>
          <w:rFonts w:ascii="Times New Roman" w:hAnsi="Times New Roman" w:cs="Times New Roman"/>
          <w:sz w:val="24"/>
          <w:szCs w:val="24"/>
        </w:rPr>
        <w:t xml:space="preserve"> </w:t>
      </w:r>
      <w:r w:rsidR="007F5856" w:rsidRPr="00110EBE">
        <w:rPr>
          <w:rFonts w:ascii="Times New Roman" w:hAnsi="Times New Roman" w:cs="Times New Roman"/>
          <w:sz w:val="24"/>
          <w:szCs w:val="24"/>
        </w:rPr>
        <w:t>jaundice in</w:t>
      </w:r>
      <w:r w:rsidR="00110EBE" w:rsidRPr="00110EBE">
        <w:rPr>
          <w:rFonts w:ascii="Times New Roman" w:hAnsi="Times New Roman" w:cs="Times New Roman"/>
          <w:sz w:val="24"/>
          <w:szCs w:val="24"/>
        </w:rPr>
        <w:t xml:space="preserve"> resource-limited settings. It underscores the critical need for </w:t>
      </w:r>
      <w:r w:rsidR="00110EBE" w:rsidRPr="00110EBE">
        <w:rPr>
          <w:rFonts w:ascii="Times New Roman" w:hAnsi="Times New Roman" w:cs="Times New Roman"/>
          <w:sz w:val="24"/>
          <w:szCs w:val="24"/>
        </w:rPr>
        <w:lastRenderedPageBreak/>
        <w:t>early neonatal biochemical monitoring</w:t>
      </w:r>
      <w:r w:rsidR="007F5856">
        <w:rPr>
          <w:rFonts w:ascii="Times New Roman" w:hAnsi="Times New Roman" w:cs="Times New Roman"/>
          <w:sz w:val="24"/>
          <w:szCs w:val="24"/>
        </w:rPr>
        <w:t xml:space="preserve"> and the provision of neonatal care s</w:t>
      </w:r>
      <w:r w:rsidR="006316D7">
        <w:rPr>
          <w:rFonts w:ascii="Times New Roman" w:hAnsi="Times New Roman" w:cs="Times New Roman"/>
          <w:sz w:val="24"/>
          <w:szCs w:val="24"/>
        </w:rPr>
        <w:t>e</w:t>
      </w:r>
      <w:r w:rsidR="007F5856">
        <w:rPr>
          <w:rFonts w:ascii="Times New Roman" w:hAnsi="Times New Roman" w:cs="Times New Roman"/>
          <w:sz w:val="24"/>
          <w:szCs w:val="24"/>
        </w:rPr>
        <w:t>rvices that are accessible and affordable</w:t>
      </w:r>
      <w:r w:rsidR="00110EBE" w:rsidRPr="00110EBE">
        <w:rPr>
          <w:rFonts w:ascii="Times New Roman" w:hAnsi="Times New Roman" w:cs="Times New Roman"/>
          <w:sz w:val="24"/>
          <w:szCs w:val="24"/>
        </w:rPr>
        <w:t xml:space="preserve"> to reduce </w:t>
      </w:r>
      <w:r w:rsidR="006316D7">
        <w:rPr>
          <w:rFonts w:ascii="Times New Roman" w:hAnsi="Times New Roman" w:cs="Times New Roman"/>
          <w:sz w:val="24"/>
          <w:szCs w:val="24"/>
        </w:rPr>
        <w:t xml:space="preserve">the </w:t>
      </w:r>
      <w:r w:rsidR="00110EBE" w:rsidRPr="00110EBE">
        <w:rPr>
          <w:rFonts w:ascii="Times New Roman" w:hAnsi="Times New Roman" w:cs="Times New Roman"/>
          <w:sz w:val="24"/>
          <w:szCs w:val="24"/>
        </w:rPr>
        <w:t xml:space="preserve">preventable morbidity and mortality associated with the disease. </w:t>
      </w:r>
    </w:p>
    <w:p w14:paraId="700CDFAF" w14:textId="1D69A1EB" w:rsidR="0097211B" w:rsidRPr="00846615" w:rsidRDefault="00D55F38" w:rsidP="00846615">
      <w:pPr>
        <w:spacing w:line="240" w:lineRule="auto"/>
        <w:jc w:val="both"/>
        <w:rPr>
          <w:rFonts w:ascii="Times New Roman" w:hAnsi="Times New Roman" w:cs="Times New Roman"/>
          <w:b/>
          <w:bCs/>
          <w:sz w:val="24"/>
          <w:szCs w:val="24"/>
        </w:rPr>
      </w:pPr>
      <w:r w:rsidRPr="00A07CA7">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16D7">
        <w:rPr>
          <w:rFonts w:ascii="Times New Roman" w:hAnsi="Times New Roman" w:cs="Times New Roman"/>
          <w:sz w:val="24"/>
          <w:szCs w:val="24"/>
        </w:rPr>
        <w:t xml:space="preserve">Bilirubin; </w:t>
      </w:r>
      <w:r w:rsidR="006316D7" w:rsidRPr="00110EBE">
        <w:rPr>
          <w:rFonts w:ascii="Times New Roman" w:hAnsi="Times New Roman" w:cs="Times New Roman"/>
          <w:sz w:val="24"/>
          <w:szCs w:val="24"/>
        </w:rPr>
        <w:t>lactate dehydrogenase</w:t>
      </w:r>
      <w:r w:rsidR="006316D7">
        <w:rPr>
          <w:rFonts w:ascii="Times New Roman" w:hAnsi="Times New Roman" w:cs="Times New Roman"/>
          <w:sz w:val="24"/>
          <w:szCs w:val="24"/>
        </w:rPr>
        <w:t xml:space="preserve">; liver enzymes; Jaundice; Keffi and </w:t>
      </w:r>
      <w:r w:rsidR="000D0F51">
        <w:rPr>
          <w:rFonts w:ascii="Times New Roman" w:hAnsi="Times New Roman" w:cs="Times New Roman"/>
          <w:sz w:val="24"/>
          <w:szCs w:val="24"/>
        </w:rPr>
        <w:t>neonates</w:t>
      </w:r>
      <w:r w:rsidR="006316D7">
        <w:rPr>
          <w:rFonts w:ascii="Times New Roman" w:hAnsi="Times New Roman" w:cs="Times New Roman"/>
          <w:sz w:val="24"/>
          <w:szCs w:val="24"/>
        </w:rPr>
        <w:t>.</w:t>
      </w:r>
    </w:p>
    <w:p w14:paraId="0EEC2C5B" w14:textId="156E4679" w:rsidR="0097211B" w:rsidRDefault="0097211B" w:rsidP="00D55F38">
      <w:pPr>
        <w:spacing w:line="360" w:lineRule="auto"/>
        <w:jc w:val="both"/>
        <w:rPr>
          <w:rFonts w:ascii="Times New Roman" w:hAnsi="Times New Roman" w:cs="Times New Roman"/>
          <w:sz w:val="24"/>
          <w:szCs w:val="24"/>
        </w:rPr>
      </w:pPr>
    </w:p>
    <w:p w14:paraId="42925843" w14:textId="37C89255" w:rsidR="0097211B" w:rsidRDefault="0097211B" w:rsidP="00224FDD">
      <w:pPr>
        <w:spacing w:line="240" w:lineRule="auto"/>
        <w:jc w:val="both"/>
        <w:rPr>
          <w:rFonts w:ascii="Times New Roman" w:hAnsi="Times New Roman" w:cs="Times New Roman"/>
          <w:b/>
          <w:bCs/>
          <w:sz w:val="24"/>
          <w:szCs w:val="24"/>
        </w:rPr>
      </w:pPr>
      <w:r w:rsidRPr="001A6777">
        <w:rPr>
          <w:rFonts w:ascii="Times New Roman" w:hAnsi="Times New Roman" w:cs="Times New Roman"/>
          <w:b/>
          <w:bCs/>
          <w:sz w:val="24"/>
          <w:szCs w:val="24"/>
        </w:rPr>
        <w:t>Introduction</w:t>
      </w:r>
    </w:p>
    <w:p w14:paraId="2DD7EDD6" w14:textId="77777777" w:rsidR="006A42D2" w:rsidRPr="006A42D2" w:rsidRDefault="006A42D2" w:rsidP="00224FDD">
      <w:pPr>
        <w:autoSpaceDE w:val="0"/>
        <w:autoSpaceDN w:val="0"/>
        <w:adjustRightInd w:val="0"/>
        <w:spacing w:after="0" w:line="240" w:lineRule="auto"/>
        <w:rPr>
          <w:rFonts w:ascii="Charis SIL" w:hAnsi="Charis SIL" w:cs="Charis SIL"/>
          <w:color w:val="000000"/>
          <w:sz w:val="24"/>
          <w:szCs w:val="24"/>
        </w:rPr>
      </w:pPr>
    </w:p>
    <w:p w14:paraId="1BFC3B01" w14:textId="4BA2FAB5" w:rsidR="008D0F90" w:rsidRDefault="006A42D2" w:rsidP="00224FDD">
      <w:pPr>
        <w:spacing w:line="24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000000"/>
          <w:sz w:val="24"/>
          <w:szCs w:val="24"/>
        </w:rPr>
        <w:t>H</w:t>
      </w:r>
      <w:r w:rsidRPr="006A42D2">
        <w:rPr>
          <w:rFonts w:ascii="Times New Roman" w:hAnsi="Times New Roman" w:cs="Times New Roman"/>
          <w:color w:val="000000"/>
          <w:sz w:val="24"/>
          <w:szCs w:val="24"/>
        </w:rPr>
        <w:t>yperbilirubinemia</w:t>
      </w:r>
      <w:r>
        <w:rPr>
          <w:rFonts w:ascii="Times New Roman" w:hAnsi="Times New Roman" w:cs="Times New Roman"/>
          <w:color w:val="000000"/>
          <w:sz w:val="24"/>
          <w:szCs w:val="24"/>
        </w:rPr>
        <w:t xml:space="preserve"> in neonates</w:t>
      </w:r>
      <w:r w:rsidRPr="006A42D2">
        <w:rPr>
          <w:rFonts w:ascii="Times New Roman" w:hAnsi="Times New Roman" w:cs="Times New Roman"/>
          <w:color w:val="000000"/>
          <w:sz w:val="24"/>
          <w:szCs w:val="24"/>
        </w:rPr>
        <w:t xml:space="preserve">, also known as jaundice, is a common condition in the neonatal period </w:t>
      </w:r>
      <w:r>
        <w:rPr>
          <w:rFonts w:ascii="Times New Roman" w:hAnsi="Times New Roman" w:cs="Times New Roman"/>
          <w:color w:val="000000"/>
          <w:sz w:val="24"/>
          <w:szCs w:val="24"/>
        </w:rPr>
        <w:t>resulting from</w:t>
      </w:r>
      <w:r w:rsidRPr="006A42D2">
        <w:rPr>
          <w:rFonts w:ascii="Times New Roman" w:hAnsi="Times New Roman" w:cs="Times New Roman"/>
          <w:color w:val="000000"/>
          <w:sz w:val="24"/>
          <w:szCs w:val="24"/>
        </w:rPr>
        <w:t xml:space="preserve"> the adaptation of bilirubin metabolism that occurs during this </w:t>
      </w:r>
      <w:r>
        <w:rPr>
          <w:rFonts w:ascii="Times New Roman" w:hAnsi="Times New Roman" w:cs="Times New Roman"/>
          <w:color w:val="000000"/>
          <w:sz w:val="24"/>
          <w:szCs w:val="24"/>
        </w:rPr>
        <w:t>phase of life (</w:t>
      </w:r>
      <w:r w:rsidR="0091218E">
        <w:rPr>
          <w:rFonts w:ascii="Times New Roman" w:hAnsi="Times New Roman" w:cs="Times New Roman"/>
          <w:color w:val="000000"/>
          <w:sz w:val="24"/>
          <w:szCs w:val="24"/>
        </w:rPr>
        <w:t>Okulu, 2024</w:t>
      </w:r>
      <w:r>
        <w:rPr>
          <w:rFonts w:ascii="Times New Roman" w:hAnsi="Times New Roman" w:cs="Times New Roman"/>
          <w:color w:val="000000"/>
          <w:sz w:val="24"/>
          <w:szCs w:val="24"/>
        </w:rPr>
        <w:t>).</w:t>
      </w:r>
      <w:r w:rsidRPr="006A42D2">
        <w:rPr>
          <w:rFonts w:ascii="Times New Roman" w:hAnsi="Times New Roman" w:cs="Times New Roman"/>
          <w:color w:val="000000"/>
          <w:sz w:val="24"/>
          <w:szCs w:val="24"/>
        </w:rPr>
        <w:t xml:space="preserve"> </w:t>
      </w:r>
      <w:r w:rsidR="0091218E">
        <w:rPr>
          <w:rFonts w:ascii="Times New Roman" w:hAnsi="Times New Roman" w:cs="Times New Roman"/>
          <w:sz w:val="24"/>
          <w:szCs w:val="24"/>
        </w:rPr>
        <w:t xml:space="preserve">Although the condition </w:t>
      </w:r>
      <w:r w:rsidR="0091218E" w:rsidRPr="009A780C">
        <w:rPr>
          <w:rFonts w:ascii="Times New Roman" w:hAnsi="Times New Roman" w:cs="Times New Roman"/>
          <w:sz w:val="24"/>
          <w:szCs w:val="24"/>
        </w:rPr>
        <w:t>is often harmless,</w:t>
      </w:r>
      <w:r w:rsidR="0091218E">
        <w:rPr>
          <w:rFonts w:ascii="Times New Roman" w:hAnsi="Times New Roman" w:cs="Times New Roman"/>
          <w:sz w:val="24"/>
          <w:szCs w:val="24"/>
        </w:rPr>
        <w:t xml:space="preserve"> </w:t>
      </w:r>
      <w:r w:rsidR="0091218E" w:rsidRPr="009A780C">
        <w:rPr>
          <w:rFonts w:ascii="Times New Roman" w:hAnsi="Times New Roman" w:cs="Times New Roman"/>
          <w:sz w:val="24"/>
          <w:szCs w:val="24"/>
        </w:rPr>
        <w:t>acute bilirubin encephalopathy and kernicterus</w:t>
      </w:r>
      <w:r w:rsidR="0091218E">
        <w:rPr>
          <w:rFonts w:ascii="Times New Roman" w:hAnsi="Times New Roman" w:cs="Times New Roman"/>
          <w:sz w:val="24"/>
          <w:szCs w:val="24"/>
        </w:rPr>
        <w:t xml:space="preserve"> could result </w:t>
      </w:r>
      <w:r w:rsidR="00274333">
        <w:rPr>
          <w:rFonts w:ascii="Times New Roman" w:hAnsi="Times New Roman" w:cs="Times New Roman"/>
          <w:sz w:val="24"/>
          <w:szCs w:val="24"/>
        </w:rPr>
        <w:t>in</w:t>
      </w:r>
      <w:r w:rsidR="0091218E">
        <w:rPr>
          <w:rFonts w:ascii="Times New Roman" w:hAnsi="Times New Roman" w:cs="Times New Roman"/>
          <w:sz w:val="24"/>
          <w:szCs w:val="24"/>
        </w:rPr>
        <w:t xml:space="preserve"> neurological damage and may be fatal if left untreated or not properly managed (</w:t>
      </w:r>
      <w:r w:rsidR="00BE0623">
        <w:rPr>
          <w:rFonts w:ascii="Times New Roman" w:hAnsi="Times New Roman" w:cs="Times New Roman"/>
          <w:sz w:val="24"/>
          <w:szCs w:val="24"/>
        </w:rPr>
        <w:t xml:space="preserve">Usman </w:t>
      </w:r>
      <w:r w:rsidR="00BE0623" w:rsidRPr="00543740">
        <w:rPr>
          <w:rFonts w:ascii="Times New Roman" w:hAnsi="Times New Roman" w:cs="Times New Roman"/>
          <w:i/>
          <w:iCs/>
          <w:sz w:val="24"/>
          <w:szCs w:val="24"/>
        </w:rPr>
        <w:t>et al</w:t>
      </w:r>
      <w:r w:rsidR="00BE0623">
        <w:rPr>
          <w:rFonts w:ascii="Times New Roman" w:hAnsi="Times New Roman" w:cs="Times New Roman"/>
          <w:sz w:val="24"/>
          <w:szCs w:val="24"/>
        </w:rPr>
        <w:t xml:space="preserve">., 2018; Rathore, 2019; Karimzadeh </w:t>
      </w:r>
      <w:r w:rsidR="00BE0623" w:rsidRPr="00BE0623">
        <w:rPr>
          <w:rFonts w:ascii="Times New Roman" w:hAnsi="Times New Roman" w:cs="Times New Roman"/>
          <w:i/>
          <w:iCs/>
          <w:sz w:val="24"/>
          <w:szCs w:val="24"/>
        </w:rPr>
        <w:t>et a</w:t>
      </w:r>
      <w:r w:rsidR="00BE0623">
        <w:rPr>
          <w:rFonts w:ascii="Times New Roman" w:hAnsi="Times New Roman" w:cs="Times New Roman"/>
          <w:sz w:val="24"/>
          <w:szCs w:val="24"/>
        </w:rPr>
        <w:t>l., 2020</w:t>
      </w:r>
      <w:r w:rsidR="0091218E">
        <w:rPr>
          <w:rFonts w:ascii="Times New Roman" w:hAnsi="Times New Roman" w:cs="Times New Roman"/>
          <w:sz w:val="24"/>
          <w:szCs w:val="24"/>
        </w:rPr>
        <w:t>).</w:t>
      </w:r>
      <w:r w:rsidR="00274333">
        <w:rPr>
          <w:rFonts w:ascii="Times New Roman" w:hAnsi="Times New Roman" w:cs="Times New Roman"/>
          <w:sz w:val="24"/>
          <w:szCs w:val="24"/>
        </w:rPr>
        <w:t xml:space="preserve"> </w:t>
      </w:r>
      <w:r w:rsidR="008D0F90" w:rsidRPr="008D0F90">
        <w:rPr>
          <w:rFonts w:ascii="Times New Roman" w:hAnsi="Times New Roman" w:cs="Times New Roman"/>
          <w:color w:val="222222"/>
          <w:sz w:val="24"/>
          <w:szCs w:val="24"/>
          <w:shd w:val="clear" w:color="auto" w:fill="FFFFFF"/>
        </w:rPr>
        <w:t>Jaundice is caused by increased serum bilirubin levels that accumulate in tissues, resulting from the destruction of red blood cells (RBCs). Bilirubin, in its indirect, unconjugated form, is transported in the circulation bound to serum albumin, resulting in a visible yellowish colouration of the skin and eyes</w:t>
      </w:r>
      <w:r w:rsidR="008D0F90">
        <w:t xml:space="preserve"> (</w:t>
      </w:r>
      <w:r w:rsidR="008D0F90">
        <w:rPr>
          <w:rFonts w:ascii="Times New Roman" w:hAnsi="Times New Roman" w:cs="Times New Roman"/>
          <w:sz w:val="24"/>
          <w:szCs w:val="24"/>
        </w:rPr>
        <w:t xml:space="preserve">Hansen </w:t>
      </w:r>
      <w:r w:rsidR="008D0F90" w:rsidRPr="00E122C5">
        <w:rPr>
          <w:rFonts w:ascii="Times New Roman" w:hAnsi="Times New Roman" w:cs="Times New Roman"/>
          <w:i/>
          <w:iCs/>
          <w:sz w:val="24"/>
          <w:szCs w:val="24"/>
        </w:rPr>
        <w:t>et al</w:t>
      </w:r>
      <w:r w:rsidR="008D0F90">
        <w:rPr>
          <w:rFonts w:ascii="Times New Roman" w:hAnsi="Times New Roman" w:cs="Times New Roman"/>
          <w:sz w:val="24"/>
          <w:szCs w:val="24"/>
        </w:rPr>
        <w:t xml:space="preserve">., 2020; </w:t>
      </w:r>
      <w:r w:rsidR="008D0F90">
        <w:rPr>
          <w:rFonts w:ascii="Times New Roman" w:eastAsia="Times New Roman" w:hAnsi="Times New Roman" w:cs="Times New Roman"/>
          <w:sz w:val="24"/>
          <w:szCs w:val="24"/>
        </w:rPr>
        <w:t xml:space="preserve">Etukudoh </w:t>
      </w:r>
      <w:r w:rsidR="008D0F90" w:rsidRPr="00711552">
        <w:rPr>
          <w:rFonts w:ascii="Times New Roman" w:eastAsia="Times New Roman" w:hAnsi="Times New Roman" w:cs="Times New Roman"/>
          <w:i/>
          <w:iCs/>
          <w:sz w:val="24"/>
          <w:szCs w:val="24"/>
        </w:rPr>
        <w:t>et al</w:t>
      </w:r>
      <w:r w:rsidR="008D0F90">
        <w:rPr>
          <w:rFonts w:ascii="Times New Roman" w:eastAsia="Times New Roman" w:hAnsi="Times New Roman" w:cs="Times New Roman"/>
          <w:sz w:val="24"/>
          <w:szCs w:val="24"/>
        </w:rPr>
        <w:t>., 2023</w:t>
      </w:r>
      <w:r w:rsidR="00F740C7">
        <w:rPr>
          <w:rFonts w:ascii="Times New Roman" w:eastAsia="Times New Roman" w:hAnsi="Times New Roman" w:cs="Times New Roman"/>
          <w:sz w:val="24"/>
          <w:szCs w:val="24"/>
        </w:rPr>
        <w:t>; Verma &amp; Singhal, 2024)</w:t>
      </w:r>
      <w:r w:rsidR="008D0F90">
        <w:rPr>
          <w:rFonts w:ascii="Times New Roman" w:hAnsi="Times New Roman" w:cs="Times New Roman"/>
          <w:color w:val="222222"/>
          <w:sz w:val="24"/>
          <w:szCs w:val="24"/>
          <w:shd w:val="clear" w:color="auto" w:fill="FFFFFF"/>
        </w:rPr>
        <w:t xml:space="preserve">. </w:t>
      </w:r>
      <w:r w:rsidR="008D0F90">
        <w:rPr>
          <w:rFonts w:ascii="Times New Roman" w:hAnsi="Times New Roman" w:cs="Times New Roman"/>
          <w:color w:val="000000"/>
          <w:sz w:val="24"/>
          <w:szCs w:val="24"/>
          <w:shd w:val="clear" w:color="auto" w:fill="FFFFFF"/>
        </w:rPr>
        <w:t xml:space="preserve">Slusher </w:t>
      </w:r>
      <w:r w:rsidR="008D0F90">
        <w:rPr>
          <w:rFonts w:ascii="Times New Roman" w:hAnsi="Times New Roman" w:cs="Times New Roman"/>
          <w:i/>
          <w:iCs/>
          <w:color w:val="000000"/>
          <w:sz w:val="24"/>
          <w:szCs w:val="24"/>
          <w:shd w:val="clear" w:color="auto" w:fill="FFFFFF"/>
        </w:rPr>
        <w:t>et al</w:t>
      </w:r>
      <w:r w:rsidR="008D0F90">
        <w:rPr>
          <w:rFonts w:ascii="Times New Roman" w:hAnsi="Times New Roman" w:cs="Times New Roman"/>
          <w:color w:val="000000"/>
          <w:sz w:val="24"/>
          <w:szCs w:val="24"/>
          <w:shd w:val="clear" w:color="auto" w:fill="FFFFFF"/>
        </w:rPr>
        <w:t>. (2011) reported that 667.8 per 100,000 live births in the African region, 251.3 per 100,000 live births in Southeast Asia and 3.7 per 100,000 live births in Europe</w:t>
      </w:r>
      <w:r w:rsidR="008D0F90">
        <w:t xml:space="preserve"> </w:t>
      </w:r>
      <w:r w:rsidR="008D0F90" w:rsidRPr="008D0F90">
        <w:rPr>
          <w:rFonts w:ascii="Times New Roman" w:hAnsi="Times New Roman" w:cs="Times New Roman"/>
          <w:sz w:val="24"/>
          <w:szCs w:val="24"/>
        </w:rPr>
        <w:t>experience severe neonatal jaundice.</w:t>
      </w:r>
      <w:r w:rsidR="008D0F90">
        <w:rPr>
          <w:rFonts w:ascii="Times New Roman" w:hAnsi="Times New Roman" w:cs="Times New Roman"/>
          <w:sz w:val="24"/>
          <w:szCs w:val="24"/>
        </w:rPr>
        <w:t xml:space="preserve"> More recently, </w:t>
      </w:r>
      <w:r w:rsidR="008D0F90">
        <w:rPr>
          <w:rFonts w:ascii="Times New Roman" w:hAnsi="Times New Roman" w:cs="Times New Roman"/>
          <w:color w:val="212121"/>
          <w:sz w:val="24"/>
          <w:szCs w:val="24"/>
          <w:shd w:val="clear" w:color="auto" w:fill="FFFFFF"/>
        </w:rPr>
        <w:t>i</w:t>
      </w:r>
      <w:r w:rsidR="00552833" w:rsidRPr="00552833">
        <w:rPr>
          <w:rFonts w:ascii="Times New Roman" w:hAnsi="Times New Roman" w:cs="Times New Roman"/>
          <w:color w:val="1B1B1B"/>
          <w:sz w:val="24"/>
          <w:szCs w:val="24"/>
          <w:shd w:val="clear" w:color="auto" w:fill="FFFFFF"/>
        </w:rPr>
        <w:t>n a meta-analysis involving 84 articles</w:t>
      </w:r>
      <w:r w:rsidR="00552833">
        <w:rPr>
          <w:rFonts w:ascii="Times New Roman" w:hAnsi="Times New Roman" w:cs="Times New Roman"/>
          <w:color w:val="1B1B1B"/>
          <w:sz w:val="24"/>
          <w:szCs w:val="24"/>
          <w:shd w:val="clear" w:color="auto" w:fill="FFFFFF"/>
        </w:rPr>
        <w:t>,</w:t>
      </w:r>
      <w:r w:rsidR="00552833" w:rsidRPr="00552833">
        <w:rPr>
          <w:rFonts w:ascii="Times New Roman" w:hAnsi="Times New Roman" w:cs="Times New Roman"/>
          <w:color w:val="1B1B1B"/>
          <w:sz w:val="24"/>
          <w:szCs w:val="24"/>
          <w:shd w:val="clear" w:color="auto" w:fill="FFFFFF"/>
        </w:rPr>
        <w:t xml:space="preserve"> Diala </w:t>
      </w:r>
      <w:r w:rsidR="00552833" w:rsidRPr="00552833">
        <w:rPr>
          <w:rFonts w:ascii="Times New Roman" w:hAnsi="Times New Roman" w:cs="Times New Roman"/>
          <w:i/>
          <w:iCs/>
          <w:color w:val="1B1B1B"/>
          <w:sz w:val="24"/>
          <w:szCs w:val="24"/>
          <w:shd w:val="clear" w:color="auto" w:fill="FFFFFF"/>
        </w:rPr>
        <w:t>et al</w:t>
      </w:r>
      <w:r w:rsidR="00552833" w:rsidRPr="00552833">
        <w:rPr>
          <w:rFonts w:ascii="Times New Roman" w:hAnsi="Times New Roman" w:cs="Times New Roman"/>
          <w:color w:val="1B1B1B"/>
          <w:sz w:val="24"/>
          <w:szCs w:val="24"/>
          <w:shd w:val="clear" w:color="auto" w:fill="FFFFFF"/>
        </w:rPr>
        <w:t>. (2023) reported that 64 (76.19%) were from low- and lower-middle-income countries, and 14.26% of the studied neonates with jaundice in these studies had severe neonatal jaundice.</w:t>
      </w:r>
      <w:r w:rsidR="00552833">
        <w:rPr>
          <w:rFonts w:ascii="Times New Roman" w:hAnsi="Times New Roman" w:cs="Times New Roman"/>
          <w:color w:val="1B1B1B"/>
          <w:sz w:val="24"/>
          <w:szCs w:val="24"/>
          <w:shd w:val="clear" w:color="auto" w:fill="FFFFFF"/>
        </w:rPr>
        <w:t xml:space="preserve"> </w:t>
      </w:r>
      <w:r w:rsidR="00BC36AC">
        <w:rPr>
          <w:rFonts w:ascii="Times New Roman" w:hAnsi="Times New Roman" w:cs="Times New Roman"/>
          <w:color w:val="222222"/>
          <w:sz w:val="24"/>
          <w:szCs w:val="24"/>
          <w:shd w:val="clear" w:color="auto" w:fill="FFFFFF"/>
        </w:rPr>
        <w:t xml:space="preserve">The incidence of neonatal jaundice is not properly documented in </w:t>
      </w:r>
      <w:r w:rsidR="00925017">
        <w:rPr>
          <w:rFonts w:ascii="Times New Roman" w:hAnsi="Times New Roman" w:cs="Times New Roman"/>
          <w:color w:val="222222"/>
          <w:sz w:val="24"/>
          <w:szCs w:val="24"/>
          <w:shd w:val="clear" w:color="auto" w:fill="FFFFFF"/>
        </w:rPr>
        <w:t>resource-sparse regions (</w:t>
      </w:r>
      <w:r w:rsidR="00925017">
        <w:rPr>
          <w:rFonts w:ascii="Times New Roman" w:eastAsia="Times New Roman" w:hAnsi="Times New Roman" w:cs="Times New Roman"/>
          <w:sz w:val="24"/>
          <w:szCs w:val="24"/>
        </w:rPr>
        <w:t xml:space="preserve">Bante </w:t>
      </w:r>
      <w:r w:rsidR="00925017" w:rsidRPr="00925017">
        <w:rPr>
          <w:rFonts w:ascii="Times New Roman" w:eastAsia="Times New Roman" w:hAnsi="Times New Roman" w:cs="Times New Roman"/>
          <w:i/>
          <w:iCs/>
          <w:sz w:val="24"/>
          <w:szCs w:val="24"/>
        </w:rPr>
        <w:t>et al</w:t>
      </w:r>
      <w:r w:rsidR="00925017">
        <w:rPr>
          <w:rFonts w:ascii="Times New Roman" w:eastAsia="Times New Roman" w:hAnsi="Times New Roman" w:cs="Times New Roman"/>
          <w:sz w:val="24"/>
          <w:szCs w:val="24"/>
        </w:rPr>
        <w:t>., 2024</w:t>
      </w:r>
      <w:r w:rsidR="00925017">
        <w:rPr>
          <w:rFonts w:ascii="Times New Roman" w:hAnsi="Times New Roman" w:cs="Times New Roman"/>
          <w:color w:val="222222"/>
          <w:sz w:val="24"/>
          <w:szCs w:val="24"/>
          <w:shd w:val="clear" w:color="auto" w:fill="FFFFFF"/>
        </w:rPr>
        <w:t xml:space="preserve">). </w:t>
      </w:r>
      <w:r w:rsidR="00552833">
        <w:rPr>
          <w:rFonts w:ascii="Times New Roman" w:hAnsi="Times New Roman" w:cs="Times New Roman"/>
          <w:color w:val="222222"/>
          <w:sz w:val="24"/>
          <w:szCs w:val="24"/>
          <w:shd w:val="clear" w:color="auto" w:fill="FFFFFF"/>
        </w:rPr>
        <w:t xml:space="preserve">Nasarawa State is no exception in this regard; however, incidence ranging from 11.7% to </w:t>
      </w:r>
      <w:r w:rsidR="00925017">
        <w:rPr>
          <w:rFonts w:ascii="Times New Roman" w:hAnsi="Times New Roman" w:cs="Times New Roman"/>
          <w:color w:val="222222"/>
          <w:sz w:val="24"/>
          <w:szCs w:val="24"/>
          <w:shd w:val="clear" w:color="auto" w:fill="FFFFFF"/>
        </w:rPr>
        <w:t>40.18</w:t>
      </w:r>
      <w:r w:rsidR="00552833" w:rsidRPr="00925017">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w:t>
      </w:r>
      <w:r w:rsidR="00552833">
        <w:rPr>
          <w:rFonts w:ascii="Times New Roman" w:hAnsi="Times New Roman" w:cs="Times New Roman"/>
          <w:color w:val="222222"/>
          <w:sz w:val="24"/>
          <w:szCs w:val="24"/>
          <w:shd w:val="clear" w:color="auto" w:fill="FFFFFF"/>
        </w:rPr>
        <w:t>has been reported in parts of the country (Mbah</w:t>
      </w:r>
      <w:r w:rsidR="00925017">
        <w:rPr>
          <w:rFonts w:ascii="Times New Roman" w:hAnsi="Times New Roman" w:cs="Times New Roman"/>
          <w:color w:val="222222"/>
          <w:sz w:val="24"/>
          <w:szCs w:val="24"/>
          <w:shd w:val="clear" w:color="auto" w:fill="FFFFFF"/>
        </w:rPr>
        <w:t xml:space="preserve"> </w:t>
      </w:r>
      <w:r w:rsidR="00925017" w:rsidRPr="00552833">
        <w:rPr>
          <w:rFonts w:ascii="Times New Roman" w:hAnsi="Times New Roman" w:cs="Times New Roman"/>
          <w:i/>
          <w:iCs/>
          <w:color w:val="222222"/>
          <w:sz w:val="24"/>
          <w:szCs w:val="24"/>
          <w:shd w:val="clear" w:color="auto" w:fill="FFFFFF"/>
        </w:rPr>
        <w:t>et al</w:t>
      </w:r>
      <w:r w:rsidR="00925017">
        <w:rPr>
          <w:rFonts w:ascii="Times New Roman" w:hAnsi="Times New Roman" w:cs="Times New Roman"/>
          <w:color w:val="222222"/>
          <w:sz w:val="24"/>
          <w:szCs w:val="24"/>
          <w:shd w:val="clear" w:color="auto" w:fill="FFFFFF"/>
        </w:rPr>
        <w:t>., 2022</w:t>
      </w:r>
      <w:r w:rsidR="00552833">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Etukudoh </w:t>
      </w:r>
      <w:r w:rsidR="00925017" w:rsidRPr="00552833">
        <w:rPr>
          <w:rFonts w:ascii="Times New Roman" w:hAnsi="Times New Roman" w:cs="Times New Roman"/>
          <w:i/>
          <w:iCs/>
          <w:color w:val="222222"/>
          <w:sz w:val="24"/>
          <w:szCs w:val="24"/>
          <w:shd w:val="clear" w:color="auto" w:fill="FFFFFF"/>
        </w:rPr>
        <w:t>et al</w:t>
      </w:r>
      <w:r w:rsidR="00552833">
        <w:rPr>
          <w:rFonts w:ascii="Times New Roman" w:hAnsi="Times New Roman" w:cs="Times New Roman"/>
          <w:color w:val="222222"/>
          <w:sz w:val="24"/>
          <w:szCs w:val="24"/>
          <w:shd w:val="clear" w:color="auto" w:fill="FFFFFF"/>
        </w:rPr>
        <w:t>.,</w:t>
      </w:r>
      <w:r w:rsidR="00925017">
        <w:rPr>
          <w:rFonts w:ascii="Times New Roman" w:hAnsi="Times New Roman" w:cs="Times New Roman"/>
          <w:color w:val="222222"/>
          <w:sz w:val="24"/>
          <w:szCs w:val="24"/>
          <w:shd w:val="clear" w:color="auto" w:fill="FFFFFF"/>
        </w:rPr>
        <w:t xml:space="preserve"> 2023</w:t>
      </w:r>
      <w:r w:rsidR="00BC647B">
        <w:rPr>
          <w:rFonts w:ascii="Times New Roman" w:hAnsi="Times New Roman" w:cs="Times New Roman"/>
          <w:color w:val="222222"/>
          <w:sz w:val="24"/>
          <w:szCs w:val="24"/>
          <w:shd w:val="clear" w:color="auto" w:fill="FFFFFF"/>
        </w:rPr>
        <w:t xml:space="preserve">; </w:t>
      </w:r>
      <w:r w:rsidR="00BC647B">
        <w:rPr>
          <w:rFonts w:ascii="Times New Roman" w:hAnsi="Times New Roman" w:cs="Times New Roman"/>
          <w:color w:val="212121"/>
          <w:sz w:val="24"/>
          <w:szCs w:val="24"/>
          <w:shd w:val="clear" w:color="auto" w:fill="FFFFFF"/>
        </w:rPr>
        <w:t xml:space="preserve">Ochigbo </w:t>
      </w:r>
      <w:r w:rsidR="00BC647B" w:rsidRPr="00BC647B">
        <w:rPr>
          <w:rFonts w:ascii="Times New Roman" w:hAnsi="Times New Roman" w:cs="Times New Roman"/>
          <w:i/>
          <w:iCs/>
          <w:color w:val="212121"/>
          <w:sz w:val="24"/>
          <w:szCs w:val="24"/>
          <w:shd w:val="clear" w:color="auto" w:fill="FFFFFF"/>
        </w:rPr>
        <w:t>et al</w:t>
      </w:r>
      <w:r w:rsidR="00BC647B">
        <w:rPr>
          <w:rFonts w:ascii="Times New Roman" w:hAnsi="Times New Roman" w:cs="Times New Roman"/>
          <w:color w:val="212121"/>
          <w:sz w:val="24"/>
          <w:szCs w:val="24"/>
          <w:shd w:val="clear" w:color="auto" w:fill="FFFFFF"/>
        </w:rPr>
        <w:t>., 2024</w:t>
      </w:r>
      <w:r w:rsidR="00552833">
        <w:rPr>
          <w:rFonts w:ascii="Times New Roman" w:hAnsi="Times New Roman" w:cs="Times New Roman"/>
          <w:color w:val="222222"/>
          <w:sz w:val="24"/>
          <w:szCs w:val="24"/>
          <w:shd w:val="clear" w:color="auto" w:fill="FFFFFF"/>
        </w:rPr>
        <w:t>).</w:t>
      </w:r>
      <w:r w:rsidR="00552833">
        <w:rPr>
          <w:rFonts w:ascii="Times New Roman" w:hAnsi="Times New Roman" w:cs="Times New Roman"/>
          <w:color w:val="1B1B1B"/>
          <w:sz w:val="24"/>
          <w:szCs w:val="24"/>
          <w:shd w:val="clear" w:color="auto" w:fill="FFFFFF"/>
        </w:rPr>
        <w:t xml:space="preserve"> </w:t>
      </w:r>
      <w:r w:rsidR="006316D7" w:rsidRPr="006D4A48">
        <w:rPr>
          <w:rFonts w:ascii="Times New Roman" w:hAnsi="Times New Roman" w:cs="Times New Roman"/>
          <w:sz w:val="24"/>
          <w:szCs w:val="24"/>
        </w:rPr>
        <w:t>The biochemical parameters</w:t>
      </w:r>
      <w:r w:rsidR="00274333">
        <w:rPr>
          <w:rFonts w:ascii="Times New Roman" w:hAnsi="Times New Roman" w:cs="Times New Roman"/>
          <w:sz w:val="24"/>
          <w:szCs w:val="24"/>
        </w:rPr>
        <w:t>,</w:t>
      </w:r>
      <w:r w:rsidR="006316D7">
        <w:rPr>
          <w:rFonts w:ascii="Times New Roman" w:hAnsi="Times New Roman" w:cs="Times New Roman"/>
          <w:sz w:val="24"/>
          <w:szCs w:val="24"/>
        </w:rPr>
        <w:t xml:space="preserve"> </w:t>
      </w:r>
      <w:r w:rsidR="006316D7" w:rsidRPr="006D4A48">
        <w:rPr>
          <w:rFonts w:ascii="Times New Roman" w:hAnsi="Times New Roman" w:cs="Times New Roman"/>
          <w:sz w:val="24"/>
          <w:szCs w:val="24"/>
        </w:rPr>
        <w:t xml:space="preserve">total and direct bilirubin, </w:t>
      </w:r>
      <w:r w:rsidR="006316D7">
        <w:rPr>
          <w:rFonts w:ascii="Times New Roman" w:hAnsi="Times New Roman" w:cs="Times New Roman"/>
          <w:sz w:val="24"/>
          <w:szCs w:val="24"/>
        </w:rPr>
        <w:t>ALT</w:t>
      </w:r>
      <w:r w:rsidR="006316D7" w:rsidRPr="006D4A48">
        <w:rPr>
          <w:rFonts w:ascii="Times New Roman" w:hAnsi="Times New Roman" w:cs="Times New Roman"/>
          <w:sz w:val="24"/>
          <w:szCs w:val="24"/>
        </w:rPr>
        <w:t xml:space="preserve">, </w:t>
      </w:r>
      <w:r w:rsidR="006316D7">
        <w:rPr>
          <w:rFonts w:ascii="Times New Roman" w:hAnsi="Times New Roman" w:cs="Times New Roman"/>
          <w:sz w:val="24"/>
          <w:szCs w:val="24"/>
        </w:rPr>
        <w:t>AS</w:t>
      </w:r>
      <w:r w:rsidR="006316D7" w:rsidRPr="006D4A48">
        <w:rPr>
          <w:rFonts w:ascii="Times New Roman" w:hAnsi="Times New Roman" w:cs="Times New Roman"/>
          <w:sz w:val="24"/>
          <w:szCs w:val="24"/>
        </w:rPr>
        <w:t>T, ALP, and LDH</w:t>
      </w:r>
      <w:r w:rsidR="006316D7">
        <w:rPr>
          <w:rFonts w:ascii="Times New Roman" w:hAnsi="Times New Roman" w:cs="Times New Roman"/>
          <w:sz w:val="24"/>
          <w:szCs w:val="24"/>
        </w:rPr>
        <w:t xml:space="preserve"> </w:t>
      </w:r>
      <w:r w:rsidR="006316D7" w:rsidRPr="006D4A48">
        <w:rPr>
          <w:rFonts w:ascii="Times New Roman" w:hAnsi="Times New Roman" w:cs="Times New Roman"/>
          <w:sz w:val="24"/>
          <w:szCs w:val="24"/>
        </w:rPr>
        <w:t>serve as critical indicators of erythrocyte destruction, hepatobiliary integrity, and overall neonatal metabolic status (</w:t>
      </w:r>
      <w:r w:rsidR="00DA5155">
        <w:rPr>
          <w:rFonts w:ascii="Times New Roman" w:hAnsi="Times New Roman" w:cs="Times New Roman"/>
          <w:sz w:val="24"/>
          <w:szCs w:val="24"/>
        </w:rPr>
        <w:t xml:space="preserve">Abdalwahab &amp; Al-Hatemi, 2021; </w:t>
      </w:r>
      <w:r w:rsidR="00851AFF" w:rsidRPr="00A765EA">
        <w:rPr>
          <w:rFonts w:ascii="Times New Roman" w:hAnsi="Times New Roman" w:cs="Times New Roman"/>
          <w:sz w:val="24"/>
          <w:szCs w:val="24"/>
        </w:rPr>
        <w:t>Hegyi</w:t>
      </w:r>
      <w:r w:rsidR="00851AFF">
        <w:rPr>
          <w:rFonts w:ascii="Times New Roman" w:hAnsi="Times New Roman" w:cs="Times New Roman"/>
          <w:sz w:val="24"/>
          <w:szCs w:val="24"/>
        </w:rPr>
        <w:t xml:space="preserve"> </w:t>
      </w:r>
      <w:r w:rsidR="00851AFF" w:rsidRPr="00A765EA">
        <w:rPr>
          <w:rFonts w:ascii="Times New Roman" w:hAnsi="Times New Roman" w:cs="Times New Roman"/>
          <w:sz w:val="24"/>
          <w:szCs w:val="24"/>
        </w:rPr>
        <w:t>&amp; Kleinfeld,</w:t>
      </w:r>
      <w:r w:rsidR="00851AFF">
        <w:rPr>
          <w:rFonts w:ascii="Times New Roman" w:hAnsi="Times New Roman" w:cs="Times New Roman"/>
          <w:sz w:val="24"/>
          <w:szCs w:val="24"/>
        </w:rPr>
        <w:t xml:space="preserve"> </w:t>
      </w:r>
      <w:r w:rsidR="00851AFF" w:rsidRPr="00A765EA">
        <w:rPr>
          <w:rFonts w:ascii="Times New Roman" w:hAnsi="Times New Roman" w:cs="Times New Roman"/>
          <w:sz w:val="24"/>
          <w:szCs w:val="24"/>
        </w:rPr>
        <w:t>2022</w:t>
      </w:r>
      <w:r w:rsidR="006316D7" w:rsidRPr="006D4A48">
        <w:rPr>
          <w:rFonts w:ascii="Times New Roman" w:hAnsi="Times New Roman" w:cs="Times New Roman"/>
          <w:sz w:val="24"/>
          <w:szCs w:val="24"/>
        </w:rPr>
        <w:t>).</w:t>
      </w:r>
      <w:r w:rsidR="00552833">
        <w:rPr>
          <w:rFonts w:ascii="Times New Roman" w:hAnsi="Times New Roman" w:cs="Times New Roman"/>
          <w:color w:val="1B1B1B"/>
          <w:sz w:val="24"/>
          <w:szCs w:val="24"/>
          <w:shd w:val="clear" w:color="auto" w:fill="FFFFFF"/>
        </w:rPr>
        <w:t xml:space="preserve"> </w:t>
      </w:r>
    </w:p>
    <w:p w14:paraId="08B4A6E5" w14:textId="6FCCB9AE" w:rsidR="0097211B" w:rsidRPr="008D0F90" w:rsidRDefault="006316D7" w:rsidP="00224FDD">
      <w:pPr>
        <w:spacing w:line="240" w:lineRule="auto"/>
        <w:jc w:val="both"/>
        <w:rPr>
          <w:rFonts w:ascii="Times New Roman" w:hAnsi="Times New Roman" w:cs="Times New Roman"/>
          <w:color w:val="212121"/>
          <w:sz w:val="24"/>
          <w:szCs w:val="24"/>
          <w:shd w:val="clear" w:color="auto" w:fill="FFFFFF"/>
        </w:rPr>
      </w:pPr>
      <w:r w:rsidRPr="001A6777">
        <w:rPr>
          <w:rFonts w:ascii="Times New Roman" w:hAnsi="Times New Roman" w:cs="Times New Roman"/>
          <w:sz w:val="24"/>
          <w:szCs w:val="24"/>
        </w:rPr>
        <w:t xml:space="preserve">By assessing </w:t>
      </w:r>
      <w:r w:rsidR="009E1284">
        <w:rPr>
          <w:rFonts w:ascii="Times New Roman" w:hAnsi="Times New Roman" w:cs="Times New Roman"/>
          <w:sz w:val="24"/>
          <w:szCs w:val="24"/>
        </w:rPr>
        <w:t xml:space="preserve">these </w:t>
      </w:r>
      <w:r w:rsidR="00274333">
        <w:rPr>
          <w:rFonts w:ascii="Times New Roman" w:hAnsi="Times New Roman" w:cs="Times New Roman"/>
          <w:sz w:val="24"/>
          <w:szCs w:val="24"/>
        </w:rPr>
        <w:t>biochemicals</w:t>
      </w:r>
      <w:r w:rsidRPr="001A6777">
        <w:rPr>
          <w:rFonts w:ascii="Times New Roman" w:hAnsi="Times New Roman" w:cs="Times New Roman"/>
          <w:sz w:val="24"/>
          <w:szCs w:val="24"/>
        </w:rPr>
        <w:t xml:space="preserve"> in newborns with </w:t>
      </w:r>
      <w:r>
        <w:rPr>
          <w:rFonts w:ascii="Times New Roman" w:hAnsi="Times New Roman" w:cs="Times New Roman"/>
          <w:sz w:val="24"/>
          <w:szCs w:val="24"/>
        </w:rPr>
        <w:t>jaundice</w:t>
      </w:r>
      <w:r w:rsidRPr="001A6777">
        <w:rPr>
          <w:rFonts w:ascii="Times New Roman" w:hAnsi="Times New Roman" w:cs="Times New Roman"/>
          <w:sz w:val="24"/>
          <w:szCs w:val="24"/>
        </w:rPr>
        <w:t xml:space="preserve"> in Keffi</w:t>
      </w:r>
      <w:r w:rsidR="00274333">
        <w:rPr>
          <w:rFonts w:ascii="Times New Roman" w:hAnsi="Times New Roman" w:cs="Times New Roman"/>
          <w:sz w:val="24"/>
          <w:szCs w:val="24"/>
        </w:rPr>
        <w:t>,</w:t>
      </w:r>
      <w:r w:rsidRPr="001A6777">
        <w:rPr>
          <w:rFonts w:ascii="Times New Roman" w:hAnsi="Times New Roman" w:cs="Times New Roman"/>
          <w:sz w:val="24"/>
          <w:szCs w:val="24"/>
        </w:rPr>
        <w:t xml:space="preserve"> Nasarawa State, Nigeria, healthcare providers can better understand the severity of the disease and tailor treatments accordingly, ultimately contributing to the reduction of morbidity and mortality associated with this condition.</w:t>
      </w:r>
    </w:p>
    <w:p w14:paraId="1FB4F1B0" w14:textId="60259278" w:rsidR="00D55F38" w:rsidRDefault="00D34D93" w:rsidP="00224FDD">
      <w:pPr>
        <w:spacing w:line="240" w:lineRule="auto"/>
        <w:jc w:val="both"/>
        <w:rPr>
          <w:rFonts w:ascii="Times New Roman" w:hAnsi="Times New Roman" w:cs="Times New Roman"/>
          <w:b/>
          <w:bCs/>
          <w:sz w:val="24"/>
          <w:szCs w:val="24"/>
        </w:rPr>
      </w:pPr>
      <w:r w:rsidRPr="00D34D93">
        <w:rPr>
          <w:rFonts w:ascii="Times New Roman" w:hAnsi="Times New Roman" w:cs="Times New Roman"/>
          <w:b/>
          <w:bCs/>
          <w:sz w:val="24"/>
          <w:szCs w:val="24"/>
        </w:rPr>
        <w:t>Materials and Methods</w:t>
      </w:r>
    </w:p>
    <w:p w14:paraId="79E3769E" w14:textId="77777777" w:rsidR="003B32F5" w:rsidRPr="003B32F5" w:rsidRDefault="003B32F5" w:rsidP="00224FDD">
      <w:pPr>
        <w:spacing w:line="240" w:lineRule="auto"/>
        <w:jc w:val="both"/>
        <w:rPr>
          <w:rFonts w:ascii="Times New Roman" w:hAnsi="Times New Roman" w:cs="Times New Roman"/>
          <w:sz w:val="24"/>
          <w:szCs w:val="24"/>
        </w:rPr>
      </w:pPr>
      <w:r w:rsidRPr="003B32F5">
        <w:rPr>
          <w:rFonts w:ascii="Times New Roman" w:hAnsi="Times New Roman" w:cs="Times New Roman"/>
          <w:b/>
          <w:bCs/>
          <w:sz w:val="24"/>
          <w:szCs w:val="24"/>
        </w:rPr>
        <w:t>Study Area</w:t>
      </w:r>
    </w:p>
    <w:p w14:paraId="54AB752E" w14:textId="0E036B97" w:rsidR="00D34D93" w:rsidRPr="003A71FD" w:rsidRDefault="003B32F5" w:rsidP="00224FDD">
      <w:pPr>
        <w:spacing w:line="240" w:lineRule="auto"/>
        <w:jc w:val="both"/>
        <w:rPr>
          <w:rFonts w:ascii="Times New Roman" w:hAnsi="Times New Roman" w:cs="Times New Roman"/>
          <w:sz w:val="24"/>
          <w:szCs w:val="24"/>
        </w:rPr>
      </w:pPr>
      <w:r w:rsidRPr="003B32F5">
        <w:rPr>
          <w:rFonts w:ascii="Times New Roman" w:hAnsi="Times New Roman" w:cs="Times New Roman"/>
          <w:sz w:val="24"/>
          <w:szCs w:val="24"/>
        </w:rPr>
        <w:t xml:space="preserve">The designated study area for this research is the Special Care Baby Unit (SCBU) of the Federal Medical Centre Keffi. As a tertiary hospital in the area, it provides critical care for neonates born in Keffi and </w:t>
      </w:r>
      <w:r w:rsidR="00552833">
        <w:rPr>
          <w:rFonts w:ascii="Times New Roman" w:hAnsi="Times New Roman" w:cs="Times New Roman"/>
          <w:sz w:val="24"/>
          <w:szCs w:val="24"/>
        </w:rPr>
        <w:t xml:space="preserve">the </w:t>
      </w:r>
      <w:r w:rsidRPr="003B32F5">
        <w:rPr>
          <w:rFonts w:ascii="Times New Roman" w:hAnsi="Times New Roman" w:cs="Times New Roman"/>
          <w:sz w:val="24"/>
          <w:szCs w:val="24"/>
        </w:rPr>
        <w:t>surrounding communities</w:t>
      </w:r>
      <w:r>
        <w:rPr>
          <w:rFonts w:ascii="Times New Roman" w:hAnsi="Times New Roman" w:cs="Times New Roman"/>
          <w:sz w:val="24"/>
          <w:szCs w:val="24"/>
        </w:rPr>
        <w:t xml:space="preserve">. </w:t>
      </w:r>
      <w:r w:rsidRPr="003B32F5">
        <w:rPr>
          <w:rFonts w:ascii="Times New Roman" w:hAnsi="Times New Roman" w:cs="Times New Roman"/>
          <w:sz w:val="24"/>
          <w:szCs w:val="24"/>
        </w:rPr>
        <w:t>Keffi is one of the 13 Local Government Areas in Nasarawa</w:t>
      </w:r>
      <w:r>
        <w:rPr>
          <w:rFonts w:ascii="Times New Roman" w:hAnsi="Times New Roman" w:cs="Times New Roman"/>
          <w:sz w:val="24"/>
          <w:szCs w:val="24"/>
        </w:rPr>
        <w:t xml:space="preserve"> State</w:t>
      </w:r>
      <w:r w:rsidRPr="003B32F5">
        <w:rPr>
          <w:rFonts w:ascii="Times New Roman" w:hAnsi="Times New Roman" w:cs="Times New Roman"/>
          <w:sz w:val="24"/>
          <w:szCs w:val="24"/>
        </w:rPr>
        <w:t>, North Central Nigeria. Located about 47Km from the Federal Capital Territory (FCT), Abuja</w:t>
      </w:r>
      <w:r w:rsidR="00552833">
        <w:rPr>
          <w:rFonts w:ascii="Times New Roman" w:hAnsi="Times New Roman" w:cs="Times New Roman"/>
          <w:sz w:val="24"/>
          <w:szCs w:val="24"/>
        </w:rPr>
        <w:t>,</w:t>
      </w:r>
      <w:r w:rsidRPr="003B32F5">
        <w:rPr>
          <w:rFonts w:ascii="Times New Roman" w:hAnsi="Times New Roman" w:cs="Times New Roman"/>
          <w:sz w:val="24"/>
          <w:szCs w:val="24"/>
        </w:rPr>
        <w:t xml:space="preserve"> Nigeria. It is </w:t>
      </w:r>
      <w:r w:rsidR="00B85983">
        <w:rPr>
          <w:rFonts w:ascii="Times New Roman" w:hAnsi="Times New Roman" w:cs="Times New Roman"/>
          <w:sz w:val="24"/>
          <w:szCs w:val="24"/>
        </w:rPr>
        <w:t>situated</w:t>
      </w:r>
      <w:r w:rsidRPr="003B32F5">
        <w:rPr>
          <w:rFonts w:ascii="Times New Roman" w:hAnsi="Times New Roman" w:cs="Times New Roman"/>
          <w:sz w:val="24"/>
          <w:szCs w:val="24"/>
        </w:rPr>
        <w:t xml:space="preserve"> between latitude 8</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85</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North of the equator and longitude 7</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87</w:t>
      </w:r>
      <w:r w:rsidRPr="003B32F5">
        <w:rPr>
          <w:rFonts w:ascii="Times New Roman" w:hAnsi="Times New Roman" w:cs="Times New Roman"/>
          <w:sz w:val="24"/>
          <w:szCs w:val="24"/>
          <w:vertAlign w:val="superscript"/>
        </w:rPr>
        <w:t>o</w:t>
      </w:r>
      <w:r w:rsidRPr="003B32F5">
        <w:rPr>
          <w:rFonts w:ascii="Times New Roman" w:hAnsi="Times New Roman" w:cs="Times New Roman"/>
          <w:sz w:val="24"/>
          <w:szCs w:val="24"/>
        </w:rPr>
        <w:t xml:space="preserve"> East of the meridian with an altitude of 850 meters above sea level (Figure 1) (Akwa </w:t>
      </w:r>
      <w:r w:rsidRPr="003B32F5">
        <w:rPr>
          <w:rFonts w:ascii="Times New Roman" w:hAnsi="Times New Roman" w:cs="Times New Roman"/>
          <w:i/>
          <w:iCs/>
          <w:sz w:val="24"/>
          <w:szCs w:val="24"/>
        </w:rPr>
        <w:t>et al.,</w:t>
      </w:r>
      <w:r w:rsidRPr="003B32F5">
        <w:rPr>
          <w:rFonts w:ascii="Times New Roman" w:hAnsi="Times New Roman" w:cs="Times New Roman"/>
          <w:sz w:val="24"/>
          <w:szCs w:val="24"/>
        </w:rPr>
        <w:t xml:space="preserve"> 2007</w:t>
      </w:r>
      <w:r w:rsidR="005469A6">
        <w:rPr>
          <w:rFonts w:ascii="Times New Roman" w:hAnsi="Times New Roman" w:cs="Times New Roman"/>
          <w:sz w:val="24"/>
          <w:szCs w:val="24"/>
        </w:rPr>
        <w:t xml:space="preserve">; </w:t>
      </w:r>
      <w:r w:rsidR="005469A6" w:rsidRPr="005469A6">
        <w:rPr>
          <w:rFonts w:ascii="Times New Roman" w:eastAsia="Calibri" w:hAnsi="Times New Roman" w:cs="Times New Roman"/>
          <w:sz w:val="24"/>
          <w:szCs w:val="24"/>
        </w:rPr>
        <w:t xml:space="preserve">Sufiyan </w:t>
      </w:r>
      <w:r w:rsidR="005469A6" w:rsidRPr="005469A6">
        <w:rPr>
          <w:rFonts w:ascii="Times New Roman" w:eastAsia="Calibri" w:hAnsi="Times New Roman" w:cs="Times New Roman"/>
          <w:i/>
          <w:sz w:val="24"/>
          <w:szCs w:val="24"/>
        </w:rPr>
        <w:t>et al</w:t>
      </w:r>
      <w:r w:rsidR="005469A6" w:rsidRPr="005469A6">
        <w:rPr>
          <w:rFonts w:ascii="Times New Roman" w:eastAsia="Calibri" w:hAnsi="Times New Roman" w:cs="Times New Roman"/>
          <w:sz w:val="24"/>
          <w:szCs w:val="24"/>
        </w:rPr>
        <w:t>., 2020</w:t>
      </w:r>
      <w:r w:rsidRPr="003B32F5">
        <w:rPr>
          <w:rFonts w:ascii="Times New Roman" w:hAnsi="Times New Roman" w:cs="Times New Roman"/>
          <w:sz w:val="24"/>
          <w:szCs w:val="24"/>
        </w:rPr>
        <w:t xml:space="preserve">). Moreover, a report from the 2006 National Population and Housing </w:t>
      </w:r>
      <w:r w:rsidRPr="003B32F5">
        <w:rPr>
          <w:rFonts w:ascii="Times New Roman" w:hAnsi="Times New Roman" w:cs="Times New Roman"/>
          <w:sz w:val="24"/>
          <w:szCs w:val="24"/>
        </w:rPr>
        <w:lastRenderedPageBreak/>
        <w:t>Census conducted by the Nigeria</w:t>
      </w:r>
      <w:r w:rsidR="00224FDD">
        <w:rPr>
          <w:rFonts w:ascii="Times New Roman" w:hAnsi="Times New Roman" w:cs="Times New Roman"/>
          <w:sz w:val="24"/>
          <w:szCs w:val="24"/>
        </w:rPr>
        <w:t>n</w:t>
      </w:r>
      <w:r w:rsidRPr="003B32F5">
        <w:rPr>
          <w:rFonts w:ascii="Times New Roman" w:hAnsi="Times New Roman" w:cs="Times New Roman"/>
          <w:sz w:val="24"/>
          <w:szCs w:val="24"/>
        </w:rPr>
        <w:t xml:space="preserve"> Population Commission estimated the total population of Keffi town at 92,</w:t>
      </w:r>
      <w:r w:rsidR="00B85983">
        <w:rPr>
          <w:rFonts w:ascii="Times New Roman" w:hAnsi="Times New Roman" w:cs="Times New Roman"/>
          <w:sz w:val="24"/>
          <w:szCs w:val="24"/>
        </w:rPr>
        <w:t>550</w:t>
      </w:r>
      <w:r w:rsidRPr="003B32F5">
        <w:rPr>
          <w:rFonts w:ascii="Times New Roman" w:hAnsi="Times New Roman" w:cs="Times New Roman"/>
          <w:sz w:val="24"/>
          <w:szCs w:val="24"/>
        </w:rPr>
        <w:t xml:space="preserve"> with </w:t>
      </w:r>
      <w:r w:rsidR="00552833">
        <w:rPr>
          <w:rFonts w:ascii="Times New Roman" w:hAnsi="Times New Roman" w:cs="Times New Roman"/>
          <w:sz w:val="24"/>
          <w:szCs w:val="24"/>
        </w:rPr>
        <w:t xml:space="preserve">an </w:t>
      </w:r>
      <w:r w:rsidRPr="003B32F5">
        <w:rPr>
          <w:rFonts w:ascii="Times New Roman" w:hAnsi="Times New Roman" w:cs="Times New Roman"/>
          <w:sz w:val="24"/>
          <w:szCs w:val="24"/>
        </w:rPr>
        <w:t>annual growth rate of 5.2% (NPC</w:t>
      </w:r>
      <w:r w:rsidR="00A85A27">
        <w:rPr>
          <w:rFonts w:ascii="Times New Roman" w:hAnsi="Times New Roman" w:cs="Times New Roman"/>
          <w:sz w:val="24"/>
          <w:szCs w:val="24"/>
        </w:rPr>
        <w:t>,</w:t>
      </w:r>
      <w:r w:rsidRPr="003B32F5">
        <w:rPr>
          <w:rFonts w:ascii="Times New Roman" w:hAnsi="Times New Roman" w:cs="Times New Roman"/>
          <w:sz w:val="24"/>
          <w:szCs w:val="24"/>
        </w:rPr>
        <w:t xml:space="preserve"> 2006).</w:t>
      </w:r>
    </w:p>
    <w:p w14:paraId="544533E5" w14:textId="344338A7" w:rsidR="00D34D93" w:rsidRDefault="007D39C7" w:rsidP="00D34D93">
      <w:pPr>
        <w:spacing w:line="360" w:lineRule="auto"/>
        <w:rPr>
          <w:rFonts w:ascii="Times New Roman" w:hAnsi="Times New Roman" w:cs="Times New Roman"/>
          <w:sz w:val="28"/>
          <w:szCs w:val="28"/>
        </w:rPr>
      </w:pPr>
      <w:r>
        <w:rPr>
          <w:noProof/>
        </w:rPr>
        <w:drawing>
          <wp:inline distT="0" distB="0" distL="0" distR="0" wp14:anchorId="072911FE" wp14:editId="7B05F914">
            <wp:extent cx="5943600" cy="394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7DE4BD91" w14:textId="11E12C5F" w:rsidR="00D34D93" w:rsidRPr="0009538A" w:rsidRDefault="002D65D4" w:rsidP="00D34D93">
      <w:pPr>
        <w:spacing w:line="360" w:lineRule="auto"/>
        <w:rPr>
          <w:rFonts w:ascii="Times New Roman" w:hAnsi="Times New Roman" w:cs="Times New Roman"/>
          <w:sz w:val="24"/>
          <w:szCs w:val="24"/>
        </w:rPr>
      </w:pPr>
      <w:r>
        <w:rPr>
          <w:rFonts w:ascii="Times New Roman" w:hAnsi="Times New Roman" w:cs="Times New Roman"/>
          <w:sz w:val="24"/>
          <w:szCs w:val="24"/>
        </w:rPr>
        <w:t>Fig. 1</w:t>
      </w:r>
      <w:r w:rsidR="00D34D93" w:rsidRPr="0009538A">
        <w:rPr>
          <w:rFonts w:ascii="Times New Roman" w:hAnsi="Times New Roman" w:cs="Times New Roman"/>
          <w:sz w:val="24"/>
          <w:szCs w:val="24"/>
        </w:rPr>
        <w:t xml:space="preserve"> Map of Nasarawa State (A</w:t>
      </w:r>
      <w:r w:rsidR="007D39C7">
        <w:rPr>
          <w:rFonts w:ascii="Times New Roman" w:hAnsi="Times New Roman" w:cs="Times New Roman"/>
          <w:sz w:val="24"/>
          <w:szCs w:val="24"/>
        </w:rPr>
        <w:t>biola</w:t>
      </w:r>
      <w:r w:rsidR="00D34D93" w:rsidRPr="0009538A">
        <w:rPr>
          <w:rFonts w:ascii="Times New Roman" w:hAnsi="Times New Roman" w:cs="Times New Roman"/>
          <w:sz w:val="24"/>
          <w:szCs w:val="24"/>
        </w:rPr>
        <w:t xml:space="preserve"> </w:t>
      </w:r>
      <w:r w:rsidR="00D34D93" w:rsidRPr="0009538A">
        <w:rPr>
          <w:rFonts w:ascii="Times New Roman" w:hAnsi="Times New Roman" w:cs="Times New Roman"/>
          <w:i/>
          <w:iCs/>
          <w:sz w:val="24"/>
          <w:szCs w:val="24"/>
        </w:rPr>
        <w:t xml:space="preserve">et al., </w:t>
      </w:r>
      <w:r w:rsidR="00D34D93" w:rsidRPr="007D39C7">
        <w:rPr>
          <w:rFonts w:ascii="Times New Roman" w:hAnsi="Times New Roman" w:cs="Times New Roman"/>
          <w:sz w:val="24"/>
          <w:szCs w:val="24"/>
        </w:rPr>
        <w:t>201</w:t>
      </w:r>
      <w:r w:rsidR="007D39C7" w:rsidRPr="007D39C7">
        <w:rPr>
          <w:rFonts w:ascii="Times New Roman" w:hAnsi="Times New Roman" w:cs="Times New Roman"/>
          <w:sz w:val="24"/>
          <w:szCs w:val="24"/>
        </w:rPr>
        <w:t>6</w:t>
      </w:r>
      <w:r w:rsidR="00D34D93" w:rsidRPr="0009538A">
        <w:rPr>
          <w:rFonts w:ascii="Times New Roman" w:hAnsi="Times New Roman" w:cs="Times New Roman"/>
          <w:sz w:val="24"/>
          <w:szCs w:val="24"/>
        </w:rPr>
        <w:t>).</w:t>
      </w:r>
    </w:p>
    <w:p w14:paraId="4B495AA9" w14:textId="77777777" w:rsidR="00D34D93" w:rsidRDefault="00D34D93" w:rsidP="00D34D93">
      <w:pPr>
        <w:spacing w:line="360" w:lineRule="auto"/>
        <w:rPr>
          <w:rFonts w:ascii="Times New Roman" w:hAnsi="Times New Roman" w:cs="Times New Roman"/>
          <w:b/>
          <w:bCs/>
          <w:sz w:val="28"/>
          <w:szCs w:val="28"/>
        </w:rPr>
      </w:pPr>
    </w:p>
    <w:p w14:paraId="5FCCDD33" w14:textId="77777777" w:rsidR="00224FDD" w:rsidRDefault="00224FDD" w:rsidP="006F7F27">
      <w:pPr>
        <w:spacing w:line="480" w:lineRule="auto"/>
        <w:jc w:val="both"/>
        <w:rPr>
          <w:rFonts w:ascii="Times New Roman" w:hAnsi="Times New Roman" w:cs="Times New Roman"/>
          <w:b/>
          <w:bCs/>
          <w:sz w:val="24"/>
          <w:szCs w:val="24"/>
        </w:rPr>
      </w:pPr>
    </w:p>
    <w:p w14:paraId="57DB6074" w14:textId="77777777" w:rsidR="00224FDD" w:rsidRDefault="00224FDD" w:rsidP="006F7F27">
      <w:pPr>
        <w:spacing w:line="480" w:lineRule="auto"/>
        <w:jc w:val="both"/>
        <w:rPr>
          <w:rFonts w:ascii="Times New Roman" w:hAnsi="Times New Roman" w:cs="Times New Roman"/>
          <w:b/>
          <w:bCs/>
          <w:sz w:val="24"/>
          <w:szCs w:val="24"/>
        </w:rPr>
      </w:pPr>
    </w:p>
    <w:p w14:paraId="07470D3C" w14:textId="77777777" w:rsidR="00224FDD" w:rsidRDefault="00224FDD" w:rsidP="006F7F27">
      <w:pPr>
        <w:spacing w:line="480" w:lineRule="auto"/>
        <w:jc w:val="both"/>
        <w:rPr>
          <w:rFonts w:ascii="Times New Roman" w:hAnsi="Times New Roman" w:cs="Times New Roman"/>
          <w:b/>
          <w:bCs/>
          <w:sz w:val="24"/>
          <w:szCs w:val="24"/>
        </w:rPr>
      </w:pPr>
    </w:p>
    <w:p w14:paraId="0650ABBF" w14:textId="77777777" w:rsidR="00224FDD" w:rsidRDefault="00224FDD" w:rsidP="006F7F27">
      <w:pPr>
        <w:spacing w:line="480" w:lineRule="auto"/>
        <w:jc w:val="both"/>
        <w:rPr>
          <w:rFonts w:ascii="Times New Roman" w:hAnsi="Times New Roman" w:cs="Times New Roman"/>
          <w:b/>
          <w:bCs/>
          <w:sz w:val="24"/>
          <w:szCs w:val="24"/>
        </w:rPr>
      </w:pPr>
    </w:p>
    <w:p w14:paraId="349E7533" w14:textId="77777777" w:rsidR="00224FDD" w:rsidRDefault="00224FDD" w:rsidP="006F7F27">
      <w:pPr>
        <w:spacing w:line="480" w:lineRule="auto"/>
        <w:jc w:val="both"/>
        <w:rPr>
          <w:rFonts w:ascii="Times New Roman" w:hAnsi="Times New Roman" w:cs="Times New Roman"/>
          <w:b/>
          <w:bCs/>
          <w:sz w:val="24"/>
          <w:szCs w:val="24"/>
        </w:rPr>
      </w:pPr>
    </w:p>
    <w:p w14:paraId="116AE916" w14:textId="77777777" w:rsidR="00224FDD" w:rsidRDefault="00224FDD" w:rsidP="006F7F27">
      <w:pPr>
        <w:spacing w:line="480" w:lineRule="auto"/>
        <w:jc w:val="both"/>
        <w:rPr>
          <w:rFonts w:ascii="Times New Roman" w:hAnsi="Times New Roman" w:cs="Times New Roman"/>
          <w:b/>
          <w:bCs/>
          <w:sz w:val="24"/>
          <w:szCs w:val="24"/>
        </w:rPr>
      </w:pPr>
    </w:p>
    <w:p w14:paraId="427658FD" w14:textId="77777777" w:rsidR="00224FDD" w:rsidRDefault="00224FDD" w:rsidP="006F7F27">
      <w:pPr>
        <w:spacing w:line="480" w:lineRule="auto"/>
        <w:jc w:val="both"/>
        <w:rPr>
          <w:rFonts w:ascii="Times New Roman" w:hAnsi="Times New Roman" w:cs="Times New Roman"/>
          <w:b/>
          <w:bCs/>
          <w:sz w:val="24"/>
          <w:szCs w:val="24"/>
        </w:rPr>
      </w:pPr>
    </w:p>
    <w:p w14:paraId="39D86AC1" w14:textId="4D7CA943" w:rsidR="006F7F27" w:rsidRDefault="002D65D4" w:rsidP="00A85A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14:paraId="7972B677" w14:textId="3894254B" w:rsidR="002D65D4" w:rsidRPr="002D65D4" w:rsidRDefault="002D65D4" w:rsidP="00A85A27">
      <w:pPr>
        <w:spacing w:line="240" w:lineRule="auto"/>
        <w:jc w:val="both"/>
        <w:rPr>
          <w:rFonts w:ascii="Times New Roman" w:hAnsi="Times New Roman" w:cs="Times New Roman"/>
          <w:sz w:val="24"/>
          <w:szCs w:val="24"/>
        </w:rPr>
      </w:pPr>
      <w:r w:rsidRPr="002D65D4">
        <w:rPr>
          <w:rFonts w:ascii="Times New Roman" w:hAnsi="Times New Roman" w:cs="Times New Roman"/>
          <w:sz w:val="24"/>
          <w:szCs w:val="24"/>
        </w:rPr>
        <w:t>A</w:t>
      </w:r>
      <w:r>
        <w:rPr>
          <w:rFonts w:ascii="Times New Roman" w:hAnsi="Times New Roman" w:cs="Times New Roman"/>
          <w:sz w:val="24"/>
          <w:szCs w:val="24"/>
        </w:rPr>
        <w:t>n</w:t>
      </w:r>
      <w:r w:rsidRPr="002D65D4">
        <w:rPr>
          <w:rFonts w:ascii="Times New Roman" w:hAnsi="Times New Roman" w:cs="Times New Roman"/>
          <w:sz w:val="24"/>
          <w:szCs w:val="24"/>
        </w:rPr>
        <w:t xml:space="preserve"> unmatched case-control study was conducted</w:t>
      </w:r>
      <w:r>
        <w:rPr>
          <w:rFonts w:ascii="Times New Roman" w:hAnsi="Times New Roman" w:cs="Times New Roman"/>
          <w:sz w:val="24"/>
          <w:szCs w:val="24"/>
        </w:rPr>
        <w:t xml:space="preserve"> </w:t>
      </w:r>
      <w:r w:rsidRPr="002D65D4">
        <w:rPr>
          <w:rFonts w:ascii="Times New Roman" w:hAnsi="Times New Roman" w:cs="Times New Roman"/>
          <w:sz w:val="24"/>
          <w:szCs w:val="24"/>
        </w:rPr>
        <w:t>among admitted neonates in the</w:t>
      </w:r>
      <w:r w:rsidR="00A85A27">
        <w:rPr>
          <w:rFonts w:ascii="Times New Roman" w:hAnsi="Times New Roman" w:cs="Times New Roman"/>
          <w:sz w:val="24"/>
          <w:szCs w:val="24"/>
        </w:rPr>
        <w:t xml:space="preserve"> </w:t>
      </w:r>
      <w:r>
        <w:rPr>
          <w:rFonts w:ascii="Times New Roman" w:hAnsi="Times New Roman" w:cs="Times New Roman"/>
          <w:sz w:val="24"/>
          <w:szCs w:val="24"/>
        </w:rPr>
        <w:t>Special Baby Care Unit (SCBU) of Federal Medical Centre Keffi.</w:t>
      </w:r>
    </w:p>
    <w:p w14:paraId="3E843A51" w14:textId="7AF20C30"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Study Population</w:t>
      </w:r>
    </w:p>
    <w:p w14:paraId="71BE04D9" w14:textId="75141C73" w:rsidR="006F7F27" w:rsidRP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 xml:space="preserve">Neonates diagnosed with </w:t>
      </w:r>
      <w:r w:rsidR="00324EF3">
        <w:rPr>
          <w:rFonts w:ascii="Times New Roman" w:hAnsi="Times New Roman" w:cs="Times New Roman"/>
          <w:sz w:val="24"/>
          <w:szCs w:val="24"/>
        </w:rPr>
        <w:t>jaundice</w:t>
      </w:r>
      <w:r w:rsidRPr="006F7F27">
        <w:rPr>
          <w:rFonts w:ascii="Times New Roman" w:hAnsi="Times New Roman" w:cs="Times New Roman"/>
          <w:sz w:val="24"/>
          <w:szCs w:val="24"/>
        </w:rPr>
        <w:t xml:space="preserve"> at </w:t>
      </w:r>
      <w:r>
        <w:rPr>
          <w:rFonts w:ascii="Times New Roman" w:hAnsi="Times New Roman" w:cs="Times New Roman"/>
          <w:sz w:val="24"/>
          <w:szCs w:val="24"/>
        </w:rPr>
        <w:t>the Special Care Baby Unit of Federal Medical Centre</w:t>
      </w:r>
      <w:r w:rsidRPr="006F7F27">
        <w:rPr>
          <w:rFonts w:ascii="Times New Roman" w:hAnsi="Times New Roman" w:cs="Times New Roman"/>
          <w:sz w:val="24"/>
          <w:szCs w:val="24"/>
        </w:rPr>
        <w:t xml:space="preserve"> Keffi</w:t>
      </w:r>
      <w:r>
        <w:rPr>
          <w:rFonts w:ascii="Times New Roman" w:hAnsi="Times New Roman" w:cs="Times New Roman"/>
          <w:sz w:val="24"/>
          <w:szCs w:val="24"/>
        </w:rPr>
        <w:t>,</w:t>
      </w:r>
      <w:r w:rsidRPr="006F7F27">
        <w:rPr>
          <w:rFonts w:ascii="Times New Roman" w:hAnsi="Times New Roman" w:cs="Times New Roman"/>
          <w:sz w:val="24"/>
          <w:szCs w:val="24"/>
        </w:rPr>
        <w:t xml:space="preserve"> Nasarawa State, Nigeria</w:t>
      </w:r>
      <w:r w:rsidR="002D65D4">
        <w:rPr>
          <w:rFonts w:ascii="Times New Roman" w:hAnsi="Times New Roman" w:cs="Times New Roman"/>
          <w:sz w:val="24"/>
          <w:szCs w:val="24"/>
        </w:rPr>
        <w:t>,</w:t>
      </w:r>
      <w:r>
        <w:rPr>
          <w:rFonts w:ascii="Times New Roman" w:hAnsi="Times New Roman" w:cs="Times New Roman"/>
          <w:sz w:val="24"/>
          <w:szCs w:val="24"/>
        </w:rPr>
        <w:t xml:space="preserve"> were recruited for this study.</w:t>
      </w:r>
    </w:p>
    <w:p w14:paraId="4C7D543E" w14:textId="77777777" w:rsid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b/>
          <w:bCs/>
          <w:sz w:val="24"/>
          <w:szCs w:val="24"/>
        </w:rPr>
        <w:t>Inclusion Criteria:</w:t>
      </w:r>
      <w:r w:rsidRPr="006F7F27">
        <w:rPr>
          <w:rFonts w:ascii="Times New Roman" w:hAnsi="Times New Roman" w:cs="Times New Roman"/>
          <w:sz w:val="24"/>
          <w:szCs w:val="24"/>
        </w:rPr>
        <w:t xml:space="preserve"> </w:t>
      </w:r>
    </w:p>
    <w:p w14:paraId="4CD43E89" w14:textId="531ECB10" w:rsidR="006F7F27" w:rsidRPr="006F7F27" w:rsidRDefault="006F7F27"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 xml:space="preserve">Neonates (0-28 days old) diagnosed with </w:t>
      </w:r>
      <w:r w:rsidR="00324EF3">
        <w:rPr>
          <w:rFonts w:ascii="Times New Roman" w:hAnsi="Times New Roman" w:cs="Times New Roman"/>
          <w:sz w:val="24"/>
          <w:szCs w:val="24"/>
        </w:rPr>
        <w:t>jaundice</w:t>
      </w:r>
      <w:r w:rsidRPr="006F7F27">
        <w:rPr>
          <w:rFonts w:ascii="Times New Roman" w:hAnsi="Times New Roman" w:cs="Times New Roman"/>
          <w:sz w:val="24"/>
          <w:szCs w:val="24"/>
        </w:rPr>
        <w:t xml:space="preserve"> whose parents or guardians gave consent were recruited for this study.</w:t>
      </w:r>
    </w:p>
    <w:p w14:paraId="1FDBDCC5" w14:textId="77777777" w:rsid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 xml:space="preserve">Exclusion Criteria: </w:t>
      </w:r>
    </w:p>
    <w:p w14:paraId="056FFB9E" w14:textId="6DADCBEE"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sz w:val="24"/>
          <w:szCs w:val="24"/>
        </w:rPr>
        <w:t xml:space="preserve">Neonates who </w:t>
      </w:r>
      <w:r>
        <w:rPr>
          <w:rFonts w:ascii="Times New Roman" w:hAnsi="Times New Roman" w:cs="Times New Roman"/>
          <w:sz w:val="24"/>
          <w:szCs w:val="24"/>
        </w:rPr>
        <w:t>were</w:t>
      </w:r>
      <w:r w:rsidRPr="006F7F27">
        <w:rPr>
          <w:rFonts w:ascii="Times New Roman" w:hAnsi="Times New Roman" w:cs="Times New Roman"/>
          <w:sz w:val="24"/>
          <w:szCs w:val="24"/>
        </w:rPr>
        <w:t xml:space="preserve"> above 30</w:t>
      </w:r>
      <w:r>
        <w:rPr>
          <w:rFonts w:ascii="Times New Roman" w:hAnsi="Times New Roman" w:cs="Times New Roman"/>
          <w:sz w:val="24"/>
          <w:szCs w:val="24"/>
        </w:rPr>
        <w:t xml:space="preserve"> </w:t>
      </w:r>
      <w:r w:rsidRPr="006F7F27">
        <w:rPr>
          <w:rFonts w:ascii="Times New Roman" w:hAnsi="Times New Roman" w:cs="Times New Roman"/>
          <w:sz w:val="24"/>
          <w:szCs w:val="24"/>
        </w:rPr>
        <w:t xml:space="preserve">days </w:t>
      </w:r>
      <w:r>
        <w:rPr>
          <w:rFonts w:ascii="Times New Roman" w:hAnsi="Times New Roman" w:cs="Times New Roman"/>
          <w:sz w:val="24"/>
          <w:szCs w:val="24"/>
        </w:rPr>
        <w:t>after birth</w:t>
      </w:r>
      <w:r w:rsidRPr="006F7F27">
        <w:rPr>
          <w:rFonts w:ascii="Times New Roman" w:hAnsi="Times New Roman" w:cs="Times New Roman"/>
          <w:sz w:val="24"/>
          <w:szCs w:val="24"/>
        </w:rPr>
        <w:t>, who also had other congenital disorders and did not</w:t>
      </w:r>
      <w:r w:rsidRPr="006F7F27">
        <w:rPr>
          <w:rFonts w:ascii="Times New Roman" w:hAnsi="Times New Roman" w:cs="Times New Roman"/>
          <w:b/>
          <w:bCs/>
          <w:sz w:val="24"/>
          <w:szCs w:val="24"/>
        </w:rPr>
        <w:t xml:space="preserve"> </w:t>
      </w:r>
      <w:r w:rsidRPr="006F7F27">
        <w:rPr>
          <w:rFonts w:ascii="Times New Roman" w:hAnsi="Times New Roman" w:cs="Times New Roman"/>
          <w:sz w:val="24"/>
          <w:szCs w:val="24"/>
        </w:rPr>
        <w:t>give consent were excluded.</w:t>
      </w:r>
    </w:p>
    <w:p w14:paraId="67F0ABAB" w14:textId="1340E931" w:rsidR="006F7F27" w:rsidRPr="006F7F27" w:rsidRDefault="006F7F27" w:rsidP="00A85A27">
      <w:pPr>
        <w:spacing w:line="240" w:lineRule="auto"/>
        <w:jc w:val="both"/>
        <w:rPr>
          <w:rFonts w:ascii="Times New Roman" w:hAnsi="Times New Roman" w:cs="Times New Roman"/>
          <w:b/>
          <w:bCs/>
          <w:sz w:val="24"/>
          <w:szCs w:val="24"/>
        </w:rPr>
      </w:pPr>
      <w:r w:rsidRPr="006F7F27">
        <w:rPr>
          <w:rFonts w:ascii="Times New Roman" w:hAnsi="Times New Roman" w:cs="Times New Roman"/>
          <w:b/>
          <w:bCs/>
          <w:sz w:val="24"/>
          <w:szCs w:val="24"/>
        </w:rPr>
        <w:t>Sample Size</w:t>
      </w:r>
      <w:r>
        <w:rPr>
          <w:rFonts w:ascii="Times New Roman" w:hAnsi="Times New Roman" w:cs="Times New Roman"/>
          <w:b/>
          <w:bCs/>
          <w:sz w:val="24"/>
          <w:szCs w:val="24"/>
        </w:rPr>
        <w:t xml:space="preserve"> Determination</w:t>
      </w:r>
    </w:p>
    <w:p w14:paraId="0C623F35" w14:textId="72F00B6D" w:rsidR="001001A3" w:rsidRDefault="001001A3" w:rsidP="00A85A27">
      <w:pPr>
        <w:pStyle w:val="NormalWeb"/>
        <w:jc w:val="both"/>
      </w:pPr>
      <w:r>
        <w:t xml:space="preserve">The minimum sample size for this study was determined using </w:t>
      </w:r>
      <w:r w:rsidR="009A6FA5">
        <w:t xml:space="preserve">the </w:t>
      </w:r>
      <w:r w:rsidRPr="001001A3">
        <w:rPr>
          <w:rStyle w:val="Strong"/>
          <w:b w:val="0"/>
          <w:bCs w:val="0"/>
        </w:rPr>
        <w:t>formula</w:t>
      </w:r>
      <w:r>
        <w:t xml:space="preserve"> for estimating a population proportion with a specified level of precision </w:t>
      </w:r>
      <w:r w:rsidR="009A6FA5">
        <w:t xml:space="preserve">described by Sadiq </w:t>
      </w:r>
      <w:r w:rsidR="009A6FA5">
        <w:rPr>
          <w:i/>
        </w:rPr>
        <w:t>et al</w:t>
      </w:r>
      <w:r w:rsidR="009A6FA5">
        <w:t>. (2024).</w:t>
      </w:r>
    </w:p>
    <w:p w14:paraId="301F8303" w14:textId="77777777" w:rsidR="001001A3" w:rsidRPr="001001A3" w:rsidRDefault="001001A3" w:rsidP="00A85A27">
      <w:pPr>
        <w:pStyle w:val="NormalWeb"/>
        <w:jc w:val="both"/>
      </w:pPr>
      <w:r w:rsidRPr="001001A3">
        <w:t>n0 = (Z^2 * p * q) / e^2</w:t>
      </w:r>
    </w:p>
    <w:p w14:paraId="43F1CAC1" w14:textId="77777777" w:rsidR="001001A3" w:rsidRPr="001001A3" w:rsidRDefault="001001A3" w:rsidP="00A85A27">
      <w:pPr>
        <w:pStyle w:val="NormalWeb"/>
        <w:jc w:val="both"/>
      </w:pPr>
      <w:r w:rsidRPr="001001A3">
        <w:t>Where:</w:t>
      </w:r>
    </w:p>
    <w:p w14:paraId="2DFC1E96"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n0 = initial sample size</w:t>
      </w:r>
    </w:p>
    <w:p w14:paraId="3C2E3D7B"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Z = 1.96, corresponding to a 95% confidence interval</w:t>
      </w:r>
    </w:p>
    <w:p w14:paraId="54F95B1E" w14:textId="6F188F0B"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p = 0.117 (11.7%), the estimated prevalence of haemolytic disease of the newborn in Nigeria (</w:t>
      </w:r>
      <w:r w:rsidRPr="001001A3">
        <w:rPr>
          <w:rFonts w:ascii="Times New Roman" w:hAnsi="Times New Roman" w:cs="Times New Roman"/>
          <w:color w:val="222222"/>
          <w:sz w:val="24"/>
          <w:szCs w:val="24"/>
          <w:shd w:val="clear" w:color="auto" w:fill="FFFFFF"/>
        </w:rPr>
        <w:t xml:space="preserve">Etukudoh </w:t>
      </w:r>
      <w:r w:rsidRPr="001001A3">
        <w:rPr>
          <w:rFonts w:ascii="Times New Roman" w:hAnsi="Times New Roman" w:cs="Times New Roman"/>
          <w:i/>
          <w:iCs/>
          <w:color w:val="222222"/>
          <w:sz w:val="24"/>
          <w:szCs w:val="24"/>
          <w:shd w:val="clear" w:color="auto" w:fill="FFFFFF"/>
        </w:rPr>
        <w:t>et al</w:t>
      </w:r>
      <w:r w:rsidRPr="001001A3">
        <w:rPr>
          <w:rFonts w:ascii="Times New Roman" w:hAnsi="Times New Roman" w:cs="Times New Roman"/>
          <w:color w:val="222222"/>
          <w:sz w:val="24"/>
          <w:szCs w:val="24"/>
          <w:shd w:val="clear" w:color="auto" w:fill="FFFFFF"/>
        </w:rPr>
        <w:t>., 2023</w:t>
      </w:r>
      <w:r w:rsidRPr="001001A3">
        <w:rPr>
          <w:rFonts w:ascii="Times New Roman" w:eastAsia="Times New Roman" w:hAnsi="Times New Roman" w:cs="Times New Roman"/>
          <w:sz w:val="24"/>
          <w:szCs w:val="24"/>
        </w:rPr>
        <w:t>)</w:t>
      </w:r>
      <w:r w:rsidR="00205211">
        <w:rPr>
          <w:rFonts w:ascii="Times New Roman" w:eastAsia="Times New Roman" w:hAnsi="Times New Roman" w:cs="Times New Roman"/>
          <w:sz w:val="24"/>
          <w:szCs w:val="24"/>
        </w:rPr>
        <w:t>.</w:t>
      </w:r>
    </w:p>
    <w:p w14:paraId="7D297A04"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q = 1 - p = 0.883</w:t>
      </w:r>
    </w:p>
    <w:p w14:paraId="3B3AEFC7" w14:textId="77777777" w:rsidR="001001A3" w:rsidRPr="001001A3" w:rsidRDefault="001001A3" w:rsidP="00A85A2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001A3">
        <w:rPr>
          <w:rFonts w:ascii="Times New Roman" w:eastAsia="Times New Roman" w:hAnsi="Times New Roman" w:cs="Times New Roman"/>
          <w:sz w:val="24"/>
          <w:szCs w:val="24"/>
        </w:rPr>
        <w:t>e = 0.05, the desired margin of error</w:t>
      </w:r>
    </w:p>
    <w:p w14:paraId="5F0D76BD" w14:textId="77777777" w:rsidR="001001A3" w:rsidRPr="001001A3" w:rsidRDefault="001001A3" w:rsidP="00A85A27">
      <w:pPr>
        <w:pStyle w:val="NormalWeb"/>
        <w:jc w:val="both"/>
      </w:pPr>
      <w:r w:rsidRPr="001001A3">
        <w:t>Substituting the values:</w:t>
      </w:r>
    </w:p>
    <w:p w14:paraId="22911B83" w14:textId="77777777" w:rsidR="001001A3" w:rsidRPr="001001A3" w:rsidRDefault="001001A3" w:rsidP="00A85A27">
      <w:pPr>
        <w:pStyle w:val="NormalWeb"/>
        <w:jc w:val="both"/>
      </w:pPr>
      <w:r w:rsidRPr="001001A3">
        <w:t>n0 = (1.96^2 * 0.117 * 0.883) / (0.05^2) = 158.75 ≈ 159</w:t>
      </w:r>
    </w:p>
    <w:p w14:paraId="78338665" w14:textId="090F5D58" w:rsidR="001001A3" w:rsidRDefault="001001A3" w:rsidP="00A85A27">
      <w:pPr>
        <w:pStyle w:val="NormalWeb"/>
        <w:jc w:val="both"/>
      </w:pPr>
      <w:r w:rsidRPr="001001A3">
        <w:t>Since the target population for the study was finite (N = 500), a</w:t>
      </w:r>
      <w:r w:rsidRPr="001001A3">
        <w:rPr>
          <w:b/>
          <w:bCs/>
        </w:rPr>
        <w:t xml:space="preserve"> </w:t>
      </w:r>
      <w:r w:rsidRPr="001001A3">
        <w:rPr>
          <w:rStyle w:val="Strong"/>
          <w:b w:val="0"/>
          <w:bCs w:val="0"/>
        </w:rPr>
        <w:t>finite population correction (FPC)</w:t>
      </w:r>
      <w:r w:rsidRPr="001001A3">
        <w:rPr>
          <w:b/>
          <w:bCs/>
        </w:rPr>
        <w:t xml:space="preserve"> </w:t>
      </w:r>
      <w:r w:rsidRPr="001001A3">
        <w:t>was applied (Krejcie &amp; Morgan, 1970</w:t>
      </w:r>
      <w:r>
        <w:t>).</w:t>
      </w:r>
    </w:p>
    <w:p w14:paraId="2C66308E" w14:textId="5FD7E330" w:rsidR="001001A3" w:rsidRPr="001001A3" w:rsidRDefault="001001A3" w:rsidP="00A85A27">
      <w:pPr>
        <w:pStyle w:val="NormalWeb"/>
        <w:jc w:val="both"/>
      </w:pPr>
      <w:r w:rsidRPr="001001A3">
        <w:t>n = n0 / (1 + (n0 - 1)/N) = 158.75 / (1 + (158.75 - 1)/500) = 158.75 / 1.3155 ≈ 121</w:t>
      </w:r>
    </w:p>
    <w:p w14:paraId="67618E20" w14:textId="77777777" w:rsidR="001001A3" w:rsidRPr="001001A3" w:rsidRDefault="001001A3" w:rsidP="00A85A27">
      <w:pPr>
        <w:pStyle w:val="NormalWeb"/>
        <w:jc w:val="both"/>
      </w:pPr>
      <w:r w:rsidRPr="001001A3">
        <w:t xml:space="preserve">To account for a potential </w:t>
      </w:r>
      <w:r w:rsidRPr="001001A3">
        <w:rPr>
          <w:rStyle w:val="Strong"/>
          <w:b w:val="0"/>
          <w:bCs w:val="0"/>
        </w:rPr>
        <w:t>10% non-response or drop-out rate</w:t>
      </w:r>
      <w:r w:rsidRPr="001001A3">
        <w:rPr>
          <w:b/>
          <w:bCs/>
        </w:rPr>
        <w:t>,</w:t>
      </w:r>
      <w:r w:rsidRPr="001001A3">
        <w:t xml:space="preserve"> the sample size was adjusted:</w:t>
      </w:r>
    </w:p>
    <w:p w14:paraId="249659F6" w14:textId="77777777" w:rsidR="001001A3" w:rsidRPr="001001A3" w:rsidRDefault="001001A3" w:rsidP="00A85A27">
      <w:pPr>
        <w:pStyle w:val="NormalWeb"/>
        <w:jc w:val="both"/>
      </w:pPr>
      <w:r w:rsidRPr="001001A3">
        <w:lastRenderedPageBreak/>
        <w:t>n_adj = 121 / (1 - 0.10) = 121 / 0.9 ≈ 135</w:t>
      </w:r>
    </w:p>
    <w:p w14:paraId="07AEDAC8" w14:textId="77777777" w:rsidR="001001A3" w:rsidRDefault="001001A3" w:rsidP="00A85A27">
      <w:pPr>
        <w:pStyle w:val="NormalWeb"/>
        <w:jc w:val="both"/>
      </w:pPr>
      <w:r w:rsidRPr="001001A3">
        <w:t xml:space="preserve">Therefore, the </w:t>
      </w:r>
      <w:r w:rsidRPr="001001A3">
        <w:rPr>
          <w:rStyle w:val="Strong"/>
          <w:b w:val="0"/>
          <w:bCs w:val="0"/>
        </w:rPr>
        <w:t>final sample size</w:t>
      </w:r>
      <w:r w:rsidRPr="001001A3">
        <w:t xml:space="preserve"> for the study was </w:t>
      </w:r>
      <w:r w:rsidRPr="001001A3">
        <w:rPr>
          <w:rStyle w:val="Strong"/>
          <w:b w:val="0"/>
          <w:bCs w:val="0"/>
        </w:rPr>
        <w:t>135 participants</w:t>
      </w:r>
      <w:r w:rsidRPr="001001A3">
        <w:t>.</w:t>
      </w:r>
    </w:p>
    <w:p w14:paraId="40F9DF73" w14:textId="0E58AB86" w:rsidR="001001A3" w:rsidRDefault="001001A3" w:rsidP="00A85A27">
      <w:pPr>
        <w:pStyle w:val="NormalWeb"/>
        <w:jc w:val="both"/>
      </w:pPr>
      <w:r>
        <w:t xml:space="preserve">The study design required a </w:t>
      </w:r>
      <w:r w:rsidRPr="001001A3">
        <w:rPr>
          <w:rStyle w:val="Strong"/>
          <w:b w:val="0"/>
          <w:bCs w:val="0"/>
        </w:rPr>
        <w:t>case-control ratio of 1:2</w:t>
      </w:r>
      <w:r>
        <w:t xml:space="preserve"> (Jaundice cases: non-jaundice controls). The total sample of 135 participants was divided as follows:</w:t>
      </w:r>
    </w:p>
    <w:p w14:paraId="4CFE231B" w14:textId="77777777" w:rsidR="001001A3" w:rsidRPr="001001A3" w:rsidRDefault="001001A3" w:rsidP="00A85A27">
      <w:pPr>
        <w:pStyle w:val="NormalWeb"/>
      </w:pPr>
      <w:r w:rsidRPr="001001A3">
        <w:t>Total parts = 1 + 2 = 3</w:t>
      </w:r>
    </w:p>
    <w:p w14:paraId="4C95A4F7" w14:textId="77777777" w:rsidR="001001A3" w:rsidRPr="001001A3" w:rsidRDefault="001001A3" w:rsidP="00A85A27">
      <w:pPr>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1001A3">
        <w:rPr>
          <w:rStyle w:val="Strong"/>
          <w:rFonts w:ascii="Times New Roman" w:eastAsia="Times New Roman" w:hAnsi="Times New Roman" w:cs="Times New Roman"/>
          <w:b w:val="0"/>
          <w:bCs w:val="0"/>
          <w:sz w:val="24"/>
          <w:szCs w:val="24"/>
        </w:rPr>
        <w:t xml:space="preserve">Cases </w:t>
      </w:r>
      <w:r w:rsidRPr="001001A3">
        <w:rPr>
          <w:rFonts w:ascii="Times New Roman" w:eastAsia="Times New Roman" w:hAnsi="Times New Roman" w:cs="Times New Roman"/>
          <w:sz w:val="24"/>
          <w:szCs w:val="24"/>
        </w:rPr>
        <w:t>= 1/3 × 135 = 45</w:t>
      </w:r>
    </w:p>
    <w:p w14:paraId="23E66FA0" w14:textId="566FBD59" w:rsidR="001001A3" w:rsidRPr="001001A3" w:rsidRDefault="001001A3" w:rsidP="00A85A2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001A3">
        <w:rPr>
          <w:rStyle w:val="Strong"/>
          <w:rFonts w:ascii="Times New Roman" w:eastAsia="Times New Roman" w:hAnsi="Times New Roman" w:cs="Times New Roman"/>
          <w:b w:val="0"/>
          <w:bCs w:val="0"/>
          <w:sz w:val="24"/>
          <w:szCs w:val="24"/>
        </w:rPr>
        <w:t>Controls</w:t>
      </w:r>
      <w:r w:rsidRPr="001001A3">
        <w:rPr>
          <w:rStyle w:val="Strong"/>
          <w:rFonts w:ascii="Times New Roman" w:eastAsia="Times New Roman" w:hAnsi="Times New Roman" w:cs="Times New Roman"/>
          <w:sz w:val="24"/>
          <w:szCs w:val="24"/>
        </w:rPr>
        <w:t xml:space="preserve"> </w:t>
      </w:r>
      <w:r w:rsidRPr="001001A3">
        <w:rPr>
          <w:rFonts w:ascii="Times New Roman" w:eastAsia="Times New Roman" w:hAnsi="Times New Roman" w:cs="Times New Roman"/>
          <w:sz w:val="24"/>
          <w:szCs w:val="24"/>
        </w:rPr>
        <w:t>= 2/3 × 135 = 90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Zeleke </w:t>
      </w:r>
      <w:r w:rsidRPr="00765C42">
        <w:rPr>
          <w:rFonts w:ascii="Times New Roman" w:hAnsi="Times New Roman" w:cs="Times New Roman"/>
          <w:i/>
          <w:iCs/>
          <w:sz w:val="24"/>
          <w:szCs w:val="24"/>
        </w:rPr>
        <w:t>et al.</w:t>
      </w:r>
      <w:r w:rsidR="00A85A27">
        <w:rPr>
          <w:rFonts w:ascii="Times New Roman" w:hAnsi="Times New Roman" w:cs="Times New Roman"/>
          <w:sz w:val="24"/>
          <w:szCs w:val="24"/>
        </w:rPr>
        <w:t xml:space="preserve">, </w:t>
      </w:r>
      <w:r>
        <w:rPr>
          <w:rFonts w:ascii="Times New Roman" w:hAnsi="Times New Roman" w:cs="Times New Roman"/>
          <w:sz w:val="24"/>
          <w:szCs w:val="24"/>
        </w:rPr>
        <w:t>2025</w:t>
      </w:r>
      <w:r w:rsidRPr="001001A3">
        <w:t>)</w:t>
      </w:r>
      <w:r>
        <w:t>.</w:t>
      </w:r>
    </w:p>
    <w:p w14:paraId="5A550312" w14:textId="7DD467CB" w:rsidR="001001A3" w:rsidRDefault="001001A3" w:rsidP="00A85A27">
      <w:pPr>
        <w:pStyle w:val="NormalWeb"/>
      </w:pPr>
      <w:r>
        <w:t xml:space="preserve">The figure was </w:t>
      </w:r>
      <w:r w:rsidR="00A85A27">
        <w:t>rounded</w:t>
      </w:r>
      <w:r>
        <w:t xml:space="preserve"> up to 137 to get a balanced ratio of 46:91 cases and </w:t>
      </w:r>
      <w:r w:rsidR="00A85A27">
        <w:t>controls,</w:t>
      </w:r>
      <w:r>
        <w:t xml:space="preserve"> respectively.</w:t>
      </w:r>
    </w:p>
    <w:p w14:paraId="59C60F78" w14:textId="5F302CA0" w:rsidR="00765C42" w:rsidRDefault="000D6485" w:rsidP="00A85A27">
      <w:pPr>
        <w:spacing w:line="240" w:lineRule="auto"/>
        <w:jc w:val="both"/>
        <w:rPr>
          <w:rFonts w:ascii="Times New Roman" w:hAnsi="Times New Roman" w:cs="Times New Roman"/>
          <w:sz w:val="24"/>
          <w:szCs w:val="24"/>
        </w:rPr>
      </w:pPr>
      <w:r w:rsidRPr="006F7F27">
        <w:rPr>
          <w:rFonts w:ascii="Times New Roman" w:hAnsi="Times New Roman" w:cs="Times New Roman"/>
          <w:sz w:val="24"/>
          <w:szCs w:val="24"/>
        </w:rPr>
        <w:t>That is 1:2 (Cases: Controls)</w:t>
      </w:r>
      <w:r w:rsidR="00765C42">
        <w:rPr>
          <w:rFonts w:ascii="Times New Roman" w:hAnsi="Times New Roman" w:cs="Times New Roman"/>
          <w:sz w:val="24"/>
          <w:szCs w:val="24"/>
        </w:rPr>
        <w:t>.</w:t>
      </w:r>
      <w:r w:rsidRPr="006F7F27">
        <w:rPr>
          <w:rFonts w:ascii="Times New Roman" w:hAnsi="Times New Roman" w:cs="Times New Roman"/>
          <w:sz w:val="24"/>
          <w:szCs w:val="24"/>
        </w:rPr>
        <w:t xml:space="preserve"> </w:t>
      </w:r>
      <w:r w:rsidR="00396F37">
        <w:rPr>
          <w:rFonts w:ascii="Times New Roman" w:hAnsi="Times New Roman" w:cs="Times New Roman"/>
          <w:sz w:val="24"/>
          <w:szCs w:val="24"/>
        </w:rPr>
        <w:t xml:space="preserve">Based on this, our calculated </w:t>
      </w:r>
      <w:r w:rsidRPr="006F7F27">
        <w:rPr>
          <w:rFonts w:ascii="Times New Roman" w:hAnsi="Times New Roman" w:cs="Times New Roman"/>
          <w:sz w:val="24"/>
          <w:szCs w:val="24"/>
        </w:rPr>
        <w:t>sample size w</w:t>
      </w:r>
      <w:r w:rsidR="005628C4">
        <w:rPr>
          <w:rFonts w:ascii="Times New Roman" w:hAnsi="Times New Roman" w:cs="Times New Roman"/>
          <w:sz w:val="24"/>
          <w:szCs w:val="24"/>
        </w:rPr>
        <w:t>as</w:t>
      </w:r>
      <w:r w:rsidR="00396F37">
        <w:rPr>
          <w:rFonts w:ascii="Times New Roman" w:hAnsi="Times New Roman" w:cs="Times New Roman"/>
          <w:sz w:val="24"/>
          <w:szCs w:val="24"/>
        </w:rPr>
        <w:t xml:space="preserve"> </w:t>
      </w:r>
      <w:r w:rsidRPr="006F7F27">
        <w:rPr>
          <w:rFonts w:ascii="Times New Roman" w:hAnsi="Times New Roman" w:cs="Times New Roman"/>
          <w:sz w:val="24"/>
          <w:szCs w:val="24"/>
        </w:rPr>
        <w:t>46 cases and 9</w:t>
      </w:r>
      <w:r w:rsidR="00ED05BC">
        <w:rPr>
          <w:rFonts w:ascii="Times New Roman" w:hAnsi="Times New Roman" w:cs="Times New Roman"/>
          <w:sz w:val="24"/>
          <w:szCs w:val="24"/>
        </w:rPr>
        <w:t>1</w:t>
      </w:r>
      <w:r w:rsidRPr="006F7F27">
        <w:rPr>
          <w:rFonts w:ascii="Times New Roman" w:hAnsi="Times New Roman" w:cs="Times New Roman"/>
          <w:sz w:val="24"/>
          <w:szCs w:val="24"/>
        </w:rPr>
        <w:t xml:space="preserve"> controls</w:t>
      </w:r>
      <w:r w:rsidR="00765C42">
        <w:rPr>
          <w:rFonts w:ascii="Times New Roman" w:hAnsi="Times New Roman" w:cs="Times New Roman"/>
          <w:sz w:val="24"/>
          <w:szCs w:val="24"/>
        </w:rPr>
        <w:t>.</w:t>
      </w:r>
    </w:p>
    <w:p w14:paraId="6AFE7C59" w14:textId="0A14C494" w:rsidR="00CC0A05" w:rsidRPr="00F658BB" w:rsidRDefault="00CC0A05" w:rsidP="00A85A27">
      <w:pPr>
        <w:spacing w:line="240" w:lineRule="auto"/>
        <w:jc w:val="both"/>
        <w:rPr>
          <w:rFonts w:ascii="Times New Roman" w:hAnsi="Times New Roman" w:cs="Times New Roman"/>
          <w:b/>
          <w:bCs/>
          <w:sz w:val="24"/>
          <w:szCs w:val="24"/>
        </w:rPr>
      </w:pPr>
      <w:r w:rsidRPr="00F658BB">
        <w:rPr>
          <w:rFonts w:ascii="Times New Roman" w:hAnsi="Times New Roman" w:cs="Times New Roman"/>
          <w:b/>
          <w:bCs/>
          <w:sz w:val="24"/>
          <w:szCs w:val="24"/>
        </w:rPr>
        <w:t>Collection and processing of blood samples.</w:t>
      </w:r>
    </w:p>
    <w:p w14:paraId="40EF34D4" w14:textId="1FDD29D1" w:rsidR="00CC0A05" w:rsidRPr="00F658BB" w:rsidRDefault="00F658BB"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B</w:t>
      </w:r>
      <w:r w:rsidR="00CC0A05" w:rsidRPr="00F658BB">
        <w:rPr>
          <w:rFonts w:ascii="Times New Roman" w:hAnsi="Times New Roman" w:cs="Times New Roman"/>
          <w:sz w:val="24"/>
          <w:szCs w:val="24"/>
        </w:rPr>
        <w:t>lood sample</w:t>
      </w:r>
      <w:r w:rsidRPr="00F658BB">
        <w:rPr>
          <w:rFonts w:ascii="Times New Roman" w:hAnsi="Times New Roman" w:cs="Times New Roman"/>
          <w:sz w:val="24"/>
          <w:szCs w:val="24"/>
        </w:rPr>
        <w:t>s (5 ml)</w:t>
      </w:r>
      <w:r w:rsidR="00CC0A05" w:rsidRPr="00F658BB">
        <w:rPr>
          <w:rFonts w:ascii="Times New Roman" w:hAnsi="Times New Roman" w:cs="Times New Roman"/>
          <w:sz w:val="24"/>
          <w:szCs w:val="24"/>
        </w:rPr>
        <w:t xml:space="preserve"> </w:t>
      </w:r>
      <w:r w:rsidRPr="00F658BB">
        <w:rPr>
          <w:rFonts w:ascii="Times New Roman" w:hAnsi="Times New Roman" w:cs="Times New Roman"/>
          <w:sz w:val="24"/>
          <w:szCs w:val="24"/>
        </w:rPr>
        <w:t>were</w:t>
      </w:r>
      <w:r w:rsidR="00CC0A05" w:rsidRPr="00F658BB">
        <w:rPr>
          <w:rFonts w:ascii="Times New Roman" w:hAnsi="Times New Roman" w:cs="Times New Roman"/>
          <w:sz w:val="24"/>
          <w:szCs w:val="24"/>
        </w:rPr>
        <w:t xml:space="preserve"> collected </w:t>
      </w:r>
      <w:r w:rsidRPr="00F658BB">
        <w:rPr>
          <w:rFonts w:ascii="Times New Roman" w:hAnsi="Times New Roman" w:cs="Times New Roman"/>
          <w:sz w:val="24"/>
          <w:szCs w:val="24"/>
        </w:rPr>
        <w:t xml:space="preserve">from patients and controls </w:t>
      </w:r>
      <w:r w:rsidR="00CC0A05" w:rsidRPr="00F658BB">
        <w:rPr>
          <w:rFonts w:ascii="Times New Roman" w:hAnsi="Times New Roman" w:cs="Times New Roman"/>
          <w:sz w:val="24"/>
          <w:szCs w:val="24"/>
        </w:rPr>
        <w:t xml:space="preserve">using vacutainers into plain </w:t>
      </w:r>
      <w:r w:rsidRPr="00F658BB">
        <w:rPr>
          <w:rFonts w:ascii="Times New Roman" w:hAnsi="Times New Roman" w:cs="Times New Roman"/>
          <w:sz w:val="24"/>
          <w:szCs w:val="24"/>
        </w:rPr>
        <w:t xml:space="preserve">labelled </w:t>
      </w:r>
      <w:r w:rsidR="00CC0A05" w:rsidRPr="00F658BB">
        <w:rPr>
          <w:rFonts w:ascii="Times New Roman" w:hAnsi="Times New Roman" w:cs="Times New Roman"/>
          <w:sz w:val="24"/>
          <w:szCs w:val="24"/>
        </w:rPr>
        <w:t>container</w:t>
      </w:r>
      <w:r w:rsidRPr="00F658BB">
        <w:rPr>
          <w:rFonts w:ascii="Times New Roman" w:hAnsi="Times New Roman" w:cs="Times New Roman"/>
          <w:sz w:val="24"/>
          <w:szCs w:val="24"/>
        </w:rPr>
        <w:t>s</w:t>
      </w:r>
      <w:r w:rsidR="00CC0A05" w:rsidRPr="00F658BB">
        <w:rPr>
          <w:rFonts w:ascii="Times New Roman" w:hAnsi="Times New Roman" w:cs="Times New Roman"/>
          <w:sz w:val="24"/>
          <w:szCs w:val="24"/>
        </w:rPr>
        <w:t>. They were</w:t>
      </w:r>
      <w:r w:rsidRPr="00F658BB">
        <w:rPr>
          <w:rFonts w:ascii="Times New Roman" w:hAnsi="Times New Roman" w:cs="Times New Roman"/>
          <w:sz w:val="24"/>
          <w:szCs w:val="24"/>
        </w:rPr>
        <w:t xml:space="preserve"> </w:t>
      </w:r>
      <w:r w:rsidR="00CC0A05" w:rsidRPr="00F658BB">
        <w:rPr>
          <w:rFonts w:ascii="Times New Roman" w:hAnsi="Times New Roman" w:cs="Times New Roman"/>
          <w:sz w:val="24"/>
          <w:szCs w:val="24"/>
        </w:rPr>
        <w:t>allowed to clot and retract. They were then centrifuged at 3,000 revolutions per second. The serum obtained was transferred into sterile plain containers and then labelled appropriately. These were then stored frozen at -20 degrees Celsius until needed for analysis.</w:t>
      </w:r>
      <w:r w:rsidR="00324EF3">
        <w:rPr>
          <w:rFonts w:ascii="Times New Roman" w:hAnsi="Times New Roman" w:cs="Times New Roman"/>
          <w:sz w:val="24"/>
          <w:szCs w:val="24"/>
        </w:rPr>
        <w:t xml:space="preserve"> </w:t>
      </w:r>
      <w:r w:rsidR="00324EF3" w:rsidRPr="00110EBE">
        <w:rPr>
          <w:rFonts w:ascii="Times New Roman" w:hAnsi="Times New Roman" w:cs="Times New Roman"/>
          <w:sz w:val="24"/>
          <w:szCs w:val="24"/>
        </w:rPr>
        <w:t>Bilirubin (Direct and Total)</w:t>
      </w:r>
      <w:r w:rsidR="00396F37">
        <w:rPr>
          <w:rFonts w:ascii="Times New Roman" w:hAnsi="Times New Roman" w:cs="Times New Roman"/>
          <w:sz w:val="24"/>
          <w:szCs w:val="24"/>
        </w:rPr>
        <w:t xml:space="preserve"> was estimated by the</w:t>
      </w:r>
      <w:r w:rsidR="00324EF3">
        <w:rPr>
          <w:rFonts w:ascii="Times New Roman" w:hAnsi="Times New Roman" w:cs="Times New Roman"/>
          <w:sz w:val="24"/>
          <w:szCs w:val="24"/>
        </w:rPr>
        <w:t xml:space="preserve"> </w:t>
      </w:r>
      <w:r w:rsidR="00324EF3" w:rsidRPr="00F658BB">
        <w:rPr>
          <w:rFonts w:ascii="Times New Roman" w:hAnsi="Times New Roman" w:cs="Times New Roman"/>
          <w:sz w:val="24"/>
          <w:szCs w:val="24"/>
        </w:rPr>
        <w:t>Jendrassik-Grof method</w:t>
      </w:r>
      <w:r w:rsidR="00324EF3" w:rsidRPr="00110EBE">
        <w:rPr>
          <w:rFonts w:ascii="Times New Roman" w:hAnsi="Times New Roman" w:cs="Times New Roman"/>
          <w:sz w:val="24"/>
          <w:szCs w:val="24"/>
        </w:rPr>
        <w:t>, AST, ALT, ALP and LDH levels</w:t>
      </w:r>
      <w:r w:rsidR="00324EF3">
        <w:rPr>
          <w:rFonts w:ascii="Times New Roman" w:hAnsi="Times New Roman" w:cs="Times New Roman"/>
          <w:sz w:val="24"/>
          <w:szCs w:val="24"/>
        </w:rPr>
        <w:t xml:space="preserve"> </w:t>
      </w:r>
      <w:r w:rsidR="00396F37">
        <w:rPr>
          <w:rFonts w:ascii="Times New Roman" w:hAnsi="Times New Roman" w:cs="Times New Roman"/>
          <w:sz w:val="24"/>
          <w:szCs w:val="24"/>
        </w:rPr>
        <w:t xml:space="preserve">were </w:t>
      </w:r>
      <w:r w:rsidR="00A85A27">
        <w:rPr>
          <w:rFonts w:ascii="Times New Roman" w:hAnsi="Times New Roman" w:cs="Times New Roman"/>
          <w:sz w:val="24"/>
          <w:szCs w:val="24"/>
        </w:rPr>
        <w:t>determined</w:t>
      </w:r>
      <w:r w:rsidR="00396F37">
        <w:rPr>
          <w:rFonts w:ascii="Times New Roman" w:hAnsi="Times New Roman" w:cs="Times New Roman"/>
          <w:sz w:val="24"/>
          <w:szCs w:val="24"/>
        </w:rPr>
        <w:t xml:space="preserve"> by the </w:t>
      </w:r>
      <w:r w:rsidR="00324EF3" w:rsidRPr="00F658BB">
        <w:rPr>
          <w:rFonts w:ascii="Times New Roman" w:hAnsi="Times New Roman" w:cs="Times New Roman"/>
          <w:sz w:val="24"/>
          <w:szCs w:val="24"/>
        </w:rPr>
        <w:t>IFCC method</w:t>
      </w:r>
      <w:r w:rsidR="00324EF3" w:rsidRPr="00110EBE">
        <w:rPr>
          <w:rFonts w:ascii="Times New Roman" w:hAnsi="Times New Roman" w:cs="Times New Roman"/>
          <w:sz w:val="24"/>
          <w:szCs w:val="24"/>
        </w:rPr>
        <w:t xml:space="preserve"> </w:t>
      </w:r>
      <w:r w:rsidR="00396F37">
        <w:rPr>
          <w:rFonts w:ascii="Times New Roman" w:hAnsi="Times New Roman" w:cs="Times New Roman"/>
          <w:sz w:val="24"/>
          <w:szCs w:val="24"/>
        </w:rPr>
        <w:t xml:space="preserve">using </w:t>
      </w:r>
      <w:r w:rsidR="00324EF3">
        <w:rPr>
          <w:rFonts w:ascii="Times New Roman" w:hAnsi="Times New Roman" w:cs="Times New Roman"/>
          <w:sz w:val="24"/>
          <w:szCs w:val="24"/>
        </w:rPr>
        <w:t>DiaLab reagents (</w:t>
      </w:r>
      <w:r w:rsidR="00324EF3" w:rsidRPr="00F658BB">
        <w:rPr>
          <w:rFonts w:ascii="Times New Roman" w:hAnsi="Times New Roman" w:cs="Times New Roman"/>
          <w:sz w:val="24"/>
          <w:szCs w:val="24"/>
        </w:rPr>
        <w:t>DiaLab Austria</w:t>
      </w:r>
      <w:r w:rsidR="00324EF3">
        <w:rPr>
          <w:rFonts w:ascii="Times New Roman" w:hAnsi="Times New Roman" w:cs="Times New Roman"/>
          <w:sz w:val="24"/>
          <w:szCs w:val="24"/>
        </w:rPr>
        <w:t xml:space="preserve">) </w:t>
      </w:r>
      <w:r w:rsidR="00C00C16">
        <w:rPr>
          <w:rFonts w:ascii="Times New Roman" w:hAnsi="Times New Roman" w:cs="Times New Roman"/>
          <w:sz w:val="24"/>
          <w:szCs w:val="24"/>
        </w:rPr>
        <w:t>with</w:t>
      </w:r>
      <w:r w:rsidR="00324EF3" w:rsidRPr="00110EBE">
        <w:rPr>
          <w:rFonts w:ascii="Times New Roman" w:hAnsi="Times New Roman" w:cs="Times New Roman"/>
          <w:sz w:val="24"/>
          <w:szCs w:val="24"/>
        </w:rPr>
        <w:t xml:space="preserve"> </w:t>
      </w:r>
      <w:r w:rsidR="00324EF3">
        <w:rPr>
          <w:rFonts w:ascii="Times New Roman" w:hAnsi="Times New Roman" w:cs="Times New Roman"/>
          <w:sz w:val="24"/>
          <w:szCs w:val="24"/>
        </w:rPr>
        <w:t>the fully automated ChemWell 2902 Bichemistry Analyser (Awareness Technologies, USA).</w:t>
      </w:r>
    </w:p>
    <w:p w14:paraId="16DC7321" w14:textId="4E5289CA" w:rsidR="00CC0A05" w:rsidRPr="00F658BB" w:rsidRDefault="003A71FD" w:rsidP="00A85A27">
      <w:pPr>
        <w:spacing w:line="240" w:lineRule="auto"/>
        <w:jc w:val="both"/>
        <w:rPr>
          <w:rFonts w:ascii="Times New Roman" w:hAnsi="Times New Roman" w:cs="Times New Roman"/>
          <w:b/>
          <w:bCs/>
          <w:sz w:val="24"/>
          <w:szCs w:val="24"/>
        </w:rPr>
      </w:pPr>
      <w:r w:rsidRPr="00F658BB">
        <w:rPr>
          <w:rFonts w:ascii="Times New Roman" w:hAnsi="Times New Roman" w:cs="Times New Roman"/>
          <w:b/>
          <w:bCs/>
          <w:sz w:val="24"/>
          <w:szCs w:val="24"/>
        </w:rPr>
        <w:t>Statistical Analysis</w:t>
      </w:r>
    </w:p>
    <w:p w14:paraId="11703F1E" w14:textId="77777777" w:rsidR="00445BDE" w:rsidRDefault="00CC0A05"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 xml:space="preserve">Descriptive Statistics </w:t>
      </w:r>
      <w:r w:rsidR="00F9316E">
        <w:rPr>
          <w:rFonts w:ascii="Times New Roman" w:hAnsi="Times New Roman" w:cs="Times New Roman"/>
          <w:sz w:val="24"/>
          <w:szCs w:val="24"/>
        </w:rPr>
        <w:t xml:space="preserve">was used for the </w:t>
      </w:r>
      <w:r w:rsidRPr="00F658BB">
        <w:rPr>
          <w:rFonts w:ascii="Times New Roman" w:hAnsi="Times New Roman" w:cs="Times New Roman"/>
          <w:sz w:val="24"/>
          <w:szCs w:val="24"/>
        </w:rPr>
        <w:t>Mean ± Standard Deviation (SD) to summarise biochemical parameters (bilirubin, AST, ALT, ALP, LDH) for both</w:t>
      </w:r>
      <w:r w:rsidR="00F9316E">
        <w:rPr>
          <w:rFonts w:ascii="Times New Roman" w:hAnsi="Times New Roman" w:cs="Times New Roman"/>
          <w:sz w:val="24"/>
          <w:szCs w:val="24"/>
        </w:rPr>
        <w:t xml:space="preserve"> jaundice</w:t>
      </w:r>
      <w:r w:rsidRPr="00F658BB">
        <w:rPr>
          <w:rFonts w:ascii="Times New Roman" w:hAnsi="Times New Roman" w:cs="Times New Roman"/>
          <w:sz w:val="24"/>
          <w:szCs w:val="24"/>
        </w:rPr>
        <w:t xml:space="preserve"> cases and controls.</w:t>
      </w:r>
      <w:r w:rsidR="00F9316E">
        <w:rPr>
          <w:rFonts w:ascii="Times New Roman" w:hAnsi="Times New Roman" w:cs="Times New Roman"/>
          <w:sz w:val="24"/>
          <w:szCs w:val="24"/>
        </w:rPr>
        <w:t xml:space="preserve"> </w:t>
      </w:r>
      <w:r w:rsidRPr="00F658BB">
        <w:rPr>
          <w:rFonts w:ascii="Times New Roman" w:hAnsi="Times New Roman" w:cs="Times New Roman"/>
          <w:sz w:val="24"/>
          <w:szCs w:val="24"/>
        </w:rPr>
        <w:t>Frequencies and percentages were used to present demographic variables (e.g., sex, age distribution).</w:t>
      </w:r>
      <w:r w:rsidR="00F9316E">
        <w:rPr>
          <w:rFonts w:ascii="Times New Roman" w:hAnsi="Times New Roman" w:cs="Times New Roman"/>
          <w:sz w:val="24"/>
          <w:szCs w:val="24"/>
        </w:rPr>
        <w:t xml:space="preserve"> </w:t>
      </w:r>
    </w:p>
    <w:p w14:paraId="3C181E87" w14:textId="28B5D531" w:rsidR="00CC0A05" w:rsidRPr="00F658BB" w:rsidRDefault="00CC0A05" w:rsidP="00A85A27">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 xml:space="preserve">An Independent Samples t-test was applied to compare the mean values of biochemical parameters between </w:t>
      </w:r>
      <w:r w:rsidR="00F9316E">
        <w:rPr>
          <w:rFonts w:ascii="Times New Roman" w:hAnsi="Times New Roman" w:cs="Times New Roman"/>
          <w:sz w:val="24"/>
          <w:szCs w:val="24"/>
        </w:rPr>
        <w:t>the</w:t>
      </w:r>
      <w:r w:rsidRPr="00F658BB">
        <w:rPr>
          <w:rFonts w:ascii="Times New Roman" w:hAnsi="Times New Roman" w:cs="Times New Roman"/>
          <w:sz w:val="24"/>
          <w:szCs w:val="24"/>
        </w:rPr>
        <w:t xml:space="preserve"> cases and controls.</w:t>
      </w:r>
      <w:r w:rsidR="00445BDE">
        <w:rPr>
          <w:rFonts w:ascii="Times New Roman" w:hAnsi="Times New Roman" w:cs="Times New Roman"/>
          <w:sz w:val="24"/>
          <w:szCs w:val="24"/>
        </w:rPr>
        <w:t xml:space="preserve"> </w:t>
      </w:r>
      <w:r w:rsidRPr="00F658BB">
        <w:rPr>
          <w:rFonts w:ascii="Times New Roman" w:hAnsi="Times New Roman" w:cs="Times New Roman"/>
          <w:sz w:val="24"/>
          <w:szCs w:val="24"/>
        </w:rPr>
        <w:t>One-Way Analysis of Variance (ANOVA) was used to compare mean biochemical values across different age categories of neonates (1</w:t>
      </w:r>
      <w:r w:rsidR="001001A3">
        <w:rPr>
          <w:rFonts w:ascii="Times New Roman" w:hAnsi="Times New Roman" w:cs="Times New Roman"/>
          <w:sz w:val="24"/>
          <w:szCs w:val="24"/>
        </w:rPr>
        <w:t>-</w:t>
      </w:r>
      <w:r w:rsidRPr="00F658BB">
        <w:rPr>
          <w:rFonts w:ascii="Times New Roman" w:hAnsi="Times New Roman" w:cs="Times New Roman"/>
          <w:sz w:val="24"/>
          <w:szCs w:val="24"/>
        </w:rPr>
        <w:t>5 days, 6</w:t>
      </w:r>
      <w:r w:rsidR="001001A3">
        <w:rPr>
          <w:rFonts w:ascii="Times New Roman" w:hAnsi="Times New Roman" w:cs="Times New Roman"/>
          <w:sz w:val="24"/>
          <w:szCs w:val="24"/>
        </w:rPr>
        <w:t>-</w:t>
      </w:r>
      <w:r w:rsidRPr="00F658BB">
        <w:rPr>
          <w:rFonts w:ascii="Times New Roman" w:hAnsi="Times New Roman" w:cs="Times New Roman"/>
          <w:sz w:val="24"/>
          <w:szCs w:val="24"/>
        </w:rPr>
        <w:t>10 days, &gt;10 days).</w:t>
      </w:r>
      <w:r w:rsidR="00445BDE">
        <w:rPr>
          <w:rFonts w:ascii="Times New Roman" w:hAnsi="Times New Roman" w:cs="Times New Roman"/>
          <w:sz w:val="24"/>
          <w:szCs w:val="24"/>
        </w:rPr>
        <w:t xml:space="preserve"> </w:t>
      </w:r>
      <w:r w:rsidRPr="00F658BB">
        <w:rPr>
          <w:rFonts w:ascii="Times New Roman" w:hAnsi="Times New Roman" w:cs="Times New Roman"/>
          <w:sz w:val="24"/>
          <w:szCs w:val="24"/>
        </w:rPr>
        <w:t>Pearson’s Correlation Coefficient (r) was used to assess the relationship between bilirubin levels and liver enzymes</w:t>
      </w:r>
      <w:r w:rsidR="00F9316E">
        <w:rPr>
          <w:rFonts w:ascii="Times New Roman" w:hAnsi="Times New Roman" w:cs="Times New Roman"/>
          <w:sz w:val="24"/>
          <w:szCs w:val="24"/>
        </w:rPr>
        <w:t xml:space="preserve"> and </w:t>
      </w:r>
      <w:r w:rsidRPr="00F658BB">
        <w:rPr>
          <w:rFonts w:ascii="Times New Roman" w:hAnsi="Times New Roman" w:cs="Times New Roman"/>
          <w:sz w:val="24"/>
          <w:szCs w:val="24"/>
        </w:rPr>
        <w:t>LDH.</w:t>
      </w:r>
      <w:r w:rsidR="00F9316E">
        <w:rPr>
          <w:rFonts w:ascii="Times New Roman" w:hAnsi="Times New Roman" w:cs="Times New Roman"/>
          <w:sz w:val="24"/>
          <w:szCs w:val="24"/>
        </w:rPr>
        <w:t xml:space="preserve"> </w:t>
      </w:r>
      <w:r w:rsidRPr="00F658BB">
        <w:rPr>
          <w:rFonts w:ascii="Times New Roman" w:hAnsi="Times New Roman" w:cs="Times New Roman"/>
          <w:sz w:val="24"/>
          <w:szCs w:val="24"/>
        </w:rPr>
        <w:t>Statistical significance was set at p &lt; 0.05</w:t>
      </w:r>
      <w:r w:rsidR="00445BDE">
        <w:rPr>
          <w:rFonts w:ascii="Times New Roman" w:hAnsi="Times New Roman" w:cs="Times New Roman"/>
          <w:sz w:val="24"/>
          <w:szCs w:val="24"/>
        </w:rPr>
        <w:t>.</w:t>
      </w:r>
    </w:p>
    <w:p w14:paraId="667D1AAE" w14:textId="77777777" w:rsidR="00A85A27" w:rsidRDefault="00A85A27" w:rsidP="006F7F27">
      <w:pPr>
        <w:spacing w:line="360" w:lineRule="auto"/>
        <w:rPr>
          <w:rFonts w:ascii="Times New Roman" w:hAnsi="Times New Roman" w:cs="Times New Roman"/>
          <w:b/>
          <w:bCs/>
          <w:sz w:val="24"/>
          <w:szCs w:val="24"/>
        </w:rPr>
      </w:pPr>
    </w:p>
    <w:p w14:paraId="7F94BBCB" w14:textId="77777777" w:rsidR="00A85A27" w:rsidRDefault="00A85A27" w:rsidP="006F7F27">
      <w:pPr>
        <w:spacing w:line="360" w:lineRule="auto"/>
        <w:rPr>
          <w:rFonts w:ascii="Times New Roman" w:hAnsi="Times New Roman" w:cs="Times New Roman"/>
          <w:b/>
          <w:bCs/>
          <w:sz w:val="24"/>
          <w:szCs w:val="24"/>
        </w:rPr>
      </w:pPr>
    </w:p>
    <w:p w14:paraId="676793C9" w14:textId="77777777" w:rsidR="00A85A27" w:rsidRDefault="00A85A27" w:rsidP="006F7F27">
      <w:pPr>
        <w:spacing w:line="360" w:lineRule="auto"/>
        <w:rPr>
          <w:rFonts w:ascii="Times New Roman" w:hAnsi="Times New Roman" w:cs="Times New Roman"/>
          <w:b/>
          <w:bCs/>
          <w:sz w:val="24"/>
          <w:szCs w:val="24"/>
        </w:rPr>
      </w:pPr>
    </w:p>
    <w:p w14:paraId="3289C908" w14:textId="77777777" w:rsidR="00A85A27" w:rsidRDefault="00A85A27" w:rsidP="006F7F27">
      <w:pPr>
        <w:spacing w:line="360" w:lineRule="auto"/>
        <w:rPr>
          <w:rFonts w:ascii="Times New Roman" w:hAnsi="Times New Roman" w:cs="Times New Roman"/>
          <w:b/>
          <w:bCs/>
          <w:sz w:val="24"/>
          <w:szCs w:val="24"/>
        </w:rPr>
      </w:pPr>
    </w:p>
    <w:p w14:paraId="607222A8" w14:textId="77777777" w:rsidR="00A85A27" w:rsidRDefault="00A85A27" w:rsidP="006F7F27">
      <w:pPr>
        <w:spacing w:line="360" w:lineRule="auto"/>
        <w:rPr>
          <w:rFonts w:ascii="Times New Roman" w:hAnsi="Times New Roman" w:cs="Times New Roman"/>
          <w:b/>
          <w:bCs/>
          <w:sz w:val="24"/>
          <w:szCs w:val="24"/>
        </w:rPr>
      </w:pPr>
    </w:p>
    <w:p w14:paraId="79D802D1" w14:textId="77777777" w:rsidR="00A85A27" w:rsidRDefault="00A85A27" w:rsidP="006F7F27">
      <w:pPr>
        <w:spacing w:line="360" w:lineRule="auto"/>
        <w:rPr>
          <w:rFonts w:ascii="Times New Roman" w:hAnsi="Times New Roman" w:cs="Times New Roman"/>
          <w:b/>
          <w:bCs/>
          <w:sz w:val="24"/>
          <w:szCs w:val="24"/>
        </w:rPr>
      </w:pPr>
    </w:p>
    <w:p w14:paraId="2312F433" w14:textId="15A86FDC" w:rsidR="00CC0A05" w:rsidRPr="005F1B99" w:rsidRDefault="00EF4562" w:rsidP="00A85A27">
      <w:pPr>
        <w:spacing w:line="240" w:lineRule="auto"/>
        <w:rPr>
          <w:rFonts w:ascii="Times New Roman" w:hAnsi="Times New Roman" w:cs="Times New Roman"/>
          <w:b/>
          <w:bCs/>
          <w:sz w:val="24"/>
          <w:szCs w:val="24"/>
        </w:rPr>
      </w:pPr>
      <w:r w:rsidRPr="005F1B99">
        <w:rPr>
          <w:rFonts w:ascii="Times New Roman" w:hAnsi="Times New Roman" w:cs="Times New Roman"/>
          <w:b/>
          <w:bCs/>
          <w:sz w:val="24"/>
          <w:szCs w:val="24"/>
        </w:rPr>
        <w:t>Results</w:t>
      </w:r>
    </w:p>
    <w:p w14:paraId="6A7BAD8A" w14:textId="253C9FC9" w:rsidR="005F1B99" w:rsidRPr="00A85A27" w:rsidRDefault="00EF4562" w:rsidP="00A85A27">
      <w:pPr>
        <w:spacing w:line="240" w:lineRule="auto"/>
        <w:rPr>
          <w:rFonts w:ascii="Times New Roman" w:hAnsi="Times New Roman" w:cs="Times New Roman"/>
          <w:b/>
          <w:bCs/>
          <w:sz w:val="24"/>
          <w:szCs w:val="24"/>
        </w:rPr>
      </w:pPr>
      <w:r w:rsidRPr="00A85A27">
        <w:rPr>
          <w:rFonts w:ascii="Times New Roman" w:hAnsi="Times New Roman" w:cs="Times New Roman"/>
          <w:b/>
          <w:bCs/>
          <w:sz w:val="24"/>
          <w:szCs w:val="24"/>
        </w:rPr>
        <w:t xml:space="preserve">The demographic </w:t>
      </w:r>
      <w:r w:rsidR="005F1B99" w:rsidRPr="00A85A27">
        <w:rPr>
          <w:rFonts w:ascii="Times New Roman" w:hAnsi="Times New Roman" w:cs="Times New Roman"/>
          <w:b/>
          <w:bCs/>
          <w:sz w:val="24"/>
          <w:szCs w:val="24"/>
        </w:rPr>
        <w:t>characteristics</w:t>
      </w:r>
      <w:r w:rsidRPr="00A85A27">
        <w:rPr>
          <w:rFonts w:ascii="Times New Roman" w:hAnsi="Times New Roman" w:cs="Times New Roman"/>
          <w:b/>
          <w:bCs/>
          <w:sz w:val="24"/>
          <w:szCs w:val="24"/>
        </w:rPr>
        <w:t xml:space="preserve"> of the study participants. </w:t>
      </w:r>
    </w:p>
    <w:p w14:paraId="74D95039" w14:textId="00D5E980" w:rsidR="008D0F90" w:rsidRPr="008D0F90" w:rsidRDefault="005F1B99" w:rsidP="00A85A27">
      <w:pPr>
        <w:spacing w:line="240" w:lineRule="auto"/>
        <w:jc w:val="both"/>
        <w:rPr>
          <w:rFonts w:ascii="Times New Roman" w:hAnsi="Times New Roman" w:cs="Times New Roman"/>
          <w:sz w:val="24"/>
          <w:szCs w:val="24"/>
        </w:rPr>
      </w:pPr>
      <w:r w:rsidRPr="00BC647B">
        <w:rPr>
          <w:rFonts w:ascii="Times New Roman" w:hAnsi="Times New Roman" w:cs="Times New Roman"/>
          <w:sz w:val="24"/>
          <w:szCs w:val="24"/>
        </w:rPr>
        <w:t>The participants were grouped based on age and gender (Table 1)</w:t>
      </w:r>
      <w:r w:rsidR="00501390" w:rsidRPr="00BC647B">
        <w:rPr>
          <w:rFonts w:ascii="Times New Roman" w:hAnsi="Times New Roman" w:cs="Times New Roman"/>
          <w:sz w:val="24"/>
          <w:szCs w:val="24"/>
        </w:rPr>
        <w:t xml:space="preserve">. </w:t>
      </w:r>
      <w:r w:rsidR="00BC647B">
        <w:rPr>
          <w:rFonts w:ascii="Times New Roman" w:hAnsi="Times New Roman" w:cs="Times New Roman"/>
          <w:sz w:val="24"/>
          <w:szCs w:val="24"/>
        </w:rPr>
        <w:t>The majority</w:t>
      </w:r>
      <w:r w:rsidRPr="00BC647B">
        <w:rPr>
          <w:rFonts w:ascii="Times New Roman" w:hAnsi="Times New Roman" w:cs="Times New Roman"/>
          <w:sz w:val="24"/>
          <w:szCs w:val="24"/>
        </w:rPr>
        <w:t xml:space="preserve"> were between 6</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10 days old (33.6%), followed by 1</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5 days (27.0%) and 11</w:t>
      </w:r>
      <w:r w:rsidR="00501390" w:rsidRPr="00BC647B">
        <w:rPr>
          <w:rFonts w:ascii="Times New Roman" w:hAnsi="Times New Roman" w:cs="Times New Roman"/>
          <w:sz w:val="24"/>
          <w:szCs w:val="24"/>
        </w:rPr>
        <w:t>-</w:t>
      </w:r>
      <w:r w:rsidRPr="00BC647B">
        <w:rPr>
          <w:rFonts w:ascii="Times New Roman" w:hAnsi="Times New Roman" w:cs="Times New Roman"/>
          <w:sz w:val="24"/>
          <w:szCs w:val="24"/>
        </w:rPr>
        <w:t xml:space="preserve">15 days (21.9%). </w:t>
      </w:r>
      <w:r w:rsidR="00EF4562" w:rsidRPr="00BC647B">
        <w:rPr>
          <w:rFonts w:ascii="Times New Roman" w:hAnsi="Times New Roman" w:cs="Times New Roman"/>
          <w:sz w:val="24"/>
          <w:szCs w:val="24"/>
        </w:rPr>
        <w:t xml:space="preserve">The </w:t>
      </w:r>
      <w:r w:rsidRPr="00BC647B">
        <w:rPr>
          <w:rFonts w:ascii="Times New Roman" w:hAnsi="Times New Roman" w:cs="Times New Roman"/>
          <w:sz w:val="24"/>
          <w:szCs w:val="24"/>
        </w:rPr>
        <w:t>gender</w:t>
      </w:r>
      <w:r w:rsidR="00BC647B" w:rsidRPr="00BC647B">
        <w:rPr>
          <w:rFonts w:ascii="Times New Roman" w:hAnsi="Times New Roman" w:cs="Times New Roman"/>
          <w:sz w:val="24"/>
          <w:szCs w:val="24"/>
        </w:rPr>
        <w:t xml:space="preserve"> </w:t>
      </w:r>
      <w:r w:rsidR="00EF4562" w:rsidRPr="00BC647B">
        <w:rPr>
          <w:rFonts w:ascii="Times New Roman" w:hAnsi="Times New Roman" w:cs="Times New Roman"/>
          <w:sz w:val="24"/>
          <w:szCs w:val="24"/>
        </w:rPr>
        <w:t>distribution indicate</w:t>
      </w:r>
      <w:r w:rsidRPr="00BC647B">
        <w:rPr>
          <w:rFonts w:ascii="Times New Roman" w:hAnsi="Times New Roman" w:cs="Times New Roman"/>
          <w:sz w:val="24"/>
          <w:szCs w:val="24"/>
        </w:rPr>
        <w:t>d</w:t>
      </w:r>
      <w:r w:rsidR="00EF4562" w:rsidRPr="00BC647B">
        <w:rPr>
          <w:rFonts w:ascii="Times New Roman" w:hAnsi="Times New Roman" w:cs="Times New Roman"/>
          <w:sz w:val="24"/>
          <w:szCs w:val="24"/>
        </w:rPr>
        <w:t xml:space="preserve"> a higher proportion of males (56.2%) compared to females (43.8%).</w:t>
      </w:r>
    </w:p>
    <w:p w14:paraId="2D2B9E75" w14:textId="77777777" w:rsidR="008D0F90" w:rsidRDefault="008D0F90" w:rsidP="00EF4562">
      <w:pPr>
        <w:spacing w:line="480" w:lineRule="auto"/>
        <w:rPr>
          <w:rFonts w:ascii="Times New Roman" w:hAnsi="Times New Roman" w:cs="Times New Roman"/>
          <w:b/>
          <w:bCs/>
          <w:sz w:val="24"/>
          <w:szCs w:val="24"/>
        </w:rPr>
      </w:pPr>
    </w:p>
    <w:p w14:paraId="06241756" w14:textId="1BCD470E" w:rsidR="007E1C8D" w:rsidRPr="005F1B99" w:rsidRDefault="00EF4562" w:rsidP="00EF4562">
      <w:pPr>
        <w:spacing w:line="480" w:lineRule="auto"/>
        <w:rPr>
          <w:rFonts w:ascii="Times New Roman" w:hAnsi="Times New Roman" w:cs="Times New Roman"/>
          <w:b/>
          <w:bCs/>
          <w:sz w:val="24"/>
          <w:szCs w:val="24"/>
        </w:rPr>
      </w:pPr>
      <w:r w:rsidRPr="005F1B99">
        <w:rPr>
          <w:rFonts w:ascii="Times New Roman" w:hAnsi="Times New Roman" w:cs="Times New Roman"/>
          <w:b/>
          <w:bCs/>
          <w:sz w:val="24"/>
          <w:szCs w:val="24"/>
        </w:rPr>
        <w:t xml:space="preserve">Table </w:t>
      </w:r>
      <w:r w:rsidR="004218E6">
        <w:rPr>
          <w:rFonts w:ascii="Times New Roman" w:hAnsi="Times New Roman" w:cs="Times New Roman"/>
          <w:b/>
          <w:bCs/>
          <w:sz w:val="24"/>
          <w:szCs w:val="24"/>
        </w:rPr>
        <w:t>1.</w:t>
      </w:r>
      <w:r w:rsidRPr="005F1B99">
        <w:rPr>
          <w:rFonts w:ascii="Times New Roman" w:hAnsi="Times New Roman" w:cs="Times New Roman"/>
          <w:b/>
          <w:bCs/>
          <w:sz w:val="24"/>
          <w:szCs w:val="24"/>
        </w:rPr>
        <w:t xml:space="preserve"> Demographic Characteristics of Study Participants by </w:t>
      </w:r>
      <w:r w:rsidR="00A57256" w:rsidRPr="005F1B99">
        <w:rPr>
          <w:rFonts w:ascii="Times New Roman" w:hAnsi="Times New Roman" w:cs="Times New Roman"/>
          <w:b/>
          <w:bCs/>
          <w:sz w:val="24"/>
          <w:szCs w:val="24"/>
        </w:rPr>
        <w:t>Age</w:t>
      </w:r>
      <w:r w:rsidRPr="005F1B99">
        <w:rPr>
          <w:rFonts w:ascii="Times New Roman" w:hAnsi="Times New Roman" w:cs="Times New Roman"/>
          <w:b/>
          <w:bCs/>
          <w:sz w:val="24"/>
          <w:szCs w:val="24"/>
        </w:rPr>
        <w:t xml:space="preserve"> and </w:t>
      </w:r>
      <w:r w:rsidR="00A57256" w:rsidRPr="005F1B99">
        <w:rPr>
          <w:rFonts w:ascii="Times New Roman" w:hAnsi="Times New Roman" w:cs="Times New Roman"/>
          <w:b/>
          <w:bCs/>
          <w:sz w:val="24"/>
          <w:szCs w:val="24"/>
        </w:rPr>
        <w:t>Gender</w:t>
      </w:r>
    </w:p>
    <w:tbl>
      <w:tblPr>
        <w:tblStyle w:val="ListTable6Colorful"/>
        <w:tblW w:w="0" w:type="auto"/>
        <w:tblLook w:val="04A0" w:firstRow="1" w:lastRow="0" w:firstColumn="1" w:lastColumn="0" w:noHBand="0" w:noVBand="1"/>
      </w:tblPr>
      <w:tblGrid>
        <w:gridCol w:w="1870"/>
        <w:gridCol w:w="1455"/>
        <w:gridCol w:w="1530"/>
      </w:tblGrid>
      <w:tr w:rsidR="007E1C8D" w:rsidRPr="005F1B99" w14:paraId="66A201E4" w14:textId="77777777" w:rsidTr="00A57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34144F13" w14:textId="77777777" w:rsidR="007E1C8D" w:rsidRPr="005F1B99" w:rsidRDefault="007E1C8D">
            <w:pPr>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Variable</w:t>
            </w:r>
          </w:p>
        </w:tc>
        <w:tc>
          <w:tcPr>
            <w:tcW w:w="1455" w:type="dxa"/>
            <w:hideMark/>
          </w:tcPr>
          <w:p w14:paraId="0A2A5A35" w14:textId="77777777" w:rsidR="007E1C8D" w:rsidRPr="005F1B99" w:rsidRDefault="007E1C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Frequency (N = 137)</w:t>
            </w:r>
          </w:p>
        </w:tc>
        <w:tc>
          <w:tcPr>
            <w:tcW w:w="1530" w:type="dxa"/>
            <w:hideMark/>
          </w:tcPr>
          <w:p w14:paraId="15D34F9D" w14:textId="77777777" w:rsidR="007E1C8D" w:rsidRPr="005F1B99" w:rsidRDefault="007E1C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Percentage (%)</w:t>
            </w:r>
          </w:p>
        </w:tc>
      </w:tr>
      <w:tr w:rsidR="007E1C8D" w:rsidRPr="005F1B99" w14:paraId="55DE9FE2"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702F6915"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Age (In days)</w:t>
            </w:r>
          </w:p>
        </w:tc>
        <w:tc>
          <w:tcPr>
            <w:tcW w:w="1455" w:type="dxa"/>
            <w:shd w:val="clear" w:color="auto" w:fill="auto"/>
          </w:tcPr>
          <w:p w14:paraId="65DF41FD"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c>
          <w:tcPr>
            <w:tcW w:w="1530" w:type="dxa"/>
            <w:shd w:val="clear" w:color="auto" w:fill="auto"/>
          </w:tcPr>
          <w:p w14:paraId="40F36E63"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r>
      <w:tr w:rsidR="007E1C8D" w:rsidRPr="005F1B99" w14:paraId="34ED17BA"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58A88BB9"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1-5</w:t>
            </w:r>
          </w:p>
        </w:tc>
        <w:tc>
          <w:tcPr>
            <w:tcW w:w="1455" w:type="dxa"/>
            <w:hideMark/>
          </w:tcPr>
          <w:p w14:paraId="55052441"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37</w:t>
            </w:r>
          </w:p>
        </w:tc>
        <w:tc>
          <w:tcPr>
            <w:tcW w:w="1530" w:type="dxa"/>
            <w:hideMark/>
          </w:tcPr>
          <w:p w14:paraId="414CA89B"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27.0</w:t>
            </w:r>
          </w:p>
        </w:tc>
      </w:tr>
      <w:tr w:rsidR="007E1C8D" w:rsidRPr="005F1B99" w14:paraId="5CE9F0F3"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06B4171C"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6-10</w:t>
            </w:r>
          </w:p>
        </w:tc>
        <w:tc>
          <w:tcPr>
            <w:tcW w:w="1455" w:type="dxa"/>
            <w:shd w:val="clear" w:color="auto" w:fill="auto"/>
            <w:hideMark/>
          </w:tcPr>
          <w:p w14:paraId="45E74D29"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46</w:t>
            </w:r>
          </w:p>
        </w:tc>
        <w:tc>
          <w:tcPr>
            <w:tcW w:w="1530" w:type="dxa"/>
            <w:shd w:val="clear" w:color="auto" w:fill="auto"/>
            <w:hideMark/>
          </w:tcPr>
          <w:p w14:paraId="5587FC61"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33.6</w:t>
            </w:r>
          </w:p>
        </w:tc>
      </w:tr>
      <w:tr w:rsidR="007E1C8D" w:rsidRPr="005F1B99" w14:paraId="0CB69241"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15CD80B5"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11-15</w:t>
            </w:r>
          </w:p>
        </w:tc>
        <w:tc>
          <w:tcPr>
            <w:tcW w:w="1455" w:type="dxa"/>
            <w:hideMark/>
          </w:tcPr>
          <w:p w14:paraId="07CF5ED9"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30</w:t>
            </w:r>
          </w:p>
        </w:tc>
        <w:tc>
          <w:tcPr>
            <w:tcW w:w="1530" w:type="dxa"/>
            <w:hideMark/>
          </w:tcPr>
          <w:p w14:paraId="39765C10"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21.9</w:t>
            </w:r>
          </w:p>
        </w:tc>
      </w:tr>
      <w:tr w:rsidR="007E1C8D" w:rsidRPr="005F1B99" w14:paraId="29E97106" w14:textId="77777777" w:rsidTr="00A57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5315832E"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Gender</w:t>
            </w:r>
          </w:p>
        </w:tc>
        <w:tc>
          <w:tcPr>
            <w:tcW w:w="1455" w:type="dxa"/>
            <w:shd w:val="clear" w:color="auto" w:fill="auto"/>
          </w:tcPr>
          <w:p w14:paraId="7B56650F"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c>
          <w:tcPr>
            <w:tcW w:w="1530" w:type="dxa"/>
            <w:shd w:val="clear" w:color="auto" w:fill="auto"/>
          </w:tcPr>
          <w:p w14:paraId="3C6FD920"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p>
        </w:tc>
      </w:tr>
      <w:tr w:rsidR="007E1C8D" w:rsidRPr="005F1B99" w14:paraId="37700A3A" w14:textId="77777777" w:rsidTr="00A57256">
        <w:tc>
          <w:tcPr>
            <w:cnfStyle w:val="001000000000" w:firstRow="0" w:lastRow="0" w:firstColumn="1" w:lastColumn="0" w:oddVBand="0" w:evenVBand="0" w:oddHBand="0" w:evenHBand="0" w:firstRowFirstColumn="0" w:firstRowLastColumn="0" w:lastRowFirstColumn="0" w:lastRowLastColumn="0"/>
            <w:tcW w:w="1870" w:type="dxa"/>
            <w:hideMark/>
          </w:tcPr>
          <w:p w14:paraId="7BA1C932"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Female</w:t>
            </w:r>
          </w:p>
        </w:tc>
        <w:tc>
          <w:tcPr>
            <w:tcW w:w="1455" w:type="dxa"/>
            <w:hideMark/>
          </w:tcPr>
          <w:p w14:paraId="08B07116"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60</w:t>
            </w:r>
          </w:p>
        </w:tc>
        <w:tc>
          <w:tcPr>
            <w:tcW w:w="1530" w:type="dxa"/>
            <w:hideMark/>
          </w:tcPr>
          <w:p w14:paraId="73EF1E73" w14:textId="77777777" w:rsidR="007E1C8D" w:rsidRPr="005F1B99" w:rsidRDefault="007E1C8D" w:rsidP="00A5725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43.8</w:t>
            </w:r>
          </w:p>
        </w:tc>
      </w:tr>
      <w:tr w:rsidR="007E1C8D" w:rsidRPr="005F1B99" w14:paraId="16D9FA0D" w14:textId="77777777" w:rsidTr="00A5725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hideMark/>
          </w:tcPr>
          <w:p w14:paraId="60453500" w14:textId="77777777" w:rsidR="007E1C8D" w:rsidRPr="005F1B99" w:rsidRDefault="007E1C8D" w:rsidP="00A57256">
            <w:pPr>
              <w:spacing w:line="480" w:lineRule="auto"/>
              <w:jc w:val="both"/>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Male</w:t>
            </w:r>
          </w:p>
        </w:tc>
        <w:tc>
          <w:tcPr>
            <w:tcW w:w="1455" w:type="dxa"/>
            <w:shd w:val="clear" w:color="auto" w:fill="auto"/>
            <w:hideMark/>
          </w:tcPr>
          <w:p w14:paraId="5A0F2A59"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77</w:t>
            </w:r>
          </w:p>
        </w:tc>
        <w:tc>
          <w:tcPr>
            <w:tcW w:w="1530" w:type="dxa"/>
            <w:shd w:val="clear" w:color="auto" w:fill="auto"/>
            <w:hideMark/>
          </w:tcPr>
          <w:p w14:paraId="12D88103" w14:textId="77777777" w:rsidR="007E1C8D" w:rsidRPr="005F1B99" w:rsidRDefault="007E1C8D" w:rsidP="00A5725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5F1B99">
              <w:rPr>
                <w:rFonts w:ascii="Times New Roman" w:hAnsi="Times New Roman" w:cs="Times New Roman"/>
                <w:color w:val="212121"/>
                <w:sz w:val="24"/>
                <w:szCs w:val="24"/>
                <w:shd w:val="clear" w:color="auto" w:fill="FFFFFF"/>
              </w:rPr>
              <w:t>56.2</w:t>
            </w:r>
          </w:p>
        </w:tc>
      </w:tr>
    </w:tbl>
    <w:p w14:paraId="5D6E0F85" w14:textId="625637B5" w:rsidR="007E1C8D" w:rsidRPr="005F1B99" w:rsidRDefault="007E1C8D" w:rsidP="00EF4562">
      <w:pPr>
        <w:spacing w:line="480" w:lineRule="auto"/>
        <w:rPr>
          <w:rFonts w:ascii="Times New Roman" w:hAnsi="Times New Roman" w:cs="Times New Roman"/>
          <w:b/>
          <w:bCs/>
          <w:sz w:val="24"/>
          <w:szCs w:val="24"/>
        </w:rPr>
      </w:pPr>
    </w:p>
    <w:p w14:paraId="20A40528" w14:textId="4F66804F" w:rsidR="007E1C8D" w:rsidRDefault="007E1C8D" w:rsidP="00EF4562">
      <w:pPr>
        <w:spacing w:line="480" w:lineRule="auto"/>
        <w:rPr>
          <w:rFonts w:ascii="Times New Roman" w:hAnsi="Times New Roman" w:cs="Times New Roman"/>
          <w:b/>
          <w:bCs/>
          <w:sz w:val="25"/>
          <w:szCs w:val="25"/>
        </w:rPr>
      </w:pPr>
    </w:p>
    <w:p w14:paraId="2A553A0E" w14:textId="22A0FF62" w:rsidR="007E1C8D" w:rsidRDefault="007E1C8D" w:rsidP="00EF4562">
      <w:pPr>
        <w:spacing w:line="480" w:lineRule="auto"/>
        <w:rPr>
          <w:rFonts w:ascii="Times New Roman" w:hAnsi="Times New Roman" w:cs="Times New Roman"/>
          <w:b/>
          <w:bCs/>
          <w:sz w:val="25"/>
          <w:szCs w:val="25"/>
        </w:rPr>
      </w:pPr>
    </w:p>
    <w:p w14:paraId="7116CCC5" w14:textId="12BA9CAD" w:rsidR="00CC0A05" w:rsidRDefault="00CC0A05" w:rsidP="006F7F27">
      <w:pPr>
        <w:spacing w:line="360" w:lineRule="auto"/>
      </w:pPr>
    </w:p>
    <w:p w14:paraId="0620F682" w14:textId="77777777" w:rsidR="00A85A27" w:rsidRDefault="00A85A27" w:rsidP="004218E6">
      <w:pPr>
        <w:spacing w:line="480" w:lineRule="auto"/>
        <w:jc w:val="both"/>
        <w:rPr>
          <w:rFonts w:ascii="Times New Roman" w:hAnsi="Times New Roman" w:cs="Times New Roman"/>
          <w:b/>
          <w:bCs/>
          <w:sz w:val="24"/>
          <w:szCs w:val="24"/>
        </w:rPr>
      </w:pPr>
    </w:p>
    <w:p w14:paraId="6B5130E4" w14:textId="77777777" w:rsidR="00A85A27" w:rsidRDefault="00A85A27" w:rsidP="004218E6">
      <w:pPr>
        <w:spacing w:line="480" w:lineRule="auto"/>
        <w:jc w:val="both"/>
        <w:rPr>
          <w:rFonts w:ascii="Times New Roman" w:hAnsi="Times New Roman" w:cs="Times New Roman"/>
          <w:b/>
          <w:bCs/>
          <w:sz w:val="24"/>
          <w:szCs w:val="24"/>
        </w:rPr>
      </w:pPr>
    </w:p>
    <w:p w14:paraId="79E1CBC7" w14:textId="77777777" w:rsidR="00A85A27" w:rsidRDefault="00A85A27" w:rsidP="004218E6">
      <w:pPr>
        <w:spacing w:line="480" w:lineRule="auto"/>
        <w:jc w:val="both"/>
        <w:rPr>
          <w:rFonts w:ascii="Times New Roman" w:hAnsi="Times New Roman" w:cs="Times New Roman"/>
          <w:b/>
          <w:bCs/>
          <w:sz w:val="24"/>
          <w:szCs w:val="24"/>
        </w:rPr>
      </w:pPr>
    </w:p>
    <w:p w14:paraId="2DCDF4A6" w14:textId="77777777" w:rsidR="00A85A27" w:rsidRDefault="00A85A27" w:rsidP="004218E6">
      <w:pPr>
        <w:spacing w:line="480" w:lineRule="auto"/>
        <w:jc w:val="both"/>
        <w:rPr>
          <w:rFonts w:ascii="Times New Roman" w:hAnsi="Times New Roman" w:cs="Times New Roman"/>
          <w:b/>
          <w:bCs/>
          <w:sz w:val="24"/>
          <w:szCs w:val="24"/>
        </w:rPr>
      </w:pPr>
    </w:p>
    <w:p w14:paraId="35975FF6" w14:textId="6653897A" w:rsidR="004218E6" w:rsidRPr="004218E6" w:rsidRDefault="00D41F0D" w:rsidP="00A85A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r</w:t>
      </w:r>
      <w:r w:rsidR="004218E6" w:rsidRPr="004218E6">
        <w:rPr>
          <w:rFonts w:ascii="Times New Roman" w:hAnsi="Times New Roman" w:cs="Times New Roman"/>
          <w:b/>
          <w:bCs/>
          <w:sz w:val="24"/>
          <w:szCs w:val="24"/>
        </w:rPr>
        <w:t xml:space="preserve">elationship between age in days and total bilirubin levels </w:t>
      </w:r>
    </w:p>
    <w:p w14:paraId="1878A24A" w14:textId="16C1D7ED" w:rsidR="004218E6" w:rsidRPr="00176859" w:rsidRDefault="004218E6" w:rsidP="00A85A27">
      <w:pPr>
        <w:spacing w:line="240" w:lineRule="auto"/>
        <w:jc w:val="both"/>
        <w:rPr>
          <w:rFonts w:ascii="Times New Roman" w:hAnsi="Times New Roman" w:cs="Times New Roman"/>
          <w:sz w:val="24"/>
          <w:szCs w:val="24"/>
        </w:rPr>
      </w:pPr>
      <w:r w:rsidRPr="00176859">
        <w:rPr>
          <w:rFonts w:ascii="Times New Roman" w:hAnsi="Times New Roman" w:cs="Times New Roman"/>
          <w:sz w:val="24"/>
          <w:szCs w:val="24"/>
        </w:rPr>
        <w:t xml:space="preserve">This scatter plot </w:t>
      </w:r>
      <w:r>
        <w:rPr>
          <w:rFonts w:ascii="Times New Roman" w:hAnsi="Times New Roman" w:cs="Times New Roman"/>
          <w:sz w:val="24"/>
          <w:szCs w:val="24"/>
        </w:rPr>
        <w:t xml:space="preserve">(Figure 2) </w:t>
      </w:r>
      <w:r w:rsidRPr="00176859">
        <w:rPr>
          <w:rFonts w:ascii="Times New Roman" w:hAnsi="Times New Roman" w:cs="Times New Roman"/>
          <w:sz w:val="24"/>
          <w:szCs w:val="24"/>
        </w:rPr>
        <w:t>shows the relationship between age in days (x-axis) and total bilirubin levels (µmol/L) (y-axis). Each point represents an individual measurement. The regression line indicates a negative correlation (slope = –5.2836), meaning total bilirubin levels tend to decrease as the age of the neonates increases. The intercept (216.32) suggests that bilirubin levels are highest shortly after birth and decline gradually over the first 30 days of life.</w:t>
      </w:r>
    </w:p>
    <w:p w14:paraId="66F69DEA" w14:textId="77777777" w:rsidR="004218E6" w:rsidRPr="00176859" w:rsidRDefault="004218E6" w:rsidP="004218E6">
      <w:pPr>
        <w:spacing w:line="480" w:lineRule="auto"/>
        <w:jc w:val="both"/>
        <w:rPr>
          <w:rFonts w:ascii="Segoe UI" w:hAnsi="Segoe UI" w:cs="Segoe UI"/>
          <w:color w:val="212121"/>
          <w:sz w:val="24"/>
          <w:szCs w:val="24"/>
          <w:shd w:val="clear" w:color="auto" w:fill="FFFFFF"/>
        </w:rPr>
      </w:pPr>
    </w:p>
    <w:p w14:paraId="4AB64DBF" w14:textId="2A2E34F7" w:rsidR="004218E6" w:rsidRDefault="004218E6" w:rsidP="00EC7867">
      <w:pPr>
        <w:spacing w:line="276" w:lineRule="auto"/>
        <w:jc w:val="both"/>
        <w:rPr>
          <w:rFonts w:ascii="Times New Roman" w:hAnsi="Times New Roman" w:cs="Times New Roman"/>
          <w:b/>
          <w:bCs/>
          <w:sz w:val="24"/>
          <w:szCs w:val="24"/>
        </w:rPr>
      </w:pPr>
      <w:r w:rsidRPr="00F41682">
        <w:rPr>
          <w:rFonts w:ascii="Times New Roman" w:hAnsi="Times New Roman" w:cs="Times New Roman"/>
          <w:noProof/>
          <w:sz w:val="25"/>
          <w:szCs w:val="25"/>
        </w:rPr>
        <w:drawing>
          <wp:inline distT="0" distB="0" distL="0" distR="0" wp14:anchorId="49B2A10D" wp14:editId="64D947D6">
            <wp:extent cx="5524500" cy="3124200"/>
            <wp:effectExtent l="0" t="0" r="0" b="0"/>
            <wp:docPr id="1809594969" name="Chart 1">
              <a:extLst xmlns:a="http://schemas.openxmlformats.org/drawingml/2006/main">
                <a:ext uri="{FF2B5EF4-FFF2-40B4-BE49-F238E27FC236}">
                  <a16:creationId xmlns:a16="http://schemas.microsoft.com/office/drawing/2014/main" id="{3CBFAE5D-AD7F-78A0-FD25-3C4C18159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4FCBB9" w14:textId="77777777" w:rsidR="004218E6" w:rsidRPr="004218E6" w:rsidRDefault="004218E6" w:rsidP="004218E6">
      <w:pPr>
        <w:spacing w:line="480" w:lineRule="auto"/>
        <w:rPr>
          <w:rFonts w:ascii="Times New Roman" w:hAnsi="Times New Roman" w:cs="Times New Roman"/>
          <w:sz w:val="24"/>
          <w:szCs w:val="24"/>
        </w:rPr>
      </w:pPr>
      <w:r w:rsidRPr="004218E6">
        <w:rPr>
          <w:rFonts w:ascii="Times New Roman" w:hAnsi="Times New Roman" w:cs="Times New Roman"/>
          <w:sz w:val="24"/>
          <w:szCs w:val="24"/>
        </w:rPr>
        <w:t>Figure 2.  Relationship between Age (Days) and Total Bilirubin</w:t>
      </w:r>
    </w:p>
    <w:p w14:paraId="5479A858" w14:textId="77777777" w:rsidR="004218E6" w:rsidRDefault="004218E6" w:rsidP="00EC7867">
      <w:pPr>
        <w:spacing w:line="276" w:lineRule="auto"/>
        <w:jc w:val="both"/>
        <w:rPr>
          <w:rFonts w:ascii="Times New Roman" w:hAnsi="Times New Roman" w:cs="Times New Roman"/>
          <w:b/>
          <w:bCs/>
          <w:sz w:val="24"/>
          <w:szCs w:val="24"/>
        </w:rPr>
      </w:pPr>
    </w:p>
    <w:p w14:paraId="4F726DA0" w14:textId="77777777" w:rsidR="004218E6" w:rsidRDefault="004218E6" w:rsidP="00EC7867">
      <w:pPr>
        <w:spacing w:line="276" w:lineRule="auto"/>
        <w:jc w:val="both"/>
        <w:rPr>
          <w:rFonts w:ascii="Times New Roman" w:hAnsi="Times New Roman" w:cs="Times New Roman"/>
          <w:b/>
          <w:bCs/>
          <w:sz w:val="24"/>
          <w:szCs w:val="24"/>
        </w:rPr>
      </w:pPr>
    </w:p>
    <w:p w14:paraId="20262F85" w14:textId="77777777" w:rsidR="004218E6" w:rsidRDefault="004218E6" w:rsidP="00EC7867">
      <w:pPr>
        <w:spacing w:line="276" w:lineRule="auto"/>
        <w:jc w:val="both"/>
        <w:rPr>
          <w:rFonts w:ascii="Times New Roman" w:hAnsi="Times New Roman" w:cs="Times New Roman"/>
          <w:b/>
          <w:bCs/>
          <w:sz w:val="24"/>
          <w:szCs w:val="24"/>
        </w:rPr>
      </w:pPr>
    </w:p>
    <w:p w14:paraId="5273698C" w14:textId="77777777" w:rsidR="004218E6" w:rsidRDefault="004218E6" w:rsidP="00EC7867">
      <w:pPr>
        <w:spacing w:line="276" w:lineRule="auto"/>
        <w:jc w:val="both"/>
        <w:rPr>
          <w:rFonts w:ascii="Times New Roman" w:hAnsi="Times New Roman" w:cs="Times New Roman"/>
          <w:b/>
          <w:bCs/>
          <w:sz w:val="24"/>
          <w:szCs w:val="24"/>
        </w:rPr>
      </w:pPr>
    </w:p>
    <w:p w14:paraId="476A72E7" w14:textId="77777777" w:rsidR="004218E6" w:rsidRDefault="004218E6" w:rsidP="00EC7867">
      <w:pPr>
        <w:spacing w:line="276" w:lineRule="auto"/>
        <w:jc w:val="both"/>
        <w:rPr>
          <w:rFonts w:ascii="Times New Roman" w:hAnsi="Times New Roman" w:cs="Times New Roman"/>
          <w:b/>
          <w:bCs/>
          <w:sz w:val="24"/>
          <w:szCs w:val="24"/>
        </w:rPr>
      </w:pPr>
    </w:p>
    <w:p w14:paraId="3C70F0ED" w14:textId="77777777" w:rsidR="004218E6" w:rsidRDefault="004218E6" w:rsidP="00EC7867">
      <w:pPr>
        <w:spacing w:line="276" w:lineRule="auto"/>
        <w:jc w:val="both"/>
        <w:rPr>
          <w:rFonts w:ascii="Times New Roman" w:hAnsi="Times New Roman" w:cs="Times New Roman"/>
          <w:b/>
          <w:bCs/>
          <w:sz w:val="24"/>
          <w:szCs w:val="24"/>
        </w:rPr>
      </w:pPr>
    </w:p>
    <w:p w14:paraId="5826F497" w14:textId="77777777" w:rsidR="00A85A27" w:rsidRDefault="00A85A27" w:rsidP="004218E6">
      <w:pPr>
        <w:spacing w:line="480" w:lineRule="auto"/>
        <w:jc w:val="both"/>
        <w:rPr>
          <w:rFonts w:ascii="Times New Roman" w:hAnsi="Times New Roman" w:cs="Times New Roman"/>
          <w:b/>
          <w:bCs/>
          <w:sz w:val="24"/>
          <w:szCs w:val="24"/>
        </w:rPr>
      </w:pPr>
    </w:p>
    <w:p w14:paraId="3FA4070D" w14:textId="77777777" w:rsidR="00A85A27" w:rsidRDefault="00A85A27" w:rsidP="004218E6">
      <w:pPr>
        <w:spacing w:line="480" w:lineRule="auto"/>
        <w:jc w:val="both"/>
        <w:rPr>
          <w:rFonts w:ascii="Times New Roman" w:hAnsi="Times New Roman" w:cs="Times New Roman"/>
          <w:b/>
          <w:bCs/>
          <w:sz w:val="24"/>
          <w:szCs w:val="24"/>
        </w:rPr>
      </w:pPr>
    </w:p>
    <w:p w14:paraId="3DF359C7" w14:textId="69821D1E" w:rsidR="00D41F0D" w:rsidRPr="00D41F0D" w:rsidRDefault="00D41F0D" w:rsidP="00A85A27">
      <w:pPr>
        <w:spacing w:line="240" w:lineRule="auto"/>
        <w:jc w:val="both"/>
        <w:rPr>
          <w:rFonts w:ascii="Times New Roman" w:hAnsi="Times New Roman" w:cs="Times New Roman"/>
          <w:b/>
          <w:bCs/>
          <w:sz w:val="24"/>
          <w:szCs w:val="24"/>
        </w:rPr>
      </w:pPr>
      <w:r w:rsidRPr="00D41F0D">
        <w:rPr>
          <w:rFonts w:ascii="Times New Roman" w:hAnsi="Times New Roman" w:cs="Times New Roman"/>
          <w:b/>
          <w:bCs/>
          <w:sz w:val="24"/>
          <w:szCs w:val="24"/>
        </w:rPr>
        <w:t xml:space="preserve">The relationship between age in days and direct bilirubin levels </w:t>
      </w:r>
    </w:p>
    <w:p w14:paraId="04D3FEA7" w14:textId="396B8101" w:rsidR="004218E6" w:rsidRPr="004218E6" w:rsidRDefault="004218E6" w:rsidP="00A85A27">
      <w:pPr>
        <w:spacing w:line="240" w:lineRule="auto"/>
        <w:jc w:val="both"/>
        <w:rPr>
          <w:rFonts w:ascii="Times New Roman" w:hAnsi="Times New Roman" w:cs="Times New Roman"/>
          <w:sz w:val="24"/>
          <w:szCs w:val="24"/>
        </w:rPr>
      </w:pPr>
      <w:r w:rsidRPr="004218E6">
        <w:rPr>
          <w:rFonts w:ascii="Times New Roman" w:hAnsi="Times New Roman" w:cs="Times New Roman"/>
          <w:sz w:val="24"/>
          <w:szCs w:val="24"/>
        </w:rPr>
        <w:t>This scatter plot</w:t>
      </w:r>
      <w:r w:rsidR="00D41F0D">
        <w:rPr>
          <w:rFonts w:ascii="Times New Roman" w:hAnsi="Times New Roman" w:cs="Times New Roman"/>
          <w:sz w:val="24"/>
          <w:szCs w:val="24"/>
        </w:rPr>
        <w:t xml:space="preserve"> (Figure 3)</w:t>
      </w:r>
      <w:r w:rsidRPr="004218E6">
        <w:rPr>
          <w:rFonts w:ascii="Times New Roman" w:hAnsi="Times New Roman" w:cs="Times New Roman"/>
          <w:sz w:val="24"/>
          <w:szCs w:val="24"/>
        </w:rPr>
        <w:t xml:space="preserve"> illustrates the relationship between age in days (x-axis) and direct bilirubin levels (µmol/L) (y-axis). The data points </w:t>
      </w:r>
      <w:r w:rsidR="00A85A27">
        <w:rPr>
          <w:rFonts w:ascii="Times New Roman" w:hAnsi="Times New Roman" w:cs="Times New Roman"/>
          <w:sz w:val="24"/>
          <w:szCs w:val="24"/>
        </w:rPr>
        <w:t>show</w:t>
      </w:r>
      <w:r w:rsidRPr="004218E6">
        <w:rPr>
          <w:rFonts w:ascii="Times New Roman" w:hAnsi="Times New Roman" w:cs="Times New Roman"/>
          <w:sz w:val="24"/>
          <w:szCs w:val="24"/>
        </w:rPr>
        <w:t xml:space="preserve"> </w:t>
      </w:r>
      <w:r w:rsidR="00A85A27">
        <w:rPr>
          <w:rFonts w:ascii="Times New Roman" w:hAnsi="Times New Roman" w:cs="Times New Roman"/>
          <w:sz w:val="24"/>
          <w:szCs w:val="24"/>
        </w:rPr>
        <w:t>the</w:t>
      </w:r>
      <w:r w:rsidRPr="004218E6">
        <w:rPr>
          <w:rFonts w:ascii="Times New Roman" w:hAnsi="Times New Roman" w:cs="Times New Roman"/>
          <w:sz w:val="24"/>
          <w:szCs w:val="24"/>
        </w:rPr>
        <w:t xml:space="preserve"> </w:t>
      </w:r>
      <w:r w:rsidR="00A85A27">
        <w:rPr>
          <w:rFonts w:ascii="Times New Roman" w:hAnsi="Times New Roman" w:cs="Times New Roman"/>
          <w:sz w:val="24"/>
          <w:szCs w:val="24"/>
        </w:rPr>
        <w:t>distribution</w:t>
      </w:r>
      <w:r w:rsidRPr="004218E6">
        <w:rPr>
          <w:rFonts w:ascii="Times New Roman" w:hAnsi="Times New Roman" w:cs="Times New Roman"/>
          <w:sz w:val="24"/>
          <w:szCs w:val="24"/>
        </w:rPr>
        <w:t xml:space="preserve"> of bilirubin values across</w:t>
      </w:r>
      <w:r w:rsidR="00A85A27">
        <w:rPr>
          <w:rFonts w:ascii="Times New Roman" w:hAnsi="Times New Roman" w:cs="Times New Roman"/>
          <w:sz w:val="24"/>
          <w:szCs w:val="24"/>
        </w:rPr>
        <w:t xml:space="preserve"> the</w:t>
      </w:r>
      <w:r w:rsidRPr="004218E6">
        <w:rPr>
          <w:rFonts w:ascii="Times New Roman" w:hAnsi="Times New Roman" w:cs="Times New Roman"/>
          <w:sz w:val="24"/>
          <w:szCs w:val="24"/>
        </w:rPr>
        <w:t xml:space="preserve"> </w:t>
      </w:r>
      <w:r w:rsidR="00226D27">
        <w:rPr>
          <w:rFonts w:ascii="Times New Roman" w:hAnsi="Times New Roman" w:cs="Times New Roman"/>
          <w:sz w:val="24"/>
          <w:szCs w:val="24"/>
        </w:rPr>
        <w:t>ages, represented in days</w:t>
      </w:r>
      <w:r w:rsidRPr="004218E6">
        <w:rPr>
          <w:rFonts w:ascii="Times New Roman" w:hAnsi="Times New Roman" w:cs="Times New Roman"/>
          <w:sz w:val="24"/>
          <w:szCs w:val="24"/>
        </w:rPr>
        <w:t xml:space="preserve">. The regression line reveals a negative trend (slope = –1.7736), indicating that direct bilirubin levels decrease as age increases. The intercept (66.625) suggests relatively higher direct bilirubin levels in the early neonatal period, followed by a gradual decline with age.                </w:t>
      </w:r>
    </w:p>
    <w:p w14:paraId="53DD0025" w14:textId="77777777" w:rsidR="004218E6" w:rsidRDefault="004218E6" w:rsidP="004218E6">
      <w:pPr>
        <w:rPr>
          <w:rFonts w:ascii="Segoe UI" w:hAnsi="Segoe UI" w:cs="Segoe UI"/>
          <w:color w:val="212121"/>
          <w:shd w:val="clear" w:color="auto" w:fill="FFFFFF"/>
        </w:rPr>
      </w:pPr>
    </w:p>
    <w:p w14:paraId="0FF6FBA8" w14:textId="5953750B" w:rsidR="004218E6" w:rsidRDefault="00D41F0D" w:rsidP="00EC7867">
      <w:pPr>
        <w:spacing w:line="276" w:lineRule="auto"/>
        <w:jc w:val="both"/>
        <w:rPr>
          <w:rFonts w:ascii="Times New Roman" w:hAnsi="Times New Roman" w:cs="Times New Roman"/>
          <w:b/>
          <w:bCs/>
          <w:sz w:val="24"/>
          <w:szCs w:val="24"/>
        </w:rPr>
      </w:pPr>
      <w:r w:rsidRPr="00F41682">
        <w:rPr>
          <w:rFonts w:ascii="Times New Roman" w:hAnsi="Times New Roman" w:cs="Times New Roman"/>
          <w:noProof/>
          <w:sz w:val="25"/>
          <w:szCs w:val="25"/>
        </w:rPr>
        <w:drawing>
          <wp:inline distT="0" distB="0" distL="0" distR="0" wp14:anchorId="71BDFBE3" wp14:editId="20752BF4">
            <wp:extent cx="5200650" cy="3086100"/>
            <wp:effectExtent l="0" t="0" r="0" b="0"/>
            <wp:docPr id="312963030" name="Chart 1">
              <a:extLst xmlns:a="http://schemas.openxmlformats.org/drawingml/2006/main">
                <a:ext uri="{FF2B5EF4-FFF2-40B4-BE49-F238E27FC236}">
                  <a16:creationId xmlns:a16="http://schemas.microsoft.com/office/drawing/2014/main" id="{4D9F8A6F-35D5-6B96-7130-98C3B0E71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B37C3A" w14:textId="77777777" w:rsidR="00D41F0D" w:rsidRPr="00D41F0D" w:rsidRDefault="00D41F0D" w:rsidP="00D41F0D">
      <w:pPr>
        <w:spacing w:line="480" w:lineRule="auto"/>
        <w:rPr>
          <w:rFonts w:ascii="Times New Roman" w:hAnsi="Times New Roman" w:cs="Times New Roman"/>
          <w:sz w:val="24"/>
          <w:szCs w:val="24"/>
        </w:rPr>
      </w:pPr>
      <w:r w:rsidRPr="00D41F0D">
        <w:rPr>
          <w:rFonts w:ascii="Times New Roman" w:hAnsi="Times New Roman" w:cs="Times New Roman"/>
          <w:sz w:val="24"/>
          <w:szCs w:val="24"/>
        </w:rPr>
        <w:t>Figure 3. Relationship between Age (Days) and Direct Bilirubin</w:t>
      </w:r>
    </w:p>
    <w:p w14:paraId="171F3F1D" w14:textId="6C40E0F2" w:rsidR="004243B3" w:rsidRDefault="004243B3" w:rsidP="00EC7867">
      <w:pPr>
        <w:spacing w:line="276" w:lineRule="auto"/>
        <w:jc w:val="both"/>
        <w:rPr>
          <w:rFonts w:ascii="Times New Roman" w:hAnsi="Times New Roman" w:cs="Times New Roman"/>
          <w:b/>
          <w:bCs/>
          <w:sz w:val="24"/>
          <w:szCs w:val="24"/>
        </w:rPr>
      </w:pPr>
    </w:p>
    <w:p w14:paraId="10029F19" w14:textId="4F9E4D3C" w:rsidR="00226D27" w:rsidRDefault="00226D27" w:rsidP="00EC7867">
      <w:pPr>
        <w:spacing w:line="276" w:lineRule="auto"/>
        <w:jc w:val="both"/>
        <w:rPr>
          <w:rFonts w:ascii="Times New Roman" w:hAnsi="Times New Roman" w:cs="Times New Roman"/>
          <w:b/>
          <w:bCs/>
          <w:sz w:val="24"/>
          <w:szCs w:val="24"/>
        </w:rPr>
      </w:pPr>
    </w:p>
    <w:p w14:paraId="0705D7C2" w14:textId="0632E29B" w:rsidR="00226D27" w:rsidRDefault="00226D27" w:rsidP="00EC7867">
      <w:pPr>
        <w:spacing w:line="276" w:lineRule="auto"/>
        <w:jc w:val="both"/>
        <w:rPr>
          <w:rFonts w:ascii="Times New Roman" w:hAnsi="Times New Roman" w:cs="Times New Roman"/>
          <w:b/>
          <w:bCs/>
          <w:sz w:val="24"/>
          <w:szCs w:val="24"/>
        </w:rPr>
      </w:pPr>
    </w:p>
    <w:p w14:paraId="692BFF77" w14:textId="57F46A0C" w:rsidR="00226D27" w:rsidRDefault="00226D27" w:rsidP="00EC7867">
      <w:pPr>
        <w:spacing w:line="276" w:lineRule="auto"/>
        <w:jc w:val="both"/>
        <w:rPr>
          <w:rFonts w:ascii="Times New Roman" w:hAnsi="Times New Roman" w:cs="Times New Roman"/>
          <w:b/>
          <w:bCs/>
          <w:sz w:val="24"/>
          <w:szCs w:val="24"/>
        </w:rPr>
      </w:pPr>
    </w:p>
    <w:p w14:paraId="569524D3" w14:textId="32B2A405" w:rsidR="00226D27" w:rsidRDefault="00226D27" w:rsidP="00EC7867">
      <w:pPr>
        <w:spacing w:line="276" w:lineRule="auto"/>
        <w:jc w:val="both"/>
        <w:rPr>
          <w:rFonts w:ascii="Times New Roman" w:hAnsi="Times New Roman" w:cs="Times New Roman"/>
          <w:b/>
          <w:bCs/>
          <w:sz w:val="24"/>
          <w:szCs w:val="24"/>
        </w:rPr>
      </w:pPr>
    </w:p>
    <w:p w14:paraId="0A4B26D7" w14:textId="001DC37A" w:rsidR="00226D27" w:rsidRDefault="00226D27" w:rsidP="00EC7867">
      <w:pPr>
        <w:spacing w:line="276" w:lineRule="auto"/>
        <w:jc w:val="both"/>
        <w:rPr>
          <w:rFonts w:ascii="Times New Roman" w:hAnsi="Times New Roman" w:cs="Times New Roman"/>
          <w:b/>
          <w:bCs/>
          <w:sz w:val="24"/>
          <w:szCs w:val="24"/>
        </w:rPr>
      </w:pPr>
    </w:p>
    <w:p w14:paraId="10E0C9BC" w14:textId="1AA7DD6F" w:rsidR="00226D27" w:rsidRDefault="00226D27" w:rsidP="00EC7867">
      <w:pPr>
        <w:spacing w:line="276" w:lineRule="auto"/>
        <w:jc w:val="both"/>
        <w:rPr>
          <w:rFonts w:ascii="Times New Roman" w:hAnsi="Times New Roman" w:cs="Times New Roman"/>
          <w:b/>
          <w:bCs/>
          <w:sz w:val="24"/>
          <w:szCs w:val="24"/>
        </w:rPr>
      </w:pPr>
    </w:p>
    <w:p w14:paraId="34E6ACA5" w14:textId="107A0041" w:rsidR="00226D27" w:rsidRDefault="00226D27" w:rsidP="00EC7867">
      <w:pPr>
        <w:spacing w:line="276" w:lineRule="auto"/>
        <w:jc w:val="both"/>
        <w:rPr>
          <w:rFonts w:ascii="Times New Roman" w:hAnsi="Times New Roman" w:cs="Times New Roman"/>
          <w:b/>
          <w:bCs/>
          <w:sz w:val="24"/>
          <w:szCs w:val="24"/>
        </w:rPr>
      </w:pPr>
    </w:p>
    <w:p w14:paraId="33688027" w14:textId="77777777" w:rsidR="00226D27" w:rsidRDefault="00226D27" w:rsidP="00EC7867">
      <w:pPr>
        <w:spacing w:line="276" w:lineRule="auto"/>
        <w:jc w:val="both"/>
        <w:rPr>
          <w:rFonts w:ascii="Times New Roman" w:hAnsi="Times New Roman" w:cs="Times New Roman"/>
          <w:b/>
          <w:bCs/>
          <w:sz w:val="24"/>
          <w:szCs w:val="24"/>
        </w:rPr>
      </w:pPr>
    </w:p>
    <w:p w14:paraId="42CEE59D" w14:textId="21CA0B80" w:rsidR="00EC7867" w:rsidRPr="00EC7867" w:rsidRDefault="00EC7867" w:rsidP="00EC7867">
      <w:pPr>
        <w:spacing w:line="276" w:lineRule="auto"/>
        <w:jc w:val="both"/>
        <w:rPr>
          <w:rFonts w:ascii="Times New Roman" w:hAnsi="Times New Roman" w:cs="Times New Roman"/>
          <w:b/>
          <w:bCs/>
          <w:sz w:val="24"/>
          <w:szCs w:val="24"/>
        </w:rPr>
      </w:pPr>
      <w:r w:rsidRPr="00EC7867">
        <w:rPr>
          <w:rFonts w:ascii="Times New Roman" w:hAnsi="Times New Roman" w:cs="Times New Roman"/>
          <w:b/>
          <w:bCs/>
          <w:sz w:val="24"/>
          <w:szCs w:val="24"/>
        </w:rPr>
        <w:t>C</w:t>
      </w:r>
      <w:r w:rsidR="00EF4562" w:rsidRPr="00EC7867">
        <w:rPr>
          <w:rFonts w:ascii="Times New Roman" w:hAnsi="Times New Roman" w:cs="Times New Roman"/>
          <w:b/>
          <w:bCs/>
          <w:sz w:val="24"/>
          <w:szCs w:val="24"/>
        </w:rPr>
        <w:t>ompar</w:t>
      </w:r>
      <w:r w:rsidRPr="00EC7867">
        <w:rPr>
          <w:rFonts w:ascii="Times New Roman" w:hAnsi="Times New Roman" w:cs="Times New Roman"/>
          <w:b/>
          <w:bCs/>
          <w:sz w:val="24"/>
          <w:szCs w:val="24"/>
        </w:rPr>
        <w:t>ison between</w:t>
      </w:r>
      <w:r w:rsidR="00EF4562" w:rsidRPr="00EC7867">
        <w:rPr>
          <w:rFonts w:ascii="Times New Roman" w:hAnsi="Times New Roman" w:cs="Times New Roman"/>
          <w:b/>
          <w:bCs/>
          <w:sz w:val="24"/>
          <w:szCs w:val="24"/>
        </w:rPr>
        <w:t xml:space="preserve"> the mean values of biochemical parameters between cases and controls. </w:t>
      </w:r>
    </w:p>
    <w:p w14:paraId="2248F9C7" w14:textId="5A8CE9EB" w:rsidR="00EF4562" w:rsidRPr="00EC7867" w:rsidRDefault="00EF4562" w:rsidP="00EC7867">
      <w:pPr>
        <w:spacing w:line="276" w:lineRule="auto"/>
        <w:jc w:val="both"/>
        <w:rPr>
          <w:rFonts w:ascii="Times New Roman" w:hAnsi="Times New Roman" w:cs="Times New Roman"/>
          <w:sz w:val="24"/>
          <w:szCs w:val="24"/>
        </w:rPr>
      </w:pPr>
      <w:r w:rsidRPr="00EC7867">
        <w:rPr>
          <w:rFonts w:ascii="Times New Roman" w:hAnsi="Times New Roman" w:cs="Times New Roman"/>
          <w:sz w:val="24"/>
          <w:szCs w:val="24"/>
        </w:rPr>
        <w:t xml:space="preserve">The results show that </w:t>
      </w:r>
      <w:r w:rsidR="00EC7867" w:rsidRPr="00EC7867">
        <w:rPr>
          <w:rFonts w:ascii="Times New Roman" w:hAnsi="Times New Roman" w:cs="Times New Roman"/>
          <w:sz w:val="24"/>
          <w:szCs w:val="24"/>
        </w:rPr>
        <w:t>participants with jaundice</w:t>
      </w:r>
      <w:r w:rsidRPr="00EC7867">
        <w:rPr>
          <w:rFonts w:ascii="Times New Roman" w:hAnsi="Times New Roman" w:cs="Times New Roman"/>
          <w:sz w:val="24"/>
          <w:szCs w:val="24"/>
        </w:rPr>
        <w:t xml:space="preserve"> had significantly higher levels of total bilirubin, direct bilirubin, ALP, AST, ALT, and LDH compared </w:t>
      </w:r>
      <w:r w:rsidR="009E1284">
        <w:rPr>
          <w:rFonts w:ascii="Times New Roman" w:hAnsi="Times New Roman" w:cs="Times New Roman"/>
          <w:sz w:val="24"/>
          <w:szCs w:val="24"/>
        </w:rPr>
        <w:t>to</w:t>
      </w:r>
      <w:r w:rsidRPr="00EC7867">
        <w:rPr>
          <w:rFonts w:ascii="Times New Roman" w:hAnsi="Times New Roman" w:cs="Times New Roman"/>
          <w:sz w:val="24"/>
          <w:szCs w:val="24"/>
        </w:rPr>
        <w:t xml:space="preserve"> control</w:t>
      </w:r>
      <w:r w:rsidR="009E1284">
        <w:rPr>
          <w:rFonts w:ascii="Times New Roman" w:hAnsi="Times New Roman" w:cs="Times New Roman"/>
          <w:sz w:val="24"/>
          <w:szCs w:val="24"/>
        </w:rPr>
        <w:t xml:space="preserve"> participants,</w:t>
      </w:r>
      <w:r w:rsidRPr="00EC7867">
        <w:rPr>
          <w:rFonts w:ascii="Times New Roman" w:hAnsi="Times New Roman" w:cs="Times New Roman"/>
          <w:sz w:val="24"/>
          <w:szCs w:val="24"/>
        </w:rPr>
        <w:t xml:space="preserve"> </w:t>
      </w:r>
      <w:r w:rsidR="00EC7867">
        <w:rPr>
          <w:rFonts w:ascii="Times New Roman" w:hAnsi="Times New Roman" w:cs="Times New Roman"/>
          <w:sz w:val="24"/>
          <w:szCs w:val="24"/>
        </w:rPr>
        <w:t xml:space="preserve">even though </w:t>
      </w:r>
      <w:r w:rsidRPr="00EC7867">
        <w:rPr>
          <w:rFonts w:ascii="Times New Roman" w:hAnsi="Times New Roman" w:cs="Times New Roman"/>
          <w:sz w:val="24"/>
          <w:szCs w:val="24"/>
        </w:rPr>
        <w:t>the mean age of cases was significantly lower than that of controls (</w:t>
      </w:r>
      <w:r w:rsidRPr="00EC7867">
        <w:rPr>
          <w:rFonts w:ascii="Times New Roman" w:hAnsi="Times New Roman" w:cs="Times New Roman"/>
          <w:i/>
          <w:iCs/>
          <w:sz w:val="24"/>
          <w:szCs w:val="24"/>
        </w:rPr>
        <w:t>P</w:t>
      </w:r>
      <w:r w:rsidRPr="00EC7867">
        <w:rPr>
          <w:rFonts w:ascii="Times New Roman" w:hAnsi="Times New Roman" w:cs="Times New Roman"/>
          <w:sz w:val="24"/>
          <w:szCs w:val="24"/>
        </w:rPr>
        <w:t xml:space="preserve"> &lt; 0.0</w:t>
      </w:r>
      <w:r w:rsidR="00EC7867">
        <w:rPr>
          <w:rFonts w:ascii="Times New Roman" w:hAnsi="Times New Roman" w:cs="Times New Roman"/>
          <w:sz w:val="24"/>
          <w:szCs w:val="24"/>
        </w:rPr>
        <w:t>5</w:t>
      </w:r>
      <w:r w:rsidRPr="00EC7867">
        <w:rPr>
          <w:rFonts w:ascii="Times New Roman" w:hAnsi="Times New Roman" w:cs="Times New Roman"/>
          <w:sz w:val="24"/>
          <w:szCs w:val="24"/>
        </w:rPr>
        <w:t>)</w:t>
      </w:r>
      <w:r w:rsidR="00EC7867">
        <w:rPr>
          <w:rFonts w:ascii="Times New Roman" w:hAnsi="Times New Roman" w:cs="Times New Roman"/>
          <w:sz w:val="24"/>
          <w:szCs w:val="24"/>
        </w:rPr>
        <w:t xml:space="preserve"> (Table 2)</w:t>
      </w:r>
      <w:r w:rsidRPr="00EC7867">
        <w:rPr>
          <w:rFonts w:ascii="Times New Roman" w:hAnsi="Times New Roman" w:cs="Times New Roman"/>
          <w:sz w:val="24"/>
          <w:szCs w:val="24"/>
        </w:rPr>
        <w:t>. These findings indicate marked biochemical alterations associated with the condition under study.</w:t>
      </w:r>
    </w:p>
    <w:p w14:paraId="66080AAA" w14:textId="77777777" w:rsidR="008D0F90" w:rsidRDefault="008D0F90" w:rsidP="00EF4562">
      <w:pPr>
        <w:spacing w:line="480" w:lineRule="auto"/>
        <w:rPr>
          <w:rFonts w:ascii="Times New Roman" w:hAnsi="Times New Roman" w:cs="Times New Roman"/>
          <w:b/>
          <w:bCs/>
          <w:sz w:val="24"/>
          <w:szCs w:val="24"/>
        </w:rPr>
      </w:pPr>
    </w:p>
    <w:p w14:paraId="17002EF7" w14:textId="2E89582A" w:rsidR="00EF4562" w:rsidRPr="00EC7867" w:rsidRDefault="00EF4562" w:rsidP="00EF4562">
      <w:pPr>
        <w:spacing w:line="480" w:lineRule="auto"/>
        <w:rPr>
          <w:rFonts w:ascii="Times New Roman" w:hAnsi="Times New Roman" w:cs="Times New Roman"/>
          <w:b/>
          <w:bCs/>
          <w:sz w:val="24"/>
          <w:szCs w:val="24"/>
        </w:rPr>
      </w:pPr>
      <w:r w:rsidRPr="00EC7867">
        <w:rPr>
          <w:rFonts w:ascii="Times New Roman" w:hAnsi="Times New Roman" w:cs="Times New Roman"/>
          <w:b/>
          <w:bCs/>
          <w:sz w:val="24"/>
          <w:szCs w:val="24"/>
        </w:rPr>
        <w:t xml:space="preserve">Table </w:t>
      </w:r>
      <w:r w:rsidR="00EC7867" w:rsidRPr="00EC7867">
        <w:rPr>
          <w:rFonts w:ascii="Times New Roman" w:hAnsi="Times New Roman" w:cs="Times New Roman"/>
          <w:b/>
          <w:bCs/>
          <w:sz w:val="24"/>
          <w:szCs w:val="24"/>
        </w:rPr>
        <w:t>2</w:t>
      </w:r>
      <w:r w:rsidRPr="00EC7867">
        <w:rPr>
          <w:rFonts w:ascii="Times New Roman" w:hAnsi="Times New Roman" w:cs="Times New Roman"/>
          <w:b/>
          <w:bCs/>
          <w:sz w:val="24"/>
          <w:szCs w:val="24"/>
        </w:rPr>
        <w:t>. Comparison of Biochemical Parameters Between Cases and Controls</w:t>
      </w:r>
    </w:p>
    <w:tbl>
      <w:tblPr>
        <w:tblStyle w:val="ListTable6Colorful"/>
        <w:tblW w:w="0" w:type="auto"/>
        <w:tblLook w:val="04A0" w:firstRow="1" w:lastRow="0" w:firstColumn="1" w:lastColumn="0" w:noHBand="0" w:noVBand="1"/>
      </w:tblPr>
      <w:tblGrid>
        <w:gridCol w:w="2821"/>
        <w:gridCol w:w="1788"/>
        <w:gridCol w:w="1788"/>
        <w:gridCol w:w="923"/>
        <w:gridCol w:w="977"/>
      </w:tblGrid>
      <w:tr w:rsidR="00EC7867" w:rsidRPr="00EC7867" w14:paraId="7674A4B7" w14:textId="77777777" w:rsidTr="002F6E1D">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0" w:type="auto"/>
            <w:hideMark/>
          </w:tcPr>
          <w:p w14:paraId="4A559ABD" w14:textId="77777777" w:rsidR="00EC7867" w:rsidRPr="00EC7867" w:rsidRDefault="00EC7867" w:rsidP="00C859E4">
            <w:pPr>
              <w:rPr>
                <w:rFonts w:ascii="Times New Roman" w:hAnsi="Times New Roman" w:cs="Times New Roman"/>
                <w:b w:val="0"/>
                <w:bCs w:val="0"/>
                <w:sz w:val="24"/>
                <w:szCs w:val="24"/>
              </w:rPr>
            </w:pPr>
            <w:r w:rsidRPr="00EC7867">
              <w:rPr>
                <w:rFonts w:ascii="Times New Roman" w:hAnsi="Times New Roman" w:cs="Times New Roman"/>
                <w:sz w:val="24"/>
                <w:szCs w:val="24"/>
              </w:rPr>
              <w:t>Parameter</w:t>
            </w:r>
          </w:p>
        </w:tc>
        <w:tc>
          <w:tcPr>
            <w:tcW w:w="0" w:type="auto"/>
            <w:hideMark/>
          </w:tcPr>
          <w:p w14:paraId="511E22D8"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Cases</w:t>
            </w:r>
          </w:p>
          <w:p w14:paraId="0C2B9EAD"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 xml:space="preserve"> (Mean ± SD)</w:t>
            </w:r>
          </w:p>
        </w:tc>
        <w:tc>
          <w:tcPr>
            <w:tcW w:w="0" w:type="auto"/>
            <w:hideMark/>
          </w:tcPr>
          <w:p w14:paraId="0072FD09"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 xml:space="preserve">Controls </w:t>
            </w:r>
          </w:p>
          <w:p w14:paraId="5661FFDC"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(Mean ± SD)</w:t>
            </w:r>
          </w:p>
        </w:tc>
        <w:tc>
          <w:tcPr>
            <w:tcW w:w="0" w:type="auto"/>
            <w:hideMark/>
          </w:tcPr>
          <w:p w14:paraId="08A1809B"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t-value</w:t>
            </w:r>
          </w:p>
        </w:tc>
        <w:tc>
          <w:tcPr>
            <w:tcW w:w="0" w:type="auto"/>
            <w:hideMark/>
          </w:tcPr>
          <w:p w14:paraId="36CF658B" w14:textId="77777777" w:rsidR="00EC7867" w:rsidRPr="00EC7867" w:rsidRDefault="00EC7867" w:rsidP="00C859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C7867">
              <w:rPr>
                <w:rFonts w:ascii="Times New Roman" w:hAnsi="Times New Roman" w:cs="Times New Roman"/>
                <w:sz w:val="24"/>
                <w:szCs w:val="24"/>
              </w:rPr>
              <w:t>p-value</w:t>
            </w:r>
          </w:p>
        </w:tc>
      </w:tr>
      <w:tr w:rsidR="00EC7867" w:rsidRPr="00EC7867" w14:paraId="0A8782CE"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DFF23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Age (Days)</w:t>
            </w:r>
          </w:p>
        </w:tc>
        <w:tc>
          <w:tcPr>
            <w:tcW w:w="0" w:type="auto"/>
            <w:shd w:val="clear" w:color="auto" w:fill="auto"/>
          </w:tcPr>
          <w:p w14:paraId="715C445A"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5.96 ± 5.06</w:t>
            </w:r>
          </w:p>
        </w:tc>
        <w:tc>
          <w:tcPr>
            <w:tcW w:w="0" w:type="auto"/>
            <w:shd w:val="clear" w:color="auto" w:fill="auto"/>
          </w:tcPr>
          <w:p w14:paraId="7BB73431"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12.16 ± 6.96</w:t>
            </w:r>
          </w:p>
        </w:tc>
        <w:tc>
          <w:tcPr>
            <w:tcW w:w="0" w:type="auto"/>
            <w:shd w:val="clear" w:color="auto" w:fill="auto"/>
          </w:tcPr>
          <w:p w14:paraId="3E5A339D"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-5.955</w:t>
            </w:r>
          </w:p>
        </w:tc>
        <w:tc>
          <w:tcPr>
            <w:tcW w:w="0" w:type="auto"/>
            <w:shd w:val="clear" w:color="auto" w:fill="auto"/>
          </w:tcPr>
          <w:p w14:paraId="257AD299"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66AC7630"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0BB1C97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Total Bilirubin (µmol/L)</w:t>
            </w:r>
          </w:p>
        </w:tc>
        <w:tc>
          <w:tcPr>
            <w:tcW w:w="0" w:type="auto"/>
          </w:tcPr>
          <w:p w14:paraId="3E8AAFA6"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241.28 ± 108.46</w:t>
            </w:r>
          </w:p>
        </w:tc>
        <w:tc>
          <w:tcPr>
            <w:tcW w:w="0" w:type="auto"/>
          </w:tcPr>
          <w:p w14:paraId="69814FD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0" w:name="_Hlk209774952"/>
            <w:r w:rsidRPr="00EC7867">
              <w:rPr>
                <w:rFonts w:ascii="Times New Roman" w:hAnsi="Times New Roman" w:cs="Times New Roman"/>
                <w:sz w:val="24"/>
                <w:szCs w:val="24"/>
              </w:rPr>
              <w:t>124.46 ± 35.10</w:t>
            </w:r>
            <w:bookmarkEnd w:id="0"/>
          </w:p>
        </w:tc>
        <w:tc>
          <w:tcPr>
            <w:tcW w:w="0" w:type="auto"/>
          </w:tcPr>
          <w:p w14:paraId="20E0D176"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7.121</w:t>
            </w:r>
          </w:p>
        </w:tc>
        <w:tc>
          <w:tcPr>
            <w:tcW w:w="0" w:type="auto"/>
          </w:tcPr>
          <w:p w14:paraId="6BD053FC"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2C90C74B"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3EF4E5"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Direct Bilirubin (µmol/L)</w:t>
            </w:r>
          </w:p>
        </w:tc>
        <w:tc>
          <w:tcPr>
            <w:tcW w:w="0" w:type="auto"/>
            <w:shd w:val="clear" w:color="auto" w:fill="auto"/>
          </w:tcPr>
          <w:p w14:paraId="6745A66B"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 w:name="_Hlk209774977"/>
            <w:r w:rsidRPr="00EC7867">
              <w:rPr>
                <w:rFonts w:ascii="Times New Roman" w:hAnsi="Times New Roman" w:cs="Times New Roman"/>
                <w:sz w:val="24"/>
                <w:szCs w:val="24"/>
              </w:rPr>
              <w:t>80.22 ± 83.18</w:t>
            </w:r>
            <w:bookmarkEnd w:id="1"/>
          </w:p>
        </w:tc>
        <w:tc>
          <w:tcPr>
            <w:tcW w:w="0" w:type="auto"/>
            <w:shd w:val="clear" w:color="auto" w:fill="auto"/>
          </w:tcPr>
          <w:p w14:paraId="760E3DAC"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 w:name="_Hlk209775003"/>
            <w:r w:rsidRPr="00EC7867">
              <w:rPr>
                <w:rFonts w:ascii="Times New Roman" w:hAnsi="Times New Roman" w:cs="Times New Roman"/>
                <w:sz w:val="24"/>
                <w:szCs w:val="24"/>
              </w:rPr>
              <w:t>33.24 ± 9.20</w:t>
            </w:r>
            <w:bookmarkEnd w:id="2"/>
          </w:p>
        </w:tc>
        <w:tc>
          <w:tcPr>
            <w:tcW w:w="0" w:type="auto"/>
            <w:shd w:val="clear" w:color="auto" w:fill="auto"/>
          </w:tcPr>
          <w:p w14:paraId="1B60DCE2"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3.819</w:t>
            </w:r>
          </w:p>
        </w:tc>
        <w:tc>
          <w:tcPr>
            <w:tcW w:w="0" w:type="auto"/>
            <w:shd w:val="clear" w:color="auto" w:fill="auto"/>
          </w:tcPr>
          <w:p w14:paraId="6E068511"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0.0001</w:t>
            </w:r>
          </w:p>
        </w:tc>
      </w:tr>
      <w:tr w:rsidR="00EC7867" w:rsidRPr="00EC7867" w14:paraId="62367F11"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493A6382"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ALP (U/L)</w:t>
            </w:r>
          </w:p>
        </w:tc>
        <w:tc>
          <w:tcPr>
            <w:tcW w:w="0" w:type="auto"/>
          </w:tcPr>
          <w:p w14:paraId="60085535"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528.84 ± 385.52</w:t>
            </w:r>
          </w:p>
        </w:tc>
        <w:tc>
          <w:tcPr>
            <w:tcW w:w="0" w:type="auto"/>
          </w:tcPr>
          <w:p w14:paraId="3AB9AA12"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 w:name="_Hlk209775090"/>
            <w:r w:rsidRPr="00EC7867">
              <w:rPr>
                <w:rFonts w:ascii="Times New Roman" w:hAnsi="Times New Roman" w:cs="Times New Roman"/>
                <w:sz w:val="24"/>
                <w:szCs w:val="24"/>
              </w:rPr>
              <w:t>231.43 ± 96.54</w:t>
            </w:r>
            <w:bookmarkEnd w:id="3"/>
          </w:p>
        </w:tc>
        <w:tc>
          <w:tcPr>
            <w:tcW w:w="0" w:type="auto"/>
          </w:tcPr>
          <w:p w14:paraId="7FBE49E1"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5.152</w:t>
            </w:r>
          </w:p>
        </w:tc>
        <w:tc>
          <w:tcPr>
            <w:tcW w:w="0" w:type="auto"/>
          </w:tcPr>
          <w:p w14:paraId="422538AB"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r w:rsidR="00EC7867" w:rsidRPr="00EC7867" w14:paraId="23ED46A2"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B5AC87" w14:textId="226541D3"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AST (U/L)</w:t>
            </w:r>
          </w:p>
        </w:tc>
        <w:tc>
          <w:tcPr>
            <w:tcW w:w="0" w:type="auto"/>
            <w:shd w:val="clear" w:color="auto" w:fill="auto"/>
          </w:tcPr>
          <w:p w14:paraId="57A8B2D3"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 w:name="_Hlk209775118"/>
            <w:r w:rsidRPr="00EC7867">
              <w:rPr>
                <w:rFonts w:ascii="Times New Roman" w:hAnsi="Times New Roman" w:cs="Times New Roman"/>
                <w:sz w:val="24"/>
                <w:szCs w:val="24"/>
              </w:rPr>
              <w:t>119.13 ± 222.73</w:t>
            </w:r>
            <w:bookmarkEnd w:id="4"/>
          </w:p>
        </w:tc>
        <w:tc>
          <w:tcPr>
            <w:tcW w:w="0" w:type="auto"/>
            <w:shd w:val="clear" w:color="auto" w:fill="auto"/>
          </w:tcPr>
          <w:p w14:paraId="7DE1252F"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5" w:name="_Hlk209775141"/>
            <w:r w:rsidRPr="00EC7867">
              <w:rPr>
                <w:rFonts w:ascii="Times New Roman" w:hAnsi="Times New Roman" w:cs="Times New Roman"/>
                <w:sz w:val="24"/>
                <w:szCs w:val="24"/>
              </w:rPr>
              <w:t>21.73 ± 3.69</w:t>
            </w:r>
            <w:bookmarkEnd w:id="5"/>
          </w:p>
        </w:tc>
        <w:tc>
          <w:tcPr>
            <w:tcW w:w="0" w:type="auto"/>
            <w:shd w:val="clear" w:color="auto" w:fill="auto"/>
          </w:tcPr>
          <w:p w14:paraId="415C88CA"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2.966</w:t>
            </w:r>
          </w:p>
        </w:tc>
        <w:tc>
          <w:tcPr>
            <w:tcW w:w="0" w:type="auto"/>
            <w:shd w:val="clear" w:color="auto" w:fill="auto"/>
          </w:tcPr>
          <w:p w14:paraId="15F88C05"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0.0030</w:t>
            </w:r>
          </w:p>
        </w:tc>
      </w:tr>
      <w:tr w:rsidR="00EC7867" w:rsidRPr="00EC7867" w14:paraId="55FD1216" w14:textId="77777777" w:rsidTr="002F6E1D">
        <w:tc>
          <w:tcPr>
            <w:cnfStyle w:val="001000000000" w:firstRow="0" w:lastRow="0" w:firstColumn="1" w:lastColumn="0" w:oddVBand="0" w:evenVBand="0" w:oddHBand="0" w:evenHBand="0" w:firstRowFirstColumn="0" w:firstRowLastColumn="0" w:lastRowFirstColumn="0" w:lastRowLastColumn="0"/>
            <w:tcW w:w="0" w:type="auto"/>
            <w:hideMark/>
          </w:tcPr>
          <w:p w14:paraId="60BB74C4" w14:textId="759BDB28"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ALT (U/L)</w:t>
            </w:r>
          </w:p>
        </w:tc>
        <w:tc>
          <w:tcPr>
            <w:tcW w:w="0" w:type="auto"/>
          </w:tcPr>
          <w:p w14:paraId="127B5AB9"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 w:name="_Hlk209775165"/>
            <w:r w:rsidRPr="00EC7867">
              <w:rPr>
                <w:rFonts w:ascii="Times New Roman" w:hAnsi="Times New Roman" w:cs="Times New Roman"/>
                <w:sz w:val="24"/>
                <w:szCs w:val="24"/>
              </w:rPr>
              <w:t>107.38 ± 214.26</w:t>
            </w:r>
            <w:bookmarkEnd w:id="6"/>
          </w:p>
        </w:tc>
        <w:tc>
          <w:tcPr>
            <w:tcW w:w="0" w:type="auto"/>
          </w:tcPr>
          <w:p w14:paraId="215424AE"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 w:name="_Hlk209775196"/>
            <w:r w:rsidRPr="00EC7867">
              <w:rPr>
                <w:rFonts w:ascii="Times New Roman" w:hAnsi="Times New Roman" w:cs="Times New Roman"/>
                <w:sz w:val="24"/>
                <w:szCs w:val="24"/>
              </w:rPr>
              <w:t>18.98 ± 4.27</w:t>
            </w:r>
            <w:bookmarkEnd w:id="7"/>
          </w:p>
        </w:tc>
        <w:tc>
          <w:tcPr>
            <w:tcW w:w="0" w:type="auto"/>
          </w:tcPr>
          <w:p w14:paraId="340FE6E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2.798</w:t>
            </w:r>
          </w:p>
        </w:tc>
        <w:tc>
          <w:tcPr>
            <w:tcW w:w="0" w:type="auto"/>
          </w:tcPr>
          <w:p w14:paraId="6119EE87" w14:textId="77777777" w:rsidR="00EC7867" w:rsidRPr="00EC7867" w:rsidRDefault="00EC7867" w:rsidP="00C859E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0.0051</w:t>
            </w:r>
          </w:p>
        </w:tc>
      </w:tr>
      <w:tr w:rsidR="00EC7867" w:rsidRPr="00EC7867" w14:paraId="61EAB906" w14:textId="77777777" w:rsidTr="002F6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ABC988" w14:textId="77777777" w:rsidR="00EC7867" w:rsidRPr="00EC7867" w:rsidRDefault="00EC7867" w:rsidP="00C859E4">
            <w:pPr>
              <w:spacing w:line="360" w:lineRule="auto"/>
              <w:rPr>
                <w:rFonts w:ascii="Times New Roman" w:hAnsi="Times New Roman" w:cs="Times New Roman"/>
                <w:sz w:val="24"/>
                <w:szCs w:val="24"/>
              </w:rPr>
            </w:pPr>
            <w:r w:rsidRPr="00EC7867">
              <w:rPr>
                <w:rFonts w:ascii="Times New Roman" w:hAnsi="Times New Roman" w:cs="Times New Roman"/>
                <w:sz w:val="24"/>
                <w:szCs w:val="24"/>
              </w:rPr>
              <w:t>LDH (U/L)</w:t>
            </w:r>
          </w:p>
        </w:tc>
        <w:tc>
          <w:tcPr>
            <w:tcW w:w="0" w:type="auto"/>
            <w:shd w:val="clear" w:color="auto" w:fill="auto"/>
          </w:tcPr>
          <w:p w14:paraId="215F43B2"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 w:name="_Hlk209775214"/>
            <w:r w:rsidRPr="00EC7867">
              <w:rPr>
                <w:rFonts w:ascii="Times New Roman" w:hAnsi="Times New Roman" w:cs="Times New Roman"/>
                <w:sz w:val="24"/>
                <w:szCs w:val="24"/>
              </w:rPr>
              <w:t>722.20 ± 181.20</w:t>
            </w:r>
            <w:bookmarkEnd w:id="8"/>
          </w:p>
        </w:tc>
        <w:tc>
          <w:tcPr>
            <w:tcW w:w="0" w:type="auto"/>
            <w:shd w:val="clear" w:color="auto" w:fill="auto"/>
          </w:tcPr>
          <w:p w14:paraId="5EB4BC9C"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9" w:name="_Hlk209775248"/>
            <w:r w:rsidRPr="00EC7867">
              <w:rPr>
                <w:rFonts w:ascii="Times New Roman" w:hAnsi="Times New Roman" w:cs="Times New Roman"/>
                <w:sz w:val="24"/>
                <w:szCs w:val="24"/>
              </w:rPr>
              <w:t>473.30 ± 174.00</w:t>
            </w:r>
            <w:bookmarkEnd w:id="9"/>
          </w:p>
        </w:tc>
        <w:tc>
          <w:tcPr>
            <w:tcW w:w="0" w:type="auto"/>
            <w:shd w:val="clear" w:color="auto" w:fill="auto"/>
          </w:tcPr>
          <w:p w14:paraId="56B4884F"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7.707</w:t>
            </w:r>
          </w:p>
        </w:tc>
        <w:tc>
          <w:tcPr>
            <w:tcW w:w="0" w:type="auto"/>
            <w:shd w:val="clear" w:color="auto" w:fill="auto"/>
          </w:tcPr>
          <w:p w14:paraId="66DE1E28" w14:textId="77777777" w:rsidR="00EC7867" w:rsidRPr="00EC7867" w:rsidRDefault="00EC7867" w:rsidP="00C859E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7867">
              <w:rPr>
                <w:rFonts w:ascii="Times New Roman" w:hAnsi="Times New Roman" w:cs="Times New Roman"/>
                <w:sz w:val="24"/>
                <w:szCs w:val="24"/>
              </w:rPr>
              <w:t>&lt;0.001</w:t>
            </w:r>
          </w:p>
        </w:tc>
      </w:tr>
    </w:tbl>
    <w:p w14:paraId="3662CB59" w14:textId="17CCCF5E" w:rsidR="002F6E1D" w:rsidRPr="00F658BB" w:rsidRDefault="00EC7867" w:rsidP="002F6E1D">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Alkaline Phosphatase (ALP)</w:t>
      </w:r>
      <w:r>
        <w:rPr>
          <w:rFonts w:ascii="Times New Roman" w:hAnsi="Times New Roman" w:cs="Times New Roman"/>
          <w:sz w:val="24"/>
          <w:szCs w:val="24"/>
        </w:rPr>
        <w:t xml:space="preserve">; </w:t>
      </w:r>
      <w:r w:rsidR="002F6E1D" w:rsidRPr="00F658BB">
        <w:rPr>
          <w:rFonts w:ascii="Times New Roman" w:hAnsi="Times New Roman" w:cs="Times New Roman"/>
          <w:sz w:val="24"/>
          <w:szCs w:val="24"/>
        </w:rPr>
        <w:t>Alanine Aminotransaminase (ALT)</w:t>
      </w:r>
      <w:r w:rsidR="002F6E1D">
        <w:rPr>
          <w:rFonts w:ascii="Times New Roman" w:hAnsi="Times New Roman" w:cs="Times New Roman"/>
          <w:sz w:val="24"/>
          <w:szCs w:val="24"/>
        </w:rPr>
        <w:t xml:space="preserve">; </w:t>
      </w:r>
      <w:r w:rsidR="002F6E1D" w:rsidRPr="00F658BB">
        <w:rPr>
          <w:rFonts w:ascii="Times New Roman" w:hAnsi="Times New Roman" w:cs="Times New Roman"/>
          <w:sz w:val="24"/>
          <w:szCs w:val="24"/>
        </w:rPr>
        <w:t>Aspartate Transaminase (AST)</w:t>
      </w:r>
      <w:r w:rsidR="002F6E1D">
        <w:rPr>
          <w:rFonts w:ascii="Times New Roman" w:hAnsi="Times New Roman" w:cs="Times New Roman"/>
          <w:sz w:val="24"/>
          <w:szCs w:val="24"/>
        </w:rPr>
        <w:t xml:space="preserve">; </w:t>
      </w:r>
      <w:r w:rsidR="002F6E1D" w:rsidRPr="00F658BB">
        <w:rPr>
          <w:rFonts w:ascii="Times New Roman" w:hAnsi="Times New Roman" w:cs="Times New Roman"/>
          <w:sz w:val="24"/>
          <w:szCs w:val="24"/>
        </w:rPr>
        <w:t>Lactate Dehydrogenase (LDH)</w:t>
      </w:r>
      <w:r w:rsidR="002F6E1D">
        <w:rPr>
          <w:rFonts w:ascii="Times New Roman" w:hAnsi="Times New Roman" w:cs="Times New Roman"/>
          <w:sz w:val="24"/>
          <w:szCs w:val="24"/>
        </w:rPr>
        <w:t xml:space="preserve"> and Units per </w:t>
      </w:r>
      <w:r w:rsidR="009E1284">
        <w:rPr>
          <w:rFonts w:ascii="Times New Roman" w:hAnsi="Times New Roman" w:cs="Times New Roman"/>
          <w:sz w:val="24"/>
          <w:szCs w:val="24"/>
        </w:rPr>
        <w:t>litre</w:t>
      </w:r>
      <w:r w:rsidR="002F6E1D">
        <w:rPr>
          <w:rFonts w:ascii="Times New Roman" w:hAnsi="Times New Roman" w:cs="Times New Roman"/>
          <w:sz w:val="24"/>
          <w:szCs w:val="24"/>
        </w:rPr>
        <w:t xml:space="preserve"> (UL).</w:t>
      </w:r>
    </w:p>
    <w:p w14:paraId="14B09A35" w14:textId="77777777" w:rsidR="002F6E1D" w:rsidRDefault="002F6E1D" w:rsidP="00EF4562">
      <w:pPr>
        <w:spacing w:line="480" w:lineRule="auto"/>
        <w:rPr>
          <w:rFonts w:ascii="Times New Roman" w:hAnsi="Times New Roman" w:cs="Times New Roman"/>
          <w:b/>
          <w:bCs/>
          <w:sz w:val="25"/>
          <w:szCs w:val="25"/>
        </w:rPr>
      </w:pPr>
    </w:p>
    <w:p w14:paraId="36C576F5" w14:textId="77777777" w:rsidR="00226D27" w:rsidRDefault="00226D27" w:rsidP="002F6E1D">
      <w:pPr>
        <w:spacing w:line="480" w:lineRule="auto"/>
        <w:jc w:val="both"/>
        <w:rPr>
          <w:rFonts w:ascii="Times New Roman" w:eastAsia="Times New Roman" w:hAnsi="Times New Roman" w:cs="Times New Roman"/>
          <w:b/>
          <w:bCs/>
          <w:sz w:val="24"/>
          <w:szCs w:val="24"/>
        </w:rPr>
      </w:pPr>
    </w:p>
    <w:p w14:paraId="28C1FCA5" w14:textId="77777777" w:rsidR="00226D27" w:rsidRDefault="00226D27" w:rsidP="002F6E1D">
      <w:pPr>
        <w:spacing w:line="480" w:lineRule="auto"/>
        <w:jc w:val="both"/>
        <w:rPr>
          <w:rFonts w:ascii="Times New Roman" w:eastAsia="Times New Roman" w:hAnsi="Times New Roman" w:cs="Times New Roman"/>
          <w:b/>
          <w:bCs/>
          <w:sz w:val="24"/>
          <w:szCs w:val="24"/>
        </w:rPr>
      </w:pPr>
    </w:p>
    <w:p w14:paraId="4526A28A" w14:textId="77777777" w:rsidR="00226D27" w:rsidRDefault="00226D27" w:rsidP="002F6E1D">
      <w:pPr>
        <w:spacing w:line="480" w:lineRule="auto"/>
        <w:jc w:val="both"/>
        <w:rPr>
          <w:rFonts w:ascii="Times New Roman" w:eastAsia="Times New Roman" w:hAnsi="Times New Roman" w:cs="Times New Roman"/>
          <w:b/>
          <w:bCs/>
          <w:sz w:val="24"/>
          <w:szCs w:val="24"/>
        </w:rPr>
      </w:pPr>
    </w:p>
    <w:p w14:paraId="1D14B941" w14:textId="77777777" w:rsidR="00226D27" w:rsidRDefault="00226D27" w:rsidP="002F6E1D">
      <w:pPr>
        <w:spacing w:line="480" w:lineRule="auto"/>
        <w:jc w:val="both"/>
        <w:rPr>
          <w:rFonts w:ascii="Times New Roman" w:eastAsia="Times New Roman" w:hAnsi="Times New Roman" w:cs="Times New Roman"/>
          <w:b/>
          <w:bCs/>
          <w:sz w:val="24"/>
          <w:szCs w:val="24"/>
        </w:rPr>
      </w:pPr>
    </w:p>
    <w:p w14:paraId="73CB6480" w14:textId="77777777" w:rsidR="00226D27" w:rsidRDefault="00226D27" w:rsidP="002F6E1D">
      <w:pPr>
        <w:spacing w:line="480" w:lineRule="auto"/>
        <w:jc w:val="both"/>
        <w:rPr>
          <w:rFonts w:ascii="Times New Roman" w:eastAsia="Times New Roman" w:hAnsi="Times New Roman" w:cs="Times New Roman"/>
          <w:b/>
          <w:bCs/>
          <w:sz w:val="24"/>
          <w:szCs w:val="24"/>
        </w:rPr>
      </w:pPr>
    </w:p>
    <w:p w14:paraId="6D34B97F" w14:textId="77777777" w:rsidR="00226D27" w:rsidRDefault="00226D27" w:rsidP="002F6E1D">
      <w:pPr>
        <w:spacing w:line="480" w:lineRule="auto"/>
        <w:jc w:val="both"/>
        <w:rPr>
          <w:rFonts w:ascii="Times New Roman" w:eastAsia="Times New Roman" w:hAnsi="Times New Roman" w:cs="Times New Roman"/>
          <w:b/>
          <w:bCs/>
          <w:sz w:val="24"/>
          <w:szCs w:val="24"/>
        </w:rPr>
      </w:pPr>
    </w:p>
    <w:p w14:paraId="660A0541" w14:textId="77777777" w:rsidR="00226D27" w:rsidRDefault="00226D27" w:rsidP="002F6E1D">
      <w:pPr>
        <w:spacing w:line="480" w:lineRule="auto"/>
        <w:jc w:val="both"/>
        <w:rPr>
          <w:rFonts w:ascii="Times New Roman" w:eastAsia="Times New Roman" w:hAnsi="Times New Roman" w:cs="Times New Roman"/>
          <w:b/>
          <w:bCs/>
          <w:sz w:val="24"/>
          <w:szCs w:val="24"/>
        </w:rPr>
      </w:pPr>
    </w:p>
    <w:p w14:paraId="3444F04E" w14:textId="1ABD2A3C" w:rsidR="002F6E1D" w:rsidRPr="002F6E1D" w:rsidRDefault="002F6E1D" w:rsidP="00226D27">
      <w:pPr>
        <w:spacing w:line="240" w:lineRule="auto"/>
        <w:jc w:val="both"/>
        <w:rPr>
          <w:rFonts w:ascii="Times New Roman" w:eastAsia="Times New Roman" w:hAnsi="Times New Roman" w:cs="Times New Roman"/>
          <w:sz w:val="24"/>
          <w:szCs w:val="24"/>
        </w:rPr>
      </w:pPr>
      <w:r w:rsidRPr="002F6E1D">
        <w:rPr>
          <w:rFonts w:ascii="Times New Roman" w:eastAsia="Times New Roman" w:hAnsi="Times New Roman" w:cs="Times New Roman"/>
          <w:b/>
          <w:bCs/>
          <w:sz w:val="24"/>
          <w:szCs w:val="24"/>
        </w:rPr>
        <w:t>C</w:t>
      </w:r>
      <w:r w:rsidR="00EF4562" w:rsidRPr="002F6E1D">
        <w:rPr>
          <w:rFonts w:ascii="Times New Roman" w:eastAsia="Times New Roman" w:hAnsi="Times New Roman" w:cs="Times New Roman"/>
          <w:b/>
          <w:bCs/>
          <w:sz w:val="24"/>
          <w:szCs w:val="24"/>
        </w:rPr>
        <w:t>orrelation between LDH and selected biochemical parameters</w:t>
      </w:r>
      <w:r w:rsidR="00EF4562" w:rsidRPr="002F6E1D">
        <w:rPr>
          <w:rFonts w:ascii="Times New Roman" w:eastAsia="Times New Roman" w:hAnsi="Times New Roman" w:cs="Times New Roman"/>
          <w:sz w:val="24"/>
          <w:szCs w:val="24"/>
        </w:rPr>
        <w:t xml:space="preserve">. </w:t>
      </w:r>
    </w:p>
    <w:p w14:paraId="19393691" w14:textId="24C507E4" w:rsidR="00205235" w:rsidRPr="004243B3" w:rsidRDefault="00EF4562" w:rsidP="00226D27">
      <w:pPr>
        <w:spacing w:line="240" w:lineRule="auto"/>
        <w:jc w:val="both"/>
        <w:rPr>
          <w:rFonts w:ascii="Times New Roman" w:eastAsia="Times New Roman" w:hAnsi="Times New Roman" w:cs="Times New Roman"/>
          <w:sz w:val="24"/>
          <w:szCs w:val="24"/>
        </w:rPr>
      </w:pPr>
      <w:r w:rsidRPr="002F6E1D">
        <w:rPr>
          <w:rFonts w:ascii="Times New Roman" w:eastAsia="Times New Roman" w:hAnsi="Times New Roman" w:cs="Times New Roman"/>
          <w:sz w:val="24"/>
          <w:szCs w:val="24"/>
        </w:rPr>
        <w:t xml:space="preserve">A significant positive correlation was observed between LDH and AST (r = 0.382, </w:t>
      </w:r>
      <w:r w:rsidR="002F6E1D" w:rsidRPr="002F6E1D">
        <w:rPr>
          <w:rFonts w:ascii="Times New Roman" w:eastAsia="Times New Roman" w:hAnsi="Times New Roman" w:cs="Times New Roman"/>
          <w:i/>
          <w:iCs/>
          <w:sz w:val="24"/>
          <w:szCs w:val="24"/>
        </w:rPr>
        <w:t>P</w:t>
      </w:r>
      <w:r w:rsidRPr="002F6E1D">
        <w:rPr>
          <w:rFonts w:ascii="Times New Roman" w:eastAsia="Times New Roman" w:hAnsi="Times New Roman" w:cs="Times New Roman"/>
          <w:i/>
          <w:iCs/>
          <w:sz w:val="24"/>
          <w:szCs w:val="24"/>
        </w:rPr>
        <w:t xml:space="preserve"> </w:t>
      </w:r>
      <w:r w:rsidRPr="002F6E1D">
        <w:rPr>
          <w:rFonts w:ascii="Times New Roman" w:eastAsia="Times New Roman" w:hAnsi="Times New Roman" w:cs="Times New Roman"/>
          <w:sz w:val="24"/>
          <w:szCs w:val="24"/>
        </w:rPr>
        <w:t>&lt; 0.0</w:t>
      </w:r>
      <w:r w:rsidR="002F6E1D">
        <w:rPr>
          <w:rFonts w:ascii="Times New Roman" w:eastAsia="Times New Roman" w:hAnsi="Times New Roman" w:cs="Times New Roman"/>
          <w:sz w:val="24"/>
          <w:szCs w:val="24"/>
        </w:rPr>
        <w:t>5</w:t>
      </w:r>
      <w:r w:rsidRPr="002F6E1D">
        <w:rPr>
          <w:rFonts w:ascii="Times New Roman" w:eastAsia="Times New Roman" w:hAnsi="Times New Roman" w:cs="Times New Roman"/>
          <w:sz w:val="24"/>
          <w:szCs w:val="24"/>
        </w:rPr>
        <w:t>), while no significant correlations were found between LDH and ALP or ALT</w:t>
      </w:r>
      <w:r w:rsidR="002F6E1D">
        <w:rPr>
          <w:rFonts w:ascii="Times New Roman" w:eastAsia="Times New Roman" w:hAnsi="Times New Roman" w:cs="Times New Roman"/>
          <w:sz w:val="24"/>
          <w:szCs w:val="24"/>
        </w:rPr>
        <w:t xml:space="preserve"> (P&gt; 0.05) (Table 3)</w:t>
      </w:r>
      <w:r w:rsidRPr="002F6E1D">
        <w:rPr>
          <w:rFonts w:ascii="Times New Roman" w:eastAsia="Times New Roman" w:hAnsi="Times New Roman" w:cs="Times New Roman"/>
          <w:sz w:val="24"/>
          <w:szCs w:val="24"/>
        </w:rPr>
        <w:t>.</w:t>
      </w:r>
    </w:p>
    <w:p w14:paraId="101E1DDF" w14:textId="77777777" w:rsidR="008D0F90" w:rsidRDefault="008D0F90" w:rsidP="006F7F27">
      <w:pPr>
        <w:spacing w:line="360" w:lineRule="auto"/>
      </w:pPr>
    </w:p>
    <w:p w14:paraId="41316B16" w14:textId="55F09D02" w:rsidR="00EF4562" w:rsidRDefault="00EF4562" w:rsidP="008F35C5">
      <w:pPr>
        <w:spacing w:line="240" w:lineRule="auto"/>
        <w:jc w:val="both"/>
        <w:rPr>
          <w:rFonts w:ascii="Times New Roman" w:eastAsia="Times New Roman" w:hAnsi="Times New Roman" w:cs="Times New Roman"/>
          <w:b/>
          <w:bCs/>
          <w:sz w:val="24"/>
          <w:szCs w:val="24"/>
        </w:rPr>
      </w:pPr>
      <w:r w:rsidRPr="008F35C5">
        <w:rPr>
          <w:rFonts w:ascii="Times New Roman" w:eastAsia="Times New Roman" w:hAnsi="Times New Roman" w:cs="Times New Roman"/>
          <w:b/>
          <w:bCs/>
          <w:sz w:val="24"/>
          <w:szCs w:val="24"/>
        </w:rPr>
        <w:t xml:space="preserve">Table </w:t>
      </w:r>
      <w:r w:rsidR="008F35C5" w:rsidRPr="008F35C5">
        <w:rPr>
          <w:rFonts w:ascii="Times New Roman" w:eastAsia="Times New Roman" w:hAnsi="Times New Roman" w:cs="Times New Roman"/>
          <w:b/>
          <w:bCs/>
          <w:sz w:val="24"/>
          <w:szCs w:val="24"/>
        </w:rPr>
        <w:t>3</w:t>
      </w:r>
      <w:r w:rsidRPr="008F35C5">
        <w:rPr>
          <w:rFonts w:ascii="Times New Roman" w:eastAsia="Times New Roman" w:hAnsi="Times New Roman" w:cs="Times New Roman"/>
          <w:b/>
          <w:bCs/>
          <w:sz w:val="24"/>
          <w:szCs w:val="24"/>
        </w:rPr>
        <w:t xml:space="preserve">. Correlation </w:t>
      </w:r>
      <w:r w:rsidR="008F35C5" w:rsidRPr="008F35C5">
        <w:rPr>
          <w:rFonts w:ascii="Times New Roman" w:eastAsia="Times New Roman" w:hAnsi="Times New Roman" w:cs="Times New Roman"/>
          <w:b/>
          <w:bCs/>
          <w:sz w:val="24"/>
          <w:szCs w:val="24"/>
        </w:rPr>
        <w:t xml:space="preserve">between </w:t>
      </w:r>
      <w:r w:rsidRPr="008F35C5">
        <w:rPr>
          <w:rFonts w:ascii="Times New Roman" w:eastAsia="Times New Roman" w:hAnsi="Times New Roman" w:cs="Times New Roman"/>
          <w:b/>
          <w:bCs/>
          <w:sz w:val="24"/>
          <w:szCs w:val="24"/>
        </w:rPr>
        <w:t xml:space="preserve">LDH </w:t>
      </w:r>
      <w:r w:rsidR="009E1284">
        <w:rPr>
          <w:rFonts w:ascii="Times New Roman" w:eastAsia="Times New Roman" w:hAnsi="Times New Roman" w:cs="Times New Roman"/>
          <w:b/>
          <w:bCs/>
          <w:sz w:val="24"/>
          <w:szCs w:val="24"/>
        </w:rPr>
        <w:t>and</w:t>
      </w:r>
      <w:r w:rsidRPr="008F35C5">
        <w:rPr>
          <w:rFonts w:ascii="Times New Roman" w:eastAsia="Times New Roman" w:hAnsi="Times New Roman" w:cs="Times New Roman"/>
          <w:b/>
          <w:bCs/>
          <w:sz w:val="24"/>
          <w:szCs w:val="24"/>
        </w:rPr>
        <w:t xml:space="preserve"> Selected Biochemical Parameters in Cases</w:t>
      </w:r>
    </w:p>
    <w:p w14:paraId="06C706AD" w14:textId="1C57D0F3" w:rsidR="004218E6" w:rsidRDefault="004218E6" w:rsidP="008F35C5">
      <w:pPr>
        <w:spacing w:line="240" w:lineRule="auto"/>
        <w:jc w:val="both"/>
        <w:rPr>
          <w:rFonts w:ascii="Times New Roman" w:eastAsia="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1870"/>
        <w:gridCol w:w="2720"/>
        <w:gridCol w:w="1020"/>
      </w:tblGrid>
      <w:tr w:rsidR="004218E6" w:rsidRPr="004218E6" w14:paraId="023F8700" w14:textId="77777777" w:rsidTr="0042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2B4153B"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Biochemical parameters</w:t>
            </w:r>
          </w:p>
        </w:tc>
        <w:tc>
          <w:tcPr>
            <w:tcW w:w="2720" w:type="dxa"/>
          </w:tcPr>
          <w:p w14:paraId="319F5DD0" w14:textId="249DD120" w:rsidR="004218E6" w:rsidRPr="004218E6" w:rsidRDefault="009E1284" w:rsidP="004218E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Correlation</w:t>
            </w:r>
            <w:r w:rsidR="004218E6" w:rsidRPr="004218E6">
              <w:rPr>
                <w:rFonts w:ascii="Times New Roman" w:hAnsi="Times New Roman" w:cs="Times New Roman"/>
                <w:color w:val="212121"/>
                <w:sz w:val="24"/>
                <w:szCs w:val="24"/>
                <w:shd w:val="clear" w:color="auto" w:fill="FFFFFF"/>
              </w:rPr>
              <w:t xml:space="preserve"> with LDH (r-value)</w:t>
            </w:r>
          </w:p>
        </w:tc>
        <w:tc>
          <w:tcPr>
            <w:tcW w:w="1020" w:type="dxa"/>
          </w:tcPr>
          <w:p w14:paraId="49DEC52F" w14:textId="77777777" w:rsidR="004218E6" w:rsidRPr="004218E6" w:rsidRDefault="004218E6" w:rsidP="004218E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P-value</w:t>
            </w:r>
          </w:p>
        </w:tc>
      </w:tr>
      <w:tr w:rsidR="004218E6" w:rsidRPr="004218E6" w14:paraId="0B87012B" w14:textId="77777777" w:rsidTr="0042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5A2AC631"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ALP (U/L)</w:t>
            </w:r>
          </w:p>
        </w:tc>
        <w:tc>
          <w:tcPr>
            <w:tcW w:w="2720" w:type="dxa"/>
            <w:shd w:val="clear" w:color="auto" w:fill="auto"/>
          </w:tcPr>
          <w:p w14:paraId="360232AD"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0.104</w:t>
            </w:r>
          </w:p>
        </w:tc>
        <w:tc>
          <w:tcPr>
            <w:tcW w:w="1020" w:type="dxa"/>
            <w:shd w:val="clear" w:color="auto" w:fill="auto"/>
          </w:tcPr>
          <w:p w14:paraId="0D5EDE68"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0.495</w:t>
            </w:r>
          </w:p>
        </w:tc>
      </w:tr>
      <w:tr w:rsidR="004218E6" w:rsidRPr="004218E6" w14:paraId="3D2A42C5" w14:textId="77777777" w:rsidTr="004218E6">
        <w:tc>
          <w:tcPr>
            <w:cnfStyle w:val="001000000000" w:firstRow="0" w:lastRow="0" w:firstColumn="1" w:lastColumn="0" w:oddVBand="0" w:evenVBand="0" w:oddHBand="0" w:evenHBand="0" w:firstRowFirstColumn="0" w:firstRowLastColumn="0" w:lastRowFirstColumn="0" w:lastRowLastColumn="0"/>
            <w:tcW w:w="1870" w:type="dxa"/>
          </w:tcPr>
          <w:p w14:paraId="554489BD"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AST (U/L)</w:t>
            </w:r>
          </w:p>
        </w:tc>
        <w:tc>
          <w:tcPr>
            <w:tcW w:w="2720" w:type="dxa"/>
          </w:tcPr>
          <w:p w14:paraId="4164FD90"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0.382</w:t>
            </w:r>
          </w:p>
        </w:tc>
        <w:tc>
          <w:tcPr>
            <w:tcW w:w="1020" w:type="dxa"/>
          </w:tcPr>
          <w:p w14:paraId="5A605859"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0.010</w:t>
            </w:r>
          </w:p>
        </w:tc>
      </w:tr>
      <w:tr w:rsidR="004218E6" w:rsidRPr="004218E6" w14:paraId="7273769C" w14:textId="77777777" w:rsidTr="0042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195063C0"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ALT (U/L)</w:t>
            </w:r>
          </w:p>
        </w:tc>
        <w:tc>
          <w:tcPr>
            <w:tcW w:w="2720" w:type="dxa"/>
            <w:shd w:val="clear" w:color="auto" w:fill="auto"/>
          </w:tcPr>
          <w:p w14:paraId="3C0F6A9B"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0.263</w:t>
            </w:r>
          </w:p>
        </w:tc>
        <w:tc>
          <w:tcPr>
            <w:tcW w:w="1020" w:type="dxa"/>
            <w:shd w:val="clear" w:color="auto" w:fill="auto"/>
          </w:tcPr>
          <w:p w14:paraId="36799C71" w14:textId="77777777" w:rsidR="004218E6" w:rsidRPr="004218E6" w:rsidRDefault="004218E6" w:rsidP="004218E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0.081</w:t>
            </w:r>
          </w:p>
        </w:tc>
      </w:tr>
      <w:tr w:rsidR="004218E6" w:rsidRPr="004218E6" w14:paraId="79D83C37" w14:textId="77777777" w:rsidTr="004218E6">
        <w:tc>
          <w:tcPr>
            <w:cnfStyle w:val="001000000000" w:firstRow="0" w:lastRow="0" w:firstColumn="1" w:lastColumn="0" w:oddVBand="0" w:evenVBand="0" w:oddHBand="0" w:evenHBand="0" w:firstRowFirstColumn="0" w:firstRowLastColumn="0" w:lastRowFirstColumn="0" w:lastRowLastColumn="0"/>
            <w:tcW w:w="1870" w:type="dxa"/>
          </w:tcPr>
          <w:p w14:paraId="529A3D86" w14:textId="77777777" w:rsidR="004218E6" w:rsidRPr="004218E6" w:rsidRDefault="004218E6" w:rsidP="004218E6">
            <w:pPr>
              <w:spacing w:line="480" w:lineRule="auto"/>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LDH (U/L)</w:t>
            </w:r>
          </w:p>
        </w:tc>
        <w:tc>
          <w:tcPr>
            <w:tcW w:w="2720" w:type="dxa"/>
          </w:tcPr>
          <w:p w14:paraId="02372B74"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0.388</w:t>
            </w:r>
          </w:p>
        </w:tc>
        <w:tc>
          <w:tcPr>
            <w:tcW w:w="1020" w:type="dxa"/>
          </w:tcPr>
          <w:p w14:paraId="198AB897" w14:textId="77777777" w:rsidR="004218E6" w:rsidRPr="004218E6" w:rsidRDefault="004218E6" w:rsidP="004218E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shd w:val="clear" w:color="auto" w:fill="FFFFFF"/>
              </w:rPr>
            </w:pPr>
            <w:r w:rsidRPr="004218E6">
              <w:rPr>
                <w:rFonts w:ascii="Times New Roman" w:hAnsi="Times New Roman" w:cs="Times New Roman"/>
                <w:color w:val="212121"/>
                <w:sz w:val="24"/>
                <w:szCs w:val="24"/>
                <w:shd w:val="clear" w:color="auto" w:fill="FFFFFF"/>
              </w:rPr>
              <w:t>0.008</w:t>
            </w:r>
          </w:p>
        </w:tc>
      </w:tr>
    </w:tbl>
    <w:p w14:paraId="0B1070FF" w14:textId="6E6CAAEF" w:rsidR="004218E6" w:rsidRPr="008D0F90" w:rsidRDefault="004218E6" w:rsidP="008F35C5">
      <w:pPr>
        <w:spacing w:line="240" w:lineRule="auto"/>
        <w:jc w:val="both"/>
        <w:rPr>
          <w:rFonts w:ascii="Times New Roman" w:hAnsi="Times New Roman" w:cs="Times New Roman"/>
          <w:sz w:val="24"/>
          <w:szCs w:val="24"/>
        </w:rPr>
      </w:pPr>
      <w:r w:rsidRPr="00F658BB">
        <w:rPr>
          <w:rFonts w:ascii="Times New Roman" w:hAnsi="Times New Roman" w:cs="Times New Roman"/>
          <w:sz w:val="24"/>
          <w:szCs w:val="24"/>
        </w:rPr>
        <w:t>Alkaline Phosphatase (ALP)</w:t>
      </w:r>
      <w:r>
        <w:rPr>
          <w:rFonts w:ascii="Times New Roman" w:hAnsi="Times New Roman" w:cs="Times New Roman"/>
          <w:sz w:val="24"/>
          <w:szCs w:val="24"/>
        </w:rPr>
        <w:t xml:space="preserve">; </w:t>
      </w:r>
      <w:r w:rsidRPr="00F658BB">
        <w:rPr>
          <w:rFonts w:ascii="Times New Roman" w:hAnsi="Times New Roman" w:cs="Times New Roman"/>
          <w:sz w:val="24"/>
          <w:szCs w:val="24"/>
        </w:rPr>
        <w:t>Alanine Aminotransaminase (ALT)</w:t>
      </w:r>
      <w:r>
        <w:rPr>
          <w:rFonts w:ascii="Times New Roman" w:hAnsi="Times New Roman" w:cs="Times New Roman"/>
          <w:sz w:val="24"/>
          <w:szCs w:val="24"/>
        </w:rPr>
        <w:t xml:space="preserve">; </w:t>
      </w:r>
      <w:r w:rsidRPr="00F658BB">
        <w:rPr>
          <w:rFonts w:ascii="Times New Roman" w:hAnsi="Times New Roman" w:cs="Times New Roman"/>
          <w:sz w:val="24"/>
          <w:szCs w:val="24"/>
        </w:rPr>
        <w:t>Aspartate Transaminase (AST)</w:t>
      </w:r>
      <w:r>
        <w:rPr>
          <w:rFonts w:ascii="Times New Roman" w:hAnsi="Times New Roman" w:cs="Times New Roman"/>
          <w:sz w:val="24"/>
          <w:szCs w:val="24"/>
        </w:rPr>
        <w:t xml:space="preserve">; </w:t>
      </w:r>
      <w:r w:rsidRPr="00F658BB">
        <w:rPr>
          <w:rFonts w:ascii="Times New Roman" w:hAnsi="Times New Roman" w:cs="Times New Roman"/>
          <w:sz w:val="24"/>
          <w:szCs w:val="24"/>
        </w:rPr>
        <w:t>Lactate Dehydrogenase (LDH)</w:t>
      </w:r>
      <w:r>
        <w:rPr>
          <w:rFonts w:ascii="Times New Roman" w:hAnsi="Times New Roman" w:cs="Times New Roman"/>
          <w:sz w:val="24"/>
          <w:szCs w:val="24"/>
        </w:rPr>
        <w:t xml:space="preserve"> and Units per </w:t>
      </w:r>
      <w:r w:rsidR="009E1284">
        <w:rPr>
          <w:rFonts w:ascii="Times New Roman" w:hAnsi="Times New Roman" w:cs="Times New Roman"/>
          <w:sz w:val="24"/>
          <w:szCs w:val="24"/>
        </w:rPr>
        <w:t>litre</w:t>
      </w:r>
      <w:r>
        <w:rPr>
          <w:rFonts w:ascii="Times New Roman" w:hAnsi="Times New Roman" w:cs="Times New Roman"/>
          <w:sz w:val="24"/>
          <w:szCs w:val="24"/>
        </w:rPr>
        <w:t xml:space="preserve"> (UL).</w:t>
      </w:r>
    </w:p>
    <w:p w14:paraId="56002D9D" w14:textId="413480A1" w:rsidR="004218E6" w:rsidRDefault="004218E6" w:rsidP="008F35C5">
      <w:pPr>
        <w:spacing w:line="240" w:lineRule="auto"/>
        <w:jc w:val="both"/>
        <w:rPr>
          <w:rFonts w:ascii="Times New Roman" w:eastAsia="Times New Roman" w:hAnsi="Times New Roman" w:cs="Times New Roman"/>
          <w:b/>
          <w:bCs/>
          <w:sz w:val="24"/>
          <w:szCs w:val="24"/>
        </w:rPr>
      </w:pPr>
    </w:p>
    <w:p w14:paraId="42E628D2" w14:textId="77777777" w:rsidR="007143CF" w:rsidRDefault="007143CF" w:rsidP="00EF4562">
      <w:pPr>
        <w:spacing w:line="240" w:lineRule="auto"/>
        <w:rPr>
          <w:rFonts w:ascii="Times New Roman" w:hAnsi="Times New Roman" w:cs="Times New Roman"/>
          <w:bCs/>
          <w:sz w:val="25"/>
          <w:szCs w:val="25"/>
        </w:rPr>
      </w:pPr>
    </w:p>
    <w:p w14:paraId="2A464C2F" w14:textId="77777777" w:rsidR="00226D27" w:rsidRDefault="00226D27" w:rsidP="00224FDD">
      <w:pPr>
        <w:spacing w:line="240" w:lineRule="auto"/>
        <w:jc w:val="both"/>
        <w:rPr>
          <w:rFonts w:ascii="Times New Roman" w:hAnsi="Times New Roman" w:cs="Times New Roman"/>
          <w:b/>
          <w:sz w:val="24"/>
          <w:szCs w:val="24"/>
        </w:rPr>
      </w:pPr>
    </w:p>
    <w:p w14:paraId="2F2AF2B8" w14:textId="77777777" w:rsidR="00226D27" w:rsidRDefault="00226D27" w:rsidP="00224FDD">
      <w:pPr>
        <w:spacing w:line="240" w:lineRule="auto"/>
        <w:jc w:val="both"/>
        <w:rPr>
          <w:rFonts w:ascii="Times New Roman" w:hAnsi="Times New Roman" w:cs="Times New Roman"/>
          <w:b/>
          <w:sz w:val="24"/>
          <w:szCs w:val="24"/>
        </w:rPr>
      </w:pPr>
    </w:p>
    <w:p w14:paraId="4046B707" w14:textId="77777777" w:rsidR="00226D27" w:rsidRDefault="00226D27" w:rsidP="00224FDD">
      <w:pPr>
        <w:spacing w:line="240" w:lineRule="auto"/>
        <w:jc w:val="both"/>
        <w:rPr>
          <w:rFonts w:ascii="Times New Roman" w:hAnsi="Times New Roman" w:cs="Times New Roman"/>
          <w:b/>
          <w:sz w:val="24"/>
          <w:szCs w:val="24"/>
        </w:rPr>
      </w:pPr>
    </w:p>
    <w:p w14:paraId="3503BD3D" w14:textId="77777777" w:rsidR="00226D27" w:rsidRDefault="00226D27" w:rsidP="00224FDD">
      <w:pPr>
        <w:spacing w:line="240" w:lineRule="auto"/>
        <w:jc w:val="both"/>
        <w:rPr>
          <w:rFonts w:ascii="Times New Roman" w:hAnsi="Times New Roman" w:cs="Times New Roman"/>
          <w:b/>
          <w:sz w:val="24"/>
          <w:szCs w:val="24"/>
        </w:rPr>
      </w:pPr>
    </w:p>
    <w:p w14:paraId="1BF9F3E1" w14:textId="77777777" w:rsidR="00226D27" w:rsidRDefault="00226D27" w:rsidP="00224FDD">
      <w:pPr>
        <w:spacing w:line="240" w:lineRule="auto"/>
        <w:jc w:val="both"/>
        <w:rPr>
          <w:rFonts w:ascii="Times New Roman" w:hAnsi="Times New Roman" w:cs="Times New Roman"/>
          <w:b/>
          <w:sz w:val="24"/>
          <w:szCs w:val="24"/>
        </w:rPr>
      </w:pPr>
    </w:p>
    <w:p w14:paraId="2F6E8C22" w14:textId="77777777" w:rsidR="00226D27" w:rsidRDefault="00226D27" w:rsidP="00224FDD">
      <w:pPr>
        <w:spacing w:line="240" w:lineRule="auto"/>
        <w:jc w:val="both"/>
        <w:rPr>
          <w:rFonts w:ascii="Times New Roman" w:hAnsi="Times New Roman" w:cs="Times New Roman"/>
          <w:b/>
          <w:sz w:val="24"/>
          <w:szCs w:val="24"/>
        </w:rPr>
      </w:pPr>
    </w:p>
    <w:p w14:paraId="64EFF60C" w14:textId="77777777" w:rsidR="00226D27" w:rsidRDefault="00226D27" w:rsidP="00224FDD">
      <w:pPr>
        <w:spacing w:line="240" w:lineRule="auto"/>
        <w:jc w:val="both"/>
        <w:rPr>
          <w:rFonts w:ascii="Times New Roman" w:hAnsi="Times New Roman" w:cs="Times New Roman"/>
          <w:b/>
          <w:sz w:val="24"/>
          <w:szCs w:val="24"/>
        </w:rPr>
      </w:pPr>
    </w:p>
    <w:p w14:paraId="10E854FE" w14:textId="77777777" w:rsidR="00226D27" w:rsidRDefault="00226D27" w:rsidP="00224FDD">
      <w:pPr>
        <w:spacing w:line="240" w:lineRule="auto"/>
        <w:jc w:val="both"/>
        <w:rPr>
          <w:rFonts w:ascii="Times New Roman" w:hAnsi="Times New Roman" w:cs="Times New Roman"/>
          <w:b/>
          <w:sz w:val="24"/>
          <w:szCs w:val="24"/>
        </w:rPr>
      </w:pPr>
    </w:p>
    <w:p w14:paraId="001C89DB" w14:textId="77777777" w:rsidR="00226D27" w:rsidRDefault="00226D27" w:rsidP="00224FDD">
      <w:pPr>
        <w:spacing w:line="240" w:lineRule="auto"/>
        <w:jc w:val="both"/>
        <w:rPr>
          <w:rFonts w:ascii="Times New Roman" w:hAnsi="Times New Roman" w:cs="Times New Roman"/>
          <w:b/>
          <w:sz w:val="24"/>
          <w:szCs w:val="24"/>
        </w:rPr>
      </w:pPr>
    </w:p>
    <w:p w14:paraId="187528E1" w14:textId="77777777" w:rsidR="00226D27" w:rsidRDefault="00226D27" w:rsidP="00224FDD">
      <w:pPr>
        <w:spacing w:line="240" w:lineRule="auto"/>
        <w:jc w:val="both"/>
        <w:rPr>
          <w:rFonts w:ascii="Times New Roman" w:hAnsi="Times New Roman" w:cs="Times New Roman"/>
          <w:b/>
          <w:sz w:val="24"/>
          <w:szCs w:val="24"/>
        </w:rPr>
      </w:pPr>
    </w:p>
    <w:p w14:paraId="6C99F125" w14:textId="77777777" w:rsidR="00226D27" w:rsidRDefault="00226D27" w:rsidP="00224FDD">
      <w:pPr>
        <w:spacing w:line="240" w:lineRule="auto"/>
        <w:jc w:val="both"/>
        <w:rPr>
          <w:rFonts w:ascii="Times New Roman" w:hAnsi="Times New Roman" w:cs="Times New Roman"/>
          <w:b/>
          <w:sz w:val="24"/>
          <w:szCs w:val="24"/>
        </w:rPr>
      </w:pPr>
    </w:p>
    <w:p w14:paraId="6B5DCE8D" w14:textId="77777777" w:rsidR="00226D27" w:rsidRDefault="00226D27" w:rsidP="00224FDD">
      <w:pPr>
        <w:spacing w:line="240" w:lineRule="auto"/>
        <w:jc w:val="both"/>
        <w:rPr>
          <w:rFonts w:ascii="Times New Roman" w:hAnsi="Times New Roman" w:cs="Times New Roman"/>
          <w:b/>
          <w:sz w:val="24"/>
          <w:szCs w:val="24"/>
        </w:rPr>
      </w:pPr>
    </w:p>
    <w:p w14:paraId="2F626F3A" w14:textId="68C51259" w:rsidR="007143CF" w:rsidRPr="007143CF" w:rsidRDefault="007143CF" w:rsidP="00224FDD">
      <w:pPr>
        <w:spacing w:line="240" w:lineRule="auto"/>
        <w:jc w:val="both"/>
        <w:rPr>
          <w:rFonts w:ascii="Times New Roman" w:hAnsi="Times New Roman" w:cs="Times New Roman"/>
          <w:b/>
          <w:sz w:val="24"/>
          <w:szCs w:val="24"/>
        </w:rPr>
      </w:pPr>
      <w:r w:rsidRPr="007143CF">
        <w:rPr>
          <w:rFonts w:ascii="Times New Roman" w:hAnsi="Times New Roman" w:cs="Times New Roman"/>
          <w:b/>
          <w:sz w:val="24"/>
          <w:szCs w:val="24"/>
        </w:rPr>
        <w:t>C</w:t>
      </w:r>
      <w:r w:rsidR="00EF4562" w:rsidRPr="007143CF">
        <w:rPr>
          <w:rFonts w:ascii="Times New Roman" w:hAnsi="Times New Roman" w:cs="Times New Roman"/>
          <w:b/>
          <w:sz w:val="24"/>
          <w:szCs w:val="24"/>
        </w:rPr>
        <w:t xml:space="preserve">orrelation </w:t>
      </w:r>
      <w:r w:rsidRPr="007143CF">
        <w:rPr>
          <w:rFonts w:ascii="Times New Roman" w:hAnsi="Times New Roman" w:cs="Times New Roman"/>
          <w:b/>
          <w:sz w:val="24"/>
          <w:szCs w:val="24"/>
        </w:rPr>
        <w:t>between</w:t>
      </w:r>
      <w:r w:rsidR="00EF4562" w:rsidRPr="007143CF">
        <w:rPr>
          <w:rFonts w:ascii="Times New Roman" w:hAnsi="Times New Roman" w:cs="Times New Roman"/>
          <w:b/>
          <w:sz w:val="24"/>
          <w:szCs w:val="24"/>
        </w:rPr>
        <w:t xml:space="preserve"> bilirubin </w:t>
      </w:r>
      <w:r w:rsidRPr="007143CF">
        <w:rPr>
          <w:rFonts w:ascii="Times New Roman" w:hAnsi="Times New Roman" w:cs="Times New Roman"/>
          <w:b/>
          <w:sz w:val="24"/>
          <w:szCs w:val="24"/>
        </w:rPr>
        <w:t>and</w:t>
      </w:r>
      <w:r w:rsidR="00EF4562" w:rsidRPr="007143CF">
        <w:rPr>
          <w:rFonts w:ascii="Times New Roman" w:hAnsi="Times New Roman" w:cs="Times New Roman"/>
          <w:b/>
          <w:sz w:val="24"/>
          <w:szCs w:val="24"/>
        </w:rPr>
        <w:t xml:space="preserve"> selected biochemical parameters. </w:t>
      </w:r>
    </w:p>
    <w:p w14:paraId="53269295" w14:textId="35CC6CD4" w:rsidR="007143CF" w:rsidRPr="004243B3" w:rsidRDefault="00EF4562" w:rsidP="00224FDD">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 xml:space="preserve">Both total and direct bilirubin demonstrated significant positive correlations with AST, ALT, and LDH, with the strongest correlation observed between direct bilirubin and LDH (r = 0.657, </w:t>
      </w:r>
      <w:r w:rsidR="007143CF" w:rsidRPr="007143CF">
        <w:rPr>
          <w:rFonts w:ascii="Times New Roman" w:hAnsi="Times New Roman" w:cs="Times New Roman"/>
          <w:bCs/>
          <w:i/>
          <w:iCs/>
          <w:sz w:val="24"/>
          <w:szCs w:val="24"/>
        </w:rPr>
        <w:t>P</w:t>
      </w:r>
      <w:r w:rsidRPr="007143CF">
        <w:rPr>
          <w:rFonts w:ascii="Times New Roman" w:hAnsi="Times New Roman" w:cs="Times New Roman"/>
          <w:bCs/>
          <w:sz w:val="24"/>
          <w:szCs w:val="24"/>
        </w:rPr>
        <w:t xml:space="preserve"> &lt; 0.0</w:t>
      </w:r>
      <w:r w:rsidR="007143CF">
        <w:rPr>
          <w:rFonts w:ascii="Times New Roman" w:hAnsi="Times New Roman" w:cs="Times New Roman"/>
          <w:bCs/>
          <w:sz w:val="24"/>
          <w:szCs w:val="24"/>
        </w:rPr>
        <w:t>5</w:t>
      </w:r>
      <w:r w:rsidRPr="007143CF">
        <w:rPr>
          <w:rFonts w:ascii="Times New Roman" w:hAnsi="Times New Roman" w:cs="Times New Roman"/>
          <w:bCs/>
          <w:sz w:val="24"/>
          <w:szCs w:val="24"/>
        </w:rPr>
        <w:t>). No significant correlation was found between bilirubin (total or direct) and ALP</w:t>
      </w:r>
      <w:r w:rsidR="007143CF">
        <w:rPr>
          <w:rFonts w:ascii="Times New Roman" w:hAnsi="Times New Roman" w:cs="Times New Roman"/>
          <w:bCs/>
          <w:sz w:val="24"/>
          <w:szCs w:val="24"/>
        </w:rPr>
        <w:t xml:space="preserve"> </w:t>
      </w:r>
      <w:r w:rsidRPr="007143CF">
        <w:rPr>
          <w:rFonts w:ascii="Times New Roman" w:hAnsi="Times New Roman" w:cs="Times New Roman"/>
          <w:bCs/>
          <w:sz w:val="24"/>
          <w:szCs w:val="24"/>
        </w:rPr>
        <w:t>(</w:t>
      </w:r>
      <w:r w:rsidR="007143CF">
        <w:rPr>
          <w:rFonts w:ascii="Times New Roman" w:hAnsi="Times New Roman" w:cs="Times New Roman"/>
          <w:bCs/>
          <w:sz w:val="24"/>
          <w:szCs w:val="24"/>
        </w:rPr>
        <w:t>P &gt; 0.05</w:t>
      </w:r>
      <w:r w:rsidRPr="007143CF">
        <w:rPr>
          <w:rFonts w:ascii="Times New Roman" w:hAnsi="Times New Roman" w:cs="Times New Roman"/>
          <w:bCs/>
          <w:sz w:val="24"/>
          <w:szCs w:val="24"/>
        </w:rPr>
        <w:t>)</w:t>
      </w:r>
      <w:r w:rsidR="007143CF">
        <w:rPr>
          <w:rFonts w:ascii="Times New Roman" w:hAnsi="Times New Roman" w:cs="Times New Roman"/>
          <w:bCs/>
          <w:sz w:val="24"/>
          <w:szCs w:val="24"/>
        </w:rPr>
        <w:t xml:space="preserve"> (Table 4).</w:t>
      </w:r>
    </w:p>
    <w:p w14:paraId="6303A159" w14:textId="5492AC5C" w:rsidR="00EF4562" w:rsidRPr="007143CF" w:rsidRDefault="00EF4562" w:rsidP="007143CF">
      <w:pPr>
        <w:spacing w:line="240" w:lineRule="auto"/>
        <w:jc w:val="both"/>
        <w:rPr>
          <w:rFonts w:ascii="Times New Roman" w:hAnsi="Times New Roman" w:cs="Times New Roman"/>
          <w:b/>
          <w:sz w:val="24"/>
          <w:szCs w:val="24"/>
        </w:rPr>
      </w:pPr>
      <w:r w:rsidRPr="007143CF">
        <w:rPr>
          <w:rFonts w:ascii="Times New Roman" w:hAnsi="Times New Roman" w:cs="Times New Roman"/>
          <w:b/>
          <w:bCs/>
          <w:sz w:val="24"/>
          <w:szCs w:val="24"/>
        </w:rPr>
        <w:t xml:space="preserve">Table 4. Correlation </w:t>
      </w:r>
      <w:r w:rsidR="007143CF">
        <w:rPr>
          <w:rFonts w:ascii="Times New Roman" w:hAnsi="Times New Roman" w:cs="Times New Roman"/>
          <w:b/>
          <w:bCs/>
          <w:sz w:val="24"/>
          <w:szCs w:val="24"/>
        </w:rPr>
        <w:t>Between</w:t>
      </w:r>
      <w:r w:rsidRPr="007143CF">
        <w:rPr>
          <w:rFonts w:ascii="Times New Roman" w:hAnsi="Times New Roman" w:cs="Times New Roman"/>
          <w:b/>
          <w:bCs/>
          <w:sz w:val="24"/>
          <w:szCs w:val="24"/>
        </w:rPr>
        <w:t xml:space="preserve"> Bilirubin (Total and Direct) </w:t>
      </w:r>
      <w:r w:rsidR="007143CF">
        <w:rPr>
          <w:rFonts w:ascii="Times New Roman" w:hAnsi="Times New Roman" w:cs="Times New Roman"/>
          <w:b/>
          <w:bCs/>
          <w:sz w:val="24"/>
          <w:szCs w:val="24"/>
        </w:rPr>
        <w:t>and</w:t>
      </w:r>
      <w:r w:rsidRPr="007143CF">
        <w:rPr>
          <w:rFonts w:ascii="Times New Roman" w:hAnsi="Times New Roman" w:cs="Times New Roman"/>
          <w:b/>
          <w:bCs/>
          <w:sz w:val="24"/>
          <w:szCs w:val="24"/>
        </w:rPr>
        <w:t xml:space="preserve"> Selected Biochemical Parameters in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1"/>
        <w:gridCol w:w="2554"/>
        <w:gridCol w:w="821"/>
        <w:gridCol w:w="2647"/>
        <w:gridCol w:w="836"/>
      </w:tblGrid>
      <w:tr w:rsidR="007143CF" w:rsidRPr="007143CF" w14:paraId="24CC16DA" w14:textId="77777777" w:rsidTr="00C859E4">
        <w:trPr>
          <w:tblHeader/>
          <w:tblCellSpacing w:w="15" w:type="dxa"/>
        </w:trPr>
        <w:tc>
          <w:tcPr>
            <w:tcW w:w="0" w:type="auto"/>
            <w:tcBorders>
              <w:top w:val="single" w:sz="4" w:space="0" w:color="auto"/>
            </w:tcBorders>
            <w:vAlign w:val="center"/>
            <w:hideMark/>
          </w:tcPr>
          <w:p w14:paraId="1D51C0E1"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Biochemical Parameter</w:t>
            </w:r>
          </w:p>
        </w:tc>
        <w:tc>
          <w:tcPr>
            <w:tcW w:w="0" w:type="auto"/>
            <w:tcBorders>
              <w:top w:val="single" w:sz="4" w:space="0" w:color="auto"/>
            </w:tcBorders>
            <w:vAlign w:val="center"/>
            <w:hideMark/>
          </w:tcPr>
          <w:p w14:paraId="64614C1B"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Total Bilirubin (r-value)</w:t>
            </w:r>
          </w:p>
        </w:tc>
        <w:tc>
          <w:tcPr>
            <w:tcW w:w="0" w:type="auto"/>
            <w:tcBorders>
              <w:top w:val="single" w:sz="4" w:space="0" w:color="auto"/>
            </w:tcBorders>
            <w:vAlign w:val="center"/>
            <w:hideMark/>
          </w:tcPr>
          <w:p w14:paraId="03B195E2"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p-value</w:t>
            </w:r>
          </w:p>
        </w:tc>
        <w:tc>
          <w:tcPr>
            <w:tcW w:w="0" w:type="auto"/>
            <w:tcBorders>
              <w:top w:val="single" w:sz="4" w:space="0" w:color="auto"/>
            </w:tcBorders>
            <w:vAlign w:val="center"/>
            <w:hideMark/>
          </w:tcPr>
          <w:p w14:paraId="4ECFAC0F"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Direct Bilirubin (r-value)</w:t>
            </w:r>
          </w:p>
        </w:tc>
        <w:tc>
          <w:tcPr>
            <w:tcW w:w="0" w:type="auto"/>
            <w:tcBorders>
              <w:top w:val="single" w:sz="4" w:space="0" w:color="auto"/>
            </w:tcBorders>
            <w:vAlign w:val="center"/>
            <w:hideMark/>
          </w:tcPr>
          <w:p w14:paraId="100894B1" w14:textId="77777777" w:rsidR="007143CF" w:rsidRPr="007143CF" w:rsidRDefault="007143CF" w:rsidP="007143CF">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p-value</w:t>
            </w:r>
          </w:p>
        </w:tc>
      </w:tr>
      <w:tr w:rsidR="007143CF" w:rsidRPr="007143CF" w14:paraId="5B353E73" w14:textId="77777777" w:rsidTr="00C859E4">
        <w:trPr>
          <w:tblCellSpacing w:w="15" w:type="dxa"/>
        </w:trPr>
        <w:tc>
          <w:tcPr>
            <w:tcW w:w="0" w:type="auto"/>
            <w:tcBorders>
              <w:top w:val="single" w:sz="4" w:space="0" w:color="auto"/>
            </w:tcBorders>
            <w:vAlign w:val="center"/>
            <w:hideMark/>
          </w:tcPr>
          <w:p w14:paraId="4495746C"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ALP (U/L)</w:t>
            </w:r>
          </w:p>
        </w:tc>
        <w:tc>
          <w:tcPr>
            <w:tcW w:w="0" w:type="auto"/>
            <w:tcBorders>
              <w:top w:val="single" w:sz="4" w:space="0" w:color="auto"/>
            </w:tcBorders>
            <w:vAlign w:val="center"/>
            <w:hideMark/>
          </w:tcPr>
          <w:p w14:paraId="34A03B2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0.202</w:t>
            </w:r>
          </w:p>
        </w:tc>
        <w:tc>
          <w:tcPr>
            <w:tcW w:w="0" w:type="auto"/>
            <w:tcBorders>
              <w:top w:val="single" w:sz="4" w:space="0" w:color="auto"/>
            </w:tcBorders>
            <w:vAlign w:val="center"/>
            <w:hideMark/>
          </w:tcPr>
          <w:p w14:paraId="020A6B44"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0.183</w:t>
            </w:r>
          </w:p>
        </w:tc>
        <w:tc>
          <w:tcPr>
            <w:tcW w:w="0" w:type="auto"/>
            <w:tcBorders>
              <w:top w:val="single" w:sz="4" w:space="0" w:color="auto"/>
            </w:tcBorders>
            <w:vAlign w:val="center"/>
            <w:hideMark/>
          </w:tcPr>
          <w:p w14:paraId="64C1BB3C"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0.230</w:t>
            </w:r>
          </w:p>
        </w:tc>
        <w:tc>
          <w:tcPr>
            <w:tcW w:w="0" w:type="auto"/>
            <w:tcBorders>
              <w:top w:val="single" w:sz="4" w:space="0" w:color="auto"/>
            </w:tcBorders>
            <w:vAlign w:val="center"/>
            <w:hideMark/>
          </w:tcPr>
          <w:p w14:paraId="7738DB17"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0.129</w:t>
            </w:r>
          </w:p>
        </w:tc>
      </w:tr>
      <w:tr w:rsidR="007143CF" w:rsidRPr="007143CF" w14:paraId="77678E20" w14:textId="77777777" w:rsidTr="00C859E4">
        <w:trPr>
          <w:tblCellSpacing w:w="15" w:type="dxa"/>
        </w:trPr>
        <w:tc>
          <w:tcPr>
            <w:tcW w:w="0" w:type="auto"/>
            <w:vAlign w:val="center"/>
            <w:hideMark/>
          </w:tcPr>
          <w:p w14:paraId="24A9B851"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AST (GOT) (U/L)</w:t>
            </w:r>
          </w:p>
        </w:tc>
        <w:tc>
          <w:tcPr>
            <w:tcW w:w="0" w:type="auto"/>
            <w:vAlign w:val="center"/>
            <w:hideMark/>
          </w:tcPr>
          <w:p w14:paraId="1E10BC8A" w14:textId="7E6155E0"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0.423</w:t>
            </w:r>
          </w:p>
        </w:tc>
        <w:tc>
          <w:tcPr>
            <w:tcW w:w="0" w:type="auto"/>
            <w:vAlign w:val="center"/>
            <w:hideMark/>
          </w:tcPr>
          <w:p w14:paraId="031DCE0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0.004</w:t>
            </w:r>
          </w:p>
        </w:tc>
        <w:tc>
          <w:tcPr>
            <w:tcW w:w="0" w:type="auto"/>
            <w:vAlign w:val="center"/>
            <w:hideMark/>
          </w:tcPr>
          <w:p w14:paraId="2976B359" w14:textId="6B9F6CA5"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0.454</w:t>
            </w:r>
          </w:p>
        </w:tc>
        <w:tc>
          <w:tcPr>
            <w:tcW w:w="0" w:type="auto"/>
            <w:vAlign w:val="center"/>
            <w:hideMark/>
          </w:tcPr>
          <w:p w14:paraId="49CB2304"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0.002</w:t>
            </w:r>
          </w:p>
        </w:tc>
      </w:tr>
      <w:tr w:rsidR="007143CF" w:rsidRPr="007143CF" w14:paraId="73830CE9" w14:textId="77777777" w:rsidTr="00C859E4">
        <w:trPr>
          <w:tblCellSpacing w:w="15" w:type="dxa"/>
        </w:trPr>
        <w:tc>
          <w:tcPr>
            <w:tcW w:w="0" w:type="auto"/>
            <w:vAlign w:val="center"/>
            <w:hideMark/>
          </w:tcPr>
          <w:p w14:paraId="5AC4655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ALT (GPT) (U/L)</w:t>
            </w:r>
          </w:p>
        </w:tc>
        <w:tc>
          <w:tcPr>
            <w:tcW w:w="0" w:type="auto"/>
            <w:vAlign w:val="center"/>
            <w:hideMark/>
          </w:tcPr>
          <w:p w14:paraId="3B70EDC2" w14:textId="77286F21"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0.349</w:t>
            </w:r>
          </w:p>
        </w:tc>
        <w:tc>
          <w:tcPr>
            <w:tcW w:w="0" w:type="auto"/>
            <w:vAlign w:val="center"/>
            <w:hideMark/>
          </w:tcPr>
          <w:p w14:paraId="765E10ED"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0.019</w:t>
            </w:r>
          </w:p>
        </w:tc>
        <w:tc>
          <w:tcPr>
            <w:tcW w:w="0" w:type="auto"/>
            <w:vAlign w:val="center"/>
            <w:hideMark/>
          </w:tcPr>
          <w:p w14:paraId="11BC520E" w14:textId="5E17D9F8"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0.318</w:t>
            </w:r>
          </w:p>
        </w:tc>
        <w:tc>
          <w:tcPr>
            <w:tcW w:w="0" w:type="auto"/>
            <w:vAlign w:val="center"/>
            <w:hideMark/>
          </w:tcPr>
          <w:p w14:paraId="00A4A39A"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0.034</w:t>
            </w:r>
          </w:p>
        </w:tc>
      </w:tr>
      <w:tr w:rsidR="007143CF" w:rsidRPr="007143CF" w14:paraId="69E1CE65" w14:textId="77777777" w:rsidTr="00C859E4">
        <w:trPr>
          <w:tblCellSpacing w:w="15" w:type="dxa"/>
        </w:trPr>
        <w:tc>
          <w:tcPr>
            <w:tcW w:w="0" w:type="auto"/>
            <w:tcBorders>
              <w:bottom w:val="single" w:sz="4" w:space="0" w:color="auto"/>
            </w:tcBorders>
            <w:vAlign w:val="center"/>
            <w:hideMark/>
          </w:tcPr>
          <w:p w14:paraId="05933B29"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LDH (U/L)</w:t>
            </w:r>
          </w:p>
        </w:tc>
        <w:tc>
          <w:tcPr>
            <w:tcW w:w="0" w:type="auto"/>
            <w:tcBorders>
              <w:bottom w:val="single" w:sz="4" w:space="0" w:color="auto"/>
            </w:tcBorders>
            <w:vAlign w:val="center"/>
            <w:hideMark/>
          </w:tcPr>
          <w:p w14:paraId="7C5158C0" w14:textId="50F5A00D"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0.388</w:t>
            </w:r>
          </w:p>
        </w:tc>
        <w:tc>
          <w:tcPr>
            <w:tcW w:w="0" w:type="auto"/>
            <w:tcBorders>
              <w:bottom w:val="single" w:sz="4" w:space="0" w:color="auto"/>
            </w:tcBorders>
            <w:vAlign w:val="center"/>
            <w:hideMark/>
          </w:tcPr>
          <w:p w14:paraId="57C6BB2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0.008</w:t>
            </w:r>
          </w:p>
        </w:tc>
        <w:tc>
          <w:tcPr>
            <w:tcW w:w="0" w:type="auto"/>
            <w:tcBorders>
              <w:bottom w:val="single" w:sz="4" w:space="0" w:color="auto"/>
            </w:tcBorders>
            <w:vAlign w:val="center"/>
            <w:hideMark/>
          </w:tcPr>
          <w:p w14:paraId="7E07B03E" w14:textId="4E9079E8"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0.657</w:t>
            </w:r>
          </w:p>
        </w:tc>
        <w:tc>
          <w:tcPr>
            <w:tcW w:w="0" w:type="auto"/>
            <w:tcBorders>
              <w:bottom w:val="single" w:sz="4" w:space="0" w:color="auto"/>
            </w:tcBorders>
            <w:vAlign w:val="center"/>
            <w:hideMark/>
          </w:tcPr>
          <w:p w14:paraId="0801473E" w14:textId="77777777" w:rsidR="007143CF" w:rsidRPr="007143CF" w:rsidRDefault="007143CF" w:rsidP="007143CF">
            <w:pPr>
              <w:spacing w:line="240" w:lineRule="auto"/>
              <w:jc w:val="both"/>
              <w:rPr>
                <w:rFonts w:ascii="Times New Roman" w:hAnsi="Times New Roman" w:cs="Times New Roman"/>
                <w:bCs/>
                <w:sz w:val="24"/>
                <w:szCs w:val="24"/>
              </w:rPr>
            </w:pPr>
            <w:r w:rsidRPr="007143CF">
              <w:rPr>
                <w:rFonts w:ascii="Times New Roman" w:hAnsi="Times New Roman" w:cs="Times New Roman"/>
                <w:bCs/>
                <w:sz w:val="24"/>
                <w:szCs w:val="24"/>
              </w:rPr>
              <w:t>0.000</w:t>
            </w:r>
          </w:p>
        </w:tc>
      </w:tr>
    </w:tbl>
    <w:p w14:paraId="533141FA" w14:textId="23BCF3A8" w:rsidR="004243B3" w:rsidRDefault="004243B3" w:rsidP="006F7F27">
      <w:pPr>
        <w:spacing w:line="360" w:lineRule="auto"/>
      </w:pPr>
    </w:p>
    <w:p w14:paraId="6E330CD6" w14:textId="77777777" w:rsidR="00224FDD" w:rsidRDefault="00224FDD" w:rsidP="00224FDD">
      <w:pPr>
        <w:spacing w:line="240" w:lineRule="auto"/>
        <w:jc w:val="both"/>
        <w:rPr>
          <w:rFonts w:ascii="Times New Roman" w:hAnsi="Times New Roman" w:cs="Times New Roman"/>
          <w:b/>
          <w:bCs/>
          <w:sz w:val="24"/>
          <w:szCs w:val="24"/>
        </w:rPr>
      </w:pPr>
    </w:p>
    <w:p w14:paraId="50B12094" w14:textId="77777777" w:rsidR="00224FDD" w:rsidRDefault="00224FDD" w:rsidP="00224FDD">
      <w:pPr>
        <w:spacing w:line="240" w:lineRule="auto"/>
        <w:jc w:val="both"/>
        <w:rPr>
          <w:rFonts w:ascii="Times New Roman" w:hAnsi="Times New Roman" w:cs="Times New Roman"/>
          <w:b/>
          <w:bCs/>
          <w:sz w:val="24"/>
          <w:szCs w:val="24"/>
        </w:rPr>
      </w:pPr>
    </w:p>
    <w:p w14:paraId="4282B7D5" w14:textId="77777777" w:rsidR="00226D27" w:rsidRDefault="00226D27" w:rsidP="00224FDD">
      <w:pPr>
        <w:spacing w:line="240" w:lineRule="auto"/>
        <w:jc w:val="both"/>
        <w:rPr>
          <w:rFonts w:ascii="Times New Roman" w:hAnsi="Times New Roman" w:cs="Times New Roman"/>
          <w:b/>
          <w:bCs/>
          <w:sz w:val="24"/>
          <w:szCs w:val="24"/>
        </w:rPr>
      </w:pPr>
    </w:p>
    <w:p w14:paraId="60B2A8C4" w14:textId="77777777" w:rsidR="00226D27" w:rsidRDefault="00226D27" w:rsidP="00224FDD">
      <w:pPr>
        <w:spacing w:line="240" w:lineRule="auto"/>
        <w:jc w:val="both"/>
        <w:rPr>
          <w:rFonts w:ascii="Times New Roman" w:hAnsi="Times New Roman" w:cs="Times New Roman"/>
          <w:b/>
          <w:bCs/>
          <w:sz w:val="24"/>
          <w:szCs w:val="24"/>
        </w:rPr>
      </w:pPr>
    </w:p>
    <w:p w14:paraId="6B67CF4A" w14:textId="77777777" w:rsidR="00226D27" w:rsidRDefault="00226D27" w:rsidP="00224FDD">
      <w:pPr>
        <w:spacing w:line="240" w:lineRule="auto"/>
        <w:jc w:val="both"/>
        <w:rPr>
          <w:rFonts w:ascii="Times New Roman" w:hAnsi="Times New Roman" w:cs="Times New Roman"/>
          <w:b/>
          <w:bCs/>
          <w:sz w:val="24"/>
          <w:szCs w:val="24"/>
        </w:rPr>
      </w:pPr>
    </w:p>
    <w:p w14:paraId="6F3BA390" w14:textId="77777777" w:rsidR="00226D27" w:rsidRDefault="00226D27" w:rsidP="00224FDD">
      <w:pPr>
        <w:spacing w:line="240" w:lineRule="auto"/>
        <w:jc w:val="both"/>
        <w:rPr>
          <w:rFonts w:ascii="Times New Roman" w:hAnsi="Times New Roman" w:cs="Times New Roman"/>
          <w:b/>
          <w:bCs/>
          <w:sz w:val="24"/>
          <w:szCs w:val="24"/>
        </w:rPr>
      </w:pPr>
    </w:p>
    <w:p w14:paraId="0FC19C16" w14:textId="77777777" w:rsidR="00226D27" w:rsidRDefault="00226D27" w:rsidP="00224FDD">
      <w:pPr>
        <w:spacing w:line="240" w:lineRule="auto"/>
        <w:jc w:val="both"/>
        <w:rPr>
          <w:rFonts w:ascii="Times New Roman" w:hAnsi="Times New Roman" w:cs="Times New Roman"/>
          <w:b/>
          <w:bCs/>
          <w:sz w:val="24"/>
          <w:szCs w:val="24"/>
        </w:rPr>
      </w:pPr>
    </w:p>
    <w:p w14:paraId="011DA19C" w14:textId="77777777" w:rsidR="00226D27" w:rsidRDefault="00226D27" w:rsidP="00224FDD">
      <w:pPr>
        <w:spacing w:line="240" w:lineRule="auto"/>
        <w:jc w:val="both"/>
        <w:rPr>
          <w:rFonts w:ascii="Times New Roman" w:hAnsi="Times New Roman" w:cs="Times New Roman"/>
          <w:b/>
          <w:bCs/>
          <w:sz w:val="24"/>
          <w:szCs w:val="24"/>
        </w:rPr>
      </w:pPr>
    </w:p>
    <w:p w14:paraId="2F9FA37D" w14:textId="77777777" w:rsidR="00226D27" w:rsidRDefault="00226D27" w:rsidP="00224FDD">
      <w:pPr>
        <w:spacing w:line="240" w:lineRule="auto"/>
        <w:jc w:val="both"/>
        <w:rPr>
          <w:rFonts w:ascii="Times New Roman" w:hAnsi="Times New Roman" w:cs="Times New Roman"/>
          <w:b/>
          <w:bCs/>
          <w:sz w:val="24"/>
          <w:szCs w:val="24"/>
        </w:rPr>
      </w:pPr>
    </w:p>
    <w:p w14:paraId="02CE7FC1" w14:textId="77777777" w:rsidR="00226D27" w:rsidRDefault="00226D27" w:rsidP="00224FDD">
      <w:pPr>
        <w:spacing w:line="240" w:lineRule="auto"/>
        <w:jc w:val="both"/>
        <w:rPr>
          <w:rFonts w:ascii="Times New Roman" w:hAnsi="Times New Roman" w:cs="Times New Roman"/>
          <w:b/>
          <w:bCs/>
          <w:sz w:val="24"/>
          <w:szCs w:val="24"/>
        </w:rPr>
      </w:pPr>
    </w:p>
    <w:p w14:paraId="0DFAC0F7" w14:textId="77777777" w:rsidR="00226D27" w:rsidRDefault="00226D27" w:rsidP="00224FDD">
      <w:pPr>
        <w:spacing w:line="240" w:lineRule="auto"/>
        <w:jc w:val="both"/>
        <w:rPr>
          <w:rFonts w:ascii="Times New Roman" w:hAnsi="Times New Roman" w:cs="Times New Roman"/>
          <w:b/>
          <w:bCs/>
          <w:sz w:val="24"/>
          <w:szCs w:val="24"/>
        </w:rPr>
      </w:pPr>
    </w:p>
    <w:p w14:paraId="3A27F8CF" w14:textId="77777777" w:rsidR="00226D27" w:rsidRDefault="00226D27" w:rsidP="00224FDD">
      <w:pPr>
        <w:spacing w:line="240" w:lineRule="auto"/>
        <w:jc w:val="both"/>
        <w:rPr>
          <w:rFonts w:ascii="Times New Roman" w:hAnsi="Times New Roman" w:cs="Times New Roman"/>
          <w:b/>
          <w:bCs/>
          <w:sz w:val="24"/>
          <w:szCs w:val="24"/>
        </w:rPr>
      </w:pPr>
    </w:p>
    <w:p w14:paraId="317AE1D5" w14:textId="77777777" w:rsidR="00226D27" w:rsidRDefault="00226D27" w:rsidP="00224FDD">
      <w:pPr>
        <w:spacing w:line="240" w:lineRule="auto"/>
        <w:jc w:val="both"/>
        <w:rPr>
          <w:rFonts w:ascii="Times New Roman" w:hAnsi="Times New Roman" w:cs="Times New Roman"/>
          <w:b/>
          <w:bCs/>
          <w:sz w:val="24"/>
          <w:szCs w:val="24"/>
        </w:rPr>
      </w:pPr>
    </w:p>
    <w:p w14:paraId="0C153F39" w14:textId="77777777" w:rsidR="00226D27" w:rsidRDefault="00226D27" w:rsidP="00224FDD">
      <w:pPr>
        <w:spacing w:line="240" w:lineRule="auto"/>
        <w:jc w:val="both"/>
        <w:rPr>
          <w:rFonts w:ascii="Times New Roman" w:hAnsi="Times New Roman" w:cs="Times New Roman"/>
          <w:b/>
          <w:bCs/>
          <w:sz w:val="24"/>
          <w:szCs w:val="24"/>
        </w:rPr>
      </w:pPr>
    </w:p>
    <w:p w14:paraId="47532CAF" w14:textId="77777777" w:rsidR="00226D27" w:rsidRDefault="00226D27" w:rsidP="00224FDD">
      <w:pPr>
        <w:spacing w:line="240" w:lineRule="auto"/>
        <w:jc w:val="both"/>
        <w:rPr>
          <w:rFonts w:ascii="Times New Roman" w:hAnsi="Times New Roman" w:cs="Times New Roman"/>
          <w:b/>
          <w:bCs/>
          <w:sz w:val="24"/>
          <w:szCs w:val="24"/>
        </w:rPr>
      </w:pPr>
    </w:p>
    <w:p w14:paraId="01B63E00" w14:textId="77777777" w:rsidR="00226D27" w:rsidRDefault="00226D27" w:rsidP="00224FDD">
      <w:pPr>
        <w:spacing w:line="240" w:lineRule="auto"/>
        <w:jc w:val="both"/>
        <w:rPr>
          <w:rFonts w:ascii="Times New Roman" w:hAnsi="Times New Roman" w:cs="Times New Roman"/>
          <w:b/>
          <w:bCs/>
          <w:sz w:val="24"/>
          <w:szCs w:val="24"/>
        </w:rPr>
      </w:pPr>
    </w:p>
    <w:p w14:paraId="793E9711" w14:textId="77777777" w:rsidR="00226D27" w:rsidRDefault="00226D27" w:rsidP="00224FDD">
      <w:pPr>
        <w:spacing w:line="240" w:lineRule="auto"/>
        <w:jc w:val="both"/>
        <w:rPr>
          <w:rFonts w:ascii="Times New Roman" w:hAnsi="Times New Roman" w:cs="Times New Roman"/>
          <w:b/>
          <w:bCs/>
          <w:sz w:val="24"/>
          <w:szCs w:val="24"/>
        </w:rPr>
      </w:pPr>
    </w:p>
    <w:p w14:paraId="4225E3C6" w14:textId="47754756" w:rsidR="007143CF" w:rsidRDefault="007143CF" w:rsidP="00224FDD">
      <w:pPr>
        <w:spacing w:line="240" w:lineRule="auto"/>
        <w:jc w:val="both"/>
        <w:rPr>
          <w:rFonts w:ascii="Times New Roman" w:hAnsi="Times New Roman" w:cs="Times New Roman"/>
          <w:b/>
          <w:bCs/>
          <w:sz w:val="24"/>
          <w:szCs w:val="24"/>
        </w:rPr>
      </w:pPr>
      <w:r w:rsidRPr="007143CF">
        <w:rPr>
          <w:rFonts w:ascii="Times New Roman" w:hAnsi="Times New Roman" w:cs="Times New Roman"/>
          <w:b/>
          <w:bCs/>
          <w:sz w:val="24"/>
          <w:szCs w:val="24"/>
        </w:rPr>
        <w:t>C</w:t>
      </w:r>
      <w:r w:rsidR="00EF4562" w:rsidRPr="007143CF">
        <w:rPr>
          <w:rFonts w:ascii="Times New Roman" w:hAnsi="Times New Roman" w:cs="Times New Roman"/>
          <w:b/>
          <w:bCs/>
          <w:sz w:val="24"/>
          <w:szCs w:val="24"/>
        </w:rPr>
        <w:t>ompa</w:t>
      </w:r>
      <w:r w:rsidRPr="007143CF">
        <w:rPr>
          <w:rFonts w:ascii="Times New Roman" w:hAnsi="Times New Roman" w:cs="Times New Roman"/>
          <w:b/>
          <w:bCs/>
          <w:sz w:val="24"/>
          <w:szCs w:val="24"/>
        </w:rPr>
        <w:t>rison of</w:t>
      </w:r>
      <w:r w:rsidR="00EF4562" w:rsidRPr="007143CF">
        <w:rPr>
          <w:rFonts w:ascii="Times New Roman" w:hAnsi="Times New Roman" w:cs="Times New Roman"/>
          <w:b/>
          <w:bCs/>
          <w:sz w:val="24"/>
          <w:szCs w:val="24"/>
        </w:rPr>
        <w:t xml:space="preserve"> biochemical parameters across different neonatal age groups. </w:t>
      </w:r>
    </w:p>
    <w:p w14:paraId="6F77506D" w14:textId="296939F4" w:rsidR="00EF4562" w:rsidRPr="007143CF" w:rsidRDefault="00EF4562" w:rsidP="00224FDD">
      <w:pPr>
        <w:spacing w:line="240" w:lineRule="auto"/>
        <w:jc w:val="both"/>
        <w:rPr>
          <w:rFonts w:ascii="Times New Roman" w:hAnsi="Times New Roman" w:cs="Times New Roman"/>
          <w:b/>
          <w:bCs/>
          <w:sz w:val="24"/>
          <w:szCs w:val="24"/>
        </w:rPr>
      </w:pPr>
      <w:r w:rsidRPr="007143CF">
        <w:rPr>
          <w:rFonts w:ascii="Times New Roman" w:hAnsi="Times New Roman" w:cs="Times New Roman"/>
          <w:sz w:val="24"/>
          <w:szCs w:val="24"/>
        </w:rPr>
        <w:t>Significant differences were observed for total bilirubin, direct bilirubin, ALP, AST, and LDH (</w:t>
      </w:r>
      <w:r w:rsidR="007143CF">
        <w:rPr>
          <w:rFonts w:ascii="Times New Roman" w:hAnsi="Times New Roman" w:cs="Times New Roman"/>
          <w:sz w:val="24"/>
          <w:szCs w:val="24"/>
        </w:rPr>
        <w:t xml:space="preserve">P </w:t>
      </w:r>
      <w:r w:rsidRPr="007143CF">
        <w:rPr>
          <w:rFonts w:ascii="Times New Roman" w:hAnsi="Times New Roman" w:cs="Times New Roman"/>
          <w:sz w:val="24"/>
          <w:szCs w:val="24"/>
        </w:rPr>
        <w:t>&lt; 0.05), with the highest values generally recorded within the 1</w:t>
      </w:r>
      <w:r w:rsidR="009E1284">
        <w:rPr>
          <w:rFonts w:ascii="Times New Roman" w:hAnsi="Times New Roman" w:cs="Times New Roman"/>
          <w:sz w:val="24"/>
          <w:szCs w:val="24"/>
        </w:rPr>
        <w:t>-</w:t>
      </w:r>
      <w:r w:rsidRPr="007143CF">
        <w:rPr>
          <w:rFonts w:ascii="Times New Roman" w:hAnsi="Times New Roman" w:cs="Times New Roman"/>
          <w:sz w:val="24"/>
          <w:szCs w:val="24"/>
        </w:rPr>
        <w:t>5</w:t>
      </w:r>
      <w:r w:rsidR="00B43D86">
        <w:rPr>
          <w:rFonts w:ascii="Times New Roman" w:hAnsi="Times New Roman" w:cs="Times New Roman"/>
          <w:sz w:val="24"/>
          <w:szCs w:val="24"/>
        </w:rPr>
        <w:t xml:space="preserve"> </w:t>
      </w:r>
      <w:r w:rsidRPr="007143CF">
        <w:rPr>
          <w:rFonts w:ascii="Times New Roman" w:hAnsi="Times New Roman" w:cs="Times New Roman"/>
          <w:sz w:val="24"/>
          <w:szCs w:val="24"/>
        </w:rPr>
        <w:t>day</w:t>
      </w:r>
      <w:r w:rsidR="00B43D86">
        <w:rPr>
          <w:rFonts w:ascii="Times New Roman" w:hAnsi="Times New Roman" w:cs="Times New Roman"/>
          <w:sz w:val="24"/>
          <w:szCs w:val="24"/>
        </w:rPr>
        <w:t>s</w:t>
      </w:r>
      <w:r w:rsidRPr="007143CF">
        <w:rPr>
          <w:rFonts w:ascii="Times New Roman" w:hAnsi="Times New Roman" w:cs="Times New Roman"/>
          <w:sz w:val="24"/>
          <w:szCs w:val="24"/>
        </w:rPr>
        <w:t xml:space="preserve"> </w:t>
      </w:r>
      <w:r w:rsidR="007143CF">
        <w:rPr>
          <w:rFonts w:ascii="Times New Roman" w:hAnsi="Times New Roman" w:cs="Times New Roman"/>
          <w:sz w:val="24"/>
          <w:szCs w:val="24"/>
        </w:rPr>
        <w:t xml:space="preserve">age </w:t>
      </w:r>
      <w:r w:rsidRPr="007143CF">
        <w:rPr>
          <w:rFonts w:ascii="Times New Roman" w:hAnsi="Times New Roman" w:cs="Times New Roman"/>
          <w:sz w:val="24"/>
          <w:szCs w:val="24"/>
        </w:rPr>
        <w:t xml:space="preserve">group. </w:t>
      </w:r>
      <w:r w:rsidR="00B43D86">
        <w:rPr>
          <w:rFonts w:ascii="Times New Roman" w:hAnsi="Times New Roman" w:cs="Times New Roman"/>
          <w:sz w:val="24"/>
          <w:szCs w:val="24"/>
        </w:rPr>
        <w:t xml:space="preserve">However, </w:t>
      </w:r>
      <w:r w:rsidRPr="007143CF">
        <w:rPr>
          <w:rFonts w:ascii="Times New Roman" w:hAnsi="Times New Roman" w:cs="Times New Roman"/>
          <w:sz w:val="24"/>
          <w:szCs w:val="24"/>
        </w:rPr>
        <w:t>ALT showed no significant variation across the age categories</w:t>
      </w:r>
      <w:r w:rsidR="00B43D86">
        <w:rPr>
          <w:rFonts w:ascii="Times New Roman" w:hAnsi="Times New Roman" w:cs="Times New Roman"/>
          <w:sz w:val="24"/>
          <w:szCs w:val="24"/>
        </w:rPr>
        <w:t xml:space="preserve"> (Table 5).</w:t>
      </w:r>
    </w:p>
    <w:p w14:paraId="4893F6FE" w14:textId="755AC48D" w:rsidR="00EF4562" w:rsidRDefault="00EF4562" w:rsidP="006F7F27">
      <w:pPr>
        <w:spacing w:line="360" w:lineRule="auto"/>
      </w:pPr>
    </w:p>
    <w:p w14:paraId="6833616E" w14:textId="219CD14B" w:rsidR="00EF4562" w:rsidRPr="00B43D86" w:rsidRDefault="00EF4562" w:rsidP="00EF4562">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Table </w:t>
      </w:r>
      <w:r w:rsidR="00B43D86" w:rsidRPr="00B43D86">
        <w:rPr>
          <w:rFonts w:ascii="Times New Roman" w:hAnsi="Times New Roman" w:cs="Times New Roman"/>
          <w:b/>
          <w:bCs/>
          <w:sz w:val="24"/>
          <w:szCs w:val="24"/>
        </w:rPr>
        <w:t>5.</w:t>
      </w:r>
      <w:r w:rsidRPr="00B43D86">
        <w:rPr>
          <w:rFonts w:ascii="Times New Roman" w:hAnsi="Times New Roman" w:cs="Times New Roman"/>
          <w:b/>
          <w:bCs/>
          <w:sz w:val="24"/>
          <w:szCs w:val="24"/>
        </w:rPr>
        <w:t xml:space="preserve"> Comparison of Biochemical Parameters Across Different Age Groups of Participants</w:t>
      </w:r>
    </w:p>
    <w:tbl>
      <w:tblPr>
        <w:tblW w:w="9540" w:type="dxa"/>
        <w:tblCellSpacing w:w="15" w:type="dxa"/>
        <w:tblCellMar>
          <w:top w:w="15" w:type="dxa"/>
          <w:left w:w="15" w:type="dxa"/>
          <w:bottom w:w="15" w:type="dxa"/>
          <w:right w:w="15" w:type="dxa"/>
        </w:tblCellMar>
        <w:tblLook w:val="04A0" w:firstRow="1" w:lastRow="0" w:firstColumn="1" w:lastColumn="0" w:noHBand="0" w:noVBand="1"/>
      </w:tblPr>
      <w:tblGrid>
        <w:gridCol w:w="1537"/>
        <w:gridCol w:w="1264"/>
        <w:gridCol w:w="1296"/>
        <w:gridCol w:w="1328"/>
        <w:gridCol w:w="1145"/>
        <w:gridCol w:w="1170"/>
        <w:gridCol w:w="944"/>
        <w:gridCol w:w="856"/>
      </w:tblGrid>
      <w:tr w:rsidR="00B43D86" w:rsidRPr="00B43D86" w14:paraId="407E9DD7" w14:textId="77777777" w:rsidTr="00B43D86">
        <w:trPr>
          <w:tblHeader/>
          <w:tblCellSpacing w:w="15" w:type="dxa"/>
        </w:trPr>
        <w:tc>
          <w:tcPr>
            <w:tcW w:w="0" w:type="auto"/>
            <w:tcBorders>
              <w:top w:val="single" w:sz="4" w:space="0" w:color="auto"/>
              <w:bottom w:val="single" w:sz="4" w:space="0" w:color="auto"/>
            </w:tcBorders>
            <w:vAlign w:val="center"/>
            <w:hideMark/>
          </w:tcPr>
          <w:p w14:paraId="7435B622"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Parameter</w:t>
            </w:r>
          </w:p>
        </w:tc>
        <w:tc>
          <w:tcPr>
            <w:tcW w:w="0" w:type="auto"/>
            <w:tcBorders>
              <w:top w:val="single" w:sz="4" w:space="0" w:color="auto"/>
              <w:bottom w:val="single" w:sz="4" w:space="0" w:color="auto"/>
            </w:tcBorders>
            <w:vAlign w:val="center"/>
            <w:hideMark/>
          </w:tcPr>
          <w:p w14:paraId="4B991B6E"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1–5 Days &lt;br&gt; </w:t>
            </w:r>
            <w:r w:rsidRPr="00B43D86">
              <w:rPr>
                <w:rFonts w:ascii="Times New Roman" w:hAnsi="Times New Roman" w:cs="Times New Roman"/>
                <w:b/>
                <w:bCs/>
                <w:i/>
                <w:iCs/>
                <w:sz w:val="24"/>
                <w:szCs w:val="24"/>
              </w:rPr>
              <w:t>Mean ± SD</w:t>
            </w:r>
          </w:p>
        </w:tc>
        <w:tc>
          <w:tcPr>
            <w:tcW w:w="0" w:type="auto"/>
            <w:tcBorders>
              <w:top w:val="single" w:sz="4" w:space="0" w:color="auto"/>
              <w:bottom w:val="single" w:sz="4" w:space="0" w:color="auto"/>
            </w:tcBorders>
            <w:vAlign w:val="center"/>
            <w:hideMark/>
          </w:tcPr>
          <w:p w14:paraId="4BBE2626"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6–10 Days &lt;br&gt; </w:t>
            </w:r>
            <w:r w:rsidRPr="00B43D86">
              <w:rPr>
                <w:rFonts w:ascii="Times New Roman" w:hAnsi="Times New Roman" w:cs="Times New Roman"/>
                <w:b/>
                <w:bCs/>
                <w:i/>
                <w:iCs/>
                <w:sz w:val="24"/>
                <w:szCs w:val="24"/>
              </w:rPr>
              <w:t>Mean ± SD</w:t>
            </w:r>
          </w:p>
        </w:tc>
        <w:tc>
          <w:tcPr>
            <w:tcW w:w="0" w:type="auto"/>
            <w:tcBorders>
              <w:top w:val="single" w:sz="4" w:space="0" w:color="auto"/>
              <w:bottom w:val="single" w:sz="4" w:space="0" w:color="auto"/>
            </w:tcBorders>
            <w:vAlign w:val="center"/>
            <w:hideMark/>
          </w:tcPr>
          <w:p w14:paraId="58CA5BD1"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11–15 Days &lt;br&gt; </w:t>
            </w:r>
            <w:r w:rsidRPr="00B43D86">
              <w:rPr>
                <w:rFonts w:ascii="Times New Roman" w:hAnsi="Times New Roman" w:cs="Times New Roman"/>
                <w:b/>
                <w:bCs/>
                <w:i/>
                <w:iCs/>
                <w:sz w:val="24"/>
                <w:szCs w:val="24"/>
              </w:rPr>
              <w:t>Mean ± SD</w:t>
            </w:r>
          </w:p>
        </w:tc>
        <w:tc>
          <w:tcPr>
            <w:tcW w:w="1115" w:type="dxa"/>
            <w:tcBorders>
              <w:top w:val="single" w:sz="4" w:space="0" w:color="auto"/>
              <w:bottom w:val="single" w:sz="4" w:space="0" w:color="auto"/>
            </w:tcBorders>
            <w:vAlign w:val="center"/>
            <w:hideMark/>
          </w:tcPr>
          <w:p w14:paraId="66313CDC"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16–20 Days &lt;br&gt; </w:t>
            </w:r>
            <w:r w:rsidRPr="00B43D86">
              <w:rPr>
                <w:rFonts w:ascii="Times New Roman" w:hAnsi="Times New Roman" w:cs="Times New Roman"/>
                <w:b/>
                <w:bCs/>
                <w:i/>
                <w:iCs/>
                <w:sz w:val="24"/>
                <w:szCs w:val="24"/>
              </w:rPr>
              <w:t>Mean ± SD</w:t>
            </w:r>
          </w:p>
        </w:tc>
        <w:tc>
          <w:tcPr>
            <w:tcW w:w="1140" w:type="dxa"/>
            <w:tcBorders>
              <w:top w:val="single" w:sz="4" w:space="0" w:color="auto"/>
              <w:bottom w:val="single" w:sz="4" w:space="0" w:color="auto"/>
            </w:tcBorders>
            <w:vAlign w:val="center"/>
            <w:hideMark/>
          </w:tcPr>
          <w:p w14:paraId="09F8BF42"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 xml:space="preserve">≥21 Days &lt;br&gt; </w:t>
            </w:r>
            <w:r w:rsidRPr="00B43D86">
              <w:rPr>
                <w:rFonts w:ascii="Times New Roman" w:hAnsi="Times New Roman" w:cs="Times New Roman"/>
                <w:b/>
                <w:bCs/>
                <w:i/>
                <w:iCs/>
                <w:sz w:val="24"/>
                <w:szCs w:val="24"/>
              </w:rPr>
              <w:t>Mean ± SD</w:t>
            </w:r>
          </w:p>
        </w:tc>
        <w:tc>
          <w:tcPr>
            <w:tcW w:w="914" w:type="dxa"/>
            <w:tcBorders>
              <w:top w:val="single" w:sz="4" w:space="0" w:color="auto"/>
              <w:bottom w:val="single" w:sz="4" w:space="0" w:color="auto"/>
            </w:tcBorders>
            <w:vAlign w:val="center"/>
            <w:hideMark/>
          </w:tcPr>
          <w:p w14:paraId="26CDF9B4" w14:textId="77777777" w:rsidR="00B43D86" w:rsidRPr="00B43D86" w:rsidRDefault="00B43D86" w:rsidP="00C859E4">
            <w:pPr>
              <w:spacing w:line="240" w:lineRule="auto"/>
              <w:rPr>
                <w:rFonts w:ascii="Times New Roman" w:hAnsi="Times New Roman" w:cs="Times New Roman"/>
                <w:b/>
                <w:bCs/>
                <w:sz w:val="24"/>
                <w:szCs w:val="24"/>
              </w:rPr>
            </w:pPr>
            <w:r w:rsidRPr="00B43D86">
              <w:rPr>
                <w:rFonts w:ascii="Times New Roman" w:hAnsi="Times New Roman" w:cs="Times New Roman"/>
                <w:b/>
                <w:bCs/>
                <w:sz w:val="24"/>
                <w:szCs w:val="24"/>
              </w:rPr>
              <w:t>F-value</w:t>
            </w:r>
          </w:p>
        </w:tc>
        <w:tc>
          <w:tcPr>
            <w:tcW w:w="811" w:type="dxa"/>
            <w:tcBorders>
              <w:top w:val="single" w:sz="4" w:space="0" w:color="auto"/>
              <w:bottom w:val="single" w:sz="4" w:space="0" w:color="auto"/>
            </w:tcBorders>
            <w:vAlign w:val="center"/>
            <w:hideMark/>
          </w:tcPr>
          <w:p w14:paraId="46F1471B" w14:textId="6C519E7C" w:rsidR="00B43D86" w:rsidRPr="00B43D86" w:rsidRDefault="00B43D86" w:rsidP="00C859E4">
            <w:pPr>
              <w:spacing w:line="240" w:lineRule="auto"/>
              <w:rPr>
                <w:rFonts w:ascii="Times New Roman" w:hAnsi="Times New Roman" w:cs="Times New Roman"/>
                <w:b/>
                <w:bCs/>
                <w:sz w:val="24"/>
                <w:szCs w:val="24"/>
              </w:rPr>
            </w:pPr>
            <w:r>
              <w:rPr>
                <w:rFonts w:ascii="Times New Roman" w:hAnsi="Times New Roman" w:cs="Times New Roman"/>
                <w:b/>
                <w:bCs/>
                <w:sz w:val="24"/>
                <w:szCs w:val="24"/>
              </w:rPr>
              <w:t>P</w:t>
            </w:r>
            <w:r w:rsidRPr="00B43D86">
              <w:rPr>
                <w:rFonts w:ascii="Times New Roman" w:hAnsi="Times New Roman" w:cs="Times New Roman"/>
                <w:b/>
                <w:bCs/>
                <w:sz w:val="24"/>
                <w:szCs w:val="24"/>
              </w:rPr>
              <w:t>-value</w:t>
            </w:r>
          </w:p>
        </w:tc>
      </w:tr>
      <w:tr w:rsidR="00B43D86" w:rsidRPr="00B43D86" w14:paraId="7CCA4EDC" w14:textId="77777777" w:rsidTr="00B43D86">
        <w:trPr>
          <w:tblCellSpacing w:w="15" w:type="dxa"/>
        </w:trPr>
        <w:tc>
          <w:tcPr>
            <w:tcW w:w="0" w:type="auto"/>
            <w:vAlign w:val="center"/>
            <w:hideMark/>
          </w:tcPr>
          <w:p w14:paraId="547A09B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Total Bilirubin (µmol/L)</w:t>
            </w:r>
          </w:p>
        </w:tc>
        <w:tc>
          <w:tcPr>
            <w:tcW w:w="0" w:type="auto"/>
            <w:vAlign w:val="center"/>
            <w:hideMark/>
          </w:tcPr>
          <w:p w14:paraId="68D36554" w14:textId="73BCCBD3"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234.50 ± 124.03</w:t>
            </w:r>
          </w:p>
        </w:tc>
        <w:tc>
          <w:tcPr>
            <w:tcW w:w="0" w:type="auto"/>
            <w:vAlign w:val="center"/>
            <w:hideMark/>
          </w:tcPr>
          <w:p w14:paraId="10E33C08" w14:textId="2CE455F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145.69 ± 53.29</w:t>
            </w:r>
          </w:p>
        </w:tc>
        <w:tc>
          <w:tcPr>
            <w:tcW w:w="0" w:type="auto"/>
            <w:vAlign w:val="center"/>
            <w:hideMark/>
          </w:tcPr>
          <w:p w14:paraId="7882C3B0" w14:textId="4EC399F5"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136.35 ± 45.74</w:t>
            </w:r>
          </w:p>
        </w:tc>
        <w:tc>
          <w:tcPr>
            <w:tcW w:w="1115" w:type="dxa"/>
            <w:vAlign w:val="center"/>
            <w:hideMark/>
          </w:tcPr>
          <w:p w14:paraId="4B9A2D66" w14:textId="40F63E0C"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118.80 ± 16.54</w:t>
            </w:r>
          </w:p>
        </w:tc>
        <w:tc>
          <w:tcPr>
            <w:tcW w:w="1140" w:type="dxa"/>
            <w:vAlign w:val="center"/>
            <w:hideMark/>
          </w:tcPr>
          <w:p w14:paraId="74CC82A2" w14:textId="41B7175E"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117.80 ± 45.52</w:t>
            </w:r>
          </w:p>
        </w:tc>
        <w:tc>
          <w:tcPr>
            <w:tcW w:w="914" w:type="dxa"/>
            <w:vAlign w:val="center"/>
            <w:hideMark/>
          </w:tcPr>
          <w:p w14:paraId="64BC863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11.670</w:t>
            </w:r>
          </w:p>
        </w:tc>
        <w:tc>
          <w:tcPr>
            <w:tcW w:w="811" w:type="dxa"/>
            <w:vAlign w:val="center"/>
            <w:hideMark/>
          </w:tcPr>
          <w:p w14:paraId="2F761ED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0.000</w:t>
            </w:r>
          </w:p>
        </w:tc>
      </w:tr>
      <w:tr w:rsidR="00B43D86" w:rsidRPr="00B43D86" w14:paraId="4EFAC5DA" w14:textId="77777777" w:rsidTr="00B43D86">
        <w:trPr>
          <w:tblCellSpacing w:w="15" w:type="dxa"/>
        </w:trPr>
        <w:tc>
          <w:tcPr>
            <w:tcW w:w="0" w:type="auto"/>
            <w:vAlign w:val="center"/>
            <w:hideMark/>
          </w:tcPr>
          <w:p w14:paraId="7840599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Direct Bilirubin (µmol/L)</w:t>
            </w:r>
          </w:p>
        </w:tc>
        <w:tc>
          <w:tcPr>
            <w:tcW w:w="0" w:type="auto"/>
            <w:vAlign w:val="center"/>
            <w:hideMark/>
          </w:tcPr>
          <w:p w14:paraId="57B9BF82" w14:textId="025AC8F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76.65 ± 83.78</w:t>
            </w:r>
          </w:p>
        </w:tc>
        <w:tc>
          <w:tcPr>
            <w:tcW w:w="0" w:type="auto"/>
            <w:vAlign w:val="center"/>
            <w:hideMark/>
          </w:tcPr>
          <w:p w14:paraId="0BF4CD59" w14:textId="0BC05B14"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39.79 ± 36.97</w:t>
            </w:r>
          </w:p>
        </w:tc>
        <w:tc>
          <w:tcPr>
            <w:tcW w:w="0" w:type="auto"/>
            <w:vAlign w:val="center"/>
            <w:hideMark/>
          </w:tcPr>
          <w:p w14:paraId="4976911E" w14:textId="498EF10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38.92 ± 28.07</w:t>
            </w:r>
          </w:p>
        </w:tc>
        <w:tc>
          <w:tcPr>
            <w:tcW w:w="1115" w:type="dxa"/>
            <w:vAlign w:val="center"/>
            <w:hideMark/>
          </w:tcPr>
          <w:p w14:paraId="64AA182B" w14:textId="6407747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37.55 ± 6.09</w:t>
            </w:r>
          </w:p>
        </w:tc>
        <w:tc>
          <w:tcPr>
            <w:tcW w:w="1140" w:type="dxa"/>
            <w:vAlign w:val="center"/>
            <w:hideMark/>
          </w:tcPr>
          <w:p w14:paraId="6C6E1584" w14:textId="2808562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32.33 ± 9.71</w:t>
            </w:r>
          </w:p>
        </w:tc>
        <w:tc>
          <w:tcPr>
            <w:tcW w:w="914" w:type="dxa"/>
            <w:vAlign w:val="center"/>
            <w:hideMark/>
          </w:tcPr>
          <w:p w14:paraId="563C585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3.926</w:t>
            </w:r>
          </w:p>
        </w:tc>
        <w:tc>
          <w:tcPr>
            <w:tcW w:w="811" w:type="dxa"/>
            <w:vAlign w:val="center"/>
            <w:hideMark/>
          </w:tcPr>
          <w:p w14:paraId="6417123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0.005</w:t>
            </w:r>
          </w:p>
        </w:tc>
      </w:tr>
      <w:tr w:rsidR="00B43D86" w:rsidRPr="00B43D86" w14:paraId="147C2CDD" w14:textId="77777777" w:rsidTr="00B43D86">
        <w:trPr>
          <w:tblCellSpacing w:w="15" w:type="dxa"/>
        </w:trPr>
        <w:tc>
          <w:tcPr>
            <w:tcW w:w="0" w:type="auto"/>
            <w:vAlign w:val="center"/>
            <w:hideMark/>
          </w:tcPr>
          <w:p w14:paraId="05851DE8"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ALP (U/L)</w:t>
            </w:r>
          </w:p>
        </w:tc>
        <w:tc>
          <w:tcPr>
            <w:tcW w:w="0" w:type="auto"/>
            <w:vAlign w:val="center"/>
            <w:hideMark/>
          </w:tcPr>
          <w:p w14:paraId="5ED8FB5C" w14:textId="6B24EB11"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422.87 ± 367.65</w:t>
            </w:r>
          </w:p>
        </w:tc>
        <w:tc>
          <w:tcPr>
            <w:tcW w:w="0" w:type="auto"/>
            <w:vAlign w:val="center"/>
            <w:hideMark/>
          </w:tcPr>
          <w:p w14:paraId="452FED76" w14:textId="6D72CC14"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368.15 ± 280.80</w:t>
            </w:r>
          </w:p>
        </w:tc>
        <w:tc>
          <w:tcPr>
            <w:tcW w:w="0" w:type="auto"/>
            <w:vAlign w:val="center"/>
            <w:hideMark/>
          </w:tcPr>
          <w:p w14:paraId="5AB59711" w14:textId="5EAA626E"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256.95 ± 130.68</w:t>
            </w:r>
          </w:p>
        </w:tc>
        <w:tc>
          <w:tcPr>
            <w:tcW w:w="1115" w:type="dxa"/>
            <w:vAlign w:val="center"/>
            <w:hideMark/>
          </w:tcPr>
          <w:p w14:paraId="037140CB" w14:textId="745B2BDB"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224.35 ± 110.60</w:t>
            </w:r>
          </w:p>
        </w:tc>
        <w:tc>
          <w:tcPr>
            <w:tcW w:w="1140" w:type="dxa"/>
            <w:vAlign w:val="center"/>
            <w:hideMark/>
          </w:tcPr>
          <w:p w14:paraId="2ACF6884" w14:textId="62DDEA50"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179.43 ± 72.67</w:t>
            </w:r>
          </w:p>
        </w:tc>
        <w:tc>
          <w:tcPr>
            <w:tcW w:w="914" w:type="dxa"/>
            <w:vAlign w:val="center"/>
            <w:hideMark/>
          </w:tcPr>
          <w:p w14:paraId="71E94F5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3.495</w:t>
            </w:r>
          </w:p>
        </w:tc>
        <w:tc>
          <w:tcPr>
            <w:tcW w:w="811" w:type="dxa"/>
            <w:vAlign w:val="center"/>
            <w:hideMark/>
          </w:tcPr>
          <w:p w14:paraId="1E95B013"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0.010</w:t>
            </w:r>
          </w:p>
        </w:tc>
      </w:tr>
      <w:tr w:rsidR="00B43D86" w:rsidRPr="00B43D86" w14:paraId="695FB36F" w14:textId="77777777" w:rsidTr="00B43D86">
        <w:trPr>
          <w:tblCellSpacing w:w="15" w:type="dxa"/>
        </w:trPr>
        <w:tc>
          <w:tcPr>
            <w:tcW w:w="0" w:type="auto"/>
            <w:vAlign w:val="center"/>
            <w:hideMark/>
          </w:tcPr>
          <w:p w14:paraId="7AD1CB0F"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AST (GOT) (U/L)</w:t>
            </w:r>
          </w:p>
        </w:tc>
        <w:tc>
          <w:tcPr>
            <w:tcW w:w="0" w:type="auto"/>
            <w:vAlign w:val="center"/>
            <w:hideMark/>
          </w:tcPr>
          <w:p w14:paraId="5D68082A" w14:textId="206C05BD"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124.40 ± 246.58</w:t>
            </w:r>
          </w:p>
        </w:tc>
        <w:tc>
          <w:tcPr>
            <w:tcW w:w="0" w:type="auto"/>
            <w:vAlign w:val="center"/>
            <w:hideMark/>
          </w:tcPr>
          <w:p w14:paraId="7B0E2E10" w14:textId="680C15D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30.87 ± 18.75</w:t>
            </w:r>
          </w:p>
        </w:tc>
        <w:tc>
          <w:tcPr>
            <w:tcW w:w="0" w:type="auto"/>
            <w:vAlign w:val="center"/>
            <w:hideMark/>
          </w:tcPr>
          <w:p w14:paraId="6A0A10D9" w14:textId="61DFB833"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23.58 ± 10.39</w:t>
            </w:r>
          </w:p>
        </w:tc>
        <w:tc>
          <w:tcPr>
            <w:tcW w:w="1115" w:type="dxa"/>
            <w:vAlign w:val="center"/>
            <w:hideMark/>
          </w:tcPr>
          <w:p w14:paraId="1F354A8C" w14:textId="5C98FE28"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21.66 ± 2.89</w:t>
            </w:r>
          </w:p>
        </w:tc>
        <w:tc>
          <w:tcPr>
            <w:tcW w:w="1140" w:type="dxa"/>
            <w:vAlign w:val="center"/>
            <w:hideMark/>
          </w:tcPr>
          <w:p w14:paraId="5A799E0C" w14:textId="7672D83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30.09 ± 26.04</w:t>
            </w:r>
          </w:p>
        </w:tc>
        <w:tc>
          <w:tcPr>
            <w:tcW w:w="914" w:type="dxa"/>
            <w:vAlign w:val="center"/>
            <w:hideMark/>
          </w:tcPr>
          <w:p w14:paraId="06B10D40"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3.793</w:t>
            </w:r>
          </w:p>
        </w:tc>
        <w:tc>
          <w:tcPr>
            <w:tcW w:w="811" w:type="dxa"/>
            <w:vAlign w:val="center"/>
            <w:hideMark/>
          </w:tcPr>
          <w:p w14:paraId="51561063"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0.006</w:t>
            </w:r>
          </w:p>
        </w:tc>
      </w:tr>
      <w:tr w:rsidR="00B43D86" w:rsidRPr="00B43D86" w14:paraId="50E3CD12" w14:textId="77777777" w:rsidTr="00B43D86">
        <w:trPr>
          <w:tblCellSpacing w:w="15" w:type="dxa"/>
        </w:trPr>
        <w:tc>
          <w:tcPr>
            <w:tcW w:w="0" w:type="auto"/>
            <w:vAlign w:val="center"/>
            <w:hideMark/>
          </w:tcPr>
          <w:p w14:paraId="177390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ALT (GPT) (U/L)</w:t>
            </w:r>
          </w:p>
        </w:tc>
        <w:tc>
          <w:tcPr>
            <w:tcW w:w="0" w:type="auto"/>
            <w:vAlign w:val="center"/>
            <w:hideMark/>
          </w:tcPr>
          <w:p w14:paraId="47811C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100.11 ± 231.65</w:t>
            </w:r>
          </w:p>
        </w:tc>
        <w:tc>
          <w:tcPr>
            <w:tcW w:w="0" w:type="auto"/>
            <w:vAlign w:val="center"/>
            <w:hideMark/>
          </w:tcPr>
          <w:p w14:paraId="3F34FF2C"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28.97 ± 21.34</w:t>
            </w:r>
          </w:p>
        </w:tc>
        <w:tc>
          <w:tcPr>
            <w:tcW w:w="0" w:type="auto"/>
            <w:vAlign w:val="center"/>
            <w:hideMark/>
          </w:tcPr>
          <w:p w14:paraId="6F2DFFEA"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31.02 ± 73.96</w:t>
            </w:r>
          </w:p>
        </w:tc>
        <w:tc>
          <w:tcPr>
            <w:tcW w:w="1115" w:type="dxa"/>
            <w:vAlign w:val="center"/>
            <w:hideMark/>
          </w:tcPr>
          <w:p w14:paraId="52BFB868"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20.38 ± 3.22</w:t>
            </w:r>
          </w:p>
        </w:tc>
        <w:tc>
          <w:tcPr>
            <w:tcW w:w="1140" w:type="dxa"/>
            <w:vAlign w:val="center"/>
            <w:hideMark/>
          </w:tcPr>
          <w:p w14:paraId="20124620"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29.64 ± 25.58</w:t>
            </w:r>
          </w:p>
        </w:tc>
        <w:tc>
          <w:tcPr>
            <w:tcW w:w="914" w:type="dxa"/>
            <w:vAlign w:val="center"/>
            <w:hideMark/>
          </w:tcPr>
          <w:p w14:paraId="7818F304"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2.158</w:t>
            </w:r>
          </w:p>
        </w:tc>
        <w:tc>
          <w:tcPr>
            <w:tcW w:w="811" w:type="dxa"/>
            <w:vAlign w:val="center"/>
            <w:hideMark/>
          </w:tcPr>
          <w:p w14:paraId="702FE5E6"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0.077</w:t>
            </w:r>
          </w:p>
        </w:tc>
      </w:tr>
      <w:tr w:rsidR="00B43D86" w:rsidRPr="00B43D86" w14:paraId="29B46F54" w14:textId="77777777" w:rsidTr="00B43D86">
        <w:trPr>
          <w:tblCellSpacing w:w="15" w:type="dxa"/>
        </w:trPr>
        <w:tc>
          <w:tcPr>
            <w:tcW w:w="0" w:type="auto"/>
            <w:tcBorders>
              <w:bottom w:val="single" w:sz="4" w:space="0" w:color="auto"/>
            </w:tcBorders>
            <w:vAlign w:val="center"/>
            <w:hideMark/>
          </w:tcPr>
          <w:p w14:paraId="4E3F16E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LDH (U/L)</w:t>
            </w:r>
          </w:p>
        </w:tc>
        <w:tc>
          <w:tcPr>
            <w:tcW w:w="0" w:type="auto"/>
            <w:tcBorders>
              <w:bottom w:val="single" w:sz="4" w:space="0" w:color="auto"/>
            </w:tcBorders>
            <w:vAlign w:val="center"/>
            <w:hideMark/>
          </w:tcPr>
          <w:p w14:paraId="655ECDA5" w14:textId="7F84B04A"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690.40 ± 210.58</w:t>
            </w:r>
          </w:p>
        </w:tc>
        <w:tc>
          <w:tcPr>
            <w:tcW w:w="0" w:type="auto"/>
            <w:tcBorders>
              <w:bottom w:val="single" w:sz="4" w:space="0" w:color="auto"/>
            </w:tcBorders>
            <w:vAlign w:val="center"/>
            <w:hideMark/>
          </w:tcPr>
          <w:p w14:paraId="01042D74" w14:textId="32AF05F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567.47 ± 187.43</w:t>
            </w:r>
          </w:p>
        </w:tc>
        <w:tc>
          <w:tcPr>
            <w:tcW w:w="0" w:type="auto"/>
            <w:tcBorders>
              <w:bottom w:val="single" w:sz="4" w:space="0" w:color="auto"/>
            </w:tcBorders>
            <w:vAlign w:val="center"/>
            <w:hideMark/>
          </w:tcPr>
          <w:p w14:paraId="18506DF2" w14:textId="2ADC5619"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458.55 ± 171.85</w:t>
            </w:r>
          </w:p>
        </w:tc>
        <w:tc>
          <w:tcPr>
            <w:tcW w:w="1115" w:type="dxa"/>
            <w:tcBorders>
              <w:bottom w:val="single" w:sz="4" w:space="0" w:color="auto"/>
            </w:tcBorders>
            <w:vAlign w:val="center"/>
            <w:hideMark/>
          </w:tcPr>
          <w:p w14:paraId="6096963C" w14:textId="1702AC4F"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456.93 ± 184.40</w:t>
            </w:r>
          </w:p>
        </w:tc>
        <w:tc>
          <w:tcPr>
            <w:tcW w:w="1140" w:type="dxa"/>
            <w:tcBorders>
              <w:bottom w:val="single" w:sz="4" w:space="0" w:color="auto"/>
            </w:tcBorders>
            <w:vAlign w:val="center"/>
            <w:hideMark/>
          </w:tcPr>
          <w:p w14:paraId="0C0E5F6B" w14:textId="2EDE08C1"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431.89 ± 189.66</w:t>
            </w:r>
          </w:p>
        </w:tc>
        <w:tc>
          <w:tcPr>
            <w:tcW w:w="914" w:type="dxa"/>
            <w:tcBorders>
              <w:bottom w:val="single" w:sz="4" w:space="0" w:color="auto"/>
            </w:tcBorders>
            <w:vAlign w:val="center"/>
            <w:hideMark/>
          </w:tcPr>
          <w:p w14:paraId="1E6F3EF9"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8.704</w:t>
            </w:r>
          </w:p>
        </w:tc>
        <w:tc>
          <w:tcPr>
            <w:tcW w:w="811" w:type="dxa"/>
            <w:tcBorders>
              <w:bottom w:val="single" w:sz="4" w:space="0" w:color="auto"/>
            </w:tcBorders>
            <w:vAlign w:val="center"/>
            <w:hideMark/>
          </w:tcPr>
          <w:p w14:paraId="2CCFABA7" w14:textId="77777777" w:rsidR="00B43D86" w:rsidRPr="00B43D86" w:rsidRDefault="00B43D86" w:rsidP="00C859E4">
            <w:pPr>
              <w:spacing w:line="240" w:lineRule="auto"/>
              <w:rPr>
                <w:rFonts w:ascii="Times New Roman" w:hAnsi="Times New Roman" w:cs="Times New Roman"/>
                <w:sz w:val="24"/>
                <w:szCs w:val="24"/>
              </w:rPr>
            </w:pPr>
            <w:r w:rsidRPr="00B43D86">
              <w:rPr>
                <w:rFonts w:ascii="Times New Roman" w:hAnsi="Times New Roman" w:cs="Times New Roman"/>
                <w:sz w:val="24"/>
                <w:szCs w:val="24"/>
              </w:rPr>
              <w:t>0.000</w:t>
            </w:r>
          </w:p>
        </w:tc>
      </w:tr>
    </w:tbl>
    <w:p w14:paraId="439EFF0D" w14:textId="77777777" w:rsidR="004243B3" w:rsidRDefault="004243B3" w:rsidP="006F7F27">
      <w:pPr>
        <w:spacing w:line="360" w:lineRule="auto"/>
      </w:pPr>
    </w:p>
    <w:p w14:paraId="5E5AA750" w14:textId="77777777" w:rsidR="00FB0377" w:rsidRDefault="00FB0377" w:rsidP="00EF4562">
      <w:pPr>
        <w:spacing w:line="480" w:lineRule="auto"/>
        <w:jc w:val="both"/>
        <w:rPr>
          <w:rFonts w:ascii="Times New Roman" w:hAnsi="Times New Roman" w:cs="Times New Roman"/>
          <w:b/>
          <w:bCs/>
          <w:sz w:val="24"/>
          <w:szCs w:val="24"/>
        </w:rPr>
      </w:pPr>
    </w:p>
    <w:p w14:paraId="3E8B2B6D" w14:textId="77777777" w:rsidR="00FB0377" w:rsidRDefault="00FB0377" w:rsidP="00EF4562">
      <w:pPr>
        <w:spacing w:line="480" w:lineRule="auto"/>
        <w:jc w:val="both"/>
        <w:rPr>
          <w:rFonts w:ascii="Times New Roman" w:hAnsi="Times New Roman" w:cs="Times New Roman"/>
          <w:b/>
          <w:bCs/>
          <w:sz w:val="24"/>
          <w:szCs w:val="24"/>
        </w:rPr>
      </w:pPr>
    </w:p>
    <w:p w14:paraId="38D50EF0" w14:textId="77777777" w:rsidR="00FB0377" w:rsidRDefault="00FB0377" w:rsidP="00EF4562">
      <w:pPr>
        <w:spacing w:line="480" w:lineRule="auto"/>
        <w:jc w:val="both"/>
        <w:rPr>
          <w:rFonts w:ascii="Times New Roman" w:hAnsi="Times New Roman" w:cs="Times New Roman"/>
          <w:b/>
          <w:bCs/>
          <w:sz w:val="24"/>
          <w:szCs w:val="24"/>
        </w:rPr>
      </w:pPr>
    </w:p>
    <w:p w14:paraId="4553801D" w14:textId="363BBFF5" w:rsidR="00224FDD" w:rsidRDefault="00224FDD" w:rsidP="00FB0377">
      <w:pPr>
        <w:spacing w:line="240" w:lineRule="auto"/>
        <w:jc w:val="both"/>
        <w:rPr>
          <w:rFonts w:ascii="Times New Roman" w:hAnsi="Times New Roman" w:cs="Times New Roman"/>
          <w:b/>
          <w:bCs/>
          <w:sz w:val="24"/>
          <w:szCs w:val="24"/>
        </w:rPr>
      </w:pPr>
    </w:p>
    <w:p w14:paraId="2D3FECF3" w14:textId="0872030B" w:rsidR="00224FDD" w:rsidRDefault="00224FDD" w:rsidP="00FB0377">
      <w:pPr>
        <w:spacing w:line="240" w:lineRule="auto"/>
        <w:jc w:val="both"/>
        <w:rPr>
          <w:rFonts w:ascii="Times New Roman" w:hAnsi="Times New Roman" w:cs="Times New Roman"/>
          <w:b/>
          <w:bCs/>
          <w:sz w:val="24"/>
          <w:szCs w:val="24"/>
        </w:rPr>
      </w:pPr>
    </w:p>
    <w:p w14:paraId="18EB6B87" w14:textId="77777777" w:rsidR="00224FDD" w:rsidRDefault="00224FDD" w:rsidP="00FB0377">
      <w:pPr>
        <w:spacing w:line="240" w:lineRule="auto"/>
        <w:jc w:val="both"/>
        <w:rPr>
          <w:rFonts w:ascii="Times New Roman" w:hAnsi="Times New Roman" w:cs="Times New Roman"/>
          <w:b/>
          <w:bCs/>
          <w:sz w:val="24"/>
          <w:szCs w:val="24"/>
        </w:rPr>
      </w:pPr>
    </w:p>
    <w:p w14:paraId="75A1290A" w14:textId="7CD653A3" w:rsidR="00EF4562" w:rsidRPr="00EF4562" w:rsidRDefault="009E1284" w:rsidP="00FB0377">
      <w:pPr>
        <w:spacing w:line="240" w:lineRule="auto"/>
        <w:jc w:val="both"/>
        <w:rPr>
          <w:rFonts w:ascii="Times New Roman" w:hAnsi="Times New Roman" w:cs="Times New Roman"/>
          <w:b/>
          <w:bCs/>
          <w:sz w:val="24"/>
          <w:szCs w:val="24"/>
        </w:rPr>
      </w:pPr>
      <w:r w:rsidRPr="00EF4562">
        <w:rPr>
          <w:rFonts w:ascii="Times New Roman" w:hAnsi="Times New Roman" w:cs="Times New Roman"/>
          <w:b/>
          <w:bCs/>
          <w:sz w:val="24"/>
          <w:szCs w:val="24"/>
        </w:rPr>
        <w:t>Discussion</w:t>
      </w:r>
    </w:p>
    <w:p w14:paraId="649174B5" w14:textId="77777777" w:rsidR="000337A0"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This study </w:t>
      </w:r>
      <w:r w:rsidR="008D0F90">
        <w:rPr>
          <w:rFonts w:ascii="Times New Roman" w:hAnsi="Times New Roman" w:cs="Times New Roman"/>
          <w:sz w:val="24"/>
          <w:szCs w:val="24"/>
        </w:rPr>
        <w:t>evalu</w:t>
      </w:r>
      <w:r w:rsidRPr="00EF4562">
        <w:rPr>
          <w:rFonts w:ascii="Times New Roman" w:hAnsi="Times New Roman" w:cs="Times New Roman"/>
          <w:sz w:val="24"/>
          <w:szCs w:val="24"/>
        </w:rPr>
        <w:t xml:space="preserve">ated biochemical parameters in neonates with </w:t>
      </w:r>
      <w:r w:rsidR="008D0F90">
        <w:rPr>
          <w:rFonts w:ascii="Times New Roman" w:hAnsi="Times New Roman" w:cs="Times New Roman"/>
          <w:sz w:val="24"/>
          <w:szCs w:val="24"/>
        </w:rPr>
        <w:t>jaundice</w:t>
      </w:r>
      <w:r w:rsidRPr="00EF4562">
        <w:rPr>
          <w:rFonts w:ascii="Times New Roman" w:hAnsi="Times New Roman" w:cs="Times New Roman"/>
          <w:sz w:val="24"/>
          <w:szCs w:val="24"/>
        </w:rPr>
        <w:t xml:space="preserve"> in Keffi, Nasarawa State, and compared them with age-matched controls. The results revealed significantly elevated levels of total and direct bilirubin, alkaline phosphatase (ALP), aspartate transaminase (AST), alanine transaminase (ALT), and lactate dehydrogenase (LDH) in </w:t>
      </w:r>
      <w:r w:rsidR="008D0F90">
        <w:rPr>
          <w:rFonts w:ascii="Times New Roman" w:hAnsi="Times New Roman" w:cs="Times New Roman"/>
          <w:sz w:val="24"/>
          <w:szCs w:val="24"/>
        </w:rPr>
        <w:t>jaundice</w:t>
      </w:r>
      <w:r w:rsidRPr="00EF4562">
        <w:rPr>
          <w:rFonts w:ascii="Times New Roman" w:hAnsi="Times New Roman" w:cs="Times New Roman"/>
          <w:sz w:val="24"/>
          <w:szCs w:val="24"/>
        </w:rPr>
        <w:t>-affected neonates compared to controls (</w:t>
      </w:r>
      <w:r w:rsidR="009E1284" w:rsidRPr="009E1284">
        <w:rPr>
          <w:rFonts w:ascii="Times New Roman" w:hAnsi="Times New Roman" w:cs="Times New Roman"/>
          <w:i/>
          <w:iCs/>
          <w:sz w:val="24"/>
          <w:szCs w:val="24"/>
        </w:rPr>
        <w:t>P</w:t>
      </w:r>
      <w:r w:rsidR="009E1284">
        <w:rPr>
          <w:rFonts w:ascii="Times New Roman" w:hAnsi="Times New Roman" w:cs="Times New Roman"/>
          <w:sz w:val="24"/>
          <w:szCs w:val="24"/>
        </w:rPr>
        <w:t xml:space="preserve"> </w:t>
      </w:r>
      <w:r w:rsidRPr="00EF4562">
        <w:rPr>
          <w:rFonts w:ascii="Times New Roman" w:hAnsi="Times New Roman" w:cs="Times New Roman"/>
          <w:sz w:val="24"/>
          <w:szCs w:val="24"/>
        </w:rPr>
        <w:t>&lt; 0.0</w:t>
      </w:r>
      <w:r w:rsidR="009E1284">
        <w:rPr>
          <w:rFonts w:ascii="Times New Roman" w:hAnsi="Times New Roman" w:cs="Times New Roman"/>
          <w:sz w:val="24"/>
          <w:szCs w:val="24"/>
        </w:rPr>
        <w:t>5</w:t>
      </w:r>
      <w:r w:rsidRPr="00EF4562">
        <w:rPr>
          <w:rFonts w:ascii="Times New Roman" w:hAnsi="Times New Roman" w:cs="Times New Roman"/>
          <w:sz w:val="24"/>
          <w:szCs w:val="24"/>
        </w:rPr>
        <w:t xml:space="preserve">). Strong correlations were observed between bilirubin levels and hepatic enzymes, as well as LDH, underscoring the interplay between haemolysis and hepatic stress in neonatal jaundice. </w:t>
      </w:r>
    </w:p>
    <w:p w14:paraId="42B051E1" w14:textId="67168D02" w:rsidR="00EF4562" w:rsidRPr="00EF4562" w:rsidRDefault="000337A0" w:rsidP="00FB0377">
      <w:pPr>
        <w:spacing w:line="240" w:lineRule="auto"/>
        <w:jc w:val="both"/>
        <w:rPr>
          <w:rFonts w:ascii="Times New Roman" w:hAnsi="Times New Roman" w:cs="Times New Roman"/>
          <w:sz w:val="24"/>
          <w:szCs w:val="24"/>
        </w:rPr>
      </w:pPr>
      <w:r>
        <w:rPr>
          <w:rFonts w:ascii="Times New Roman" w:hAnsi="Times New Roman" w:cs="Times New Roman"/>
          <w:sz w:val="24"/>
          <w:szCs w:val="24"/>
        </w:rPr>
        <w:t>Hyperb</w:t>
      </w:r>
      <w:r w:rsidRPr="00207167">
        <w:rPr>
          <w:rFonts w:ascii="Times New Roman" w:hAnsi="Times New Roman" w:cs="Times New Roman"/>
          <w:sz w:val="24"/>
          <w:szCs w:val="24"/>
        </w:rPr>
        <w:t>il</w:t>
      </w:r>
      <w:r>
        <w:rPr>
          <w:rFonts w:ascii="Times New Roman" w:hAnsi="Times New Roman" w:cs="Times New Roman"/>
          <w:sz w:val="24"/>
          <w:szCs w:val="24"/>
        </w:rPr>
        <w:t>irubinemia was</w:t>
      </w:r>
      <w:r w:rsidRPr="00207167">
        <w:rPr>
          <w:rFonts w:ascii="Times New Roman" w:hAnsi="Times New Roman" w:cs="Times New Roman"/>
          <w:sz w:val="24"/>
          <w:szCs w:val="24"/>
        </w:rPr>
        <w:t xml:space="preserve"> most pronounced in neonates aged </w:t>
      </w:r>
      <w:r w:rsidRPr="00321CA6">
        <w:rPr>
          <w:rFonts w:ascii="Times New Roman" w:hAnsi="Times New Roman" w:cs="Times New Roman"/>
          <w:sz w:val="24"/>
          <w:szCs w:val="24"/>
        </w:rPr>
        <w:t>1</w:t>
      </w:r>
      <w:r>
        <w:rPr>
          <w:rFonts w:ascii="Times New Roman" w:hAnsi="Times New Roman" w:cs="Times New Roman"/>
          <w:sz w:val="24"/>
          <w:szCs w:val="24"/>
        </w:rPr>
        <w:t>-</w:t>
      </w:r>
      <w:r w:rsidRPr="00321CA6">
        <w:rPr>
          <w:rFonts w:ascii="Times New Roman" w:hAnsi="Times New Roman" w:cs="Times New Roman"/>
          <w:sz w:val="24"/>
          <w:szCs w:val="24"/>
        </w:rPr>
        <w:t>5 days</w:t>
      </w:r>
      <w:r w:rsidRPr="00207167">
        <w:rPr>
          <w:rFonts w:ascii="Times New Roman" w:hAnsi="Times New Roman" w:cs="Times New Roman"/>
          <w:sz w:val="24"/>
          <w:szCs w:val="24"/>
        </w:rPr>
        <w:t>, after which values declined with age. This reflects the natural peak of haemolysis and bilirubin production in the immediate neonatal period. By the second week of life, most</w:t>
      </w:r>
      <w:r w:rsidR="00224FDD">
        <w:rPr>
          <w:rFonts w:ascii="Times New Roman" w:hAnsi="Times New Roman" w:cs="Times New Roman"/>
          <w:sz w:val="24"/>
          <w:szCs w:val="24"/>
        </w:rPr>
        <w:t xml:space="preserve"> </w:t>
      </w:r>
      <w:r w:rsidRPr="00207167">
        <w:rPr>
          <w:rFonts w:ascii="Times New Roman" w:hAnsi="Times New Roman" w:cs="Times New Roman"/>
          <w:sz w:val="24"/>
          <w:szCs w:val="24"/>
        </w:rPr>
        <w:t>parameters had declined significantly, suggesting treatment response and hepatic adaptation. This pattern</w:t>
      </w:r>
      <w:r>
        <w:rPr>
          <w:rFonts w:ascii="Times New Roman" w:hAnsi="Times New Roman" w:cs="Times New Roman"/>
          <w:sz w:val="24"/>
          <w:szCs w:val="24"/>
        </w:rPr>
        <w:t xml:space="preserve"> is</w:t>
      </w:r>
      <w:r w:rsidRPr="00207167">
        <w:rPr>
          <w:rFonts w:ascii="Times New Roman" w:hAnsi="Times New Roman" w:cs="Times New Roman"/>
          <w:sz w:val="24"/>
          <w:szCs w:val="24"/>
        </w:rPr>
        <w:t xml:space="preserve"> </w:t>
      </w:r>
      <w:r>
        <w:rPr>
          <w:rFonts w:ascii="Times New Roman" w:hAnsi="Times New Roman" w:cs="Times New Roman"/>
          <w:sz w:val="24"/>
          <w:szCs w:val="24"/>
        </w:rPr>
        <w:t>consistent</w:t>
      </w:r>
      <w:r w:rsidRPr="00207167">
        <w:rPr>
          <w:rFonts w:ascii="Times New Roman" w:hAnsi="Times New Roman" w:cs="Times New Roman"/>
          <w:sz w:val="24"/>
          <w:szCs w:val="24"/>
        </w:rPr>
        <w:t xml:space="preserve"> with findings </w:t>
      </w:r>
      <w:r>
        <w:rPr>
          <w:rFonts w:ascii="Times New Roman" w:hAnsi="Times New Roman" w:cs="Times New Roman"/>
          <w:sz w:val="24"/>
          <w:szCs w:val="24"/>
        </w:rPr>
        <w:t xml:space="preserve">by </w:t>
      </w:r>
      <w:r>
        <w:rPr>
          <w:rFonts w:ascii="Times New Roman" w:hAnsi="Times New Roman" w:cs="Times New Roman"/>
          <w:color w:val="212121"/>
          <w:sz w:val="24"/>
          <w:szCs w:val="24"/>
          <w:shd w:val="clear" w:color="auto" w:fill="FFFFFF"/>
        </w:rPr>
        <w:t xml:space="preserve">Mitra &amp; Rennie (2017). </w:t>
      </w:r>
      <w:r w:rsidRPr="00207167">
        <w:rPr>
          <w:rFonts w:ascii="Times New Roman" w:hAnsi="Times New Roman" w:cs="Times New Roman"/>
          <w:sz w:val="24"/>
          <w:szCs w:val="24"/>
        </w:rPr>
        <w:t xml:space="preserve">The persistence of elevated LDH despite bilirubin decline highlights its role in detecting ongoing haemolysis even after clinical improvement </w:t>
      </w:r>
      <w:r>
        <w:rPr>
          <w:rFonts w:ascii="Times New Roman" w:hAnsi="Times New Roman" w:cs="Times New Roman"/>
          <w:sz w:val="24"/>
          <w:szCs w:val="24"/>
        </w:rPr>
        <w:t>(</w:t>
      </w:r>
      <w:r w:rsidR="00DA5155">
        <w:rPr>
          <w:rFonts w:ascii="Times New Roman" w:hAnsi="Times New Roman" w:cs="Times New Roman"/>
          <w:sz w:val="24"/>
          <w:szCs w:val="24"/>
        </w:rPr>
        <w:t>Piel</w:t>
      </w:r>
      <w:r>
        <w:rPr>
          <w:rFonts w:ascii="Times New Roman" w:eastAsia="Times New Roman" w:hAnsi="Times New Roman" w:cs="Times New Roman"/>
          <w:sz w:val="24"/>
          <w:szCs w:val="24"/>
        </w:rPr>
        <w:t xml:space="preserve"> &amp; </w:t>
      </w:r>
      <w:r w:rsidR="00DA5155">
        <w:rPr>
          <w:rFonts w:ascii="Times New Roman" w:eastAsia="Times New Roman" w:hAnsi="Times New Roman" w:cs="Times New Roman"/>
          <w:sz w:val="24"/>
          <w:szCs w:val="24"/>
        </w:rPr>
        <w:t>Musallam</w:t>
      </w:r>
      <w:r>
        <w:rPr>
          <w:rFonts w:ascii="Times New Roman" w:eastAsia="Times New Roman" w:hAnsi="Times New Roman" w:cs="Times New Roman"/>
          <w:sz w:val="24"/>
          <w:szCs w:val="24"/>
        </w:rPr>
        <w:t>, 201</w:t>
      </w:r>
      <w:r w:rsidR="00DA5155">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14:paraId="0141F84A" w14:textId="60245431" w:rsidR="00EF4562" w:rsidRPr="00EF456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The significantly higher total and direct bilirubin levels </w:t>
      </w:r>
      <w:r w:rsidR="008D0F90">
        <w:rPr>
          <w:rFonts w:ascii="Times New Roman" w:hAnsi="Times New Roman" w:cs="Times New Roman"/>
          <w:sz w:val="24"/>
          <w:szCs w:val="24"/>
        </w:rPr>
        <w:t>among</w:t>
      </w:r>
      <w:r w:rsidRPr="00EF4562">
        <w:rPr>
          <w:rFonts w:ascii="Times New Roman" w:hAnsi="Times New Roman" w:cs="Times New Roman"/>
          <w:sz w:val="24"/>
          <w:szCs w:val="24"/>
        </w:rPr>
        <w:t xml:space="preserve"> neonates</w:t>
      </w:r>
      <w:r w:rsidR="008D0F90">
        <w:rPr>
          <w:rFonts w:ascii="Times New Roman" w:hAnsi="Times New Roman" w:cs="Times New Roman"/>
          <w:sz w:val="24"/>
          <w:szCs w:val="24"/>
        </w:rPr>
        <w:t xml:space="preserve"> with jaundice</w:t>
      </w:r>
      <w:r w:rsidRPr="00EF4562">
        <w:rPr>
          <w:rFonts w:ascii="Times New Roman" w:hAnsi="Times New Roman" w:cs="Times New Roman"/>
          <w:sz w:val="24"/>
          <w:szCs w:val="24"/>
        </w:rPr>
        <w:t xml:space="preserve"> confirm that hyperbilirubinemia is the hallmark of haemolysis in neonates. The mean total bilirubin among cases (241.3 µmol/L) was nearly double that of controls (124.5 µmol/L), while direct bilirubin also rose markedly. This pattern reflects accelerated haem breakdown and immature hepatic conjugation mechanisms (</w:t>
      </w:r>
      <w:r w:rsidR="005427D0">
        <w:rPr>
          <w:rFonts w:ascii="Times New Roman" w:hAnsi="Times New Roman" w:cs="Times New Roman"/>
          <w:sz w:val="24"/>
          <w:szCs w:val="24"/>
        </w:rPr>
        <w:t>Yadav</w:t>
      </w:r>
      <w:r w:rsidRPr="00EF4562">
        <w:rPr>
          <w:rFonts w:ascii="Times New Roman" w:hAnsi="Times New Roman" w:cs="Times New Roman"/>
          <w:sz w:val="24"/>
          <w:szCs w:val="24"/>
        </w:rPr>
        <w:t xml:space="preserve">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w:t>
      </w:r>
      <w:r w:rsidR="005427D0">
        <w:rPr>
          <w:rFonts w:ascii="Times New Roman" w:hAnsi="Times New Roman" w:cs="Times New Roman"/>
          <w:sz w:val="24"/>
          <w:szCs w:val="24"/>
        </w:rPr>
        <w:t>18</w:t>
      </w:r>
      <w:r w:rsidR="008C067E">
        <w:rPr>
          <w:rFonts w:ascii="Times New Roman" w:hAnsi="Times New Roman" w:cs="Times New Roman"/>
          <w:sz w:val="24"/>
          <w:szCs w:val="24"/>
        </w:rPr>
        <w:t xml:space="preserve">; Liu </w:t>
      </w:r>
      <w:r w:rsidR="008C067E" w:rsidRPr="008C067E">
        <w:rPr>
          <w:rFonts w:ascii="Times New Roman" w:hAnsi="Times New Roman" w:cs="Times New Roman"/>
          <w:i/>
          <w:iCs/>
          <w:sz w:val="24"/>
          <w:szCs w:val="24"/>
        </w:rPr>
        <w:t>et al</w:t>
      </w:r>
      <w:r w:rsidR="008C067E">
        <w:rPr>
          <w:rFonts w:ascii="Times New Roman" w:hAnsi="Times New Roman" w:cs="Times New Roman"/>
          <w:sz w:val="24"/>
          <w:szCs w:val="24"/>
        </w:rPr>
        <w:t>., 2021</w:t>
      </w:r>
      <w:r w:rsidRPr="00EF4562">
        <w:rPr>
          <w:rFonts w:ascii="Times New Roman" w:hAnsi="Times New Roman" w:cs="Times New Roman"/>
          <w:sz w:val="24"/>
          <w:szCs w:val="24"/>
        </w:rPr>
        <w:t>). Elevated conjugated bilirubin suggests cholestatic stress in some infants, consistent with previous studies that linked</w:t>
      </w:r>
      <w:r w:rsidR="007F4AEA">
        <w:rPr>
          <w:rFonts w:ascii="Times New Roman" w:hAnsi="Times New Roman" w:cs="Times New Roman"/>
          <w:sz w:val="24"/>
          <w:szCs w:val="24"/>
        </w:rPr>
        <w:t xml:space="preserve"> it</w:t>
      </w:r>
      <w:r w:rsidRPr="00EF4562">
        <w:rPr>
          <w:rFonts w:ascii="Times New Roman" w:hAnsi="Times New Roman" w:cs="Times New Roman"/>
          <w:sz w:val="24"/>
          <w:szCs w:val="24"/>
        </w:rPr>
        <w:t xml:space="preserve"> with conjugated hyperbilirubinemia (</w:t>
      </w:r>
      <w:r w:rsidR="007F4AEA">
        <w:rPr>
          <w:rFonts w:ascii="Times New Roman" w:hAnsi="Times New Roman" w:cs="Times New Roman"/>
          <w:color w:val="212121"/>
          <w:sz w:val="24"/>
          <w:szCs w:val="24"/>
          <w:shd w:val="clear" w:color="auto" w:fill="FFFFFF"/>
        </w:rPr>
        <w:t xml:space="preserve">Fawaz </w:t>
      </w:r>
      <w:r w:rsidR="007F4AEA" w:rsidRPr="007F4AEA">
        <w:rPr>
          <w:rFonts w:ascii="Times New Roman" w:hAnsi="Times New Roman" w:cs="Times New Roman"/>
          <w:i/>
          <w:iCs/>
          <w:color w:val="212121"/>
          <w:sz w:val="24"/>
          <w:szCs w:val="24"/>
          <w:shd w:val="clear" w:color="auto" w:fill="FFFFFF"/>
        </w:rPr>
        <w:t>et al</w:t>
      </w:r>
      <w:r w:rsidR="007F4AEA">
        <w:rPr>
          <w:rFonts w:ascii="Times New Roman" w:hAnsi="Times New Roman" w:cs="Times New Roman"/>
          <w:color w:val="212121"/>
          <w:sz w:val="24"/>
          <w:szCs w:val="24"/>
          <w:shd w:val="clear" w:color="auto" w:fill="FFFFFF"/>
        </w:rPr>
        <w:t xml:space="preserve">., 2017; </w:t>
      </w:r>
      <w:r w:rsidR="007F4AEA">
        <w:rPr>
          <w:rFonts w:ascii="Times New Roman" w:hAnsi="Times New Roman" w:cs="Times New Roman"/>
          <w:color w:val="1B1B1B"/>
          <w:sz w:val="24"/>
          <w:szCs w:val="24"/>
          <w:shd w:val="clear" w:color="auto" w:fill="FFFFFF"/>
        </w:rPr>
        <w:t>Karpen, 2020</w:t>
      </w:r>
      <w:r w:rsidR="007F4AEA">
        <w:rPr>
          <w:rFonts w:ascii="Times New Roman" w:hAnsi="Times New Roman" w:cs="Times New Roman"/>
          <w:sz w:val="24"/>
          <w:szCs w:val="24"/>
        </w:rPr>
        <w:t>)</w:t>
      </w:r>
      <w:r w:rsidRPr="00EF4562">
        <w:rPr>
          <w:rFonts w:ascii="Times New Roman" w:hAnsi="Times New Roman" w:cs="Times New Roman"/>
          <w:sz w:val="24"/>
          <w:szCs w:val="24"/>
        </w:rPr>
        <w:t>.</w:t>
      </w:r>
    </w:p>
    <w:p w14:paraId="322D48FF" w14:textId="26249773" w:rsidR="00C01853"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Similar findings were reported in </w:t>
      </w:r>
      <w:r w:rsidR="00D22CA4">
        <w:rPr>
          <w:rFonts w:ascii="Times New Roman" w:hAnsi="Times New Roman" w:cs="Times New Roman"/>
          <w:sz w:val="24"/>
          <w:szCs w:val="24"/>
        </w:rPr>
        <w:t>Southwest Nigeria</w:t>
      </w:r>
      <w:r w:rsidR="00836AD9">
        <w:rPr>
          <w:rFonts w:ascii="Times New Roman" w:hAnsi="Times New Roman" w:cs="Times New Roman"/>
          <w:sz w:val="24"/>
          <w:szCs w:val="24"/>
        </w:rPr>
        <w:t>,</w:t>
      </w:r>
      <w:r w:rsidR="00D22CA4">
        <w:rPr>
          <w:rFonts w:ascii="Times New Roman" w:hAnsi="Times New Roman" w:cs="Times New Roman"/>
          <w:sz w:val="24"/>
          <w:szCs w:val="24"/>
        </w:rPr>
        <w:t xml:space="preserve"> </w:t>
      </w:r>
      <w:r w:rsidR="00836AD9">
        <w:rPr>
          <w:rFonts w:ascii="Times New Roman" w:hAnsi="Times New Roman" w:cs="Times New Roman"/>
          <w:sz w:val="24"/>
          <w:szCs w:val="24"/>
        </w:rPr>
        <w:t xml:space="preserve">showing neonates </w:t>
      </w:r>
      <w:r w:rsidRPr="00EF4562">
        <w:rPr>
          <w:rFonts w:ascii="Times New Roman" w:hAnsi="Times New Roman" w:cs="Times New Roman"/>
          <w:sz w:val="24"/>
          <w:szCs w:val="24"/>
        </w:rPr>
        <w:t xml:space="preserve">with </w:t>
      </w:r>
      <w:r w:rsidR="00836AD9">
        <w:rPr>
          <w:rFonts w:ascii="Times New Roman" w:hAnsi="Times New Roman" w:cs="Times New Roman"/>
          <w:sz w:val="24"/>
          <w:szCs w:val="24"/>
        </w:rPr>
        <w:t xml:space="preserve">jaundice </w:t>
      </w:r>
      <w:r w:rsidRPr="00EF4562">
        <w:rPr>
          <w:rFonts w:ascii="Times New Roman" w:hAnsi="Times New Roman" w:cs="Times New Roman"/>
          <w:sz w:val="24"/>
          <w:szCs w:val="24"/>
        </w:rPr>
        <w:t xml:space="preserve">exhibited bilirubin values exceeding 200 µmol/L </w:t>
      </w:r>
      <w:r w:rsidR="00836AD9">
        <w:rPr>
          <w:rFonts w:ascii="Times New Roman" w:hAnsi="Times New Roman" w:cs="Times New Roman"/>
          <w:sz w:val="24"/>
          <w:szCs w:val="24"/>
        </w:rPr>
        <w:t>(</w:t>
      </w:r>
      <w:r w:rsidR="00D22CA4">
        <w:rPr>
          <w:rFonts w:ascii="Times New Roman" w:eastAsia="Times New Roman" w:hAnsi="Times New Roman" w:cs="Times New Roman"/>
          <w:sz w:val="24"/>
          <w:szCs w:val="24"/>
        </w:rPr>
        <w:t xml:space="preserve">Osuorah </w:t>
      </w:r>
      <w:r w:rsidR="00D22CA4" w:rsidRPr="00836AD9">
        <w:rPr>
          <w:rFonts w:ascii="Times New Roman" w:eastAsia="Times New Roman" w:hAnsi="Times New Roman" w:cs="Times New Roman"/>
          <w:i/>
          <w:iCs/>
          <w:sz w:val="24"/>
          <w:szCs w:val="24"/>
        </w:rPr>
        <w:t>et al</w:t>
      </w:r>
      <w:r w:rsidR="00D22CA4">
        <w:rPr>
          <w:rFonts w:ascii="Times New Roman" w:eastAsia="Times New Roman" w:hAnsi="Times New Roman" w:cs="Times New Roman"/>
          <w:sz w:val="24"/>
          <w:szCs w:val="24"/>
        </w:rPr>
        <w:t>., 2018</w:t>
      </w:r>
      <w:r w:rsidR="00836AD9">
        <w:rPr>
          <w:rFonts w:ascii="Times New Roman" w:eastAsia="Times New Roman" w:hAnsi="Times New Roman" w:cs="Times New Roman"/>
          <w:sz w:val="24"/>
          <w:szCs w:val="24"/>
        </w:rPr>
        <w:t>)</w:t>
      </w:r>
      <w:r w:rsidR="00AB6B38">
        <w:rPr>
          <w:rFonts w:ascii="Times New Roman" w:eastAsia="Times New Roman" w:hAnsi="Times New Roman" w:cs="Times New Roman"/>
          <w:sz w:val="24"/>
          <w:szCs w:val="24"/>
        </w:rPr>
        <w:t>. Elevated levels of bilirubin have also been reported in other regions of Africa (</w:t>
      </w:r>
      <w:r w:rsidR="00AB6B38">
        <w:rPr>
          <w:rFonts w:ascii="Times New Roman" w:hAnsi="Times New Roman" w:cs="Times New Roman"/>
          <w:color w:val="1B1B1B"/>
          <w:sz w:val="24"/>
          <w:szCs w:val="24"/>
          <w:shd w:val="clear" w:color="auto" w:fill="FFFFFF"/>
        </w:rPr>
        <w:t xml:space="preserve">Aynalem </w:t>
      </w:r>
      <w:r w:rsidR="00AB6B38" w:rsidRPr="00AB6B38">
        <w:rPr>
          <w:rFonts w:ascii="Times New Roman" w:hAnsi="Times New Roman" w:cs="Times New Roman"/>
          <w:i/>
          <w:iCs/>
          <w:color w:val="1B1B1B"/>
          <w:sz w:val="24"/>
          <w:szCs w:val="24"/>
          <w:shd w:val="clear" w:color="auto" w:fill="FFFFFF"/>
        </w:rPr>
        <w:t>et al</w:t>
      </w:r>
      <w:r w:rsidR="00AB6B38">
        <w:rPr>
          <w:rFonts w:ascii="Times New Roman" w:hAnsi="Times New Roman" w:cs="Times New Roman"/>
          <w:color w:val="1B1B1B"/>
          <w:sz w:val="24"/>
          <w:szCs w:val="24"/>
          <w:shd w:val="clear" w:color="auto" w:fill="FFFFFF"/>
        </w:rPr>
        <w:t xml:space="preserve">., 2020; </w:t>
      </w:r>
      <w:r w:rsidR="00AB6B38">
        <w:rPr>
          <w:rFonts w:ascii="Times New Roman" w:hAnsi="Times New Roman" w:cs="Times New Roman"/>
          <w:color w:val="212121"/>
          <w:sz w:val="24"/>
          <w:szCs w:val="24"/>
          <w:shd w:val="clear" w:color="auto" w:fill="FFFFFF"/>
        </w:rPr>
        <w:t xml:space="preserve">Nassuna </w:t>
      </w:r>
      <w:r w:rsidR="00AB6B38" w:rsidRPr="00AB6B38">
        <w:rPr>
          <w:rFonts w:ascii="Times New Roman" w:hAnsi="Times New Roman" w:cs="Times New Roman"/>
          <w:i/>
          <w:iCs/>
          <w:color w:val="212121"/>
          <w:sz w:val="24"/>
          <w:szCs w:val="24"/>
          <w:shd w:val="clear" w:color="auto" w:fill="FFFFFF"/>
        </w:rPr>
        <w:t>et al</w:t>
      </w:r>
      <w:r w:rsidR="00AB6B38">
        <w:rPr>
          <w:rFonts w:ascii="Times New Roman" w:hAnsi="Times New Roman" w:cs="Times New Roman"/>
          <w:color w:val="212121"/>
          <w:sz w:val="24"/>
          <w:szCs w:val="24"/>
          <w:shd w:val="clear" w:color="auto" w:fill="FFFFFF"/>
        </w:rPr>
        <w:t>., 2022</w:t>
      </w:r>
      <w:r w:rsidR="00C01853">
        <w:rPr>
          <w:rFonts w:ascii="Times New Roman" w:hAnsi="Times New Roman" w:cs="Times New Roman"/>
          <w:color w:val="212121"/>
          <w:sz w:val="24"/>
          <w:szCs w:val="24"/>
          <w:shd w:val="clear" w:color="auto" w:fill="FFFFFF"/>
        </w:rPr>
        <w:t xml:space="preserve">; </w:t>
      </w:r>
      <w:r w:rsidR="00C01853">
        <w:rPr>
          <w:rFonts w:ascii="Times New Roman" w:eastAsia="Times New Roman" w:hAnsi="Times New Roman" w:cs="Times New Roman"/>
          <w:sz w:val="24"/>
          <w:szCs w:val="24"/>
        </w:rPr>
        <w:t xml:space="preserve">Bakari </w:t>
      </w:r>
      <w:r w:rsidR="00C01853" w:rsidRPr="00C01853">
        <w:rPr>
          <w:rFonts w:ascii="Times New Roman" w:eastAsia="Times New Roman" w:hAnsi="Times New Roman" w:cs="Times New Roman"/>
          <w:i/>
          <w:iCs/>
          <w:sz w:val="24"/>
          <w:szCs w:val="24"/>
        </w:rPr>
        <w:t>et al</w:t>
      </w:r>
      <w:r w:rsidR="00C01853">
        <w:rPr>
          <w:rFonts w:ascii="Times New Roman" w:eastAsia="Times New Roman" w:hAnsi="Times New Roman" w:cs="Times New Roman"/>
          <w:sz w:val="24"/>
          <w:szCs w:val="24"/>
        </w:rPr>
        <w:t>., 2025</w:t>
      </w:r>
      <w:r w:rsidR="00AB6B38">
        <w:rPr>
          <w:rFonts w:ascii="Times New Roman" w:eastAsia="Times New Roman" w:hAnsi="Times New Roman" w:cs="Times New Roman"/>
          <w:sz w:val="24"/>
          <w:szCs w:val="24"/>
        </w:rPr>
        <w:t>)</w:t>
      </w:r>
      <w:r w:rsidR="00C01853">
        <w:rPr>
          <w:rFonts w:ascii="Times New Roman" w:eastAsia="Times New Roman" w:hAnsi="Times New Roman" w:cs="Times New Roman"/>
          <w:sz w:val="24"/>
          <w:szCs w:val="24"/>
        </w:rPr>
        <w:t>.</w:t>
      </w:r>
      <w:r w:rsidRPr="00EF4562">
        <w:rPr>
          <w:rFonts w:ascii="Times New Roman" w:hAnsi="Times New Roman" w:cs="Times New Roman"/>
          <w:sz w:val="24"/>
          <w:szCs w:val="24"/>
        </w:rPr>
        <w:t xml:space="preserve"> </w:t>
      </w:r>
      <w:r w:rsidR="00F62F96">
        <w:rPr>
          <w:rFonts w:ascii="Times New Roman" w:hAnsi="Times New Roman" w:cs="Times New Roman"/>
          <w:sz w:val="24"/>
          <w:szCs w:val="24"/>
        </w:rPr>
        <w:t xml:space="preserve">A correlation between increased serum bilirubin and liver enzymes was reported among neonates with physiological and pathological jaundice in Iraq by </w:t>
      </w:r>
      <w:r w:rsidR="00F62F96">
        <w:rPr>
          <w:rFonts w:ascii="Times New Roman" w:eastAsia="Times New Roman" w:hAnsi="Times New Roman" w:cs="Times New Roman"/>
          <w:sz w:val="24"/>
          <w:szCs w:val="24"/>
        </w:rPr>
        <w:t>Kamal &amp; Hassan (2021).</w:t>
      </w:r>
      <w:r w:rsidR="008C067E">
        <w:rPr>
          <w:rFonts w:ascii="Times New Roman" w:eastAsia="Times New Roman" w:hAnsi="Times New Roman" w:cs="Times New Roman"/>
          <w:sz w:val="24"/>
          <w:szCs w:val="24"/>
        </w:rPr>
        <w:t xml:space="preserve"> Similarly, Saboute </w:t>
      </w:r>
      <w:r w:rsidR="008C067E" w:rsidRPr="008C067E">
        <w:rPr>
          <w:rFonts w:ascii="Times New Roman" w:eastAsia="Times New Roman" w:hAnsi="Times New Roman" w:cs="Times New Roman"/>
          <w:i/>
          <w:iCs/>
          <w:sz w:val="24"/>
          <w:szCs w:val="24"/>
        </w:rPr>
        <w:t>et al.</w:t>
      </w:r>
      <w:r w:rsidR="008C067E">
        <w:rPr>
          <w:rFonts w:ascii="Times New Roman" w:eastAsia="Times New Roman" w:hAnsi="Times New Roman" w:cs="Times New Roman"/>
          <w:sz w:val="24"/>
          <w:szCs w:val="24"/>
        </w:rPr>
        <w:t xml:space="preserve"> (2022) reported increased levels of ALP and bilirubin among neonates with jaundice compared to the control cases.</w:t>
      </w:r>
      <w:r w:rsidR="00F62F96">
        <w:rPr>
          <w:rFonts w:ascii="Times New Roman" w:eastAsia="Times New Roman" w:hAnsi="Times New Roman" w:cs="Times New Roman"/>
          <w:sz w:val="24"/>
          <w:szCs w:val="24"/>
        </w:rPr>
        <w:t xml:space="preserve"> </w:t>
      </w:r>
      <w:r w:rsidR="00001163">
        <w:rPr>
          <w:rFonts w:ascii="Times New Roman" w:hAnsi="Times New Roman" w:cs="Times New Roman"/>
          <w:sz w:val="24"/>
          <w:szCs w:val="24"/>
        </w:rPr>
        <w:t xml:space="preserve">If not controlled, </w:t>
      </w:r>
      <w:r w:rsidR="00C01853" w:rsidRPr="00EF4562">
        <w:rPr>
          <w:rFonts w:ascii="Times New Roman" w:hAnsi="Times New Roman" w:cs="Times New Roman"/>
          <w:sz w:val="24"/>
          <w:szCs w:val="24"/>
        </w:rPr>
        <w:t>high level</w:t>
      </w:r>
      <w:r w:rsidR="00001163">
        <w:rPr>
          <w:rFonts w:ascii="Times New Roman" w:hAnsi="Times New Roman" w:cs="Times New Roman"/>
          <w:sz w:val="24"/>
          <w:szCs w:val="24"/>
        </w:rPr>
        <w:t>s</w:t>
      </w:r>
      <w:r w:rsidR="00C01853" w:rsidRPr="00EF4562">
        <w:rPr>
          <w:rFonts w:ascii="Times New Roman" w:hAnsi="Times New Roman" w:cs="Times New Roman"/>
          <w:sz w:val="24"/>
          <w:szCs w:val="24"/>
        </w:rPr>
        <w:t xml:space="preserve"> </w:t>
      </w:r>
      <w:r w:rsidR="00001163">
        <w:rPr>
          <w:rFonts w:ascii="Times New Roman" w:hAnsi="Times New Roman" w:cs="Times New Roman"/>
          <w:sz w:val="24"/>
          <w:szCs w:val="24"/>
        </w:rPr>
        <w:t>of bilirubin</w:t>
      </w:r>
      <w:r w:rsidR="00C01853" w:rsidRPr="00EF4562">
        <w:rPr>
          <w:rFonts w:ascii="Times New Roman" w:hAnsi="Times New Roman" w:cs="Times New Roman"/>
          <w:sz w:val="24"/>
          <w:szCs w:val="24"/>
        </w:rPr>
        <w:t xml:space="preserve"> increase the risk of </w:t>
      </w:r>
      <w:r w:rsidR="00001163">
        <w:rPr>
          <w:rFonts w:ascii="Times New Roman" w:hAnsi="Times New Roman" w:cs="Times New Roman"/>
          <w:sz w:val="24"/>
          <w:szCs w:val="24"/>
        </w:rPr>
        <w:t>complications</w:t>
      </w:r>
      <w:r w:rsidR="00C01853" w:rsidRPr="00EF4562">
        <w:rPr>
          <w:rFonts w:ascii="Times New Roman" w:hAnsi="Times New Roman" w:cs="Times New Roman"/>
          <w:sz w:val="24"/>
          <w:szCs w:val="24"/>
        </w:rPr>
        <w:t xml:space="preserve">, </w:t>
      </w:r>
      <w:r w:rsidR="00001163">
        <w:rPr>
          <w:rFonts w:ascii="Times New Roman" w:hAnsi="Times New Roman" w:cs="Times New Roman"/>
          <w:sz w:val="24"/>
          <w:szCs w:val="24"/>
        </w:rPr>
        <w:t>emphasising</w:t>
      </w:r>
      <w:r w:rsidR="00C01853" w:rsidRPr="00EF4562">
        <w:rPr>
          <w:rFonts w:ascii="Times New Roman" w:hAnsi="Times New Roman" w:cs="Times New Roman"/>
          <w:sz w:val="24"/>
          <w:szCs w:val="24"/>
        </w:rPr>
        <w:t xml:space="preserve"> the clinical importance of early monitoring and intervention</w:t>
      </w:r>
      <w:r w:rsidR="00001163">
        <w:rPr>
          <w:rFonts w:ascii="Times New Roman" w:hAnsi="Times New Roman" w:cs="Times New Roman"/>
          <w:sz w:val="24"/>
          <w:szCs w:val="24"/>
        </w:rPr>
        <w:t xml:space="preserve"> (</w:t>
      </w:r>
      <w:r w:rsidR="00001163">
        <w:rPr>
          <w:rFonts w:ascii="Times New Roman" w:eastAsia="Times New Roman" w:hAnsi="Times New Roman" w:cs="Times New Roman"/>
          <w:sz w:val="24"/>
          <w:szCs w:val="24"/>
        </w:rPr>
        <w:t xml:space="preserve">Zhang, 2018; Bante </w:t>
      </w:r>
      <w:r w:rsidR="00001163" w:rsidRPr="00001163">
        <w:rPr>
          <w:rFonts w:ascii="Times New Roman" w:eastAsia="Times New Roman" w:hAnsi="Times New Roman" w:cs="Times New Roman"/>
          <w:i/>
          <w:iCs/>
          <w:sz w:val="24"/>
          <w:szCs w:val="24"/>
        </w:rPr>
        <w:t>et al.</w:t>
      </w:r>
      <w:r w:rsidR="00001163">
        <w:rPr>
          <w:rFonts w:ascii="Times New Roman" w:eastAsia="Times New Roman" w:hAnsi="Times New Roman" w:cs="Times New Roman"/>
          <w:sz w:val="24"/>
          <w:szCs w:val="24"/>
        </w:rPr>
        <w:t>, 2024</w:t>
      </w:r>
      <w:r w:rsidR="00001163">
        <w:rPr>
          <w:rFonts w:ascii="Times New Roman" w:hAnsi="Times New Roman" w:cs="Times New Roman"/>
          <w:sz w:val="24"/>
          <w:szCs w:val="24"/>
        </w:rPr>
        <w:t>)</w:t>
      </w:r>
      <w:r w:rsidR="00C01853" w:rsidRPr="00EF4562">
        <w:rPr>
          <w:rFonts w:ascii="Times New Roman" w:hAnsi="Times New Roman" w:cs="Times New Roman"/>
          <w:sz w:val="24"/>
          <w:szCs w:val="24"/>
        </w:rPr>
        <w:t>.</w:t>
      </w:r>
    </w:p>
    <w:p w14:paraId="587D4651" w14:textId="5B5A2850" w:rsidR="005C1F0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The elevation of liver enzymes observed in this study underscores hepatic involvement in </w:t>
      </w:r>
      <w:r w:rsidR="00C01853">
        <w:rPr>
          <w:rFonts w:ascii="Times New Roman" w:hAnsi="Times New Roman" w:cs="Times New Roman"/>
          <w:sz w:val="24"/>
          <w:szCs w:val="24"/>
        </w:rPr>
        <w:t>jaundice</w:t>
      </w:r>
      <w:r w:rsidRPr="00EF4562">
        <w:rPr>
          <w:rFonts w:ascii="Times New Roman" w:hAnsi="Times New Roman" w:cs="Times New Roman"/>
          <w:sz w:val="24"/>
          <w:szCs w:val="24"/>
        </w:rPr>
        <w:t xml:space="preserve">. AST values in neonates </w:t>
      </w:r>
      <w:r w:rsidR="008A4E6E">
        <w:rPr>
          <w:rFonts w:ascii="Times New Roman" w:hAnsi="Times New Roman" w:cs="Times New Roman"/>
          <w:sz w:val="24"/>
          <w:szCs w:val="24"/>
        </w:rPr>
        <w:t xml:space="preserve">with jaundice </w:t>
      </w:r>
      <w:r w:rsidRPr="00EF4562">
        <w:rPr>
          <w:rFonts w:ascii="Times New Roman" w:hAnsi="Times New Roman" w:cs="Times New Roman"/>
          <w:sz w:val="24"/>
          <w:szCs w:val="24"/>
        </w:rPr>
        <w:t>(119.1 IU/L) were fivefold higher than those of controls (21.7 IU/L), while ALT values were also significantly elevated. AST showed stronger correlations with bilirubin and LDH than ALT, reflecting its dual release from hepatocytes and erythrocytes (</w:t>
      </w:r>
      <w:r w:rsidR="005C1F02">
        <w:rPr>
          <w:rFonts w:ascii="Times New Roman" w:hAnsi="Times New Roman" w:cs="Times New Roman"/>
          <w:color w:val="212121"/>
          <w:sz w:val="24"/>
          <w:szCs w:val="24"/>
          <w:shd w:val="clear" w:color="auto" w:fill="FFFFFF"/>
        </w:rPr>
        <w:t xml:space="preserve">Chhavi </w:t>
      </w:r>
      <w:r w:rsidR="005C1F02" w:rsidRPr="00BA649D">
        <w:rPr>
          <w:rFonts w:ascii="Times New Roman" w:hAnsi="Times New Roman" w:cs="Times New Roman"/>
          <w:i/>
          <w:iCs/>
          <w:color w:val="212121"/>
          <w:sz w:val="24"/>
          <w:szCs w:val="24"/>
          <w:shd w:val="clear" w:color="auto" w:fill="FFFFFF"/>
        </w:rPr>
        <w:t>et al</w:t>
      </w:r>
      <w:r w:rsidR="005C1F02">
        <w:rPr>
          <w:rFonts w:ascii="Times New Roman" w:hAnsi="Times New Roman" w:cs="Times New Roman"/>
          <w:color w:val="212121"/>
          <w:sz w:val="24"/>
          <w:szCs w:val="24"/>
          <w:shd w:val="clear" w:color="auto" w:fill="FFFFFF"/>
        </w:rPr>
        <w:t>.</w:t>
      </w:r>
      <w:r w:rsidRPr="00EF4562">
        <w:rPr>
          <w:rFonts w:ascii="Times New Roman" w:hAnsi="Times New Roman" w:cs="Times New Roman"/>
          <w:sz w:val="24"/>
          <w:szCs w:val="24"/>
        </w:rPr>
        <w:t>, 2022). This makes AST a more sensitive indicator of both haemolysis and hepatic stress.</w:t>
      </w:r>
      <w:r w:rsidR="000D68DB">
        <w:rPr>
          <w:rFonts w:ascii="Times New Roman" w:hAnsi="Times New Roman" w:cs="Times New Roman"/>
          <w:sz w:val="24"/>
          <w:szCs w:val="24"/>
        </w:rPr>
        <w:t xml:space="preserve"> </w:t>
      </w:r>
      <w:r w:rsidRPr="00EF4562">
        <w:rPr>
          <w:rFonts w:ascii="Times New Roman" w:hAnsi="Times New Roman" w:cs="Times New Roman"/>
          <w:sz w:val="24"/>
          <w:szCs w:val="24"/>
        </w:rPr>
        <w:t xml:space="preserve">ALT elevation, though less pronounced, is significant as it indicates direct hepatocellular injury from bilirubin overload and inflammatory stress (Kapur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w:t>
      </w:r>
      <w:r w:rsidR="000D68DB">
        <w:rPr>
          <w:rFonts w:ascii="Times New Roman" w:hAnsi="Times New Roman" w:cs="Times New Roman"/>
          <w:sz w:val="24"/>
          <w:szCs w:val="24"/>
        </w:rPr>
        <w:t xml:space="preserve">14; Kariya </w:t>
      </w:r>
      <w:r w:rsidR="000D68DB" w:rsidRPr="000D68DB">
        <w:rPr>
          <w:rFonts w:ascii="Times New Roman" w:hAnsi="Times New Roman" w:cs="Times New Roman"/>
          <w:i/>
          <w:iCs/>
          <w:sz w:val="24"/>
          <w:szCs w:val="24"/>
        </w:rPr>
        <w:t>et al</w:t>
      </w:r>
      <w:r w:rsidR="000D68DB">
        <w:rPr>
          <w:rFonts w:ascii="Times New Roman" w:hAnsi="Times New Roman" w:cs="Times New Roman"/>
          <w:sz w:val="24"/>
          <w:szCs w:val="24"/>
        </w:rPr>
        <w:t>., 2020</w:t>
      </w:r>
      <w:r w:rsidRPr="00EF4562">
        <w:rPr>
          <w:rFonts w:ascii="Times New Roman" w:hAnsi="Times New Roman" w:cs="Times New Roman"/>
          <w:sz w:val="24"/>
          <w:szCs w:val="24"/>
        </w:rPr>
        <w:t xml:space="preserve">). Elevated ALP values in </w:t>
      </w:r>
      <w:r w:rsidR="00321CA6" w:rsidRPr="00EF4562">
        <w:rPr>
          <w:rFonts w:ascii="Times New Roman" w:hAnsi="Times New Roman" w:cs="Times New Roman"/>
          <w:sz w:val="24"/>
          <w:szCs w:val="24"/>
        </w:rPr>
        <w:t>neonates</w:t>
      </w:r>
      <w:r w:rsidR="00321CA6">
        <w:rPr>
          <w:rFonts w:ascii="Times New Roman" w:hAnsi="Times New Roman" w:cs="Times New Roman"/>
          <w:sz w:val="24"/>
          <w:szCs w:val="24"/>
        </w:rPr>
        <w:t xml:space="preserve"> with jaundice </w:t>
      </w:r>
      <w:r w:rsidRPr="00EF4562">
        <w:rPr>
          <w:rFonts w:ascii="Times New Roman" w:hAnsi="Times New Roman" w:cs="Times New Roman"/>
          <w:sz w:val="24"/>
          <w:szCs w:val="24"/>
        </w:rPr>
        <w:t xml:space="preserve">(528.8 IU/L vs. 231.4 IU/L in controls) suggest cholestatic obstruction or hepatic immaturity. </w:t>
      </w:r>
      <w:r w:rsidR="00E51F3C" w:rsidRPr="00E51F3C">
        <w:rPr>
          <w:rFonts w:ascii="Times New Roman" w:hAnsi="Times New Roman" w:cs="Times New Roman"/>
          <w:color w:val="1B1B1B"/>
          <w:sz w:val="24"/>
          <w:szCs w:val="24"/>
          <w:shd w:val="clear" w:color="auto" w:fill="FFFFFF"/>
        </w:rPr>
        <w:t>Saboute</w:t>
      </w:r>
      <w:r w:rsidRPr="00EF4562">
        <w:rPr>
          <w:rFonts w:ascii="Times New Roman" w:hAnsi="Times New Roman" w:cs="Times New Roman"/>
          <w:sz w:val="24"/>
          <w:szCs w:val="24"/>
        </w:rPr>
        <w:t xml:space="preserve"> </w:t>
      </w:r>
      <w:r w:rsidRPr="00EF4562">
        <w:rPr>
          <w:rFonts w:ascii="Times New Roman" w:hAnsi="Times New Roman" w:cs="Times New Roman"/>
          <w:i/>
          <w:iCs/>
          <w:sz w:val="24"/>
          <w:szCs w:val="24"/>
        </w:rPr>
        <w:t>et al</w:t>
      </w:r>
      <w:r w:rsidRPr="00EF4562">
        <w:rPr>
          <w:rFonts w:ascii="Times New Roman" w:hAnsi="Times New Roman" w:cs="Times New Roman"/>
          <w:sz w:val="24"/>
          <w:szCs w:val="24"/>
        </w:rPr>
        <w:t>. (202</w:t>
      </w:r>
      <w:r w:rsidR="00E51F3C">
        <w:rPr>
          <w:rFonts w:ascii="Times New Roman" w:hAnsi="Times New Roman" w:cs="Times New Roman"/>
          <w:sz w:val="24"/>
          <w:szCs w:val="24"/>
        </w:rPr>
        <w:t>2</w:t>
      </w:r>
      <w:r w:rsidRPr="00EF4562">
        <w:rPr>
          <w:rFonts w:ascii="Times New Roman" w:hAnsi="Times New Roman" w:cs="Times New Roman"/>
          <w:sz w:val="24"/>
          <w:szCs w:val="24"/>
        </w:rPr>
        <w:t xml:space="preserve">) reported similar elevations in </w:t>
      </w:r>
      <w:r w:rsidR="00E51F3C">
        <w:rPr>
          <w:rFonts w:ascii="Times New Roman" w:hAnsi="Times New Roman" w:cs="Times New Roman"/>
          <w:sz w:val="24"/>
          <w:szCs w:val="24"/>
        </w:rPr>
        <w:lastRenderedPageBreak/>
        <w:t>I</w:t>
      </w:r>
      <w:r w:rsidRPr="00EF4562">
        <w:rPr>
          <w:rFonts w:ascii="Times New Roman" w:hAnsi="Times New Roman" w:cs="Times New Roman"/>
          <w:sz w:val="24"/>
          <w:szCs w:val="24"/>
        </w:rPr>
        <w:t>r</w:t>
      </w:r>
      <w:r w:rsidR="00E51F3C">
        <w:rPr>
          <w:rFonts w:ascii="Times New Roman" w:hAnsi="Times New Roman" w:cs="Times New Roman"/>
          <w:sz w:val="24"/>
          <w:szCs w:val="24"/>
        </w:rPr>
        <w:t>an</w:t>
      </w:r>
      <w:r w:rsidRPr="00EF4562">
        <w:rPr>
          <w:rFonts w:ascii="Times New Roman" w:hAnsi="Times New Roman" w:cs="Times New Roman"/>
          <w:sz w:val="24"/>
          <w:szCs w:val="24"/>
        </w:rPr>
        <w:t xml:space="preserve">ian neonates, noting </w:t>
      </w:r>
      <w:r w:rsidR="00E51F3C">
        <w:rPr>
          <w:rFonts w:ascii="Times New Roman" w:hAnsi="Times New Roman" w:cs="Times New Roman"/>
          <w:sz w:val="24"/>
          <w:szCs w:val="24"/>
        </w:rPr>
        <w:t xml:space="preserve">that they did not find a </w:t>
      </w:r>
      <w:r w:rsidR="00E51F3C" w:rsidRPr="00E51F3C">
        <w:rPr>
          <w:rFonts w:ascii="Times New Roman" w:hAnsi="Times New Roman" w:cs="Times New Roman"/>
          <w:color w:val="1B1B1B"/>
          <w:sz w:val="24"/>
          <w:szCs w:val="24"/>
          <w:shd w:val="clear" w:color="auto" w:fill="FFFFFF"/>
        </w:rPr>
        <w:t>correlation between ALP levels and pathological jaundice in patients</w:t>
      </w:r>
      <w:r w:rsidR="00E51F3C">
        <w:rPr>
          <w:rFonts w:ascii="Times New Roman" w:hAnsi="Times New Roman" w:cs="Times New Roman"/>
          <w:sz w:val="24"/>
          <w:szCs w:val="24"/>
        </w:rPr>
        <w:t>.</w:t>
      </w:r>
      <w:r w:rsidRPr="00EF4562">
        <w:rPr>
          <w:rFonts w:ascii="Times New Roman" w:hAnsi="Times New Roman" w:cs="Times New Roman"/>
          <w:sz w:val="24"/>
          <w:szCs w:val="24"/>
        </w:rPr>
        <w:t xml:space="preserve"> </w:t>
      </w:r>
      <w:r w:rsidR="00846615">
        <w:rPr>
          <w:rFonts w:ascii="Times New Roman" w:hAnsi="Times New Roman" w:cs="Times New Roman"/>
          <w:sz w:val="24"/>
          <w:szCs w:val="24"/>
        </w:rPr>
        <w:t>Abdalwahab &amp; Al-Hatemi (2021</w:t>
      </w:r>
      <w:r w:rsidR="00F62F96">
        <w:rPr>
          <w:rFonts w:ascii="Times New Roman" w:hAnsi="Times New Roman" w:cs="Times New Roman"/>
          <w:sz w:val="24"/>
          <w:szCs w:val="24"/>
        </w:rPr>
        <w:t xml:space="preserve">) reported a similar increase in ALT </w:t>
      </w:r>
      <w:r w:rsidR="00902FFC">
        <w:rPr>
          <w:rFonts w:ascii="Times New Roman" w:hAnsi="Times New Roman" w:cs="Times New Roman"/>
          <w:sz w:val="24"/>
          <w:szCs w:val="24"/>
        </w:rPr>
        <w:t xml:space="preserve">and ALP </w:t>
      </w:r>
      <w:r w:rsidR="00F62F96">
        <w:rPr>
          <w:rFonts w:ascii="Times New Roman" w:hAnsi="Times New Roman" w:cs="Times New Roman"/>
          <w:sz w:val="24"/>
          <w:szCs w:val="24"/>
        </w:rPr>
        <w:t xml:space="preserve">levels </w:t>
      </w:r>
      <w:r w:rsidR="00902FFC">
        <w:rPr>
          <w:rFonts w:ascii="Times New Roman" w:hAnsi="Times New Roman" w:cs="Times New Roman"/>
          <w:sz w:val="24"/>
          <w:szCs w:val="24"/>
        </w:rPr>
        <w:t xml:space="preserve">but with a decrease in ALP levels </w:t>
      </w:r>
      <w:r w:rsidR="00F62F96">
        <w:rPr>
          <w:rFonts w:ascii="Times New Roman" w:hAnsi="Times New Roman" w:cs="Times New Roman"/>
          <w:sz w:val="24"/>
          <w:szCs w:val="24"/>
        </w:rPr>
        <w:t xml:space="preserve">among neonates with jaundice in Romania. </w:t>
      </w:r>
      <w:r w:rsidR="00E51F3C">
        <w:rPr>
          <w:rFonts w:ascii="Times New Roman" w:hAnsi="Times New Roman" w:cs="Times New Roman"/>
          <w:sz w:val="24"/>
          <w:szCs w:val="24"/>
        </w:rPr>
        <w:t xml:space="preserve">On the contrary, Liu </w:t>
      </w:r>
      <w:r w:rsidR="00E51F3C" w:rsidRPr="00E51F3C">
        <w:rPr>
          <w:rFonts w:ascii="Times New Roman" w:hAnsi="Times New Roman" w:cs="Times New Roman"/>
          <w:i/>
          <w:iCs/>
          <w:sz w:val="24"/>
          <w:szCs w:val="24"/>
        </w:rPr>
        <w:t>et al</w:t>
      </w:r>
      <w:r w:rsidR="00E51F3C">
        <w:rPr>
          <w:rFonts w:ascii="Times New Roman" w:hAnsi="Times New Roman" w:cs="Times New Roman"/>
          <w:sz w:val="24"/>
          <w:szCs w:val="24"/>
        </w:rPr>
        <w:t xml:space="preserve">. (2021) and Yousefi </w:t>
      </w:r>
      <w:r w:rsidR="00E51F3C" w:rsidRPr="00E51F3C">
        <w:rPr>
          <w:rFonts w:ascii="Times New Roman" w:hAnsi="Times New Roman" w:cs="Times New Roman"/>
          <w:i/>
          <w:iCs/>
          <w:sz w:val="24"/>
          <w:szCs w:val="24"/>
        </w:rPr>
        <w:t>et al.</w:t>
      </w:r>
      <w:r w:rsidR="00E51F3C">
        <w:rPr>
          <w:rFonts w:ascii="Times New Roman" w:hAnsi="Times New Roman" w:cs="Times New Roman"/>
          <w:sz w:val="24"/>
          <w:szCs w:val="24"/>
        </w:rPr>
        <w:t xml:space="preserve"> (2025) reported normal levels of ALP.</w:t>
      </w:r>
    </w:p>
    <w:p w14:paraId="0613D2BF" w14:textId="790A8BE8" w:rsidR="00EF4562" w:rsidRPr="00EF4562" w:rsidRDefault="00EF4562" w:rsidP="00FB0377">
      <w:pPr>
        <w:spacing w:line="240" w:lineRule="auto"/>
        <w:jc w:val="both"/>
        <w:rPr>
          <w:rFonts w:ascii="Times New Roman" w:hAnsi="Times New Roman" w:cs="Times New Roman"/>
          <w:sz w:val="24"/>
          <w:szCs w:val="24"/>
        </w:rPr>
      </w:pPr>
      <w:r w:rsidRPr="00EF4562">
        <w:rPr>
          <w:rFonts w:ascii="Times New Roman" w:hAnsi="Times New Roman" w:cs="Times New Roman"/>
          <w:sz w:val="24"/>
          <w:szCs w:val="24"/>
        </w:rPr>
        <w:t xml:space="preserve">LDH levels were significantly elevated in neonates </w:t>
      </w:r>
      <w:r w:rsidR="00321CA6">
        <w:rPr>
          <w:rFonts w:ascii="Times New Roman" w:hAnsi="Times New Roman" w:cs="Times New Roman"/>
          <w:sz w:val="24"/>
          <w:szCs w:val="24"/>
        </w:rPr>
        <w:t xml:space="preserve">with jaundice </w:t>
      </w:r>
      <w:r w:rsidRPr="00EF4562">
        <w:rPr>
          <w:rFonts w:ascii="Times New Roman" w:hAnsi="Times New Roman" w:cs="Times New Roman"/>
          <w:sz w:val="24"/>
          <w:szCs w:val="24"/>
        </w:rPr>
        <w:t>compared with controls (722.2 vs. 473.3 IU/L). LDH is a well-established marker of haemolysis since it is released in large amounts from lysed red blood cells (</w:t>
      </w:r>
      <w:r w:rsidR="005C1F02">
        <w:rPr>
          <w:rFonts w:ascii="Times New Roman" w:eastAsia="Times New Roman" w:hAnsi="Times New Roman" w:cs="Times New Roman"/>
          <w:sz w:val="24"/>
          <w:szCs w:val="24"/>
        </w:rPr>
        <w:t xml:space="preserve">Ariyibi </w:t>
      </w:r>
      <w:r w:rsidR="005C1F02" w:rsidRPr="005C1F02">
        <w:rPr>
          <w:rFonts w:ascii="Times New Roman" w:eastAsia="Times New Roman" w:hAnsi="Times New Roman" w:cs="Times New Roman"/>
          <w:i/>
          <w:iCs/>
          <w:sz w:val="24"/>
          <w:szCs w:val="24"/>
        </w:rPr>
        <w:t>et al</w:t>
      </w:r>
      <w:r w:rsidR="005C1F02">
        <w:rPr>
          <w:rFonts w:ascii="Times New Roman" w:eastAsia="Times New Roman" w:hAnsi="Times New Roman" w:cs="Times New Roman"/>
          <w:sz w:val="24"/>
          <w:szCs w:val="24"/>
        </w:rPr>
        <w:t>.</w:t>
      </w:r>
      <w:r w:rsidRPr="00EF4562">
        <w:rPr>
          <w:rFonts w:ascii="Times New Roman" w:hAnsi="Times New Roman" w:cs="Times New Roman"/>
          <w:sz w:val="24"/>
          <w:szCs w:val="24"/>
        </w:rPr>
        <w:t>, 202</w:t>
      </w:r>
      <w:r w:rsidR="005C1F02">
        <w:rPr>
          <w:rFonts w:ascii="Times New Roman" w:hAnsi="Times New Roman" w:cs="Times New Roman"/>
          <w:sz w:val="24"/>
          <w:szCs w:val="24"/>
        </w:rPr>
        <w:t>4</w:t>
      </w:r>
      <w:r w:rsidRPr="00EF4562">
        <w:rPr>
          <w:rFonts w:ascii="Times New Roman" w:hAnsi="Times New Roman" w:cs="Times New Roman"/>
          <w:sz w:val="24"/>
          <w:szCs w:val="24"/>
        </w:rPr>
        <w:t>). The positive correlation with bilirubin and AST observed in this study strengthens its diagnostic and prognostic value.</w:t>
      </w:r>
    </w:p>
    <w:p w14:paraId="7538C434" w14:textId="1A6BFA03" w:rsidR="00207167" w:rsidRPr="0072212B" w:rsidRDefault="004D022E" w:rsidP="00FB0377">
      <w:pPr>
        <w:spacing w:line="240" w:lineRule="auto"/>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Liu </w:t>
      </w:r>
      <w:r w:rsidRPr="004D022E">
        <w:rPr>
          <w:rFonts w:ascii="Times New Roman" w:hAnsi="Times New Roman" w:cs="Times New Roman"/>
          <w:i/>
          <w:iCs/>
          <w:color w:val="1B1B1B"/>
          <w:sz w:val="24"/>
          <w:szCs w:val="24"/>
          <w:shd w:val="clear" w:color="auto" w:fill="FFFFFF"/>
        </w:rPr>
        <w:t>et al</w:t>
      </w:r>
      <w:r>
        <w:rPr>
          <w:rFonts w:ascii="Times New Roman" w:hAnsi="Times New Roman" w:cs="Times New Roman"/>
          <w:color w:val="1B1B1B"/>
          <w:sz w:val="24"/>
          <w:szCs w:val="24"/>
          <w:shd w:val="clear" w:color="auto" w:fill="FFFFFF"/>
        </w:rPr>
        <w:t xml:space="preserve">. </w:t>
      </w:r>
      <w:r w:rsidR="00EF4562" w:rsidRPr="00EF4562">
        <w:rPr>
          <w:rFonts w:ascii="Times New Roman" w:hAnsi="Times New Roman" w:cs="Times New Roman"/>
          <w:sz w:val="24"/>
          <w:szCs w:val="24"/>
        </w:rPr>
        <w:t>(202</w:t>
      </w:r>
      <w:r w:rsidR="00863B12">
        <w:rPr>
          <w:rFonts w:ascii="Times New Roman" w:hAnsi="Times New Roman" w:cs="Times New Roman"/>
          <w:sz w:val="24"/>
          <w:szCs w:val="24"/>
        </w:rPr>
        <w:t>3</w:t>
      </w:r>
      <w:r w:rsidR="00EF4562" w:rsidRPr="00EF4562">
        <w:rPr>
          <w:rFonts w:ascii="Times New Roman" w:hAnsi="Times New Roman" w:cs="Times New Roman"/>
          <w:sz w:val="24"/>
          <w:szCs w:val="24"/>
        </w:rPr>
        <w:t xml:space="preserve">) reported </w:t>
      </w:r>
      <w:r>
        <w:rPr>
          <w:rFonts w:ascii="Times New Roman" w:hAnsi="Times New Roman" w:cs="Times New Roman"/>
          <w:sz w:val="24"/>
          <w:szCs w:val="24"/>
        </w:rPr>
        <w:t xml:space="preserve">high </w:t>
      </w:r>
      <w:r w:rsidR="00EF4562" w:rsidRPr="00EF4562">
        <w:rPr>
          <w:rFonts w:ascii="Times New Roman" w:hAnsi="Times New Roman" w:cs="Times New Roman"/>
          <w:sz w:val="24"/>
          <w:szCs w:val="24"/>
        </w:rPr>
        <w:t>levels</w:t>
      </w:r>
      <w:r w:rsidR="000F6BDB">
        <w:rPr>
          <w:rFonts w:ascii="Times New Roman" w:hAnsi="Times New Roman" w:cs="Times New Roman"/>
          <w:sz w:val="24"/>
          <w:szCs w:val="24"/>
        </w:rPr>
        <w:t xml:space="preserve"> of </w:t>
      </w:r>
      <w:r w:rsidR="000F6BDB" w:rsidRPr="00EF4562">
        <w:rPr>
          <w:rFonts w:ascii="Times New Roman" w:hAnsi="Times New Roman" w:cs="Times New Roman"/>
          <w:sz w:val="24"/>
          <w:szCs w:val="24"/>
        </w:rPr>
        <w:t>LDH</w:t>
      </w:r>
      <w:r w:rsidR="00EF4562" w:rsidRPr="00EF4562">
        <w:rPr>
          <w:rFonts w:ascii="Times New Roman" w:hAnsi="Times New Roman" w:cs="Times New Roman"/>
          <w:sz w:val="24"/>
          <w:szCs w:val="24"/>
        </w:rPr>
        <w:t xml:space="preserve"> in Asian cohorts</w:t>
      </w:r>
      <w:r w:rsidR="000F6BDB">
        <w:rPr>
          <w:rFonts w:ascii="Times New Roman" w:hAnsi="Times New Roman" w:cs="Times New Roman"/>
          <w:sz w:val="24"/>
          <w:szCs w:val="24"/>
        </w:rPr>
        <w:t>,</w:t>
      </w:r>
      <w:r w:rsidR="00EF4562" w:rsidRPr="00EF4562">
        <w:rPr>
          <w:rFonts w:ascii="Times New Roman" w:hAnsi="Times New Roman" w:cs="Times New Roman"/>
          <w:sz w:val="24"/>
          <w:szCs w:val="24"/>
        </w:rPr>
        <w:t xml:space="preserve"> where LDH was </w:t>
      </w:r>
      <w:r w:rsidR="000F6BDB">
        <w:rPr>
          <w:rFonts w:ascii="Times New Roman" w:hAnsi="Times New Roman" w:cs="Times New Roman"/>
          <w:sz w:val="24"/>
          <w:szCs w:val="24"/>
        </w:rPr>
        <w:t>a</w:t>
      </w:r>
      <w:r w:rsidR="00EF4562" w:rsidRPr="00EF4562">
        <w:rPr>
          <w:rFonts w:ascii="Times New Roman" w:hAnsi="Times New Roman" w:cs="Times New Roman"/>
          <w:sz w:val="24"/>
          <w:szCs w:val="24"/>
        </w:rPr>
        <w:t xml:space="preserve"> </w:t>
      </w:r>
      <w:r w:rsidR="000F6BDB">
        <w:rPr>
          <w:rFonts w:ascii="Times New Roman" w:hAnsi="Times New Roman" w:cs="Times New Roman"/>
          <w:sz w:val="24"/>
          <w:szCs w:val="24"/>
        </w:rPr>
        <w:t>better predictor</w:t>
      </w:r>
      <w:r w:rsidR="00EF4562" w:rsidRPr="00EF4562">
        <w:rPr>
          <w:rFonts w:ascii="Times New Roman" w:hAnsi="Times New Roman" w:cs="Times New Roman"/>
          <w:sz w:val="24"/>
          <w:szCs w:val="24"/>
        </w:rPr>
        <w:t xml:space="preserve"> of disease severity than bilirubin alone</w:t>
      </w:r>
      <w:r w:rsidR="0072212B">
        <w:rPr>
          <w:rFonts w:ascii="Times New Roman" w:hAnsi="Times New Roman" w:cs="Times New Roman"/>
          <w:sz w:val="24"/>
          <w:szCs w:val="24"/>
        </w:rPr>
        <w:t xml:space="preserve">. </w:t>
      </w:r>
      <w:r w:rsidR="00EF4562" w:rsidRPr="00EF4562">
        <w:rPr>
          <w:rFonts w:ascii="Times New Roman" w:hAnsi="Times New Roman" w:cs="Times New Roman"/>
          <w:sz w:val="24"/>
          <w:szCs w:val="24"/>
        </w:rPr>
        <w:t>This supports the use of LDH as a severity marker, particularly where advanced diagnostic tools are unavailable.</w:t>
      </w:r>
    </w:p>
    <w:p w14:paraId="074D761E" w14:textId="41B91CE3" w:rsidR="00CC0A05" w:rsidRDefault="00CC0A05" w:rsidP="00FB0377">
      <w:pPr>
        <w:spacing w:line="240" w:lineRule="auto"/>
      </w:pPr>
    </w:p>
    <w:p w14:paraId="53CC48A9" w14:textId="77777777" w:rsidR="00207167" w:rsidRPr="00207167" w:rsidRDefault="00207167" w:rsidP="00FB0377">
      <w:pPr>
        <w:spacing w:line="240" w:lineRule="auto"/>
        <w:jc w:val="both"/>
        <w:rPr>
          <w:rFonts w:ascii="Times New Roman" w:hAnsi="Times New Roman" w:cs="Times New Roman"/>
          <w:b/>
          <w:bCs/>
          <w:sz w:val="24"/>
          <w:szCs w:val="24"/>
        </w:rPr>
      </w:pPr>
      <w:r w:rsidRPr="00207167">
        <w:rPr>
          <w:rFonts w:ascii="Times New Roman" w:hAnsi="Times New Roman" w:cs="Times New Roman"/>
          <w:b/>
          <w:bCs/>
          <w:sz w:val="24"/>
          <w:szCs w:val="24"/>
        </w:rPr>
        <w:t>Conclusion</w:t>
      </w:r>
    </w:p>
    <w:p w14:paraId="1B7D5051" w14:textId="6683710A" w:rsidR="00207167" w:rsidRPr="000B50A3" w:rsidRDefault="00207167" w:rsidP="00FB0377">
      <w:pPr>
        <w:spacing w:line="240" w:lineRule="auto"/>
        <w:jc w:val="both"/>
        <w:rPr>
          <w:rFonts w:ascii="Times New Roman" w:hAnsi="Times New Roman" w:cs="Times New Roman"/>
          <w:sz w:val="24"/>
          <w:szCs w:val="24"/>
        </w:rPr>
      </w:pPr>
      <w:r w:rsidRPr="00207167">
        <w:rPr>
          <w:rFonts w:ascii="Times New Roman" w:hAnsi="Times New Roman" w:cs="Times New Roman"/>
          <w:sz w:val="24"/>
          <w:szCs w:val="24"/>
        </w:rPr>
        <w:t xml:space="preserve">The </w:t>
      </w:r>
      <w:r w:rsidR="00FB07ED">
        <w:rPr>
          <w:rFonts w:ascii="Times New Roman" w:hAnsi="Times New Roman" w:cs="Times New Roman"/>
          <w:sz w:val="24"/>
          <w:szCs w:val="24"/>
        </w:rPr>
        <w:t xml:space="preserve">current </w:t>
      </w:r>
      <w:r w:rsidRPr="00207167">
        <w:rPr>
          <w:rFonts w:ascii="Times New Roman" w:hAnsi="Times New Roman" w:cs="Times New Roman"/>
          <w:sz w:val="24"/>
          <w:szCs w:val="24"/>
        </w:rPr>
        <w:t xml:space="preserve">study </w:t>
      </w:r>
      <w:r w:rsidR="00FB07ED">
        <w:rPr>
          <w:rFonts w:ascii="Times New Roman" w:hAnsi="Times New Roman" w:cs="Times New Roman"/>
          <w:sz w:val="24"/>
          <w:szCs w:val="24"/>
        </w:rPr>
        <w:t>observed</w:t>
      </w:r>
      <w:r w:rsidRPr="00207167">
        <w:rPr>
          <w:rFonts w:ascii="Times New Roman" w:hAnsi="Times New Roman" w:cs="Times New Roman"/>
          <w:sz w:val="24"/>
          <w:szCs w:val="24"/>
        </w:rPr>
        <w:t xml:space="preserve"> that </w:t>
      </w:r>
      <w:r w:rsidR="00321CA6">
        <w:rPr>
          <w:rFonts w:ascii="Times New Roman" w:hAnsi="Times New Roman" w:cs="Times New Roman"/>
          <w:sz w:val="24"/>
          <w:szCs w:val="24"/>
        </w:rPr>
        <w:t>jaundice in neonates</w:t>
      </w:r>
      <w:r w:rsidRPr="00207167">
        <w:rPr>
          <w:rFonts w:ascii="Times New Roman" w:hAnsi="Times New Roman" w:cs="Times New Roman"/>
          <w:sz w:val="24"/>
          <w:szCs w:val="24"/>
        </w:rPr>
        <w:t xml:space="preserve"> in Keffi is associated with profound biochemical </w:t>
      </w:r>
      <w:r w:rsidR="00FB07ED">
        <w:rPr>
          <w:rFonts w:ascii="Times New Roman" w:hAnsi="Times New Roman" w:cs="Times New Roman"/>
          <w:sz w:val="24"/>
          <w:szCs w:val="24"/>
        </w:rPr>
        <w:t xml:space="preserve">changes </w:t>
      </w:r>
      <w:r w:rsidRPr="00207167">
        <w:rPr>
          <w:rFonts w:ascii="Times New Roman" w:hAnsi="Times New Roman" w:cs="Times New Roman"/>
          <w:sz w:val="24"/>
          <w:szCs w:val="24"/>
        </w:rPr>
        <w:t xml:space="preserve">involving bilirubin metabolism, liver enzyme activity, and haemolysis markers. </w:t>
      </w:r>
      <w:r w:rsidR="00FB07ED">
        <w:rPr>
          <w:rFonts w:ascii="Times New Roman" w:hAnsi="Times New Roman" w:cs="Times New Roman"/>
          <w:sz w:val="24"/>
          <w:szCs w:val="24"/>
        </w:rPr>
        <w:t>High</w:t>
      </w:r>
      <w:r w:rsidRPr="00207167">
        <w:rPr>
          <w:rFonts w:ascii="Times New Roman" w:hAnsi="Times New Roman" w:cs="Times New Roman"/>
          <w:sz w:val="24"/>
          <w:szCs w:val="24"/>
        </w:rPr>
        <w:t xml:space="preserve"> levels of bilirubin, AST, ALT, ALP, and LDH provide a comprehensive biochemical picture of the disease process, with LDH serving as an especially sensitive indicator of severity. The results confirm </w:t>
      </w:r>
      <w:r w:rsidR="00FB07ED">
        <w:rPr>
          <w:rFonts w:ascii="Times New Roman" w:hAnsi="Times New Roman" w:cs="Times New Roman"/>
          <w:sz w:val="24"/>
          <w:szCs w:val="24"/>
        </w:rPr>
        <w:t xml:space="preserve">a </w:t>
      </w:r>
      <w:r w:rsidR="00321CA6">
        <w:rPr>
          <w:rFonts w:ascii="Times New Roman" w:hAnsi="Times New Roman" w:cs="Times New Roman"/>
          <w:sz w:val="24"/>
          <w:szCs w:val="24"/>
        </w:rPr>
        <w:t xml:space="preserve">high incidence of jaundice in the study area and its propensity </w:t>
      </w:r>
      <w:r w:rsidR="00FB07ED">
        <w:rPr>
          <w:rFonts w:ascii="Times New Roman" w:hAnsi="Times New Roman" w:cs="Times New Roman"/>
          <w:sz w:val="24"/>
          <w:szCs w:val="24"/>
        </w:rPr>
        <w:t>to cause</w:t>
      </w:r>
      <w:r w:rsidR="00321CA6">
        <w:rPr>
          <w:rFonts w:ascii="Times New Roman" w:hAnsi="Times New Roman" w:cs="Times New Roman"/>
          <w:sz w:val="24"/>
          <w:szCs w:val="24"/>
        </w:rPr>
        <w:t xml:space="preserve"> </w:t>
      </w:r>
      <w:r w:rsidRPr="00207167">
        <w:rPr>
          <w:rFonts w:ascii="Times New Roman" w:hAnsi="Times New Roman" w:cs="Times New Roman"/>
          <w:sz w:val="24"/>
          <w:szCs w:val="24"/>
        </w:rPr>
        <w:t xml:space="preserve">significant neonatal morbidity </w:t>
      </w:r>
      <w:r w:rsidR="00321CA6">
        <w:rPr>
          <w:rFonts w:ascii="Times New Roman" w:hAnsi="Times New Roman" w:cs="Times New Roman"/>
          <w:sz w:val="24"/>
          <w:szCs w:val="24"/>
        </w:rPr>
        <w:t xml:space="preserve">and mortality. Furthermore, </w:t>
      </w:r>
      <w:r w:rsidRPr="00207167">
        <w:rPr>
          <w:rFonts w:ascii="Times New Roman" w:hAnsi="Times New Roman" w:cs="Times New Roman"/>
          <w:sz w:val="24"/>
          <w:szCs w:val="24"/>
        </w:rPr>
        <w:t xml:space="preserve">these relatively simple biochemical tests can serve as effective diagnostic and monitoring tools in resource-limited settings. In comparison with other studies from Nigeria, West Africa, and globally, the findings are consistent with the </w:t>
      </w:r>
      <w:r w:rsidR="00FB07ED">
        <w:rPr>
          <w:rFonts w:ascii="Times New Roman" w:hAnsi="Times New Roman" w:cs="Times New Roman"/>
          <w:sz w:val="24"/>
          <w:szCs w:val="24"/>
        </w:rPr>
        <w:t>recognised</w:t>
      </w:r>
      <w:r w:rsidRPr="00207167">
        <w:rPr>
          <w:rFonts w:ascii="Times New Roman" w:hAnsi="Times New Roman" w:cs="Times New Roman"/>
          <w:sz w:val="24"/>
          <w:szCs w:val="24"/>
        </w:rPr>
        <w:t xml:space="preserve"> pathophysiological patterns of </w:t>
      </w:r>
      <w:r w:rsidR="000B50A3">
        <w:rPr>
          <w:rFonts w:ascii="Times New Roman" w:hAnsi="Times New Roman" w:cs="Times New Roman"/>
          <w:sz w:val="24"/>
          <w:szCs w:val="24"/>
        </w:rPr>
        <w:t>jaundice.</w:t>
      </w:r>
      <w:r w:rsidRPr="00207167">
        <w:rPr>
          <w:rFonts w:ascii="Times New Roman" w:hAnsi="Times New Roman" w:cs="Times New Roman"/>
          <w:sz w:val="24"/>
          <w:szCs w:val="24"/>
        </w:rPr>
        <w:t xml:space="preserve"> </w:t>
      </w:r>
      <w:r w:rsidR="000B50A3">
        <w:rPr>
          <w:rFonts w:ascii="Times New Roman" w:hAnsi="Times New Roman" w:cs="Times New Roman"/>
          <w:sz w:val="24"/>
          <w:szCs w:val="24"/>
        </w:rPr>
        <w:t>Th</w:t>
      </w:r>
      <w:r w:rsidR="00FB07ED">
        <w:rPr>
          <w:rFonts w:ascii="Times New Roman" w:hAnsi="Times New Roman" w:cs="Times New Roman"/>
          <w:sz w:val="24"/>
          <w:szCs w:val="24"/>
        </w:rPr>
        <w:t>e</w:t>
      </w:r>
      <w:r w:rsidR="000B50A3">
        <w:rPr>
          <w:rFonts w:ascii="Times New Roman" w:hAnsi="Times New Roman" w:cs="Times New Roman"/>
          <w:sz w:val="24"/>
          <w:szCs w:val="24"/>
        </w:rPr>
        <w:t xml:space="preserve"> study</w:t>
      </w:r>
      <w:r w:rsidRPr="00207167">
        <w:rPr>
          <w:rFonts w:ascii="Times New Roman" w:hAnsi="Times New Roman" w:cs="Times New Roman"/>
          <w:sz w:val="24"/>
          <w:szCs w:val="24"/>
        </w:rPr>
        <w:t xml:space="preserve"> </w:t>
      </w:r>
      <w:r w:rsidR="000B50A3" w:rsidRPr="00207167">
        <w:rPr>
          <w:rFonts w:ascii="Times New Roman" w:hAnsi="Times New Roman" w:cs="Times New Roman"/>
          <w:sz w:val="24"/>
          <w:szCs w:val="24"/>
        </w:rPr>
        <w:t>highlights</w:t>
      </w:r>
      <w:r w:rsidRPr="00207167">
        <w:rPr>
          <w:rFonts w:ascii="Times New Roman" w:hAnsi="Times New Roman" w:cs="Times New Roman"/>
          <w:sz w:val="24"/>
          <w:szCs w:val="24"/>
        </w:rPr>
        <w:t xml:space="preserve"> the </w:t>
      </w:r>
      <w:r w:rsidR="000B50A3">
        <w:rPr>
          <w:rFonts w:ascii="Times New Roman" w:hAnsi="Times New Roman" w:cs="Times New Roman"/>
          <w:sz w:val="24"/>
          <w:szCs w:val="24"/>
        </w:rPr>
        <w:t xml:space="preserve">need for </w:t>
      </w:r>
      <w:r w:rsidR="00FB07ED">
        <w:rPr>
          <w:rFonts w:ascii="Times New Roman" w:hAnsi="Times New Roman" w:cs="Times New Roman"/>
          <w:sz w:val="24"/>
          <w:szCs w:val="24"/>
        </w:rPr>
        <w:t>more</w:t>
      </w:r>
      <w:r w:rsidR="000B50A3">
        <w:rPr>
          <w:rFonts w:ascii="Times New Roman" w:hAnsi="Times New Roman" w:cs="Times New Roman"/>
          <w:sz w:val="24"/>
          <w:szCs w:val="24"/>
        </w:rPr>
        <w:t xml:space="preserve"> awareness. </w:t>
      </w:r>
      <w:r w:rsidR="00FB07ED">
        <w:rPr>
          <w:rFonts w:ascii="Times New Roman" w:hAnsi="Times New Roman" w:cs="Times New Roman"/>
          <w:sz w:val="24"/>
          <w:szCs w:val="24"/>
        </w:rPr>
        <w:t>In addition</w:t>
      </w:r>
      <w:r w:rsidR="000B50A3">
        <w:rPr>
          <w:rFonts w:ascii="Times New Roman" w:hAnsi="Times New Roman" w:cs="Times New Roman"/>
          <w:sz w:val="24"/>
          <w:szCs w:val="24"/>
        </w:rPr>
        <w:t>, governments</w:t>
      </w:r>
      <w:r w:rsidRPr="00207167">
        <w:rPr>
          <w:rFonts w:ascii="Times New Roman" w:hAnsi="Times New Roman" w:cs="Times New Roman"/>
          <w:sz w:val="24"/>
          <w:szCs w:val="24"/>
        </w:rPr>
        <w:t xml:space="preserve"> </w:t>
      </w:r>
      <w:r w:rsidR="000B50A3">
        <w:rPr>
          <w:rFonts w:ascii="Times New Roman" w:hAnsi="Times New Roman" w:cs="Times New Roman"/>
          <w:sz w:val="24"/>
          <w:szCs w:val="24"/>
        </w:rPr>
        <w:t xml:space="preserve">at all levels should </w:t>
      </w:r>
      <w:r w:rsidR="00FB07ED">
        <w:rPr>
          <w:rFonts w:ascii="Times New Roman" w:hAnsi="Times New Roman" w:cs="Times New Roman"/>
          <w:sz w:val="24"/>
          <w:szCs w:val="24"/>
        </w:rPr>
        <w:t>prioritise</w:t>
      </w:r>
      <w:r w:rsidR="000B50A3">
        <w:rPr>
          <w:rFonts w:ascii="Times New Roman" w:hAnsi="Times New Roman" w:cs="Times New Roman"/>
          <w:sz w:val="24"/>
          <w:szCs w:val="24"/>
        </w:rPr>
        <w:t xml:space="preserve"> </w:t>
      </w:r>
      <w:r w:rsidR="00884EB1">
        <w:rPr>
          <w:rFonts w:ascii="Times New Roman" w:hAnsi="Times New Roman" w:cs="Times New Roman"/>
          <w:sz w:val="24"/>
          <w:szCs w:val="24"/>
        </w:rPr>
        <w:t xml:space="preserve">the </w:t>
      </w:r>
      <w:r w:rsidR="000B50A3">
        <w:rPr>
          <w:rFonts w:ascii="Times New Roman" w:hAnsi="Times New Roman" w:cs="Times New Roman"/>
          <w:sz w:val="24"/>
          <w:szCs w:val="24"/>
        </w:rPr>
        <w:t>provi</w:t>
      </w:r>
      <w:r w:rsidR="00884EB1">
        <w:rPr>
          <w:rFonts w:ascii="Times New Roman" w:hAnsi="Times New Roman" w:cs="Times New Roman"/>
          <w:sz w:val="24"/>
          <w:szCs w:val="24"/>
        </w:rPr>
        <w:t>sion of</w:t>
      </w:r>
      <w:r w:rsidR="000B50A3">
        <w:rPr>
          <w:rFonts w:ascii="Times New Roman" w:hAnsi="Times New Roman" w:cs="Times New Roman"/>
          <w:sz w:val="24"/>
          <w:szCs w:val="24"/>
        </w:rPr>
        <w:t xml:space="preserve"> the necessary infrastructure and funding for neonatal care. </w:t>
      </w:r>
    </w:p>
    <w:p w14:paraId="75960EF2" w14:textId="6AFD88FD" w:rsidR="00CC0A05" w:rsidRPr="00207167" w:rsidRDefault="00207167" w:rsidP="00FB0377">
      <w:pPr>
        <w:spacing w:line="240" w:lineRule="auto"/>
        <w:rPr>
          <w:rFonts w:ascii="Times New Roman" w:hAnsi="Times New Roman" w:cs="Times New Roman"/>
          <w:b/>
          <w:bCs/>
          <w:sz w:val="24"/>
          <w:szCs w:val="24"/>
        </w:rPr>
      </w:pPr>
      <w:r w:rsidRPr="00207167">
        <w:rPr>
          <w:rFonts w:ascii="Times New Roman" w:hAnsi="Times New Roman" w:cs="Times New Roman"/>
          <w:b/>
          <w:bCs/>
          <w:sz w:val="24"/>
          <w:szCs w:val="24"/>
        </w:rPr>
        <w:t xml:space="preserve">Limitations </w:t>
      </w:r>
    </w:p>
    <w:p w14:paraId="6FA7402F" w14:textId="756C1550" w:rsidR="00CC0A05" w:rsidRPr="00884EB1" w:rsidRDefault="00207167" w:rsidP="00FB0377">
      <w:pPr>
        <w:spacing w:line="240" w:lineRule="auto"/>
        <w:jc w:val="both"/>
        <w:rPr>
          <w:rFonts w:ascii="Times New Roman" w:hAnsi="Times New Roman" w:cs="Times New Roman"/>
          <w:sz w:val="24"/>
          <w:szCs w:val="24"/>
        </w:rPr>
      </w:pPr>
      <w:r w:rsidRPr="009C7FB6">
        <w:rPr>
          <w:rFonts w:ascii="Times New Roman" w:hAnsi="Times New Roman" w:cs="Times New Roman"/>
          <w:sz w:val="24"/>
          <w:szCs w:val="24"/>
        </w:rPr>
        <w:t>This study did not determine</w:t>
      </w:r>
      <w:r w:rsidR="00E71B36" w:rsidRPr="009C7FB6">
        <w:rPr>
          <w:rFonts w:ascii="Times New Roman" w:hAnsi="Times New Roman" w:cs="Times New Roman"/>
          <w:sz w:val="24"/>
          <w:szCs w:val="24"/>
        </w:rPr>
        <w:t xml:space="preserve"> the </w:t>
      </w:r>
      <w:r w:rsidR="004E23A8">
        <w:rPr>
          <w:rFonts w:ascii="Times New Roman" w:hAnsi="Times New Roman" w:cs="Times New Roman"/>
          <w:sz w:val="24"/>
          <w:szCs w:val="24"/>
        </w:rPr>
        <w:t>cause</w:t>
      </w:r>
      <w:r w:rsidR="000B50A3">
        <w:rPr>
          <w:rFonts w:ascii="Times New Roman" w:hAnsi="Times New Roman" w:cs="Times New Roman"/>
          <w:sz w:val="24"/>
          <w:szCs w:val="24"/>
        </w:rPr>
        <w:t xml:space="preserve"> </w:t>
      </w:r>
      <w:r w:rsidR="004E23A8">
        <w:rPr>
          <w:rFonts w:ascii="Times New Roman" w:hAnsi="Times New Roman" w:cs="Times New Roman"/>
          <w:sz w:val="24"/>
          <w:szCs w:val="24"/>
        </w:rPr>
        <w:t xml:space="preserve">of jaundice among the participants and the treatment </w:t>
      </w:r>
      <w:r w:rsidR="00E71B36" w:rsidRPr="009C7FB6">
        <w:rPr>
          <w:rFonts w:ascii="Times New Roman" w:hAnsi="Times New Roman" w:cs="Times New Roman"/>
          <w:sz w:val="24"/>
          <w:szCs w:val="24"/>
        </w:rPr>
        <w:t>outcome</w:t>
      </w:r>
      <w:r w:rsidR="004E23A8">
        <w:rPr>
          <w:rFonts w:ascii="Times New Roman" w:hAnsi="Times New Roman" w:cs="Times New Roman"/>
          <w:sz w:val="24"/>
          <w:szCs w:val="24"/>
        </w:rPr>
        <w:t>s</w:t>
      </w:r>
      <w:r w:rsidR="00E71B36" w:rsidRPr="009C7FB6">
        <w:rPr>
          <w:rFonts w:ascii="Times New Roman" w:hAnsi="Times New Roman" w:cs="Times New Roman"/>
          <w:sz w:val="24"/>
          <w:szCs w:val="24"/>
        </w:rPr>
        <w:t xml:space="preserve"> of </w:t>
      </w:r>
      <w:r w:rsidR="004E23A8">
        <w:rPr>
          <w:rFonts w:ascii="Times New Roman" w:hAnsi="Times New Roman" w:cs="Times New Roman"/>
          <w:sz w:val="24"/>
          <w:szCs w:val="24"/>
        </w:rPr>
        <w:t xml:space="preserve">the </w:t>
      </w:r>
      <w:r w:rsidR="00E71B36" w:rsidRPr="009C7FB6">
        <w:rPr>
          <w:rFonts w:ascii="Times New Roman" w:hAnsi="Times New Roman" w:cs="Times New Roman"/>
          <w:sz w:val="24"/>
          <w:szCs w:val="24"/>
        </w:rPr>
        <w:t>disease</w:t>
      </w:r>
      <w:r w:rsidR="009C7FB6" w:rsidRPr="009C7FB6">
        <w:rPr>
          <w:rFonts w:ascii="Times New Roman" w:hAnsi="Times New Roman" w:cs="Times New Roman"/>
          <w:sz w:val="24"/>
          <w:szCs w:val="24"/>
        </w:rPr>
        <w:t>.</w:t>
      </w:r>
    </w:p>
    <w:p w14:paraId="40585E2E" w14:textId="17D7FC0C" w:rsidR="00CC0A05" w:rsidRPr="00590DE5" w:rsidRDefault="00CC0A05" w:rsidP="00FB0377">
      <w:pPr>
        <w:spacing w:line="240" w:lineRule="auto"/>
        <w:rPr>
          <w:rFonts w:ascii="Times New Roman" w:hAnsi="Times New Roman"/>
          <w:b/>
          <w:sz w:val="24"/>
          <w:szCs w:val="24"/>
        </w:rPr>
      </w:pPr>
      <w:r w:rsidRPr="00590DE5">
        <w:rPr>
          <w:rFonts w:ascii="Times New Roman" w:hAnsi="Times New Roman"/>
          <w:b/>
          <w:sz w:val="24"/>
          <w:szCs w:val="24"/>
        </w:rPr>
        <w:t>Consent</w:t>
      </w:r>
    </w:p>
    <w:p w14:paraId="014716AE" w14:textId="77777777" w:rsidR="009E1284" w:rsidRDefault="00CC0A05" w:rsidP="00FB0377">
      <w:pPr>
        <w:spacing w:line="24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C</w:t>
      </w:r>
      <w:r w:rsidRPr="003B5DFD">
        <w:rPr>
          <w:rFonts w:ascii="Times New Roman" w:hAnsi="Times New Roman"/>
          <w:bCs/>
          <w:color w:val="000000" w:themeColor="text1"/>
          <w:sz w:val="24"/>
          <w:szCs w:val="24"/>
          <w:shd w:val="clear" w:color="auto" w:fill="FFFFFF"/>
        </w:rPr>
        <w:t xml:space="preserve">onsent </w:t>
      </w:r>
      <w:r>
        <w:rPr>
          <w:rFonts w:ascii="Times New Roman" w:hAnsi="Times New Roman"/>
          <w:bCs/>
          <w:color w:val="000000" w:themeColor="text1"/>
          <w:sz w:val="24"/>
          <w:szCs w:val="24"/>
          <w:shd w:val="clear" w:color="auto" w:fill="FFFFFF"/>
        </w:rPr>
        <w:t xml:space="preserve">to participate in this study </w:t>
      </w:r>
      <w:r w:rsidRPr="003B5DFD">
        <w:rPr>
          <w:rFonts w:ascii="Times New Roman" w:hAnsi="Times New Roman"/>
          <w:bCs/>
          <w:color w:val="000000" w:themeColor="text1"/>
          <w:sz w:val="24"/>
          <w:szCs w:val="24"/>
          <w:shd w:val="clear" w:color="auto" w:fill="FFFFFF"/>
        </w:rPr>
        <w:t xml:space="preserve">was obtained </w:t>
      </w:r>
      <w:r>
        <w:rPr>
          <w:rFonts w:ascii="Times New Roman" w:hAnsi="Times New Roman"/>
          <w:bCs/>
          <w:color w:val="000000" w:themeColor="text1"/>
          <w:sz w:val="24"/>
          <w:szCs w:val="24"/>
          <w:shd w:val="clear" w:color="auto" w:fill="FFFFFF"/>
        </w:rPr>
        <w:t xml:space="preserve">in writing </w:t>
      </w:r>
      <w:r w:rsidRPr="003B5DFD">
        <w:rPr>
          <w:rFonts w:ascii="Times New Roman" w:hAnsi="Times New Roman"/>
          <w:bCs/>
          <w:color w:val="000000" w:themeColor="text1"/>
          <w:sz w:val="24"/>
          <w:szCs w:val="24"/>
          <w:shd w:val="clear" w:color="auto" w:fill="FFFFFF"/>
        </w:rPr>
        <w:t>from all subjects after explaining the entire research protocol</w:t>
      </w:r>
      <w:r>
        <w:rPr>
          <w:rFonts w:ascii="Times New Roman" w:hAnsi="Times New Roman"/>
          <w:bCs/>
          <w:color w:val="000000" w:themeColor="text1"/>
          <w:sz w:val="24"/>
          <w:szCs w:val="24"/>
          <w:shd w:val="clear" w:color="auto" w:fill="FFFFFF"/>
        </w:rPr>
        <w:t xml:space="preserve"> and justification to them in </w:t>
      </w:r>
      <w:r w:rsidR="009E1284">
        <w:rPr>
          <w:rFonts w:ascii="Times New Roman" w:hAnsi="Times New Roman"/>
          <w:bCs/>
          <w:color w:val="000000" w:themeColor="text1"/>
          <w:sz w:val="24"/>
          <w:szCs w:val="24"/>
          <w:shd w:val="clear" w:color="auto" w:fill="FFFFFF"/>
        </w:rPr>
        <w:t xml:space="preserve">a language they understand. </w:t>
      </w:r>
    </w:p>
    <w:p w14:paraId="43836FD1" w14:textId="60037FB4" w:rsidR="00CC0A05" w:rsidRDefault="00CC0A05" w:rsidP="00FB0377">
      <w:pPr>
        <w:spacing w:line="240" w:lineRule="auto"/>
        <w:jc w:val="both"/>
        <w:rPr>
          <w:rFonts w:ascii="Times New Roman" w:hAnsi="Times New Roman"/>
          <w:b/>
          <w:bCs/>
          <w:color w:val="000000" w:themeColor="text1"/>
          <w:sz w:val="24"/>
          <w:szCs w:val="24"/>
          <w:shd w:val="clear" w:color="auto" w:fill="FFFFFF"/>
        </w:rPr>
      </w:pPr>
      <w:r w:rsidRPr="003B52F9">
        <w:rPr>
          <w:rFonts w:ascii="Times New Roman" w:hAnsi="Times New Roman"/>
          <w:b/>
          <w:bCs/>
          <w:color w:val="000000" w:themeColor="text1"/>
          <w:sz w:val="24"/>
          <w:szCs w:val="24"/>
          <w:shd w:val="clear" w:color="auto" w:fill="FFFFFF"/>
        </w:rPr>
        <w:t>Ethical Approval</w:t>
      </w:r>
    </w:p>
    <w:p w14:paraId="24658E21" w14:textId="7AEFAC0F" w:rsidR="00CC0A05" w:rsidRDefault="00CC0A05" w:rsidP="00FB0377">
      <w:pPr>
        <w:spacing w:line="24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E</w:t>
      </w:r>
      <w:r w:rsidRPr="003B5DFD">
        <w:rPr>
          <w:rFonts w:ascii="Times New Roman" w:hAnsi="Times New Roman"/>
          <w:bCs/>
          <w:color w:val="000000" w:themeColor="text1"/>
          <w:sz w:val="24"/>
          <w:szCs w:val="24"/>
          <w:shd w:val="clear" w:color="auto" w:fill="FFFFFF"/>
        </w:rPr>
        <w:t>thical approval was obtained from the Health Research Ethics Committee of the N</w:t>
      </w:r>
      <w:r>
        <w:rPr>
          <w:rFonts w:ascii="Times New Roman" w:hAnsi="Times New Roman"/>
          <w:bCs/>
          <w:color w:val="000000" w:themeColor="text1"/>
          <w:sz w:val="24"/>
          <w:szCs w:val="24"/>
          <w:shd w:val="clear" w:color="auto" w:fill="FFFFFF"/>
        </w:rPr>
        <w:t>asarawa State Ministry of Health (NHREC Protocol Number: 18/06/2017</w:t>
      </w:r>
      <w:r w:rsidRPr="003B5DFD">
        <w:rPr>
          <w:rFonts w:ascii="Times New Roman" w:hAnsi="Times New Roman"/>
          <w:bCs/>
          <w:color w:val="000000" w:themeColor="text1"/>
          <w:sz w:val="24"/>
          <w:szCs w:val="24"/>
          <w:shd w:val="clear" w:color="auto" w:fill="FFFFFF"/>
        </w:rPr>
        <w:t xml:space="preserve">). </w:t>
      </w:r>
    </w:p>
    <w:p w14:paraId="57A8A925" w14:textId="7C6DC748"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1A830301" w14:textId="2F16FBEE"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1FCBA6A4" w14:textId="62C49880"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2B1B45CF" w14:textId="5051F1D6"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72B77E33" w14:textId="0471541B"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0AB440BE" w14:textId="40245D97"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514BED22" w14:textId="77777777" w:rsidR="00320318" w:rsidRPr="009C5487" w:rsidRDefault="00320318" w:rsidP="00320318">
      <w:pPr>
        <w:rPr>
          <w:rFonts w:ascii="Calibri" w:eastAsia="Calibri" w:hAnsi="Calibri" w:cs="Times New Roman"/>
          <w:kern w:val="2"/>
          <w:highlight w:val="yellow"/>
        </w:rPr>
      </w:pPr>
      <w:bookmarkStart w:id="10" w:name="_Hlk197682619"/>
      <w:bookmarkStart w:id="11" w:name="_Hlk180402183"/>
      <w:bookmarkStart w:id="12" w:name="_Hlk183680988"/>
      <w:r w:rsidRPr="009C5487">
        <w:rPr>
          <w:rFonts w:ascii="Calibri" w:eastAsia="Calibri" w:hAnsi="Calibri" w:cs="Times New Roman"/>
          <w:kern w:val="2"/>
          <w:highlight w:val="yellow"/>
        </w:rPr>
        <w:t>Disclaimer (Artificial intelligence)</w:t>
      </w:r>
    </w:p>
    <w:p w14:paraId="68D501BF"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EB0F8C4"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644651F"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8E84202"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39285C"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8CE1EE6"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684305A" w14:textId="77777777" w:rsidR="00320318" w:rsidRPr="009C5487" w:rsidRDefault="00320318" w:rsidP="0032031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83FBB85" w14:textId="77777777" w:rsidR="00320318" w:rsidRPr="009C5487" w:rsidRDefault="00320318" w:rsidP="00320318">
      <w:pPr>
        <w:rPr>
          <w:rFonts w:ascii="Calibri" w:eastAsia="Calibri" w:hAnsi="Calibri" w:cs="Times New Roman"/>
          <w:kern w:val="2"/>
        </w:rPr>
      </w:pPr>
      <w:bookmarkStart w:id="13" w:name="_Hlk197682629"/>
      <w:bookmarkEnd w:id="10"/>
      <w:r w:rsidRPr="009C5487">
        <w:rPr>
          <w:rFonts w:ascii="Calibri" w:eastAsia="Calibri" w:hAnsi="Calibri" w:cs="Times New Roman"/>
          <w:kern w:val="2"/>
          <w:highlight w:val="yellow"/>
        </w:rPr>
        <w:t>3.</w:t>
      </w:r>
    </w:p>
    <w:bookmarkEnd w:id="11"/>
    <w:bookmarkEnd w:id="12"/>
    <w:bookmarkEnd w:id="13"/>
    <w:p w14:paraId="4E2735E8" w14:textId="77777777" w:rsidR="00320318" w:rsidRDefault="00320318" w:rsidP="00FB0377">
      <w:pPr>
        <w:spacing w:line="240" w:lineRule="auto"/>
        <w:jc w:val="both"/>
        <w:rPr>
          <w:rFonts w:ascii="Times New Roman" w:hAnsi="Times New Roman"/>
          <w:bCs/>
          <w:color w:val="000000" w:themeColor="text1"/>
          <w:sz w:val="24"/>
          <w:szCs w:val="24"/>
          <w:shd w:val="clear" w:color="auto" w:fill="FFFFFF"/>
        </w:rPr>
      </w:pPr>
    </w:p>
    <w:p w14:paraId="3AD9B6DB" w14:textId="77777777" w:rsidR="00FB07ED" w:rsidRDefault="00FB07ED" w:rsidP="00FB0377">
      <w:pPr>
        <w:spacing w:line="240" w:lineRule="auto"/>
        <w:rPr>
          <w:rFonts w:ascii="Times New Roman" w:hAnsi="Times New Roman" w:cs="Times New Roman"/>
          <w:b/>
          <w:bCs/>
          <w:sz w:val="24"/>
          <w:szCs w:val="24"/>
        </w:rPr>
      </w:pPr>
    </w:p>
    <w:p w14:paraId="59824AE4" w14:textId="73D95DA7" w:rsidR="00FB07ED" w:rsidRPr="00FB07ED" w:rsidRDefault="00884EB1" w:rsidP="00FB0377">
      <w:pPr>
        <w:spacing w:line="240" w:lineRule="auto"/>
        <w:rPr>
          <w:rFonts w:ascii="Times New Roman" w:hAnsi="Times New Roman" w:cs="Times New Roman"/>
          <w:b/>
          <w:bCs/>
          <w:sz w:val="24"/>
          <w:szCs w:val="24"/>
        </w:rPr>
      </w:pPr>
      <w:r w:rsidRPr="00884EB1">
        <w:rPr>
          <w:rFonts w:ascii="Times New Roman" w:hAnsi="Times New Roman" w:cs="Times New Roman"/>
          <w:b/>
          <w:bCs/>
          <w:sz w:val="24"/>
          <w:szCs w:val="24"/>
        </w:rPr>
        <w:t>References</w:t>
      </w:r>
    </w:p>
    <w:p w14:paraId="0C419A2E" w14:textId="015F642B" w:rsidR="00FB0377" w:rsidRDefault="00FB07ED" w:rsidP="00FB0377">
      <w:pPr>
        <w:spacing w:line="240" w:lineRule="auto"/>
        <w:ind w:left="720" w:hanging="720"/>
        <w:jc w:val="both"/>
        <w:rPr>
          <w:rFonts w:ascii="Times New Roman" w:hAnsi="Times New Roman" w:cs="Times New Roman"/>
          <w:color w:val="333333"/>
          <w:sz w:val="24"/>
          <w:szCs w:val="24"/>
          <w:shd w:val="clear" w:color="auto" w:fill="FFFFFF"/>
        </w:rPr>
      </w:pPr>
      <w:bookmarkStart w:id="14" w:name="_Hlk210310908"/>
      <w:r w:rsidRPr="008E4CB5">
        <w:rPr>
          <w:rFonts w:ascii="Times New Roman" w:hAnsi="Times New Roman" w:cs="Times New Roman"/>
          <w:sz w:val="24"/>
          <w:szCs w:val="24"/>
        </w:rPr>
        <w:t xml:space="preserve">Abdalwahab, W. I. A., &amp; Al-Hatemi, A. S. J. (2021). </w:t>
      </w:r>
      <w:bookmarkEnd w:id="14"/>
      <w:r w:rsidRPr="008E4CB5">
        <w:rPr>
          <w:rFonts w:ascii="Times New Roman" w:hAnsi="Times New Roman" w:cs="Times New Roman"/>
          <w:sz w:val="24"/>
          <w:szCs w:val="24"/>
        </w:rPr>
        <w:t xml:space="preserve">Physiochemical effect of neonatal jaundice on some liver enzymes and cholecystokin in hormone. </w:t>
      </w:r>
      <w:r w:rsidRPr="008E4CB5">
        <w:rPr>
          <w:rFonts w:ascii="Times New Roman" w:hAnsi="Times New Roman" w:cs="Times New Roman"/>
          <w:i/>
          <w:iCs/>
          <w:sz w:val="24"/>
          <w:szCs w:val="24"/>
        </w:rPr>
        <w:t>Annals of the Romanian Society for Cell</w:t>
      </w:r>
      <w:r w:rsidR="00FB0377">
        <w:rPr>
          <w:rFonts w:ascii="Times New Roman" w:hAnsi="Times New Roman" w:cs="Times New Roman"/>
          <w:i/>
          <w:iCs/>
          <w:sz w:val="24"/>
          <w:szCs w:val="24"/>
        </w:rPr>
        <w:t> </w:t>
      </w:r>
      <w:r w:rsidRPr="008E4CB5">
        <w:rPr>
          <w:rFonts w:ascii="Times New Roman" w:hAnsi="Times New Roman" w:cs="Times New Roman"/>
          <w:i/>
          <w:iCs/>
          <w:sz w:val="24"/>
          <w:szCs w:val="24"/>
        </w:rPr>
        <w:t>Biology</w:t>
      </w:r>
      <w:r w:rsidRPr="008E4CB5">
        <w:rPr>
          <w:rFonts w:ascii="Times New Roman" w:hAnsi="Times New Roman" w:cs="Times New Roman"/>
          <w:sz w:val="24"/>
          <w:szCs w:val="24"/>
        </w:rPr>
        <w:t>,</w:t>
      </w:r>
      <w:r w:rsidR="00FB0377">
        <w:rPr>
          <w:rFonts w:ascii="Times New Roman" w:hAnsi="Times New Roman" w:cs="Times New Roman"/>
          <w:sz w:val="24"/>
          <w:szCs w:val="24"/>
        </w:rPr>
        <w:t> </w:t>
      </w:r>
      <w:r w:rsidRPr="008E4CB5">
        <w:rPr>
          <w:rFonts w:ascii="Times New Roman" w:hAnsi="Times New Roman" w:cs="Times New Roman"/>
          <w:i/>
          <w:iCs/>
          <w:sz w:val="24"/>
          <w:szCs w:val="24"/>
        </w:rPr>
        <w:t>25</w:t>
      </w:r>
      <w:r w:rsidRPr="008E4CB5">
        <w:rPr>
          <w:rFonts w:ascii="Times New Roman" w:hAnsi="Times New Roman" w:cs="Times New Roman"/>
          <w:sz w:val="24"/>
          <w:szCs w:val="24"/>
        </w:rPr>
        <w:t>(6),</w:t>
      </w:r>
      <w:r w:rsidR="00FB0377">
        <w:rPr>
          <w:rFonts w:ascii="Times New Roman" w:hAnsi="Times New Roman" w:cs="Times New Roman"/>
          <w:sz w:val="24"/>
          <w:szCs w:val="24"/>
        </w:rPr>
        <w:t> </w:t>
      </w:r>
      <w:r w:rsidRPr="008E4CB5">
        <w:rPr>
          <w:rFonts w:ascii="Times New Roman" w:hAnsi="Times New Roman" w:cs="Times New Roman"/>
          <w:sz w:val="24"/>
          <w:szCs w:val="24"/>
        </w:rPr>
        <w:t>2912</w:t>
      </w:r>
      <w:r w:rsidR="00FB0377">
        <w:rPr>
          <w:rFonts w:ascii="Times New Roman" w:hAnsi="Times New Roman" w:cs="Times New Roman"/>
          <w:sz w:val="24"/>
          <w:szCs w:val="24"/>
        </w:rPr>
        <w:noBreakHyphen/>
      </w:r>
      <w:r w:rsidRPr="008E4CB5">
        <w:rPr>
          <w:rFonts w:ascii="Times New Roman" w:hAnsi="Times New Roman" w:cs="Times New Roman"/>
          <w:sz w:val="24"/>
          <w:szCs w:val="24"/>
        </w:rPr>
        <w:t>2917.</w:t>
      </w:r>
      <w:hyperlink r:id="rId10" w:history="1">
        <w:r w:rsidR="00FB0377" w:rsidRPr="00983289">
          <w:rPr>
            <w:rStyle w:val="Hyperlink"/>
            <w:rFonts w:ascii="Times New Roman" w:hAnsi="Times New Roman" w:cs="Times New Roman"/>
            <w:sz w:val="24"/>
            <w:szCs w:val="24"/>
          </w:rPr>
          <w:t>http://annalsofrscb.ro/index.php/journal/article/view/5988</w:t>
        </w:r>
      </w:hyperlink>
    </w:p>
    <w:p w14:paraId="2689DFB9" w14:textId="1E55AAA8"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Abiola, K. A., Medugu, N. I., Kadafa, A. A. &amp; Opaluwa, O. D. (2016). Heavy metal contamination of top soil at the vehicles workshop in Keffi Town, Nasarawa State. IOSR </w:t>
      </w:r>
      <w:r w:rsidRPr="004C76CF">
        <w:rPr>
          <w:rFonts w:ascii="Times New Roman" w:hAnsi="Times New Roman" w:cs="Times New Roman"/>
          <w:i/>
          <w:iCs/>
          <w:sz w:val="24"/>
          <w:szCs w:val="24"/>
        </w:rPr>
        <w:t>Journal of Environmental Science, Toxicology and Food Technology</w:t>
      </w:r>
      <w:r>
        <w:rPr>
          <w:rFonts w:ascii="Times New Roman" w:hAnsi="Times New Roman" w:cs="Times New Roman"/>
          <w:sz w:val="24"/>
          <w:szCs w:val="24"/>
        </w:rPr>
        <w:t>, 10(08), 84</w:t>
      </w:r>
      <w:r>
        <w:rPr>
          <w:rFonts w:ascii="Times New Roman" w:hAnsi="Times New Roman" w:cs="Times New Roman"/>
          <w:sz w:val="24"/>
          <w:szCs w:val="24"/>
        </w:rPr>
        <w:noBreakHyphen/>
        <w:t>87. </w:t>
      </w:r>
      <w:hyperlink r:id="rId11" w:history="1">
        <w:r w:rsidR="00226D27" w:rsidRPr="00983289">
          <w:rPr>
            <w:rStyle w:val="Hyperlink"/>
            <w:rFonts w:ascii="Times New Roman" w:hAnsi="Times New Roman" w:cs="Times New Roman"/>
            <w:sz w:val="24"/>
            <w:szCs w:val="24"/>
          </w:rPr>
          <w:t>https://doi.org/10.9790/2402-1008028487</w:t>
        </w:r>
      </w:hyperlink>
    </w:p>
    <w:p w14:paraId="195DFF07" w14:textId="4E4C154D" w:rsidR="00226D27" w:rsidRPr="00226D27" w:rsidRDefault="00226D27" w:rsidP="00FB0377">
      <w:pPr>
        <w:spacing w:line="240" w:lineRule="auto"/>
        <w:ind w:left="720" w:hanging="720"/>
        <w:jc w:val="both"/>
        <w:rPr>
          <w:rFonts w:ascii="Times New Roman" w:hAnsi="Times New Roman" w:cs="Times New Roman"/>
          <w:color w:val="333333"/>
          <w:sz w:val="24"/>
          <w:szCs w:val="24"/>
          <w:shd w:val="clear" w:color="auto" w:fill="FFFFFF"/>
        </w:rPr>
      </w:pPr>
      <w:r w:rsidRPr="00226D27">
        <w:rPr>
          <w:rFonts w:ascii="Times New Roman" w:hAnsi="Times New Roman" w:cs="Times New Roman"/>
          <w:sz w:val="24"/>
          <w:szCs w:val="24"/>
        </w:rPr>
        <w:t xml:space="preserve">Akwa, V. L., Binbol, N. L., Samaila, K. L., &amp; Marcus, N. D. (2007). </w:t>
      </w:r>
      <w:r>
        <w:rPr>
          <w:rFonts w:ascii="Times New Roman" w:hAnsi="Times New Roman" w:cs="Times New Roman"/>
          <w:sz w:val="24"/>
          <w:szCs w:val="24"/>
        </w:rPr>
        <w:t>Keffi.</w:t>
      </w:r>
      <w:r w:rsidRPr="00226D27">
        <w:rPr>
          <w:rFonts w:ascii="Times New Roman" w:hAnsi="Times New Roman" w:cs="Times New Roman"/>
          <w:sz w:val="24"/>
          <w:szCs w:val="24"/>
        </w:rPr>
        <w:t xml:space="preserve"> In </w:t>
      </w:r>
      <w:r w:rsidRPr="00226D27">
        <w:rPr>
          <w:rFonts w:ascii="Times New Roman" w:hAnsi="Times New Roman" w:cs="Times New Roman"/>
          <w:i/>
          <w:iCs/>
          <w:sz w:val="24"/>
          <w:szCs w:val="24"/>
        </w:rPr>
        <w:t>Geographical perspective of Nasarawa State</w:t>
      </w:r>
      <w:r w:rsidRPr="00226D27">
        <w:rPr>
          <w:rFonts w:ascii="Times New Roman" w:hAnsi="Times New Roman" w:cs="Times New Roman"/>
          <w:sz w:val="24"/>
          <w:szCs w:val="24"/>
        </w:rPr>
        <w:t xml:space="preserve"> (p. 503). Onaive Printing and Publishing Company Ltd.</w:t>
      </w:r>
    </w:p>
    <w:p w14:paraId="67C6C6F7" w14:textId="77777777"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bookmarkStart w:id="15" w:name="_Hlk210312528"/>
      <w:r w:rsidRPr="008E4CB5">
        <w:rPr>
          <w:rFonts w:ascii="Times New Roman" w:eastAsia="Times New Roman" w:hAnsi="Times New Roman" w:cs="Times New Roman"/>
          <w:sz w:val="24"/>
          <w:szCs w:val="24"/>
        </w:rPr>
        <w:t>Ariyibi</w:t>
      </w:r>
      <w:bookmarkEnd w:id="15"/>
      <w:r w:rsidRPr="008E4CB5">
        <w:rPr>
          <w:rFonts w:ascii="Times New Roman" w:eastAsia="Times New Roman" w:hAnsi="Times New Roman" w:cs="Times New Roman"/>
          <w:sz w:val="24"/>
          <w:szCs w:val="24"/>
        </w:rPr>
        <w:t xml:space="preserve">, S., Ojuawo, A., Adesiyun, O., Adebara, O., Ogunwale, K., Ojuawo, A., Ray, E., &amp; Sanusi, I. (2024). Predictive value of cord blood concentrations of selected hepatic enzymes in Hypoxic-Ischaemic encephalopathy and related mortality. </w:t>
      </w:r>
      <w:r w:rsidRPr="008E4CB5">
        <w:rPr>
          <w:rFonts w:ascii="Times New Roman" w:eastAsia="Times New Roman" w:hAnsi="Times New Roman" w:cs="Times New Roman"/>
          <w:i/>
          <w:iCs/>
          <w:sz w:val="24"/>
          <w:szCs w:val="24"/>
        </w:rPr>
        <w:t>Annals of Health Research (the Journal of the Medical and Dental Consultants Association of Nigeria OOUTH Sagamu Nigeria)</w:t>
      </w:r>
      <w:r w:rsidRPr="008E4CB5">
        <w:rPr>
          <w:rFonts w:ascii="Times New Roman" w:eastAsia="Times New Roman" w:hAnsi="Times New Roman" w:cs="Times New Roman"/>
          <w:sz w:val="24"/>
          <w:szCs w:val="24"/>
        </w:rPr>
        <w:t xml:space="preserve">, </w:t>
      </w:r>
      <w:r w:rsidRPr="008E4CB5">
        <w:rPr>
          <w:rFonts w:ascii="Times New Roman" w:eastAsia="Times New Roman" w:hAnsi="Times New Roman" w:cs="Times New Roman"/>
          <w:i/>
          <w:iCs/>
          <w:sz w:val="24"/>
          <w:szCs w:val="24"/>
        </w:rPr>
        <w:t>10</w:t>
      </w:r>
      <w:r w:rsidRPr="008E4CB5">
        <w:rPr>
          <w:rFonts w:ascii="Times New Roman" w:eastAsia="Times New Roman" w:hAnsi="Times New Roman" w:cs="Times New Roman"/>
          <w:sz w:val="24"/>
          <w:szCs w:val="24"/>
        </w:rPr>
        <w:t xml:space="preserve">(4), 323–331. </w:t>
      </w:r>
      <w:hyperlink r:id="rId12" w:history="1">
        <w:r w:rsidRPr="008E4CB5">
          <w:rPr>
            <w:rStyle w:val="Hyperlink"/>
            <w:rFonts w:ascii="Times New Roman" w:eastAsia="Times New Roman" w:hAnsi="Times New Roman" w:cs="Times New Roman"/>
            <w:sz w:val="24"/>
            <w:szCs w:val="24"/>
          </w:rPr>
          <w:t>https://doi.org/10.30442/ahr.1004-01-252</w:t>
        </w:r>
      </w:hyperlink>
    </w:p>
    <w:p w14:paraId="38D95C96" w14:textId="71365C70" w:rsidR="00FB0377" w:rsidRDefault="00FB07ED" w:rsidP="00226D27">
      <w:pPr>
        <w:spacing w:after="0" w:line="240" w:lineRule="auto"/>
        <w:ind w:left="720" w:hanging="720"/>
        <w:jc w:val="both"/>
        <w:rPr>
          <w:rFonts w:ascii="Times New Roman" w:eastAsia="Times New Roman" w:hAnsi="Times New Roman" w:cs="Times New Roman"/>
          <w:sz w:val="24"/>
          <w:szCs w:val="24"/>
        </w:rPr>
      </w:pPr>
      <w:bookmarkStart w:id="16" w:name="_Hlk210253421"/>
      <w:r w:rsidRPr="00D03029">
        <w:rPr>
          <w:rFonts w:ascii="Times New Roman" w:hAnsi="Times New Roman" w:cs="Times New Roman"/>
          <w:color w:val="1B1B1B"/>
          <w:sz w:val="24"/>
          <w:szCs w:val="24"/>
          <w:shd w:val="clear" w:color="auto" w:fill="FFFFFF"/>
        </w:rPr>
        <w:t>Aynalem</w:t>
      </w:r>
      <w:bookmarkEnd w:id="16"/>
      <w:r w:rsidRPr="00D03029">
        <w:rPr>
          <w:rFonts w:ascii="Times New Roman" w:hAnsi="Times New Roman" w:cs="Times New Roman"/>
          <w:color w:val="1B1B1B"/>
          <w:sz w:val="24"/>
          <w:szCs w:val="24"/>
          <w:shd w:val="clear" w:color="auto" w:fill="FFFFFF"/>
        </w:rPr>
        <w:t xml:space="preserve">, Y. A., Mulu, G. B., Akalu, T. Y., &amp; Shiferaw, W. S. (2020). Prevalence of neonatal hyperbilirubinaemia and its association with glucose-6-phosphate dehydrogenase deficiency and blood-type incompatibility in sub-Saharan Africa: a systematic review and </w:t>
      </w:r>
      <w:r w:rsidRPr="00D03029">
        <w:rPr>
          <w:rFonts w:ascii="Times New Roman" w:hAnsi="Times New Roman" w:cs="Times New Roman"/>
          <w:color w:val="1B1B1B"/>
          <w:sz w:val="24"/>
          <w:szCs w:val="24"/>
          <w:shd w:val="clear" w:color="auto" w:fill="FFFFFF"/>
        </w:rPr>
        <w:lastRenderedPageBreak/>
        <w:t>meta-analysis. </w:t>
      </w:r>
      <w:r w:rsidRPr="00D03029">
        <w:rPr>
          <w:rFonts w:ascii="Times New Roman" w:hAnsi="Times New Roman" w:cs="Times New Roman"/>
          <w:i/>
          <w:iCs/>
          <w:sz w:val="24"/>
          <w:szCs w:val="24"/>
        </w:rPr>
        <w:t>BMJ paediatrics open</w:t>
      </w:r>
      <w:r w:rsidRPr="00D03029">
        <w:rPr>
          <w:rFonts w:ascii="Times New Roman" w:hAnsi="Times New Roman" w:cs="Times New Roman"/>
          <w:sz w:val="24"/>
          <w:szCs w:val="24"/>
        </w:rPr>
        <w:t>, </w:t>
      </w:r>
      <w:r w:rsidRPr="00D03029">
        <w:rPr>
          <w:rFonts w:ascii="Times New Roman" w:hAnsi="Times New Roman" w:cs="Times New Roman"/>
          <w:i/>
          <w:iCs/>
          <w:sz w:val="24"/>
          <w:szCs w:val="24"/>
        </w:rPr>
        <w:t>4</w:t>
      </w:r>
      <w:r w:rsidRPr="00D03029">
        <w:rPr>
          <w:rFonts w:ascii="Times New Roman" w:hAnsi="Times New Roman" w:cs="Times New Roman"/>
          <w:sz w:val="24"/>
          <w:szCs w:val="24"/>
        </w:rPr>
        <w:t>(1), e000750. https://doi.org/10.1136/bmjpo-2020-000750</w:t>
      </w:r>
      <w:bookmarkStart w:id="17" w:name="_Hlk210253969"/>
    </w:p>
    <w:p w14:paraId="7575091E" w14:textId="77777777" w:rsidR="00FB0377" w:rsidRDefault="00FB0377" w:rsidP="00FB0377">
      <w:pPr>
        <w:spacing w:after="0" w:line="240" w:lineRule="auto"/>
        <w:ind w:left="720" w:hanging="720"/>
        <w:jc w:val="both"/>
        <w:rPr>
          <w:rFonts w:ascii="Times New Roman" w:eastAsia="Times New Roman" w:hAnsi="Times New Roman" w:cs="Times New Roman"/>
          <w:sz w:val="24"/>
          <w:szCs w:val="24"/>
        </w:rPr>
      </w:pPr>
    </w:p>
    <w:p w14:paraId="5C0D8684" w14:textId="6DFAC241"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r w:rsidRPr="00D03029">
        <w:rPr>
          <w:rFonts w:ascii="Times New Roman" w:eastAsia="Times New Roman" w:hAnsi="Times New Roman" w:cs="Times New Roman"/>
          <w:sz w:val="24"/>
          <w:szCs w:val="24"/>
        </w:rPr>
        <w:t>Bakari</w:t>
      </w:r>
      <w:bookmarkEnd w:id="17"/>
      <w:r w:rsidRPr="00D03029">
        <w:rPr>
          <w:rFonts w:ascii="Times New Roman" w:eastAsia="Times New Roman" w:hAnsi="Times New Roman" w:cs="Times New Roman"/>
          <w:sz w:val="24"/>
          <w:szCs w:val="24"/>
        </w:rPr>
        <w:t xml:space="preserve">, A., Wolski, A. V., Otoo, B., Amoah, R., Kaselitz, E., Compton, S. D., </w:t>
      </w:r>
      <w:r w:rsidR="00226D27" w:rsidRPr="00D03029">
        <w:rPr>
          <w:rFonts w:ascii="Times New Roman" w:eastAsia="Times New Roman" w:hAnsi="Times New Roman" w:cs="Times New Roman"/>
          <w:sz w:val="24"/>
          <w:szCs w:val="24"/>
        </w:rPr>
        <w:t>&amp;</w:t>
      </w:r>
      <w:r w:rsidR="00226D27">
        <w:rPr>
          <w:rFonts w:ascii="Times New Roman" w:eastAsia="Times New Roman" w:hAnsi="Times New Roman" w:cs="Times New Roman"/>
          <w:sz w:val="24"/>
          <w:szCs w:val="24"/>
        </w:rPr>
        <w:t xml:space="preserve"> </w:t>
      </w:r>
      <w:r w:rsidRPr="00D03029">
        <w:rPr>
          <w:rFonts w:ascii="Times New Roman" w:eastAsia="Times New Roman" w:hAnsi="Times New Roman" w:cs="Times New Roman"/>
          <w:sz w:val="24"/>
          <w:szCs w:val="24"/>
        </w:rPr>
        <w:t xml:space="preserve">Shaw, R.  (2025). Neonatal jaundice Treatment versus recommendations: The challenge of treatment without rapid diagnostic capability. </w:t>
      </w:r>
      <w:r w:rsidRPr="00D03029">
        <w:rPr>
          <w:rFonts w:ascii="Times New Roman" w:eastAsia="Times New Roman" w:hAnsi="Times New Roman" w:cs="Times New Roman"/>
          <w:i/>
          <w:iCs/>
          <w:sz w:val="24"/>
          <w:szCs w:val="24"/>
        </w:rPr>
        <w:t>International Journal of Environmental Research and Public Health</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22</w:t>
      </w:r>
      <w:r w:rsidRPr="00D03029">
        <w:rPr>
          <w:rFonts w:ascii="Times New Roman" w:eastAsia="Times New Roman" w:hAnsi="Times New Roman" w:cs="Times New Roman"/>
          <w:sz w:val="24"/>
          <w:szCs w:val="24"/>
        </w:rPr>
        <w:t>(7), 1032. https://doi.org/10.3390/ijerph22071032</w:t>
      </w:r>
    </w:p>
    <w:p w14:paraId="0B18E92E" w14:textId="77777777" w:rsidR="00FB07ED" w:rsidRDefault="00FB07ED" w:rsidP="00FB0377">
      <w:pPr>
        <w:spacing w:line="240" w:lineRule="auto"/>
        <w:ind w:left="720" w:hanging="720"/>
        <w:jc w:val="both"/>
      </w:pPr>
      <w:bookmarkStart w:id="18" w:name="_Hlk210209257"/>
      <w:r>
        <w:rPr>
          <w:rFonts w:ascii="Times New Roman" w:eastAsia="Times New Roman" w:hAnsi="Times New Roman" w:cs="Times New Roman"/>
          <w:sz w:val="24"/>
          <w:szCs w:val="24"/>
        </w:rPr>
        <w:t>Bante</w:t>
      </w:r>
      <w:bookmarkEnd w:id="18"/>
      <w:r>
        <w:rPr>
          <w:rFonts w:ascii="Times New Roman" w:eastAsia="Times New Roman" w:hAnsi="Times New Roman" w:cs="Times New Roman"/>
          <w:sz w:val="24"/>
          <w:szCs w:val="24"/>
        </w:rPr>
        <w:t xml:space="preserve">, A., Ahmed, M., Degefa, N., Shibiru, S., &amp; Yihune, M. (2024). Neonatal jaundice and associated factors in public hospitals of southern Ethiopia: A multi-center cross-sectional study. </w:t>
      </w:r>
      <w:r>
        <w:rPr>
          <w:rFonts w:ascii="Times New Roman" w:eastAsia="Times New Roman" w:hAnsi="Times New Roman" w:cs="Times New Roman"/>
          <w:i/>
          <w:iCs/>
          <w:sz w:val="24"/>
          <w:szCs w:val="24"/>
        </w:rPr>
        <w:t>Heliyon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(2), e24838. </w:t>
      </w:r>
      <w:hyperlink r:id="rId13" w:history="1">
        <w:r>
          <w:rPr>
            <w:rStyle w:val="Hyperlink"/>
            <w:rFonts w:ascii="Times New Roman" w:eastAsia="Times New Roman" w:hAnsi="Times New Roman" w:cs="Times New Roman"/>
            <w:sz w:val="24"/>
            <w:szCs w:val="24"/>
          </w:rPr>
          <w:t>https://doi.org/10.1016/j.heliyon.2024.e24838</w:t>
        </w:r>
      </w:hyperlink>
    </w:p>
    <w:p w14:paraId="55B63C23" w14:textId="77777777" w:rsidR="00FB07ED" w:rsidRPr="00A765EA" w:rsidRDefault="00FB07ED" w:rsidP="00FB0377">
      <w:pPr>
        <w:spacing w:line="240" w:lineRule="auto"/>
        <w:ind w:left="720" w:hanging="720"/>
        <w:jc w:val="both"/>
        <w:rPr>
          <w:rFonts w:ascii="Times New Roman" w:hAnsi="Times New Roman" w:cs="Times New Roman"/>
          <w:sz w:val="24"/>
          <w:szCs w:val="24"/>
        </w:rPr>
      </w:pPr>
      <w:r w:rsidRPr="00A765EA">
        <w:rPr>
          <w:rFonts w:ascii="Times New Roman" w:hAnsi="Times New Roman" w:cs="Times New Roman"/>
          <w:sz w:val="24"/>
          <w:szCs w:val="24"/>
        </w:rPr>
        <w:t>Barcellini, W., &amp; Fattizzo, B. (2023). Strategies to overcome the diagnostic challenges of autoimmune hemolytic anemias. Expert review of hematology, 16(7), 515–524. https://doi.org/10.1080/17474086.2023.2216930</w:t>
      </w:r>
    </w:p>
    <w:p w14:paraId="4B2DEDEB" w14:textId="77777777"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bookmarkStart w:id="19" w:name="_Hlk210312786"/>
      <w:r w:rsidRPr="008E4CB5">
        <w:rPr>
          <w:rFonts w:ascii="Times New Roman" w:hAnsi="Times New Roman" w:cs="Times New Roman"/>
          <w:color w:val="212121"/>
          <w:sz w:val="24"/>
          <w:szCs w:val="24"/>
          <w:shd w:val="clear" w:color="auto" w:fill="FFFFFF"/>
        </w:rPr>
        <w:t>Chhavi</w:t>
      </w:r>
      <w:bookmarkEnd w:id="19"/>
      <w:r w:rsidRPr="008E4CB5">
        <w:rPr>
          <w:rFonts w:ascii="Times New Roman" w:hAnsi="Times New Roman" w:cs="Times New Roman"/>
          <w:color w:val="212121"/>
          <w:sz w:val="24"/>
          <w:szCs w:val="24"/>
          <w:shd w:val="clear" w:color="auto" w:fill="FFFFFF"/>
        </w:rPr>
        <w:t>, N., Ojha, S., Awasthi, A., Shalimar, &amp; Goel, A. (2022). Serum Level of Alanine- and Aspartate-Aminotransferase Levels in Newborns in India. </w:t>
      </w:r>
      <w:r w:rsidRPr="008E4CB5">
        <w:rPr>
          <w:rFonts w:ascii="Times New Roman" w:hAnsi="Times New Roman" w:cs="Times New Roman"/>
          <w:i/>
          <w:iCs/>
          <w:color w:val="212121"/>
          <w:sz w:val="24"/>
          <w:szCs w:val="24"/>
          <w:shd w:val="clear" w:color="auto" w:fill="FFFFFF"/>
        </w:rPr>
        <w:t>Journal of clinical and experimental hepatology</w:t>
      </w:r>
      <w:r w:rsidRPr="008E4CB5">
        <w:rPr>
          <w:rFonts w:ascii="Times New Roman" w:hAnsi="Times New Roman" w:cs="Times New Roman"/>
          <w:color w:val="212121"/>
          <w:sz w:val="24"/>
          <w:szCs w:val="24"/>
          <w:shd w:val="clear" w:color="auto" w:fill="FFFFFF"/>
        </w:rPr>
        <w:t>, </w:t>
      </w:r>
      <w:r w:rsidRPr="008E4CB5">
        <w:rPr>
          <w:rFonts w:ascii="Times New Roman" w:hAnsi="Times New Roman" w:cs="Times New Roman"/>
          <w:i/>
          <w:iCs/>
          <w:color w:val="212121"/>
          <w:sz w:val="24"/>
          <w:szCs w:val="24"/>
          <w:shd w:val="clear" w:color="auto" w:fill="FFFFFF"/>
        </w:rPr>
        <w:t>12</w:t>
      </w:r>
      <w:r w:rsidRPr="008E4CB5">
        <w:rPr>
          <w:rFonts w:ascii="Times New Roman" w:hAnsi="Times New Roman" w:cs="Times New Roman"/>
          <w:color w:val="212121"/>
          <w:sz w:val="24"/>
          <w:szCs w:val="24"/>
          <w:shd w:val="clear" w:color="auto" w:fill="FFFFFF"/>
        </w:rPr>
        <w:t>(2), 306–311. https://doi.org/10.1016/j.jceh.2021.08.024</w:t>
      </w:r>
    </w:p>
    <w:p w14:paraId="3C0D3D18" w14:textId="178069EA"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Diala, U. M., Usman, F., Appiah, D., Hassan, L., Ogundele, T., Abdullahi, F.,</w:t>
      </w:r>
      <w:r w:rsidR="00226D27">
        <w:rPr>
          <w:rFonts w:ascii="Times New Roman" w:hAnsi="Times New Roman" w:cs="Times New Roman"/>
          <w:color w:val="1B1B1B"/>
          <w:sz w:val="24"/>
          <w:szCs w:val="24"/>
          <w:shd w:val="clear" w:color="auto" w:fill="FFFFFF"/>
        </w:rPr>
        <w:t xml:space="preserve"> &amp;</w:t>
      </w:r>
      <w:r>
        <w:rPr>
          <w:rFonts w:ascii="Times New Roman" w:hAnsi="Times New Roman" w:cs="Times New Roman"/>
          <w:color w:val="1B1B1B"/>
          <w:sz w:val="24"/>
          <w:szCs w:val="24"/>
          <w:shd w:val="clear" w:color="auto" w:fill="FFFFFF"/>
        </w:rPr>
        <w:t xml:space="preserve"> Satrom, K. M. (2023). Global Prevalence of Severe Neonatal Jaundice among Hospital Admissions: A Systematic Review and Meta-Analysis. </w:t>
      </w:r>
      <w:r>
        <w:rPr>
          <w:rFonts w:ascii="Times New Roman" w:hAnsi="Times New Roman" w:cs="Times New Roman"/>
          <w:i/>
          <w:iCs/>
          <w:color w:val="1B1B1B"/>
          <w:sz w:val="24"/>
          <w:szCs w:val="24"/>
          <w:shd w:val="clear" w:color="auto" w:fill="FFFFFF"/>
        </w:rPr>
        <w:t xml:space="preserve">Journal of </w:t>
      </w:r>
      <w:r w:rsidR="00226D27">
        <w:rPr>
          <w:rFonts w:ascii="Times New Roman" w:hAnsi="Times New Roman" w:cs="Times New Roman"/>
          <w:i/>
          <w:iCs/>
          <w:color w:val="1B1B1B"/>
          <w:sz w:val="24"/>
          <w:szCs w:val="24"/>
          <w:shd w:val="clear" w:color="auto" w:fill="FFFFFF"/>
        </w:rPr>
        <w:t>Clinical Medicine</w:t>
      </w:r>
      <w:r>
        <w:rPr>
          <w:rFonts w:ascii="Times New Roman" w:hAnsi="Times New Roman" w:cs="Times New Roman"/>
          <w:color w:val="1B1B1B"/>
          <w:sz w:val="24"/>
          <w:szCs w:val="24"/>
          <w:shd w:val="clear" w:color="auto" w:fill="FFFFFF"/>
        </w:rPr>
        <w:t>, </w:t>
      </w:r>
      <w:r>
        <w:rPr>
          <w:rFonts w:ascii="Times New Roman" w:hAnsi="Times New Roman" w:cs="Times New Roman"/>
          <w:i/>
          <w:iCs/>
          <w:color w:val="1B1B1B"/>
          <w:sz w:val="24"/>
          <w:szCs w:val="24"/>
          <w:shd w:val="clear" w:color="auto" w:fill="FFFFFF"/>
        </w:rPr>
        <w:t>12</w:t>
      </w:r>
      <w:r>
        <w:rPr>
          <w:rFonts w:ascii="Times New Roman" w:hAnsi="Times New Roman" w:cs="Times New Roman"/>
          <w:color w:val="1B1B1B"/>
          <w:sz w:val="24"/>
          <w:szCs w:val="24"/>
          <w:shd w:val="clear" w:color="auto" w:fill="FFFFFF"/>
        </w:rPr>
        <w:t>(11), 3738. https://doi.org/10.3390/jcm12113738</w:t>
      </w:r>
    </w:p>
    <w:p w14:paraId="62ED8AB2"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bookmarkStart w:id="20" w:name="_Hlk210207702"/>
      <w:bookmarkStart w:id="21" w:name="_Hlk210208386"/>
      <w:r w:rsidRPr="00D03029">
        <w:rPr>
          <w:rFonts w:ascii="Times New Roman" w:eastAsia="Times New Roman" w:hAnsi="Times New Roman" w:cs="Times New Roman"/>
          <w:sz w:val="24"/>
          <w:szCs w:val="24"/>
        </w:rPr>
        <w:t>Etukudoh</w:t>
      </w:r>
      <w:bookmarkEnd w:id="20"/>
      <w:r w:rsidRPr="00D03029">
        <w:rPr>
          <w:rFonts w:ascii="Times New Roman" w:eastAsia="Times New Roman" w:hAnsi="Times New Roman" w:cs="Times New Roman"/>
          <w:sz w:val="24"/>
          <w:szCs w:val="24"/>
        </w:rPr>
        <w:t>,</w:t>
      </w:r>
      <w:bookmarkEnd w:id="21"/>
      <w:r w:rsidRPr="00D03029">
        <w:rPr>
          <w:rFonts w:ascii="Times New Roman" w:eastAsia="Times New Roman" w:hAnsi="Times New Roman" w:cs="Times New Roman"/>
          <w:sz w:val="24"/>
          <w:szCs w:val="24"/>
        </w:rPr>
        <w:t xml:space="preserve"> N. S., Obeta, U. M., Garang, M. J., Ejinaka, O. R., Ibanga, I., &amp; Kuruyang, T. A. (2023). Prevalence and management of neonatal jaundice in a hospital, Jos-Nigeria. </w:t>
      </w:r>
      <w:r w:rsidRPr="00D03029">
        <w:rPr>
          <w:rFonts w:ascii="Times New Roman" w:eastAsia="Times New Roman" w:hAnsi="Times New Roman" w:cs="Times New Roman"/>
          <w:i/>
          <w:iCs/>
          <w:sz w:val="24"/>
          <w:szCs w:val="24"/>
        </w:rPr>
        <w:t>Journal of Public Health and Diseases</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6</w:t>
      </w:r>
      <w:r w:rsidRPr="00D03029">
        <w:rPr>
          <w:rFonts w:ascii="Times New Roman" w:eastAsia="Times New Roman" w:hAnsi="Times New Roman" w:cs="Times New Roman"/>
          <w:sz w:val="24"/>
          <w:szCs w:val="24"/>
        </w:rPr>
        <w:t xml:space="preserve">(1), 10–14. </w:t>
      </w:r>
      <w:hyperlink r:id="rId14" w:history="1">
        <w:r w:rsidRPr="00D03029">
          <w:rPr>
            <w:rStyle w:val="Hyperlink"/>
            <w:rFonts w:ascii="Times New Roman" w:eastAsia="Times New Roman" w:hAnsi="Times New Roman" w:cs="Times New Roman"/>
            <w:sz w:val="24"/>
            <w:szCs w:val="24"/>
          </w:rPr>
          <w:t>https://doi.org/10.31248/jphd2023.125</w:t>
        </w:r>
      </w:hyperlink>
      <w:r w:rsidRPr="00D03029">
        <w:rPr>
          <w:rFonts w:ascii="Times New Roman" w:eastAsia="Times New Roman" w:hAnsi="Times New Roman" w:cs="Times New Roman"/>
          <w:sz w:val="24"/>
          <w:szCs w:val="24"/>
        </w:rPr>
        <w:t xml:space="preserve"> </w:t>
      </w:r>
    </w:p>
    <w:p w14:paraId="56C47451" w14:textId="77777777" w:rsidR="00FB0377" w:rsidRDefault="00FB0377" w:rsidP="00FB0377">
      <w:pPr>
        <w:spacing w:line="240" w:lineRule="auto"/>
        <w:ind w:left="720" w:hanging="720"/>
        <w:jc w:val="both"/>
        <w:rPr>
          <w:rFonts w:ascii="Times New Roman" w:hAnsi="Times New Roman" w:cs="Times New Roman"/>
          <w:color w:val="212121"/>
          <w:sz w:val="24"/>
          <w:szCs w:val="24"/>
          <w:shd w:val="clear" w:color="auto" w:fill="FFFFFF"/>
        </w:rPr>
      </w:pPr>
      <w:bookmarkStart w:id="22" w:name="_Hlk210250060"/>
    </w:p>
    <w:p w14:paraId="4DEECBB8" w14:textId="519C8147" w:rsidR="00FB07ED" w:rsidRDefault="00FB07ED" w:rsidP="00FB0377">
      <w:pPr>
        <w:spacing w:line="240" w:lineRule="auto"/>
        <w:ind w:left="720" w:hanging="720"/>
        <w:jc w:val="both"/>
      </w:pPr>
      <w:r>
        <w:rPr>
          <w:rFonts w:ascii="Times New Roman" w:hAnsi="Times New Roman" w:cs="Times New Roman"/>
          <w:color w:val="212121"/>
          <w:sz w:val="24"/>
          <w:szCs w:val="24"/>
          <w:shd w:val="clear" w:color="auto" w:fill="FFFFFF"/>
        </w:rPr>
        <w:t>Fawaz</w:t>
      </w:r>
      <w:bookmarkEnd w:id="22"/>
      <w:r>
        <w:rPr>
          <w:rFonts w:ascii="Times New Roman" w:hAnsi="Times New Roman" w:cs="Times New Roman"/>
          <w:color w:val="212121"/>
          <w:sz w:val="24"/>
          <w:szCs w:val="24"/>
          <w:shd w:val="clear" w:color="auto" w:fill="FFFFFF"/>
        </w:rPr>
        <w:t>, R., Baumann, U., Ekong, U., Fischler, B., Hadzic, N., Mack, C. L.,</w:t>
      </w:r>
      <w:r w:rsidR="00226D27">
        <w:rPr>
          <w:rFonts w:ascii="Times New Roman" w:hAnsi="Times New Roman" w:cs="Times New Roman"/>
          <w:color w:val="212121"/>
          <w:sz w:val="24"/>
          <w:szCs w:val="24"/>
          <w:shd w:val="clear" w:color="auto" w:fill="FFFFFF"/>
        </w:rPr>
        <w:t xml:space="preserve"> &amp; McLin</w:t>
      </w:r>
      <w:r>
        <w:rPr>
          <w:rFonts w:ascii="Times New Roman" w:hAnsi="Times New Roman" w:cs="Times New Roman"/>
          <w:color w:val="212121"/>
          <w:sz w:val="24"/>
          <w:szCs w:val="24"/>
          <w:shd w:val="clear" w:color="auto" w:fill="FFFFFF"/>
        </w:rPr>
        <w:t>, V. A.</w:t>
      </w:r>
      <w:r w:rsidR="00226D27">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(2017). Guideline for the Evaluation of Cholestatic Jaundice in Infants: Joint Recommendations of the North American Society for Pediatric Gastroenterology, Hepatology, and Nutrition and the European Society for Pediatric Gastroenterology, Hepatology, and Nutrition. </w:t>
      </w:r>
      <w:r w:rsidRPr="00FB0377">
        <w:rPr>
          <w:rFonts w:ascii="Times New Roman" w:hAnsi="Times New Roman" w:cs="Times New Roman"/>
          <w:i/>
          <w:iCs/>
          <w:sz w:val="24"/>
          <w:szCs w:val="24"/>
        </w:rPr>
        <w:t xml:space="preserve">Journal </w:t>
      </w:r>
      <w:r w:rsidR="00FB0377">
        <w:rPr>
          <w:rFonts w:ascii="Times New Roman" w:hAnsi="Times New Roman" w:cs="Times New Roman"/>
          <w:i/>
          <w:iCs/>
          <w:sz w:val="24"/>
          <w:szCs w:val="24"/>
        </w:rPr>
        <w:t>o</w:t>
      </w:r>
      <w:r w:rsidR="00FB0377" w:rsidRPr="00FB0377">
        <w:rPr>
          <w:rFonts w:ascii="Times New Roman" w:hAnsi="Times New Roman" w:cs="Times New Roman"/>
          <w:i/>
          <w:iCs/>
          <w:sz w:val="24"/>
          <w:szCs w:val="24"/>
        </w:rPr>
        <w:t>f</w:t>
      </w:r>
      <w:r w:rsidR="00226D27">
        <w:rPr>
          <w:rFonts w:ascii="Times New Roman" w:hAnsi="Times New Roman" w:cs="Times New Roman"/>
          <w:i/>
          <w:iCs/>
          <w:sz w:val="24"/>
          <w:szCs w:val="24"/>
        </w:rPr>
        <w:t> </w:t>
      </w:r>
      <w:r w:rsidR="00FB0377" w:rsidRPr="00FB0377">
        <w:rPr>
          <w:rFonts w:ascii="Times New Roman" w:hAnsi="Times New Roman" w:cs="Times New Roman"/>
          <w:i/>
          <w:iCs/>
          <w:sz w:val="24"/>
          <w:szCs w:val="24"/>
        </w:rPr>
        <w:t>Pediatric</w:t>
      </w:r>
      <w:r w:rsidR="00FB0377">
        <w:rPr>
          <w:rFonts w:ascii="Times New Roman" w:hAnsi="Times New Roman" w:cs="Times New Roman"/>
          <w:i/>
          <w:iCs/>
          <w:sz w:val="24"/>
          <w:szCs w:val="24"/>
        </w:rPr>
        <w:t> </w:t>
      </w:r>
      <w:r w:rsidR="00FB0377" w:rsidRPr="00FB0377">
        <w:rPr>
          <w:rFonts w:ascii="Times New Roman" w:hAnsi="Times New Roman" w:cs="Times New Roman"/>
          <w:i/>
          <w:iCs/>
          <w:sz w:val="24"/>
          <w:szCs w:val="24"/>
        </w:rPr>
        <w:t>Gastroenterology</w:t>
      </w:r>
      <w:r w:rsidR="00FB0377">
        <w:rPr>
          <w:rFonts w:ascii="Times New Roman" w:hAnsi="Times New Roman" w:cs="Times New Roman"/>
          <w:i/>
          <w:iCs/>
          <w:sz w:val="24"/>
          <w:szCs w:val="24"/>
        </w:rPr>
        <w:t> a</w:t>
      </w:r>
      <w:r w:rsidR="00FB0377" w:rsidRPr="00FB0377">
        <w:rPr>
          <w:rFonts w:ascii="Times New Roman" w:hAnsi="Times New Roman" w:cs="Times New Roman"/>
          <w:i/>
          <w:iCs/>
          <w:sz w:val="24"/>
          <w:szCs w:val="24"/>
        </w:rPr>
        <w:t>nd</w:t>
      </w:r>
      <w:r w:rsidR="00FB0377">
        <w:rPr>
          <w:rFonts w:ascii="Times New Roman" w:hAnsi="Times New Roman" w:cs="Times New Roman"/>
          <w:i/>
          <w:iCs/>
          <w:sz w:val="24"/>
          <w:szCs w:val="24"/>
        </w:rPr>
        <w:t> </w:t>
      </w:r>
      <w:r w:rsidR="00FB0377" w:rsidRPr="00FB0377">
        <w:rPr>
          <w:rFonts w:ascii="Times New Roman" w:hAnsi="Times New Roman" w:cs="Times New Roman"/>
          <w:i/>
          <w:iCs/>
          <w:sz w:val="24"/>
          <w:szCs w:val="24"/>
        </w:rPr>
        <w:t>Nutrition</w:t>
      </w:r>
      <w:r w:rsidR="00FB0377" w:rsidRPr="00FB0377">
        <w:rPr>
          <w:rFonts w:ascii="Times New Roman" w:hAnsi="Times New Roman" w:cs="Times New Roman"/>
          <w:sz w:val="24"/>
          <w:szCs w:val="24"/>
        </w:rPr>
        <w:t>,</w:t>
      </w:r>
      <w:r>
        <w:t> </w:t>
      </w:r>
      <w:r>
        <w:rPr>
          <w:i/>
          <w:iCs/>
        </w:rPr>
        <w:t>64</w:t>
      </w:r>
      <w:r>
        <w:t>(1),</w:t>
      </w:r>
      <w:r w:rsidR="00FB0377">
        <w:t> </w:t>
      </w:r>
      <w:r>
        <w:t>154</w:t>
      </w:r>
      <w:r w:rsidR="00FB0377">
        <w:noBreakHyphen/>
      </w:r>
      <w:r>
        <w:t>168.https://doi.org/10.1097/MPG.0000000000001334</w:t>
      </w:r>
    </w:p>
    <w:p w14:paraId="5D0A31C0" w14:textId="77777777" w:rsidR="00FB07ED" w:rsidRPr="00D03029" w:rsidRDefault="00FB07ED" w:rsidP="00FB0377">
      <w:pPr>
        <w:spacing w:line="240" w:lineRule="auto"/>
        <w:ind w:left="720" w:hanging="720"/>
        <w:jc w:val="both"/>
        <w:rPr>
          <w:rStyle w:val="Hyperlink"/>
          <w:rFonts w:ascii="Times New Roman" w:hAnsi="Times New Roman" w:cs="Times New Roman"/>
          <w:sz w:val="24"/>
          <w:szCs w:val="24"/>
        </w:rPr>
      </w:pPr>
      <w:r w:rsidRPr="00D03029">
        <w:rPr>
          <w:rFonts w:ascii="Times New Roman" w:hAnsi="Times New Roman" w:cs="Times New Roman"/>
          <w:sz w:val="24"/>
          <w:szCs w:val="24"/>
        </w:rPr>
        <w:t>Hansen, T. W. R., Wong, R. J., &amp; Stevenson, D. K. (2020). Molecular Physiology and Pathophysiology of Bilirubin Handling by the Blood, Liver, Intestine, and Brain in the Newborn. Physiological Reviews, 100(3), 1291</w:t>
      </w:r>
      <w:r w:rsidRPr="00D03029">
        <w:rPr>
          <w:rFonts w:ascii="Times New Roman" w:hAnsi="Times New Roman" w:cs="Times New Roman"/>
          <w:sz w:val="24"/>
          <w:szCs w:val="24"/>
        </w:rPr>
        <w:noBreakHyphen/>
        <w:t>1346. </w:t>
      </w:r>
      <w:hyperlink r:id="rId15" w:history="1">
        <w:r w:rsidRPr="00D03029">
          <w:rPr>
            <w:rStyle w:val="Hyperlink"/>
            <w:rFonts w:ascii="Times New Roman" w:hAnsi="Times New Roman" w:cs="Times New Roman"/>
            <w:sz w:val="24"/>
            <w:szCs w:val="24"/>
          </w:rPr>
          <w:t>https://doi.org/10.1152/physrev.00004.2019</w:t>
        </w:r>
      </w:hyperlink>
    </w:p>
    <w:p w14:paraId="6B237FC5" w14:textId="66A36A4C" w:rsidR="00FB07ED" w:rsidRPr="00A765EA" w:rsidRDefault="00FB07ED" w:rsidP="00FB0377">
      <w:pPr>
        <w:spacing w:line="240" w:lineRule="auto"/>
        <w:ind w:left="720" w:hanging="720"/>
        <w:jc w:val="both"/>
        <w:rPr>
          <w:rFonts w:ascii="Times New Roman" w:hAnsi="Times New Roman" w:cs="Times New Roman"/>
          <w:sz w:val="24"/>
          <w:szCs w:val="24"/>
        </w:rPr>
      </w:pPr>
      <w:r w:rsidRPr="00A765EA">
        <w:rPr>
          <w:rFonts w:ascii="Times New Roman" w:hAnsi="Times New Roman" w:cs="Times New Roman"/>
          <w:sz w:val="24"/>
          <w:szCs w:val="24"/>
        </w:rPr>
        <w:t xml:space="preserve">Hegyi, T., &amp; Kleinfeld, A. (2022). Neonatal hyperbilirubinemia and the role of unbound bilirubin. The Journal </w:t>
      </w:r>
      <w:r>
        <w:rPr>
          <w:rFonts w:ascii="Times New Roman" w:hAnsi="Times New Roman" w:cs="Times New Roman"/>
          <w:sz w:val="24"/>
          <w:szCs w:val="24"/>
        </w:rPr>
        <w:t>o</w:t>
      </w:r>
      <w:r w:rsidRPr="00A765EA">
        <w:rPr>
          <w:rFonts w:ascii="Times New Roman" w:hAnsi="Times New Roman" w:cs="Times New Roman"/>
          <w:sz w:val="24"/>
          <w:szCs w:val="24"/>
        </w:rPr>
        <w:t xml:space="preserve">f Maternal-Fetal &amp; Neonatal Medicine: </w:t>
      </w:r>
      <w:r>
        <w:rPr>
          <w:rFonts w:ascii="Times New Roman" w:hAnsi="Times New Roman" w:cs="Times New Roman"/>
          <w:sz w:val="24"/>
          <w:szCs w:val="24"/>
        </w:rPr>
        <w:t>T</w:t>
      </w:r>
      <w:r w:rsidRPr="00A765EA">
        <w:rPr>
          <w:rFonts w:ascii="Times New Roman" w:hAnsi="Times New Roman" w:cs="Times New Roman"/>
          <w:sz w:val="24"/>
          <w:szCs w:val="24"/>
        </w:rPr>
        <w:t xml:space="preserve">he official journal of the European Association of Perinatal Medicine, the Federation of Asia and Oceania Perinatal Societies, the International Society of Perinatal Obstetricians, 35(25), 9201–9207. </w:t>
      </w:r>
      <w:hyperlink r:id="rId16" w:history="1">
        <w:r w:rsidR="00FB0377" w:rsidRPr="00983289">
          <w:rPr>
            <w:rStyle w:val="Hyperlink"/>
            <w:rFonts w:ascii="Times New Roman" w:hAnsi="Times New Roman" w:cs="Times New Roman"/>
            <w:sz w:val="24"/>
            <w:szCs w:val="24"/>
          </w:rPr>
          <w:t>https://doi</w:t>
        </w:r>
      </w:hyperlink>
      <w:r w:rsidRPr="00A765EA">
        <w:rPr>
          <w:rFonts w:ascii="Times New Roman" w:hAnsi="Times New Roman" w:cs="Times New Roman"/>
          <w:sz w:val="24"/>
          <w:szCs w:val="24"/>
        </w:rPr>
        <w:t>.org/10.1080/14767058.2021.2021177</w:t>
      </w:r>
    </w:p>
    <w:p w14:paraId="4BE98D6B" w14:textId="5D6E3194" w:rsidR="00FB07ED" w:rsidRPr="008E4CB5" w:rsidRDefault="00FB07ED" w:rsidP="00FB0377">
      <w:pPr>
        <w:spacing w:after="0" w:line="240" w:lineRule="auto"/>
        <w:ind w:left="720" w:hanging="720"/>
        <w:jc w:val="both"/>
        <w:rPr>
          <w:rFonts w:ascii="Times New Roman" w:eastAsia="Times New Roman" w:hAnsi="Times New Roman" w:cs="Times New Roman"/>
          <w:sz w:val="24"/>
          <w:szCs w:val="24"/>
        </w:rPr>
      </w:pPr>
      <w:r w:rsidRPr="008E4CB5">
        <w:rPr>
          <w:rFonts w:ascii="Times New Roman" w:eastAsia="Times New Roman" w:hAnsi="Times New Roman" w:cs="Times New Roman"/>
          <w:sz w:val="24"/>
          <w:szCs w:val="24"/>
        </w:rPr>
        <w:t xml:space="preserve">Kamal, A. N., &amp; Hassan, A. F. (2021). Comparative Study of Liver Function and Rh Blood Group between both Physiological and Pathological Neonatal Jaundice. </w:t>
      </w:r>
      <w:r w:rsidRPr="008E4CB5">
        <w:rPr>
          <w:rFonts w:ascii="Times New Roman" w:eastAsia="Times New Roman" w:hAnsi="Times New Roman" w:cs="Times New Roman"/>
          <w:i/>
          <w:iCs/>
          <w:sz w:val="24"/>
          <w:szCs w:val="24"/>
        </w:rPr>
        <w:t xml:space="preserve">Iraqi Journal of </w:t>
      </w:r>
      <w:r w:rsidRPr="008E4CB5">
        <w:rPr>
          <w:rFonts w:ascii="Times New Roman" w:eastAsia="Times New Roman" w:hAnsi="Times New Roman" w:cs="Times New Roman"/>
          <w:i/>
          <w:iCs/>
          <w:sz w:val="24"/>
          <w:szCs w:val="24"/>
        </w:rPr>
        <w:lastRenderedPageBreak/>
        <w:t xml:space="preserve">Pharmaceutical Sciences (P-ISSN 1683 </w:t>
      </w:r>
      <w:r w:rsidR="00FB0377">
        <w:rPr>
          <w:rFonts w:ascii="Times New Roman" w:eastAsia="Times New Roman" w:hAnsi="Times New Roman" w:cs="Times New Roman"/>
          <w:i/>
          <w:iCs/>
          <w:sz w:val="24"/>
          <w:szCs w:val="24"/>
        </w:rPr>
        <w:t>–</w:t>
      </w:r>
      <w:r w:rsidRPr="008E4CB5">
        <w:rPr>
          <w:rFonts w:ascii="Times New Roman" w:eastAsia="Times New Roman" w:hAnsi="Times New Roman" w:cs="Times New Roman"/>
          <w:i/>
          <w:iCs/>
          <w:sz w:val="24"/>
          <w:szCs w:val="24"/>
        </w:rPr>
        <w:t xml:space="preserve"> 3597 E-ISSN 2521 </w:t>
      </w:r>
      <w:r w:rsidR="00FB0377">
        <w:rPr>
          <w:rFonts w:ascii="Times New Roman" w:eastAsia="Times New Roman" w:hAnsi="Times New Roman" w:cs="Times New Roman"/>
          <w:i/>
          <w:iCs/>
          <w:sz w:val="24"/>
          <w:szCs w:val="24"/>
        </w:rPr>
        <w:t>–</w:t>
      </w:r>
      <w:r w:rsidRPr="008E4CB5">
        <w:rPr>
          <w:rFonts w:ascii="Times New Roman" w:eastAsia="Times New Roman" w:hAnsi="Times New Roman" w:cs="Times New Roman"/>
          <w:i/>
          <w:iCs/>
          <w:sz w:val="24"/>
          <w:szCs w:val="24"/>
        </w:rPr>
        <w:t xml:space="preserve"> 3512)</w:t>
      </w:r>
      <w:r w:rsidRPr="008E4CB5">
        <w:rPr>
          <w:rFonts w:ascii="Times New Roman" w:eastAsia="Times New Roman" w:hAnsi="Times New Roman" w:cs="Times New Roman"/>
          <w:sz w:val="24"/>
          <w:szCs w:val="24"/>
        </w:rPr>
        <w:t xml:space="preserve">, </w:t>
      </w:r>
      <w:r w:rsidRPr="008E4CB5">
        <w:rPr>
          <w:rFonts w:ascii="Times New Roman" w:eastAsia="Times New Roman" w:hAnsi="Times New Roman" w:cs="Times New Roman"/>
          <w:i/>
          <w:iCs/>
          <w:sz w:val="24"/>
          <w:szCs w:val="24"/>
        </w:rPr>
        <w:t>30</w:t>
      </w:r>
      <w:r w:rsidRPr="008E4CB5">
        <w:rPr>
          <w:rFonts w:ascii="Times New Roman" w:eastAsia="Times New Roman" w:hAnsi="Times New Roman" w:cs="Times New Roman"/>
          <w:sz w:val="24"/>
          <w:szCs w:val="24"/>
        </w:rPr>
        <w:t xml:space="preserve">(1), 101–109. </w:t>
      </w:r>
      <w:hyperlink r:id="rId17" w:history="1">
        <w:r w:rsidR="00FB0377" w:rsidRPr="00983289">
          <w:rPr>
            <w:rStyle w:val="Hyperlink"/>
            <w:rFonts w:ascii="Times New Roman" w:eastAsia="Times New Roman" w:hAnsi="Times New Roman" w:cs="Times New Roman"/>
            <w:sz w:val="24"/>
            <w:szCs w:val="24"/>
          </w:rPr>
          <w:t>https://doi</w:t>
        </w:r>
      </w:hyperlink>
      <w:r w:rsidRPr="008E4CB5">
        <w:rPr>
          <w:rFonts w:ascii="Times New Roman" w:eastAsia="Times New Roman" w:hAnsi="Times New Roman" w:cs="Times New Roman"/>
          <w:sz w:val="24"/>
          <w:szCs w:val="24"/>
        </w:rPr>
        <w:t>.org/10.31351/vol30iss1pp101-109</w:t>
      </w:r>
    </w:p>
    <w:p w14:paraId="4941AEC6" w14:textId="77777777" w:rsidR="00FB0377" w:rsidRDefault="00FB0377" w:rsidP="00FB0377">
      <w:pPr>
        <w:spacing w:line="240" w:lineRule="auto"/>
        <w:jc w:val="both"/>
        <w:rPr>
          <w:rFonts w:ascii="Times New Roman" w:hAnsi="Times New Roman" w:cs="Times New Roman"/>
          <w:color w:val="212121"/>
          <w:sz w:val="24"/>
          <w:szCs w:val="24"/>
          <w:shd w:val="clear" w:color="auto" w:fill="FFFFFF"/>
        </w:rPr>
      </w:pPr>
    </w:p>
    <w:p w14:paraId="59E32E97" w14:textId="60FD9496" w:rsidR="00FB07ED" w:rsidRPr="00F827FE" w:rsidRDefault="00FB07ED" w:rsidP="00FB0377">
      <w:pPr>
        <w:spacing w:line="240" w:lineRule="auto"/>
        <w:ind w:left="720" w:hanging="720"/>
        <w:jc w:val="both"/>
        <w:rPr>
          <w:rFonts w:ascii="Times New Roman" w:hAnsi="Times New Roman" w:cs="Times New Roman"/>
          <w:sz w:val="24"/>
          <w:szCs w:val="24"/>
        </w:rPr>
      </w:pPr>
      <w:r w:rsidRPr="00F827FE">
        <w:rPr>
          <w:rFonts w:ascii="Times New Roman" w:hAnsi="Times New Roman" w:cs="Times New Roman"/>
          <w:color w:val="212121"/>
          <w:sz w:val="24"/>
          <w:szCs w:val="24"/>
          <w:shd w:val="clear" w:color="auto" w:fill="FFFFFF"/>
        </w:rPr>
        <w:t xml:space="preserve">Kapur, R., Della Valle, L., Sonneveld, M., Hipgrave Ederveen, A., </w:t>
      </w:r>
      <w:r w:rsidR="00EA0AB8" w:rsidRPr="00F827FE">
        <w:rPr>
          <w:rFonts w:ascii="Times New Roman" w:hAnsi="Times New Roman" w:cs="Times New Roman"/>
          <w:color w:val="212121"/>
          <w:sz w:val="24"/>
          <w:szCs w:val="24"/>
          <w:shd w:val="clear" w:color="auto" w:fill="FFFFFF"/>
        </w:rPr>
        <w:t>&amp;</w:t>
      </w:r>
      <w:r w:rsidR="00EA0AB8">
        <w:rPr>
          <w:rFonts w:ascii="Times New Roman" w:hAnsi="Times New Roman" w:cs="Times New Roman"/>
          <w:color w:val="212121"/>
          <w:sz w:val="24"/>
          <w:szCs w:val="24"/>
          <w:shd w:val="clear" w:color="auto" w:fill="FFFFFF"/>
        </w:rPr>
        <w:t xml:space="preserve"> </w:t>
      </w:r>
      <w:r w:rsidRPr="00F827FE">
        <w:rPr>
          <w:rFonts w:ascii="Times New Roman" w:hAnsi="Times New Roman" w:cs="Times New Roman"/>
          <w:color w:val="212121"/>
          <w:sz w:val="24"/>
          <w:szCs w:val="24"/>
          <w:shd w:val="clear" w:color="auto" w:fill="FFFFFF"/>
        </w:rPr>
        <w:t>Visser, R</w:t>
      </w:r>
      <w:r w:rsidR="00EA0AB8">
        <w:rPr>
          <w:rFonts w:ascii="Times New Roman" w:hAnsi="Times New Roman" w:cs="Times New Roman"/>
          <w:color w:val="212121"/>
          <w:sz w:val="24"/>
          <w:szCs w:val="24"/>
          <w:shd w:val="clear" w:color="auto" w:fill="FFFFFF"/>
        </w:rPr>
        <w:t xml:space="preserve">. </w:t>
      </w:r>
      <w:r w:rsidRPr="00F827FE">
        <w:rPr>
          <w:rFonts w:ascii="Times New Roman" w:hAnsi="Times New Roman" w:cs="Times New Roman"/>
          <w:color w:val="212121"/>
          <w:sz w:val="24"/>
          <w:szCs w:val="24"/>
          <w:shd w:val="clear" w:color="auto" w:fill="FFFFFF"/>
        </w:rPr>
        <w:t>(2014). Low anti-RhD IgG-Fc-fucosylation in pregnancy: a new variable predicting severity in haemolytic disease of the fetus and newborn. </w:t>
      </w:r>
      <w:r w:rsidRPr="00F827FE">
        <w:rPr>
          <w:rFonts w:ascii="Times New Roman" w:hAnsi="Times New Roman" w:cs="Times New Roman"/>
          <w:i/>
          <w:iCs/>
          <w:color w:val="212121"/>
          <w:sz w:val="24"/>
          <w:szCs w:val="24"/>
          <w:shd w:val="clear" w:color="auto" w:fill="FFFFFF"/>
        </w:rPr>
        <w:t>British journal of haematology</w:t>
      </w:r>
      <w:r w:rsidRPr="00F827FE">
        <w:rPr>
          <w:rFonts w:ascii="Times New Roman" w:hAnsi="Times New Roman" w:cs="Times New Roman"/>
          <w:color w:val="212121"/>
          <w:sz w:val="24"/>
          <w:szCs w:val="24"/>
          <w:shd w:val="clear" w:color="auto" w:fill="FFFFFF"/>
        </w:rPr>
        <w:t>, </w:t>
      </w:r>
      <w:r w:rsidRPr="00F827FE">
        <w:rPr>
          <w:rFonts w:ascii="Times New Roman" w:hAnsi="Times New Roman" w:cs="Times New Roman"/>
          <w:i/>
          <w:iCs/>
          <w:color w:val="212121"/>
          <w:sz w:val="24"/>
          <w:szCs w:val="24"/>
          <w:shd w:val="clear" w:color="auto" w:fill="FFFFFF"/>
        </w:rPr>
        <w:t>166</w:t>
      </w:r>
      <w:r w:rsidRPr="00F827FE">
        <w:rPr>
          <w:rFonts w:ascii="Times New Roman" w:hAnsi="Times New Roman" w:cs="Times New Roman"/>
          <w:color w:val="212121"/>
          <w:sz w:val="24"/>
          <w:szCs w:val="24"/>
          <w:shd w:val="clear" w:color="auto" w:fill="FFFFFF"/>
        </w:rPr>
        <w:t>(6), 936–945. https://doi.org/10.1111/bjh.12965</w:t>
      </w:r>
    </w:p>
    <w:p w14:paraId="7B7F4632"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Karimzadeh, P., Fallahi, M., Kazemian, M., Taslimi Taleghani, N., Nouripour, S., &amp; Radfar, M. (2020). Bilirubin Induced Encephalopathy. </w:t>
      </w:r>
      <w:r>
        <w:rPr>
          <w:rFonts w:ascii="Times New Roman" w:hAnsi="Times New Roman" w:cs="Times New Roman"/>
          <w:i/>
          <w:iCs/>
          <w:color w:val="212121"/>
          <w:sz w:val="24"/>
          <w:szCs w:val="24"/>
          <w:shd w:val="clear" w:color="auto" w:fill="FFFFFF"/>
        </w:rPr>
        <w:t>Iranian journal of child neurology</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14</w:t>
      </w:r>
      <w:r>
        <w:rPr>
          <w:rFonts w:ascii="Times New Roman" w:hAnsi="Times New Roman" w:cs="Times New Roman"/>
          <w:color w:val="212121"/>
          <w:sz w:val="24"/>
          <w:szCs w:val="24"/>
          <w:shd w:val="clear" w:color="auto" w:fill="FFFFFF"/>
        </w:rPr>
        <w:t>(1), 7–19.</w:t>
      </w:r>
    </w:p>
    <w:p w14:paraId="5CB4E938" w14:textId="77777777" w:rsidR="00FB07ED" w:rsidRPr="004E68F9" w:rsidRDefault="00FB07ED" w:rsidP="00FB0377">
      <w:pPr>
        <w:spacing w:line="240" w:lineRule="auto"/>
        <w:ind w:left="720" w:hanging="720"/>
        <w:jc w:val="both"/>
        <w:rPr>
          <w:rFonts w:ascii="Times New Roman" w:hAnsi="Times New Roman" w:cs="Times New Roman"/>
          <w:sz w:val="24"/>
          <w:szCs w:val="24"/>
        </w:rPr>
      </w:pPr>
      <w:bookmarkStart w:id="23" w:name="_Hlk210313913"/>
      <w:r w:rsidRPr="004E68F9">
        <w:rPr>
          <w:rFonts w:ascii="Times New Roman" w:hAnsi="Times New Roman" w:cs="Times New Roman"/>
          <w:sz w:val="24"/>
          <w:szCs w:val="24"/>
        </w:rPr>
        <w:t>Kariya</w:t>
      </w:r>
      <w:bookmarkEnd w:id="23"/>
      <w:r w:rsidRPr="004E68F9">
        <w:rPr>
          <w:rFonts w:ascii="Times New Roman" w:hAnsi="Times New Roman" w:cs="Times New Roman"/>
          <w:sz w:val="24"/>
          <w:szCs w:val="24"/>
        </w:rPr>
        <w:t>, V., Jain, M., &amp; Jategaonkar, S. (2020). Study of hepatic enzymes in term neonates with perinatal asphyxia. Journal of Clinical Neonatology, 9(2), 125–131. https://doi.org/10.4103/jcn.JCN_116_19</w:t>
      </w:r>
    </w:p>
    <w:p w14:paraId="2363E954" w14:textId="77777777" w:rsidR="00FB07ED" w:rsidRDefault="00FB07ED" w:rsidP="00FB0377">
      <w:pPr>
        <w:spacing w:line="240" w:lineRule="auto"/>
        <w:ind w:left="720" w:hanging="720"/>
        <w:jc w:val="both"/>
        <w:rPr>
          <w:rFonts w:ascii="Times New Roman" w:hAnsi="Times New Roman" w:cs="Times New Roman"/>
          <w:sz w:val="24"/>
          <w:szCs w:val="24"/>
        </w:rPr>
      </w:pPr>
      <w:bookmarkStart w:id="24" w:name="_Hlk210250374"/>
      <w:r>
        <w:rPr>
          <w:rFonts w:ascii="Times New Roman" w:hAnsi="Times New Roman" w:cs="Times New Roman"/>
          <w:color w:val="1B1B1B"/>
          <w:sz w:val="24"/>
          <w:szCs w:val="24"/>
          <w:shd w:val="clear" w:color="auto" w:fill="FFFFFF"/>
        </w:rPr>
        <w:t>Karpen</w:t>
      </w:r>
      <w:bookmarkEnd w:id="24"/>
      <w:r>
        <w:rPr>
          <w:rFonts w:ascii="Times New Roman" w:hAnsi="Times New Roman" w:cs="Times New Roman"/>
          <w:color w:val="1B1B1B"/>
          <w:sz w:val="24"/>
          <w:szCs w:val="24"/>
          <w:shd w:val="clear" w:color="auto" w:fill="FFFFFF"/>
        </w:rPr>
        <w:t xml:space="preserve"> S. J. (2020). Pediatric Cholestasis: Epidemiology, Genetics, Diagnosis, and Current Management. </w:t>
      </w:r>
      <w:r>
        <w:rPr>
          <w:i/>
          <w:iCs/>
        </w:rPr>
        <w:t>Clinical liver disease</w:t>
      </w:r>
      <w:r>
        <w:t>, </w:t>
      </w:r>
      <w:r>
        <w:rPr>
          <w:i/>
          <w:iCs/>
        </w:rPr>
        <w:t>15</w:t>
      </w:r>
      <w:r>
        <w:t>(3), 115–119. https://doi.org/10.1002/cld.895</w:t>
      </w:r>
    </w:p>
    <w:p w14:paraId="4AFB0924" w14:textId="77777777" w:rsidR="00FB07ED" w:rsidRDefault="00FB07ED" w:rsidP="00FB0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Krejcie, R. V., &amp; Morgan, D. W. (1970). Determining sample size for research activities. </w:t>
      </w:r>
      <w:r>
        <w:rPr>
          <w:rStyle w:val="Emphasis"/>
          <w:rFonts w:ascii="Times New Roman" w:eastAsia="Times New Roman" w:hAnsi="Times New Roman" w:cs="Times New Roman"/>
          <w:sz w:val="24"/>
          <w:szCs w:val="24"/>
        </w:rPr>
        <w:t>Educational and Psychological Measurement, 30</w:t>
      </w:r>
      <w:r>
        <w:rPr>
          <w:rFonts w:ascii="Times New Roman" w:eastAsia="Times New Roman" w:hAnsi="Times New Roman" w:cs="Times New Roman"/>
          <w:sz w:val="24"/>
          <w:szCs w:val="24"/>
        </w:rPr>
        <w:t>(3), 607–610.</w:t>
      </w:r>
    </w:p>
    <w:p w14:paraId="1B9A8AD0" w14:textId="77777777" w:rsidR="00FB07ED" w:rsidRDefault="00FB07ED" w:rsidP="00FB0377">
      <w:pPr>
        <w:spacing w:line="240" w:lineRule="auto"/>
        <w:ind w:left="720" w:hanging="720"/>
        <w:jc w:val="both"/>
        <w:rPr>
          <w:rFonts w:ascii="Times New Roman" w:hAnsi="Times New Roman" w:cs="Times New Roman"/>
          <w:color w:val="1B1B1B"/>
          <w:sz w:val="24"/>
          <w:szCs w:val="24"/>
          <w:shd w:val="clear" w:color="auto" w:fill="FFFFFF"/>
        </w:rPr>
      </w:pPr>
      <w:bookmarkStart w:id="25" w:name="_Hlk210317514"/>
      <w:r w:rsidRPr="00C0094F">
        <w:rPr>
          <w:rFonts w:ascii="Times New Roman" w:hAnsi="Times New Roman" w:cs="Times New Roman"/>
          <w:color w:val="1B1B1B"/>
          <w:sz w:val="24"/>
          <w:szCs w:val="24"/>
          <w:shd w:val="clear" w:color="auto" w:fill="FFFFFF"/>
        </w:rPr>
        <w:t>Liu</w:t>
      </w:r>
      <w:bookmarkEnd w:id="25"/>
      <w:r w:rsidRPr="00C0094F">
        <w:rPr>
          <w:rFonts w:ascii="Times New Roman" w:hAnsi="Times New Roman" w:cs="Times New Roman"/>
          <w:color w:val="1B1B1B"/>
          <w:sz w:val="24"/>
          <w:szCs w:val="24"/>
          <w:shd w:val="clear" w:color="auto" w:fill="FFFFFF"/>
        </w:rPr>
        <w:t>, X., Dong, Y., Qin, Y., Xue, C., &amp; Lyu, W. (2023). Clinical value of combined predictors of RET%, γ-GT, LDH in the ABO neonatal hemolytic disease. </w:t>
      </w:r>
      <w:r w:rsidRPr="00C0094F">
        <w:rPr>
          <w:rFonts w:ascii="Times New Roman" w:hAnsi="Times New Roman" w:cs="Times New Roman"/>
          <w:i/>
          <w:iCs/>
          <w:color w:val="1B1B1B"/>
          <w:sz w:val="24"/>
          <w:szCs w:val="24"/>
          <w:shd w:val="clear" w:color="auto" w:fill="FFFFFF"/>
        </w:rPr>
        <w:t>Frontiers in pediatrics</w:t>
      </w:r>
      <w:r w:rsidRPr="00C0094F">
        <w:rPr>
          <w:rFonts w:ascii="Times New Roman" w:hAnsi="Times New Roman" w:cs="Times New Roman"/>
          <w:color w:val="1B1B1B"/>
          <w:sz w:val="24"/>
          <w:szCs w:val="24"/>
          <w:shd w:val="clear" w:color="auto" w:fill="FFFFFF"/>
        </w:rPr>
        <w:t>, </w:t>
      </w:r>
      <w:r w:rsidRPr="00C0094F">
        <w:rPr>
          <w:rFonts w:ascii="Times New Roman" w:hAnsi="Times New Roman" w:cs="Times New Roman"/>
          <w:i/>
          <w:iCs/>
          <w:color w:val="1B1B1B"/>
          <w:sz w:val="24"/>
          <w:szCs w:val="24"/>
          <w:shd w:val="clear" w:color="auto" w:fill="FFFFFF"/>
        </w:rPr>
        <w:t>11</w:t>
      </w:r>
      <w:r w:rsidRPr="00C0094F">
        <w:rPr>
          <w:rFonts w:ascii="Times New Roman" w:hAnsi="Times New Roman" w:cs="Times New Roman"/>
          <w:color w:val="1B1B1B"/>
          <w:sz w:val="24"/>
          <w:szCs w:val="24"/>
          <w:shd w:val="clear" w:color="auto" w:fill="FFFFFF"/>
        </w:rPr>
        <w:t xml:space="preserve">, 1265739. </w:t>
      </w:r>
      <w:hyperlink r:id="rId18" w:history="1">
        <w:r w:rsidRPr="00843BA9">
          <w:rPr>
            <w:rStyle w:val="Hyperlink"/>
            <w:rFonts w:ascii="Times New Roman" w:hAnsi="Times New Roman" w:cs="Times New Roman"/>
            <w:sz w:val="24"/>
            <w:szCs w:val="24"/>
            <w:shd w:val="clear" w:color="auto" w:fill="FFFFFF"/>
          </w:rPr>
          <w:t>https://doi.org/10.3389/fped.2023.1265739</w:t>
        </w:r>
      </w:hyperlink>
    </w:p>
    <w:p w14:paraId="12CC1426" w14:textId="77777777" w:rsidR="00FB07ED" w:rsidRPr="00E467F3" w:rsidRDefault="00FB07ED" w:rsidP="00FB0377">
      <w:pPr>
        <w:spacing w:after="0" w:line="240" w:lineRule="auto"/>
        <w:ind w:left="720" w:hanging="720"/>
        <w:jc w:val="both"/>
        <w:rPr>
          <w:rFonts w:ascii="Times New Roman" w:eastAsia="Times New Roman" w:hAnsi="Times New Roman" w:cs="Times New Roman"/>
          <w:sz w:val="24"/>
          <w:szCs w:val="24"/>
        </w:rPr>
      </w:pPr>
      <w:r w:rsidRPr="00E467F3">
        <w:rPr>
          <w:rFonts w:ascii="Times New Roman" w:hAnsi="Times New Roman" w:cs="Times New Roman"/>
          <w:color w:val="212121"/>
          <w:sz w:val="24"/>
          <w:szCs w:val="24"/>
          <w:shd w:val="clear" w:color="auto" w:fill="FFFFFF"/>
        </w:rPr>
        <w:t>Liu, Y., Sun, X., Wang, Y., Xing, C., Li, L., &amp; Zhou, S. (2021). Evaluation of Associated Markers of Neonatal Pathological Jaundice Due to Bacterial Infection. </w:t>
      </w:r>
      <w:r w:rsidRPr="00E467F3">
        <w:rPr>
          <w:rFonts w:ascii="Times New Roman" w:hAnsi="Times New Roman" w:cs="Times New Roman"/>
          <w:i/>
          <w:iCs/>
          <w:color w:val="212121"/>
          <w:sz w:val="24"/>
          <w:szCs w:val="24"/>
          <w:shd w:val="clear" w:color="auto" w:fill="FFFFFF"/>
        </w:rPr>
        <w:t xml:space="preserve">Iranian </w:t>
      </w:r>
      <w:r>
        <w:rPr>
          <w:rFonts w:ascii="Times New Roman" w:hAnsi="Times New Roman" w:cs="Times New Roman"/>
          <w:i/>
          <w:iCs/>
          <w:color w:val="212121"/>
          <w:sz w:val="24"/>
          <w:szCs w:val="24"/>
          <w:shd w:val="clear" w:color="auto" w:fill="FFFFFF"/>
        </w:rPr>
        <w:t>Journal of Public Health</w:t>
      </w:r>
      <w:r w:rsidRPr="00E467F3">
        <w:rPr>
          <w:rFonts w:ascii="Times New Roman" w:hAnsi="Times New Roman" w:cs="Times New Roman"/>
          <w:color w:val="212121"/>
          <w:sz w:val="24"/>
          <w:szCs w:val="24"/>
          <w:shd w:val="clear" w:color="auto" w:fill="FFFFFF"/>
        </w:rPr>
        <w:t>, </w:t>
      </w:r>
      <w:r w:rsidRPr="00E467F3">
        <w:rPr>
          <w:rFonts w:ascii="Times New Roman" w:hAnsi="Times New Roman" w:cs="Times New Roman"/>
          <w:i/>
          <w:iCs/>
          <w:color w:val="212121"/>
          <w:sz w:val="24"/>
          <w:szCs w:val="24"/>
          <w:shd w:val="clear" w:color="auto" w:fill="FFFFFF"/>
        </w:rPr>
        <w:t>50</w:t>
      </w:r>
      <w:r w:rsidRPr="00E467F3">
        <w:rPr>
          <w:rFonts w:ascii="Times New Roman" w:hAnsi="Times New Roman" w:cs="Times New Roman"/>
          <w:color w:val="212121"/>
          <w:sz w:val="24"/>
          <w:szCs w:val="24"/>
          <w:shd w:val="clear" w:color="auto" w:fill="FFFFFF"/>
        </w:rPr>
        <w:t>(2), 333–340. https://doi.org/10.18502/ijph.v50i2.5394</w:t>
      </w:r>
    </w:p>
    <w:p w14:paraId="3A2DAD54" w14:textId="77777777" w:rsidR="00FB07ED" w:rsidRDefault="00FB07ED" w:rsidP="00FB037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Mbah, M. I., Emmanuel, H., Samari, M. S., &amp; Boshi, B. T. (2022). Incidence and risk factors to neonatal jaundice in Jalingo, Taraba State. </w:t>
      </w:r>
      <w:r>
        <w:rPr>
          <w:rFonts w:ascii="Times New Roman" w:eastAsia="Times New Roman" w:hAnsi="Times New Roman" w:cs="Times New Roman"/>
          <w:i/>
          <w:iCs/>
          <w:sz w:val="24"/>
          <w:szCs w:val="24"/>
        </w:rPr>
        <w:t>Journal of Biosciences and Medicines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(10), 152–163. </w:t>
      </w:r>
      <w:hyperlink r:id="rId19" w:history="1">
        <w:r>
          <w:rPr>
            <w:rStyle w:val="Hyperlink"/>
            <w:rFonts w:ascii="Times New Roman" w:eastAsia="Times New Roman" w:hAnsi="Times New Roman" w:cs="Times New Roman"/>
            <w:sz w:val="24"/>
            <w:szCs w:val="24"/>
          </w:rPr>
          <w:t>https://doi.org/10.4236/jbm.2022.1010012</w:t>
        </w:r>
      </w:hyperlink>
      <w:r>
        <w:rPr>
          <w:rFonts w:ascii="Times New Roman" w:eastAsia="Times New Roman" w:hAnsi="Times New Roman" w:cs="Times New Roman"/>
          <w:sz w:val="24"/>
          <w:szCs w:val="24"/>
        </w:rPr>
        <w:t xml:space="preserve"> </w:t>
      </w:r>
    </w:p>
    <w:p w14:paraId="055F39D9" w14:textId="77777777" w:rsidR="00FB07ED" w:rsidRPr="00752F58" w:rsidRDefault="00FB07ED" w:rsidP="00FB0377">
      <w:pPr>
        <w:spacing w:line="240" w:lineRule="auto"/>
        <w:ind w:left="720" w:hanging="720"/>
        <w:jc w:val="both"/>
        <w:rPr>
          <w:rFonts w:ascii="Times New Roman" w:hAnsi="Times New Roman" w:cs="Times New Roman"/>
          <w:sz w:val="24"/>
          <w:szCs w:val="24"/>
        </w:rPr>
      </w:pPr>
      <w:bookmarkStart w:id="26" w:name="_Hlk210319021"/>
      <w:r w:rsidRPr="00752F58">
        <w:rPr>
          <w:rFonts w:ascii="Times New Roman" w:hAnsi="Times New Roman" w:cs="Times New Roman"/>
          <w:color w:val="212121"/>
          <w:sz w:val="24"/>
          <w:szCs w:val="24"/>
          <w:shd w:val="clear" w:color="auto" w:fill="FFFFFF"/>
        </w:rPr>
        <w:t>Mitra, S., &amp; Rennie, J. (2017</w:t>
      </w:r>
      <w:bookmarkEnd w:id="26"/>
      <w:r w:rsidRPr="00752F58">
        <w:rPr>
          <w:rFonts w:ascii="Times New Roman" w:hAnsi="Times New Roman" w:cs="Times New Roman"/>
          <w:color w:val="212121"/>
          <w:sz w:val="24"/>
          <w:szCs w:val="24"/>
          <w:shd w:val="clear" w:color="auto" w:fill="FFFFFF"/>
        </w:rPr>
        <w:t>). Neonatal jaundice: aetiology, diagnosis and treatment. </w:t>
      </w:r>
      <w:r w:rsidRPr="00752F58">
        <w:rPr>
          <w:rFonts w:ascii="Times New Roman" w:hAnsi="Times New Roman" w:cs="Times New Roman"/>
          <w:i/>
          <w:iCs/>
          <w:color w:val="212121"/>
          <w:sz w:val="24"/>
          <w:szCs w:val="24"/>
          <w:shd w:val="clear" w:color="auto" w:fill="FFFFFF"/>
        </w:rPr>
        <w:t>British journal of hospital medicine (London, England: 2005)</w:t>
      </w:r>
      <w:r w:rsidRPr="00752F58">
        <w:rPr>
          <w:rFonts w:ascii="Times New Roman" w:hAnsi="Times New Roman" w:cs="Times New Roman"/>
          <w:color w:val="212121"/>
          <w:sz w:val="24"/>
          <w:szCs w:val="24"/>
          <w:shd w:val="clear" w:color="auto" w:fill="FFFFFF"/>
        </w:rPr>
        <w:t>, </w:t>
      </w:r>
      <w:r w:rsidRPr="00752F58">
        <w:rPr>
          <w:rFonts w:ascii="Times New Roman" w:hAnsi="Times New Roman" w:cs="Times New Roman"/>
          <w:i/>
          <w:iCs/>
          <w:color w:val="212121"/>
          <w:sz w:val="24"/>
          <w:szCs w:val="24"/>
          <w:shd w:val="clear" w:color="auto" w:fill="FFFFFF"/>
        </w:rPr>
        <w:t>78</w:t>
      </w:r>
      <w:r w:rsidRPr="00752F58">
        <w:rPr>
          <w:rFonts w:ascii="Times New Roman" w:hAnsi="Times New Roman" w:cs="Times New Roman"/>
          <w:color w:val="212121"/>
          <w:sz w:val="24"/>
          <w:szCs w:val="24"/>
          <w:shd w:val="clear" w:color="auto" w:fill="FFFFFF"/>
        </w:rPr>
        <w:t>(12), 699–704. https://doi.org/10.12968/hmed.2017.78.12.699</w:t>
      </w:r>
    </w:p>
    <w:p w14:paraId="313AF481"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color w:val="212121"/>
          <w:sz w:val="24"/>
          <w:szCs w:val="24"/>
          <w:shd w:val="clear" w:color="auto" w:fill="FFFFFF"/>
        </w:rPr>
        <w:t>Nassuna, C., Yaser, A., Karamagi, C., &amp; Mugalu, J. (2022). Significant hyperbilirubinemia among well neonates due for discharge at Kawempe-Mulago Hospital, prevalence, factors associated, and accuracy of transcutaneous bilirubinometry for screening. </w:t>
      </w:r>
      <w:r w:rsidRPr="00D03029">
        <w:rPr>
          <w:rFonts w:ascii="Times New Roman" w:hAnsi="Times New Roman" w:cs="Times New Roman"/>
          <w:i/>
          <w:iCs/>
          <w:sz w:val="24"/>
          <w:szCs w:val="24"/>
        </w:rPr>
        <w:t>African health sciences</w:t>
      </w:r>
      <w:r w:rsidRPr="00D03029">
        <w:rPr>
          <w:rFonts w:ascii="Times New Roman" w:hAnsi="Times New Roman" w:cs="Times New Roman"/>
          <w:sz w:val="24"/>
          <w:szCs w:val="24"/>
        </w:rPr>
        <w:t>, </w:t>
      </w:r>
      <w:r w:rsidRPr="00D03029">
        <w:rPr>
          <w:rFonts w:ascii="Times New Roman" w:hAnsi="Times New Roman" w:cs="Times New Roman"/>
          <w:i/>
          <w:iCs/>
          <w:sz w:val="24"/>
          <w:szCs w:val="24"/>
        </w:rPr>
        <w:t>22</w:t>
      </w:r>
      <w:r w:rsidRPr="00D03029">
        <w:rPr>
          <w:rFonts w:ascii="Times New Roman" w:hAnsi="Times New Roman" w:cs="Times New Roman"/>
          <w:sz w:val="24"/>
          <w:szCs w:val="24"/>
        </w:rPr>
        <w:t>(2), 526–534. https://doi.org/10.4314/ahs.v22i2.61</w:t>
      </w:r>
    </w:p>
    <w:p w14:paraId="3DC2B4F5"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Population Commission (NPC) (2006) Nigeria National Census: Population Distribution by Sex, State, LGAs and Senatorial District: 2006 Census Priority Tables (Vol. 3).</w:t>
      </w:r>
      <w:r>
        <w:rPr>
          <w:rFonts w:ascii="Times New Roman" w:hAnsi="Times New Roman" w:cs="Times New Roman"/>
          <w:sz w:val="24"/>
          <w:szCs w:val="24"/>
        </w:rPr>
        <w:br/>
      </w:r>
      <w:hyperlink r:id="rId20" w:history="1">
        <w:r>
          <w:rPr>
            <w:rStyle w:val="Hyperlink"/>
            <w:rFonts w:ascii="Times New Roman" w:hAnsi="Times New Roman" w:cs="Times New Roman"/>
            <w:sz w:val="24"/>
            <w:szCs w:val="24"/>
          </w:rPr>
          <w:t>http://www.population.gov.ng/index.php/publication/140-popn-distri-by-sex-state-jgas-and-senatorial-distr-2006</w:t>
        </w:r>
      </w:hyperlink>
    </w:p>
    <w:p w14:paraId="71A4E867" w14:textId="230E96D6" w:rsidR="00FB07ED" w:rsidRDefault="00FB07ED" w:rsidP="00FB0377">
      <w:pPr>
        <w:spacing w:line="240" w:lineRule="auto"/>
        <w:ind w:left="720" w:hanging="720"/>
        <w:jc w:val="both"/>
        <w:rPr>
          <w:rStyle w:val="Hyperlink"/>
          <w:shd w:val="clear" w:color="auto" w:fill="FFFFFF"/>
        </w:rPr>
      </w:pPr>
      <w:bookmarkStart w:id="27" w:name="_Hlk210212816"/>
      <w:r>
        <w:rPr>
          <w:rFonts w:ascii="Times New Roman" w:hAnsi="Times New Roman" w:cs="Times New Roman"/>
          <w:color w:val="212121"/>
          <w:sz w:val="24"/>
          <w:szCs w:val="24"/>
          <w:shd w:val="clear" w:color="auto" w:fill="FFFFFF"/>
        </w:rPr>
        <w:t>Ochigbo</w:t>
      </w:r>
      <w:bookmarkEnd w:id="27"/>
      <w:r>
        <w:rPr>
          <w:rFonts w:ascii="Times New Roman" w:hAnsi="Times New Roman" w:cs="Times New Roman"/>
          <w:color w:val="212121"/>
          <w:sz w:val="24"/>
          <w:szCs w:val="24"/>
          <w:shd w:val="clear" w:color="auto" w:fill="FFFFFF"/>
        </w:rPr>
        <w:t xml:space="preserve">, S., Ekpebe, P., Nyong, E. E., Ikechukwu, O., Ibeawuchi, A., Eigbedion, A., </w:t>
      </w:r>
      <w:r w:rsidR="00EA0AB8" w:rsidRPr="00F827FE">
        <w:rPr>
          <w:rFonts w:ascii="Times New Roman" w:hAnsi="Times New Roman" w:cs="Times New Roman"/>
          <w:color w:val="212121"/>
          <w:sz w:val="24"/>
          <w:szCs w:val="24"/>
          <w:shd w:val="clear" w:color="auto" w:fill="FFFFFF"/>
        </w:rPr>
        <w:t>&amp;</w:t>
      </w:r>
      <w:r w:rsidR="00EA0AB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Adeyemi, O. O</w:t>
      </w:r>
      <w:r w:rsidR="00EA0AB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(2024). Neonatal jaundice incidence, risk factors and outcomes in referral-level </w:t>
      </w:r>
      <w:r>
        <w:rPr>
          <w:rFonts w:ascii="Times New Roman" w:hAnsi="Times New Roman" w:cs="Times New Roman"/>
          <w:color w:val="212121"/>
          <w:sz w:val="24"/>
          <w:szCs w:val="24"/>
          <w:shd w:val="clear" w:color="auto" w:fill="FFFFFF"/>
        </w:rPr>
        <w:lastRenderedPageBreak/>
        <w:t>facilities in Nigeria. </w:t>
      </w:r>
      <w:r>
        <w:rPr>
          <w:rFonts w:ascii="Times New Roman" w:hAnsi="Times New Roman" w:cs="Times New Roman"/>
          <w:i/>
          <w:iCs/>
          <w:color w:val="212121"/>
          <w:sz w:val="24"/>
          <w:szCs w:val="24"/>
          <w:shd w:val="clear" w:color="auto" w:fill="FFFFFF"/>
        </w:rPr>
        <w:t>BJOG: an international journal of obstetrics and gynaecology</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131</w:t>
      </w:r>
      <w:r>
        <w:rPr>
          <w:rFonts w:ascii="Times New Roman" w:hAnsi="Times New Roman" w:cs="Times New Roman"/>
          <w:color w:val="212121"/>
          <w:sz w:val="24"/>
          <w:szCs w:val="24"/>
          <w:shd w:val="clear" w:color="auto" w:fill="FFFFFF"/>
        </w:rPr>
        <w:t xml:space="preserve">(Suppl 3), 113–124. </w:t>
      </w:r>
      <w:hyperlink r:id="rId21" w:history="1">
        <w:r>
          <w:rPr>
            <w:rStyle w:val="Hyperlink"/>
            <w:rFonts w:ascii="Times New Roman" w:hAnsi="Times New Roman" w:cs="Times New Roman"/>
            <w:sz w:val="24"/>
            <w:szCs w:val="24"/>
            <w:shd w:val="clear" w:color="auto" w:fill="FFFFFF"/>
          </w:rPr>
          <w:t>https://doi.org/10.1111/1471-0528.17865</w:t>
        </w:r>
      </w:hyperlink>
    </w:p>
    <w:p w14:paraId="5E74A99B" w14:textId="77777777" w:rsidR="00FB07ED" w:rsidRDefault="00FB07ED" w:rsidP="00FB0377">
      <w:pPr>
        <w:spacing w:line="240" w:lineRule="auto"/>
        <w:ind w:left="720" w:hanging="720"/>
        <w:jc w:val="both"/>
        <w:rPr>
          <w:rFonts w:ascii="Times New Roman" w:hAnsi="Times New Roman" w:cs="Times New Roman"/>
          <w:sz w:val="24"/>
          <w:szCs w:val="24"/>
        </w:rPr>
      </w:pPr>
      <w:r w:rsidRPr="00A765EA">
        <w:rPr>
          <w:rFonts w:ascii="Times New Roman" w:hAnsi="Times New Roman" w:cs="Times New Roman"/>
          <w:sz w:val="24"/>
          <w:szCs w:val="24"/>
        </w:rPr>
        <w:t xml:space="preserve">Okulu, E. (2023). Neonatal jaundice: Recommendations for follow-up and treatment. Global Pediatrics, 7, 100131. </w:t>
      </w:r>
      <w:hyperlink r:id="rId22" w:history="1">
        <w:r w:rsidRPr="00677215">
          <w:rPr>
            <w:rStyle w:val="Hyperlink"/>
            <w:rFonts w:ascii="Times New Roman" w:hAnsi="Times New Roman" w:cs="Times New Roman"/>
            <w:sz w:val="24"/>
            <w:szCs w:val="24"/>
          </w:rPr>
          <w:t>https://doi.org/10.1016/j.gpeds.2023.100131</w:t>
        </w:r>
      </w:hyperlink>
    </w:p>
    <w:p w14:paraId="3C9B989E" w14:textId="77777777" w:rsidR="00FB07ED" w:rsidRDefault="00FB07ED" w:rsidP="00FB0377">
      <w:pPr>
        <w:spacing w:line="240" w:lineRule="auto"/>
        <w:ind w:left="720" w:hanging="720"/>
        <w:jc w:val="both"/>
        <w:rPr>
          <w:rFonts w:ascii="Times New Roman" w:hAnsi="Times New Roman" w:cs="Times New Roman"/>
          <w:sz w:val="24"/>
          <w:szCs w:val="24"/>
        </w:rPr>
      </w:pPr>
      <w:bookmarkStart w:id="28" w:name="_Hlk210250871"/>
      <w:r>
        <w:rPr>
          <w:rFonts w:ascii="Times New Roman" w:eastAsia="Times New Roman" w:hAnsi="Times New Roman" w:cs="Times New Roman"/>
          <w:sz w:val="24"/>
          <w:szCs w:val="24"/>
        </w:rPr>
        <w:t>Osuorah</w:t>
      </w:r>
      <w:bookmarkEnd w:id="28"/>
      <w:r>
        <w:rPr>
          <w:rFonts w:ascii="Times New Roman" w:eastAsia="Times New Roman" w:hAnsi="Times New Roman" w:cs="Times New Roman"/>
          <w:sz w:val="24"/>
          <w:szCs w:val="24"/>
        </w:rPr>
        <w:t xml:space="preserve">, C. D. I., Ekwochi, U., &amp; Asinobi, I. N. (2018). Clinical evaluation of severe neonatal Hyperbilirubinaemia in a resource-limited setting: a 4-year longitudinal study in south-East Nigeria. </w:t>
      </w:r>
      <w:r>
        <w:rPr>
          <w:rFonts w:ascii="Times New Roman" w:eastAsia="Times New Roman" w:hAnsi="Times New Roman" w:cs="Times New Roman"/>
          <w:i/>
          <w:iCs/>
          <w:sz w:val="24"/>
          <w:szCs w:val="24"/>
        </w:rPr>
        <w:t>BMC Pediatrics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 xml:space="preserve">(1). </w:t>
      </w:r>
      <w:hyperlink r:id="rId23" w:history="1">
        <w:r>
          <w:rPr>
            <w:rStyle w:val="Hyperlink"/>
            <w:rFonts w:ascii="Times New Roman" w:eastAsia="Times New Roman" w:hAnsi="Times New Roman" w:cs="Times New Roman"/>
            <w:sz w:val="24"/>
            <w:szCs w:val="24"/>
          </w:rPr>
          <w:t>https://doi.org/10.1186/s12887-018-1174-z</w:t>
        </w:r>
      </w:hyperlink>
    </w:p>
    <w:p w14:paraId="383AC229" w14:textId="77777777" w:rsidR="00FB07ED" w:rsidRPr="00851AFF" w:rsidRDefault="00FB07ED" w:rsidP="00FB0377">
      <w:pPr>
        <w:spacing w:after="0" w:line="240" w:lineRule="auto"/>
        <w:ind w:left="720" w:hanging="720"/>
        <w:rPr>
          <w:rFonts w:ascii="Times New Roman" w:eastAsia="Times New Roman" w:hAnsi="Times New Roman" w:cs="Times New Roman"/>
          <w:sz w:val="24"/>
          <w:szCs w:val="24"/>
        </w:rPr>
      </w:pPr>
      <w:r w:rsidRPr="00851AFF">
        <w:rPr>
          <w:rFonts w:ascii="Times New Roman" w:eastAsia="Times New Roman" w:hAnsi="Times New Roman" w:cs="Times New Roman"/>
          <w:sz w:val="24"/>
          <w:szCs w:val="24"/>
        </w:rPr>
        <w:t xml:space="preserve">Rathore, S., Vk, C. K., &amp; R, S. (2019). A critical review on neonatal hyperbilirubinemia-an Ayurvedic perspective. </w:t>
      </w:r>
      <w:r w:rsidRPr="00851AFF">
        <w:rPr>
          <w:rFonts w:ascii="Times New Roman" w:eastAsia="Times New Roman" w:hAnsi="Times New Roman" w:cs="Times New Roman"/>
          <w:i/>
          <w:iCs/>
          <w:sz w:val="24"/>
          <w:szCs w:val="24"/>
        </w:rPr>
        <w:t>Journal of Ayurveda and Integrative Medicine</w:t>
      </w:r>
      <w:r w:rsidRPr="00851AFF">
        <w:rPr>
          <w:rFonts w:ascii="Times New Roman" w:eastAsia="Times New Roman" w:hAnsi="Times New Roman" w:cs="Times New Roman"/>
          <w:sz w:val="24"/>
          <w:szCs w:val="24"/>
        </w:rPr>
        <w:t xml:space="preserve">, </w:t>
      </w:r>
      <w:r w:rsidRPr="00851AFF">
        <w:rPr>
          <w:rFonts w:ascii="Times New Roman" w:eastAsia="Times New Roman" w:hAnsi="Times New Roman" w:cs="Times New Roman"/>
          <w:i/>
          <w:iCs/>
          <w:sz w:val="24"/>
          <w:szCs w:val="24"/>
        </w:rPr>
        <w:t>11</w:t>
      </w:r>
      <w:r w:rsidRPr="00851AFF">
        <w:rPr>
          <w:rFonts w:ascii="Times New Roman" w:eastAsia="Times New Roman" w:hAnsi="Times New Roman" w:cs="Times New Roman"/>
          <w:sz w:val="24"/>
          <w:szCs w:val="24"/>
        </w:rPr>
        <w:t>(2), 190–196. https://doi.org/10.1016/j.jaim.2018.08.006</w:t>
      </w:r>
    </w:p>
    <w:p w14:paraId="413773CA" w14:textId="77777777" w:rsidR="00FB07ED" w:rsidRDefault="00FB07ED" w:rsidP="00FB0377">
      <w:pPr>
        <w:spacing w:line="240" w:lineRule="auto"/>
        <w:ind w:left="720" w:hanging="720"/>
        <w:jc w:val="both"/>
        <w:rPr>
          <w:rFonts w:ascii="Times New Roman" w:hAnsi="Times New Roman" w:cs="Times New Roman"/>
          <w:sz w:val="24"/>
          <w:szCs w:val="24"/>
        </w:rPr>
      </w:pPr>
      <w:r w:rsidRPr="00A765EA">
        <w:rPr>
          <w:rFonts w:ascii="Times New Roman" w:hAnsi="Times New Roman" w:cs="Times New Roman"/>
          <w:sz w:val="24"/>
          <w:szCs w:val="24"/>
        </w:rPr>
        <w:t xml:space="preserve">Saboute, M., Mahmoudian, A., Khalesi, N., Vahedi, Z., Khosravi, N., &amp; Allahqoli, L. (2022). Correlation between Alkaline Phosphatase and Neonatal Jaundice. Medical journal of the Islamic Republic of Iran, 36, 52. </w:t>
      </w:r>
      <w:hyperlink r:id="rId24" w:history="1">
        <w:r w:rsidRPr="00983289">
          <w:rPr>
            <w:rStyle w:val="Hyperlink"/>
            <w:rFonts w:ascii="Times New Roman" w:hAnsi="Times New Roman" w:cs="Times New Roman"/>
            <w:sz w:val="24"/>
            <w:szCs w:val="24"/>
          </w:rPr>
          <w:t>https://doi.org/10.47176/mjiri.36.52</w:t>
        </w:r>
      </w:hyperlink>
    </w:p>
    <w:p w14:paraId="0761DE82"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Sadiq, I. Z., Usman, A., Muhammad, A., &amp; Ahmad, K. H. (2024). Sample size calculation in biomedical, clinical and biological sciences research. Journal of Umm Al-Qura University for Applied Sciences. https://doi.org/10.1007/s43994-024-00153-x</w:t>
      </w:r>
    </w:p>
    <w:p w14:paraId="50A1D7B3" w14:textId="6D0E19BB" w:rsidR="00FB07ED" w:rsidRPr="00D03029" w:rsidRDefault="00FB07ED" w:rsidP="00FB037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D03029">
        <w:rPr>
          <w:rFonts w:ascii="Times New Roman" w:hAnsi="Times New Roman" w:cs="Times New Roman"/>
          <w:color w:val="212121"/>
          <w:sz w:val="24"/>
          <w:szCs w:val="24"/>
          <w:shd w:val="clear" w:color="auto" w:fill="FFFFFF"/>
        </w:rPr>
        <w:t>Slusher, T. M., Zipursky, A., &amp; Bhutani, V. K. (2011). A global need for affordable neonatal jaundice</w:t>
      </w:r>
      <w:r w:rsidR="00FB0377">
        <w:rPr>
          <w:rFonts w:ascii="Times New Roman" w:hAnsi="Times New Roman" w:cs="Times New Roman"/>
          <w:color w:val="212121"/>
          <w:sz w:val="24"/>
          <w:szCs w:val="24"/>
          <w:shd w:val="clear" w:color="auto" w:fill="FFFFFF"/>
        </w:rPr>
        <w:t> </w:t>
      </w:r>
      <w:r w:rsidRPr="00D03029">
        <w:rPr>
          <w:rFonts w:ascii="Times New Roman" w:hAnsi="Times New Roman" w:cs="Times New Roman"/>
          <w:color w:val="212121"/>
          <w:sz w:val="24"/>
          <w:szCs w:val="24"/>
          <w:shd w:val="clear" w:color="auto" w:fill="FFFFFF"/>
        </w:rPr>
        <w:t>technologies. </w:t>
      </w:r>
      <w:r w:rsidRPr="00D03029">
        <w:rPr>
          <w:rFonts w:ascii="Times New Roman" w:hAnsi="Times New Roman" w:cs="Times New Roman"/>
          <w:i/>
          <w:iCs/>
          <w:sz w:val="24"/>
          <w:szCs w:val="24"/>
        </w:rPr>
        <w:t>Seminars</w:t>
      </w:r>
      <w:r w:rsidR="00FB0377">
        <w:rPr>
          <w:rFonts w:ascii="Times New Roman" w:hAnsi="Times New Roman" w:cs="Times New Roman"/>
          <w:i/>
          <w:iCs/>
          <w:sz w:val="24"/>
          <w:szCs w:val="24"/>
        </w:rPr>
        <w:t> </w:t>
      </w:r>
      <w:r w:rsidRPr="00D03029">
        <w:rPr>
          <w:rFonts w:ascii="Times New Roman" w:hAnsi="Times New Roman" w:cs="Times New Roman"/>
          <w:i/>
          <w:iCs/>
          <w:sz w:val="24"/>
          <w:szCs w:val="24"/>
        </w:rPr>
        <w:t>in</w:t>
      </w:r>
      <w:r w:rsidR="00FB0377">
        <w:rPr>
          <w:rFonts w:ascii="Times New Roman" w:hAnsi="Times New Roman" w:cs="Times New Roman"/>
          <w:i/>
          <w:iCs/>
          <w:sz w:val="24"/>
          <w:szCs w:val="24"/>
        </w:rPr>
        <w:t> P</w:t>
      </w:r>
      <w:r w:rsidRPr="00D03029">
        <w:rPr>
          <w:rFonts w:ascii="Times New Roman" w:hAnsi="Times New Roman" w:cs="Times New Roman"/>
          <w:i/>
          <w:iCs/>
          <w:sz w:val="24"/>
          <w:szCs w:val="24"/>
        </w:rPr>
        <w:t>erinatology</w:t>
      </w:r>
      <w:r w:rsidRPr="00D03029">
        <w:rPr>
          <w:rFonts w:ascii="Times New Roman" w:hAnsi="Times New Roman" w:cs="Times New Roman"/>
          <w:sz w:val="24"/>
          <w:szCs w:val="24"/>
        </w:rPr>
        <w:t>, </w:t>
      </w:r>
      <w:r w:rsidRPr="00D03029">
        <w:rPr>
          <w:rFonts w:ascii="Times New Roman" w:hAnsi="Times New Roman" w:cs="Times New Roman"/>
          <w:i/>
          <w:iCs/>
          <w:sz w:val="24"/>
          <w:szCs w:val="24"/>
        </w:rPr>
        <w:t>35</w:t>
      </w:r>
      <w:r w:rsidRPr="00D03029">
        <w:rPr>
          <w:rFonts w:ascii="Times New Roman" w:hAnsi="Times New Roman" w:cs="Times New Roman"/>
          <w:sz w:val="24"/>
          <w:szCs w:val="24"/>
        </w:rPr>
        <w:t>(3),</w:t>
      </w:r>
      <w:r w:rsidR="00FB0377">
        <w:rPr>
          <w:rFonts w:ascii="Times New Roman" w:hAnsi="Times New Roman" w:cs="Times New Roman"/>
          <w:sz w:val="24"/>
          <w:szCs w:val="24"/>
        </w:rPr>
        <w:t> </w:t>
      </w:r>
      <w:r w:rsidRPr="00D03029">
        <w:rPr>
          <w:rFonts w:ascii="Times New Roman" w:hAnsi="Times New Roman" w:cs="Times New Roman"/>
          <w:sz w:val="24"/>
          <w:szCs w:val="24"/>
        </w:rPr>
        <w:t>185</w:t>
      </w:r>
      <w:r w:rsidR="00FB0377">
        <w:rPr>
          <w:rFonts w:ascii="Times New Roman" w:hAnsi="Times New Roman" w:cs="Times New Roman"/>
          <w:sz w:val="24"/>
          <w:szCs w:val="24"/>
        </w:rPr>
        <w:noBreakHyphen/>
      </w:r>
      <w:r w:rsidRPr="00D03029">
        <w:rPr>
          <w:rFonts w:ascii="Times New Roman" w:hAnsi="Times New Roman" w:cs="Times New Roman"/>
          <w:sz w:val="24"/>
          <w:szCs w:val="24"/>
        </w:rPr>
        <w:t>191.https://doi.org/10.1053/j.semperi.</w:t>
      </w:r>
      <w:r w:rsidR="00FB0377">
        <w:rPr>
          <w:rFonts w:ascii="Times New Roman" w:hAnsi="Times New Roman" w:cs="Times New Roman"/>
          <w:sz w:val="24"/>
          <w:szCs w:val="24"/>
        </w:rPr>
        <w:t> </w:t>
      </w:r>
      <w:r w:rsidRPr="00D03029">
        <w:rPr>
          <w:rFonts w:ascii="Times New Roman" w:hAnsi="Times New Roman" w:cs="Times New Roman"/>
          <w:sz w:val="24"/>
          <w:szCs w:val="24"/>
        </w:rPr>
        <w:t>2011.02.014</w:t>
      </w:r>
    </w:p>
    <w:p w14:paraId="6BDCC9E3" w14:textId="77777777" w:rsidR="00FB07ED" w:rsidRDefault="00FB07ED" w:rsidP="00FB037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Sufiyan, I., Mohammed, K., Bello, I., &amp; Zaharadeen, I. (2020). Impact of Harmattan Season on Human Health in Keffi, Nasarawa State, Nigeria. Matrix Science Medica, 4(2), 44. </w:t>
      </w:r>
      <w:hyperlink r:id="rId25" w:tgtFrame="_new" w:history="1">
        <w:r>
          <w:rPr>
            <w:rStyle w:val="Hyperlink"/>
            <w:rFonts w:ascii="Times New Roman" w:hAnsi="Times New Roman" w:cs="Times New Roman"/>
            <w:sz w:val="24"/>
            <w:szCs w:val="24"/>
          </w:rPr>
          <w:t>https://doi.org/10.4103/mtsm.mtsm_1_20</w:t>
        </w:r>
      </w:hyperlink>
    </w:p>
    <w:p w14:paraId="1039FDD5" w14:textId="77777777" w:rsidR="00FB07ED" w:rsidRDefault="00FB07ED" w:rsidP="00FB037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Usman, F., Diala, U., Shapiro, S., Pichon, J. L., &amp; Slusher, T. (2018). Acute bilirubin encephalopathy and its progression to kernicterus: current perspectives. </w:t>
      </w:r>
      <w:r>
        <w:rPr>
          <w:rFonts w:ascii="Times New Roman" w:eastAsia="Times New Roman" w:hAnsi="Times New Roman" w:cs="Times New Roman"/>
          <w:i/>
          <w:iCs/>
          <w:sz w:val="24"/>
          <w:szCs w:val="24"/>
        </w:rPr>
        <w:t>Research and Reports in Neonatology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Volume 8</w:t>
      </w:r>
      <w:r>
        <w:rPr>
          <w:rFonts w:ascii="Times New Roman" w:eastAsia="Times New Roman" w:hAnsi="Times New Roman" w:cs="Times New Roman"/>
          <w:sz w:val="24"/>
          <w:szCs w:val="24"/>
        </w:rPr>
        <w:t>, 33–44. https://doi.org/10.2147/rrn.s125758</w:t>
      </w:r>
    </w:p>
    <w:p w14:paraId="1BCB8B4E" w14:textId="77777777" w:rsidR="00FB07ED" w:rsidRPr="00FB0377" w:rsidRDefault="00FB07ED" w:rsidP="00FB0377">
      <w:pPr>
        <w:spacing w:after="0" w:line="240" w:lineRule="auto"/>
        <w:ind w:left="720" w:hanging="720"/>
        <w:rPr>
          <w:rFonts w:ascii="Times New Roman" w:eastAsia="Times New Roman" w:hAnsi="Times New Roman" w:cs="Times New Roman"/>
          <w:sz w:val="24"/>
          <w:szCs w:val="24"/>
        </w:rPr>
      </w:pPr>
      <w:bookmarkStart w:id="29" w:name="_Hlk210396783"/>
      <w:r w:rsidRPr="00FB0377">
        <w:rPr>
          <w:rFonts w:ascii="Times New Roman" w:eastAsia="Times New Roman" w:hAnsi="Times New Roman" w:cs="Times New Roman"/>
          <w:sz w:val="24"/>
          <w:szCs w:val="24"/>
        </w:rPr>
        <w:t xml:space="preserve">Verma, D. K., &amp; Singhal, H. K. (2024). </w:t>
      </w:r>
      <w:bookmarkEnd w:id="29"/>
      <w:r w:rsidRPr="00FB0377">
        <w:rPr>
          <w:rFonts w:ascii="Times New Roman" w:eastAsia="Times New Roman" w:hAnsi="Times New Roman" w:cs="Times New Roman"/>
          <w:sz w:val="24"/>
          <w:szCs w:val="24"/>
        </w:rPr>
        <w:t xml:space="preserve">A Critical analysis of Neonatal jaundice: the synergy of Ayurveda and phototherapy. </w:t>
      </w:r>
      <w:r w:rsidRPr="00FB0377">
        <w:rPr>
          <w:rFonts w:ascii="Times New Roman" w:eastAsia="Times New Roman" w:hAnsi="Times New Roman" w:cs="Times New Roman"/>
          <w:i/>
          <w:iCs/>
          <w:sz w:val="24"/>
          <w:szCs w:val="24"/>
        </w:rPr>
        <w:t>International Journal of Science and Research (IJSR)</w:t>
      </w:r>
      <w:r w:rsidRPr="00FB0377">
        <w:rPr>
          <w:rFonts w:ascii="Times New Roman" w:eastAsia="Times New Roman" w:hAnsi="Times New Roman" w:cs="Times New Roman"/>
          <w:sz w:val="24"/>
          <w:szCs w:val="24"/>
        </w:rPr>
        <w:t xml:space="preserve">, </w:t>
      </w:r>
      <w:r w:rsidRPr="00FB0377">
        <w:rPr>
          <w:rFonts w:ascii="Times New Roman" w:eastAsia="Times New Roman" w:hAnsi="Times New Roman" w:cs="Times New Roman"/>
          <w:i/>
          <w:iCs/>
          <w:sz w:val="24"/>
          <w:szCs w:val="24"/>
        </w:rPr>
        <w:t>13</w:t>
      </w:r>
      <w:r w:rsidRPr="00FB0377">
        <w:rPr>
          <w:rFonts w:ascii="Times New Roman" w:eastAsia="Times New Roman" w:hAnsi="Times New Roman" w:cs="Times New Roman"/>
          <w:sz w:val="24"/>
          <w:szCs w:val="24"/>
        </w:rPr>
        <w:t>(10), 1368–1374. https://doi.org/10.21275/sr241017143422</w:t>
      </w:r>
    </w:p>
    <w:p w14:paraId="6AABE847" w14:textId="720DCD97" w:rsidR="00FB07ED" w:rsidRPr="00FB0377" w:rsidRDefault="00FB07ED" w:rsidP="00FB0377">
      <w:pPr>
        <w:spacing w:line="240" w:lineRule="auto"/>
        <w:ind w:left="720" w:hanging="720"/>
        <w:jc w:val="both"/>
        <w:rPr>
          <w:rFonts w:ascii="Times New Roman" w:hAnsi="Times New Roman" w:cs="Times New Roman"/>
          <w:sz w:val="24"/>
          <w:szCs w:val="24"/>
        </w:rPr>
      </w:pPr>
      <w:bookmarkStart w:id="30" w:name="_Hlk210249627"/>
      <w:r w:rsidRPr="00FB0377">
        <w:rPr>
          <w:rFonts w:ascii="Times New Roman" w:hAnsi="Times New Roman" w:cs="Times New Roman"/>
          <w:sz w:val="24"/>
          <w:szCs w:val="24"/>
        </w:rPr>
        <w:t>Yadav</w:t>
      </w:r>
      <w:bookmarkEnd w:id="30"/>
      <w:r w:rsidRPr="00FB0377">
        <w:rPr>
          <w:rFonts w:ascii="Times New Roman" w:hAnsi="Times New Roman" w:cs="Times New Roman"/>
          <w:sz w:val="24"/>
          <w:szCs w:val="24"/>
        </w:rPr>
        <w:t xml:space="preserve">, K. P., Yadav, M. K., Yadav, R., Mohapatra, T. K., Mohapatra, R. K., &amp; Mishra, P. K. (2018). Comparative study of the serum bilirubin and various other </w:t>
      </w:r>
      <w:r w:rsidR="00BF0E85">
        <w:rPr>
          <w:rFonts w:ascii="Times New Roman" w:hAnsi="Times New Roman" w:cs="Times New Roman"/>
          <w:sz w:val="24"/>
          <w:szCs w:val="24"/>
        </w:rPr>
        <w:t>liver-related</w:t>
      </w:r>
      <w:r w:rsidRPr="00FB0377">
        <w:rPr>
          <w:rFonts w:ascii="Times New Roman" w:hAnsi="Times New Roman" w:cs="Times New Roman"/>
          <w:sz w:val="24"/>
          <w:szCs w:val="24"/>
        </w:rPr>
        <w:t xml:space="preserve"> enzymes in different types of jaundice. </w:t>
      </w:r>
      <w:r w:rsidRPr="00FB0377">
        <w:rPr>
          <w:rFonts w:ascii="Times New Roman" w:hAnsi="Times New Roman" w:cs="Times New Roman"/>
          <w:i/>
          <w:iCs/>
          <w:sz w:val="24"/>
          <w:szCs w:val="24"/>
        </w:rPr>
        <w:t>Annals of International Medical and Dental Research</w:t>
      </w:r>
      <w:r w:rsidRPr="00FB0377">
        <w:rPr>
          <w:rFonts w:ascii="Times New Roman" w:hAnsi="Times New Roman" w:cs="Times New Roman"/>
          <w:sz w:val="24"/>
          <w:szCs w:val="24"/>
        </w:rPr>
        <w:t xml:space="preserve">, </w:t>
      </w:r>
      <w:r w:rsidRPr="00FB0377">
        <w:rPr>
          <w:rFonts w:ascii="Times New Roman" w:hAnsi="Times New Roman" w:cs="Times New Roman"/>
          <w:i/>
          <w:iCs/>
          <w:sz w:val="24"/>
          <w:szCs w:val="24"/>
        </w:rPr>
        <w:t>4</w:t>
      </w:r>
      <w:r w:rsidRPr="00FB0377">
        <w:rPr>
          <w:rFonts w:ascii="Times New Roman" w:hAnsi="Times New Roman" w:cs="Times New Roman"/>
          <w:sz w:val="24"/>
          <w:szCs w:val="24"/>
        </w:rPr>
        <w:t>(4), BC42–BC46.</w:t>
      </w:r>
    </w:p>
    <w:p w14:paraId="5FFAEDCB" w14:textId="77777777" w:rsidR="00FB07ED" w:rsidRPr="00FB0377" w:rsidRDefault="00FB07ED" w:rsidP="00FB0377">
      <w:pPr>
        <w:spacing w:after="0" w:line="240" w:lineRule="auto"/>
        <w:ind w:left="720" w:hanging="720"/>
        <w:rPr>
          <w:rFonts w:ascii="Times New Roman" w:eastAsia="Times New Roman" w:hAnsi="Times New Roman" w:cs="Times New Roman"/>
          <w:sz w:val="24"/>
          <w:szCs w:val="24"/>
        </w:rPr>
      </w:pPr>
      <w:r w:rsidRPr="00FB0377">
        <w:rPr>
          <w:rFonts w:ascii="Times New Roman" w:eastAsia="Times New Roman" w:hAnsi="Times New Roman" w:cs="Times New Roman"/>
          <w:sz w:val="24"/>
          <w:szCs w:val="24"/>
        </w:rPr>
        <w:t xml:space="preserve">Yousefi, R., Shojaie, S., &amp; Yousefi, M. (2025). Prolonged jaundice in newborns is a common condition that affects many infants: A case study. </w:t>
      </w:r>
      <w:r w:rsidRPr="00FB0377">
        <w:rPr>
          <w:rFonts w:ascii="Times New Roman" w:eastAsia="Times New Roman" w:hAnsi="Times New Roman" w:cs="Times New Roman"/>
          <w:i/>
          <w:iCs/>
          <w:sz w:val="24"/>
          <w:szCs w:val="24"/>
        </w:rPr>
        <w:t>Journal of Nursing Reports in Clinical Practice</w:t>
      </w:r>
      <w:r w:rsidRPr="00FB0377">
        <w:rPr>
          <w:rFonts w:ascii="Times New Roman" w:eastAsia="Times New Roman" w:hAnsi="Times New Roman" w:cs="Times New Roman"/>
          <w:sz w:val="24"/>
          <w:szCs w:val="24"/>
        </w:rPr>
        <w:t xml:space="preserve">, </w:t>
      </w:r>
      <w:r w:rsidRPr="00FB0377">
        <w:rPr>
          <w:rFonts w:ascii="Times New Roman" w:eastAsia="Times New Roman" w:hAnsi="Times New Roman" w:cs="Times New Roman"/>
          <w:i/>
          <w:iCs/>
          <w:sz w:val="24"/>
          <w:szCs w:val="24"/>
        </w:rPr>
        <w:t>3</w:t>
      </w:r>
      <w:r w:rsidRPr="00FB0377">
        <w:rPr>
          <w:rFonts w:ascii="Times New Roman" w:eastAsia="Times New Roman" w:hAnsi="Times New Roman" w:cs="Times New Roman"/>
          <w:sz w:val="24"/>
          <w:szCs w:val="24"/>
        </w:rPr>
        <w:t>(6), 616–620. https://doi.org/10.32598/jnrcp.2502.1240</w:t>
      </w:r>
    </w:p>
    <w:p w14:paraId="38816435" w14:textId="77777777" w:rsidR="00FB07ED" w:rsidRPr="00FB0377" w:rsidRDefault="00FB07ED" w:rsidP="00FB0377">
      <w:pPr>
        <w:spacing w:line="240" w:lineRule="auto"/>
        <w:ind w:left="720" w:hanging="720"/>
        <w:jc w:val="both"/>
        <w:rPr>
          <w:rStyle w:val="Hyperlink"/>
          <w:rFonts w:ascii="Times New Roman" w:hAnsi="Times New Roman" w:cs="Times New Roman"/>
          <w:sz w:val="24"/>
          <w:szCs w:val="24"/>
          <w:shd w:val="clear" w:color="auto" w:fill="FFFFFF"/>
        </w:rPr>
      </w:pPr>
      <w:r w:rsidRPr="00FB0377">
        <w:rPr>
          <w:rFonts w:ascii="Times New Roman" w:hAnsi="Times New Roman" w:cs="Times New Roman"/>
          <w:color w:val="212121"/>
          <w:sz w:val="24"/>
          <w:szCs w:val="24"/>
          <w:shd w:val="clear" w:color="auto" w:fill="FFFFFF"/>
        </w:rPr>
        <w:t>Zeleke, B. A., Ersado, T. L., Hanjelo, H. W., &amp; Zeleke, G. A. (2025). Determinants of neonatal jaundice among neonates admitted to neonatal intensive care unit in hospitals of Gurage zone, Southern Ethiopia. </w:t>
      </w:r>
      <w:r w:rsidRPr="00FB0377">
        <w:rPr>
          <w:rFonts w:ascii="Times New Roman" w:hAnsi="Times New Roman" w:cs="Times New Roman"/>
          <w:i/>
          <w:iCs/>
          <w:color w:val="212121"/>
          <w:sz w:val="24"/>
          <w:szCs w:val="24"/>
          <w:shd w:val="clear" w:color="auto" w:fill="FFFFFF"/>
        </w:rPr>
        <w:t>BMC pediatrics</w:t>
      </w:r>
      <w:r w:rsidRPr="00FB0377">
        <w:rPr>
          <w:rFonts w:ascii="Times New Roman" w:hAnsi="Times New Roman" w:cs="Times New Roman"/>
          <w:color w:val="212121"/>
          <w:sz w:val="24"/>
          <w:szCs w:val="24"/>
          <w:shd w:val="clear" w:color="auto" w:fill="FFFFFF"/>
        </w:rPr>
        <w:t>, </w:t>
      </w:r>
      <w:r w:rsidRPr="00FB0377">
        <w:rPr>
          <w:rFonts w:ascii="Times New Roman" w:hAnsi="Times New Roman" w:cs="Times New Roman"/>
          <w:i/>
          <w:iCs/>
          <w:color w:val="212121"/>
          <w:sz w:val="24"/>
          <w:szCs w:val="24"/>
          <w:shd w:val="clear" w:color="auto" w:fill="FFFFFF"/>
        </w:rPr>
        <w:t>25</w:t>
      </w:r>
      <w:r w:rsidRPr="00FB0377">
        <w:rPr>
          <w:rFonts w:ascii="Times New Roman" w:hAnsi="Times New Roman" w:cs="Times New Roman"/>
          <w:color w:val="212121"/>
          <w:sz w:val="24"/>
          <w:szCs w:val="24"/>
          <w:shd w:val="clear" w:color="auto" w:fill="FFFFFF"/>
        </w:rPr>
        <w:t xml:space="preserve">(1), 427. </w:t>
      </w:r>
      <w:hyperlink r:id="rId26" w:history="1">
        <w:r w:rsidRPr="00FB0377">
          <w:rPr>
            <w:rStyle w:val="Hyperlink"/>
            <w:rFonts w:ascii="Times New Roman" w:hAnsi="Times New Roman" w:cs="Times New Roman"/>
            <w:sz w:val="24"/>
            <w:szCs w:val="24"/>
            <w:shd w:val="clear" w:color="auto" w:fill="FFFFFF"/>
          </w:rPr>
          <w:t>https://doi.org/10.1186/s12887-025-05772-9</w:t>
        </w:r>
      </w:hyperlink>
    </w:p>
    <w:p w14:paraId="56EE0877" w14:textId="77777777" w:rsidR="00FB07ED" w:rsidRPr="00D03029" w:rsidRDefault="00FB07ED" w:rsidP="00FB0377">
      <w:pPr>
        <w:spacing w:after="0" w:line="240" w:lineRule="auto"/>
        <w:ind w:left="720" w:hanging="720"/>
        <w:jc w:val="both"/>
        <w:rPr>
          <w:rFonts w:ascii="Times New Roman" w:eastAsia="Times New Roman" w:hAnsi="Times New Roman" w:cs="Times New Roman"/>
          <w:sz w:val="24"/>
          <w:szCs w:val="24"/>
        </w:rPr>
      </w:pPr>
      <w:bookmarkStart w:id="31" w:name="_Hlk210254967"/>
      <w:r w:rsidRPr="00D03029">
        <w:rPr>
          <w:rFonts w:ascii="Times New Roman" w:eastAsia="Times New Roman" w:hAnsi="Times New Roman" w:cs="Times New Roman"/>
          <w:sz w:val="24"/>
          <w:szCs w:val="24"/>
        </w:rPr>
        <w:lastRenderedPageBreak/>
        <w:t>Zhang</w:t>
      </w:r>
      <w:bookmarkEnd w:id="31"/>
      <w:r w:rsidRPr="00D03029">
        <w:rPr>
          <w:rFonts w:ascii="Times New Roman" w:eastAsia="Times New Roman" w:hAnsi="Times New Roman" w:cs="Times New Roman"/>
          <w:sz w:val="24"/>
          <w:szCs w:val="24"/>
        </w:rPr>
        <w:t xml:space="preserve">, L. (2018). Severe neonatal hyperbilirubinemia induces temporal and occipital lobe seizures. </w:t>
      </w:r>
      <w:r w:rsidRPr="00D03029">
        <w:rPr>
          <w:rFonts w:ascii="Times New Roman" w:eastAsia="Times New Roman" w:hAnsi="Times New Roman" w:cs="Times New Roman"/>
          <w:i/>
          <w:iCs/>
          <w:sz w:val="24"/>
          <w:szCs w:val="24"/>
        </w:rPr>
        <w:t>PLoS ONE</w:t>
      </w:r>
      <w:r w:rsidRPr="00D03029">
        <w:rPr>
          <w:rFonts w:ascii="Times New Roman" w:eastAsia="Times New Roman" w:hAnsi="Times New Roman" w:cs="Times New Roman"/>
          <w:sz w:val="24"/>
          <w:szCs w:val="24"/>
        </w:rPr>
        <w:t xml:space="preserve">, </w:t>
      </w:r>
      <w:r w:rsidRPr="00D03029">
        <w:rPr>
          <w:rFonts w:ascii="Times New Roman" w:eastAsia="Times New Roman" w:hAnsi="Times New Roman" w:cs="Times New Roman"/>
          <w:i/>
          <w:iCs/>
          <w:sz w:val="24"/>
          <w:szCs w:val="24"/>
        </w:rPr>
        <w:t>13</w:t>
      </w:r>
      <w:r w:rsidRPr="00D03029">
        <w:rPr>
          <w:rFonts w:ascii="Times New Roman" w:eastAsia="Times New Roman" w:hAnsi="Times New Roman" w:cs="Times New Roman"/>
          <w:sz w:val="24"/>
          <w:szCs w:val="24"/>
        </w:rPr>
        <w:t>(5), e0197113. https://doi.org/10.1371/journal.pone.0197113</w:t>
      </w:r>
    </w:p>
    <w:p w14:paraId="10318E96" w14:textId="77777777" w:rsidR="00A765EA" w:rsidRPr="00A765EA" w:rsidRDefault="00A765EA" w:rsidP="00A765EA">
      <w:pPr>
        <w:spacing w:line="480" w:lineRule="auto"/>
        <w:jc w:val="both"/>
        <w:rPr>
          <w:rFonts w:ascii="Times New Roman" w:hAnsi="Times New Roman" w:cs="Times New Roman"/>
          <w:sz w:val="24"/>
          <w:szCs w:val="24"/>
        </w:rPr>
      </w:pPr>
    </w:p>
    <w:p w14:paraId="6975D253" w14:textId="77777777" w:rsidR="00A765EA" w:rsidRPr="00A765EA" w:rsidRDefault="00A765EA" w:rsidP="00A765EA">
      <w:pPr>
        <w:spacing w:line="480" w:lineRule="auto"/>
        <w:jc w:val="both"/>
        <w:rPr>
          <w:rFonts w:ascii="Times New Roman" w:hAnsi="Times New Roman" w:cs="Times New Roman"/>
          <w:sz w:val="24"/>
          <w:szCs w:val="24"/>
        </w:rPr>
      </w:pPr>
    </w:p>
    <w:p w14:paraId="24736C47" w14:textId="77777777" w:rsidR="00A765EA" w:rsidRPr="00A765EA" w:rsidRDefault="00A765EA" w:rsidP="00A765EA">
      <w:pPr>
        <w:spacing w:line="480" w:lineRule="auto"/>
        <w:jc w:val="both"/>
        <w:rPr>
          <w:rFonts w:ascii="Times New Roman" w:hAnsi="Times New Roman" w:cs="Times New Roman"/>
          <w:sz w:val="24"/>
          <w:szCs w:val="24"/>
        </w:rPr>
      </w:pPr>
    </w:p>
    <w:p w14:paraId="0A5E915A" w14:textId="77777777" w:rsidR="009A6FA5" w:rsidRDefault="009A6FA5" w:rsidP="00D03029">
      <w:pPr>
        <w:spacing w:line="480" w:lineRule="auto"/>
        <w:jc w:val="both"/>
        <w:rPr>
          <w:rFonts w:ascii="Times New Roman" w:hAnsi="Times New Roman" w:cs="Times New Roman"/>
          <w:color w:val="212121"/>
          <w:sz w:val="24"/>
          <w:szCs w:val="24"/>
          <w:shd w:val="clear" w:color="auto" w:fill="FFFFFF"/>
        </w:rPr>
      </w:pPr>
    </w:p>
    <w:sectPr w:rsidR="009A6FA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792C" w14:textId="77777777" w:rsidR="007A2FBD" w:rsidRDefault="007A2FBD" w:rsidP="003673E4">
      <w:pPr>
        <w:spacing w:after="0" w:line="240" w:lineRule="auto"/>
      </w:pPr>
      <w:r>
        <w:separator/>
      </w:r>
    </w:p>
  </w:endnote>
  <w:endnote w:type="continuationSeparator" w:id="0">
    <w:p w14:paraId="43D254E2" w14:textId="77777777" w:rsidR="007A2FBD" w:rsidRDefault="007A2FBD" w:rsidP="0036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EC1C" w14:textId="77777777" w:rsidR="003673E4" w:rsidRDefault="00367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007A" w14:textId="77777777" w:rsidR="003673E4" w:rsidRDefault="00367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80C" w14:textId="77777777" w:rsidR="003673E4" w:rsidRDefault="0036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1613" w14:textId="77777777" w:rsidR="007A2FBD" w:rsidRDefault="007A2FBD" w:rsidP="003673E4">
      <w:pPr>
        <w:spacing w:after="0" w:line="240" w:lineRule="auto"/>
      </w:pPr>
      <w:r>
        <w:separator/>
      </w:r>
    </w:p>
  </w:footnote>
  <w:footnote w:type="continuationSeparator" w:id="0">
    <w:p w14:paraId="1F24BD3A" w14:textId="77777777" w:rsidR="007A2FBD" w:rsidRDefault="007A2FBD" w:rsidP="0036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2A80" w14:textId="787F8C4A" w:rsidR="003673E4" w:rsidRDefault="00000000">
    <w:pPr>
      <w:pStyle w:val="Header"/>
    </w:pPr>
    <w:r>
      <w:rPr>
        <w:noProof/>
      </w:rPr>
      <w:pict w14:anchorId="1669E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78D3" w14:textId="7F3C585D" w:rsidR="003673E4" w:rsidRDefault="00000000">
    <w:pPr>
      <w:pStyle w:val="Header"/>
    </w:pPr>
    <w:r>
      <w:rPr>
        <w:noProof/>
      </w:rPr>
      <w:pict w14:anchorId="71C0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3EEB" w14:textId="6849BB4E" w:rsidR="003673E4" w:rsidRDefault="00000000">
    <w:pPr>
      <w:pStyle w:val="Header"/>
    </w:pPr>
    <w:r>
      <w:rPr>
        <w:noProof/>
      </w:rPr>
      <w:pict w14:anchorId="3809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61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82476"/>
    <w:multiLevelType w:val="hybridMultilevel"/>
    <w:tmpl w:val="6B368844"/>
    <w:lvl w:ilvl="0" w:tplc="01542AA0">
      <w:start w:val="1"/>
      <w:numFmt w:val="decimal"/>
      <w:lvlText w:val="%1."/>
      <w:lvlJc w:val="left"/>
      <w:rPr>
        <w:rFonts w:hint="default"/>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5044811"/>
    <w:multiLevelType w:val="multilevel"/>
    <w:tmpl w:val="F6F6E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417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260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2127486">
    <w:abstractNumId w:val="1"/>
  </w:num>
  <w:num w:numId="2" w16cid:durableId="1785691812">
    <w:abstractNumId w:val="3"/>
  </w:num>
  <w:num w:numId="3" w16cid:durableId="1022245192">
    <w:abstractNumId w:val="2"/>
  </w:num>
  <w:num w:numId="4" w16cid:durableId="18024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B7"/>
    <w:rsid w:val="00001163"/>
    <w:rsid w:val="00001A8F"/>
    <w:rsid w:val="00006560"/>
    <w:rsid w:val="000337A0"/>
    <w:rsid w:val="000B50A3"/>
    <w:rsid w:val="000D0F51"/>
    <w:rsid w:val="000D6485"/>
    <w:rsid w:val="000D68DB"/>
    <w:rsid w:val="000D70B6"/>
    <w:rsid w:val="000F6BDB"/>
    <w:rsid w:val="001001A3"/>
    <w:rsid w:val="00110EBE"/>
    <w:rsid w:val="001921C4"/>
    <w:rsid w:val="00192885"/>
    <w:rsid w:val="00196CF4"/>
    <w:rsid w:val="001A6777"/>
    <w:rsid w:val="00205211"/>
    <w:rsid w:val="00205235"/>
    <w:rsid w:val="00207167"/>
    <w:rsid w:val="002162FA"/>
    <w:rsid w:val="00224FDD"/>
    <w:rsid w:val="00226D27"/>
    <w:rsid w:val="00274333"/>
    <w:rsid w:val="00297E7E"/>
    <w:rsid w:val="002D65D4"/>
    <w:rsid w:val="002F6E1D"/>
    <w:rsid w:val="00320318"/>
    <w:rsid w:val="00321CA6"/>
    <w:rsid w:val="00324EF3"/>
    <w:rsid w:val="00345F40"/>
    <w:rsid w:val="003673E4"/>
    <w:rsid w:val="003777A4"/>
    <w:rsid w:val="0038785F"/>
    <w:rsid w:val="00392387"/>
    <w:rsid w:val="00396F37"/>
    <w:rsid w:val="003A42D2"/>
    <w:rsid w:val="003A71FD"/>
    <w:rsid w:val="003B2C81"/>
    <w:rsid w:val="003B32F5"/>
    <w:rsid w:val="003F5079"/>
    <w:rsid w:val="00413E00"/>
    <w:rsid w:val="004218E6"/>
    <w:rsid w:val="004243B3"/>
    <w:rsid w:val="00445BDE"/>
    <w:rsid w:val="00486175"/>
    <w:rsid w:val="004A6609"/>
    <w:rsid w:val="004D022E"/>
    <w:rsid w:val="004D199F"/>
    <w:rsid w:val="004E23A8"/>
    <w:rsid w:val="00501390"/>
    <w:rsid w:val="00514A69"/>
    <w:rsid w:val="00515F91"/>
    <w:rsid w:val="00522C11"/>
    <w:rsid w:val="005427D0"/>
    <w:rsid w:val="00543740"/>
    <w:rsid w:val="005469A6"/>
    <w:rsid w:val="0055039F"/>
    <w:rsid w:val="00552833"/>
    <w:rsid w:val="005628C4"/>
    <w:rsid w:val="00571283"/>
    <w:rsid w:val="00573C19"/>
    <w:rsid w:val="00592EB7"/>
    <w:rsid w:val="005C1F02"/>
    <w:rsid w:val="005F1B99"/>
    <w:rsid w:val="00623EE8"/>
    <w:rsid w:val="006316D7"/>
    <w:rsid w:val="00682AB6"/>
    <w:rsid w:val="00683768"/>
    <w:rsid w:val="00697E6F"/>
    <w:rsid w:val="006A42D2"/>
    <w:rsid w:val="006A770B"/>
    <w:rsid w:val="006D4A48"/>
    <w:rsid w:val="006F7F27"/>
    <w:rsid w:val="00711552"/>
    <w:rsid w:val="007143CF"/>
    <w:rsid w:val="0072212B"/>
    <w:rsid w:val="00765C42"/>
    <w:rsid w:val="007809DA"/>
    <w:rsid w:val="007A2FBD"/>
    <w:rsid w:val="007B0F8A"/>
    <w:rsid w:val="007C43B3"/>
    <w:rsid w:val="007D39C7"/>
    <w:rsid w:val="007E1C8D"/>
    <w:rsid w:val="007F4AEA"/>
    <w:rsid w:val="007F5856"/>
    <w:rsid w:val="00836AD9"/>
    <w:rsid w:val="00846615"/>
    <w:rsid w:val="0085109B"/>
    <w:rsid w:val="00851AFF"/>
    <w:rsid w:val="0085264B"/>
    <w:rsid w:val="00863B12"/>
    <w:rsid w:val="00884EB1"/>
    <w:rsid w:val="0088730B"/>
    <w:rsid w:val="00890307"/>
    <w:rsid w:val="008A4E6E"/>
    <w:rsid w:val="008B3DB9"/>
    <w:rsid w:val="008C067E"/>
    <w:rsid w:val="008D0F90"/>
    <w:rsid w:val="008D300C"/>
    <w:rsid w:val="008E2EC2"/>
    <w:rsid w:val="008F35C5"/>
    <w:rsid w:val="00902FFC"/>
    <w:rsid w:val="0091218E"/>
    <w:rsid w:val="00925017"/>
    <w:rsid w:val="00934629"/>
    <w:rsid w:val="00941B3A"/>
    <w:rsid w:val="00963A25"/>
    <w:rsid w:val="0097211B"/>
    <w:rsid w:val="009A6FA5"/>
    <w:rsid w:val="009C416B"/>
    <w:rsid w:val="009C7FB6"/>
    <w:rsid w:val="009E1284"/>
    <w:rsid w:val="00A16A14"/>
    <w:rsid w:val="00A32142"/>
    <w:rsid w:val="00A348F1"/>
    <w:rsid w:val="00A410B4"/>
    <w:rsid w:val="00A57256"/>
    <w:rsid w:val="00A57BFE"/>
    <w:rsid w:val="00A765EA"/>
    <w:rsid w:val="00A85A27"/>
    <w:rsid w:val="00AB6B38"/>
    <w:rsid w:val="00B43D86"/>
    <w:rsid w:val="00B50258"/>
    <w:rsid w:val="00B75522"/>
    <w:rsid w:val="00B85983"/>
    <w:rsid w:val="00BA649D"/>
    <w:rsid w:val="00BC36AC"/>
    <w:rsid w:val="00BC647B"/>
    <w:rsid w:val="00BE0623"/>
    <w:rsid w:val="00BE3750"/>
    <w:rsid w:val="00BF0E85"/>
    <w:rsid w:val="00C00C16"/>
    <w:rsid w:val="00C01853"/>
    <w:rsid w:val="00C07AF3"/>
    <w:rsid w:val="00C56A83"/>
    <w:rsid w:val="00C859E4"/>
    <w:rsid w:val="00CC0A05"/>
    <w:rsid w:val="00CC5B3E"/>
    <w:rsid w:val="00CD0B39"/>
    <w:rsid w:val="00D03029"/>
    <w:rsid w:val="00D22CA4"/>
    <w:rsid w:val="00D23E66"/>
    <w:rsid w:val="00D34D93"/>
    <w:rsid w:val="00D41F0D"/>
    <w:rsid w:val="00D55F38"/>
    <w:rsid w:val="00DA5155"/>
    <w:rsid w:val="00E122C5"/>
    <w:rsid w:val="00E51F3C"/>
    <w:rsid w:val="00E55E15"/>
    <w:rsid w:val="00E71B36"/>
    <w:rsid w:val="00EA0AB8"/>
    <w:rsid w:val="00EC365C"/>
    <w:rsid w:val="00EC44C1"/>
    <w:rsid w:val="00EC7867"/>
    <w:rsid w:val="00ED05BC"/>
    <w:rsid w:val="00EF19D5"/>
    <w:rsid w:val="00EF4562"/>
    <w:rsid w:val="00F62F96"/>
    <w:rsid w:val="00F658BB"/>
    <w:rsid w:val="00F740C7"/>
    <w:rsid w:val="00F9316E"/>
    <w:rsid w:val="00FB0377"/>
    <w:rsid w:val="00FB07ED"/>
    <w:rsid w:val="00F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43946"/>
  <w15:chartTrackingRefBased/>
  <w15:docId w15:val="{31F86A66-6F0F-4B4C-828D-DBED24A3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01A3"/>
    <w:pPr>
      <w:keepNext/>
      <w:keepLines/>
      <w:spacing w:before="160" w:after="80" w:line="276" w:lineRule="auto"/>
      <w:outlineLvl w:val="2"/>
    </w:pPr>
    <w:rPr>
      <w:rFonts w:eastAsiaTheme="majorEastAsia" w:cstheme="majorBidi"/>
      <w:color w:val="2F5496" w:themeColor="accent1" w:themeShade="BF"/>
      <w:kern w:val="2"/>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F3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PlainTable4">
    <w:name w:val="Plain Table 4"/>
    <w:basedOn w:val="TableNormal"/>
    <w:uiPriority w:val="44"/>
    <w:rsid w:val="00EF4562"/>
    <w:pPr>
      <w:spacing w:after="0" w:line="240" w:lineRule="auto"/>
    </w:pPr>
    <w:rPr>
      <w:rFonts w:eastAsiaTheme="minorEastAsia"/>
      <w:kern w:val="2"/>
      <w:sz w:val="24"/>
      <w:szCs w:val="24"/>
      <w:lang w:val="en-GB"/>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E1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E1C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1001A3"/>
    <w:rPr>
      <w:rFonts w:eastAsiaTheme="majorEastAsia" w:cstheme="majorBidi"/>
      <w:color w:val="2F5496" w:themeColor="accent1" w:themeShade="BF"/>
      <w:kern w:val="2"/>
      <w:sz w:val="28"/>
      <w:szCs w:val="28"/>
      <w:lang w:val="en-GB" w:eastAsia="en-GB"/>
      <w14:ligatures w14:val="standardContextual"/>
    </w:rPr>
  </w:style>
  <w:style w:type="paragraph" w:styleId="NormalWeb">
    <w:name w:val="Normal (Web)"/>
    <w:basedOn w:val="Normal"/>
    <w:uiPriority w:val="99"/>
    <w:semiHidden/>
    <w:unhideWhenUsed/>
    <w:rsid w:val="001001A3"/>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1001A3"/>
    <w:rPr>
      <w:b/>
      <w:bCs/>
    </w:rPr>
  </w:style>
  <w:style w:type="character" w:styleId="Hyperlink">
    <w:name w:val="Hyperlink"/>
    <w:basedOn w:val="DefaultParagraphFont"/>
    <w:uiPriority w:val="99"/>
    <w:unhideWhenUsed/>
    <w:rsid w:val="00D03029"/>
    <w:rPr>
      <w:color w:val="0563C1" w:themeColor="hyperlink"/>
      <w:u w:val="single"/>
    </w:rPr>
  </w:style>
  <w:style w:type="character" w:styleId="Emphasis">
    <w:name w:val="Emphasis"/>
    <w:basedOn w:val="DefaultParagraphFont"/>
    <w:uiPriority w:val="20"/>
    <w:qFormat/>
    <w:rsid w:val="00D03029"/>
    <w:rPr>
      <w:i/>
      <w:iCs/>
    </w:rPr>
  </w:style>
  <w:style w:type="character" w:styleId="UnresolvedMention">
    <w:name w:val="Unresolved Mention"/>
    <w:basedOn w:val="DefaultParagraphFont"/>
    <w:uiPriority w:val="99"/>
    <w:semiHidden/>
    <w:unhideWhenUsed/>
    <w:rsid w:val="009A6FA5"/>
    <w:rPr>
      <w:color w:val="605E5C"/>
      <w:shd w:val="clear" w:color="auto" w:fill="E1DFDD"/>
    </w:rPr>
  </w:style>
  <w:style w:type="character" w:customStyle="1" w:styleId="url">
    <w:name w:val="url"/>
    <w:basedOn w:val="DefaultParagraphFont"/>
    <w:rsid w:val="00851AFF"/>
  </w:style>
  <w:style w:type="paragraph" w:styleId="Header">
    <w:name w:val="header"/>
    <w:basedOn w:val="Normal"/>
    <w:link w:val="HeaderChar"/>
    <w:uiPriority w:val="99"/>
    <w:unhideWhenUsed/>
    <w:rsid w:val="00367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3E4"/>
  </w:style>
  <w:style w:type="paragraph" w:styleId="Footer">
    <w:name w:val="footer"/>
    <w:basedOn w:val="Normal"/>
    <w:link w:val="FooterChar"/>
    <w:uiPriority w:val="99"/>
    <w:unhideWhenUsed/>
    <w:rsid w:val="00367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023">
      <w:bodyDiv w:val="1"/>
      <w:marLeft w:val="0"/>
      <w:marRight w:val="0"/>
      <w:marTop w:val="0"/>
      <w:marBottom w:val="0"/>
      <w:divBdr>
        <w:top w:val="none" w:sz="0" w:space="0" w:color="auto"/>
        <w:left w:val="none" w:sz="0" w:space="0" w:color="auto"/>
        <w:bottom w:val="none" w:sz="0" w:space="0" w:color="auto"/>
        <w:right w:val="none" w:sz="0" w:space="0" w:color="auto"/>
      </w:divBdr>
      <w:divsChild>
        <w:div w:id="1718777431">
          <w:marLeft w:val="-720"/>
          <w:marRight w:val="0"/>
          <w:marTop w:val="0"/>
          <w:marBottom w:val="0"/>
          <w:divBdr>
            <w:top w:val="none" w:sz="0" w:space="0" w:color="auto"/>
            <w:left w:val="none" w:sz="0" w:space="0" w:color="auto"/>
            <w:bottom w:val="none" w:sz="0" w:space="0" w:color="auto"/>
            <w:right w:val="none" w:sz="0" w:space="0" w:color="auto"/>
          </w:divBdr>
        </w:div>
      </w:divsChild>
    </w:div>
    <w:div w:id="24018753">
      <w:bodyDiv w:val="1"/>
      <w:marLeft w:val="0"/>
      <w:marRight w:val="0"/>
      <w:marTop w:val="0"/>
      <w:marBottom w:val="0"/>
      <w:divBdr>
        <w:top w:val="none" w:sz="0" w:space="0" w:color="auto"/>
        <w:left w:val="none" w:sz="0" w:space="0" w:color="auto"/>
        <w:bottom w:val="none" w:sz="0" w:space="0" w:color="auto"/>
        <w:right w:val="none" w:sz="0" w:space="0" w:color="auto"/>
      </w:divBdr>
    </w:div>
    <w:div w:id="89208324">
      <w:bodyDiv w:val="1"/>
      <w:marLeft w:val="0"/>
      <w:marRight w:val="0"/>
      <w:marTop w:val="0"/>
      <w:marBottom w:val="0"/>
      <w:divBdr>
        <w:top w:val="none" w:sz="0" w:space="0" w:color="auto"/>
        <w:left w:val="none" w:sz="0" w:space="0" w:color="auto"/>
        <w:bottom w:val="none" w:sz="0" w:space="0" w:color="auto"/>
        <w:right w:val="none" w:sz="0" w:space="0" w:color="auto"/>
      </w:divBdr>
    </w:div>
    <w:div w:id="193469974">
      <w:bodyDiv w:val="1"/>
      <w:marLeft w:val="0"/>
      <w:marRight w:val="0"/>
      <w:marTop w:val="0"/>
      <w:marBottom w:val="0"/>
      <w:divBdr>
        <w:top w:val="none" w:sz="0" w:space="0" w:color="auto"/>
        <w:left w:val="none" w:sz="0" w:space="0" w:color="auto"/>
        <w:bottom w:val="none" w:sz="0" w:space="0" w:color="auto"/>
        <w:right w:val="none" w:sz="0" w:space="0" w:color="auto"/>
      </w:divBdr>
    </w:div>
    <w:div w:id="228808393">
      <w:bodyDiv w:val="1"/>
      <w:marLeft w:val="0"/>
      <w:marRight w:val="0"/>
      <w:marTop w:val="0"/>
      <w:marBottom w:val="0"/>
      <w:divBdr>
        <w:top w:val="none" w:sz="0" w:space="0" w:color="auto"/>
        <w:left w:val="none" w:sz="0" w:space="0" w:color="auto"/>
        <w:bottom w:val="none" w:sz="0" w:space="0" w:color="auto"/>
        <w:right w:val="none" w:sz="0" w:space="0" w:color="auto"/>
      </w:divBdr>
    </w:div>
    <w:div w:id="449393944">
      <w:bodyDiv w:val="1"/>
      <w:marLeft w:val="0"/>
      <w:marRight w:val="0"/>
      <w:marTop w:val="0"/>
      <w:marBottom w:val="0"/>
      <w:divBdr>
        <w:top w:val="none" w:sz="0" w:space="0" w:color="auto"/>
        <w:left w:val="none" w:sz="0" w:space="0" w:color="auto"/>
        <w:bottom w:val="none" w:sz="0" w:space="0" w:color="auto"/>
        <w:right w:val="none" w:sz="0" w:space="0" w:color="auto"/>
      </w:divBdr>
    </w:div>
    <w:div w:id="667097092">
      <w:bodyDiv w:val="1"/>
      <w:marLeft w:val="0"/>
      <w:marRight w:val="0"/>
      <w:marTop w:val="0"/>
      <w:marBottom w:val="0"/>
      <w:divBdr>
        <w:top w:val="none" w:sz="0" w:space="0" w:color="auto"/>
        <w:left w:val="none" w:sz="0" w:space="0" w:color="auto"/>
        <w:bottom w:val="none" w:sz="0" w:space="0" w:color="auto"/>
        <w:right w:val="none" w:sz="0" w:space="0" w:color="auto"/>
      </w:divBdr>
    </w:div>
    <w:div w:id="757559841">
      <w:bodyDiv w:val="1"/>
      <w:marLeft w:val="0"/>
      <w:marRight w:val="0"/>
      <w:marTop w:val="0"/>
      <w:marBottom w:val="0"/>
      <w:divBdr>
        <w:top w:val="none" w:sz="0" w:space="0" w:color="auto"/>
        <w:left w:val="none" w:sz="0" w:space="0" w:color="auto"/>
        <w:bottom w:val="none" w:sz="0" w:space="0" w:color="auto"/>
        <w:right w:val="none" w:sz="0" w:space="0" w:color="auto"/>
      </w:divBdr>
    </w:div>
    <w:div w:id="993989792">
      <w:bodyDiv w:val="1"/>
      <w:marLeft w:val="0"/>
      <w:marRight w:val="0"/>
      <w:marTop w:val="0"/>
      <w:marBottom w:val="0"/>
      <w:divBdr>
        <w:top w:val="none" w:sz="0" w:space="0" w:color="auto"/>
        <w:left w:val="none" w:sz="0" w:space="0" w:color="auto"/>
        <w:bottom w:val="none" w:sz="0" w:space="0" w:color="auto"/>
        <w:right w:val="none" w:sz="0" w:space="0" w:color="auto"/>
      </w:divBdr>
    </w:div>
    <w:div w:id="1245072071">
      <w:bodyDiv w:val="1"/>
      <w:marLeft w:val="0"/>
      <w:marRight w:val="0"/>
      <w:marTop w:val="0"/>
      <w:marBottom w:val="0"/>
      <w:divBdr>
        <w:top w:val="none" w:sz="0" w:space="0" w:color="auto"/>
        <w:left w:val="none" w:sz="0" w:space="0" w:color="auto"/>
        <w:bottom w:val="none" w:sz="0" w:space="0" w:color="auto"/>
        <w:right w:val="none" w:sz="0" w:space="0" w:color="auto"/>
      </w:divBdr>
    </w:div>
    <w:div w:id="1311128663">
      <w:bodyDiv w:val="1"/>
      <w:marLeft w:val="0"/>
      <w:marRight w:val="0"/>
      <w:marTop w:val="0"/>
      <w:marBottom w:val="0"/>
      <w:divBdr>
        <w:top w:val="none" w:sz="0" w:space="0" w:color="auto"/>
        <w:left w:val="none" w:sz="0" w:space="0" w:color="auto"/>
        <w:bottom w:val="none" w:sz="0" w:space="0" w:color="auto"/>
        <w:right w:val="none" w:sz="0" w:space="0" w:color="auto"/>
      </w:divBdr>
    </w:div>
    <w:div w:id="1411846523">
      <w:bodyDiv w:val="1"/>
      <w:marLeft w:val="0"/>
      <w:marRight w:val="0"/>
      <w:marTop w:val="0"/>
      <w:marBottom w:val="0"/>
      <w:divBdr>
        <w:top w:val="none" w:sz="0" w:space="0" w:color="auto"/>
        <w:left w:val="none" w:sz="0" w:space="0" w:color="auto"/>
        <w:bottom w:val="none" w:sz="0" w:space="0" w:color="auto"/>
        <w:right w:val="none" w:sz="0" w:space="0" w:color="auto"/>
      </w:divBdr>
    </w:div>
    <w:div w:id="1757094702">
      <w:bodyDiv w:val="1"/>
      <w:marLeft w:val="0"/>
      <w:marRight w:val="0"/>
      <w:marTop w:val="0"/>
      <w:marBottom w:val="0"/>
      <w:divBdr>
        <w:top w:val="none" w:sz="0" w:space="0" w:color="auto"/>
        <w:left w:val="none" w:sz="0" w:space="0" w:color="auto"/>
        <w:bottom w:val="none" w:sz="0" w:space="0" w:color="auto"/>
        <w:right w:val="none" w:sz="0" w:space="0" w:color="auto"/>
      </w:divBdr>
    </w:div>
    <w:div w:id="1809543249">
      <w:bodyDiv w:val="1"/>
      <w:marLeft w:val="0"/>
      <w:marRight w:val="0"/>
      <w:marTop w:val="0"/>
      <w:marBottom w:val="0"/>
      <w:divBdr>
        <w:top w:val="none" w:sz="0" w:space="0" w:color="auto"/>
        <w:left w:val="none" w:sz="0" w:space="0" w:color="auto"/>
        <w:bottom w:val="none" w:sz="0" w:space="0" w:color="auto"/>
        <w:right w:val="none" w:sz="0" w:space="0" w:color="auto"/>
      </w:divBdr>
    </w:div>
    <w:div w:id="1864320653">
      <w:bodyDiv w:val="1"/>
      <w:marLeft w:val="0"/>
      <w:marRight w:val="0"/>
      <w:marTop w:val="0"/>
      <w:marBottom w:val="0"/>
      <w:divBdr>
        <w:top w:val="none" w:sz="0" w:space="0" w:color="auto"/>
        <w:left w:val="none" w:sz="0" w:space="0" w:color="auto"/>
        <w:bottom w:val="none" w:sz="0" w:space="0" w:color="auto"/>
        <w:right w:val="none" w:sz="0" w:space="0" w:color="auto"/>
      </w:divBdr>
    </w:div>
    <w:div w:id="18888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heliyon.2024.e24838" TargetMode="External"/><Relationship Id="rId18" Type="http://schemas.openxmlformats.org/officeDocument/2006/relationships/hyperlink" Target="https://doi.org/10.3389/fped.2023.1265739" TargetMode="External"/><Relationship Id="rId26" Type="http://schemas.openxmlformats.org/officeDocument/2006/relationships/hyperlink" Target="https://doi.org/10.1186/s12887-025-05772-9" TargetMode="External"/><Relationship Id="rId3" Type="http://schemas.openxmlformats.org/officeDocument/2006/relationships/settings" Target="settings.xml"/><Relationship Id="rId21" Type="http://schemas.openxmlformats.org/officeDocument/2006/relationships/hyperlink" Target="https://doi.org/10.1111/1471-0528.17865"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0442/ahr.1004-01-252" TargetMode="External"/><Relationship Id="rId17" Type="http://schemas.openxmlformats.org/officeDocument/2006/relationships/hyperlink" Target="https://doi" TargetMode="External"/><Relationship Id="rId25" Type="http://schemas.openxmlformats.org/officeDocument/2006/relationships/hyperlink" Target="https://doi.org/10.4103/mtsm.mtsm_1_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 TargetMode="External"/><Relationship Id="rId20" Type="http://schemas.openxmlformats.org/officeDocument/2006/relationships/hyperlink" Target="http://www.population.gov.ng/index.php/publication/140-popn-distri-by-sex-state-jgas-and-senatorial-distr-20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2402-1008028487" TargetMode="External"/><Relationship Id="rId24" Type="http://schemas.openxmlformats.org/officeDocument/2006/relationships/hyperlink" Target="https://doi.org/10.47176/mjiri.36.5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52/physrev.00004.2019" TargetMode="External"/><Relationship Id="rId23" Type="http://schemas.openxmlformats.org/officeDocument/2006/relationships/hyperlink" Target="https://doi.org/10.1186/s12887-018-1174-z" TargetMode="External"/><Relationship Id="rId28" Type="http://schemas.openxmlformats.org/officeDocument/2006/relationships/header" Target="header2.xml"/><Relationship Id="rId10" Type="http://schemas.openxmlformats.org/officeDocument/2006/relationships/hyperlink" Target="http://annalsofrscb.ro/index.php/journal/article/view/5988" TargetMode="External"/><Relationship Id="rId19" Type="http://schemas.openxmlformats.org/officeDocument/2006/relationships/hyperlink" Target="https://doi.org/10.4236/jbm.2022.101001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1248/jphd2023.125" TargetMode="External"/><Relationship Id="rId22" Type="http://schemas.openxmlformats.org/officeDocument/2006/relationships/hyperlink" Target="https://doi.org/10.1016/j.gpeds.2023.100131"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MR%20EBENEZER%20STAT\MR%20EBENEZER%20RAW%20DATA%20=%20AUG%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MR%20EBENEZER%20STAT\MR%20EBENEZER%20RAW%20DATA%20=%20AUG%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Total Bil.</c:v>
          </c:tx>
          <c:spPr>
            <a:ln w="19050">
              <a:noFill/>
            </a:ln>
          </c:spPr>
          <c:trendline>
            <c:trendlineType val="linear"/>
            <c:dispRSqr val="0"/>
            <c:dispEq val="1"/>
            <c:trendlineLbl>
              <c:layout>
                <c:manualLayout>
                  <c:x val="8.2134018961915481E-2"/>
                  <c:y val="-0.52582120416766087"/>
                </c:manualLayout>
              </c:layout>
              <c:numFmt formatCode="General" sourceLinked="0"/>
            </c:trendlineLbl>
          </c:trendline>
          <c:xVal>
            <c:numRef>
              <c:f>Sheet1!$C$2:$C$138</c:f>
              <c:numCache>
                <c:formatCode>General</c:formatCode>
                <c:ptCount val="137"/>
                <c:pt idx="0">
                  <c:v>3</c:v>
                </c:pt>
                <c:pt idx="1">
                  <c:v>4</c:v>
                </c:pt>
                <c:pt idx="2">
                  <c:v>28</c:v>
                </c:pt>
                <c:pt idx="3">
                  <c:v>2</c:v>
                </c:pt>
                <c:pt idx="4">
                  <c:v>2</c:v>
                </c:pt>
                <c:pt idx="5">
                  <c:v>3</c:v>
                </c:pt>
                <c:pt idx="6">
                  <c:v>7</c:v>
                </c:pt>
                <c:pt idx="7">
                  <c:v>14</c:v>
                </c:pt>
                <c:pt idx="8">
                  <c:v>21</c:v>
                </c:pt>
                <c:pt idx="9">
                  <c:v>4</c:v>
                </c:pt>
                <c:pt idx="10">
                  <c:v>11</c:v>
                </c:pt>
                <c:pt idx="11">
                  <c:v>1</c:v>
                </c:pt>
                <c:pt idx="12">
                  <c:v>2</c:v>
                </c:pt>
                <c:pt idx="13">
                  <c:v>7</c:v>
                </c:pt>
                <c:pt idx="14">
                  <c:v>6</c:v>
                </c:pt>
                <c:pt idx="15">
                  <c:v>2</c:v>
                </c:pt>
                <c:pt idx="16">
                  <c:v>7</c:v>
                </c:pt>
                <c:pt idx="17">
                  <c:v>8</c:v>
                </c:pt>
                <c:pt idx="18">
                  <c:v>3</c:v>
                </c:pt>
                <c:pt idx="19">
                  <c:v>5</c:v>
                </c:pt>
                <c:pt idx="20">
                  <c:v>6</c:v>
                </c:pt>
                <c:pt idx="21">
                  <c:v>9</c:v>
                </c:pt>
                <c:pt idx="22">
                  <c:v>1</c:v>
                </c:pt>
                <c:pt idx="23">
                  <c:v>1</c:v>
                </c:pt>
                <c:pt idx="24">
                  <c:v>3</c:v>
                </c:pt>
                <c:pt idx="25">
                  <c:v>3</c:v>
                </c:pt>
                <c:pt idx="26">
                  <c:v>11</c:v>
                </c:pt>
                <c:pt idx="27">
                  <c:v>9</c:v>
                </c:pt>
                <c:pt idx="28">
                  <c:v>6</c:v>
                </c:pt>
                <c:pt idx="29">
                  <c:v>8</c:v>
                </c:pt>
                <c:pt idx="30">
                  <c:v>9</c:v>
                </c:pt>
                <c:pt idx="31">
                  <c:v>5</c:v>
                </c:pt>
                <c:pt idx="32">
                  <c:v>7</c:v>
                </c:pt>
                <c:pt idx="33">
                  <c:v>2</c:v>
                </c:pt>
                <c:pt idx="34">
                  <c:v>3</c:v>
                </c:pt>
                <c:pt idx="35">
                  <c:v>3</c:v>
                </c:pt>
                <c:pt idx="36">
                  <c:v>5</c:v>
                </c:pt>
                <c:pt idx="37">
                  <c:v>5</c:v>
                </c:pt>
                <c:pt idx="38">
                  <c:v>6</c:v>
                </c:pt>
                <c:pt idx="39">
                  <c:v>7</c:v>
                </c:pt>
                <c:pt idx="40">
                  <c:v>2</c:v>
                </c:pt>
                <c:pt idx="41">
                  <c:v>5</c:v>
                </c:pt>
                <c:pt idx="42">
                  <c:v>2</c:v>
                </c:pt>
                <c:pt idx="43">
                  <c:v>5</c:v>
                </c:pt>
                <c:pt idx="44">
                  <c:v>5</c:v>
                </c:pt>
                <c:pt idx="45">
                  <c:v>6</c:v>
                </c:pt>
                <c:pt idx="46">
                  <c:v>17</c:v>
                </c:pt>
                <c:pt idx="47">
                  <c:v>8</c:v>
                </c:pt>
                <c:pt idx="48">
                  <c:v>6</c:v>
                </c:pt>
                <c:pt idx="49">
                  <c:v>2</c:v>
                </c:pt>
                <c:pt idx="50">
                  <c:v>1</c:v>
                </c:pt>
                <c:pt idx="51">
                  <c:v>4</c:v>
                </c:pt>
                <c:pt idx="52">
                  <c:v>3</c:v>
                </c:pt>
                <c:pt idx="53">
                  <c:v>2</c:v>
                </c:pt>
                <c:pt idx="54">
                  <c:v>2</c:v>
                </c:pt>
                <c:pt idx="55">
                  <c:v>7</c:v>
                </c:pt>
                <c:pt idx="56">
                  <c:v>8</c:v>
                </c:pt>
                <c:pt idx="57">
                  <c:v>10</c:v>
                </c:pt>
                <c:pt idx="58">
                  <c:v>7</c:v>
                </c:pt>
                <c:pt idx="59">
                  <c:v>20</c:v>
                </c:pt>
                <c:pt idx="60">
                  <c:v>22</c:v>
                </c:pt>
                <c:pt idx="61">
                  <c:v>2</c:v>
                </c:pt>
                <c:pt idx="62">
                  <c:v>1</c:v>
                </c:pt>
                <c:pt idx="63">
                  <c:v>1</c:v>
                </c:pt>
                <c:pt idx="64">
                  <c:v>1</c:v>
                </c:pt>
                <c:pt idx="65">
                  <c:v>1</c:v>
                </c:pt>
                <c:pt idx="66">
                  <c:v>7</c:v>
                </c:pt>
                <c:pt idx="67">
                  <c:v>8</c:v>
                </c:pt>
                <c:pt idx="68">
                  <c:v>28</c:v>
                </c:pt>
                <c:pt idx="69">
                  <c:v>28</c:v>
                </c:pt>
                <c:pt idx="70">
                  <c:v>6</c:v>
                </c:pt>
                <c:pt idx="71">
                  <c:v>7</c:v>
                </c:pt>
                <c:pt idx="72">
                  <c:v>14</c:v>
                </c:pt>
                <c:pt idx="73">
                  <c:v>28</c:v>
                </c:pt>
                <c:pt idx="74">
                  <c:v>21</c:v>
                </c:pt>
                <c:pt idx="75">
                  <c:v>11</c:v>
                </c:pt>
                <c:pt idx="76">
                  <c:v>18</c:v>
                </c:pt>
                <c:pt idx="77">
                  <c:v>8</c:v>
                </c:pt>
                <c:pt idx="78">
                  <c:v>9</c:v>
                </c:pt>
                <c:pt idx="79">
                  <c:v>11</c:v>
                </c:pt>
                <c:pt idx="80">
                  <c:v>12</c:v>
                </c:pt>
                <c:pt idx="81">
                  <c:v>9</c:v>
                </c:pt>
                <c:pt idx="82">
                  <c:v>14</c:v>
                </c:pt>
                <c:pt idx="83">
                  <c:v>15</c:v>
                </c:pt>
                <c:pt idx="84">
                  <c:v>10</c:v>
                </c:pt>
                <c:pt idx="85">
                  <c:v>12</c:v>
                </c:pt>
                <c:pt idx="86">
                  <c:v>11</c:v>
                </c:pt>
                <c:pt idx="87">
                  <c:v>16</c:v>
                </c:pt>
                <c:pt idx="88">
                  <c:v>8</c:v>
                </c:pt>
                <c:pt idx="89">
                  <c:v>8</c:v>
                </c:pt>
                <c:pt idx="90">
                  <c:v>10</c:v>
                </c:pt>
                <c:pt idx="91">
                  <c:v>10</c:v>
                </c:pt>
                <c:pt idx="92">
                  <c:v>18</c:v>
                </c:pt>
                <c:pt idx="93">
                  <c:v>16</c:v>
                </c:pt>
                <c:pt idx="94">
                  <c:v>15</c:v>
                </c:pt>
                <c:pt idx="95">
                  <c:v>16</c:v>
                </c:pt>
                <c:pt idx="96">
                  <c:v>12</c:v>
                </c:pt>
                <c:pt idx="97">
                  <c:v>14</c:v>
                </c:pt>
                <c:pt idx="98">
                  <c:v>9</c:v>
                </c:pt>
                <c:pt idx="99">
                  <c:v>10</c:v>
                </c:pt>
                <c:pt idx="100">
                  <c:v>10</c:v>
                </c:pt>
                <c:pt idx="101">
                  <c:v>12</c:v>
                </c:pt>
                <c:pt idx="102">
                  <c:v>12</c:v>
                </c:pt>
                <c:pt idx="103">
                  <c:v>13</c:v>
                </c:pt>
                <c:pt idx="104">
                  <c:v>14</c:v>
                </c:pt>
                <c:pt idx="105">
                  <c:v>9</c:v>
                </c:pt>
                <c:pt idx="106">
                  <c:v>12</c:v>
                </c:pt>
                <c:pt idx="107">
                  <c:v>9</c:v>
                </c:pt>
                <c:pt idx="108">
                  <c:v>9</c:v>
                </c:pt>
                <c:pt idx="109">
                  <c:v>12</c:v>
                </c:pt>
                <c:pt idx="110">
                  <c:v>12</c:v>
                </c:pt>
                <c:pt idx="111">
                  <c:v>11</c:v>
                </c:pt>
                <c:pt idx="112">
                  <c:v>24</c:v>
                </c:pt>
                <c:pt idx="113">
                  <c:v>15</c:v>
                </c:pt>
                <c:pt idx="114">
                  <c:v>13</c:v>
                </c:pt>
                <c:pt idx="115">
                  <c:v>9</c:v>
                </c:pt>
                <c:pt idx="116">
                  <c:v>8</c:v>
                </c:pt>
                <c:pt idx="117">
                  <c:v>11</c:v>
                </c:pt>
                <c:pt idx="118">
                  <c:v>10</c:v>
                </c:pt>
                <c:pt idx="119">
                  <c:v>9</c:v>
                </c:pt>
                <c:pt idx="120">
                  <c:v>9</c:v>
                </c:pt>
                <c:pt idx="121">
                  <c:v>14</c:v>
                </c:pt>
                <c:pt idx="122">
                  <c:v>15</c:v>
                </c:pt>
                <c:pt idx="123">
                  <c:v>17</c:v>
                </c:pt>
                <c:pt idx="124">
                  <c:v>14</c:v>
                </c:pt>
                <c:pt idx="125">
                  <c:v>27</c:v>
                </c:pt>
                <c:pt idx="126">
                  <c:v>28</c:v>
                </c:pt>
                <c:pt idx="127">
                  <c:v>19</c:v>
                </c:pt>
                <c:pt idx="128">
                  <c:v>12</c:v>
                </c:pt>
                <c:pt idx="129">
                  <c:v>20</c:v>
                </c:pt>
                <c:pt idx="130">
                  <c:v>25</c:v>
                </c:pt>
                <c:pt idx="131">
                  <c:v>22</c:v>
                </c:pt>
                <c:pt idx="132">
                  <c:v>28</c:v>
                </c:pt>
                <c:pt idx="133">
                  <c:v>28</c:v>
                </c:pt>
                <c:pt idx="134">
                  <c:v>6</c:v>
                </c:pt>
                <c:pt idx="135">
                  <c:v>7</c:v>
                </c:pt>
                <c:pt idx="136">
                  <c:v>14</c:v>
                </c:pt>
              </c:numCache>
            </c:numRef>
          </c:xVal>
          <c:yVal>
            <c:numRef>
              <c:f>Sheet1!$E$2:$E$138</c:f>
              <c:numCache>
                <c:formatCode>0.0</c:formatCode>
                <c:ptCount val="137"/>
                <c:pt idx="0" formatCode="General">
                  <c:v>339.9</c:v>
                </c:pt>
                <c:pt idx="1">
                  <c:v>133</c:v>
                </c:pt>
                <c:pt idx="2" formatCode="General">
                  <c:v>143.19999999999999</c:v>
                </c:pt>
                <c:pt idx="3" formatCode="General">
                  <c:v>428.9</c:v>
                </c:pt>
                <c:pt idx="4" formatCode="General">
                  <c:v>228.6</c:v>
                </c:pt>
                <c:pt idx="5" formatCode="General">
                  <c:v>275.8</c:v>
                </c:pt>
                <c:pt idx="6" formatCode="General">
                  <c:v>412.1</c:v>
                </c:pt>
                <c:pt idx="7" formatCode="General">
                  <c:v>207.5</c:v>
                </c:pt>
                <c:pt idx="8" formatCode="General">
                  <c:v>255.9</c:v>
                </c:pt>
                <c:pt idx="9" formatCode="General">
                  <c:v>241.7</c:v>
                </c:pt>
                <c:pt idx="10" formatCode="General">
                  <c:v>287.2</c:v>
                </c:pt>
                <c:pt idx="11" formatCode="General">
                  <c:v>151.19999999999999</c:v>
                </c:pt>
                <c:pt idx="12" formatCode="General">
                  <c:v>223.5</c:v>
                </c:pt>
                <c:pt idx="13" formatCode="General">
                  <c:v>128.1</c:v>
                </c:pt>
                <c:pt idx="14" formatCode="General">
                  <c:v>208.7</c:v>
                </c:pt>
                <c:pt idx="15" formatCode="General">
                  <c:v>494.5</c:v>
                </c:pt>
                <c:pt idx="16" formatCode="General">
                  <c:v>253.4</c:v>
                </c:pt>
                <c:pt idx="17" formatCode="General">
                  <c:v>201.4</c:v>
                </c:pt>
                <c:pt idx="18" formatCode="General">
                  <c:v>221.1</c:v>
                </c:pt>
                <c:pt idx="19" formatCode="General">
                  <c:v>128.4</c:v>
                </c:pt>
                <c:pt idx="20" formatCode="General">
                  <c:v>146.80000000000001</c:v>
                </c:pt>
                <c:pt idx="21" formatCode="General">
                  <c:v>187.2</c:v>
                </c:pt>
                <c:pt idx="22">
                  <c:v>194</c:v>
                </c:pt>
                <c:pt idx="23" formatCode="General">
                  <c:v>138.80000000000001</c:v>
                </c:pt>
                <c:pt idx="24" formatCode="General">
                  <c:v>494.5</c:v>
                </c:pt>
                <c:pt idx="25" formatCode="General">
                  <c:v>151.19999999999999</c:v>
                </c:pt>
                <c:pt idx="26" formatCode="General">
                  <c:v>287.2</c:v>
                </c:pt>
                <c:pt idx="27">
                  <c:v>202</c:v>
                </c:pt>
                <c:pt idx="28" formatCode="General">
                  <c:v>174.4</c:v>
                </c:pt>
                <c:pt idx="29" formatCode="General">
                  <c:v>168.5</c:v>
                </c:pt>
                <c:pt idx="30" formatCode="General">
                  <c:v>109.8</c:v>
                </c:pt>
                <c:pt idx="31" formatCode="General">
                  <c:v>162.1</c:v>
                </c:pt>
                <c:pt idx="32" formatCode="General">
                  <c:v>224.9</c:v>
                </c:pt>
                <c:pt idx="33" formatCode="General">
                  <c:v>271.5</c:v>
                </c:pt>
                <c:pt idx="34" formatCode="General">
                  <c:v>228.8</c:v>
                </c:pt>
                <c:pt idx="35" formatCode="General">
                  <c:v>376.2</c:v>
                </c:pt>
                <c:pt idx="36" formatCode="General">
                  <c:v>149.1</c:v>
                </c:pt>
                <c:pt idx="37" formatCode="General">
                  <c:v>224.1</c:v>
                </c:pt>
                <c:pt idx="38" formatCode="General">
                  <c:v>205.2</c:v>
                </c:pt>
                <c:pt idx="39" formatCode="General">
                  <c:v>133.30000000000001</c:v>
                </c:pt>
                <c:pt idx="40" formatCode="General">
                  <c:v>428.9</c:v>
                </c:pt>
                <c:pt idx="41" formatCode="General">
                  <c:v>181.8</c:v>
                </c:pt>
                <c:pt idx="42" formatCode="General">
                  <c:v>557.5</c:v>
                </c:pt>
                <c:pt idx="43" formatCode="General">
                  <c:v>280.39999999999998</c:v>
                </c:pt>
                <c:pt idx="44" formatCode="General">
                  <c:v>215.2</c:v>
                </c:pt>
                <c:pt idx="45" formatCode="General">
                  <c:v>134.6</c:v>
                </c:pt>
                <c:pt idx="46" formatCode="General">
                  <c:v>128.69999999999999</c:v>
                </c:pt>
                <c:pt idx="47" formatCode="General">
                  <c:v>122.8</c:v>
                </c:pt>
                <c:pt idx="48" formatCode="General">
                  <c:v>128.9</c:v>
                </c:pt>
                <c:pt idx="49" formatCode="General">
                  <c:v>131.69999999999999</c:v>
                </c:pt>
                <c:pt idx="50" formatCode="General">
                  <c:v>123.8</c:v>
                </c:pt>
                <c:pt idx="51" formatCode="General">
                  <c:v>134.6</c:v>
                </c:pt>
                <c:pt idx="52">
                  <c:v>125.5</c:v>
                </c:pt>
                <c:pt idx="53" formatCode="General">
                  <c:v>135.80000000000001</c:v>
                </c:pt>
                <c:pt idx="54" formatCode="General">
                  <c:v>134.9</c:v>
                </c:pt>
                <c:pt idx="55" formatCode="General">
                  <c:v>118.7</c:v>
                </c:pt>
                <c:pt idx="56" formatCode="General">
                  <c:v>129</c:v>
                </c:pt>
                <c:pt idx="57" formatCode="General">
                  <c:v>118.8</c:v>
                </c:pt>
                <c:pt idx="58" formatCode="General">
                  <c:v>131.6</c:v>
                </c:pt>
                <c:pt idx="59" formatCode="General">
                  <c:v>121.9</c:v>
                </c:pt>
                <c:pt idx="60" formatCode="General">
                  <c:v>109.8</c:v>
                </c:pt>
                <c:pt idx="61" formatCode="General">
                  <c:v>130.80000000000001</c:v>
                </c:pt>
                <c:pt idx="62" formatCode="General">
                  <c:v>137</c:v>
                </c:pt>
                <c:pt idx="63" formatCode="General">
                  <c:v>138</c:v>
                </c:pt>
                <c:pt idx="64" formatCode="General">
                  <c:v>425.9</c:v>
                </c:pt>
                <c:pt idx="65" formatCode="General">
                  <c:v>137.9</c:v>
                </c:pt>
                <c:pt idx="66" formatCode="General">
                  <c:v>127.8</c:v>
                </c:pt>
                <c:pt idx="67" formatCode="General">
                  <c:v>130.1</c:v>
                </c:pt>
                <c:pt idx="68" formatCode="General">
                  <c:v>101.6</c:v>
                </c:pt>
                <c:pt idx="69" formatCode="General">
                  <c:v>115.7</c:v>
                </c:pt>
                <c:pt idx="70" formatCode="General">
                  <c:v>100.5</c:v>
                </c:pt>
                <c:pt idx="71" formatCode="General">
                  <c:v>98.6</c:v>
                </c:pt>
                <c:pt idx="72" formatCode="General">
                  <c:v>120.6</c:v>
                </c:pt>
                <c:pt idx="73" formatCode="General">
                  <c:v>133.5</c:v>
                </c:pt>
                <c:pt idx="74" formatCode="General">
                  <c:v>128.6</c:v>
                </c:pt>
                <c:pt idx="75" formatCode="General">
                  <c:v>118.6</c:v>
                </c:pt>
                <c:pt idx="76" formatCode="General">
                  <c:v>122.6</c:v>
                </c:pt>
                <c:pt idx="77" formatCode="General">
                  <c:v>115.8</c:v>
                </c:pt>
                <c:pt idx="78" formatCode="General">
                  <c:v>135.5</c:v>
                </c:pt>
                <c:pt idx="79" formatCode="General">
                  <c:v>125.6</c:v>
                </c:pt>
                <c:pt idx="80" formatCode="General">
                  <c:v>122.7</c:v>
                </c:pt>
                <c:pt idx="81" formatCode="General">
                  <c:v>109.6</c:v>
                </c:pt>
                <c:pt idx="82" formatCode="General">
                  <c:v>110.6</c:v>
                </c:pt>
                <c:pt idx="83" formatCode="General">
                  <c:v>115.7</c:v>
                </c:pt>
                <c:pt idx="84" formatCode="General">
                  <c:v>120.8</c:v>
                </c:pt>
                <c:pt idx="85" formatCode="General">
                  <c:v>90.6</c:v>
                </c:pt>
                <c:pt idx="86" formatCode="General">
                  <c:v>88.9</c:v>
                </c:pt>
                <c:pt idx="87" formatCode="General">
                  <c:v>98.9</c:v>
                </c:pt>
                <c:pt idx="88" formatCode="General">
                  <c:v>136.1</c:v>
                </c:pt>
                <c:pt idx="89" formatCode="General">
                  <c:v>114.2</c:v>
                </c:pt>
                <c:pt idx="90" formatCode="General">
                  <c:v>112.6</c:v>
                </c:pt>
                <c:pt idx="91" formatCode="General">
                  <c:v>118.9</c:v>
                </c:pt>
                <c:pt idx="92" formatCode="General">
                  <c:v>121.1</c:v>
                </c:pt>
                <c:pt idx="93" formatCode="General">
                  <c:v>135.6</c:v>
                </c:pt>
                <c:pt idx="94" formatCode="General">
                  <c:v>136.80000000000001</c:v>
                </c:pt>
                <c:pt idx="95" formatCode="General">
                  <c:v>133.30000000000001</c:v>
                </c:pt>
                <c:pt idx="96" formatCode="General">
                  <c:v>119.2</c:v>
                </c:pt>
                <c:pt idx="97" formatCode="General">
                  <c:v>134.5</c:v>
                </c:pt>
                <c:pt idx="98" formatCode="General">
                  <c:v>127.1</c:v>
                </c:pt>
                <c:pt idx="99" formatCode="General">
                  <c:v>126.8</c:v>
                </c:pt>
                <c:pt idx="100" formatCode="General">
                  <c:v>136.1</c:v>
                </c:pt>
                <c:pt idx="101" formatCode="General">
                  <c:v>135.6</c:v>
                </c:pt>
                <c:pt idx="102" formatCode="General">
                  <c:v>129.1</c:v>
                </c:pt>
                <c:pt idx="103" formatCode="General">
                  <c:v>130.30000000000001</c:v>
                </c:pt>
                <c:pt idx="104" formatCode="General">
                  <c:v>128.6</c:v>
                </c:pt>
                <c:pt idx="105" formatCode="General">
                  <c:v>136.6</c:v>
                </c:pt>
                <c:pt idx="106" formatCode="General">
                  <c:v>132.19999999999999</c:v>
                </c:pt>
                <c:pt idx="107" formatCode="General">
                  <c:v>122.3</c:v>
                </c:pt>
                <c:pt idx="108" formatCode="General">
                  <c:v>128.6</c:v>
                </c:pt>
                <c:pt idx="109" formatCode="General">
                  <c:v>138.19999999999999</c:v>
                </c:pt>
                <c:pt idx="110" formatCode="General">
                  <c:v>119.1</c:v>
                </c:pt>
                <c:pt idx="111" formatCode="General">
                  <c:v>130.1</c:v>
                </c:pt>
                <c:pt idx="112" formatCode="General">
                  <c:v>108.9</c:v>
                </c:pt>
                <c:pt idx="113">
                  <c:v>137</c:v>
                </c:pt>
                <c:pt idx="114" formatCode="General">
                  <c:v>136.30000000000001</c:v>
                </c:pt>
                <c:pt idx="115" formatCode="General">
                  <c:v>135.1</c:v>
                </c:pt>
                <c:pt idx="116">
                  <c:v>137</c:v>
                </c:pt>
                <c:pt idx="117" formatCode="General">
                  <c:v>114.8</c:v>
                </c:pt>
                <c:pt idx="118" formatCode="General">
                  <c:v>133.9</c:v>
                </c:pt>
                <c:pt idx="119" formatCode="General">
                  <c:v>128.9</c:v>
                </c:pt>
                <c:pt idx="120" formatCode="General">
                  <c:v>129.5</c:v>
                </c:pt>
                <c:pt idx="121" formatCode="General">
                  <c:v>135.1</c:v>
                </c:pt>
                <c:pt idx="122" formatCode="General">
                  <c:v>132.1</c:v>
                </c:pt>
                <c:pt idx="123" formatCode="General">
                  <c:v>121.2</c:v>
                </c:pt>
                <c:pt idx="124" formatCode="General">
                  <c:v>102.9</c:v>
                </c:pt>
                <c:pt idx="125" formatCode="General">
                  <c:v>79.099999999999994</c:v>
                </c:pt>
                <c:pt idx="126" formatCode="General">
                  <c:v>78.900000000000006</c:v>
                </c:pt>
                <c:pt idx="127" formatCode="General">
                  <c:v>117.1</c:v>
                </c:pt>
                <c:pt idx="128" formatCode="General">
                  <c:v>102.7</c:v>
                </c:pt>
                <c:pt idx="129" formatCode="General">
                  <c:v>78.599999999999994</c:v>
                </c:pt>
                <c:pt idx="130" formatCode="General">
                  <c:v>88.7</c:v>
                </c:pt>
                <c:pt idx="131" formatCode="General">
                  <c:v>98.6</c:v>
                </c:pt>
                <c:pt idx="132" formatCode="General">
                  <c:v>101.6</c:v>
                </c:pt>
                <c:pt idx="133" formatCode="General">
                  <c:v>115.7</c:v>
                </c:pt>
                <c:pt idx="134" formatCode="General">
                  <c:v>100.5</c:v>
                </c:pt>
                <c:pt idx="135" formatCode="General">
                  <c:v>98.6</c:v>
                </c:pt>
                <c:pt idx="136" formatCode="General">
                  <c:v>120.6</c:v>
                </c:pt>
              </c:numCache>
            </c:numRef>
          </c:yVal>
          <c:smooth val="0"/>
          <c:extLst>
            <c:ext xmlns:c16="http://schemas.microsoft.com/office/drawing/2014/chart" uri="{C3380CC4-5D6E-409C-BE32-E72D297353CC}">
              <c16:uniqueId val="{00000001-4CA7-41CA-8C68-695B295EFA5D}"/>
            </c:ext>
          </c:extLst>
        </c:ser>
        <c:dLbls>
          <c:showLegendKey val="0"/>
          <c:showVal val="0"/>
          <c:showCatName val="0"/>
          <c:showSerName val="0"/>
          <c:showPercent val="0"/>
          <c:showBubbleSize val="0"/>
        </c:dLbls>
        <c:axId val="1968159248"/>
        <c:axId val="1968161648"/>
      </c:scatterChart>
      <c:valAx>
        <c:axId val="1968159248"/>
        <c:scaling>
          <c:orientation val="minMax"/>
        </c:scaling>
        <c:delete val="0"/>
        <c:axPos val="b"/>
        <c:title>
          <c:tx>
            <c:rich>
              <a:bodyPr/>
              <a:lstStyle/>
              <a:p>
                <a:pPr>
                  <a:defRPr/>
                </a:pPr>
                <a:r>
                  <a:rPr lang="en-US"/>
                  <a:t>Age(Day)</a:t>
                </a:r>
              </a:p>
            </c:rich>
          </c:tx>
          <c:overlay val="0"/>
        </c:title>
        <c:numFmt formatCode="General" sourceLinked="1"/>
        <c:majorTickMark val="out"/>
        <c:minorTickMark val="none"/>
        <c:tickLblPos val="nextTo"/>
        <c:crossAx val="1968161648"/>
        <c:crosses val="autoZero"/>
        <c:crossBetween val="midCat"/>
      </c:valAx>
      <c:valAx>
        <c:axId val="1968161648"/>
        <c:scaling>
          <c:orientation val="minMax"/>
        </c:scaling>
        <c:delete val="0"/>
        <c:axPos val="l"/>
        <c:title>
          <c:tx>
            <c:rich>
              <a:bodyPr/>
              <a:lstStyle/>
              <a:p>
                <a:pPr>
                  <a:defRPr/>
                </a:pPr>
                <a:r>
                  <a:rPr lang="en-US"/>
                  <a:t>Total Bil.</a:t>
                </a:r>
              </a:p>
            </c:rich>
          </c:tx>
          <c:overlay val="0"/>
        </c:title>
        <c:numFmt formatCode="General" sourceLinked="1"/>
        <c:majorTickMark val="out"/>
        <c:minorTickMark val="none"/>
        <c:tickLblPos val="nextTo"/>
        <c:crossAx val="1968159248"/>
        <c:crosses val="autoZero"/>
        <c:crossBetween val="midCat"/>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D.Bil</c:v>
          </c:tx>
          <c:spPr>
            <a:ln w="19050">
              <a:noFill/>
            </a:ln>
          </c:spPr>
          <c:trendline>
            <c:trendlineType val="linear"/>
            <c:dispRSqr val="0"/>
            <c:dispEq val="1"/>
            <c:trendlineLbl>
              <c:layout>
                <c:manualLayout>
                  <c:x val="4.2681203311124571E-2"/>
                  <c:y val="-0.3673549139690872"/>
                </c:manualLayout>
              </c:layout>
              <c:numFmt formatCode="General" sourceLinked="0"/>
            </c:trendlineLbl>
          </c:trendline>
          <c:xVal>
            <c:numRef>
              <c:f>Sheet1!$C$2:$C$138</c:f>
              <c:numCache>
                <c:formatCode>General</c:formatCode>
                <c:ptCount val="137"/>
                <c:pt idx="0">
                  <c:v>3</c:v>
                </c:pt>
                <c:pt idx="1">
                  <c:v>4</c:v>
                </c:pt>
                <c:pt idx="2">
                  <c:v>28</c:v>
                </c:pt>
                <c:pt idx="3">
                  <c:v>2</c:v>
                </c:pt>
                <c:pt idx="4">
                  <c:v>2</c:v>
                </c:pt>
                <c:pt idx="5">
                  <c:v>3</c:v>
                </c:pt>
                <c:pt idx="6">
                  <c:v>7</c:v>
                </c:pt>
                <c:pt idx="7">
                  <c:v>14</c:v>
                </c:pt>
                <c:pt idx="8">
                  <c:v>21</c:v>
                </c:pt>
                <c:pt idx="9">
                  <c:v>4</c:v>
                </c:pt>
                <c:pt idx="10">
                  <c:v>11</c:v>
                </c:pt>
                <c:pt idx="11">
                  <c:v>1</c:v>
                </c:pt>
                <c:pt idx="12">
                  <c:v>2</c:v>
                </c:pt>
                <c:pt idx="13">
                  <c:v>7</c:v>
                </c:pt>
                <c:pt idx="14">
                  <c:v>6</c:v>
                </c:pt>
                <c:pt idx="15">
                  <c:v>2</c:v>
                </c:pt>
                <c:pt idx="16">
                  <c:v>7</c:v>
                </c:pt>
                <c:pt idx="17">
                  <c:v>8</c:v>
                </c:pt>
                <c:pt idx="18">
                  <c:v>3</c:v>
                </c:pt>
                <c:pt idx="19">
                  <c:v>5</c:v>
                </c:pt>
                <c:pt idx="20">
                  <c:v>6</c:v>
                </c:pt>
                <c:pt idx="21">
                  <c:v>9</c:v>
                </c:pt>
                <c:pt idx="22">
                  <c:v>1</c:v>
                </c:pt>
                <c:pt idx="23">
                  <c:v>1</c:v>
                </c:pt>
                <c:pt idx="24">
                  <c:v>3</c:v>
                </c:pt>
                <c:pt idx="25">
                  <c:v>3</c:v>
                </c:pt>
                <c:pt idx="26">
                  <c:v>11</c:v>
                </c:pt>
                <c:pt idx="27">
                  <c:v>9</c:v>
                </c:pt>
                <c:pt idx="28">
                  <c:v>6</c:v>
                </c:pt>
                <c:pt idx="29">
                  <c:v>8</c:v>
                </c:pt>
                <c:pt idx="30">
                  <c:v>9</c:v>
                </c:pt>
                <c:pt idx="31">
                  <c:v>5</c:v>
                </c:pt>
                <c:pt idx="32">
                  <c:v>7</c:v>
                </c:pt>
                <c:pt idx="33">
                  <c:v>2</c:v>
                </c:pt>
                <c:pt idx="34">
                  <c:v>3</c:v>
                </c:pt>
                <c:pt idx="35">
                  <c:v>3</c:v>
                </c:pt>
                <c:pt idx="36">
                  <c:v>5</c:v>
                </c:pt>
                <c:pt idx="37">
                  <c:v>5</c:v>
                </c:pt>
                <c:pt idx="38">
                  <c:v>6</c:v>
                </c:pt>
                <c:pt idx="39">
                  <c:v>7</c:v>
                </c:pt>
                <c:pt idx="40">
                  <c:v>2</c:v>
                </c:pt>
                <c:pt idx="41">
                  <c:v>5</c:v>
                </c:pt>
                <c:pt idx="42">
                  <c:v>2</c:v>
                </c:pt>
                <c:pt idx="43">
                  <c:v>5</c:v>
                </c:pt>
                <c:pt idx="44">
                  <c:v>5</c:v>
                </c:pt>
                <c:pt idx="45">
                  <c:v>6</c:v>
                </c:pt>
                <c:pt idx="46">
                  <c:v>17</c:v>
                </c:pt>
                <c:pt idx="47">
                  <c:v>8</c:v>
                </c:pt>
                <c:pt idx="48">
                  <c:v>6</c:v>
                </c:pt>
                <c:pt idx="49">
                  <c:v>2</c:v>
                </c:pt>
                <c:pt idx="50">
                  <c:v>1</c:v>
                </c:pt>
                <c:pt idx="51">
                  <c:v>4</c:v>
                </c:pt>
                <c:pt idx="52">
                  <c:v>3</c:v>
                </c:pt>
                <c:pt idx="53">
                  <c:v>2</c:v>
                </c:pt>
                <c:pt idx="54">
                  <c:v>2</c:v>
                </c:pt>
                <c:pt idx="55">
                  <c:v>7</c:v>
                </c:pt>
                <c:pt idx="56">
                  <c:v>8</c:v>
                </c:pt>
                <c:pt idx="57">
                  <c:v>10</c:v>
                </c:pt>
                <c:pt idx="58">
                  <c:v>7</c:v>
                </c:pt>
                <c:pt idx="59">
                  <c:v>20</c:v>
                </c:pt>
                <c:pt idx="60">
                  <c:v>22</c:v>
                </c:pt>
                <c:pt idx="61">
                  <c:v>2</c:v>
                </c:pt>
                <c:pt idx="62">
                  <c:v>1</c:v>
                </c:pt>
                <c:pt idx="63">
                  <c:v>1</c:v>
                </c:pt>
                <c:pt idx="64">
                  <c:v>1</c:v>
                </c:pt>
                <c:pt idx="65">
                  <c:v>1</c:v>
                </c:pt>
                <c:pt idx="66">
                  <c:v>7</c:v>
                </c:pt>
                <c:pt idx="67">
                  <c:v>8</c:v>
                </c:pt>
                <c:pt idx="68">
                  <c:v>28</c:v>
                </c:pt>
                <c:pt idx="69">
                  <c:v>28</c:v>
                </c:pt>
                <c:pt idx="70">
                  <c:v>6</c:v>
                </c:pt>
                <c:pt idx="71">
                  <c:v>7</c:v>
                </c:pt>
                <c:pt idx="72">
                  <c:v>14</c:v>
                </c:pt>
                <c:pt idx="73">
                  <c:v>28</c:v>
                </c:pt>
                <c:pt idx="74">
                  <c:v>21</c:v>
                </c:pt>
                <c:pt idx="75">
                  <c:v>11</c:v>
                </c:pt>
                <c:pt idx="76">
                  <c:v>18</c:v>
                </c:pt>
                <c:pt idx="77">
                  <c:v>8</c:v>
                </c:pt>
                <c:pt idx="78">
                  <c:v>9</c:v>
                </c:pt>
                <c:pt idx="79">
                  <c:v>11</c:v>
                </c:pt>
                <c:pt idx="80">
                  <c:v>12</c:v>
                </c:pt>
                <c:pt idx="81">
                  <c:v>9</c:v>
                </c:pt>
                <c:pt idx="82">
                  <c:v>14</c:v>
                </c:pt>
                <c:pt idx="83">
                  <c:v>15</c:v>
                </c:pt>
                <c:pt idx="84">
                  <c:v>10</c:v>
                </c:pt>
                <c:pt idx="85">
                  <c:v>12</c:v>
                </c:pt>
                <c:pt idx="86">
                  <c:v>11</c:v>
                </c:pt>
                <c:pt idx="87">
                  <c:v>16</c:v>
                </c:pt>
                <c:pt idx="88">
                  <c:v>8</c:v>
                </c:pt>
                <c:pt idx="89">
                  <c:v>8</c:v>
                </c:pt>
                <c:pt idx="90">
                  <c:v>10</c:v>
                </c:pt>
                <c:pt idx="91">
                  <c:v>10</c:v>
                </c:pt>
                <c:pt idx="92">
                  <c:v>18</c:v>
                </c:pt>
                <c:pt idx="93">
                  <c:v>16</c:v>
                </c:pt>
                <c:pt idx="94">
                  <c:v>15</c:v>
                </c:pt>
                <c:pt idx="95">
                  <c:v>16</c:v>
                </c:pt>
                <c:pt idx="96">
                  <c:v>12</c:v>
                </c:pt>
                <c:pt idx="97">
                  <c:v>14</c:v>
                </c:pt>
                <c:pt idx="98">
                  <c:v>9</c:v>
                </c:pt>
                <c:pt idx="99">
                  <c:v>10</c:v>
                </c:pt>
                <c:pt idx="100">
                  <c:v>10</c:v>
                </c:pt>
                <c:pt idx="101">
                  <c:v>12</c:v>
                </c:pt>
                <c:pt idx="102">
                  <c:v>12</c:v>
                </c:pt>
                <c:pt idx="103">
                  <c:v>13</c:v>
                </c:pt>
                <c:pt idx="104">
                  <c:v>14</c:v>
                </c:pt>
                <c:pt idx="105">
                  <c:v>9</c:v>
                </c:pt>
                <c:pt idx="106">
                  <c:v>12</c:v>
                </c:pt>
                <c:pt idx="107">
                  <c:v>9</c:v>
                </c:pt>
                <c:pt idx="108">
                  <c:v>9</c:v>
                </c:pt>
                <c:pt idx="109">
                  <c:v>12</c:v>
                </c:pt>
                <c:pt idx="110">
                  <c:v>12</c:v>
                </c:pt>
                <c:pt idx="111">
                  <c:v>11</c:v>
                </c:pt>
                <c:pt idx="112">
                  <c:v>24</c:v>
                </c:pt>
                <c:pt idx="113">
                  <c:v>15</c:v>
                </c:pt>
                <c:pt idx="114">
                  <c:v>13</c:v>
                </c:pt>
                <c:pt idx="115">
                  <c:v>9</c:v>
                </c:pt>
                <c:pt idx="116">
                  <c:v>8</c:v>
                </c:pt>
                <c:pt idx="117">
                  <c:v>11</c:v>
                </c:pt>
                <c:pt idx="118">
                  <c:v>10</c:v>
                </c:pt>
                <c:pt idx="119">
                  <c:v>9</c:v>
                </c:pt>
                <c:pt idx="120">
                  <c:v>9</c:v>
                </c:pt>
                <c:pt idx="121">
                  <c:v>14</c:v>
                </c:pt>
                <c:pt idx="122">
                  <c:v>15</c:v>
                </c:pt>
                <c:pt idx="123">
                  <c:v>17</c:v>
                </c:pt>
                <c:pt idx="124">
                  <c:v>14</c:v>
                </c:pt>
                <c:pt idx="125">
                  <c:v>27</c:v>
                </c:pt>
                <c:pt idx="126">
                  <c:v>28</c:v>
                </c:pt>
                <c:pt idx="127">
                  <c:v>19</c:v>
                </c:pt>
                <c:pt idx="128">
                  <c:v>12</c:v>
                </c:pt>
                <c:pt idx="129">
                  <c:v>20</c:v>
                </c:pt>
                <c:pt idx="130">
                  <c:v>25</c:v>
                </c:pt>
                <c:pt idx="131">
                  <c:v>22</c:v>
                </c:pt>
                <c:pt idx="132">
                  <c:v>28</c:v>
                </c:pt>
                <c:pt idx="133">
                  <c:v>28</c:v>
                </c:pt>
                <c:pt idx="134">
                  <c:v>6</c:v>
                </c:pt>
                <c:pt idx="135">
                  <c:v>7</c:v>
                </c:pt>
                <c:pt idx="136">
                  <c:v>14</c:v>
                </c:pt>
              </c:numCache>
            </c:numRef>
          </c:xVal>
          <c:yVal>
            <c:numRef>
              <c:f>Sheet1!$F$2:$F$138</c:f>
              <c:numCache>
                <c:formatCode>General</c:formatCode>
                <c:ptCount val="137"/>
                <c:pt idx="0" formatCode="0.0">
                  <c:v>210.4</c:v>
                </c:pt>
                <c:pt idx="1">
                  <c:v>10.9</c:v>
                </c:pt>
                <c:pt idx="2">
                  <c:v>27.9</c:v>
                </c:pt>
                <c:pt idx="3">
                  <c:v>212.7</c:v>
                </c:pt>
                <c:pt idx="4">
                  <c:v>57.8</c:v>
                </c:pt>
                <c:pt idx="5" formatCode="0.0">
                  <c:v>40</c:v>
                </c:pt>
                <c:pt idx="6" formatCode="0.0">
                  <c:v>226.1</c:v>
                </c:pt>
                <c:pt idx="7">
                  <c:v>179.8</c:v>
                </c:pt>
                <c:pt idx="8">
                  <c:v>19.600000000000001</c:v>
                </c:pt>
                <c:pt idx="9">
                  <c:v>180.7</c:v>
                </c:pt>
                <c:pt idx="10">
                  <c:v>48.3</c:v>
                </c:pt>
                <c:pt idx="11">
                  <c:v>48.5</c:v>
                </c:pt>
                <c:pt idx="12" formatCode="0.0">
                  <c:v>22</c:v>
                </c:pt>
                <c:pt idx="13">
                  <c:v>25.6</c:v>
                </c:pt>
                <c:pt idx="14" formatCode="0.0">
                  <c:v>16</c:v>
                </c:pt>
                <c:pt idx="15">
                  <c:v>211.1</c:v>
                </c:pt>
                <c:pt idx="16" formatCode="0.0">
                  <c:v>22</c:v>
                </c:pt>
                <c:pt idx="17">
                  <c:v>20.2</c:v>
                </c:pt>
                <c:pt idx="18">
                  <c:v>15.3</c:v>
                </c:pt>
                <c:pt idx="19">
                  <c:v>19.3</c:v>
                </c:pt>
                <c:pt idx="20" formatCode="0.0">
                  <c:v>24</c:v>
                </c:pt>
                <c:pt idx="21">
                  <c:v>21.3</c:v>
                </c:pt>
                <c:pt idx="22" formatCode="0.0">
                  <c:v>23</c:v>
                </c:pt>
                <c:pt idx="23">
                  <c:v>11.2</c:v>
                </c:pt>
                <c:pt idx="24">
                  <c:v>211.1</c:v>
                </c:pt>
                <c:pt idx="25">
                  <c:v>48.5</c:v>
                </c:pt>
                <c:pt idx="26">
                  <c:v>48.3</c:v>
                </c:pt>
                <c:pt idx="27">
                  <c:v>27.3</c:v>
                </c:pt>
                <c:pt idx="28">
                  <c:v>22.8</c:v>
                </c:pt>
                <c:pt idx="29">
                  <c:v>157.1</c:v>
                </c:pt>
                <c:pt idx="30">
                  <c:v>99.4</c:v>
                </c:pt>
                <c:pt idx="31">
                  <c:v>107.8</c:v>
                </c:pt>
                <c:pt idx="32">
                  <c:v>15.6</c:v>
                </c:pt>
                <c:pt idx="33">
                  <c:v>13.7</c:v>
                </c:pt>
                <c:pt idx="34">
                  <c:v>89.6</c:v>
                </c:pt>
                <c:pt idx="35">
                  <c:v>217.1</c:v>
                </c:pt>
                <c:pt idx="36">
                  <c:v>30.9</c:v>
                </c:pt>
                <c:pt idx="37">
                  <c:v>31.5</c:v>
                </c:pt>
                <c:pt idx="38">
                  <c:v>73.400000000000006</c:v>
                </c:pt>
                <c:pt idx="39">
                  <c:v>60.5</c:v>
                </c:pt>
                <c:pt idx="40">
                  <c:v>212.7</c:v>
                </c:pt>
                <c:pt idx="41">
                  <c:v>25.7</c:v>
                </c:pt>
                <c:pt idx="42">
                  <c:v>337.3</c:v>
                </c:pt>
                <c:pt idx="43">
                  <c:v>13.8</c:v>
                </c:pt>
                <c:pt idx="44">
                  <c:v>71.900000000000006</c:v>
                </c:pt>
                <c:pt idx="45">
                  <c:v>20.9</c:v>
                </c:pt>
                <c:pt idx="46">
                  <c:v>38.6</c:v>
                </c:pt>
                <c:pt idx="47">
                  <c:v>17.3</c:v>
                </c:pt>
                <c:pt idx="48">
                  <c:v>32.799999999999997</c:v>
                </c:pt>
                <c:pt idx="49">
                  <c:v>43.8</c:v>
                </c:pt>
                <c:pt idx="50">
                  <c:v>39.799999999999997</c:v>
                </c:pt>
                <c:pt idx="51">
                  <c:v>24.9</c:v>
                </c:pt>
                <c:pt idx="52">
                  <c:v>19.8</c:v>
                </c:pt>
                <c:pt idx="53">
                  <c:v>16.7</c:v>
                </c:pt>
                <c:pt idx="54">
                  <c:v>33.9</c:v>
                </c:pt>
                <c:pt idx="55">
                  <c:v>30.5</c:v>
                </c:pt>
                <c:pt idx="56">
                  <c:v>14.2</c:v>
                </c:pt>
                <c:pt idx="57">
                  <c:v>17.600000000000001</c:v>
                </c:pt>
                <c:pt idx="58">
                  <c:v>48.5</c:v>
                </c:pt>
                <c:pt idx="59">
                  <c:v>42.9</c:v>
                </c:pt>
                <c:pt idx="60">
                  <c:v>17.899999999999999</c:v>
                </c:pt>
                <c:pt idx="61">
                  <c:v>17.899999999999999</c:v>
                </c:pt>
                <c:pt idx="62">
                  <c:v>51</c:v>
                </c:pt>
                <c:pt idx="63">
                  <c:v>28.9</c:v>
                </c:pt>
                <c:pt idx="64">
                  <c:v>39.9</c:v>
                </c:pt>
                <c:pt idx="65">
                  <c:v>45</c:v>
                </c:pt>
                <c:pt idx="66" formatCode="0.0">
                  <c:v>22</c:v>
                </c:pt>
                <c:pt idx="67" formatCode="0.0">
                  <c:v>40</c:v>
                </c:pt>
                <c:pt idx="68">
                  <c:v>33.6</c:v>
                </c:pt>
                <c:pt idx="69">
                  <c:v>27.6</c:v>
                </c:pt>
                <c:pt idx="70">
                  <c:v>30.3</c:v>
                </c:pt>
                <c:pt idx="71">
                  <c:v>25.4</c:v>
                </c:pt>
                <c:pt idx="72">
                  <c:v>30.6</c:v>
                </c:pt>
                <c:pt idx="73">
                  <c:v>45.6</c:v>
                </c:pt>
                <c:pt idx="74">
                  <c:v>37.6</c:v>
                </c:pt>
                <c:pt idx="75">
                  <c:v>28.6</c:v>
                </c:pt>
                <c:pt idx="76">
                  <c:v>36.6</c:v>
                </c:pt>
                <c:pt idx="77">
                  <c:v>36.700000000000003</c:v>
                </c:pt>
                <c:pt idx="78">
                  <c:v>41.6</c:v>
                </c:pt>
                <c:pt idx="79" formatCode="0.0">
                  <c:v>45</c:v>
                </c:pt>
                <c:pt idx="80">
                  <c:v>33.299999999999997</c:v>
                </c:pt>
                <c:pt idx="81">
                  <c:v>28.9</c:v>
                </c:pt>
                <c:pt idx="82">
                  <c:v>22.6</c:v>
                </c:pt>
                <c:pt idx="83">
                  <c:v>25.7</c:v>
                </c:pt>
                <c:pt idx="84">
                  <c:v>36.700000000000003</c:v>
                </c:pt>
                <c:pt idx="85">
                  <c:v>26.8</c:v>
                </c:pt>
                <c:pt idx="86">
                  <c:v>27.6</c:v>
                </c:pt>
                <c:pt idx="87">
                  <c:v>38.700000000000003</c:v>
                </c:pt>
                <c:pt idx="88">
                  <c:v>45.1</c:v>
                </c:pt>
                <c:pt idx="89">
                  <c:v>39.1</c:v>
                </c:pt>
                <c:pt idx="90">
                  <c:v>25.1</c:v>
                </c:pt>
                <c:pt idx="91">
                  <c:v>21.7</c:v>
                </c:pt>
                <c:pt idx="92">
                  <c:v>39.200000000000003</c:v>
                </c:pt>
                <c:pt idx="93">
                  <c:v>47.1</c:v>
                </c:pt>
                <c:pt idx="94">
                  <c:v>45.1</c:v>
                </c:pt>
                <c:pt idx="95">
                  <c:v>35.700000000000003</c:v>
                </c:pt>
                <c:pt idx="96">
                  <c:v>32.9</c:v>
                </c:pt>
                <c:pt idx="97">
                  <c:v>41.5</c:v>
                </c:pt>
                <c:pt idx="98">
                  <c:v>31.1</c:v>
                </c:pt>
                <c:pt idx="99">
                  <c:v>29.1</c:v>
                </c:pt>
                <c:pt idx="100">
                  <c:v>32.1</c:v>
                </c:pt>
                <c:pt idx="101">
                  <c:v>39.1</c:v>
                </c:pt>
                <c:pt idx="102">
                  <c:v>21.6</c:v>
                </c:pt>
                <c:pt idx="103">
                  <c:v>15.6</c:v>
                </c:pt>
                <c:pt idx="104">
                  <c:v>25.7</c:v>
                </c:pt>
                <c:pt idx="105">
                  <c:v>37.700000000000003</c:v>
                </c:pt>
                <c:pt idx="106">
                  <c:v>31.7</c:v>
                </c:pt>
                <c:pt idx="107">
                  <c:v>27.6</c:v>
                </c:pt>
                <c:pt idx="108">
                  <c:v>26.7</c:v>
                </c:pt>
                <c:pt idx="109">
                  <c:v>51.1</c:v>
                </c:pt>
                <c:pt idx="110">
                  <c:v>28.1</c:v>
                </c:pt>
                <c:pt idx="111">
                  <c:v>41.1</c:v>
                </c:pt>
                <c:pt idx="112">
                  <c:v>21.1</c:v>
                </c:pt>
                <c:pt idx="113">
                  <c:v>39.700000000000003</c:v>
                </c:pt>
                <c:pt idx="114">
                  <c:v>26.7</c:v>
                </c:pt>
                <c:pt idx="115">
                  <c:v>48.9</c:v>
                </c:pt>
                <c:pt idx="116">
                  <c:v>50.1</c:v>
                </c:pt>
                <c:pt idx="117">
                  <c:v>29.1</c:v>
                </c:pt>
                <c:pt idx="118">
                  <c:v>45.6</c:v>
                </c:pt>
                <c:pt idx="119">
                  <c:v>31.1</c:v>
                </c:pt>
                <c:pt idx="120">
                  <c:v>29.1</c:v>
                </c:pt>
                <c:pt idx="121">
                  <c:v>46.1</c:v>
                </c:pt>
                <c:pt idx="122">
                  <c:v>33.200000000000003</c:v>
                </c:pt>
                <c:pt idx="123">
                  <c:v>22.2</c:v>
                </c:pt>
                <c:pt idx="124">
                  <c:v>32.200000000000003</c:v>
                </c:pt>
                <c:pt idx="125" formatCode="0.0">
                  <c:v>45</c:v>
                </c:pt>
                <c:pt idx="126">
                  <c:v>44.6</c:v>
                </c:pt>
                <c:pt idx="127">
                  <c:v>38.9</c:v>
                </c:pt>
                <c:pt idx="128" formatCode="0.0">
                  <c:v>40</c:v>
                </c:pt>
                <c:pt idx="129">
                  <c:v>35.6</c:v>
                </c:pt>
                <c:pt idx="130">
                  <c:v>40.700000000000003</c:v>
                </c:pt>
                <c:pt idx="131">
                  <c:v>35.5</c:v>
                </c:pt>
                <c:pt idx="132">
                  <c:v>33.6</c:v>
                </c:pt>
                <c:pt idx="133">
                  <c:v>27.6</c:v>
                </c:pt>
                <c:pt idx="134">
                  <c:v>30.3</c:v>
                </c:pt>
                <c:pt idx="135">
                  <c:v>25.4</c:v>
                </c:pt>
                <c:pt idx="136">
                  <c:v>30.6</c:v>
                </c:pt>
              </c:numCache>
            </c:numRef>
          </c:yVal>
          <c:smooth val="0"/>
          <c:extLst>
            <c:ext xmlns:c16="http://schemas.microsoft.com/office/drawing/2014/chart" uri="{C3380CC4-5D6E-409C-BE32-E72D297353CC}">
              <c16:uniqueId val="{00000001-6D3A-43C6-8BFF-0E87B9AE0B87}"/>
            </c:ext>
          </c:extLst>
        </c:ser>
        <c:dLbls>
          <c:showLegendKey val="0"/>
          <c:showVal val="0"/>
          <c:showCatName val="0"/>
          <c:showSerName val="0"/>
          <c:showPercent val="0"/>
          <c:showBubbleSize val="0"/>
        </c:dLbls>
        <c:axId val="1968172688"/>
        <c:axId val="1968177008"/>
      </c:scatterChart>
      <c:valAx>
        <c:axId val="1968172688"/>
        <c:scaling>
          <c:orientation val="minMax"/>
        </c:scaling>
        <c:delete val="0"/>
        <c:axPos val="b"/>
        <c:title>
          <c:tx>
            <c:rich>
              <a:bodyPr/>
              <a:lstStyle/>
              <a:p>
                <a:pPr>
                  <a:defRPr/>
                </a:pPr>
                <a:r>
                  <a:rPr lang="en-US"/>
                  <a:t>Age(Day)</a:t>
                </a:r>
              </a:p>
            </c:rich>
          </c:tx>
          <c:overlay val="0"/>
        </c:title>
        <c:numFmt formatCode="General" sourceLinked="1"/>
        <c:majorTickMark val="out"/>
        <c:minorTickMark val="none"/>
        <c:tickLblPos val="nextTo"/>
        <c:crossAx val="1968177008"/>
        <c:crosses val="autoZero"/>
        <c:crossBetween val="midCat"/>
      </c:valAx>
      <c:valAx>
        <c:axId val="1968177008"/>
        <c:scaling>
          <c:orientation val="minMax"/>
        </c:scaling>
        <c:delete val="0"/>
        <c:axPos val="l"/>
        <c:title>
          <c:tx>
            <c:rich>
              <a:bodyPr/>
              <a:lstStyle/>
              <a:p>
                <a:pPr>
                  <a:defRPr/>
                </a:pPr>
                <a:r>
                  <a:rPr lang="en-US"/>
                  <a:t>D.Bil</a:t>
                </a:r>
              </a:p>
            </c:rich>
          </c:tx>
          <c:overlay val="0"/>
        </c:title>
        <c:numFmt formatCode="0.0" sourceLinked="1"/>
        <c:majorTickMark val="out"/>
        <c:minorTickMark val="none"/>
        <c:tickLblPos val="nextTo"/>
        <c:crossAx val="1968172688"/>
        <c:crosses val="autoZero"/>
        <c:crossBetween val="midCat"/>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19</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Editor GP 005</cp:lastModifiedBy>
  <cp:revision>34</cp:revision>
  <dcterms:created xsi:type="dcterms:W3CDTF">2025-09-25T19:52:00Z</dcterms:created>
  <dcterms:modified xsi:type="dcterms:W3CDTF">2025-10-13T12:34:00Z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37824717-a57e-4b9d-8912-ff55364e64de</vt:lpwstr>
  </property>
</Properties>
</file>