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64A" w:rsidRDefault="00183ECA">
      <w:pPr>
        <w:pStyle w:val="Heading1"/>
        <w:spacing w:before="0" w:line="360" w:lineRule="auto"/>
        <w:jc w:val="center"/>
        <w:rPr>
          <w:rFonts w:ascii="Arial" w:hAnsi="Arial" w:cs="Arial"/>
          <w:sz w:val="24"/>
          <w:szCs w:val="24"/>
          <w:lang w:val="en-GB"/>
        </w:rPr>
      </w:pPr>
      <w:r>
        <w:rPr>
          <w:rFonts w:ascii="Times New Roman" w:hAnsi="Times New Roman"/>
          <w:b/>
          <w:bCs/>
          <w:color w:val="auto"/>
          <w:sz w:val="28"/>
          <w:szCs w:val="28"/>
          <w:lang w:val="en-GB"/>
        </w:rPr>
        <w:t>Determinants of Psychoactive Substance Use among Adolescents and Young Adults in South-East Nigeria: A Systematic Review</w:t>
      </w:r>
    </w:p>
    <w:p w:rsidR="0072364A" w:rsidRDefault="0072364A">
      <w:pPr>
        <w:pStyle w:val="Heading1"/>
        <w:spacing w:before="0" w:line="360" w:lineRule="auto"/>
        <w:jc w:val="both"/>
        <w:rPr>
          <w:rFonts w:ascii="Arial" w:hAnsi="Arial" w:cs="Arial"/>
          <w:color w:val="auto"/>
          <w:sz w:val="24"/>
          <w:szCs w:val="24"/>
          <w:lang w:val="en-GB"/>
        </w:rPr>
      </w:pPr>
    </w:p>
    <w:p w:rsidR="0072364A" w:rsidRDefault="0072364A">
      <w:pPr>
        <w:pStyle w:val="Heading1"/>
        <w:tabs>
          <w:tab w:val="left" w:pos="1946"/>
          <w:tab w:val="center" w:pos="4770"/>
        </w:tabs>
        <w:spacing w:before="0" w:line="360" w:lineRule="auto"/>
        <w:jc w:val="both"/>
        <w:rPr>
          <w:rFonts w:ascii="Arial" w:hAnsi="Arial" w:cs="Arial"/>
          <w:sz w:val="24"/>
          <w:szCs w:val="24"/>
          <w:lang w:val="en-GB"/>
        </w:rPr>
      </w:pPr>
    </w:p>
    <w:p w:rsidR="0072364A" w:rsidRDefault="00183ECA">
      <w:pPr>
        <w:pStyle w:val="Heading1"/>
        <w:tabs>
          <w:tab w:val="left" w:pos="1946"/>
          <w:tab w:val="center" w:pos="4770"/>
        </w:tabs>
        <w:spacing w:before="0" w:line="360" w:lineRule="auto"/>
        <w:jc w:val="center"/>
        <w:rPr>
          <w:rFonts w:ascii="Arial" w:hAnsi="Arial" w:cs="Arial"/>
          <w:b/>
          <w:color w:val="auto"/>
          <w:sz w:val="24"/>
          <w:szCs w:val="24"/>
          <w:lang w:val="en-GB"/>
        </w:rPr>
      </w:pPr>
      <w:bookmarkStart w:id="0" w:name="_Toc157868881"/>
      <w:r>
        <w:rPr>
          <w:rFonts w:ascii="Arial" w:hAnsi="Arial" w:cs="Arial"/>
          <w:b/>
          <w:color w:val="auto"/>
          <w:sz w:val="24"/>
          <w:szCs w:val="24"/>
          <w:lang w:val="en-GB"/>
        </w:rPr>
        <w:t>ABSTRACT</w:t>
      </w:r>
      <w:bookmarkEnd w:id="0"/>
    </w:p>
    <w:p w:rsidR="0072364A" w:rsidRDefault="00183ECA">
      <w:pPr>
        <w:spacing w:after="0"/>
        <w:jc w:val="both"/>
        <w:rPr>
          <w:rFonts w:ascii="Arial" w:hAnsi="Arial" w:cs="Arial"/>
          <w:sz w:val="24"/>
          <w:szCs w:val="24"/>
          <w:lang w:val="en-GB"/>
        </w:rPr>
      </w:pPr>
      <w:r>
        <w:rPr>
          <w:rFonts w:ascii="Arial" w:hAnsi="Arial" w:cs="Arial"/>
          <w:b/>
          <w:sz w:val="24"/>
          <w:szCs w:val="24"/>
        </w:rPr>
        <w:t xml:space="preserve">Background: </w:t>
      </w:r>
      <w:r>
        <w:rPr>
          <w:rFonts w:ascii="Arial" w:hAnsi="Arial" w:cs="Arial"/>
          <w:sz w:val="24"/>
          <w:szCs w:val="24"/>
        </w:rPr>
        <w:t xml:space="preserve"> Substance use </w:t>
      </w:r>
      <w:r>
        <w:rPr>
          <w:rFonts w:ascii="Arial" w:hAnsi="Arial" w:cs="Arial"/>
          <w:sz w:val="24"/>
          <w:szCs w:val="24"/>
          <w:lang w:val="en-GB"/>
        </w:rPr>
        <w:t xml:space="preserve">has become a significant public health issue, particularly among the youth population, with 1 in 20 to 1 in 5 people aged 15 years and above reported to be involved in substance </w:t>
      </w:r>
      <w:r>
        <w:rPr>
          <w:rFonts w:ascii="Arial" w:hAnsi="Arial" w:cs="Arial"/>
          <w:sz w:val="24"/>
          <w:szCs w:val="24"/>
        </w:rPr>
        <w:t>use</w:t>
      </w:r>
      <w:r>
        <w:rPr>
          <w:rFonts w:ascii="Arial" w:hAnsi="Arial" w:cs="Arial"/>
          <w:sz w:val="24"/>
          <w:szCs w:val="24"/>
          <w:lang w:val="en-GB"/>
        </w:rPr>
        <w:t>. This has been linked with several factors, including socio-economic and environmental influences. Hence, this study was aimed at systematically evaluating the</w:t>
      </w:r>
      <w:r>
        <w:rPr>
          <w:rFonts w:ascii="Arial" w:hAnsi="Arial" w:cs="Arial"/>
          <w:sz w:val="24"/>
          <w:szCs w:val="24"/>
        </w:rPr>
        <w:t xml:space="preserve"> d</w:t>
      </w:r>
      <w:proofErr w:type="spellStart"/>
      <w:r>
        <w:rPr>
          <w:rFonts w:ascii="Arial" w:hAnsi="Arial" w:cs="Arial"/>
          <w:sz w:val="24"/>
          <w:szCs w:val="24"/>
          <w:lang w:val="en-GB"/>
        </w:rPr>
        <w:t>eterminants</w:t>
      </w:r>
      <w:proofErr w:type="spellEnd"/>
      <w:r>
        <w:rPr>
          <w:rFonts w:ascii="Arial" w:hAnsi="Arial" w:cs="Arial"/>
          <w:sz w:val="24"/>
          <w:szCs w:val="24"/>
          <w:lang w:val="en-GB"/>
        </w:rPr>
        <w:t xml:space="preserve"> of </w:t>
      </w:r>
      <w:r>
        <w:rPr>
          <w:rFonts w:ascii="Arial" w:hAnsi="Arial" w:cs="Arial"/>
          <w:sz w:val="24"/>
          <w:szCs w:val="24"/>
        </w:rPr>
        <w:t>p</w:t>
      </w:r>
      <w:proofErr w:type="spellStart"/>
      <w:r>
        <w:rPr>
          <w:rFonts w:ascii="Arial" w:hAnsi="Arial" w:cs="Arial"/>
          <w:sz w:val="24"/>
          <w:szCs w:val="24"/>
          <w:lang w:val="en-GB"/>
        </w:rPr>
        <w:t>sychoactive</w:t>
      </w:r>
      <w:proofErr w:type="spellEnd"/>
      <w:r>
        <w:rPr>
          <w:rFonts w:ascii="Arial" w:hAnsi="Arial" w:cs="Arial"/>
          <w:sz w:val="24"/>
          <w:szCs w:val="24"/>
          <w:lang w:val="en-GB"/>
        </w:rPr>
        <w:t xml:space="preserve"> </w:t>
      </w:r>
      <w:r>
        <w:rPr>
          <w:rFonts w:ascii="Arial" w:hAnsi="Arial" w:cs="Arial"/>
          <w:sz w:val="24"/>
          <w:szCs w:val="24"/>
        </w:rPr>
        <w:t>s</w:t>
      </w:r>
      <w:proofErr w:type="spellStart"/>
      <w:r>
        <w:rPr>
          <w:rFonts w:ascii="Arial" w:hAnsi="Arial" w:cs="Arial"/>
          <w:sz w:val="24"/>
          <w:szCs w:val="24"/>
          <w:lang w:val="en-GB"/>
        </w:rPr>
        <w:t>ubstance</w:t>
      </w:r>
      <w:proofErr w:type="spellEnd"/>
      <w:r>
        <w:rPr>
          <w:rFonts w:ascii="Arial" w:hAnsi="Arial" w:cs="Arial"/>
          <w:sz w:val="24"/>
          <w:szCs w:val="24"/>
          <w:lang w:val="en-GB"/>
        </w:rPr>
        <w:t xml:space="preserve"> </w:t>
      </w:r>
      <w:r>
        <w:rPr>
          <w:rFonts w:ascii="Arial" w:hAnsi="Arial" w:cs="Arial"/>
          <w:sz w:val="24"/>
          <w:szCs w:val="24"/>
        </w:rPr>
        <w:t>u</w:t>
      </w:r>
      <w:r>
        <w:rPr>
          <w:rFonts w:ascii="Arial" w:hAnsi="Arial" w:cs="Arial"/>
          <w:sz w:val="24"/>
          <w:szCs w:val="24"/>
          <w:lang w:val="en-GB"/>
        </w:rPr>
        <w:t xml:space="preserve">se among </w:t>
      </w:r>
      <w:r>
        <w:rPr>
          <w:rFonts w:ascii="Arial" w:hAnsi="Arial" w:cs="Arial"/>
          <w:sz w:val="24"/>
          <w:szCs w:val="24"/>
        </w:rPr>
        <w:t>a</w:t>
      </w:r>
      <w:proofErr w:type="spellStart"/>
      <w:r>
        <w:rPr>
          <w:rFonts w:ascii="Arial" w:hAnsi="Arial" w:cs="Arial"/>
          <w:sz w:val="24"/>
          <w:szCs w:val="24"/>
          <w:lang w:val="en-GB"/>
        </w:rPr>
        <w:t>dolescents</w:t>
      </w:r>
      <w:proofErr w:type="spellEnd"/>
      <w:r>
        <w:rPr>
          <w:rFonts w:ascii="Arial" w:hAnsi="Arial" w:cs="Arial"/>
          <w:sz w:val="24"/>
          <w:szCs w:val="24"/>
          <w:lang w:val="en-GB"/>
        </w:rPr>
        <w:t xml:space="preserve"> and </w:t>
      </w:r>
      <w:r>
        <w:rPr>
          <w:rFonts w:ascii="Arial" w:hAnsi="Arial" w:cs="Arial"/>
          <w:sz w:val="24"/>
          <w:szCs w:val="24"/>
        </w:rPr>
        <w:t>y</w:t>
      </w:r>
      <w:proofErr w:type="spellStart"/>
      <w:r>
        <w:rPr>
          <w:rFonts w:ascii="Arial" w:hAnsi="Arial" w:cs="Arial"/>
          <w:sz w:val="24"/>
          <w:szCs w:val="24"/>
          <w:lang w:val="en-GB"/>
        </w:rPr>
        <w:t>oung</w:t>
      </w:r>
      <w:proofErr w:type="spellEnd"/>
      <w:r>
        <w:rPr>
          <w:rFonts w:ascii="Arial" w:hAnsi="Arial" w:cs="Arial"/>
          <w:sz w:val="24"/>
          <w:szCs w:val="24"/>
          <w:lang w:val="en-GB"/>
        </w:rPr>
        <w:t xml:space="preserve"> </w:t>
      </w:r>
      <w:r>
        <w:rPr>
          <w:rFonts w:ascii="Arial" w:hAnsi="Arial" w:cs="Arial"/>
          <w:sz w:val="24"/>
          <w:szCs w:val="24"/>
        </w:rPr>
        <w:t>a</w:t>
      </w:r>
      <w:proofErr w:type="spellStart"/>
      <w:r>
        <w:rPr>
          <w:rFonts w:ascii="Arial" w:hAnsi="Arial" w:cs="Arial"/>
          <w:sz w:val="24"/>
          <w:szCs w:val="24"/>
          <w:lang w:val="en-GB"/>
        </w:rPr>
        <w:t>dults</w:t>
      </w:r>
      <w:proofErr w:type="spellEnd"/>
      <w:r>
        <w:rPr>
          <w:rFonts w:ascii="Arial" w:hAnsi="Arial" w:cs="Arial"/>
          <w:sz w:val="24"/>
          <w:szCs w:val="24"/>
          <w:lang w:val="en-GB"/>
        </w:rPr>
        <w:t xml:space="preserve"> in South-East Nigeria.  </w:t>
      </w:r>
    </w:p>
    <w:p w:rsidR="0072364A" w:rsidRDefault="00183ECA">
      <w:pPr>
        <w:spacing w:before="240" w:after="0"/>
        <w:jc w:val="both"/>
        <w:rPr>
          <w:rFonts w:ascii="Arial" w:hAnsi="Arial" w:cs="Arial"/>
          <w:sz w:val="24"/>
          <w:szCs w:val="24"/>
        </w:rPr>
      </w:pPr>
      <w:r>
        <w:rPr>
          <w:rFonts w:ascii="Arial" w:hAnsi="Arial" w:cs="Arial"/>
          <w:b/>
          <w:bCs/>
          <w:sz w:val="24"/>
          <w:szCs w:val="24"/>
        </w:rPr>
        <w:t xml:space="preserve">Methods: </w:t>
      </w:r>
      <w:r>
        <w:rPr>
          <w:rFonts w:ascii="Arial" w:hAnsi="Arial" w:cs="Arial"/>
          <w:sz w:val="24"/>
          <w:szCs w:val="24"/>
        </w:rPr>
        <w:t>This study was conducted as a systematic review, which searched and retrieved relevant data from multiple electronic databases following a comprehensive search strategy Which involved the use of relevant keywords and Medical Education Subject Headings (</w:t>
      </w:r>
      <w:proofErr w:type="spellStart"/>
      <w:r>
        <w:rPr>
          <w:rFonts w:ascii="Arial" w:hAnsi="Arial" w:cs="Arial"/>
          <w:sz w:val="24"/>
          <w:szCs w:val="24"/>
        </w:rPr>
        <w:t>MeSH</w:t>
      </w:r>
      <w:proofErr w:type="spellEnd"/>
      <w:r>
        <w:rPr>
          <w:rFonts w:ascii="Arial" w:hAnsi="Arial" w:cs="Arial"/>
          <w:sz w:val="24"/>
          <w:szCs w:val="24"/>
        </w:rPr>
        <w:t xml:space="preserve">) terms, in combination with Boolean operators. </w:t>
      </w:r>
    </w:p>
    <w:p w:rsidR="0072364A" w:rsidRDefault="00183ECA">
      <w:pPr>
        <w:spacing w:before="240" w:after="0"/>
        <w:jc w:val="both"/>
        <w:rPr>
          <w:rFonts w:ascii="Arial" w:hAnsi="Arial" w:cs="Arial"/>
          <w:sz w:val="24"/>
          <w:szCs w:val="24"/>
        </w:rPr>
      </w:pPr>
      <w:r>
        <w:rPr>
          <w:rFonts w:ascii="Arial" w:hAnsi="Arial" w:cs="Arial"/>
          <w:b/>
          <w:bCs/>
          <w:sz w:val="24"/>
          <w:szCs w:val="24"/>
        </w:rPr>
        <w:t>Results:</w:t>
      </w:r>
      <w:r>
        <w:rPr>
          <w:rFonts w:ascii="Arial" w:hAnsi="Arial" w:cs="Arial"/>
          <w:sz w:val="24"/>
          <w:szCs w:val="24"/>
        </w:rPr>
        <w:t xml:space="preserve"> Five (5) studies out of the initially retrieved record of </w:t>
      </w:r>
      <w:r>
        <w:rPr>
          <w:rFonts w:ascii="Arial" w:eastAsia="MinionPro-Regular" w:hAnsi="Arial" w:cs="Arial"/>
          <w:sz w:val="24"/>
          <w:szCs w:val="24"/>
          <w:lang w:val="en-GB"/>
        </w:rPr>
        <w:t xml:space="preserve">148 were eligible for analysis. The studies involved a total of </w:t>
      </w:r>
      <w:r>
        <w:rPr>
          <w:rFonts w:ascii="Arial" w:hAnsi="Arial" w:cs="Arial"/>
          <w:sz w:val="24"/>
          <w:szCs w:val="24"/>
        </w:rPr>
        <w:t xml:space="preserve">2993 respondents. The result showed that alcohol and tobacco were the most prevalent psychoactive substance use, while peer group influence, gender, age, education level, accommodation status, family structure, </w:t>
      </w:r>
      <w:proofErr w:type="spellStart"/>
      <w:r>
        <w:rPr>
          <w:rFonts w:ascii="Arial" w:hAnsi="Arial" w:cs="Arial"/>
          <w:sz w:val="24"/>
          <w:szCs w:val="24"/>
        </w:rPr>
        <w:t>orphanhood</w:t>
      </w:r>
      <w:proofErr w:type="spellEnd"/>
      <w:r>
        <w:rPr>
          <w:rFonts w:ascii="Arial" w:hAnsi="Arial" w:cs="Arial"/>
          <w:sz w:val="24"/>
          <w:szCs w:val="24"/>
        </w:rPr>
        <w:t xml:space="preserve">, maternal employment, substance accessibility and availability were the prevailing determinants of substance use among the respondents.  </w:t>
      </w:r>
    </w:p>
    <w:p w:rsidR="0072364A" w:rsidRDefault="00183ECA">
      <w:pPr>
        <w:spacing w:before="240" w:after="0"/>
        <w:jc w:val="both"/>
        <w:rPr>
          <w:rFonts w:ascii="Arial" w:hAnsi="Arial" w:cs="Arial"/>
          <w:sz w:val="24"/>
          <w:szCs w:val="24"/>
        </w:rPr>
      </w:pPr>
      <w:r>
        <w:rPr>
          <w:rFonts w:ascii="Arial" w:hAnsi="Arial" w:cs="Arial"/>
          <w:b/>
          <w:bCs/>
          <w:sz w:val="24"/>
          <w:szCs w:val="24"/>
        </w:rPr>
        <w:t>Conclusion:</w:t>
      </w:r>
      <w:r>
        <w:rPr>
          <w:rFonts w:ascii="Arial" w:eastAsia="MinionPro-Regular" w:hAnsi="Arial" w:cs="Arial"/>
          <w:sz w:val="24"/>
          <w:szCs w:val="24"/>
        </w:rPr>
        <w:t xml:space="preserve"> </w:t>
      </w:r>
      <w:r>
        <w:rPr>
          <w:rFonts w:ascii="Arial" w:eastAsia="MinionPro-Regular" w:hAnsi="Arial" w:cs="Arial"/>
          <w:sz w:val="24"/>
          <w:szCs w:val="24"/>
          <w:lang w:val="en-GB"/>
        </w:rPr>
        <w:t xml:space="preserve">Tackling </w:t>
      </w:r>
      <w:r>
        <w:rPr>
          <w:rFonts w:ascii="Arial" w:eastAsia="MinionPro-Regular" w:hAnsi="Arial" w:cs="Arial"/>
          <w:sz w:val="24"/>
          <w:szCs w:val="24"/>
        </w:rPr>
        <w:t xml:space="preserve">the use of psychoactive substances among the </w:t>
      </w:r>
      <w:r>
        <w:rPr>
          <w:rFonts w:ascii="Arial" w:eastAsia="MinionPro-Regular" w:hAnsi="Arial" w:cs="Arial"/>
          <w:sz w:val="24"/>
          <w:szCs w:val="24"/>
          <w:lang w:val="en-GB"/>
        </w:rPr>
        <w:t>youth</w:t>
      </w:r>
      <w:r>
        <w:rPr>
          <w:rFonts w:ascii="Arial" w:eastAsia="MinionPro-Regular" w:hAnsi="Arial" w:cs="Arial"/>
          <w:sz w:val="24"/>
          <w:szCs w:val="24"/>
        </w:rPr>
        <w:t>s</w:t>
      </w:r>
      <w:r>
        <w:rPr>
          <w:rFonts w:ascii="Arial" w:eastAsia="MinionPro-Regular" w:hAnsi="Arial" w:cs="Arial"/>
          <w:sz w:val="24"/>
          <w:szCs w:val="24"/>
          <w:lang w:val="en-GB"/>
        </w:rPr>
        <w:t xml:space="preserve"> in South East Nigeria requires a multidimensional approach, integrating public health, education, social welfare, and legal frameworks. </w:t>
      </w:r>
    </w:p>
    <w:p w:rsidR="0072364A" w:rsidRDefault="002E50D1">
      <w:pPr>
        <w:autoSpaceDE w:val="0"/>
        <w:autoSpaceDN w:val="0"/>
        <w:adjustRightInd w:val="0"/>
        <w:spacing w:after="0" w:line="360" w:lineRule="auto"/>
        <w:jc w:val="both"/>
        <w:rPr>
          <w:rFonts w:ascii="Arial" w:hAnsi="Arial" w:cs="Arial"/>
          <w:sz w:val="24"/>
          <w:szCs w:val="24"/>
          <w:lang w:val="en-GB"/>
        </w:rPr>
      </w:pPr>
      <w:r>
        <w:rPr>
          <w:rFonts w:ascii="Arial" w:hAnsi="Arial" w:cs="Arial"/>
          <w:sz w:val="24"/>
          <w:szCs w:val="24"/>
          <w:lang w:val="en-GB"/>
        </w:rPr>
        <w:t>`</w:t>
      </w:r>
    </w:p>
    <w:p w:rsidR="002E50D1" w:rsidRDefault="002E50D1">
      <w:pPr>
        <w:autoSpaceDE w:val="0"/>
        <w:autoSpaceDN w:val="0"/>
        <w:adjustRightInd w:val="0"/>
        <w:spacing w:after="0" w:line="360" w:lineRule="auto"/>
        <w:jc w:val="both"/>
        <w:rPr>
          <w:rFonts w:ascii="Arial" w:hAnsi="Arial" w:cs="Arial"/>
          <w:sz w:val="24"/>
          <w:szCs w:val="24"/>
          <w:lang w:val="en-GB"/>
        </w:rPr>
      </w:pPr>
      <w:r>
        <w:rPr>
          <w:rFonts w:ascii="Arial" w:hAnsi="Arial" w:cs="Arial"/>
          <w:sz w:val="24"/>
          <w:szCs w:val="24"/>
          <w:lang w:val="en-GB"/>
        </w:rPr>
        <w:t xml:space="preserve">Keywords: </w:t>
      </w:r>
      <w:r w:rsidRPr="002E50D1">
        <w:rPr>
          <w:rFonts w:ascii="Arial" w:hAnsi="Arial" w:cs="Arial"/>
          <w:sz w:val="24"/>
          <w:szCs w:val="24"/>
          <w:lang w:val="en-GB"/>
        </w:rPr>
        <w:t>Psychoactive Substance</w:t>
      </w:r>
      <w:r>
        <w:rPr>
          <w:rFonts w:ascii="Arial" w:hAnsi="Arial" w:cs="Arial"/>
          <w:sz w:val="24"/>
          <w:szCs w:val="24"/>
          <w:lang w:val="en-GB"/>
        </w:rPr>
        <w:t>, I</w:t>
      </w:r>
      <w:r w:rsidRPr="002E50D1">
        <w:rPr>
          <w:rFonts w:ascii="Arial" w:hAnsi="Arial" w:cs="Arial"/>
          <w:sz w:val="24"/>
          <w:szCs w:val="24"/>
          <w:lang w:val="en-GB"/>
        </w:rPr>
        <w:t>ntegrating public health</w:t>
      </w:r>
      <w:r>
        <w:rPr>
          <w:rFonts w:ascii="Arial" w:hAnsi="Arial" w:cs="Arial"/>
          <w:sz w:val="24"/>
          <w:szCs w:val="24"/>
          <w:lang w:val="en-GB"/>
        </w:rPr>
        <w:t>, S</w:t>
      </w:r>
      <w:r w:rsidRPr="002E50D1">
        <w:rPr>
          <w:rFonts w:ascii="Arial" w:hAnsi="Arial" w:cs="Arial"/>
          <w:sz w:val="24"/>
          <w:szCs w:val="24"/>
          <w:lang w:val="en-GB"/>
        </w:rPr>
        <w:t>ocial welfare and legal frameworks</w:t>
      </w:r>
    </w:p>
    <w:p w:rsidR="0072364A" w:rsidRDefault="00183ECA">
      <w:pPr>
        <w:spacing w:after="160" w:line="259" w:lineRule="auto"/>
        <w:rPr>
          <w:rFonts w:ascii="Arial" w:hAnsi="Arial" w:cs="Arial"/>
          <w:sz w:val="24"/>
          <w:szCs w:val="24"/>
          <w:lang w:val="en-GB"/>
        </w:rPr>
      </w:pPr>
      <w:r>
        <w:rPr>
          <w:rFonts w:ascii="Arial" w:hAnsi="Arial" w:cs="Arial"/>
          <w:sz w:val="24"/>
          <w:szCs w:val="24"/>
          <w:lang w:val="en-GB"/>
        </w:rPr>
        <w:br w:type="page"/>
      </w:r>
    </w:p>
    <w:p w:rsidR="0072364A" w:rsidRDefault="0072364A">
      <w:pPr>
        <w:spacing w:line="360" w:lineRule="auto"/>
        <w:jc w:val="both"/>
        <w:rPr>
          <w:rFonts w:ascii="Arial" w:hAnsi="Arial" w:cs="Arial"/>
          <w:sz w:val="24"/>
          <w:szCs w:val="24"/>
          <w:lang w:val="en-GB"/>
        </w:rPr>
        <w:sectPr w:rsidR="0072364A">
          <w:headerReference w:type="even" r:id="rId8"/>
          <w:headerReference w:type="default" r:id="rId9"/>
          <w:footerReference w:type="even" r:id="rId10"/>
          <w:footerReference w:type="default" r:id="rId11"/>
          <w:headerReference w:type="first" r:id="rId12"/>
          <w:footerReference w:type="first" r:id="rId13"/>
          <w:pgSz w:w="11906" w:h="16838"/>
          <w:pgMar w:top="1134" w:right="1106"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08"/>
          <w:titlePg/>
          <w:docGrid w:linePitch="360"/>
        </w:sectPr>
      </w:pPr>
    </w:p>
    <w:p w:rsidR="0072364A" w:rsidRDefault="00183ECA">
      <w:pPr>
        <w:pStyle w:val="Heading2"/>
        <w:spacing w:before="0" w:line="360" w:lineRule="auto"/>
        <w:rPr>
          <w:rFonts w:ascii="Arial" w:hAnsi="Arial" w:cs="Arial"/>
          <w:color w:val="auto"/>
          <w:sz w:val="24"/>
          <w:szCs w:val="24"/>
        </w:rPr>
      </w:pPr>
      <w:bookmarkStart w:id="1" w:name="_Toc506540815"/>
      <w:bookmarkStart w:id="2" w:name="_Toc506492811"/>
      <w:bookmarkStart w:id="3" w:name="_Toc506148494"/>
      <w:bookmarkStart w:id="4" w:name="_Toc150856878"/>
      <w:bookmarkStart w:id="5" w:name="_Toc127834042"/>
      <w:bookmarkStart w:id="6" w:name="_Toc75428679"/>
      <w:bookmarkStart w:id="7" w:name="_Toc506789428"/>
      <w:bookmarkStart w:id="8" w:name="_Toc506874157"/>
      <w:bookmarkStart w:id="9" w:name="_Toc5004753"/>
      <w:bookmarkStart w:id="10" w:name="_Toc157868884"/>
      <w:bookmarkStart w:id="11" w:name="_Toc128102260"/>
      <w:bookmarkStart w:id="12" w:name="_Toc503813032"/>
      <w:bookmarkStart w:id="13" w:name="_Toc2485383"/>
      <w:r>
        <w:rPr>
          <w:rFonts w:ascii="Arial" w:hAnsi="Arial" w:cs="Arial"/>
          <w:color w:val="auto"/>
          <w:sz w:val="24"/>
          <w:szCs w:val="24"/>
        </w:rPr>
        <w:t>INTRODUCTION</w:t>
      </w:r>
      <w:bookmarkEnd w:id="1"/>
      <w:bookmarkEnd w:id="2"/>
      <w:bookmarkEnd w:id="3"/>
      <w:bookmarkEnd w:id="4"/>
      <w:bookmarkEnd w:id="5"/>
      <w:bookmarkEnd w:id="6"/>
      <w:bookmarkEnd w:id="7"/>
      <w:bookmarkEnd w:id="8"/>
      <w:bookmarkEnd w:id="9"/>
      <w:bookmarkEnd w:id="10"/>
      <w:bookmarkEnd w:id="11"/>
      <w:bookmarkEnd w:id="12"/>
      <w:bookmarkEnd w:id="13"/>
    </w:p>
    <w:p w:rsidR="0072364A" w:rsidRDefault="00183ECA">
      <w:pPr>
        <w:pStyle w:val="Heading3"/>
        <w:spacing w:before="0" w:line="360" w:lineRule="auto"/>
        <w:jc w:val="both"/>
        <w:rPr>
          <w:rFonts w:ascii="Arial" w:hAnsi="Arial" w:cs="Arial"/>
          <w:b w:val="0"/>
          <w:color w:val="auto"/>
          <w:sz w:val="24"/>
          <w:szCs w:val="24"/>
        </w:rPr>
      </w:pPr>
      <w:bookmarkStart w:id="14" w:name="_Toc157868885"/>
      <w:r>
        <w:rPr>
          <w:rFonts w:ascii="Arial" w:hAnsi="Arial" w:cs="Arial"/>
          <w:color w:val="auto"/>
          <w:sz w:val="24"/>
          <w:szCs w:val="24"/>
        </w:rPr>
        <w:t>Background</w:t>
      </w:r>
      <w:bookmarkEnd w:id="14"/>
      <w:r>
        <w:rPr>
          <w:rFonts w:ascii="Arial" w:hAnsi="Arial" w:cs="Arial"/>
          <w:color w:val="auto"/>
          <w:sz w:val="24"/>
          <w:szCs w:val="24"/>
        </w:rPr>
        <w:t xml:space="preserve"> of the Study </w:t>
      </w:r>
    </w:p>
    <w:p w:rsidR="0072364A" w:rsidRDefault="00DE4812">
      <w:pPr>
        <w:autoSpaceDE w:val="0"/>
        <w:autoSpaceDN w:val="0"/>
        <w:adjustRightInd w:val="0"/>
        <w:spacing w:after="0" w:line="360" w:lineRule="auto"/>
        <w:jc w:val="both"/>
        <w:rPr>
          <w:rFonts w:ascii="Arial" w:hAnsi="Arial" w:cs="Arial"/>
          <w:sz w:val="24"/>
          <w:szCs w:val="24"/>
          <w:lang w:val="en-GB"/>
        </w:rPr>
      </w:pPr>
      <w:r>
        <w:rPr>
          <w:rFonts w:ascii="Arial" w:hAnsi="Arial" w:cs="Arial"/>
          <w:sz w:val="24"/>
          <w:szCs w:val="24"/>
        </w:rPr>
        <w:t>“</w:t>
      </w:r>
      <w:r w:rsidR="00183ECA">
        <w:rPr>
          <w:rFonts w:ascii="Arial" w:hAnsi="Arial" w:cs="Arial"/>
          <w:sz w:val="24"/>
          <w:szCs w:val="24"/>
        </w:rPr>
        <w:t xml:space="preserve">Substance use </w:t>
      </w:r>
      <w:r w:rsidR="00183ECA">
        <w:rPr>
          <w:rFonts w:ascii="Arial" w:hAnsi="Arial" w:cs="Arial"/>
          <w:sz w:val="24"/>
          <w:szCs w:val="24"/>
          <w:lang w:val="en-GB"/>
        </w:rPr>
        <w:t>remains a critical public health issue worldwide, due to its widespread prevalence across all socioeconomic groups. It refers to the harmful use or illegal intake of psychoactive substances such as alcohol and illicit drugs without a medical doctor’s prescription</w:t>
      </w:r>
      <w:r>
        <w:rPr>
          <w:rFonts w:ascii="Arial" w:hAnsi="Arial" w:cs="Arial"/>
          <w:sz w:val="24"/>
          <w:szCs w:val="24"/>
          <w:lang w:val="en-GB"/>
        </w:rPr>
        <w:t>”</w:t>
      </w:r>
      <w:r w:rsidR="00183ECA">
        <w:rPr>
          <w:rFonts w:ascii="Arial" w:hAnsi="Arial" w:cs="Arial"/>
          <w:sz w:val="24"/>
          <w:szCs w:val="24"/>
          <w:lang w:val="en-GB"/>
        </w:rPr>
        <w:t xml:space="preserve"> (Idowu et al., 2018; </w:t>
      </w:r>
      <w:proofErr w:type="spellStart"/>
      <w:r w:rsidR="00183ECA">
        <w:rPr>
          <w:rFonts w:ascii="Arial" w:hAnsi="Arial" w:cs="Arial"/>
          <w:sz w:val="24"/>
          <w:szCs w:val="24"/>
          <w:lang w:val="en-GB"/>
        </w:rPr>
        <w:t>Ngwu</w:t>
      </w:r>
      <w:proofErr w:type="spellEnd"/>
      <w:r w:rsidR="00183ECA">
        <w:rPr>
          <w:rFonts w:ascii="Arial" w:hAnsi="Arial" w:cs="Arial"/>
          <w:sz w:val="24"/>
          <w:szCs w:val="24"/>
          <w:lang w:val="en-GB"/>
        </w:rPr>
        <w:t xml:space="preserve"> et al., 2024). </w:t>
      </w:r>
      <w:proofErr w:type="spellStart"/>
      <w:r w:rsidR="00183ECA">
        <w:rPr>
          <w:rFonts w:ascii="Arial" w:hAnsi="Arial" w:cs="Arial"/>
          <w:sz w:val="24"/>
          <w:szCs w:val="24"/>
          <w:lang w:val="en-GB"/>
        </w:rPr>
        <w:t>Bararah</w:t>
      </w:r>
      <w:proofErr w:type="spellEnd"/>
      <w:r w:rsidR="00183ECA">
        <w:rPr>
          <w:rFonts w:ascii="Arial" w:hAnsi="Arial" w:cs="Arial"/>
          <w:sz w:val="24"/>
          <w:szCs w:val="24"/>
          <w:lang w:val="en-GB"/>
        </w:rPr>
        <w:t xml:space="preserve"> (2018) also defined it as the deliberate use of chemical substances for purposes other than medical purposes. </w:t>
      </w:r>
      <w:proofErr w:type="spellStart"/>
      <w:r w:rsidR="00183ECA">
        <w:rPr>
          <w:rFonts w:ascii="Arial" w:hAnsi="Arial" w:cs="Arial"/>
          <w:sz w:val="24"/>
          <w:szCs w:val="24"/>
          <w:lang w:val="en-GB"/>
        </w:rPr>
        <w:t>Ajala</w:t>
      </w:r>
      <w:proofErr w:type="spellEnd"/>
      <w:r w:rsidR="00183ECA">
        <w:rPr>
          <w:rFonts w:ascii="Arial" w:hAnsi="Arial" w:cs="Arial"/>
          <w:sz w:val="24"/>
          <w:szCs w:val="24"/>
          <w:lang w:val="en-GB"/>
        </w:rPr>
        <w:t xml:space="preserve"> (2012) identified </w:t>
      </w:r>
      <w:r>
        <w:rPr>
          <w:rFonts w:ascii="Arial" w:hAnsi="Arial" w:cs="Arial"/>
          <w:sz w:val="24"/>
          <w:szCs w:val="24"/>
          <w:lang w:val="en-GB"/>
        </w:rPr>
        <w:t>“</w:t>
      </w:r>
      <w:r w:rsidR="00183ECA">
        <w:rPr>
          <w:rFonts w:ascii="Arial" w:hAnsi="Arial" w:cs="Arial"/>
          <w:sz w:val="24"/>
          <w:szCs w:val="24"/>
          <w:lang w:val="en-GB"/>
        </w:rPr>
        <w:t xml:space="preserve">some of the substances commonly </w:t>
      </w:r>
      <w:r w:rsidR="00183ECA">
        <w:rPr>
          <w:rFonts w:ascii="Arial" w:hAnsi="Arial" w:cs="Arial"/>
          <w:sz w:val="24"/>
          <w:szCs w:val="24"/>
        </w:rPr>
        <w:t>used</w:t>
      </w:r>
      <w:r w:rsidR="00183ECA">
        <w:rPr>
          <w:rFonts w:ascii="Arial" w:hAnsi="Arial" w:cs="Arial"/>
          <w:sz w:val="24"/>
          <w:szCs w:val="24"/>
          <w:lang w:val="en-GB"/>
        </w:rPr>
        <w:t xml:space="preserve"> by youths to include: Morphine, Heroine, Tobacco, Cough syrup, Tramadol, Valium, Chinese tablets, Amphetamine, Cannabis, among others</w:t>
      </w:r>
      <w:r>
        <w:rPr>
          <w:rFonts w:ascii="Arial" w:hAnsi="Arial" w:cs="Arial"/>
          <w:sz w:val="24"/>
          <w:szCs w:val="24"/>
          <w:lang w:val="en-GB"/>
        </w:rPr>
        <w:t>”</w:t>
      </w:r>
      <w:r w:rsidR="00183ECA">
        <w:rPr>
          <w:rFonts w:ascii="Arial" w:hAnsi="Arial" w:cs="Arial"/>
          <w:sz w:val="24"/>
          <w:szCs w:val="24"/>
          <w:lang w:val="en-GB"/>
        </w:rPr>
        <w:t xml:space="preserve">. Evidence shows that the current prevalence of </w:t>
      </w:r>
      <w:r w:rsidR="00183ECA">
        <w:rPr>
          <w:rFonts w:ascii="Arial" w:hAnsi="Arial" w:cs="Arial"/>
          <w:sz w:val="24"/>
          <w:szCs w:val="24"/>
        </w:rPr>
        <w:t xml:space="preserve">Substance use </w:t>
      </w:r>
      <w:r w:rsidR="00183ECA">
        <w:rPr>
          <w:rFonts w:ascii="Arial" w:hAnsi="Arial" w:cs="Arial"/>
          <w:sz w:val="24"/>
          <w:szCs w:val="24"/>
          <w:lang w:val="en-GB"/>
        </w:rPr>
        <w:t>has been associated with personality or psychiatric disorders, risky sexual behaviours, relationship conflicts, poor academic performance, death, addiction and other hardships (</w:t>
      </w:r>
      <w:proofErr w:type="spellStart"/>
      <w:r w:rsidR="00183ECA">
        <w:rPr>
          <w:rFonts w:ascii="Arial" w:hAnsi="Arial" w:cs="Arial"/>
          <w:sz w:val="24"/>
          <w:szCs w:val="24"/>
          <w:lang w:val="en-GB"/>
        </w:rPr>
        <w:t>Ritchwood</w:t>
      </w:r>
      <w:proofErr w:type="spellEnd"/>
      <w:r w:rsidR="00183ECA">
        <w:rPr>
          <w:rFonts w:ascii="Arial" w:hAnsi="Arial" w:cs="Arial"/>
          <w:sz w:val="24"/>
          <w:szCs w:val="24"/>
          <w:lang w:val="en-GB"/>
        </w:rPr>
        <w:t xml:space="preserve"> et al., 2015; Jere et al., 2017 </w:t>
      </w:r>
      <w:proofErr w:type="spellStart"/>
      <w:r w:rsidR="00183ECA">
        <w:rPr>
          <w:rFonts w:ascii="Arial" w:hAnsi="Arial" w:cs="Arial"/>
          <w:sz w:val="24"/>
          <w:szCs w:val="24"/>
          <w:lang w:val="en-GB"/>
        </w:rPr>
        <w:t>Fagbe</w:t>
      </w:r>
      <w:proofErr w:type="spellEnd"/>
      <w:r w:rsidR="00183ECA">
        <w:rPr>
          <w:rFonts w:ascii="Arial" w:hAnsi="Arial" w:cs="Arial"/>
          <w:sz w:val="24"/>
          <w:szCs w:val="24"/>
          <w:lang w:val="en-GB"/>
        </w:rPr>
        <w:t xml:space="preserve">, 2019). Daley (2013) added that </w:t>
      </w:r>
      <w:r>
        <w:rPr>
          <w:rFonts w:ascii="Arial" w:hAnsi="Arial" w:cs="Arial"/>
          <w:sz w:val="24"/>
          <w:szCs w:val="24"/>
          <w:lang w:val="en-GB"/>
        </w:rPr>
        <w:t>“</w:t>
      </w:r>
      <w:r w:rsidR="00183ECA">
        <w:rPr>
          <w:rFonts w:ascii="Arial" w:hAnsi="Arial" w:cs="Arial"/>
          <w:sz w:val="24"/>
          <w:szCs w:val="24"/>
          <w:lang w:val="en-GB"/>
        </w:rPr>
        <w:t>the impact extends beyond individual health, affecting families, communities, and broader societal structures</w:t>
      </w:r>
      <w:r>
        <w:rPr>
          <w:rFonts w:ascii="Arial" w:hAnsi="Arial" w:cs="Arial"/>
          <w:sz w:val="24"/>
          <w:szCs w:val="24"/>
          <w:lang w:val="en-GB"/>
        </w:rPr>
        <w:t>”</w:t>
      </w:r>
      <w:r w:rsidR="00183ECA">
        <w:rPr>
          <w:rFonts w:ascii="Arial" w:hAnsi="Arial" w:cs="Arial"/>
          <w:sz w:val="24"/>
          <w:szCs w:val="24"/>
          <w:lang w:val="en-GB"/>
        </w:rPr>
        <w:t xml:space="preserve">. </w:t>
      </w:r>
      <w:r>
        <w:rPr>
          <w:rFonts w:ascii="Arial" w:hAnsi="Arial" w:cs="Arial"/>
          <w:sz w:val="24"/>
          <w:szCs w:val="24"/>
          <w:lang w:val="en-GB"/>
        </w:rPr>
        <w:t>“</w:t>
      </w:r>
      <w:r w:rsidR="00183ECA">
        <w:rPr>
          <w:rFonts w:ascii="Arial" w:hAnsi="Arial" w:cs="Arial"/>
          <w:sz w:val="24"/>
          <w:szCs w:val="24"/>
          <w:lang w:val="en-GB"/>
        </w:rPr>
        <w:t>These have been associated with a perceived increase in the prevalence of drug use globally, as drug users represented about 0.9% of the world’s population</w:t>
      </w:r>
      <w:r>
        <w:rPr>
          <w:rFonts w:ascii="Arial" w:hAnsi="Arial" w:cs="Arial"/>
          <w:sz w:val="24"/>
          <w:szCs w:val="24"/>
          <w:lang w:val="en-GB"/>
        </w:rPr>
        <w:t>”</w:t>
      </w:r>
      <w:r w:rsidR="00183ECA">
        <w:rPr>
          <w:rFonts w:ascii="Arial" w:hAnsi="Arial" w:cs="Arial"/>
          <w:sz w:val="24"/>
          <w:szCs w:val="24"/>
          <w:lang w:val="en-GB"/>
        </w:rPr>
        <w:t xml:space="preserve"> (Ritchie &amp; </w:t>
      </w:r>
      <w:proofErr w:type="spellStart"/>
      <w:r w:rsidR="00183ECA">
        <w:rPr>
          <w:rFonts w:ascii="Arial" w:hAnsi="Arial" w:cs="Arial"/>
          <w:sz w:val="24"/>
          <w:szCs w:val="24"/>
          <w:lang w:val="en-GB"/>
        </w:rPr>
        <w:t>Roser</w:t>
      </w:r>
      <w:proofErr w:type="spellEnd"/>
      <w:r w:rsidR="00183ECA">
        <w:rPr>
          <w:rFonts w:ascii="Arial" w:hAnsi="Arial" w:cs="Arial"/>
          <w:sz w:val="24"/>
          <w:szCs w:val="24"/>
          <w:lang w:val="en-GB"/>
        </w:rPr>
        <w:t xml:space="preserve">, 2018), and an estimated 42 million years of healthy life were lost globally in 2017 due to drug use (UNODC, 2019). </w:t>
      </w:r>
      <w:r>
        <w:rPr>
          <w:rFonts w:ascii="Arial" w:hAnsi="Arial" w:cs="Arial"/>
          <w:sz w:val="24"/>
          <w:szCs w:val="24"/>
          <w:lang w:val="en-GB"/>
        </w:rPr>
        <w:t>“</w:t>
      </w:r>
      <w:r w:rsidR="00183ECA">
        <w:rPr>
          <w:rFonts w:ascii="Arial" w:hAnsi="Arial" w:cs="Arial"/>
          <w:sz w:val="24"/>
          <w:szCs w:val="24"/>
          <w:lang w:val="en-GB"/>
        </w:rPr>
        <w:t>Nigeria currently faces similar challenges as its citizens indulge in substance use, as the United Nations Office on Drugs and Crime (UNODC) in Nigeria indicates that 14.4% (14.3 million) of people aged between 15 and 64 years use drugs</w:t>
      </w:r>
      <w:r>
        <w:rPr>
          <w:rFonts w:ascii="Arial" w:hAnsi="Arial" w:cs="Arial"/>
          <w:sz w:val="24"/>
          <w:szCs w:val="24"/>
          <w:lang w:val="en-GB"/>
        </w:rPr>
        <w:t>”</w:t>
      </w:r>
      <w:r w:rsidR="00183ECA">
        <w:rPr>
          <w:rFonts w:ascii="Arial" w:hAnsi="Arial" w:cs="Arial"/>
          <w:sz w:val="24"/>
          <w:szCs w:val="24"/>
          <w:lang w:val="en-GB"/>
        </w:rPr>
        <w:t xml:space="preserve"> </w:t>
      </w:r>
      <w:bookmarkStart w:id="15" w:name="_Hlk198492235"/>
      <w:r w:rsidR="00183ECA">
        <w:rPr>
          <w:rFonts w:ascii="Arial" w:hAnsi="Arial" w:cs="Arial"/>
          <w:sz w:val="24"/>
          <w:szCs w:val="24"/>
          <w:lang w:val="en-GB"/>
        </w:rPr>
        <w:t>(UNODC, 2018</w:t>
      </w:r>
      <w:bookmarkEnd w:id="15"/>
      <w:r w:rsidR="00183ECA">
        <w:rPr>
          <w:rFonts w:ascii="Arial" w:hAnsi="Arial" w:cs="Arial"/>
          <w:sz w:val="24"/>
          <w:szCs w:val="24"/>
          <w:lang w:val="en-GB"/>
        </w:rPr>
        <w:t xml:space="preserve">). A 2017 national drug survey in Nigeria found that 14.3 million people aged 15-64 years used drugs, with one in four of such drug users was a female (11). Furthermore, Idowu et al. (2018) added that </w:t>
      </w:r>
      <w:r w:rsidR="00183ECA">
        <w:rPr>
          <w:rFonts w:ascii="Arial" w:hAnsi="Arial" w:cs="Arial"/>
          <w:sz w:val="24"/>
          <w:szCs w:val="24"/>
        </w:rPr>
        <w:t xml:space="preserve">Substance use </w:t>
      </w:r>
      <w:r w:rsidR="00183ECA">
        <w:rPr>
          <w:rFonts w:ascii="Arial" w:hAnsi="Arial" w:cs="Arial"/>
          <w:sz w:val="24"/>
          <w:szCs w:val="24"/>
          <w:lang w:val="en-GB"/>
        </w:rPr>
        <w:t>in Nigeria is prevalent across educational levels and reaches down to the secondary school level.</w:t>
      </w:r>
    </w:p>
    <w:p w:rsidR="0072364A" w:rsidRDefault="00183ECA">
      <w:pPr>
        <w:autoSpaceDE w:val="0"/>
        <w:autoSpaceDN w:val="0"/>
        <w:adjustRightInd w:val="0"/>
        <w:spacing w:before="240" w:after="0" w:line="360" w:lineRule="auto"/>
        <w:jc w:val="both"/>
        <w:rPr>
          <w:rFonts w:ascii="Arial" w:hAnsi="Arial" w:cs="Arial"/>
          <w:sz w:val="24"/>
          <w:szCs w:val="24"/>
          <w:lang w:val="en-GB"/>
        </w:rPr>
      </w:pPr>
      <w:r>
        <w:rPr>
          <w:rFonts w:ascii="Arial" w:hAnsi="Arial" w:cs="Arial"/>
          <w:sz w:val="24"/>
          <w:szCs w:val="24"/>
        </w:rPr>
        <w:t xml:space="preserve">Substance use </w:t>
      </w:r>
      <w:r>
        <w:rPr>
          <w:rFonts w:ascii="Arial" w:hAnsi="Arial" w:cs="Arial"/>
          <w:sz w:val="24"/>
          <w:szCs w:val="24"/>
          <w:lang w:val="en-GB"/>
        </w:rPr>
        <w:t xml:space="preserve">has become a significant public health issue, particularly among the youth population. Young people are defined as adolescents and young adults aged 10–24 years (UN, 1995; </w:t>
      </w:r>
      <w:proofErr w:type="spellStart"/>
      <w:r>
        <w:rPr>
          <w:rFonts w:ascii="Arial" w:hAnsi="Arial" w:cs="Arial"/>
          <w:sz w:val="24"/>
          <w:szCs w:val="24"/>
          <w:lang w:val="en-GB"/>
        </w:rPr>
        <w:t>Mulye</w:t>
      </w:r>
      <w:proofErr w:type="spellEnd"/>
      <w:r>
        <w:rPr>
          <w:rFonts w:ascii="Arial" w:hAnsi="Arial" w:cs="Arial"/>
          <w:sz w:val="24"/>
          <w:szCs w:val="24"/>
          <w:lang w:val="en-GB"/>
        </w:rPr>
        <w:t xml:space="preserve"> et al., 2009; Gore et al., 2011). </w:t>
      </w:r>
      <w:r w:rsidR="00DE4812">
        <w:rPr>
          <w:rFonts w:ascii="Arial" w:hAnsi="Arial" w:cs="Arial"/>
          <w:sz w:val="24"/>
          <w:szCs w:val="24"/>
          <w:lang w:val="en-GB"/>
        </w:rPr>
        <w:t>“</w:t>
      </w:r>
      <w:r>
        <w:rPr>
          <w:rFonts w:ascii="Arial" w:hAnsi="Arial" w:cs="Arial"/>
          <w:sz w:val="24"/>
          <w:szCs w:val="24"/>
          <w:lang w:val="en-GB"/>
        </w:rPr>
        <w:t>They constitute a significant portion of the global population (24%) and are estimated to account for approximately 1.9 billion of the world population (UNFP, 2023). They are primarily concentrated in low- and middle-income countries (LMICs), where 90% of young people reside</w:t>
      </w:r>
      <w:r w:rsidR="00DE4812">
        <w:rPr>
          <w:rFonts w:ascii="Arial" w:hAnsi="Arial" w:cs="Arial"/>
          <w:sz w:val="24"/>
          <w:szCs w:val="24"/>
          <w:lang w:val="en-GB"/>
        </w:rPr>
        <w:t>”</w:t>
      </w:r>
      <w:r>
        <w:rPr>
          <w:rFonts w:ascii="Arial" w:hAnsi="Arial" w:cs="Arial"/>
          <w:sz w:val="24"/>
          <w:szCs w:val="24"/>
          <w:lang w:val="en-GB"/>
        </w:rPr>
        <w:t xml:space="preserve"> (UNFP, 2023). </w:t>
      </w:r>
      <w:r w:rsidR="00DE4812">
        <w:rPr>
          <w:rFonts w:ascii="Arial" w:hAnsi="Arial" w:cs="Arial"/>
          <w:sz w:val="24"/>
          <w:szCs w:val="24"/>
          <w:lang w:val="en-GB"/>
        </w:rPr>
        <w:t>“</w:t>
      </w:r>
      <w:r>
        <w:rPr>
          <w:rFonts w:ascii="Arial" w:hAnsi="Arial" w:cs="Arial"/>
          <w:sz w:val="24"/>
          <w:szCs w:val="24"/>
          <w:lang w:val="en-GB"/>
        </w:rPr>
        <w:t>According to a worldwide addiction report in 2017, 1 in 20 to 1 in 5 people aged 15 years and above highly use alcohol, tobacco, and illicit drugs daily</w:t>
      </w:r>
      <w:r w:rsidR="00DE4812">
        <w:rPr>
          <w:rFonts w:ascii="Arial" w:hAnsi="Arial" w:cs="Arial"/>
          <w:sz w:val="24"/>
          <w:szCs w:val="24"/>
          <w:lang w:val="en-GB"/>
        </w:rPr>
        <w:t>”</w:t>
      </w:r>
      <w:r>
        <w:rPr>
          <w:rFonts w:ascii="Arial" w:hAnsi="Arial" w:cs="Arial"/>
          <w:sz w:val="24"/>
          <w:szCs w:val="24"/>
          <w:lang w:val="en-GB"/>
        </w:rPr>
        <w:t xml:space="preserve"> (Peacock et al., 2017). </w:t>
      </w:r>
      <w:proofErr w:type="spellStart"/>
      <w:r>
        <w:rPr>
          <w:rFonts w:ascii="Arial" w:hAnsi="Arial" w:cs="Arial"/>
          <w:sz w:val="24"/>
          <w:szCs w:val="24"/>
          <w:lang w:val="en-GB"/>
        </w:rPr>
        <w:t>Nawi</w:t>
      </w:r>
      <w:proofErr w:type="spellEnd"/>
      <w:r>
        <w:rPr>
          <w:rFonts w:ascii="Arial" w:hAnsi="Arial" w:cs="Arial"/>
          <w:sz w:val="24"/>
          <w:szCs w:val="24"/>
          <w:lang w:val="en-GB"/>
        </w:rPr>
        <w:t xml:space="preserve"> et al. (2021) and </w:t>
      </w:r>
      <w:proofErr w:type="spellStart"/>
      <w:r>
        <w:rPr>
          <w:rFonts w:ascii="Arial" w:hAnsi="Arial" w:cs="Arial"/>
          <w:sz w:val="24"/>
          <w:szCs w:val="24"/>
          <w:lang w:val="en-GB"/>
        </w:rPr>
        <w:t>Jaguga</w:t>
      </w:r>
      <w:proofErr w:type="spellEnd"/>
      <w:r>
        <w:rPr>
          <w:rFonts w:ascii="Arial" w:hAnsi="Arial" w:cs="Arial"/>
          <w:sz w:val="24"/>
          <w:szCs w:val="24"/>
          <w:lang w:val="en-GB"/>
        </w:rPr>
        <w:t xml:space="preserve"> et al. (2022) reported that </w:t>
      </w:r>
      <w:r w:rsidR="00DE4812">
        <w:rPr>
          <w:rFonts w:ascii="Arial" w:hAnsi="Arial" w:cs="Arial"/>
          <w:sz w:val="24"/>
          <w:szCs w:val="24"/>
          <w:lang w:val="en-GB"/>
        </w:rPr>
        <w:t>“</w:t>
      </w:r>
      <w:r>
        <w:rPr>
          <w:rFonts w:ascii="Arial" w:hAnsi="Arial" w:cs="Arial"/>
          <w:sz w:val="24"/>
          <w:szCs w:val="24"/>
          <w:lang w:val="en-GB"/>
        </w:rPr>
        <w:t>substance use among young people has been linked with several factors including socio-economic factors (poverty, unemployment, and lack of education), as well as environmental influences (peer pressure, family dynamics, and the availability of substances)</w:t>
      </w:r>
      <w:r w:rsidR="00DE4812">
        <w:rPr>
          <w:rFonts w:ascii="Arial" w:hAnsi="Arial" w:cs="Arial"/>
          <w:sz w:val="24"/>
          <w:szCs w:val="24"/>
          <w:lang w:val="en-GB"/>
        </w:rPr>
        <w:t>”</w:t>
      </w:r>
      <w:r>
        <w:rPr>
          <w:rFonts w:ascii="Arial" w:hAnsi="Arial" w:cs="Arial"/>
          <w:sz w:val="24"/>
          <w:szCs w:val="24"/>
          <w:lang w:val="en-GB"/>
        </w:rPr>
        <w:t xml:space="preserve">. Oshodi et al. (2010) and </w:t>
      </w:r>
      <w:proofErr w:type="spellStart"/>
      <w:r>
        <w:rPr>
          <w:rFonts w:ascii="Arial" w:hAnsi="Arial" w:cs="Arial"/>
          <w:sz w:val="24"/>
          <w:szCs w:val="24"/>
          <w:lang w:val="en-GB"/>
        </w:rPr>
        <w:t>Gopiram</w:t>
      </w:r>
      <w:proofErr w:type="spellEnd"/>
      <w:r>
        <w:rPr>
          <w:rFonts w:ascii="Arial" w:hAnsi="Arial" w:cs="Arial"/>
          <w:sz w:val="24"/>
          <w:szCs w:val="24"/>
          <w:lang w:val="en-GB"/>
        </w:rPr>
        <w:t xml:space="preserve"> and Kishore (2014) added that </w:t>
      </w:r>
      <w:r w:rsidR="00DE4812">
        <w:rPr>
          <w:rFonts w:ascii="Arial" w:hAnsi="Arial" w:cs="Arial"/>
          <w:sz w:val="24"/>
          <w:szCs w:val="24"/>
          <w:lang w:val="en-GB"/>
        </w:rPr>
        <w:t>“</w:t>
      </w:r>
      <w:r>
        <w:rPr>
          <w:rFonts w:ascii="Arial" w:hAnsi="Arial" w:cs="Arial"/>
          <w:sz w:val="24"/>
          <w:szCs w:val="24"/>
          <w:lang w:val="en-GB"/>
        </w:rPr>
        <w:t>psychological factors such as exposure to trauma, stress, violence, mental health, and adverse childhood experiences also play a significant role in predisposing young individuals to seek solace in drugs and alcohol as coping mechanisms</w:t>
      </w:r>
      <w:r w:rsidR="00DE4812">
        <w:rPr>
          <w:rFonts w:ascii="Arial" w:hAnsi="Arial" w:cs="Arial"/>
          <w:sz w:val="24"/>
          <w:szCs w:val="24"/>
          <w:lang w:val="en-GB"/>
        </w:rPr>
        <w:t>”</w:t>
      </w:r>
      <w:r>
        <w:rPr>
          <w:rFonts w:ascii="Arial" w:hAnsi="Arial" w:cs="Arial"/>
          <w:sz w:val="24"/>
          <w:szCs w:val="24"/>
          <w:lang w:val="en-GB"/>
        </w:rPr>
        <w:t>.</w:t>
      </w:r>
    </w:p>
    <w:p w:rsidR="0072364A" w:rsidRDefault="00DE4812">
      <w:pPr>
        <w:autoSpaceDE w:val="0"/>
        <w:autoSpaceDN w:val="0"/>
        <w:adjustRightInd w:val="0"/>
        <w:spacing w:before="240" w:after="0" w:line="360" w:lineRule="auto"/>
        <w:jc w:val="both"/>
        <w:rPr>
          <w:rFonts w:ascii="Arial" w:hAnsi="Arial" w:cs="Arial"/>
          <w:sz w:val="24"/>
          <w:szCs w:val="24"/>
          <w:lang w:val="en-GB"/>
        </w:rPr>
      </w:pPr>
      <w:r>
        <w:rPr>
          <w:rFonts w:ascii="Arial" w:hAnsi="Arial" w:cs="Arial"/>
          <w:sz w:val="24"/>
          <w:szCs w:val="24"/>
          <w:lang w:val="en-GB"/>
        </w:rPr>
        <w:t>“</w:t>
      </w:r>
      <w:r w:rsidR="00183ECA">
        <w:rPr>
          <w:rFonts w:ascii="Arial" w:hAnsi="Arial" w:cs="Arial"/>
          <w:sz w:val="24"/>
          <w:szCs w:val="24"/>
          <w:lang w:val="en-GB"/>
        </w:rPr>
        <w:t xml:space="preserve">The incidence rate and prevalence of psychoactive </w:t>
      </w:r>
      <w:r w:rsidR="00183ECA">
        <w:rPr>
          <w:rFonts w:ascii="Arial" w:hAnsi="Arial" w:cs="Arial"/>
          <w:sz w:val="24"/>
          <w:szCs w:val="24"/>
        </w:rPr>
        <w:t>Substance use</w:t>
      </w:r>
      <w:r w:rsidR="00183ECA">
        <w:rPr>
          <w:rFonts w:ascii="Arial" w:hAnsi="Arial" w:cs="Arial"/>
          <w:sz w:val="24"/>
          <w:szCs w:val="24"/>
          <w:lang w:val="en-GB"/>
        </w:rPr>
        <w:t>among youth in various African countries are escalating every year</w:t>
      </w:r>
      <w:r>
        <w:rPr>
          <w:rFonts w:ascii="Arial" w:hAnsi="Arial" w:cs="Arial"/>
          <w:sz w:val="24"/>
          <w:szCs w:val="24"/>
          <w:lang w:val="en-GB"/>
        </w:rPr>
        <w:t>”</w:t>
      </w:r>
      <w:r w:rsidR="00183ECA">
        <w:rPr>
          <w:rFonts w:ascii="Arial" w:hAnsi="Arial" w:cs="Arial"/>
          <w:sz w:val="24"/>
          <w:szCs w:val="24"/>
          <w:lang w:val="en-GB"/>
        </w:rPr>
        <w:t xml:space="preserve"> (UNODC, 2018). </w:t>
      </w:r>
      <w:r>
        <w:rPr>
          <w:rFonts w:ascii="Arial" w:hAnsi="Arial" w:cs="Arial"/>
          <w:sz w:val="24"/>
          <w:szCs w:val="24"/>
          <w:lang w:val="en-GB"/>
        </w:rPr>
        <w:t>“</w:t>
      </w:r>
      <w:r w:rsidR="00183ECA">
        <w:rPr>
          <w:rFonts w:ascii="Arial" w:hAnsi="Arial" w:cs="Arial"/>
          <w:sz w:val="24"/>
          <w:szCs w:val="24"/>
          <w:lang w:val="en-GB"/>
        </w:rPr>
        <w:t xml:space="preserve">In Nigeria, its prevalence among young people presents a significant public health challenge with far-reaching implications for individual well-being and societal development. According to the National Drug Law Enforcement Agency (NDLEA), Nigeria has witnessed a concerning rise in </w:t>
      </w:r>
      <w:r w:rsidR="00183ECA">
        <w:rPr>
          <w:rFonts w:ascii="Arial" w:hAnsi="Arial" w:cs="Arial"/>
          <w:sz w:val="24"/>
          <w:szCs w:val="24"/>
        </w:rPr>
        <w:t xml:space="preserve">the use of psychoactive </w:t>
      </w:r>
      <w:r w:rsidR="00183ECA">
        <w:rPr>
          <w:rFonts w:ascii="Arial" w:hAnsi="Arial" w:cs="Arial"/>
          <w:sz w:val="24"/>
          <w:szCs w:val="24"/>
          <w:lang w:val="en-GB"/>
        </w:rPr>
        <w:t>substance, particularly among young people, with adverse effects on health, education, and socio-economic stability</w:t>
      </w:r>
      <w:r>
        <w:rPr>
          <w:rFonts w:ascii="Arial" w:hAnsi="Arial" w:cs="Arial"/>
          <w:sz w:val="24"/>
          <w:szCs w:val="24"/>
          <w:lang w:val="en-GB"/>
        </w:rPr>
        <w:t>”</w:t>
      </w:r>
      <w:r w:rsidR="00183ECA">
        <w:rPr>
          <w:rFonts w:ascii="Arial" w:hAnsi="Arial" w:cs="Arial"/>
          <w:sz w:val="24"/>
          <w:szCs w:val="24"/>
          <w:lang w:val="en-GB"/>
        </w:rPr>
        <w:t xml:space="preserve"> (NDLEA, 2022). It has become a trending issue among young people in the South-Eastern part of the country, where it is seen as a menace to sustainable development (</w:t>
      </w:r>
      <w:proofErr w:type="spellStart"/>
      <w:r w:rsidR="00183ECA">
        <w:rPr>
          <w:rFonts w:ascii="Arial" w:hAnsi="Arial" w:cs="Arial"/>
          <w:sz w:val="24"/>
          <w:szCs w:val="24"/>
          <w:lang w:val="en-GB"/>
        </w:rPr>
        <w:t>Ngwu</w:t>
      </w:r>
      <w:proofErr w:type="spellEnd"/>
      <w:r w:rsidR="00183ECA">
        <w:rPr>
          <w:rFonts w:ascii="Arial" w:hAnsi="Arial" w:cs="Arial"/>
          <w:sz w:val="24"/>
          <w:szCs w:val="24"/>
          <w:lang w:val="en-GB"/>
        </w:rPr>
        <w:t xml:space="preserve"> et al., 2024). </w:t>
      </w:r>
      <w:proofErr w:type="spellStart"/>
      <w:r w:rsidR="00183ECA">
        <w:rPr>
          <w:rFonts w:ascii="Arial" w:hAnsi="Arial" w:cs="Arial"/>
          <w:sz w:val="24"/>
          <w:szCs w:val="24"/>
          <w:lang w:val="en-GB"/>
        </w:rPr>
        <w:t>Nnebue</w:t>
      </w:r>
      <w:proofErr w:type="spellEnd"/>
      <w:r w:rsidR="00183ECA">
        <w:rPr>
          <w:rFonts w:ascii="Arial" w:hAnsi="Arial" w:cs="Arial"/>
          <w:sz w:val="24"/>
          <w:szCs w:val="24"/>
          <w:lang w:val="en-GB"/>
        </w:rPr>
        <w:t xml:space="preserve"> et al. (2017) posited that emerging data suggest a worrying increase in the prevalence of psychoactive substance use among adolescents and young adults in the South East geo-political zone, which has been historically associated with high levels of educational attainment and entrepreneurial activities (</w:t>
      </w:r>
      <w:proofErr w:type="spellStart"/>
      <w:r w:rsidR="00183ECA">
        <w:rPr>
          <w:rFonts w:ascii="Arial" w:hAnsi="Arial" w:cs="Arial"/>
          <w:sz w:val="24"/>
          <w:szCs w:val="24"/>
          <w:lang w:val="en-GB"/>
        </w:rPr>
        <w:t>Nnebue</w:t>
      </w:r>
      <w:proofErr w:type="spellEnd"/>
      <w:r w:rsidR="00183ECA">
        <w:rPr>
          <w:rFonts w:ascii="Arial" w:hAnsi="Arial" w:cs="Arial"/>
          <w:sz w:val="24"/>
          <w:szCs w:val="24"/>
          <w:lang w:val="en-GB"/>
        </w:rPr>
        <w:t xml:space="preserve"> et al., 2017). Despite increasing awareness of this issue, comprehensive studies examining the multi-faceted drivers of </w:t>
      </w:r>
      <w:r w:rsidR="00183ECA">
        <w:rPr>
          <w:rFonts w:ascii="Arial" w:hAnsi="Arial" w:cs="Arial"/>
          <w:sz w:val="24"/>
          <w:szCs w:val="24"/>
        </w:rPr>
        <w:t xml:space="preserve">Substance use </w:t>
      </w:r>
      <w:r w:rsidR="00183ECA">
        <w:rPr>
          <w:rFonts w:ascii="Arial" w:hAnsi="Arial" w:cs="Arial"/>
          <w:sz w:val="24"/>
          <w:szCs w:val="24"/>
          <w:lang w:val="en-GB"/>
        </w:rPr>
        <w:t xml:space="preserve">in this region remain scarce, leaving critical gaps in policy and intervention strategies. There is also a paucity of consolidated evidence that critically synthesises and contextualises these determinants within the socio-cultural and economic peculiarities of South East Nigeria. Hence, this study seeks to critically evaluate the determinants of </w:t>
      </w:r>
      <w:r w:rsidR="00183ECA">
        <w:rPr>
          <w:rFonts w:ascii="Arial" w:hAnsi="Arial" w:cs="Arial"/>
          <w:sz w:val="24"/>
          <w:szCs w:val="24"/>
        </w:rPr>
        <w:t xml:space="preserve">Substance use </w:t>
      </w:r>
      <w:r w:rsidR="00183ECA">
        <w:rPr>
          <w:rFonts w:ascii="Arial" w:hAnsi="Arial" w:cs="Arial"/>
          <w:sz w:val="24"/>
          <w:szCs w:val="24"/>
          <w:lang w:val="en-GB"/>
        </w:rPr>
        <w:t>among youth in South-East Nigeria, providing a nuanced understanding that can guide policymakers, healthcare providers, and community stakeholders in developing effective prevention and treatment strategies.</w:t>
      </w:r>
    </w:p>
    <w:p w:rsidR="0072364A" w:rsidRDefault="00183ECA">
      <w:pPr>
        <w:pStyle w:val="Heading2"/>
        <w:spacing w:before="0" w:line="360" w:lineRule="auto"/>
        <w:rPr>
          <w:rFonts w:ascii="Arial" w:hAnsi="Arial" w:cs="Arial"/>
          <w:color w:val="auto"/>
          <w:sz w:val="24"/>
          <w:szCs w:val="24"/>
        </w:rPr>
      </w:pPr>
      <w:bookmarkStart w:id="16" w:name="_Toc157868898"/>
      <w:r>
        <w:rPr>
          <w:rFonts w:ascii="Arial" w:hAnsi="Arial" w:cs="Arial"/>
          <w:color w:val="auto"/>
          <w:sz w:val="24"/>
          <w:szCs w:val="24"/>
        </w:rPr>
        <w:t>METHOD</w:t>
      </w:r>
      <w:bookmarkEnd w:id="16"/>
      <w:r>
        <w:rPr>
          <w:rFonts w:ascii="Arial" w:hAnsi="Arial" w:cs="Arial"/>
          <w:color w:val="auto"/>
          <w:sz w:val="24"/>
          <w:szCs w:val="24"/>
        </w:rPr>
        <w:t>S</w:t>
      </w:r>
    </w:p>
    <w:p w:rsidR="0072364A" w:rsidRDefault="00183ECA">
      <w:pPr>
        <w:pStyle w:val="Heading3"/>
        <w:spacing w:before="0" w:line="360" w:lineRule="auto"/>
        <w:jc w:val="both"/>
        <w:rPr>
          <w:rFonts w:ascii="Arial" w:hAnsi="Arial" w:cs="Arial"/>
          <w:b w:val="0"/>
          <w:color w:val="auto"/>
          <w:sz w:val="24"/>
          <w:szCs w:val="24"/>
        </w:rPr>
      </w:pPr>
      <w:bookmarkStart w:id="17" w:name="_Toc157868902"/>
      <w:r>
        <w:rPr>
          <w:rFonts w:ascii="Arial" w:hAnsi="Arial" w:cs="Arial"/>
          <w:color w:val="auto"/>
          <w:sz w:val="24"/>
          <w:szCs w:val="24"/>
        </w:rPr>
        <w:t>Study Design</w:t>
      </w:r>
      <w:bookmarkEnd w:id="17"/>
      <w:r>
        <w:rPr>
          <w:rFonts w:ascii="Arial" w:hAnsi="Arial" w:cs="Arial"/>
          <w:color w:val="auto"/>
          <w:sz w:val="24"/>
          <w:szCs w:val="24"/>
        </w:rPr>
        <w:t xml:space="preserve">  </w:t>
      </w:r>
    </w:p>
    <w:p w:rsidR="0072364A" w:rsidRDefault="00183ECA">
      <w:pPr>
        <w:autoSpaceDE w:val="0"/>
        <w:autoSpaceDN w:val="0"/>
        <w:adjustRightInd w:val="0"/>
        <w:spacing w:after="0" w:line="360" w:lineRule="auto"/>
        <w:jc w:val="both"/>
        <w:rPr>
          <w:rFonts w:ascii="Arial" w:hAnsi="Arial" w:cs="Arial"/>
          <w:sz w:val="24"/>
          <w:szCs w:val="24"/>
          <w:lang w:val="en-GB"/>
        </w:rPr>
      </w:pPr>
      <w:r>
        <w:rPr>
          <w:rFonts w:ascii="Arial" w:hAnsi="Arial" w:cs="Arial"/>
          <w:sz w:val="24"/>
          <w:szCs w:val="24"/>
          <w:lang w:val="en-GB"/>
        </w:rPr>
        <w:t xml:space="preserve">This study employed a systematic review design approach to identify population-based (cross-sectional or cohort) studies related to substance use among youths in </w:t>
      </w:r>
      <w:proofErr w:type="spellStart"/>
      <w:r>
        <w:rPr>
          <w:rFonts w:ascii="Arial" w:hAnsi="Arial" w:cs="Arial"/>
          <w:sz w:val="24"/>
          <w:szCs w:val="24"/>
          <w:lang w:val="en-GB"/>
        </w:rPr>
        <w:t>southeastern</w:t>
      </w:r>
      <w:proofErr w:type="spellEnd"/>
      <w:r>
        <w:rPr>
          <w:rFonts w:ascii="Arial" w:hAnsi="Arial" w:cs="Arial"/>
          <w:sz w:val="24"/>
          <w:szCs w:val="24"/>
          <w:lang w:val="en-GB"/>
        </w:rPr>
        <w:t xml:space="preserve"> Nigeria. Systematic reviews offer a rigorous, transparent, and reproducible process for synthesising existing empirical evidence (Moher et al., 2009; Gough et al., 2017), and are suitable for addressing complex public health questions and providing a comprehensive and unbiased summary of the available literature (Higgins et al., 2019). This review follow</w:t>
      </w:r>
      <w:r>
        <w:rPr>
          <w:rFonts w:ascii="Arial" w:hAnsi="Arial" w:cs="Arial"/>
          <w:sz w:val="24"/>
          <w:szCs w:val="24"/>
        </w:rPr>
        <w:t>ed</w:t>
      </w:r>
      <w:r>
        <w:rPr>
          <w:rFonts w:ascii="Arial" w:hAnsi="Arial" w:cs="Arial"/>
          <w:sz w:val="24"/>
          <w:szCs w:val="24"/>
          <w:lang w:val="en-GB"/>
        </w:rPr>
        <w:t xml:space="preserve"> the Preferred Reporting Items for Systematic Reviews and Meta-Analyses (PRISMA) 2015 guideline to ensure methodological rigour, reproducibility, and transparency (Moher et al., 2009; Page et al., 2021). </w:t>
      </w:r>
      <w:bookmarkStart w:id="18" w:name="_Hlk58888863"/>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183ECA">
      <w:pPr>
        <w:pStyle w:val="Heading3"/>
        <w:spacing w:line="360" w:lineRule="auto"/>
        <w:jc w:val="both"/>
        <w:rPr>
          <w:rFonts w:ascii="Arial" w:hAnsi="Arial" w:cs="Arial"/>
          <w:b w:val="0"/>
          <w:color w:val="auto"/>
          <w:sz w:val="24"/>
          <w:szCs w:val="24"/>
        </w:rPr>
      </w:pPr>
      <w:bookmarkStart w:id="19" w:name="_Toc154596110"/>
      <w:bookmarkStart w:id="20" w:name="_Toc157868907"/>
      <w:r>
        <w:rPr>
          <w:rFonts w:ascii="Arial" w:hAnsi="Arial" w:cs="Arial"/>
          <w:color w:val="auto"/>
          <w:sz w:val="24"/>
          <w:szCs w:val="24"/>
        </w:rPr>
        <w:t>Data Sources and Search Strategy</w:t>
      </w:r>
      <w:bookmarkEnd w:id="19"/>
      <w:bookmarkEnd w:id="20"/>
      <w:r>
        <w:rPr>
          <w:rFonts w:ascii="Arial" w:hAnsi="Arial" w:cs="Arial"/>
          <w:color w:val="auto"/>
          <w:sz w:val="24"/>
          <w:szCs w:val="24"/>
        </w:rPr>
        <w:t xml:space="preserve"> </w:t>
      </w:r>
    </w:p>
    <w:p w:rsidR="0072364A" w:rsidRDefault="00183ECA">
      <w:pPr>
        <w:pStyle w:val="NormalWeb"/>
        <w:spacing w:before="0" w:beforeAutospacing="0" w:line="360" w:lineRule="auto"/>
        <w:jc w:val="both"/>
        <w:rPr>
          <w:rFonts w:ascii="Arial" w:hAnsi="Arial" w:cs="Arial"/>
          <w:color w:val="auto"/>
        </w:rPr>
      </w:pPr>
      <w:r>
        <w:rPr>
          <w:rFonts w:ascii="Arial" w:hAnsi="Arial" w:cs="Arial"/>
          <w:color w:val="auto"/>
        </w:rPr>
        <w:t xml:space="preserve">A comprehensive search strategy was developed to identify relevant studies from multiple electronic databases, enhancing coverage and mitigating database-specific bias (Cooper et al., 2018). The databases involved in the search were PubMed, CINAHL, </w:t>
      </w:r>
      <w:r>
        <w:rPr>
          <w:rFonts w:ascii="Arial" w:hAnsi="Arial" w:cs="Arial"/>
          <w:color w:val="auto"/>
          <w:lang w:val="en-US"/>
        </w:rPr>
        <w:t xml:space="preserve">Google Scholar, </w:t>
      </w:r>
      <w:r>
        <w:rPr>
          <w:rFonts w:ascii="Arial" w:hAnsi="Arial" w:cs="Arial"/>
          <w:color w:val="auto"/>
        </w:rPr>
        <w:t>MEDLINE, PsycINFO, EMBASE, Scopus, Web of Science, African Index Medicus (AIM) library and African Journals Online (AJOL). The chosen databases are widely used for indexing publications in health and substance use, have search functions appropriate for conducting systematic reviews, are generally perceived as trustworthy within academia, and index a large number of journals that include work published in our geographic area of interest. Comprehensive search terms were designed using Medical Education Subject Headings (</w:t>
      </w:r>
      <w:proofErr w:type="spellStart"/>
      <w:r>
        <w:rPr>
          <w:rFonts w:ascii="Arial" w:hAnsi="Arial" w:cs="Arial"/>
          <w:color w:val="auto"/>
        </w:rPr>
        <w:t>MeSH</w:t>
      </w:r>
      <w:proofErr w:type="spellEnd"/>
      <w:r>
        <w:rPr>
          <w:rFonts w:ascii="Arial" w:hAnsi="Arial" w:cs="Arial"/>
          <w:color w:val="auto"/>
        </w:rPr>
        <w:t>) and keywords, in combination with Boolean operators, and were developed for the PubMed search protocol and applied to other databases as well. An example of a full search string was: ("substance use" OR "drug use" OR “psychoactive drugs” OR "illicit drug use" OR "alcohol use disorder") AND ("youth" OR "adolescents" OR "young adults") AND ("risk factors" OR "determinants" OR “predictors” OR "social factors" OR "correlates") AND ("South East Nigeria" OR "Anambra" OR "Enugu" OR "Imo" OR "Ebonyi" OR "</w:t>
      </w:r>
      <w:proofErr w:type="spellStart"/>
      <w:r>
        <w:rPr>
          <w:rFonts w:ascii="Arial" w:hAnsi="Arial" w:cs="Arial"/>
          <w:color w:val="auto"/>
        </w:rPr>
        <w:t>Abia</w:t>
      </w:r>
      <w:proofErr w:type="spellEnd"/>
      <w:r>
        <w:rPr>
          <w:rFonts w:ascii="Arial" w:hAnsi="Arial" w:cs="Arial"/>
          <w:color w:val="auto"/>
        </w:rPr>
        <w:t>").</w:t>
      </w:r>
    </w:p>
    <w:p w:rsidR="0072364A" w:rsidRDefault="00183ECA">
      <w:pPr>
        <w:pStyle w:val="NormalWeb"/>
        <w:spacing w:after="0" w:afterAutospacing="0" w:line="360" w:lineRule="auto"/>
        <w:jc w:val="both"/>
        <w:rPr>
          <w:rFonts w:ascii="Arial" w:hAnsi="Arial" w:cs="Arial"/>
          <w:color w:val="auto"/>
        </w:rPr>
      </w:pPr>
      <w:r>
        <w:rPr>
          <w:rFonts w:ascii="Arial" w:hAnsi="Arial" w:cs="Arial"/>
          <w:color w:val="auto"/>
        </w:rPr>
        <w:t xml:space="preserve">Additional searches were conducted using platforms such as Google Scholar and ProQuest Dissertations to identify grey literature, including government reports, </w:t>
      </w:r>
      <w:r>
        <w:rPr>
          <w:rFonts w:ascii="Arial" w:hAnsi="Arial" w:cs="Arial"/>
          <w:color w:val="auto"/>
          <w:lang w:val="en-US"/>
        </w:rPr>
        <w:t xml:space="preserve">academic </w:t>
      </w:r>
      <w:r>
        <w:rPr>
          <w:rFonts w:ascii="Arial" w:hAnsi="Arial" w:cs="Arial"/>
          <w:color w:val="auto"/>
        </w:rPr>
        <w:t xml:space="preserve">theses, and conference proceedings. Based on previous recommendations, </w:t>
      </w:r>
      <w:r w:rsidR="00DE4812">
        <w:rPr>
          <w:rFonts w:ascii="Arial" w:hAnsi="Arial" w:cs="Arial"/>
          <w:color w:val="auto"/>
        </w:rPr>
        <w:t>“</w:t>
      </w:r>
      <w:r>
        <w:rPr>
          <w:rFonts w:ascii="Arial" w:hAnsi="Arial" w:cs="Arial"/>
          <w:color w:val="auto"/>
        </w:rPr>
        <w:t xml:space="preserve">only the first 200 search results from the Google </w:t>
      </w:r>
      <w:r>
        <w:rPr>
          <w:rFonts w:ascii="Arial" w:hAnsi="Arial" w:cs="Arial"/>
        </w:rPr>
        <w:t>Scholar</w:t>
      </w:r>
      <w:r>
        <w:rPr>
          <w:rFonts w:ascii="Arial" w:hAnsi="Arial" w:cs="Arial"/>
          <w:color w:val="auto"/>
        </w:rPr>
        <w:t xml:space="preserve"> search were considered for inclusion</w:t>
      </w:r>
      <w:r w:rsidR="00DE4812">
        <w:rPr>
          <w:rFonts w:ascii="Arial" w:hAnsi="Arial" w:cs="Arial"/>
          <w:color w:val="auto"/>
        </w:rPr>
        <w:t>”</w:t>
      </w:r>
      <w:r>
        <w:rPr>
          <w:rFonts w:ascii="Arial" w:hAnsi="Arial" w:cs="Arial"/>
          <w:color w:val="auto"/>
        </w:rPr>
        <w:t xml:space="preserve"> (</w:t>
      </w:r>
      <w:proofErr w:type="spellStart"/>
      <w:r>
        <w:rPr>
          <w:rFonts w:ascii="Arial" w:hAnsi="Arial" w:cs="Arial"/>
          <w:color w:val="auto"/>
        </w:rPr>
        <w:t>Bramer</w:t>
      </w:r>
      <w:proofErr w:type="spellEnd"/>
      <w:r>
        <w:rPr>
          <w:rFonts w:ascii="Arial" w:hAnsi="Arial" w:cs="Arial"/>
          <w:color w:val="auto"/>
        </w:rPr>
        <w:t xml:space="preserve"> et al., 2017). </w:t>
      </w: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183ECA">
      <w:pPr>
        <w:pStyle w:val="Heading3"/>
        <w:spacing w:line="360" w:lineRule="auto"/>
        <w:jc w:val="both"/>
        <w:rPr>
          <w:rFonts w:ascii="Arial" w:hAnsi="Arial" w:cs="Arial"/>
          <w:b w:val="0"/>
          <w:color w:val="auto"/>
          <w:sz w:val="24"/>
          <w:szCs w:val="24"/>
        </w:rPr>
      </w:pPr>
      <w:bookmarkStart w:id="21" w:name="_Toc154596111"/>
      <w:bookmarkStart w:id="22" w:name="_Toc157868908"/>
      <w:r>
        <w:rPr>
          <w:rFonts w:ascii="Arial" w:hAnsi="Arial" w:cs="Arial"/>
          <w:color w:val="auto"/>
          <w:sz w:val="24"/>
          <w:szCs w:val="24"/>
        </w:rPr>
        <w:t>Eligibility Criteria</w:t>
      </w:r>
      <w:bookmarkEnd w:id="21"/>
      <w:bookmarkEnd w:id="22"/>
      <w:r>
        <w:rPr>
          <w:rFonts w:ascii="Arial" w:hAnsi="Arial" w:cs="Arial"/>
          <w:color w:val="auto"/>
          <w:sz w:val="24"/>
          <w:szCs w:val="24"/>
        </w:rPr>
        <w:t xml:space="preserve"> </w:t>
      </w:r>
    </w:p>
    <w:p w:rsidR="0072364A" w:rsidRDefault="00183ECA">
      <w:pPr>
        <w:spacing w:after="0" w:line="360" w:lineRule="auto"/>
        <w:jc w:val="both"/>
        <w:rPr>
          <w:rFonts w:ascii="Arial" w:hAnsi="Arial" w:cs="Arial"/>
          <w:sz w:val="24"/>
          <w:szCs w:val="24"/>
          <w:lang w:val="en-GB"/>
        </w:rPr>
      </w:pPr>
      <w:r>
        <w:rPr>
          <w:rFonts w:ascii="Arial" w:hAnsi="Arial" w:cs="Arial"/>
          <w:sz w:val="24"/>
          <w:szCs w:val="24"/>
        </w:rPr>
        <w:t xml:space="preserve">This review adopted the Population, Exposure, Outcomes (PEO) framework to determine the eligibility of the studies. </w:t>
      </w:r>
      <w:r>
        <w:rPr>
          <w:rFonts w:ascii="Arial" w:hAnsi="Arial" w:cs="Arial"/>
          <w:sz w:val="24"/>
          <w:szCs w:val="24"/>
          <w:lang w:val="en-GB"/>
        </w:rPr>
        <w:t xml:space="preserve">Specifically, the review focuses on studies (case-control, cohort, and cross-sectional) involving youths aged 10–24 years residing in the South East geopolitical zone of Nigeria, examining determinants such as psychological, social, economic, cultural, and structural factors contributing to substance use and misuse. Studies published in English between 2014, and 2024, that involved human subjects, were eligible for inclusion. This time frame captures the most relevant empirical and policy-related studies while accounting for shifting socio-political and epidemiological contexts in Nigeria. Details of the eligibility criteria, alongside justifications for the exclusion and inclusion of identified studies, are presented in Table 1 below. </w:t>
      </w:r>
    </w:p>
    <w:p w:rsidR="0072364A" w:rsidRDefault="0072364A">
      <w:pPr>
        <w:spacing w:after="0" w:line="360" w:lineRule="auto"/>
        <w:jc w:val="both"/>
        <w:rPr>
          <w:rFonts w:ascii="Arial" w:hAnsi="Arial" w:cs="Arial"/>
          <w:sz w:val="24"/>
          <w:szCs w:val="24"/>
          <w:lang w:val="en-GB"/>
        </w:rPr>
      </w:pPr>
    </w:p>
    <w:p w:rsidR="0072364A" w:rsidRDefault="00183ECA">
      <w:pPr>
        <w:spacing w:after="0"/>
        <w:jc w:val="both"/>
        <w:rPr>
          <w:rFonts w:ascii="Arial" w:hAnsi="Arial" w:cs="Arial"/>
          <w:lang w:val="en-GB"/>
        </w:rPr>
      </w:pPr>
      <w:r>
        <w:rPr>
          <w:rFonts w:ascii="Arial" w:hAnsi="Arial" w:cs="Arial"/>
          <w:b/>
          <w:bCs/>
          <w:lang w:val="en-GB"/>
        </w:rPr>
        <w:t>Table 1:</w:t>
      </w:r>
      <w:r>
        <w:rPr>
          <w:rFonts w:ascii="Arial" w:hAnsi="Arial" w:cs="Arial"/>
          <w:lang w:val="en-GB"/>
        </w:rPr>
        <w:t xml:space="preserve"> </w:t>
      </w:r>
      <w:r>
        <w:rPr>
          <w:rFonts w:ascii="Arial" w:hAnsi="Arial" w:cs="Arial"/>
          <w:i/>
          <w:iCs/>
          <w:lang w:val="en-GB"/>
        </w:rPr>
        <w:t xml:space="preserve">Eligibility criteria for study selection </w:t>
      </w:r>
    </w:p>
    <w:tbl>
      <w:tblPr>
        <w:tblpPr w:leftFromText="180" w:rightFromText="180" w:vertAnchor="text" w:horzAnchor="margin" w:tblpY="103"/>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3991"/>
      </w:tblGrid>
      <w:tr w:rsidR="0072364A">
        <w:trPr>
          <w:trHeight w:val="358"/>
        </w:trPr>
        <w:tc>
          <w:tcPr>
            <w:tcW w:w="1980" w:type="dxa"/>
          </w:tcPr>
          <w:p w:rsidR="0072364A" w:rsidRDefault="00183ECA">
            <w:pPr>
              <w:spacing w:after="0"/>
              <w:rPr>
                <w:rFonts w:ascii="Arial" w:hAnsi="Arial" w:cs="Arial"/>
                <w:b/>
                <w:bCs/>
                <w:lang w:val="en-GB"/>
              </w:rPr>
            </w:pPr>
            <w:r>
              <w:rPr>
                <w:rFonts w:ascii="Arial" w:hAnsi="Arial" w:cs="Arial"/>
                <w:b/>
                <w:bCs/>
                <w:lang w:val="en-GB"/>
              </w:rPr>
              <w:t>Criteria</w:t>
            </w:r>
          </w:p>
        </w:tc>
        <w:tc>
          <w:tcPr>
            <w:tcW w:w="3685" w:type="dxa"/>
          </w:tcPr>
          <w:p w:rsidR="0072364A" w:rsidRDefault="00183ECA">
            <w:pPr>
              <w:spacing w:after="0"/>
              <w:rPr>
                <w:rFonts w:ascii="Arial" w:hAnsi="Arial" w:cs="Arial"/>
                <w:b/>
                <w:bCs/>
                <w:lang w:val="en-GB"/>
              </w:rPr>
            </w:pPr>
            <w:r>
              <w:rPr>
                <w:rFonts w:ascii="Arial" w:hAnsi="Arial" w:cs="Arial"/>
                <w:b/>
                <w:bCs/>
                <w:lang w:val="en-GB"/>
              </w:rPr>
              <w:t xml:space="preserve">Inclusion </w:t>
            </w:r>
          </w:p>
        </w:tc>
        <w:tc>
          <w:tcPr>
            <w:tcW w:w="3991" w:type="dxa"/>
          </w:tcPr>
          <w:p w:rsidR="0072364A" w:rsidRDefault="00183ECA">
            <w:pPr>
              <w:spacing w:after="0"/>
              <w:rPr>
                <w:rFonts w:ascii="Arial" w:hAnsi="Arial" w:cs="Arial"/>
                <w:b/>
                <w:bCs/>
                <w:lang w:val="en-GB"/>
              </w:rPr>
            </w:pPr>
            <w:r>
              <w:rPr>
                <w:rFonts w:ascii="Arial" w:hAnsi="Arial" w:cs="Arial"/>
                <w:b/>
                <w:bCs/>
                <w:lang w:val="en-GB"/>
              </w:rPr>
              <w:t xml:space="preserve">Exclusion </w:t>
            </w:r>
          </w:p>
        </w:tc>
      </w:tr>
      <w:tr w:rsidR="0072364A">
        <w:trPr>
          <w:trHeight w:val="762"/>
        </w:trPr>
        <w:tc>
          <w:tcPr>
            <w:tcW w:w="1980" w:type="dxa"/>
          </w:tcPr>
          <w:p w:rsidR="0072364A" w:rsidRDefault="00183ECA">
            <w:pPr>
              <w:spacing w:after="0"/>
              <w:rPr>
                <w:rFonts w:ascii="Arial" w:hAnsi="Arial" w:cs="Arial"/>
                <w:b/>
                <w:bCs/>
                <w:lang w:val="en-GB"/>
              </w:rPr>
            </w:pPr>
            <w:r>
              <w:rPr>
                <w:rFonts w:ascii="Arial" w:hAnsi="Arial" w:cs="Arial"/>
                <w:b/>
                <w:bCs/>
                <w:lang w:val="en-GB"/>
              </w:rPr>
              <w:t xml:space="preserve">Population (Type of facility) </w:t>
            </w:r>
          </w:p>
        </w:tc>
        <w:tc>
          <w:tcPr>
            <w:tcW w:w="3685" w:type="dxa"/>
          </w:tcPr>
          <w:p w:rsidR="0072364A" w:rsidRDefault="00183ECA">
            <w:pPr>
              <w:spacing w:after="0"/>
              <w:rPr>
                <w:rFonts w:ascii="Arial" w:hAnsi="Arial" w:cs="Arial"/>
                <w:lang w:val="en-GB"/>
              </w:rPr>
            </w:pPr>
            <w:r>
              <w:rPr>
                <w:rFonts w:ascii="Arial" w:hAnsi="Arial" w:cs="Arial"/>
                <w:lang w:val="en-GB"/>
              </w:rPr>
              <w:t>Youth aged 10–24 years residing in South East Nigeria</w:t>
            </w:r>
          </w:p>
        </w:tc>
        <w:tc>
          <w:tcPr>
            <w:tcW w:w="3991" w:type="dxa"/>
          </w:tcPr>
          <w:p w:rsidR="0072364A" w:rsidRDefault="00183ECA">
            <w:pPr>
              <w:spacing w:after="0"/>
              <w:rPr>
                <w:rFonts w:ascii="Arial" w:hAnsi="Arial" w:cs="Arial"/>
                <w:lang w:val="en-GB"/>
              </w:rPr>
            </w:pPr>
            <w:r>
              <w:rPr>
                <w:rFonts w:ascii="Arial" w:hAnsi="Arial" w:cs="Arial"/>
                <w:lang w:val="en-GB"/>
              </w:rPr>
              <w:t>Studies focusing exclusively on adults (&gt;29 years) or children (&lt;15 years)</w:t>
            </w:r>
          </w:p>
        </w:tc>
      </w:tr>
      <w:tr w:rsidR="0072364A">
        <w:trPr>
          <w:trHeight w:val="695"/>
        </w:trPr>
        <w:tc>
          <w:tcPr>
            <w:tcW w:w="1980" w:type="dxa"/>
          </w:tcPr>
          <w:p w:rsidR="0072364A" w:rsidRDefault="00183ECA">
            <w:pPr>
              <w:spacing w:after="0"/>
              <w:rPr>
                <w:rFonts w:ascii="Arial" w:hAnsi="Arial" w:cs="Arial"/>
                <w:b/>
                <w:bCs/>
                <w:lang w:val="en-GB"/>
              </w:rPr>
            </w:pPr>
            <w:r>
              <w:rPr>
                <w:rFonts w:ascii="Arial" w:hAnsi="Arial" w:cs="Arial"/>
                <w:b/>
                <w:bCs/>
                <w:lang w:val="en-GB"/>
              </w:rPr>
              <w:t xml:space="preserve">Exposure </w:t>
            </w:r>
          </w:p>
        </w:tc>
        <w:tc>
          <w:tcPr>
            <w:tcW w:w="3685" w:type="dxa"/>
          </w:tcPr>
          <w:p w:rsidR="0072364A" w:rsidRDefault="00183ECA">
            <w:pPr>
              <w:spacing w:after="0"/>
              <w:rPr>
                <w:rFonts w:ascii="Arial" w:hAnsi="Arial" w:cs="Arial"/>
                <w:lang w:val="en-GB"/>
              </w:rPr>
            </w:pPr>
            <w:r>
              <w:rPr>
                <w:rFonts w:ascii="Arial" w:hAnsi="Arial" w:cs="Arial"/>
                <w:lang w:val="en-GB"/>
              </w:rPr>
              <w:t xml:space="preserve">determinants, risk factors, or correlates of </w:t>
            </w:r>
            <w:r>
              <w:rPr>
                <w:rFonts w:ascii="Arial" w:hAnsi="Arial" w:cs="Arial"/>
              </w:rPr>
              <w:t>Substance use</w:t>
            </w:r>
            <w:r>
              <w:rPr>
                <w:rFonts w:ascii="Arial" w:hAnsi="Arial" w:cs="Arial"/>
                <w:lang w:val="en-GB"/>
              </w:rPr>
              <w:t>or misuse among youths.</w:t>
            </w:r>
          </w:p>
        </w:tc>
        <w:tc>
          <w:tcPr>
            <w:tcW w:w="3991" w:type="dxa"/>
          </w:tcPr>
          <w:p w:rsidR="0072364A" w:rsidRDefault="00183ECA">
            <w:pPr>
              <w:spacing w:after="0"/>
              <w:rPr>
                <w:rFonts w:ascii="Arial" w:hAnsi="Arial" w:cs="Arial"/>
                <w:lang w:val="en-GB"/>
              </w:rPr>
            </w:pPr>
            <w:r>
              <w:rPr>
                <w:rFonts w:ascii="Arial" w:hAnsi="Arial" w:cs="Arial"/>
                <w:lang w:val="en-GB"/>
              </w:rPr>
              <w:t>Treatment outcomes or pharmacological interventions, clinical trials, or treatment protocols</w:t>
            </w:r>
          </w:p>
        </w:tc>
      </w:tr>
      <w:tr w:rsidR="0072364A">
        <w:trPr>
          <w:trHeight w:val="799"/>
        </w:trPr>
        <w:tc>
          <w:tcPr>
            <w:tcW w:w="1980" w:type="dxa"/>
          </w:tcPr>
          <w:p w:rsidR="0072364A" w:rsidRDefault="00183ECA">
            <w:pPr>
              <w:spacing w:after="0"/>
              <w:rPr>
                <w:rFonts w:ascii="Arial" w:hAnsi="Arial" w:cs="Arial"/>
                <w:b/>
                <w:bCs/>
                <w:lang w:val="en-GB"/>
              </w:rPr>
            </w:pPr>
            <w:r>
              <w:rPr>
                <w:rFonts w:ascii="Arial" w:hAnsi="Arial" w:cs="Arial"/>
                <w:b/>
                <w:bCs/>
                <w:lang w:val="en-GB"/>
              </w:rPr>
              <w:t>Outcome</w:t>
            </w:r>
          </w:p>
        </w:tc>
        <w:tc>
          <w:tcPr>
            <w:tcW w:w="3685" w:type="dxa"/>
          </w:tcPr>
          <w:p w:rsidR="0072364A" w:rsidRDefault="00183ECA">
            <w:pPr>
              <w:spacing w:after="0"/>
              <w:rPr>
                <w:rFonts w:ascii="Arial" w:hAnsi="Arial" w:cs="Arial"/>
                <w:lang w:val="en-GB"/>
              </w:rPr>
            </w:pPr>
            <w:r>
              <w:rPr>
                <w:rFonts w:ascii="Arial" w:hAnsi="Arial" w:cs="Arial"/>
              </w:rPr>
              <w:t>Substance use</w:t>
            </w:r>
            <w:r>
              <w:rPr>
                <w:rFonts w:ascii="Arial" w:hAnsi="Arial" w:cs="Arial"/>
                <w:lang w:val="en-GB"/>
              </w:rPr>
              <w:t xml:space="preserve">or misuse and its determinants among youths </w:t>
            </w:r>
          </w:p>
        </w:tc>
        <w:tc>
          <w:tcPr>
            <w:tcW w:w="3991" w:type="dxa"/>
          </w:tcPr>
          <w:p w:rsidR="0072364A" w:rsidRDefault="00183ECA">
            <w:pPr>
              <w:spacing w:after="0"/>
              <w:rPr>
                <w:rFonts w:ascii="Arial" w:hAnsi="Arial" w:cs="Arial"/>
                <w:lang w:val="en-GB"/>
              </w:rPr>
            </w:pPr>
            <w:r>
              <w:rPr>
                <w:rFonts w:ascii="Arial" w:hAnsi="Arial" w:cs="Arial"/>
                <w:lang w:val="en-GB"/>
              </w:rPr>
              <w:t xml:space="preserve">Studies reporting outcomes unrelated to </w:t>
            </w:r>
            <w:r>
              <w:rPr>
                <w:rFonts w:ascii="Arial" w:hAnsi="Arial" w:cs="Arial"/>
              </w:rPr>
              <w:t>Substance use</w:t>
            </w:r>
            <w:r>
              <w:rPr>
                <w:rFonts w:ascii="Arial" w:hAnsi="Arial" w:cs="Arial"/>
                <w:lang w:val="en-GB"/>
              </w:rPr>
              <w:t>and its determinants</w:t>
            </w:r>
          </w:p>
        </w:tc>
      </w:tr>
      <w:tr w:rsidR="0072364A">
        <w:trPr>
          <w:trHeight w:val="717"/>
        </w:trPr>
        <w:tc>
          <w:tcPr>
            <w:tcW w:w="1980" w:type="dxa"/>
          </w:tcPr>
          <w:p w:rsidR="0072364A" w:rsidRDefault="00183ECA">
            <w:pPr>
              <w:spacing w:after="0"/>
              <w:rPr>
                <w:rFonts w:ascii="Arial" w:hAnsi="Arial" w:cs="Arial"/>
                <w:b/>
                <w:bCs/>
                <w:lang w:val="en-GB"/>
              </w:rPr>
            </w:pPr>
            <w:r>
              <w:rPr>
                <w:rFonts w:ascii="Arial" w:hAnsi="Arial" w:cs="Arial"/>
                <w:b/>
                <w:bCs/>
                <w:lang w:val="en-GB"/>
              </w:rPr>
              <w:t>Context</w:t>
            </w:r>
          </w:p>
        </w:tc>
        <w:tc>
          <w:tcPr>
            <w:tcW w:w="3685" w:type="dxa"/>
          </w:tcPr>
          <w:p w:rsidR="0072364A" w:rsidRDefault="00183ECA">
            <w:pPr>
              <w:spacing w:after="0"/>
              <w:rPr>
                <w:rFonts w:ascii="Arial" w:hAnsi="Arial" w:cs="Arial"/>
                <w:lang w:val="en-GB"/>
              </w:rPr>
            </w:pPr>
            <w:r>
              <w:rPr>
                <w:rFonts w:ascii="Arial" w:hAnsi="Arial" w:cs="Arial"/>
                <w:lang w:val="en-GB"/>
              </w:rPr>
              <w:t>Studies conducted in South East Nigeria, in English and between 2014 and 2024</w:t>
            </w:r>
          </w:p>
        </w:tc>
        <w:tc>
          <w:tcPr>
            <w:tcW w:w="3991" w:type="dxa"/>
          </w:tcPr>
          <w:p w:rsidR="0072364A" w:rsidRDefault="00183ECA">
            <w:pPr>
              <w:spacing w:after="0"/>
              <w:rPr>
                <w:rFonts w:ascii="Arial" w:hAnsi="Arial" w:cs="Arial"/>
                <w:lang w:val="en-GB"/>
              </w:rPr>
            </w:pPr>
            <w:r>
              <w:rPr>
                <w:rFonts w:ascii="Arial" w:hAnsi="Arial" w:cs="Arial"/>
                <w:lang w:val="en-GB"/>
              </w:rPr>
              <w:t>Studies without a clear geographical focus on South East Nigeria or those lacking contextual relevance to the region's youth</w:t>
            </w:r>
          </w:p>
        </w:tc>
      </w:tr>
      <w:tr w:rsidR="0072364A">
        <w:trPr>
          <w:trHeight w:val="723"/>
        </w:trPr>
        <w:tc>
          <w:tcPr>
            <w:tcW w:w="1980" w:type="dxa"/>
          </w:tcPr>
          <w:p w:rsidR="0072364A" w:rsidRDefault="00183ECA">
            <w:pPr>
              <w:spacing w:after="0"/>
              <w:rPr>
                <w:rFonts w:ascii="Arial" w:hAnsi="Arial" w:cs="Arial"/>
                <w:b/>
                <w:bCs/>
                <w:lang w:val="en-GB"/>
              </w:rPr>
            </w:pPr>
            <w:r>
              <w:rPr>
                <w:rFonts w:ascii="Arial" w:hAnsi="Arial" w:cs="Arial"/>
                <w:b/>
                <w:bCs/>
                <w:lang w:val="en-GB"/>
              </w:rPr>
              <w:t>Study design</w:t>
            </w:r>
          </w:p>
        </w:tc>
        <w:tc>
          <w:tcPr>
            <w:tcW w:w="3685" w:type="dxa"/>
          </w:tcPr>
          <w:p w:rsidR="0072364A" w:rsidRDefault="00183ECA">
            <w:pPr>
              <w:spacing w:after="0"/>
              <w:rPr>
                <w:rFonts w:ascii="Arial" w:hAnsi="Arial" w:cs="Arial"/>
                <w:lang w:val="en-GB"/>
              </w:rPr>
            </w:pPr>
            <w:r>
              <w:rPr>
                <w:rFonts w:ascii="Arial" w:hAnsi="Arial" w:cs="Arial"/>
                <w:lang w:val="en-GB"/>
              </w:rPr>
              <w:t>case-control, cohort, and cross-sectional</w:t>
            </w:r>
          </w:p>
        </w:tc>
        <w:tc>
          <w:tcPr>
            <w:tcW w:w="3991" w:type="dxa"/>
          </w:tcPr>
          <w:p w:rsidR="0072364A" w:rsidRDefault="00183ECA">
            <w:pPr>
              <w:spacing w:after="0"/>
              <w:rPr>
                <w:rFonts w:ascii="Arial" w:hAnsi="Arial" w:cs="Arial"/>
                <w:lang w:val="en-GB"/>
              </w:rPr>
            </w:pPr>
            <w:r>
              <w:rPr>
                <w:rFonts w:ascii="Arial" w:hAnsi="Arial" w:cs="Arial"/>
                <w:lang w:val="en-GB"/>
              </w:rPr>
              <w:t>Letters, editorials, brief communications, comments, and reviews</w:t>
            </w:r>
          </w:p>
        </w:tc>
      </w:tr>
    </w:tbl>
    <w:p w:rsidR="0072364A" w:rsidRDefault="00183ECA">
      <w:pPr>
        <w:pStyle w:val="Heading3"/>
        <w:spacing w:before="0" w:line="360" w:lineRule="auto"/>
        <w:jc w:val="both"/>
        <w:rPr>
          <w:rFonts w:ascii="Arial" w:hAnsi="Arial" w:cs="Arial"/>
          <w:b w:val="0"/>
          <w:color w:val="auto"/>
          <w:sz w:val="24"/>
          <w:szCs w:val="24"/>
        </w:rPr>
      </w:pPr>
      <w:bookmarkStart w:id="23" w:name="_Toc157868909"/>
      <w:r>
        <w:rPr>
          <w:rFonts w:ascii="Arial" w:hAnsi="Arial" w:cs="Arial"/>
          <w:color w:val="auto"/>
          <w:sz w:val="24"/>
          <w:szCs w:val="24"/>
        </w:rPr>
        <w:t>Screening of Identified Studies</w:t>
      </w:r>
      <w:bookmarkEnd w:id="23"/>
      <w:r>
        <w:rPr>
          <w:rFonts w:ascii="Arial" w:hAnsi="Arial" w:cs="Arial"/>
          <w:color w:val="auto"/>
          <w:sz w:val="24"/>
          <w:szCs w:val="24"/>
        </w:rPr>
        <w:t xml:space="preserve"> </w:t>
      </w:r>
    </w:p>
    <w:p w:rsidR="0072364A" w:rsidRDefault="00183ECA">
      <w:pPr>
        <w:pStyle w:val="ListParagraph"/>
        <w:spacing w:after="0" w:line="360" w:lineRule="auto"/>
        <w:ind w:left="0"/>
        <w:jc w:val="both"/>
        <w:rPr>
          <w:rFonts w:ascii="Arial" w:hAnsi="Arial" w:cs="Arial"/>
          <w:sz w:val="24"/>
          <w:szCs w:val="24"/>
          <w:lang w:val="en-GB"/>
        </w:rPr>
      </w:pPr>
      <w:r>
        <w:rPr>
          <w:rFonts w:ascii="Arial" w:hAnsi="Arial" w:cs="Arial"/>
          <w:sz w:val="24"/>
          <w:szCs w:val="24"/>
          <w:lang w:val="en-GB"/>
        </w:rPr>
        <w:t xml:space="preserve">The retrieved articles, following the application of search strategies in various electronic databases, were initially loaded into the EndNote program to facilitate the identification and removal of duplicates. The remaining articles were retrieved, and their titles and abstracts were screened against the eligibility criteria, followed by full-text screening. Each screening stage adhered to the predetermined eligibility criteria. Higgins et al. (2022) state that this two-level screening process, although time-intensive, strengthens methodological reliability. </w:t>
      </w:r>
      <w:r>
        <w:rPr>
          <w:rFonts w:ascii="Arial" w:hAnsi="Arial" w:cs="Arial"/>
          <w:sz w:val="24"/>
          <w:szCs w:val="24"/>
        </w:rPr>
        <w:t>Also, a PRISMA flow diagram was created to document the number of studies identified, included, and excluded, along with reasons for exclusion.</w:t>
      </w:r>
      <w:r>
        <w:rPr>
          <w:rFonts w:ascii="Arial" w:hAnsi="Arial" w:cs="Arial"/>
          <w:sz w:val="24"/>
          <w:szCs w:val="24"/>
          <w:lang w:val="en-GB"/>
        </w:rPr>
        <w:t xml:space="preserve"> Finally, the full texts of all relevant articles that met the inclusion criteria were retained for analysis.</w:t>
      </w:r>
    </w:p>
    <w:p w:rsidR="0072364A" w:rsidRDefault="0072364A">
      <w:pPr>
        <w:spacing w:after="160" w:line="259" w:lineRule="auto"/>
        <w:rPr>
          <w:rFonts w:ascii="Arial" w:hAnsi="Arial" w:cs="Arial"/>
          <w:sz w:val="24"/>
          <w:szCs w:val="24"/>
          <w:lang w:val="en-GB"/>
        </w:rPr>
      </w:pPr>
    </w:p>
    <w:p w:rsidR="0072364A" w:rsidRDefault="00183ECA">
      <w:pPr>
        <w:pStyle w:val="Heading3"/>
        <w:spacing w:before="0" w:line="360" w:lineRule="auto"/>
        <w:jc w:val="both"/>
        <w:rPr>
          <w:rFonts w:ascii="Arial" w:hAnsi="Arial" w:cs="Arial"/>
          <w:b w:val="0"/>
          <w:color w:val="auto"/>
          <w:sz w:val="24"/>
          <w:szCs w:val="24"/>
        </w:rPr>
      </w:pPr>
      <w:bookmarkStart w:id="24" w:name="_Toc154596113"/>
      <w:bookmarkStart w:id="25" w:name="_Toc157868911"/>
      <w:r>
        <w:rPr>
          <w:rFonts w:ascii="Arial" w:hAnsi="Arial" w:cs="Arial"/>
          <w:color w:val="auto"/>
          <w:sz w:val="24"/>
          <w:szCs w:val="24"/>
        </w:rPr>
        <w:t>Quality appraisal of Included Studies</w:t>
      </w:r>
      <w:bookmarkEnd w:id="24"/>
      <w:bookmarkEnd w:id="25"/>
      <w:r>
        <w:rPr>
          <w:rFonts w:ascii="Arial" w:hAnsi="Arial" w:cs="Arial"/>
          <w:color w:val="auto"/>
          <w:sz w:val="24"/>
          <w:szCs w:val="24"/>
        </w:rPr>
        <w:t xml:space="preserve"> </w:t>
      </w:r>
    </w:p>
    <w:p w:rsidR="0072364A" w:rsidRDefault="00183ECA">
      <w:pPr>
        <w:spacing w:after="0" w:line="360" w:lineRule="auto"/>
        <w:jc w:val="both"/>
        <w:rPr>
          <w:rFonts w:ascii="Arial" w:hAnsi="Arial" w:cs="Arial"/>
          <w:sz w:val="24"/>
          <w:szCs w:val="24"/>
          <w:lang w:val="en-GB"/>
        </w:rPr>
      </w:pPr>
      <w:r>
        <w:rPr>
          <w:rFonts w:ascii="Arial" w:hAnsi="Arial" w:cs="Arial"/>
          <w:sz w:val="24"/>
          <w:szCs w:val="24"/>
          <w:lang w:val="en-GB"/>
        </w:rPr>
        <w:t>The quality of included studies was assessed using the JBI Meta-Analysis of Statistics Assessment and Review Instrument (</w:t>
      </w:r>
      <w:proofErr w:type="spellStart"/>
      <w:r>
        <w:rPr>
          <w:rFonts w:ascii="Arial" w:hAnsi="Arial" w:cs="Arial"/>
          <w:sz w:val="24"/>
          <w:szCs w:val="24"/>
          <w:lang w:val="en-GB"/>
        </w:rPr>
        <w:t>JBIMAStARI</w:t>
      </w:r>
      <w:proofErr w:type="spellEnd"/>
      <w:r>
        <w:rPr>
          <w:rFonts w:ascii="Arial" w:hAnsi="Arial" w:cs="Arial"/>
          <w:sz w:val="24"/>
          <w:szCs w:val="24"/>
          <w:lang w:val="en-GB"/>
        </w:rPr>
        <w:t xml:space="preserve">) quality assessment tool (JBI, 2014). </w:t>
      </w:r>
      <w:r w:rsidR="00DE4812">
        <w:rPr>
          <w:rFonts w:ascii="Arial" w:hAnsi="Arial" w:cs="Arial"/>
          <w:sz w:val="24"/>
          <w:szCs w:val="24"/>
          <w:lang w:val="en-GB"/>
        </w:rPr>
        <w:t>“</w:t>
      </w:r>
      <w:r>
        <w:rPr>
          <w:rFonts w:ascii="Arial" w:hAnsi="Arial" w:cs="Arial"/>
          <w:sz w:val="24"/>
          <w:szCs w:val="24"/>
          <w:lang w:val="en-GB"/>
        </w:rPr>
        <w:t>The tool was used to assess the methodological robustness of a study and its effectiveness in addressing the potential bias in the design, conduct, and analysis</w:t>
      </w:r>
      <w:r w:rsidR="00DE4812">
        <w:rPr>
          <w:rFonts w:ascii="Arial" w:hAnsi="Arial" w:cs="Arial"/>
          <w:sz w:val="24"/>
          <w:szCs w:val="24"/>
          <w:lang w:val="en-GB"/>
        </w:rPr>
        <w:t>”</w:t>
      </w:r>
      <w:r>
        <w:rPr>
          <w:rFonts w:ascii="Arial" w:hAnsi="Arial" w:cs="Arial"/>
          <w:sz w:val="24"/>
          <w:szCs w:val="24"/>
          <w:lang w:val="en-GB"/>
        </w:rPr>
        <w:t xml:space="preserve"> (</w:t>
      </w:r>
      <w:proofErr w:type="spellStart"/>
      <w:r>
        <w:rPr>
          <w:rFonts w:ascii="Arial" w:hAnsi="Arial" w:cs="Arial"/>
          <w:sz w:val="24"/>
          <w:szCs w:val="24"/>
          <w:lang w:val="en-GB"/>
        </w:rPr>
        <w:t>Aromataris</w:t>
      </w:r>
      <w:proofErr w:type="spellEnd"/>
      <w:r>
        <w:rPr>
          <w:rFonts w:ascii="Arial" w:hAnsi="Arial" w:cs="Arial"/>
          <w:sz w:val="24"/>
          <w:szCs w:val="24"/>
          <w:lang w:val="en-GB"/>
        </w:rPr>
        <w:t xml:space="preserve"> et al., 2015). The appraisal process involved assessing the study’s relevance to the research topic and the appropriateness of its data collection and analysis methods. The papers were awarded scores for each criterion: 0 = not fulfilling the criteria; 1 = fulfilling the criteria. Each criterion's scores increased, and the result ranged from 0 to 9. The scoring relied on JBI guidance notes and the author's judgment and expertise. Features considered to report as low quality include unmentioned study sample size determination, insufficient sample size, and absence of statistical evaluation on the reliability and validity of relevant assessment tools, among others. The ratings informed the interpretation of the findings, though no studies were omitted based on quality assessment.</w:t>
      </w:r>
    </w:p>
    <w:p w:rsidR="0072364A" w:rsidRDefault="0072364A">
      <w:pPr>
        <w:spacing w:after="0" w:line="360" w:lineRule="auto"/>
        <w:jc w:val="both"/>
        <w:rPr>
          <w:rFonts w:ascii="Arial" w:hAnsi="Arial" w:cs="Arial"/>
          <w:sz w:val="24"/>
          <w:szCs w:val="24"/>
          <w:lang w:val="en-GB"/>
        </w:rPr>
      </w:pPr>
    </w:p>
    <w:p w:rsidR="0072364A" w:rsidRDefault="00183ECA">
      <w:pPr>
        <w:pStyle w:val="Heading3"/>
        <w:spacing w:before="0" w:line="360" w:lineRule="auto"/>
        <w:jc w:val="both"/>
        <w:rPr>
          <w:rFonts w:ascii="Arial" w:hAnsi="Arial" w:cs="Arial"/>
          <w:b w:val="0"/>
          <w:color w:val="auto"/>
          <w:sz w:val="24"/>
          <w:szCs w:val="24"/>
        </w:rPr>
      </w:pPr>
      <w:bookmarkStart w:id="26" w:name="_Toc157868912"/>
      <w:r>
        <w:rPr>
          <w:rFonts w:ascii="Arial" w:hAnsi="Arial" w:cs="Arial"/>
          <w:color w:val="auto"/>
          <w:sz w:val="24"/>
          <w:szCs w:val="24"/>
        </w:rPr>
        <w:t>Data Extraction and Management</w:t>
      </w:r>
      <w:bookmarkEnd w:id="26"/>
    </w:p>
    <w:p w:rsidR="0072364A" w:rsidRDefault="00183ECA">
      <w:pPr>
        <w:pStyle w:val="NormalWeb"/>
        <w:spacing w:before="0" w:beforeAutospacing="0" w:after="0" w:afterAutospacing="0" w:line="360" w:lineRule="auto"/>
        <w:jc w:val="both"/>
        <w:rPr>
          <w:rFonts w:ascii="Arial" w:hAnsi="Arial" w:cs="Arial"/>
          <w:color w:val="auto"/>
        </w:rPr>
      </w:pPr>
      <w:r>
        <w:rPr>
          <w:rFonts w:ascii="Arial" w:hAnsi="Arial" w:cs="Arial"/>
          <w:color w:val="auto"/>
        </w:rPr>
        <w:t xml:space="preserve">Data extraction from the full text of retained articles was conducted using an adapted JBI data extraction form (JBI, 2014), and implemented in a Microsoft Excel sheet version 365. Study characteristics were extracted, including the study author(s), year of publication, study location, study design, sample size, types of substances used, and determinants of substance use. </w:t>
      </w: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183ECA">
      <w:pPr>
        <w:pStyle w:val="Heading3"/>
        <w:spacing w:before="0" w:line="360" w:lineRule="auto"/>
        <w:jc w:val="both"/>
        <w:rPr>
          <w:rFonts w:ascii="Arial" w:hAnsi="Arial" w:cs="Arial"/>
          <w:b w:val="0"/>
          <w:color w:val="auto"/>
          <w:sz w:val="24"/>
          <w:szCs w:val="24"/>
        </w:rPr>
      </w:pPr>
      <w:bookmarkStart w:id="27" w:name="_Toc157868914"/>
      <w:r>
        <w:rPr>
          <w:rFonts w:ascii="Arial" w:hAnsi="Arial" w:cs="Arial"/>
          <w:color w:val="auto"/>
          <w:sz w:val="24"/>
          <w:szCs w:val="24"/>
        </w:rPr>
        <w:t>Data Analysis</w:t>
      </w:r>
      <w:bookmarkEnd w:id="27"/>
      <w:r>
        <w:rPr>
          <w:rFonts w:ascii="Arial" w:hAnsi="Arial" w:cs="Arial"/>
          <w:color w:val="auto"/>
          <w:sz w:val="24"/>
          <w:szCs w:val="24"/>
        </w:rPr>
        <w:t xml:space="preserve"> </w:t>
      </w:r>
    </w:p>
    <w:p w:rsidR="0072364A" w:rsidRDefault="00183ECA">
      <w:pPr>
        <w:spacing w:after="0" w:line="360" w:lineRule="auto"/>
        <w:jc w:val="both"/>
        <w:rPr>
          <w:rStyle w:val="selectable"/>
          <w:rFonts w:ascii="Arial" w:hAnsi="Arial" w:cs="Arial"/>
          <w:sz w:val="24"/>
          <w:szCs w:val="24"/>
          <w:lang w:val="en-GB"/>
        </w:rPr>
      </w:pPr>
      <w:r>
        <w:rPr>
          <w:rStyle w:val="selectable"/>
          <w:rFonts w:ascii="Arial" w:hAnsi="Arial" w:cs="Arial"/>
          <w:sz w:val="24"/>
          <w:szCs w:val="24"/>
          <w:lang w:val="en-GB"/>
        </w:rPr>
        <w:t xml:space="preserve">This study aimed to </w:t>
      </w:r>
      <w:r>
        <w:rPr>
          <w:rFonts w:ascii="Arial" w:hAnsi="Arial" w:cs="Arial"/>
          <w:sz w:val="24"/>
          <w:szCs w:val="24"/>
          <w:lang w:val="en-GB"/>
        </w:rPr>
        <w:t xml:space="preserve">evaluate the determinants of </w:t>
      </w:r>
      <w:r>
        <w:rPr>
          <w:rFonts w:ascii="Arial" w:hAnsi="Arial" w:cs="Arial"/>
          <w:sz w:val="24"/>
          <w:szCs w:val="24"/>
        </w:rPr>
        <w:t>Substance use</w:t>
      </w:r>
      <w:r>
        <w:rPr>
          <w:rFonts w:ascii="Arial" w:hAnsi="Arial" w:cs="Arial"/>
          <w:sz w:val="24"/>
          <w:szCs w:val="24"/>
          <w:lang w:val="en-GB"/>
        </w:rPr>
        <w:t xml:space="preserve">among youth in South-East Nigeria. It retrieved quantitative data on substance use and determinants among the population. The </w:t>
      </w:r>
      <w:r>
        <w:rPr>
          <w:rStyle w:val="selectable"/>
          <w:rFonts w:ascii="Arial" w:hAnsi="Arial" w:cs="Arial"/>
          <w:sz w:val="24"/>
          <w:szCs w:val="24"/>
          <w:lang w:val="en-GB"/>
        </w:rPr>
        <w:t xml:space="preserve">information was systematically tabulated, and patterns within and between studies were explored to identify commonalities, differences, and potential explanations. </w:t>
      </w: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spacing w:after="160" w:line="259" w:lineRule="auto"/>
        <w:rPr>
          <w:rFonts w:ascii="Arial" w:hAnsi="Arial" w:cs="Arial"/>
          <w:sz w:val="24"/>
          <w:szCs w:val="24"/>
          <w:lang w:val="en-GB"/>
        </w:rPr>
      </w:pPr>
    </w:p>
    <w:p w:rsidR="0072364A" w:rsidRDefault="00183ECA">
      <w:pPr>
        <w:pStyle w:val="Heading2"/>
        <w:spacing w:before="0" w:line="360" w:lineRule="auto"/>
        <w:rPr>
          <w:rFonts w:ascii="Arial" w:hAnsi="Arial" w:cs="Arial"/>
          <w:color w:val="auto"/>
          <w:sz w:val="24"/>
          <w:szCs w:val="24"/>
        </w:rPr>
      </w:pPr>
      <w:bookmarkStart w:id="28" w:name="_Toc157868917"/>
      <w:r>
        <w:rPr>
          <w:rFonts w:ascii="Arial" w:hAnsi="Arial" w:cs="Arial"/>
          <w:color w:val="auto"/>
          <w:sz w:val="24"/>
          <w:szCs w:val="24"/>
        </w:rPr>
        <w:t>PRESENTATION OF FINDINGS</w:t>
      </w:r>
      <w:bookmarkEnd w:id="28"/>
    </w:p>
    <w:p w:rsidR="0072364A" w:rsidRDefault="00183ECA">
      <w:pPr>
        <w:pStyle w:val="Heading3"/>
        <w:spacing w:before="0" w:line="360" w:lineRule="auto"/>
        <w:jc w:val="both"/>
        <w:rPr>
          <w:rFonts w:ascii="Arial" w:hAnsi="Arial" w:cs="Arial"/>
          <w:b w:val="0"/>
          <w:color w:val="auto"/>
          <w:sz w:val="24"/>
          <w:szCs w:val="24"/>
        </w:rPr>
      </w:pPr>
      <w:bookmarkStart w:id="29" w:name="_Toc154596115"/>
      <w:bookmarkStart w:id="30" w:name="_Toc157868919"/>
      <w:r>
        <w:rPr>
          <w:rFonts w:ascii="Arial" w:hAnsi="Arial" w:cs="Arial"/>
          <w:color w:val="auto"/>
          <w:sz w:val="24"/>
          <w:szCs w:val="24"/>
        </w:rPr>
        <w:t xml:space="preserve">Description of Selected Studies </w:t>
      </w:r>
    </w:p>
    <w:p w:rsidR="0072364A" w:rsidRDefault="00183ECA">
      <w:pPr>
        <w:pStyle w:val="NormalWeb"/>
        <w:spacing w:before="0" w:beforeAutospacing="0" w:after="0" w:afterAutospacing="0" w:line="360" w:lineRule="auto"/>
        <w:jc w:val="both"/>
        <w:rPr>
          <w:rFonts w:ascii="Arial" w:hAnsi="Arial" w:cs="Arial"/>
          <w:color w:val="auto"/>
        </w:rPr>
      </w:pPr>
      <w:r>
        <w:rPr>
          <w:rFonts w:ascii="Arial" w:hAnsi="Arial" w:cs="Arial"/>
          <w:color w:val="auto"/>
        </w:rPr>
        <w:t>The PRISMA flow diagram (Figure 1) shows the systematic steps taken to identify the selected papers using the abovementioned search strategy. According to the diagram, database searches and other sources identified an initial pool of 171 records. The initial screening identified and removed 23 duplicates, leaving 148 studies available for eligibility screening. After title and abstract screening, 85 studies were excluded, and 63 full-text articles were assessed for eligibility. Ultimately, only five studies met the inclusion criteria and were included in the final analysis. The significant reduction from 63 full-text articles to just 5 included studies, largely due to mismatches in population, exposure, outcome, and geographical context.</w:t>
      </w: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line="360" w:lineRule="auto"/>
        <w:jc w:val="both"/>
        <w:rPr>
          <w:rFonts w:ascii="Arial" w:hAnsi="Arial" w:cs="Arial"/>
          <w:color w:val="C00000"/>
        </w:rPr>
      </w:pPr>
    </w:p>
    <w:p w:rsidR="002E50D1" w:rsidRDefault="002E50D1">
      <w:pPr>
        <w:pStyle w:val="NormalWeb"/>
        <w:spacing w:line="360" w:lineRule="auto"/>
        <w:jc w:val="both"/>
        <w:rPr>
          <w:rFonts w:ascii="Arial" w:hAnsi="Arial" w:cs="Arial"/>
          <w:color w:val="C00000"/>
        </w:rPr>
      </w:pPr>
    </w:p>
    <w:p w:rsidR="002E50D1" w:rsidRDefault="002E50D1">
      <w:pPr>
        <w:pStyle w:val="NormalWeb"/>
        <w:spacing w:line="360" w:lineRule="auto"/>
        <w:jc w:val="both"/>
        <w:rPr>
          <w:rFonts w:ascii="Arial" w:hAnsi="Arial" w:cs="Arial"/>
          <w:color w:val="C00000"/>
        </w:rPr>
      </w:pPr>
    </w:p>
    <w:p w:rsidR="002E50D1" w:rsidRDefault="002E50D1">
      <w:pPr>
        <w:pStyle w:val="NormalWeb"/>
        <w:spacing w:line="360" w:lineRule="auto"/>
        <w:jc w:val="both"/>
        <w:rPr>
          <w:rFonts w:ascii="Arial" w:hAnsi="Arial" w:cs="Arial"/>
          <w:color w:val="C00000"/>
        </w:rPr>
      </w:pPr>
    </w:p>
    <w:p w:rsidR="0072364A" w:rsidRDefault="00183ECA">
      <w:pPr>
        <w:pStyle w:val="NormalWeb"/>
        <w:spacing w:before="0" w:beforeAutospacing="0" w:line="360" w:lineRule="auto"/>
        <w:jc w:val="both"/>
        <w:rPr>
          <w:rFonts w:ascii="Arial" w:hAnsi="Arial" w:cs="Arial"/>
          <w:color w:val="auto"/>
        </w:rPr>
      </w:pPr>
      <w:r>
        <w:rPr>
          <w:noProof/>
          <w14:ligatures w14:val="standardContextual"/>
        </w:rPr>
        <w:drawing>
          <wp:anchor distT="0" distB="0" distL="114300" distR="114300" simplePos="0" relativeHeight="251659264" behindDoc="1" locked="0" layoutInCell="1" allowOverlap="1">
            <wp:simplePos x="0" y="0"/>
            <wp:positionH relativeFrom="margin">
              <wp:align>center</wp:align>
            </wp:positionH>
            <wp:positionV relativeFrom="paragraph">
              <wp:posOffset>-4445</wp:posOffset>
            </wp:positionV>
            <wp:extent cx="4643755" cy="4373245"/>
            <wp:effectExtent l="0" t="0" r="4445" b="8890"/>
            <wp:wrapNone/>
            <wp:docPr id="1220246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46581" name="Picture 1"/>
                    <pic:cNvPicPr>
                      <a:picLocks noChangeAspect="1"/>
                    </pic:cNvPicPr>
                  </pic:nvPicPr>
                  <pic:blipFill>
                    <a:blip r:embed="rId14">
                      <a:extLst>
                        <a:ext uri="{28A0092B-C50C-407E-A947-70E740481C1C}">
                          <a14:useLocalDpi xmlns:a14="http://schemas.microsoft.com/office/drawing/2010/main" val="0"/>
                        </a:ext>
                      </a:extLst>
                    </a:blip>
                    <a:srcRect l="21330" t="18969" r="34016" b="10426"/>
                    <a:stretch>
                      <a:fillRect/>
                    </a:stretch>
                  </pic:blipFill>
                  <pic:spPr>
                    <a:xfrm>
                      <a:off x="0" y="0"/>
                      <a:ext cx="4643830" cy="4373218"/>
                    </a:xfrm>
                    <a:prstGeom prst="rect">
                      <a:avLst/>
                    </a:prstGeom>
                    <a:ln>
                      <a:noFill/>
                    </a:ln>
                  </pic:spPr>
                </pic:pic>
              </a:graphicData>
            </a:graphic>
          </wp:anchor>
        </w:drawing>
      </w:r>
    </w:p>
    <w:p w:rsidR="0072364A" w:rsidRDefault="0072364A">
      <w:pPr>
        <w:pStyle w:val="NormalWeb"/>
        <w:spacing w:before="0" w:beforeAutospacing="0" w:line="360" w:lineRule="auto"/>
        <w:jc w:val="both"/>
        <w:rPr>
          <w:rFonts w:ascii="Arial" w:hAnsi="Arial" w:cs="Arial"/>
          <w:color w:val="auto"/>
        </w:rPr>
      </w:pPr>
    </w:p>
    <w:p w:rsidR="0072364A" w:rsidRDefault="0072364A">
      <w:pPr>
        <w:pStyle w:val="NormalWeb"/>
        <w:spacing w:before="0" w:beforeAutospacing="0" w:line="360" w:lineRule="auto"/>
        <w:jc w:val="both"/>
        <w:rPr>
          <w:rFonts w:ascii="Arial" w:hAnsi="Arial" w:cs="Arial"/>
          <w:color w:val="auto"/>
        </w:rPr>
      </w:pPr>
    </w:p>
    <w:p w:rsidR="0072364A" w:rsidRDefault="0072364A">
      <w:pPr>
        <w:pStyle w:val="NormalWeb"/>
        <w:spacing w:before="0" w:before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72364A">
      <w:pPr>
        <w:pStyle w:val="NormalWeb"/>
        <w:spacing w:before="0" w:beforeAutospacing="0" w:after="0" w:afterAutospacing="0" w:line="360" w:lineRule="auto"/>
        <w:jc w:val="both"/>
        <w:rPr>
          <w:rFonts w:ascii="Arial" w:hAnsi="Arial" w:cs="Arial"/>
          <w:color w:val="auto"/>
        </w:rPr>
      </w:pPr>
    </w:p>
    <w:p w:rsidR="0072364A" w:rsidRDefault="00183ECA">
      <w:pPr>
        <w:pStyle w:val="NormalWeb"/>
        <w:spacing w:before="0" w:beforeAutospacing="0" w:after="0" w:afterAutospacing="0" w:line="360" w:lineRule="auto"/>
        <w:jc w:val="both"/>
        <w:rPr>
          <w:rFonts w:ascii="Arial" w:hAnsi="Arial" w:cs="Arial"/>
          <w:i/>
          <w:iCs/>
          <w:color w:val="auto"/>
          <w:sz w:val="22"/>
          <w:szCs w:val="22"/>
        </w:rPr>
      </w:pPr>
      <w:r>
        <w:rPr>
          <w:rFonts w:ascii="Arial" w:hAnsi="Arial" w:cs="Arial"/>
          <w:b/>
          <w:bCs/>
          <w:color w:val="auto"/>
          <w:sz w:val="22"/>
          <w:szCs w:val="22"/>
        </w:rPr>
        <w:t>Figure 1:</w:t>
      </w:r>
      <w:r>
        <w:rPr>
          <w:rFonts w:ascii="Arial" w:hAnsi="Arial" w:cs="Arial"/>
          <w:color w:val="auto"/>
          <w:sz w:val="22"/>
          <w:szCs w:val="22"/>
        </w:rPr>
        <w:t xml:space="preserve"> </w:t>
      </w:r>
      <w:r>
        <w:rPr>
          <w:rFonts w:ascii="Arial" w:hAnsi="Arial" w:cs="Arial"/>
          <w:i/>
          <w:iCs/>
          <w:color w:val="auto"/>
          <w:sz w:val="22"/>
          <w:szCs w:val="22"/>
        </w:rPr>
        <w:t xml:space="preserve">PRISMA flow diagram of included studies. </w:t>
      </w:r>
    </w:p>
    <w:p w:rsidR="0072364A" w:rsidRDefault="0072364A">
      <w:pPr>
        <w:pStyle w:val="NormalWeb"/>
        <w:spacing w:before="0" w:beforeAutospacing="0" w:after="0" w:afterAutospacing="0" w:line="360" w:lineRule="auto"/>
        <w:jc w:val="both"/>
        <w:rPr>
          <w:rFonts w:ascii="Arial" w:hAnsi="Arial" w:cs="Arial"/>
          <w:i/>
          <w:iCs/>
          <w:color w:val="auto"/>
          <w:sz w:val="22"/>
          <w:szCs w:val="22"/>
        </w:rPr>
      </w:pPr>
    </w:p>
    <w:p w:rsidR="0072364A" w:rsidRDefault="00183ECA">
      <w:pPr>
        <w:pStyle w:val="Heading3"/>
        <w:spacing w:before="0" w:line="360" w:lineRule="auto"/>
        <w:jc w:val="both"/>
        <w:rPr>
          <w:rFonts w:ascii="Arial" w:hAnsi="Arial" w:cs="Arial"/>
          <w:b w:val="0"/>
          <w:color w:val="auto"/>
          <w:sz w:val="24"/>
          <w:szCs w:val="24"/>
        </w:rPr>
      </w:pPr>
      <w:r>
        <w:rPr>
          <w:rFonts w:ascii="Arial" w:hAnsi="Arial" w:cs="Arial"/>
          <w:color w:val="auto"/>
          <w:sz w:val="24"/>
          <w:szCs w:val="24"/>
        </w:rPr>
        <w:t>Summary of Selected Studies</w:t>
      </w:r>
      <w:bookmarkEnd w:id="29"/>
      <w:bookmarkEnd w:id="30"/>
      <w:r>
        <w:rPr>
          <w:rFonts w:ascii="Arial" w:hAnsi="Arial" w:cs="Arial"/>
          <w:color w:val="auto"/>
          <w:sz w:val="24"/>
          <w:szCs w:val="24"/>
        </w:rPr>
        <w:t xml:space="preserve"> </w:t>
      </w:r>
    </w:p>
    <w:p w:rsidR="0072364A" w:rsidRDefault="00183ECA">
      <w:pPr>
        <w:pStyle w:val="NormalWeb"/>
        <w:spacing w:before="0" w:beforeAutospacing="0" w:after="0" w:afterAutospacing="0" w:line="360" w:lineRule="auto"/>
        <w:jc w:val="both"/>
        <w:rPr>
          <w:rFonts w:ascii="Arial" w:hAnsi="Arial" w:cs="Arial"/>
          <w:color w:val="auto"/>
        </w:rPr>
      </w:pPr>
      <w:r>
        <w:rPr>
          <w:rFonts w:ascii="Arial" w:hAnsi="Arial" w:cs="Arial"/>
          <w:color w:val="auto"/>
        </w:rPr>
        <w:t xml:space="preserve">The five included studies (Anyanwu et al., 2016; </w:t>
      </w:r>
      <w:proofErr w:type="spellStart"/>
      <w:r>
        <w:rPr>
          <w:rFonts w:ascii="Arial" w:hAnsi="Arial" w:cs="Arial"/>
          <w:color w:val="auto"/>
        </w:rPr>
        <w:t>Duru</w:t>
      </w:r>
      <w:proofErr w:type="spellEnd"/>
      <w:r>
        <w:rPr>
          <w:rFonts w:ascii="Arial" w:hAnsi="Arial" w:cs="Arial"/>
          <w:color w:val="auto"/>
        </w:rPr>
        <w:t xml:space="preserve"> et al., 2017; </w:t>
      </w:r>
      <w:proofErr w:type="spellStart"/>
      <w:r>
        <w:rPr>
          <w:rFonts w:ascii="Arial" w:hAnsi="Arial" w:cs="Arial"/>
          <w:color w:val="auto"/>
        </w:rPr>
        <w:t>Nzeh</w:t>
      </w:r>
      <w:proofErr w:type="spellEnd"/>
      <w:r>
        <w:rPr>
          <w:rFonts w:ascii="Arial" w:hAnsi="Arial" w:cs="Arial"/>
          <w:color w:val="auto"/>
        </w:rPr>
        <w:t xml:space="preserve"> et al., 2020; </w:t>
      </w:r>
      <w:proofErr w:type="spellStart"/>
      <w:r>
        <w:rPr>
          <w:rFonts w:ascii="Arial" w:hAnsi="Arial" w:cs="Arial"/>
          <w:color w:val="auto"/>
        </w:rPr>
        <w:t>Ejikem</w:t>
      </w:r>
      <w:proofErr w:type="spellEnd"/>
      <w:r>
        <w:rPr>
          <w:rFonts w:ascii="Arial" w:hAnsi="Arial" w:cs="Arial"/>
          <w:color w:val="auto"/>
        </w:rPr>
        <w:t xml:space="preserve"> et al., 2023; </w:t>
      </w:r>
      <w:proofErr w:type="spellStart"/>
      <w:r>
        <w:rPr>
          <w:rFonts w:ascii="Arial" w:hAnsi="Arial" w:cs="Arial"/>
          <w:color w:val="auto"/>
        </w:rPr>
        <w:t>Ngwu</w:t>
      </w:r>
      <w:proofErr w:type="spellEnd"/>
      <w:r>
        <w:rPr>
          <w:rFonts w:ascii="Arial" w:hAnsi="Arial" w:cs="Arial"/>
          <w:color w:val="auto"/>
        </w:rPr>
        <w:t xml:space="preserve"> et al., 2024) span four states within the South East geopolitical zone: Ebonyi, Imo, </w:t>
      </w:r>
      <w:proofErr w:type="spellStart"/>
      <w:r>
        <w:rPr>
          <w:rFonts w:ascii="Arial" w:hAnsi="Arial" w:cs="Arial"/>
          <w:color w:val="auto"/>
        </w:rPr>
        <w:t>Abia</w:t>
      </w:r>
      <w:proofErr w:type="spellEnd"/>
      <w:r>
        <w:rPr>
          <w:rFonts w:ascii="Arial" w:hAnsi="Arial" w:cs="Arial"/>
          <w:color w:val="auto"/>
        </w:rPr>
        <w:t xml:space="preserve">, and a multi-state study encompassing all five </w:t>
      </w:r>
      <w:proofErr w:type="spellStart"/>
      <w:r>
        <w:rPr>
          <w:rFonts w:ascii="Arial" w:hAnsi="Arial" w:cs="Arial"/>
          <w:color w:val="auto"/>
        </w:rPr>
        <w:t>southeastern</w:t>
      </w:r>
      <w:proofErr w:type="spellEnd"/>
      <w:r>
        <w:rPr>
          <w:rFonts w:ascii="Arial" w:hAnsi="Arial" w:cs="Arial"/>
          <w:color w:val="auto"/>
        </w:rPr>
        <w:t xml:space="preserve"> states. This distribution reflects a fair geographical spread, although studies from Anambra and Enugu are underrepresented individually. The studies were published between 2016 and 2024 and involved 2993 respondents. The study designs are uniformly cross-sectional and predominantly descriptive, indicating an exploratory approach rather than inferential or longitudinal analysis. Looking at the studies individually, the study of Anyanwu et al. (2016) was conducted as a cross-sectional survey aimed at determining the prevalence and factors predisposing secondary school students in </w:t>
      </w:r>
      <w:proofErr w:type="spellStart"/>
      <w:r>
        <w:rPr>
          <w:rFonts w:ascii="Arial" w:hAnsi="Arial" w:cs="Arial"/>
          <w:color w:val="auto"/>
        </w:rPr>
        <w:t>Abakaliki</w:t>
      </w:r>
      <w:proofErr w:type="spellEnd"/>
      <w:r>
        <w:rPr>
          <w:rFonts w:ascii="Arial" w:hAnsi="Arial" w:cs="Arial"/>
          <w:color w:val="auto"/>
        </w:rPr>
        <w:t xml:space="preserve"> to substance use. They employed a multistage sampling technique to recruit 620 senior secondary students from 5 secondary schools in </w:t>
      </w:r>
      <w:proofErr w:type="spellStart"/>
      <w:r>
        <w:rPr>
          <w:rFonts w:ascii="Arial" w:hAnsi="Arial" w:cs="Arial"/>
          <w:color w:val="auto"/>
        </w:rPr>
        <w:t>Abakaliki</w:t>
      </w:r>
      <w:proofErr w:type="spellEnd"/>
      <w:r>
        <w:rPr>
          <w:rFonts w:ascii="Arial" w:hAnsi="Arial" w:cs="Arial"/>
          <w:color w:val="auto"/>
        </w:rPr>
        <w:t xml:space="preserve">, Ebonyi State. They utilised the WHO drug use questionnaire to obtain the data for the study, while the </w:t>
      </w:r>
      <w:r>
        <w:rPr>
          <w:rFonts w:ascii="Arial" w:hAnsi="Arial" w:cs="Arial"/>
        </w:rPr>
        <w:t>results</w:t>
      </w:r>
      <w:r>
        <w:rPr>
          <w:rFonts w:ascii="Arial" w:hAnsi="Arial" w:cs="Arial"/>
          <w:color w:val="auto"/>
        </w:rPr>
        <w:t xml:space="preserve"> identified alcohol as the most prevalent substance used. The study also identified the determinants of substance use </w:t>
      </w:r>
      <w:r>
        <w:rPr>
          <w:rFonts w:ascii="Arial" w:hAnsi="Arial" w:cs="Arial"/>
        </w:rPr>
        <w:t>as</w:t>
      </w:r>
      <w:r>
        <w:rPr>
          <w:rFonts w:ascii="Arial" w:hAnsi="Arial" w:cs="Arial"/>
          <w:color w:val="auto"/>
        </w:rPr>
        <w:t xml:space="preserve"> males, older students, persons from divorced </w:t>
      </w:r>
      <w:r>
        <w:rPr>
          <w:rFonts w:ascii="Arial" w:hAnsi="Arial" w:cs="Arial"/>
        </w:rPr>
        <w:t>homes</w:t>
      </w:r>
      <w:r>
        <w:rPr>
          <w:rFonts w:ascii="Arial" w:hAnsi="Arial" w:cs="Arial"/>
          <w:color w:val="auto"/>
        </w:rPr>
        <w:t xml:space="preserve"> and orphans. </w:t>
      </w:r>
    </w:p>
    <w:p w:rsidR="0072364A" w:rsidRDefault="00183ECA">
      <w:pPr>
        <w:pStyle w:val="NormalWeb"/>
        <w:spacing w:after="0" w:line="360" w:lineRule="auto"/>
        <w:jc w:val="both"/>
        <w:rPr>
          <w:rFonts w:ascii="Arial" w:hAnsi="Arial" w:cs="Arial"/>
          <w:color w:val="auto"/>
        </w:rPr>
      </w:pPr>
      <w:r>
        <w:rPr>
          <w:rFonts w:ascii="Arial" w:hAnsi="Arial" w:cs="Arial"/>
          <w:color w:val="auto"/>
        </w:rPr>
        <w:t xml:space="preserve">The following year, </w:t>
      </w:r>
      <w:proofErr w:type="spellStart"/>
      <w:r>
        <w:rPr>
          <w:rFonts w:ascii="Arial" w:hAnsi="Arial" w:cs="Arial"/>
          <w:color w:val="auto"/>
        </w:rPr>
        <w:t>Duru</w:t>
      </w:r>
      <w:proofErr w:type="spellEnd"/>
      <w:r>
        <w:rPr>
          <w:rFonts w:ascii="Arial" w:hAnsi="Arial" w:cs="Arial"/>
          <w:color w:val="auto"/>
        </w:rPr>
        <w:t xml:space="preserve"> et al. (2017) carried out an institution-based descriptive cross-sectional study to assess psychoactive substance use prevalence, pattern and predictors among students of different tertiary institutions in Imo State, Nigeria. The 400 study </w:t>
      </w:r>
      <w:r>
        <w:rPr>
          <w:rFonts w:ascii="Arial" w:hAnsi="Arial" w:cs="Arial"/>
        </w:rPr>
        <w:t>participants</w:t>
      </w:r>
      <w:r>
        <w:rPr>
          <w:rFonts w:ascii="Arial" w:hAnsi="Arial" w:cs="Arial"/>
          <w:color w:val="auto"/>
        </w:rPr>
        <w:t xml:space="preserve"> were recruited using a multi-stage sampling technique </w:t>
      </w:r>
      <w:r>
        <w:rPr>
          <w:rFonts w:ascii="Arial" w:hAnsi="Arial" w:cs="Arial"/>
        </w:rPr>
        <w:t>and</w:t>
      </w:r>
      <w:r>
        <w:rPr>
          <w:rFonts w:ascii="Arial" w:hAnsi="Arial" w:cs="Arial"/>
          <w:color w:val="auto"/>
        </w:rPr>
        <w:t xml:space="preserve"> were administered a pretested, semi-structured and self-administered questionnaire for data collection. The result of the study revealed that tobacco was the most used substance. The determinants were also identified as peer group, gender, level of study, accommodation status, and status of parents' union. </w:t>
      </w:r>
    </w:p>
    <w:p w:rsidR="0072364A" w:rsidRDefault="00183ECA">
      <w:pPr>
        <w:pStyle w:val="NormalWeb"/>
        <w:spacing w:after="0" w:line="360" w:lineRule="auto"/>
        <w:jc w:val="both"/>
        <w:rPr>
          <w:rFonts w:ascii="Arial" w:hAnsi="Arial" w:cs="Arial"/>
          <w:color w:val="auto"/>
        </w:rPr>
      </w:pPr>
      <w:proofErr w:type="spellStart"/>
      <w:r>
        <w:rPr>
          <w:rFonts w:ascii="Arial" w:hAnsi="Arial" w:cs="Arial"/>
          <w:color w:val="auto"/>
        </w:rPr>
        <w:t>Nzeh</w:t>
      </w:r>
      <w:proofErr w:type="spellEnd"/>
      <w:r>
        <w:rPr>
          <w:rFonts w:ascii="Arial" w:hAnsi="Arial" w:cs="Arial"/>
          <w:color w:val="auto"/>
        </w:rPr>
        <w:t xml:space="preserve"> et al. (2020) also conducted a cross-sectional descriptive study, which determined </w:t>
      </w:r>
      <w:r w:rsidR="00DE4812">
        <w:rPr>
          <w:rFonts w:ascii="Arial" w:hAnsi="Arial" w:cs="Arial"/>
          <w:color w:val="auto"/>
        </w:rPr>
        <w:t>“</w:t>
      </w:r>
      <w:r>
        <w:rPr>
          <w:rFonts w:ascii="Arial" w:hAnsi="Arial" w:cs="Arial"/>
          <w:color w:val="auto"/>
        </w:rPr>
        <w:t xml:space="preserve">the factors influencing </w:t>
      </w:r>
      <w:r>
        <w:rPr>
          <w:rFonts w:ascii="Arial" w:hAnsi="Arial" w:cs="Arial"/>
          <w:color w:val="auto"/>
          <w:lang w:val="en-US"/>
        </w:rPr>
        <w:t>Substance use</w:t>
      </w:r>
      <w:r>
        <w:rPr>
          <w:rFonts w:ascii="Arial" w:hAnsi="Arial" w:cs="Arial"/>
          <w:color w:val="auto"/>
        </w:rPr>
        <w:t>among Senior Secondary Students attending Public Schools in Owerri, Imo State</w:t>
      </w:r>
      <w:r w:rsidR="00DE4812">
        <w:rPr>
          <w:rFonts w:ascii="Arial" w:hAnsi="Arial" w:cs="Arial"/>
          <w:color w:val="auto"/>
        </w:rPr>
        <w:t>”</w:t>
      </w:r>
      <w:bookmarkStart w:id="31" w:name="_GoBack"/>
      <w:bookmarkEnd w:id="31"/>
      <w:r>
        <w:rPr>
          <w:rFonts w:ascii="Arial" w:hAnsi="Arial" w:cs="Arial"/>
          <w:color w:val="auto"/>
        </w:rPr>
        <w:t xml:space="preserve">. They adopted the multi-stage sampling technique in recruiting 397 students from thirteen public senior secondary schools in Owerri Senatorial Zone of Imo State. They also utilised a validated structured questionnaire for the collection of the data. The result showed that age, gender, peer group, accessibility to the substance, availability of the used substance and vendor of the used substance were all significant factors influencing </w:t>
      </w:r>
      <w:r>
        <w:rPr>
          <w:rFonts w:ascii="Arial" w:hAnsi="Arial" w:cs="Arial"/>
          <w:color w:val="auto"/>
          <w:lang w:val="en-US"/>
        </w:rPr>
        <w:t>Substance use</w:t>
      </w:r>
      <w:r>
        <w:rPr>
          <w:rFonts w:ascii="Arial" w:hAnsi="Arial" w:cs="Arial"/>
          <w:color w:val="auto"/>
        </w:rPr>
        <w:t xml:space="preserve">among students. </w:t>
      </w:r>
    </w:p>
    <w:p w:rsidR="0072364A" w:rsidRDefault="00183ECA">
      <w:pPr>
        <w:pStyle w:val="NormalWeb"/>
        <w:spacing w:after="0" w:line="360" w:lineRule="auto"/>
        <w:jc w:val="both"/>
        <w:rPr>
          <w:rFonts w:ascii="Arial" w:hAnsi="Arial" w:cs="Arial"/>
          <w:color w:val="auto"/>
        </w:rPr>
      </w:pPr>
      <w:r>
        <w:rPr>
          <w:rFonts w:ascii="Arial" w:hAnsi="Arial" w:cs="Arial"/>
          <w:color w:val="auto"/>
        </w:rPr>
        <w:t xml:space="preserve">Similarly, </w:t>
      </w:r>
      <w:proofErr w:type="spellStart"/>
      <w:r>
        <w:rPr>
          <w:rFonts w:ascii="Arial" w:hAnsi="Arial" w:cs="Arial"/>
          <w:color w:val="auto"/>
        </w:rPr>
        <w:t>Ejikem</w:t>
      </w:r>
      <w:proofErr w:type="spellEnd"/>
      <w:r>
        <w:rPr>
          <w:rFonts w:ascii="Arial" w:hAnsi="Arial" w:cs="Arial"/>
          <w:color w:val="auto"/>
        </w:rPr>
        <w:t xml:space="preserve"> et al. (2023) conducted a cross-sectional descriptive study among 1,036 adolescents (10-19 years) recruited using the multistage sampling. The study was aimed at evaluating the patterns of psychoactive substance use and </w:t>
      </w:r>
      <w:r>
        <w:rPr>
          <w:rFonts w:ascii="Arial" w:hAnsi="Arial" w:cs="Arial"/>
        </w:rPr>
        <w:t>identifying</w:t>
      </w:r>
      <w:r>
        <w:rPr>
          <w:rFonts w:ascii="Arial" w:hAnsi="Arial" w:cs="Arial"/>
          <w:color w:val="auto"/>
        </w:rPr>
        <w:t xml:space="preserve"> the determinants influencing such behaviour among adolescents in urban and rural communities of </w:t>
      </w:r>
      <w:proofErr w:type="spellStart"/>
      <w:r>
        <w:rPr>
          <w:rFonts w:ascii="Arial" w:hAnsi="Arial" w:cs="Arial"/>
          <w:color w:val="auto"/>
        </w:rPr>
        <w:t>Abia</w:t>
      </w:r>
      <w:proofErr w:type="spellEnd"/>
      <w:r>
        <w:rPr>
          <w:rFonts w:ascii="Arial" w:hAnsi="Arial" w:cs="Arial"/>
          <w:color w:val="auto"/>
        </w:rPr>
        <w:t xml:space="preserve"> State, Nigeria. The data was collected using a structured interviewer-administered questionnaire, which </w:t>
      </w:r>
      <w:r>
        <w:rPr>
          <w:rFonts w:ascii="Arial" w:hAnsi="Arial" w:cs="Arial"/>
        </w:rPr>
        <w:t>was</w:t>
      </w:r>
      <w:r>
        <w:rPr>
          <w:rFonts w:ascii="Arial" w:hAnsi="Arial" w:cs="Arial"/>
          <w:color w:val="auto"/>
        </w:rPr>
        <w:t xml:space="preserve"> administered to the participants by trained field assistants. The findings revealed that alcohol was the most commonly initiated substance, while peer usage and mother's occupation.</w:t>
      </w:r>
      <w:bookmarkStart w:id="32" w:name="_Hlk198155494"/>
      <w:r>
        <w:rPr>
          <w:rFonts w:ascii="Arial" w:hAnsi="Arial" w:cs="Arial"/>
          <w:color w:val="auto"/>
        </w:rPr>
        <w:t xml:space="preserve"> </w:t>
      </w:r>
      <w:r>
        <w:rPr>
          <w:rFonts w:ascii="Arial" w:hAnsi="Arial" w:cs="Arial"/>
          <w:b/>
          <w:bCs/>
        </w:rPr>
        <w:br w:type="page"/>
      </w:r>
    </w:p>
    <w:p w:rsidR="0072364A" w:rsidRDefault="0072364A">
      <w:pPr>
        <w:spacing w:after="0" w:line="360" w:lineRule="auto"/>
        <w:jc w:val="both"/>
        <w:rPr>
          <w:rFonts w:ascii="Arial" w:hAnsi="Arial" w:cs="Arial"/>
          <w:b/>
          <w:bCs/>
          <w:lang w:val="en-GB"/>
        </w:rPr>
        <w:sectPr w:rsidR="0072364A">
          <w:pgSz w:w="12240" w:h="15840"/>
          <w:pgMar w:top="1134" w:right="1440" w:bottom="1560" w:left="1440" w:header="720" w:footer="720" w:gutter="0"/>
          <w:pgNumType w:start="1"/>
          <w:cols w:space="720"/>
          <w:docGrid w:linePitch="360"/>
        </w:sectPr>
      </w:pPr>
    </w:p>
    <w:p w:rsidR="0072364A" w:rsidRDefault="00183ECA">
      <w:pPr>
        <w:spacing w:after="0" w:line="360" w:lineRule="auto"/>
        <w:jc w:val="both"/>
        <w:rPr>
          <w:rFonts w:ascii="Arial" w:hAnsi="Arial" w:cs="Arial"/>
          <w:sz w:val="24"/>
          <w:szCs w:val="24"/>
          <w:lang w:val="en-GB"/>
        </w:rPr>
      </w:pPr>
      <w:r>
        <w:rPr>
          <w:rFonts w:ascii="Arial" w:hAnsi="Arial" w:cs="Arial"/>
          <w:b/>
          <w:bCs/>
          <w:lang w:val="en-GB"/>
        </w:rPr>
        <w:t>Table 2:</w:t>
      </w:r>
      <w:r>
        <w:rPr>
          <w:rFonts w:ascii="Arial" w:hAnsi="Arial" w:cs="Arial"/>
          <w:lang w:val="en-GB"/>
        </w:rPr>
        <w:t xml:space="preserve"> </w:t>
      </w:r>
      <w:r>
        <w:rPr>
          <w:rFonts w:ascii="Arial" w:hAnsi="Arial" w:cs="Arial"/>
          <w:i/>
          <w:iCs/>
          <w:lang w:val="en-GB"/>
        </w:rPr>
        <w:t>Characteristics of Selected Studies</w:t>
      </w:r>
    </w:p>
    <w:tbl>
      <w:tblPr>
        <w:tblStyle w:val="TableGrid"/>
        <w:tblpPr w:leftFromText="180" w:rightFromText="180" w:vertAnchor="text" w:horzAnchor="margin" w:tblpX="-157" w:tblpY="57"/>
        <w:tblW w:w="13462" w:type="dxa"/>
        <w:tblLayout w:type="fixed"/>
        <w:tblLook w:val="04A0" w:firstRow="1" w:lastRow="0" w:firstColumn="1" w:lastColumn="0" w:noHBand="0" w:noVBand="1"/>
      </w:tblPr>
      <w:tblGrid>
        <w:gridCol w:w="2830"/>
        <w:gridCol w:w="1134"/>
        <w:gridCol w:w="1134"/>
        <w:gridCol w:w="1701"/>
        <w:gridCol w:w="1701"/>
        <w:gridCol w:w="1418"/>
        <w:gridCol w:w="1417"/>
        <w:gridCol w:w="2127"/>
      </w:tblGrid>
      <w:tr w:rsidR="0072364A">
        <w:trPr>
          <w:trHeight w:val="918"/>
        </w:trPr>
        <w:tc>
          <w:tcPr>
            <w:tcW w:w="2830" w:type="dxa"/>
          </w:tcPr>
          <w:p w:rsidR="0072364A" w:rsidRDefault="00183ECA">
            <w:pPr>
              <w:spacing w:after="0" w:line="240" w:lineRule="auto"/>
              <w:rPr>
                <w:rFonts w:ascii="Arial" w:hAnsi="Arial" w:cs="Arial"/>
                <w:b/>
                <w:bCs/>
                <w:sz w:val="20"/>
                <w:szCs w:val="20"/>
              </w:rPr>
            </w:pPr>
            <w:r>
              <w:rPr>
                <w:rFonts w:ascii="Arial" w:hAnsi="Arial" w:cs="Arial"/>
                <w:b/>
                <w:bCs/>
                <w:sz w:val="20"/>
                <w:szCs w:val="20"/>
              </w:rPr>
              <w:t xml:space="preserve">Title </w:t>
            </w:r>
          </w:p>
        </w:tc>
        <w:tc>
          <w:tcPr>
            <w:tcW w:w="1134" w:type="dxa"/>
          </w:tcPr>
          <w:p w:rsidR="0072364A" w:rsidRDefault="00183ECA">
            <w:pPr>
              <w:spacing w:after="0" w:line="240" w:lineRule="auto"/>
              <w:rPr>
                <w:rFonts w:ascii="Arial" w:hAnsi="Arial" w:cs="Arial"/>
                <w:b/>
                <w:bCs/>
                <w:sz w:val="20"/>
                <w:szCs w:val="20"/>
              </w:rPr>
            </w:pPr>
            <w:r>
              <w:rPr>
                <w:rFonts w:ascii="Arial" w:hAnsi="Arial" w:cs="Arial"/>
                <w:b/>
                <w:bCs/>
                <w:sz w:val="20"/>
                <w:szCs w:val="20"/>
              </w:rPr>
              <w:t>First author and year</w:t>
            </w:r>
          </w:p>
        </w:tc>
        <w:tc>
          <w:tcPr>
            <w:tcW w:w="1134" w:type="dxa"/>
          </w:tcPr>
          <w:p w:rsidR="0072364A" w:rsidRDefault="00183ECA">
            <w:pPr>
              <w:spacing w:after="0" w:line="240" w:lineRule="auto"/>
              <w:rPr>
                <w:rFonts w:ascii="Arial" w:hAnsi="Arial" w:cs="Arial"/>
                <w:b/>
                <w:bCs/>
                <w:sz w:val="20"/>
                <w:szCs w:val="20"/>
              </w:rPr>
            </w:pPr>
            <w:r>
              <w:rPr>
                <w:rFonts w:ascii="Arial" w:hAnsi="Arial" w:cs="Arial"/>
                <w:b/>
                <w:bCs/>
                <w:sz w:val="20"/>
                <w:szCs w:val="20"/>
              </w:rPr>
              <w:t>Location</w:t>
            </w:r>
          </w:p>
        </w:tc>
        <w:tc>
          <w:tcPr>
            <w:tcW w:w="1701" w:type="dxa"/>
          </w:tcPr>
          <w:p w:rsidR="0072364A" w:rsidRDefault="00183ECA">
            <w:pPr>
              <w:spacing w:after="0" w:line="240" w:lineRule="auto"/>
              <w:rPr>
                <w:rFonts w:ascii="Arial" w:hAnsi="Arial" w:cs="Arial"/>
                <w:b/>
                <w:bCs/>
                <w:sz w:val="20"/>
                <w:szCs w:val="20"/>
              </w:rPr>
            </w:pPr>
            <w:r>
              <w:rPr>
                <w:rFonts w:ascii="Arial" w:hAnsi="Arial" w:cs="Arial"/>
                <w:b/>
                <w:bCs/>
                <w:sz w:val="20"/>
                <w:szCs w:val="20"/>
              </w:rPr>
              <w:t xml:space="preserve">Study Design </w:t>
            </w:r>
          </w:p>
          <w:p w:rsidR="0072364A" w:rsidRDefault="0072364A">
            <w:pPr>
              <w:spacing w:after="0" w:line="240" w:lineRule="auto"/>
              <w:rPr>
                <w:rFonts w:ascii="Arial" w:hAnsi="Arial" w:cs="Arial"/>
                <w:b/>
                <w:bCs/>
                <w:sz w:val="20"/>
                <w:szCs w:val="20"/>
              </w:rPr>
            </w:pPr>
          </w:p>
        </w:tc>
        <w:tc>
          <w:tcPr>
            <w:tcW w:w="1701" w:type="dxa"/>
          </w:tcPr>
          <w:p w:rsidR="0072364A" w:rsidRDefault="00183ECA">
            <w:pPr>
              <w:spacing w:after="0" w:line="240" w:lineRule="auto"/>
              <w:rPr>
                <w:rFonts w:ascii="Arial" w:hAnsi="Arial" w:cs="Arial"/>
                <w:b/>
                <w:bCs/>
                <w:sz w:val="20"/>
                <w:szCs w:val="20"/>
              </w:rPr>
            </w:pPr>
            <w:r>
              <w:rPr>
                <w:rFonts w:ascii="Arial" w:hAnsi="Arial" w:cs="Arial"/>
                <w:b/>
                <w:bCs/>
                <w:sz w:val="20"/>
                <w:szCs w:val="20"/>
              </w:rPr>
              <w:t>Sample Size</w:t>
            </w:r>
          </w:p>
        </w:tc>
        <w:tc>
          <w:tcPr>
            <w:tcW w:w="1418" w:type="dxa"/>
          </w:tcPr>
          <w:p w:rsidR="0072364A" w:rsidRDefault="00183ECA">
            <w:pPr>
              <w:spacing w:after="0" w:line="240" w:lineRule="auto"/>
              <w:rPr>
                <w:rFonts w:ascii="Arial" w:hAnsi="Arial" w:cs="Arial"/>
                <w:b/>
                <w:bCs/>
                <w:sz w:val="20"/>
                <w:szCs w:val="20"/>
              </w:rPr>
            </w:pPr>
            <w:r>
              <w:rPr>
                <w:rFonts w:ascii="Arial" w:hAnsi="Arial" w:cs="Arial"/>
                <w:b/>
                <w:bCs/>
                <w:sz w:val="20"/>
                <w:szCs w:val="20"/>
              </w:rPr>
              <w:t>Instrument</w:t>
            </w:r>
          </w:p>
        </w:tc>
        <w:tc>
          <w:tcPr>
            <w:tcW w:w="1417" w:type="dxa"/>
          </w:tcPr>
          <w:p w:rsidR="0072364A" w:rsidRDefault="00183ECA">
            <w:pPr>
              <w:spacing w:after="0" w:line="240" w:lineRule="auto"/>
              <w:rPr>
                <w:rFonts w:ascii="Arial" w:hAnsi="Arial" w:cs="Arial"/>
                <w:b/>
                <w:bCs/>
                <w:sz w:val="20"/>
                <w:szCs w:val="20"/>
              </w:rPr>
            </w:pPr>
            <w:r>
              <w:rPr>
                <w:rFonts w:ascii="Arial" w:hAnsi="Arial" w:cs="Arial"/>
                <w:b/>
                <w:bCs/>
                <w:sz w:val="20"/>
                <w:szCs w:val="20"/>
              </w:rPr>
              <w:t>Prevalent Substance Used</w:t>
            </w:r>
          </w:p>
        </w:tc>
        <w:tc>
          <w:tcPr>
            <w:tcW w:w="2127" w:type="dxa"/>
          </w:tcPr>
          <w:p w:rsidR="0072364A" w:rsidRDefault="00183ECA">
            <w:pPr>
              <w:spacing w:after="0" w:line="240" w:lineRule="auto"/>
              <w:rPr>
                <w:rFonts w:ascii="Arial" w:hAnsi="Arial" w:cs="Arial"/>
                <w:b/>
                <w:bCs/>
                <w:sz w:val="20"/>
                <w:szCs w:val="20"/>
              </w:rPr>
            </w:pPr>
            <w:r>
              <w:rPr>
                <w:rFonts w:ascii="Arial" w:hAnsi="Arial" w:cs="Arial"/>
                <w:b/>
                <w:bCs/>
                <w:sz w:val="20"/>
                <w:szCs w:val="20"/>
              </w:rPr>
              <w:t xml:space="preserve">Determinants </w:t>
            </w:r>
          </w:p>
        </w:tc>
      </w:tr>
      <w:tr w:rsidR="0072364A">
        <w:trPr>
          <w:trHeight w:val="902"/>
        </w:trPr>
        <w:tc>
          <w:tcPr>
            <w:tcW w:w="2830" w:type="dxa"/>
          </w:tcPr>
          <w:p w:rsidR="0072364A" w:rsidRDefault="00183ECA">
            <w:pPr>
              <w:spacing w:after="0" w:line="240" w:lineRule="auto"/>
              <w:rPr>
                <w:rFonts w:ascii="Arial" w:hAnsi="Arial" w:cs="Arial"/>
                <w:sz w:val="20"/>
                <w:szCs w:val="20"/>
              </w:rPr>
            </w:pPr>
            <w:r>
              <w:rPr>
                <w:rFonts w:ascii="Arial" w:hAnsi="Arial" w:cs="Arial"/>
                <w:sz w:val="20"/>
                <w:szCs w:val="20"/>
              </w:rPr>
              <w:t xml:space="preserve">Pattern of Substance </w:t>
            </w:r>
            <w:proofErr w:type="spellStart"/>
            <w:r>
              <w:rPr>
                <w:rFonts w:ascii="Arial" w:hAnsi="Arial" w:cs="Arial"/>
                <w:sz w:val="20"/>
                <w:szCs w:val="20"/>
              </w:rPr>
              <w:t>useamong</w:t>
            </w:r>
            <w:proofErr w:type="spellEnd"/>
            <w:r>
              <w:rPr>
                <w:rFonts w:ascii="Arial" w:hAnsi="Arial" w:cs="Arial"/>
                <w:sz w:val="20"/>
                <w:szCs w:val="20"/>
              </w:rPr>
              <w:t xml:space="preserve"> adolescent secondary school students in </w:t>
            </w:r>
            <w:proofErr w:type="spellStart"/>
            <w:r>
              <w:rPr>
                <w:rFonts w:ascii="Arial" w:hAnsi="Arial" w:cs="Arial"/>
                <w:sz w:val="20"/>
                <w:szCs w:val="20"/>
              </w:rPr>
              <w:t>Abakaliki</w:t>
            </w:r>
            <w:proofErr w:type="spellEnd"/>
          </w:p>
        </w:tc>
        <w:tc>
          <w:tcPr>
            <w:tcW w:w="1134" w:type="dxa"/>
          </w:tcPr>
          <w:p w:rsidR="0072364A" w:rsidRDefault="00183ECA">
            <w:pPr>
              <w:spacing w:after="0" w:line="240" w:lineRule="auto"/>
              <w:rPr>
                <w:rFonts w:ascii="Arial" w:hAnsi="Arial" w:cs="Arial"/>
                <w:sz w:val="20"/>
                <w:szCs w:val="20"/>
              </w:rPr>
            </w:pPr>
            <w:r>
              <w:rPr>
                <w:rFonts w:ascii="Arial" w:hAnsi="Arial" w:cs="Arial"/>
                <w:sz w:val="20"/>
                <w:szCs w:val="20"/>
              </w:rPr>
              <w:t>Anyanwu (2016)</w:t>
            </w:r>
          </w:p>
        </w:tc>
        <w:tc>
          <w:tcPr>
            <w:tcW w:w="1134" w:type="dxa"/>
          </w:tcPr>
          <w:p w:rsidR="0072364A" w:rsidRDefault="00183ECA">
            <w:pPr>
              <w:spacing w:after="0" w:line="240" w:lineRule="auto"/>
              <w:rPr>
                <w:rFonts w:ascii="Arial" w:hAnsi="Arial" w:cs="Arial"/>
                <w:sz w:val="20"/>
                <w:szCs w:val="20"/>
              </w:rPr>
            </w:pPr>
            <w:r>
              <w:rPr>
                <w:rFonts w:ascii="Arial" w:hAnsi="Arial" w:cs="Arial"/>
                <w:sz w:val="20"/>
                <w:szCs w:val="20"/>
              </w:rPr>
              <w:t xml:space="preserve">Ebonyi State  </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cross</w:t>
            </w:r>
            <w:r>
              <w:rPr>
                <w:rFonts w:ascii="Cambria Math" w:hAnsi="Cambria Math" w:cs="Cambria Math"/>
                <w:sz w:val="20"/>
                <w:szCs w:val="20"/>
              </w:rPr>
              <w:t>‑</w:t>
            </w:r>
            <w:r>
              <w:rPr>
                <w:rFonts w:ascii="Arial" w:hAnsi="Arial" w:cs="Arial"/>
                <w:sz w:val="20"/>
                <w:szCs w:val="20"/>
              </w:rPr>
              <w:t>sectional survey study</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620 senior secondary students</w:t>
            </w:r>
          </w:p>
        </w:tc>
        <w:tc>
          <w:tcPr>
            <w:tcW w:w="1418" w:type="dxa"/>
          </w:tcPr>
          <w:p w:rsidR="0072364A" w:rsidRDefault="00183ECA">
            <w:pPr>
              <w:spacing w:after="0" w:line="240" w:lineRule="auto"/>
              <w:rPr>
                <w:rFonts w:ascii="Arial" w:hAnsi="Arial" w:cs="Arial"/>
                <w:sz w:val="20"/>
                <w:szCs w:val="20"/>
              </w:rPr>
            </w:pPr>
            <w:r>
              <w:rPr>
                <w:rFonts w:ascii="Arial" w:hAnsi="Arial" w:cs="Arial"/>
                <w:sz w:val="20"/>
                <w:szCs w:val="20"/>
              </w:rPr>
              <w:t>WHO drug use questionnaire</w:t>
            </w:r>
          </w:p>
        </w:tc>
        <w:tc>
          <w:tcPr>
            <w:tcW w:w="1417" w:type="dxa"/>
          </w:tcPr>
          <w:p w:rsidR="0072364A" w:rsidRDefault="00183ECA">
            <w:pPr>
              <w:spacing w:after="0" w:line="240" w:lineRule="auto"/>
              <w:rPr>
                <w:rFonts w:ascii="Arial" w:hAnsi="Arial" w:cs="Arial"/>
                <w:sz w:val="20"/>
                <w:szCs w:val="20"/>
              </w:rPr>
            </w:pPr>
            <w:r>
              <w:rPr>
                <w:rFonts w:ascii="Arial" w:hAnsi="Arial" w:cs="Arial"/>
                <w:sz w:val="20"/>
                <w:szCs w:val="20"/>
              </w:rPr>
              <w:t>32.9% alcohol</w:t>
            </w:r>
          </w:p>
        </w:tc>
        <w:tc>
          <w:tcPr>
            <w:tcW w:w="2127" w:type="dxa"/>
          </w:tcPr>
          <w:p w:rsidR="0072364A" w:rsidRDefault="00183ECA">
            <w:pPr>
              <w:spacing w:after="0" w:line="240" w:lineRule="auto"/>
              <w:rPr>
                <w:rFonts w:ascii="Arial" w:hAnsi="Arial" w:cs="Arial"/>
                <w:sz w:val="20"/>
                <w:szCs w:val="20"/>
              </w:rPr>
            </w:pPr>
            <w:r>
              <w:rPr>
                <w:rFonts w:ascii="Arial" w:hAnsi="Arial" w:cs="Arial"/>
                <w:sz w:val="20"/>
                <w:szCs w:val="20"/>
              </w:rPr>
              <w:t>males, older students, persons from divorced home and orphans</w:t>
            </w:r>
          </w:p>
        </w:tc>
      </w:tr>
      <w:tr w:rsidR="0072364A">
        <w:trPr>
          <w:trHeight w:val="609"/>
        </w:trPr>
        <w:tc>
          <w:tcPr>
            <w:tcW w:w="2830" w:type="dxa"/>
          </w:tcPr>
          <w:p w:rsidR="0072364A" w:rsidRDefault="00183ECA">
            <w:pPr>
              <w:spacing w:after="0" w:line="240" w:lineRule="auto"/>
              <w:rPr>
                <w:rFonts w:ascii="Arial" w:hAnsi="Arial" w:cs="Arial"/>
                <w:sz w:val="20"/>
                <w:szCs w:val="20"/>
              </w:rPr>
            </w:pPr>
            <w:r>
              <w:rPr>
                <w:rFonts w:ascii="Arial" w:hAnsi="Arial" w:cs="Arial"/>
                <w:sz w:val="20"/>
                <w:szCs w:val="20"/>
              </w:rPr>
              <w:t>Socio-Demographic Determinants of Psychoactive Substance Use among Students of Tertiary Institutions in Imo State, Nigeria</w:t>
            </w:r>
          </w:p>
        </w:tc>
        <w:tc>
          <w:tcPr>
            <w:tcW w:w="1134" w:type="dxa"/>
          </w:tcPr>
          <w:p w:rsidR="0072364A" w:rsidRDefault="00183ECA">
            <w:pPr>
              <w:spacing w:after="0" w:line="240" w:lineRule="auto"/>
              <w:rPr>
                <w:rFonts w:ascii="Arial" w:hAnsi="Arial" w:cs="Arial"/>
                <w:sz w:val="20"/>
                <w:szCs w:val="20"/>
              </w:rPr>
            </w:pPr>
            <w:proofErr w:type="spellStart"/>
            <w:r>
              <w:rPr>
                <w:rFonts w:ascii="Arial" w:hAnsi="Arial" w:cs="Arial"/>
                <w:sz w:val="20"/>
                <w:szCs w:val="20"/>
              </w:rPr>
              <w:t>Duru</w:t>
            </w:r>
            <w:proofErr w:type="spellEnd"/>
            <w:r>
              <w:rPr>
                <w:rFonts w:ascii="Arial" w:hAnsi="Arial" w:cs="Arial"/>
                <w:sz w:val="20"/>
                <w:szCs w:val="20"/>
              </w:rPr>
              <w:t xml:space="preserve"> (2017)</w:t>
            </w:r>
          </w:p>
        </w:tc>
        <w:tc>
          <w:tcPr>
            <w:tcW w:w="1134" w:type="dxa"/>
          </w:tcPr>
          <w:p w:rsidR="0072364A" w:rsidRDefault="00183ECA">
            <w:pPr>
              <w:spacing w:after="0" w:line="240" w:lineRule="auto"/>
              <w:rPr>
                <w:rFonts w:ascii="Arial" w:hAnsi="Arial" w:cs="Arial"/>
                <w:sz w:val="20"/>
                <w:szCs w:val="20"/>
              </w:rPr>
            </w:pPr>
            <w:r>
              <w:rPr>
                <w:rFonts w:ascii="Arial" w:hAnsi="Arial" w:cs="Arial"/>
                <w:sz w:val="20"/>
                <w:szCs w:val="20"/>
              </w:rPr>
              <w:t>Imo State</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institution based</w:t>
            </w:r>
          </w:p>
          <w:p w:rsidR="0072364A" w:rsidRDefault="00183ECA">
            <w:pPr>
              <w:spacing w:after="0" w:line="240" w:lineRule="auto"/>
              <w:rPr>
                <w:rFonts w:ascii="Arial" w:hAnsi="Arial" w:cs="Arial"/>
                <w:sz w:val="20"/>
                <w:szCs w:val="20"/>
              </w:rPr>
            </w:pPr>
            <w:r>
              <w:rPr>
                <w:rFonts w:ascii="Arial" w:hAnsi="Arial" w:cs="Arial"/>
                <w:sz w:val="20"/>
                <w:szCs w:val="20"/>
              </w:rPr>
              <w:t>descriptive cross-sectional study</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 xml:space="preserve">440 undergraduates </w:t>
            </w:r>
          </w:p>
        </w:tc>
        <w:tc>
          <w:tcPr>
            <w:tcW w:w="1418" w:type="dxa"/>
          </w:tcPr>
          <w:p w:rsidR="0072364A" w:rsidRDefault="00183ECA">
            <w:pPr>
              <w:spacing w:after="0" w:line="240" w:lineRule="auto"/>
              <w:rPr>
                <w:rFonts w:ascii="Arial" w:hAnsi="Arial" w:cs="Arial"/>
                <w:sz w:val="20"/>
                <w:szCs w:val="20"/>
              </w:rPr>
            </w:pPr>
            <w:r>
              <w:rPr>
                <w:rFonts w:ascii="Arial" w:hAnsi="Arial" w:cs="Arial"/>
                <w:sz w:val="20"/>
                <w:szCs w:val="20"/>
              </w:rPr>
              <w:t>Modified WHO student drug survey</w:t>
            </w:r>
          </w:p>
        </w:tc>
        <w:tc>
          <w:tcPr>
            <w:tcW w:w="1417" w:type="dxa"/>
          </w:tcPr>
          <w:p w:rsidR="0072364A" w:rsidRDefault="00183ECA">
            <w:pPr>
              <w:spacing w:after="0" w:line="240" w:lineRule="auto"/>
              <w:rPr>
                <w:rFonts w:ascii="Arial" w:hAnsi="Arial" w:cs="Arial"/>
                <w:sz w:val="20"/>
                <w:szCs w:val="20"/>
              </w:rPr>
            </w:pPr>
            <w:r>
              <w:rPr>
                <w:rFonts w:ascii="Arial" w:hAnsi="Arial" w:cs="Arial"/>
                <w:sz w:val="20"/>
                <w:szCs w:val="20"/>
              </w:rPr>
              <w:t>tobacco</w:t>
            </w:r>
          </w:p>
        </w:tc>
        <w:tc>
          <w:tcPr>
            <w:tcW w:w="2127" w:type="dxa"/>
          </w:tcPr>
          <w:p w:rsidR="0072364A" w:rsidRDefault="00183ECA">
            <w:pPr>
              <w:spacing w:after="0" w:line="240" w:lineRule="auto"/>
              <w:rPr>
                <w:rFonts w:ascii="Arial" w:hAnsi="Arial" w:cs="Arial"/>
                <w:sz w:val="20"/>
                <w:szCs w:val="20"/>
              </w:rPr>
            </w:pPr>
            <w:bookmarkStart w:id="33" w:name="_Hlk198919351"/>
            <w:r>
              <w:rPr>
                <w:rFonts w:ascii="Arial" w:hAnsi="Arial" w:cs="Arial"/>
                <w:sz w:val="20"/>
                <w:szCs w:val="20"/>
              </w:rPr>
              <w:t>Peer group, gender, level of study, accommodation status and status of parents' union</w:t>
            </w:r>
            <w:bookmarkEnd w:id="33"/>
          </w:p>
        </w:tc>
      </w:tr>
      <w:tr w:rsidR="0072364A">
        <w:trPr>
          <w:trHeight w:val="609"/>
        </w:trPr>
        <w:tc>
          <w:tcPr>
            <w:tcW w:w="2830" w:type="dxa"/>
          </w:tcPr>
          <w:p w:rsidR="0072364A" w:rsidRDefault="00183ECA">
            <w:pPr>
              <w:spacing w:after="0" w:line="240" w:lineRule="auto"/>
              <w:rPr>
                <w:rFonts w:ascii="Arial" w:hAnsi="Arial" w:cs="Arial"/>
                <w:sz w:val="20"/>
                <w:szCs w:val="20"/>
              </w:rPr>
            </w:pPr>
            <w:r>
              <w:rPr>
                <w:rFonts w:ascii="Arial" w:hAnsi="Arial" w:cs="Arial"/>
                <w:sz w:val="20"/>
                <w:szCs w:val="20"/>
              </w:rPr>
              <w:t xml:space="preserve">Factors Influencing Substance </w:t>
            </w:r>
            <w:proofErr w:type="spellStart"/>
            <w:r>
              <w:rPr>
                <w:rFonts w:ascii="Arial" w:hAnsi="Arial" w:cs="Arial"/>
                <w:sz w:val="20"/>
                <w:szCs w:val="20"/>
              </w:rPr>
              <w:t>useamong</w:t>
            </w:r>
            <w:proofErr w:type="spellEnd"/>
            <w:r>
              <w:rPr>
                <w:rFonts w:ascii="Arial" w:hAnsi="Arial" w:cs="Arial"/>
                <w:sz w:val="20"/>
                <w:szCs w:val="20"/>
              </w:rPr>
              <w:t xml:space="preserve"> Senior Secondary Students Attending Public Schools, Owerri, Imo State</w:t>
            </w:r>
          </w:p>
        </w:tc>
        <w:tc>
          <w:tcPr>
            <w:tcW w:w="1134" w:type="dxa"/>
          </w:tcPr>
          <w:p w:rsidR="0072364A" w:rsidRDefault="00183ECA">
            <w:pPr>
              <w:spacing w:after="0" w:line="240" w:lineRule="auto"/>
              <w:rPr>
                <w:rFonts w:ascii="Arial" w:hAnsi="Arial" w:cs="Arial"/>
                <w:sz w:val="20"/>
                <w:szCs w:val="20"/>
              </w:rPr>
            </w:pPr>
            <w:proofErr w:type="spellStart"/>
            <w:r>
              <w:rPr>
                <w:rFonts w:ascii="Arial" w:hAnsi="Arial" w:cs="Arial"/>
                <w:sz w:val="20"/>
                <w:szCs w:val="20"/>
              </w:rPr>
              <w:t>Nzeh</w:t>
            </w:r>
            <w:proofErr w:type="spellEnd"/>
            <w:r>
              <w:rPr>
                <w:rFonts w:ascii="Arial" w:hAnsi="Arial" w:cs="Arial"/>
                <w:sz w:val="20"/>
                <w:szCs w:val="20"/>
              </w:rPr>
              <w:t xml:space="preserve"> (2020)</w:t>
            </w:r>
          </w:p>
        </w:tc>
        <w:tc>
          <w:tcPr>
            <w:tcW w:w="1134" w:type="dxa"/>
          </w:tcPr>
          <w:p w:rsidR="0072364A" w:rsidRDefault="00183ECA">
            <w:pPr>
              <w:spacing w:after="0" w:line="240" w:lineRule="auto"/>
              <w:rPr>
                <w:rFonts w:ascii="Arial" w:hAnsi="Arial" w:cs="Arial"/>
                <w:sz w:val="20"/>
                <w:szCs w:val="20"/>
              </w:rPr>
            </w:pPr>
            <w:r>
              <w:rPr>
                <w:rFonts w:ascii="Arial" w:hAnsi="Arial" w:cs="Arial"/>
                <w:sz w:val="20"/>
                <w:szCs w:val="20"/>
              </w:rPr>
              <w:t xml:space="preserve">Imo State  </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cross-sectional descriptive research design</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397 senior secondary students</w:t>
            </w:r>
          </w:p>
        </w:tc>
        <w:tc>
          <w:tcPr>
            <w:tcW w:w="1418" w:type="dxa"/>
          </w:tcPr>
          <w:p w:rsidR="0072364A" w:rsidRDefault="00183ECA">
            <w:pPr>
              <w:spacing w:after="0" w:line="240" w:lineRule="auto"/>
              <w:rPr>
                <w:rFonts w:ascii="Arial" w:hAnsi="Arial" w:cs="Arial"/>
                <w:sz w:val="20"/>
                <w:szCs w:val="20"/>
              </w:rPr>
            </w:pPr>
            <w:r>
              <w:rPr>
                <w:rFonts w:ascii="Arial" w:hAnsi="Arial" w:cs="Arial"/>
                <w:sz w:val="20"/>
                <w:szCs w:val="20"/>
              </w:rPr>
              <w:t>Validated structured questionnaire</w:t>
            </w:r>
          </w:p>
        </w:tc>
        <w:tc>
          <w:tcPr>
            <w:tcW w:w="1417" w:type="dxa"/>
          </w:tcPr>
          <w:p w:rsidR="0072364A" w:rsidRDefault="00183ECA">
            <w:pPr>
              <w:spacing w:after="0" w:line="240" w:lineRule="auto"/>
              <w:rPr>
                <w:rFonts w:ascii="Arial" w:hAnsi="Arial" w:cs="Arial"/>
                <w:sz w:val="20"/>
                <w:szCs w:val="20"/>
              </w:rPr>
            </w:pPr>
            <w:r>
              <w:rPr>
                <w:rFonts w:ascii="Arial" w:hAnsi="Arial" w:cs="Arial"/>
                <w:sz w:val="20"/>
                <w:szCs w:val="20"/>
              </w:rPr>
              <w:t>N/A</w:t>
            </w:r>
          </w:p>
        </w:tc>
        <w:tc>
          <w:tcPr>
            <w:tcW w:w="2127" w:type="dxa"/>
          </w:tcPr>
          <w:p w:rsidR="0072364A" w:rsidRDefault="00183ECA">
            <w:pPr>
              <w:spacing w:after="0" w:line="240" w:lineRule="auto"/>
              <w:rPr>
                <w:rFonts w:ascii="Arial" w:hAnsi="Arial" w:cs="Arial"/>
                <w:sz w:val="20"/>
                <w:szCs w:val="20"/>
              </w:rPr>
            </w:pPr>
            <w:r>
              <w:rPr>
                <w:rFonts w:ascii="Arial" w:hAnsi="Arial" w:cs="Arial"/>
                <w:sz w:val="20"/>
                <w:szCs w:val="20"/>
              </w:rPr>
              <w:t xml:space="preserve">Age, gender, </w:t>
            </w:r>
          </w:p>
          <w:p w:rsidR="0072364A" w:rsidRDefault="00183ECA">
            <w:pPr>
              <w:spacing w:after="0" w:line="240" w:lineRule="auto"/>
              <w:rPr>
                <w:rFonts w:ascii="Arial" w:hAnsi="Arial" w:cs="Arial"/>
                <w:sz w:val="20"/>
                <w:szCs w:val="20"/>
              </w:rPr>
            </w:pPr>
            <w:r>
              <w:rPr>
                <w:rFonts w:ascii="Arial" w:hAnsi="Arial" w:cs="Arial"/>
                <w:sz w:val="20"/>
                <w:szCs w:val="20"/>
              </w:rPr>
              <w:t>peer group, accessibility, availability and vendor of substance of use</w:t>
            </w:r>
          </w:p>
        </w:tc>
      </w:tr>
      <w:tr w:rsidR="0072364A">
        <w:trPr>
          <w:trHeight w:val="1734"/>
        </w:trPr>
        <w:tc>
          <w:tcPr>
            <w:tcW w:w="2830" w:type="dxa"/>
          </w:tcPr>
          <w:p w:rsidR="0072364A" w:rsidRDefault="00183ECA">
            <w:pPr>
              <w:spacing w:after="0" w:line="240" w:lineRule="auto"/>
              <w:rPr>
                <w:rFonts w:ascii="Arial" w:hAnsi="Arial" w:cs="Arial"/>
                <w:sz w:val="20"/>
                <w:szCs w:val="20"/>
              </w:rPr>
            </w:pPr>
            <w:r>
              <w:rPr>
                <w:rFonts w:ascii="Arial" w:hAnsi="Arial" w:cs="Arial"/>
                <w:sz w:val="20"/>
                <w:szCs w:val="20"/>
              </w:rPr>
              <w:t xml:space="preserve">Pattern of Psychoactive Substance Use and its Determinant Factors among Adolescents in Urban and Rural Communities in </w:t>
            </w:r>
            <w:proofErr w:type="spellStart"/>
            <w:r>
              <w:rPr>
                <w:rFonts w:ascii="Arial" w:hAnsi="Arial" w:cs="Arial"/>
                <w:sz w:val="20"/>
                <w:szCs w:val="20"/>
              </w:rPr>
              <w:t>Abia</w:t>
            </w:r>
            <w:proofErr w:type="spellEnd"/>
            <w:r>
              <w:rPr>
                <w:rFonts w:ascii="Arial" w:hAnsi="Arial" w:cs="Arial"/>
                <w:sz w:val="20"/>
                <w:szCs w:val="20"/>
              </w:rPr>
              <w:t xml:space="preserve"> State, Nigeria: A Cross-Sectional Descriptive Study</w:t>
            </w:r>
          </w:p>
        </w:tc>
        <w:tc>
          <w:tcPr>
            <w:tcW w:w="1134" w:type="dxa"/>
          </w:tcPr>
          <w:p w:rsidR="0072364A" w:rsidRDefault="00183ECA">
            <w:pPr>
              <w:spacing w:after="0" w:line="240" w:lineRule="auto"/>
              <w:rPr>
                <w:rFonts w:ascii="Arial" w:hAnsi="Arial" w:cs="Arial"/>
                <w:sz w:val="20"/>
                <w:szCs w:val="20"/>
              </w:rPr>
            </w:pPr>
            <w:proofErr w:type="spellStart"/>
            <w:r>
              <w:rPr>
                <w:rFonts w:ascii="Arial" w:hAnsi="Arial" w:cs="Arial"/>
                <w:sz w:val="20"/>
                <w:szCs w:val="20"/>
              </w:rPr>
              <w:t>Ejikem</w:t>
            </w:r>
            <w:proofErr w:type="spellEnd"/>
            <w:r>
              <w:rPr>
                <w:rFonts w:ascii="Arial" w:hAnsi="Arial" w:cs="Arial"/>
                <w:sz w:val="20"/>
                <w:szCs w:val="20"/>
              </w:rPr>
              <w:t xml:space="preserve"> (2023)</w:t>
            </w:r>
          </w:p>
        </w:tc>
        <w:tc>
          <w:tcPr>
            <w:tcW w:w="1134" w:type="dxa"/>
          </w:tcPr>
          <w:p w:rsidR="0072364A" w:rsidRDefault="00183ECA">
            <w:pPr>
              <w:spacing w:after="0" w:line="240" w:lineRule="auto"/>
              <w:rPr>
                <w:rFonts w:ascii="Arial" w:hAnsi="Arial" w:cs="Arial"/>
                <w:sz w:val="20"/>
                <w:szCs w:val="20"/>
              </w:rPr>
            </w:pPr>
            <w:proofErr w:type="spellStart"/>
            <w:r>
              <w:rPr>
                <w:rFonts w:ascii="Arial" w:hAnsi="Arial" w:cs="Arial"/>
                <w:sz w:val="20"/>
                <w:szCs w:val="20"/>
              </w:rPr>
              <w:t>Abia</w:t>
            </w:r>
            <w:proofErr w:type="spellEnd"/>
            <w:r>
              <w:rPr>
                <w:rFonts w:ascii="Arial" w:hAnsi="Arial" w:cs="Arial"/>
                <w:sz w:val="20"/>
                <w:szCs w:val="20"/>
              </w:rPr>
              <w:t xml:space="preserve"> State</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cross-sectional descriptive design</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1,036 adolescents</w:t>
            </w:r>
          </w:p>
        </w:tc>
        <w:tc>
          <w:tcPr>
            <w:tcW w:w="1418" w:type="dxa"/>
          </w:tcPr>
          <w:p w:rsidR="0072364A" w:rsidRDefault="00183ECA">
            <w:pPr>
              <w:spacing w:after="0" w:line="240" w:lineRule="auto"/>
              <w:rPr>
                <w:rFonts w:ascii="Arial" w:hAnsi="Arial" w:cs="Arial"/>
                <w:sz w:val="20"/>
                <w:szCs w:val="20"/>
              </w:rPr>
            </w:pPr>
            <w:r>
              <w:rPr>
                <w:rFonts w:ascii="Arial" w:hAnsi="Arial" w:cs="Arial"/>
                <w:sz w:val="20"/>
                <w:szCs w:val="20"/>
              </w:rPr>
              <w:t>structured interviewer-administered questionnaire</w:t>
            </w:r>
          </w:p>
        </w:tc>
        <w:tc>
          <w:tcPr>
            <w:tcW w:w="1417" w:type="dxa"/>
          </w:tcPr>
          <w:p w:rsidR="0072364A" w:rsidRDefault="00183ECA">
            <w:pPr>
              <w:spacing w:after="0" w:line="240" w:lineRule="auto"/>
              <w:rPr>
                <w:rFonts w:ascii="Arial" w:hAnsi="Arial" w:cs="Arial"/>
                <w:sz w:val="20"/>
                <w:szCs w:val="20"/>
              </w:rPr>
            </w:pPr>
            <w:r>
              <w:rPr>
                <w:rFonts w:ascii="Arial" w:hAnsi="Arial" w:cs="Arial"/>
                <w:sz w:val="20"/>
                <w:szCs w:val="20"/>
              </w:rPr>
              <w:t>Alcohol</w:t>
            </w:r>
          </w:p>
        </w:tc>
        <w:tc>
          <w:tcPr>
            <w:tcW w:w="2127" w:type="dxa"/>
          </w:tcPr>
          <w:p w:rsidR="0072364A" w:rsidRDefault="00183ECA">
            <w:pPr>
              <w:spacing w:after="0" w:line="240" w:lineRule="auto"/>
              <w:rPr>
                <w:rFonts w:ascii="Arial" w:hAnsi="Arial" w:cs="Arial"/>
                <w:sz w:val="20"/>
                <w:szCs w:val="20"/>
              </w:rPr>
            </w:pPr>
            <w:r>
              <w:rPr>
                <w:rFonts w:ascii="Arial" w:hAnsi="Arial" w:cs="Arial"/>
                <w:sz w:val="20"/>
                <w:szCs w:val="20"/>
              </w:rPr>
              <w:t xml:space="preserve">Peer group, mother's occupation, </w:t>
            </w:r>
          </w:p>
        </w:tc>
      </w:tr>
      <w:tr w:rsidR="0072364A">
        <w:trPr>
          <w:trHeight w:val="1252"/>
        </w:trPr>
        <w:tc>
          <w:tcPr>
            <w:tcW w:w="2830" w:type="dxa"/>
          </w:tcPr>
          <w:p w:rsidR="0072364A" w:rsidRDefault="00183ECA">
            <w:pPr>
              <w:spacing w:after="0" w:line="240" w:lineRule="auto"/>
              <w:rPr>
                <w:rFonts w:ascii="Arial" w:hAnsi="Arial" w:cs="Arial"/>
                <w:sz w:val="20"/>
                <w:szCs w:val="20"/>
              </w:rPr>
            </w:pPr>
            <w:r>
              <w:rPr>
                <w:rFonts w:ascii="Arial" w:hAnsi="Arial" w:cs="Arial"/>
                <w:sz w:val="20"/>
                <w:szCs w:val="20"/>
              </w:rPr>
              <w:t xml:space="preserve">Demographic Determinants of Drug Use Among Undergraduate Youths </w:t>
            </w:r>
            <w:proofErr w:type="gramStart"/>
            <w:r>
              <w:rPr>
                <w:rFonts w:ascii="Arial" w:hAnsi="Arial" w:cs="Arial"/>
                <w:sz w:val="20"/>
                <w:szCs w:val="20"/>
              </w:rPr>
              <w:t>In</w:t>
            </w:r>
            <w:proofErr w:type="gramEnd"/>
            <w:r>
              <w:rPr>
                <w:rFonts w:ascii="Arial" w:hAnsi="Arial" w:cs="Arial"/>
                <w:sz w:val="20"/>
                <w:szCs w:val="20"/>
              </w:rPr>
              <w:t xml:space="preserve"> South-Eastern Communities in Nigeria</w:t>
            </w:r>
          </w:p>
        </w:tc>
        <w:tc>
          <w:tcPr>
            <w:tcW w:w="1134" w:type="dxa"/>
          </w:tcPr>
          <w:p w:rsidR="0072364A" w:rsidRDefault="00183ECA">
            <w:pPr>
              <w:spacing w:after="0" w:line="240" w:lineRule="auto"/>
              <w:rPr>
                <w:rFonts w:ascii="Arial" w:hAnsi="Arial" w:cs="Arial"/>
                <w:sz w:val="20"/>
                <w:szCs w:val="20"/>
              </w:rPr>
            </w:pPr>
            <w:proofErr w:type="spellStart"/>
            <w:r>
              <w:rPr>
                <w:rFonts w:ascii="Arial" w:hAnsi="Arial" w:cs="Arial"/>
                <w:sz w:val="20"/>
                <w:szCs w:val="20"/>
              </w:rPr>
              <w:t>Ngwu</w:t>
            </w:r>
            <w:proofErr w:type="spellEnd"/>
            <w:r>
              <w:rPr>
                <w:rFonts w:ascii="Arial" w:hAnsi="Arial" w:cs="Arial"/>
                <w:sz w:val="20"/>
                <w:szCs w:val="20"/>
              </w:rPr>
              <w:t xml:space="preserve"> (2024)</w:t>
            </w:r>
          </w:p>
        </w:tc>
        <w:tc>
          <w:tcPr>
            <w:tcW w:w="1134" w:type="dxa"/>
          </w:tcPr>
          <w:p w:rsidR="0072364A" w:rsidRDefault="00183ECA">
            <w:pPr>
              <w:spacing w:after="0" w:line="240" w:lineRule="auto"/>
              <w:rPr>
                <w:rFonts w:ascii="Arial" w:hAnsi="Arial" w:cs="Arial"/>
                <w:sz w:val="20"/>
                <w:szCs w:val="20"/>
              </w:rPr>
            </w:pPr>
            <w:r>
              <w:rPr>
                <w:rFonts w:ascii="Arial" w:hAnsi="Arial" w:cs="Arial"/>
                <w:sz w:val="20"/>
                <w:szCs w:val="20"/>
              </w:rPr>
              <w:t xml:space="preserve">Five south East States </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Cross-sectional survey research design</w:t>
            </w:r>
          </w:p>
        </w:tc>
        <w:tc>
          <w:tcPr>
            <w:tcW w:w="1701" w:type="dxa"/>
          </w:tcPr>
          <w:p w:rsidR="0072364A" w:rsidRDefault="00183ECA">
            <w:pPr>
              <w:spacing w:after="0" w:line="240" w:lineRule="auto"/>
              <w:rPr>
                <w:rFonts w:ascii="Arial" w:hAnsi="Arial" w:cs="Arial"/>
                <w:sz w:val="20"/>
                <w:szCs w:val="20"/>
              </w:rPr>
            </w:pPr>
            <w:r>
              <w:rPr>
                <w:rFonts w:ascii="Arial" w:hAnsi="Arial" w:cs="Arial"/>
                <w:sz w:val="20"/>
                <w:szCs w:val="20"/>
              </w:rPr>
              <w:t>500 youths from five tertiary institutions</w:t>
            </w:r>
          </w:p>
        </w:tc>
        <w:tc>
          <w:tcPr>
            <w:tcW w:w="1418" w:type="dxa"/>
          </w:tcPr>
          <w:p w:rsidR="0072364A" w:rsidRDefault="00183ECA">
            <w:pPr>
              <w:spacing w:after="0" w:line="240" w:lineRule="auto"/>
              <w:rPr>
                <w:rFonts w:ascii="Arial" w:hAnsi="Arial" w:cs="Arial"/>
                <w:sz w:val="20"/>
                <w:szCs w:val="20"/>
              </w:rPr>
            </w:pPr>
            <w:r>
              <w:rPr>
                <w:rFonts w:ascii="Arial" w:hAnsi="Arial" w:cs="Arial"/>
                <w:sz w:val="20"/>
                <w:szCs w:val="20"/>
              </w:rPr>
              <w:t>researchers’ self-made questionnaire</w:t>
            </w:r>
          </w:p>
        </w:tc>
        <w:tc>
          <w:tcPr>
            <w:tcW w:w="1417" w:type="dxa"/>
          </w:tcPr>
          <w:p w:rsidR="0072364A" w:rsidRDefault="00183ECA">
            <w:pPr>
              <w:spacing w:after="0" w:line="240" w:lineRule="auto"/>
              <w:rPr>
                <w:rFonts w:ascii="Arial" w:hAnsi="Arial" w:cs="Arial"/>
                <w:sz w:val="20"/>
                <w:szCs w:val="20"/>
              </w:rPr>
            </w:pPr>
            <w:r>
              <w:rPr>
                <w:rFonts w:ascii="Arial" w:hAnsi="Arial" w:cs="Arial"/>
                <w:sz w:val="20"/>
                <w:szCs w:val="20"/>
              </w:rPr>
              <w:t xml:space="preserve">Cannabis, </w:t>
            </w:r>
            <w:proofErr w:type="spellStart"/>
            <w:r>
              <w:rPr>
                <w:rFonts w:ascii="Arial" w:hAnsi="Arial" w:cs="Arial"/>
                <w:sz w:val="20"/>
                <w:szCs w:val="20"/>
              </w:rPr>
              <w:t>tranquillisers</w:t>
            </w:r>
            <w:proofErr w:type="spellEnd"/>
            <w:r>
              <w:rPr>
                <w:rFonts w:ascii="Arial" w:hAnsi="Arial" w:cs="Arial"/>
                <w:sz w:val="20"/>
                <w:szCs w:val="20"/>
              </w:rPr>
              <w:t>, alcohol, tobacco and inhalants</w:t>
            </w:r>
          </w:p>
        </w:tc>
        <w:tc>
          <w:tcPr>
            <w:tcW w:w="2127" w:type="dxa"/>
          </w:tcPr>
          <w:p w:rsidR="0072364A" w:rsidRDefault="00183ECA">
            <w:pPr>
              <w:spacing w:after="0" w:line="240" w:lineRule="auto"/>
              <w:rPr>
                <w:rFonts w:ascii="Arial" w:hAnsi="Arial" w:cs="Arial"/>
                <w:sz w:val="20"/>
                <w:szCs w:val="20"/>
              </w:rPr>
            </w:pPr>
            <w:r>
              <w:rPr>
                <w:rFonts w:ascii="Arial" w:hAnsi="Arial" w:cs="Arial"/>
                <w:sz w:val="20"/>
                <w:szCs w:val="20"/>
              </w:rPr>
              <w:t xml:space="preserve">gender; levels of education, nature of upbringing and family size </w:t>
            </w:r>
          </w:p>
        </w:tc>
      </w:tr>
    </w:tbl>
    <w:p w:rsidR="0072364A" w:rsidRDefault="0072364A">
      <w:pPr>
        <w:pStyle w:val="NormalWeb"/>
        <w:spacing w:before="240" w:beforeAutospacing="0" w:after="0" w:afterAutospacing="0" w:line="360" w:lineRule="auto"/>
        <w:jc w:val="both"/>
        <w:rPr>
          <w:rFonts w:ascii="Arial" w:hAnsi="Arial" w:cs="Arial"/>
          <w:color w:val="auto"/>
        </w:rPr>
      </w:pPr>
    </w:p>
    <w:p w:rsidR="0072364A" w:rsidRDefault="0072364A">
      <w:pPr>
        <w:pStyle w:val="NormalWeb"/>
        <w:spacing w:before="240" w:beforeAutospacing="0" w:after="0" w:afterAutospacing="0" w:line="360" w:lineRule="auto"/>
        <w:jc w:val="both"/>
        <w:rPr>
          <w:rFonts w:ascii="Arial" w:hAnsi="Arial" w:cs="Arial"/>
          <w:color w:val="auto"/>
        </w:rPr>
        <w:sectPr w:rsidR="0072364A">
          <w:pgSz w:w="15840" w:h="12240" w:orient="landscape"/>
          <w:pgMar w:top="1440" w:right="1134" w:bottom="1440" w:left="1560" w:header="720" w:footer="720" w:gutter="0"/>
          <w:cols w:space="720"/>
          <w:docGrid w:linePitch="360"/>
        </w:sectPr>
      </w:pPr>
    </w:p>
    <w:bookmarkEnd w:id="32"/>
    <w:p w:rsidR="0072364A" w:rsidRDefault="00183ECA">
      <w:pPr>
        <w:pStyle w:val="NormalWeb"/>
        <w:spacing w:after="0" w:line="360" w:lineRule="auto"/>
        <w:jc w:val="both"/>
        <w:rPr>
          <w:rFonts w:ascii="Arial" w:hAnsi="Arial" w:cs="Arial"/>
        </w:rPr>
      </w:pPr>
      <w:r>
        <w:rPr>
          <w:rFonts w:ascii="Arial" w:hAnsi="Arial" w:cs="Arial"/>
          <w:color w:val="auto"/>
        </w:rPr>
        <w:t xml:space="preserve">Lastly, </w:t>
      </w:r>
      <w:proofErr w:type="spellStart"/>
      <w:r>
        <w:rPr>
          <w:rFonts w:ascii="Arial" w:hAnsi="Arial" w:cs="Arial"/>
          <w:color w:val="auto"/>
        </w:rPr>
        <w:t>Ngwu</w:t>
      </w:r>
      <w:proofErr w:type="spellEnd"/>
      <w:r>
        <w:rPr>
          <w:rFonts w:ascii="Arial" w:hAnsi="Arial" w:cs="Arial"/>
          <w:color w:val="auto"/>
        </w:rPr>
        <w:t xml:space="preserve"> et al. (2024) utilised </w:t>
      </w:r>
      <w:r w:rsidR="00DE4812">
        <w:rPr>
          <w:rFonts w:ascii="Arial" w:hAnsi="Arial" w:cs="Arial"/>
          <w:color w:val="auto"/>
        </w:rPr>
        <w:t>“</w:t>
      </w:r>
      <w:r>
        <w:rPr>
          <w:rFonts w:ascii="Arial" w:hAnsi="Arial" w:cs="Arial"/>
          <w:color w:val="auto"/>
        </w:rPr>
        <w:t xml:space="preserve">the cross-sectional survey design to investigate demographic determinants of drug use among undergraduate youths in South-Eastern communities in Nigeria. The study recruited 500 youths from the five South-Eastern States </w:t>
      </w:r>
      <w:r>
        <w:rPr>
          <w:rFonts w:ascii="Arial" w:hAnsi="Arial" w:cs="Arial"/>
        </w:rPr>
        <w:t>equally</w:t>
      </w:r>
      <w:r>
        <w:rPr>
          <w:rFonts w:ascii="Arial" w:hAnsi="Arial" w:cs="Arial"/>
          <w:color w:val="auto"/>
        </w:rPr>
        <w:t>, using a simple random sampling technique without replacement. D</w:t>
      </w:r>
      <w:r>
        <w:rPr>
          <w:rFonts w:ascii="Arial" w:hAnsi="Arial" w:cs="Arial"/>
        </w:rPr>
        <w:t>ata for the study were obtained using the validated researchers’ self-made questionnaire. The result obtained indicated that the most used substances were Cannabis, tranquilizers, alcohol, tobacco and inhalants. The findings indicated that gender, levels of education, nature of upbringing and family size are significant determinants of drug use among the southeast Nigerian youths</w:t>
      </w:r>
      <w:r w:rsidR="00DE4812">
        <w:rPr>
          <w:rFonts w:ascii="Arial" w:hAnsi="Arial" w:cs="Arial"/>
        </w:rPr>
        <w:t>”</w:t>
      </w:r>
      <w:r>
        <w:rPr>
          <w:rFonts w:ascii="Arial" w:hAnsi="Arial" w:cs="Arial"/>
        </w:rPr>
        <w:t xml:space="preserve">. </w:t>
      </w:r>
    </w:p>
    <w:p w:rsidR="0072364A" w:rsidRDefault="0072364A">
      <w:pPr>
        <w:autoSpaceDE w:val="0"/>
        <w:autoSpaceDN w:val="0"/>
        <w:adjustRightInd w:val="0"/>
        <w:spacing w:after="0" w:line="360" w:lineRule="auto"/>
        <w:jc w:val="both"/>
        <w:rPr>
          <w:rFonts w:ascii="Arial" w:eastAsia="MinionPro-Regular" w:hAnsi="Arial" w:cs="Arial"/>
          <w:sz w:val="24"/>
          <w:szCs w:val="24"/>
          <w:lang w:val="en-GB"/>
        </w:rPr>
      </w:pPr>
    </w:p>
    <w:p w:rsidR="0072364A" w:rsidRDefault="00183ECA">
      <w:pPr>
        <w:pStyle w:val="Heading2"/>
        <w:spacing w:before="0" w:line="360" w:lineRule="auto"/>
        <w:rPr>
          <w:rFonts w:ascii="Arial" w:hAnsi="Arial" w:cs="Arial"/>
          <w:color w:val="auto"/>
          <w:sz w:val="24"/>
          <w:szCs w:val="24"/>
        </w:rPr>
      </w:pPr>
      <w:r>
        <w:rPr>
          <w:rFonts w:ascii="Arial" w:hAnsi="Arial" w:cs="Arial"/>
          <w:color w:val="auto"/>
          <w:sz w:val="24"/>
          <w:szCs w:val="24"/>
        </w:rPr>
        <w:t xml:space="preserve">Discussion </w:t>
      </w:r>
    </w:p>
    <w:p w:rsidR="0072364A" w:rsidRDefault="00183ECA">
      <w:pPr>
        <w:autoSpaceDE w:val="0"/>
        <w:autoSpaceDN w:val="0"/>
        <w:adjustRightInd w:val="0"/>
        <w:spacing w:after="0" w:line="360" w:lineRule="auto"/>
        <w:jc w:val="both"/>
        <w:rPr>
          <w:rFonts w:ascii="Arial" w:hAnsi="Arial" w:cs="Arial"/>
        </w:rPr>
      </w:pPr>
      <w:r>
        <w:rPr>
          <w:rFonts w:ascii="Arial" w:eastAsia="MinionPro-Regular" w:hAnsi="Arial" w:cs="Arial"/>
          <w:sz w:val="24"/>
          <w:szCs w:val="24"/>
          <w:lang w:val="en-GB"/>
        </w:rPr>
        <w:t xml:space="preserve">Understanding the dynamics of </w:t>
      </w:r>
      <w:r>
        <w:rPr>
          <w:rFonts w:ascii="Arial" w:eastAsia="MinionPro-Regular" w:hAnsi="Arial" w:cs="Arial"/>
          <w:sz w:val="24"/>
          <w:szCs w:val="24"/>
        </w:rPr>
        <w:t>Substance use</w:t>
      </w:r>
      <w:r>
        <w:rPr>
          <w:rFonts w:ascii="Arial" w:eastAsia="MinionPro-Regular" w:hAnsi="Arial" w:cs="Arial"/>
          <w:sz w:val="24"/>
          <w:szCs w:val="24"/>
          <w:lang w:val="en-GB"/>
        </w:rPr>
        <w:t>among youth in South East Nigeria is critical, given the public health implications of early initiation into psychoactive substance use. This systematic review set out to identify the most prevalent substances used by youth in the</w:t>
      </w:r>
      <w:r>
        <w:rPr>
          <w:rFonts w:ascii="Arial" w:hAnsi="Arial" w:cs="Arial"/>
        </w:rPr>
        <w:t xml:space="preserve"> South East </w:t>
      </w:r>
      <w:r>
        <w:rPr>
          <w:rFonts w:ascii="Arial" w:eastAsia="MinionPro-Regular" w:hAnsi="Arial" w:cs="Arial"/>
          <w:sz w:val="24"/>
          <w:szCs w:val="24"/>
          <w:lang w:val="en-GB"/>
        </w:rPr>
        <w:t>region and the determinants associated with this substance use. The outcome of this study revealed that a</w:t>
      </w:r>
      <w:proofErr w:type="spellStart"/>
      <w:r>
        <w:rPr>
          <w:rFonts w:ascii="Arial" w:hAnsi="Arial" w:cs="Arial"/>
        </w:rPr>
        <w:t>lcohol</w:t>
      </w:r>
      <w:proofErr w:type="spellEnd"/>
      <w:r>
        <w:rPr>
          <w:rFonts w:ascii="Arial" w:hAnsi="Arial" w:cs="Arial"/>
        </w:rPr>
        <w:t xml:space="preserve">, tobacco, Cannabis, </w:t>
      </w:r>
      <w:proofErr w:type="spellStart"/>
      <w:r>
        <w:rPr>
          <w:rFonts w:ascii="Arial" w:hAnsi="Arial" w:cs="Arial"/>
        </w:rPr>
        <w:t>tranquillisers</w:t>
      </w:r>
      <w:proofErr w:type="spellEnd"/>
      <w:r>
        <w:rPr>
          <w:rFonts w:ascii="Arial" w:hAnsi="Arial" w:cs="Arial"/>
        </w:rPr>
        <w:t xml:space="preserve">, and inhalants were the most prevalent substances used. Among these, alcohol and tobacco were the most frequently reported across all reviewed studies. </w:t>
      </w:r>
    </w:p>
    <w:p w:rsidR="0072364A" w:rsidRDefault="00183ECA">
      <w:pPr>
        <w:pStyle w:val="NormalWeb"/>
        <w:spacing w:after="0" w:line="360" w:lineRule="auto"/>
        <w:jc w:val="both"/>
        <w:rPr>
          <w:rFonts w:ascii="Arial" w:hAnsi="Arial" w:cs="Arial"/>
          <w:color w:val="auto"/>
        </w:rPr>
      </w:pPr>
      <w:r>
        <w:rPr>
          <w:rFonts w:ascii="Arial" w:hAnsi="Arial" w:cs="Arial"/>
          <w:color w:val="auto"/>
        </w:rPr>
        <w:t xml:space="preserve">This pattern of psychoactive substance use mirrors broader national findings, particularly the 2018 United Nations Office on Drugs and Crime (UNODC) report, which identified alcohol as the most commonly used substances among Nigerian youth, followed by tobacco and cannabis (UNODC, 2018). The predominance of alcohol and tobacco use among adolescents and young adults may be attributed to their legal status and relatively easy accessibility compared to illicit drugs like cocaine or heroin. Similarly, tranquiliser misuse, especially of prescription medications such as benzodiazepines and tramadol, has surged in Nigeria due to lax pharmaceutical regulations and black-market proliferation. Consistently, </w:t>
      </w:r>
      <w:r w:rsidR="0004019A">
        <w:rPr>
          <w:rFonts w:ascii="Arial" w:hAnsi="Arial" w:cs="Arial"/>
          <w:b/>
          <w:bCs/>
          <w:color w:val="auto"/>
        </w:rPr>
        <w:t xml:space="preserve">it is </w:t>
      </w:r>
      <w:r>
        <w:rPr>
          <w:rFonts w:ascii="Arial" w:hAnsi="Arial" w:cs="Arial"/>
          <w:color w:val="auto"/>
        </w:rPr>
        <w:t>noted increasing trends in the misuse of prescription medications such as tramadol and diazepam among youth, which often go undetected due to inadequate pharmacovigilance systems. Furthermore, when contextualised globally, the substance use pattern in South East Nigeria shares similarities with youth populations in other sub-Saharan African (SSA) countries, where alcohol remains the leading psychoactive substance, followed by cannabis and tobacco (WHO, 2022). However, the growing incidence of inhalant and prescription drug misuse in Nigeria, as reported in this review, is particularly concerning given the unique risks these substances pose and their increasing popularity in under-regulated settings (</w:t>
      </w:r>
      <w:proofErr w:type="spellStart"/>
      <w:r>
        <w:rPr>
          <w:rFonts w:ascii="Arial" w:hAnsi="Arial" w:cs="Arial"/>
          <w:color w:val="auto"/>
        </w:rPr>
        <w:t>Odejide</w:t>
      </w:r>
      <w:proofErr w:type="spellEnd"/>
      <w:r>
        <w:rPr>
          <w:rFonts w:ascii="Arial" w:hAnsi="Arial" w:cs="Arial"/>
          <w:color w:val="auto"/>
        </w:rPr>
        <w:t xml:space="preserve">, 2006). Contrastingly, youths in high-income countries such as the United Kingdom and the United States demonstrate a slightly different profile, where vaping, opioids, stimulants, and synthetic cannabinoids are more prevalent. While alcohol and cannabis remain widespread globally, differences in drug markets, enforcement regimes, and health literacy account for regional variation in substance preference. The use of inhalants, for example, tends to be more prevalent in low-income settings due to their affordability and accessibility, particularly among adolescents in disadvantaged communities. </w:t>
      </w:r>
    </w:p>
    <w:p w:rsidR="0072364A" w:rsidRDefault="00183ECA">
      <w:pPr>
        <w:pStyle w:val="NormalWeb"/>
        <w:spacing w:after="0" w:line="360" w:lineRule="auto"/>
        <w:jc w:val="both"/>
        <w:rPr>
          <w:rFonts w:ascii="Arial" w:eastAsia="MinionPro-Regular" w:hAnsi="Arial" w:cs="Arial"/>
        </w:rPr>
      </w:pPr>
      <w:r>
        <w:rPr>
          <w:rFonts w:ascii="Arial" w:eastAsia="MinionPro-Regular" w:hAnsi="Arial" w:cs="Arial"/>
        </w:rPr>
        <w:t xml:space="preserve">This review also uncovered a diverse range of interrelated determinants influencing substance use among youth in South East Nigeria. These include </w:t>
      </w:r>
      <w:bookmarkStart w:id="34" w:name="_Hlk200223972"/>
      <w:r>
        <w:rPr>
          <w:rFonts w:ascii="Arial" w:eastAsia="MinionPro-Regular" w:hAnsi="Arial" w:cs="Arial"/>
        </w:rPr>
        <w:t xml:space="preserve">peer group influence, gender, age, education level, accommodation status, family structure, </w:t>
      </w:r>
      <w:proofErr w:type="spellStart"/>
      <w:r>
        <w:rPr>
          <w:rFonts w:ascii="Arial" w:eastAsia="MinionPro-Regular" w:hAnsi="Arial" w:cs="Arial"/>
        </w:rPr>
        <w:t>orphanhood</w:t>
      </w:r>
      <w:proofErr w:type="spellEnd"/>
      <w:r>
        <w:rPr>
          <w:rFonts w:ascii="Arial" w:eastAsia="MinionPro-Regular" w:hAnsi="Arial" w:cs="Arial"/>
        </w:rPr>
        <w:t xml:space="preserve">, maternal employment, substance accessibility, availability, and vendor-related factors. </w:t>
      </w:r>
      <w:bookmarkEnd w:id="34"/>
      <w:r>
        <w:rPr>
          <w:rFonts w:ascii="Arial" w:eastAsia="MinionPro-Regular" w:hAnsi="Arial" w:cs="Arial"/>
        </w:rPr>
        <w:t>Peer influence, the most consistent determinant across all reviewed studies, has also been extensively documented in prior Nigerian studies (</w:t>
      </w:r>
      <w:proofErr w:type="spellStart"/>
      <w:r>
        <w:rPr>
          <w:rFonts w:ascii="Arial" w:eastAsia="MinionPro-Regular" w:hAnsi="Arial" w:cs="Arial"/>
        </w:rPr>
        <w:t>Chikere</w:t>
      </w:r>
      <w:proofErr w:type="spellEnd"/>
      <w:r>
        <w:rPr>
          <w:rFonts w:ascii="Arial" w:eastAsia="MinionPro-Regular" w:hAnsi="Arial" w:cs="Arial"/>
        </w:rPr>
        <w:t xml:space="preserve"> &amp; Mayowa, 2011). The desire for social belonging, especially during adolescence, often leads to conformity with group norms, including risky behaviours such as substance use. This is corroborated in the findings from other Nigerian states, such as the study </w:t>
      </w:r>
      <w:proofErr w:type="gramStart"/>
      <w:r>
        <w:rPr>
          <w:rFonts w:ascii="Arial" w:eastAsia="MinionPro-Regular" w:hAnsi="Arial" w:cs="Arial"/>
        </w:rPr>
        <w:t xml:space="preserve">of  </w:t>
      </w:r>
      <w:proofErr w:type="spellStart"/>
      <w:r>
        <w:rPr>
          <w:rFonts w:ascii="Arial" w:eastAsia="MinionPro-Regular" w:hAnsi="Arial" w:cs="Arial"/>
        </w:rPr>
        <w:t>Chikere</w:t>
      </w:r>
      <w:proofErr w:type="spellEnd"/>
      <w:proofErr w:type="gramEnd"/>
      <w:r>
        <w:rPr>
          <w:rFonts w:ascii="Arial" w:eastAsia="MinionPro-Regular" w:hAnsi="Arial" w:cs="Arial"/>
        </w:rPr>
        <w:t xml:space="preserve"> and Mayowa (2011), which reported peer pressure as the most significant predictor of adolescent drug use, particularly among secondary school students. Similarly, a study in Kano State by Yahaya et al. (2020) observed that adolescents introduced to substances by peers were more likely to escalate their usage over time. This aligns with global evidence suggesting that peer modelling and social acceptance often serve as the initial gateway to experimentation and habitual substance use among adolescents (Steinberg, 2005).</w:t>
      </w:r>
    </w:p>
    <w:p w:rsidR="0072364A" w:rsidRDefault="00183ECA">
      <w:pPr>
        <w:autoSpaceDE w:val="0"/>
        <w:autoSpaceDN w:val="0"/>
        <w:adjustRightInd w:val="0"/>
        <w:spacing w:before="240" w:after="0" w:line="360" w:lineRule="auto"/>
        <w:jc w:val="both"/>
        <w:rPr>
          <w:rFonts w:ascii="Arial" w:eastAsia="MinionPro-Regular" w:hAnsi="Arial" w:cs="Arial"/>
          <w:sz w:val="24"/>
          <w:szCs w:val="24"/>
          <w:lang w:val="en-GB"/>
        </w:rPr>
      </w:pPr>
      <w:r>
        <w:rPr>
          <w:rFonts w:ascii="Arial" w:eastAsia="MinionPro-Regular" w:hAnsi="Arial" w:cs="Arial"/>
          <w:sz w:val="24"/>
          <w:szCs w:val="24"/>
          <w:lang w:val="en-GB"/>
        </w:rPr>
        <w:t xml:space="preserve">Furthermore, gender and sex emerged as significant factors, with older males disproportionately represented among substance users. This aligns with findings by </w:t>
      </w:r>
      <w:proofErr w:type="spellStart"/>
      <w:r>
        <w:rPr>
          <w:rFonts w:ascii="Arial" w:eastAsia="MinionPro-Regular" w:hAnsi="Arial" w:cs="Arial"/>
          <w:sz w:val="24"/>
          <w:szCs w:val="24"/>
          <w:lang w:val="en-GB"/>
        </w:rPr>
        <w:t>Olley</w:t>
      </w:r>
      <w:proofErr w:type="spellEnd"/>
      <w:r>
        <w:rPr>
          <w:rFonts w:ascii="Arial" w:eastAsia="MinionPro-Regular" w:hAnsi="Arial" w:cs="Arial"/>
          <w:sz w:val="24"/>
          <w:szCs w:val="24"/>
          <w:lang w:val="en-GB"/>
        </w:rPr>
        <w:t xml:space="preserve"> (2006), who attributed higher rates of </w:t>
      </w:r>
      <w:r>
        <w:rPr>
          <w:rFonts w:ascii="Arial" w:eastAsia="MinionPro-Regular" w:hAnsi="Arial" w:cs="Arial"/>
          <w:sz w:val="24"/>
          <w:szCs w:val="24"/>
        </w:rPr>
        <w:t>Substance use</w:t>
      </w:r>
      <w:r>
        <w:rPr>
          <w:rFonts w:ascii="Arial" w:eastAsia="MinionPro-Regular" w:hAnsi="Arial" w:cs="Arial"/>
          <w:sz w:val="24"/>
          <w:szCs w:val="24"/>
          <w:lang w:val="en-GB"/>
        </w:rPr>
        <w:t>among Nigerian males to sociocultural constructions of masculinity, which often valorise risk-taking and emotional suppression. However, recent evidence from urban centres shows a narrowing gap in youth substance use, which is attributed to changing gender norms due to urbanisation and increased social media exposure, which now influence young women's risk behaviours (</w:t>
      </w:r>
      <w:proofErr w:type="spellStart"/>
      <w:r>
        <w:rPr>
          <w:rFonts w:ascii="Arial" w:eastAsia="MinionPro-Regular" w:hAnsi="Arial" w:cs="Arial"/>
          <w:sz w:val="24"/>
          <w:szCs w:val="24"/>
          <w:lang w:val="en-GB"/>
        </w:rPr>
        <w:t>Peltzer</w:t>
      </w:r>
      <w:proofErr w:type="spellEnd"/>
      <w:r>
        <w:rPr>
          <w:rFonts w:ascii="Arial" w:eastAsia="MinionPro-Regular" w:hAnsi="Arial" w:cs="Arial"/>
          <w:sz w:val="24"/>
          <w:szCs w:val="24"/>
          <w:lang w:val="en-GB"/>
        </w:rPr>
        <w:t xml:space="preserve"> &amp; </w:t>
      </w:r>
      <w:proofErr w:type="spellStart"/>
      <w:r>
        <w:rPr>
          <w:rFonts w:ascii="Arial" w:eastAsia="MinionPro-Regular" w:hAnsi="Arial" w:cs="Arial"/>
          <w:sz w:val="24"/>
          <w:szCs w:val="24"/>
          <w:lang w:val="en-GB"/>
        </w:rPr>
        <w:t>Pengpid</w:t>
      </w:r>
      <w:proofErr w:type="spellEnd"/>
      <w:r>
        <w:rPr>
          <w:rFonts w:ascii="Arial" w:eastAsia="MinionPro-Regular" w:hAnsi="Arial" w:cs="Arial"/>
          <w:sz w:val="24"/>
          <w:szCs w:val="24"/>
          <w:lang w:val="en-GB"/>
        </w:rPr>
        <w:t xml:space="preserve">, 2016). Additionally, family structure, educational and accommodation status were also implicated as significant factors influencing </w:t>
      </w:r>
      <w:r>
        <w:rPr>
          <w:rFonts w:ascii="Arial" w:eastAsia="MinionPro-Regular" w:hAnsi="Arial" w:cs="Arial"/>
          <w:sz w:val="24"/>
          <w:szCs w:val="24"/>
        </w:rPr>
        <w:t>Substance use</w:t>
      </w:r>
      <w:r>
        <w:rPr>
          <w:rFonts w:ascii="Arial" w:eastAsia="MinionPro-Regular" w:hAnsi="Arial" w:cs="Arial"/>
          <w:sz w:val="24"/>
          <w:szCs w:val="24"/>
          <w:lang w:val="en-GB"/>
        </w:rPr>
        <w:t xml:space="preserve">as youths living outside parental supervision, such as those in tertiary institutions or informal urban settlements, are more likely to engage in substance use due to increased exposure and reduced oversight. This is supported by </w:t>
      </w:r>
      <w:proofErr w:type="spellStart"/>
      <w:r>
        <w:rPr>
          <w:rFonts w:ascii="Arial" w:eastAsia="MinionPro-Regular" w:hAnsi="Arial" w:cs="Arial"/>
          <w:sz w:val="24"/>
          <w:szCs w:val="24"/>
          <w:lang w:val="en-GB"/>
        </w:rPr>
        <w:t>Nnebue</w:t>
      </w:r>
      <w:proofErr w:type="spellEnd"/>
      <w:r>
        <w:rPr>
          <w:rFonts w:ascii="Arial" w:eastAsia="MinionPro-Regular" w:hAnsi="Arial" w:cs="Arial"/>
          <w:sz w:val="24"/>
          <w:szCs w:val="24"/>
          <w:lang w:val="en-GB"/>
        </w:rPr>
        <w:t xml:space="preserve"> et al. (2017), who found that youth with unstable home environments were more likely to engage in drug use, while </w:t>
      </w:r>
      <w:proofErr w:type="spellStart"/>
      <w:r>
        <w:rPr>
          <w:rFonts w:ascii="Arial" w:eastAsia="MinionPro-Regular" w:hAnsi="Arial" w:cs="Arial"/>
          <w:sz w:val="24"/>
          <w:szCs w:val="24"/>
          <w:lang w:val="en-GB"/>
        </w:rPr>
        <w:t>Akpa</w:t>
      </w:r>
      <w:proofErr w:type="spellEnd"/>
      <w:r>
        <w:rPr>
          <w:rFonts w:ascii="Arial" w:eastAsia="MinionPro-Regular" w:hAnsi="Arial" w:cs="Arial"/>
          <w:sz w:val="24"/>
          <w:szCs w:val="24"/>
          <w:lang w:val="en-GB"/>
        </w:rPr>
        <w:t xml:space="preserve"> and </w:t>
      </w:r>
      <w:proofErr w:type="spellStart"/>
      <w:r>
        <w:rPr>
          <w:rFonts w:ascii="Arial" w:eastAsia="MinionPro-Regular" w:hAnsi="Arial" w:cs="Arial"/>
          <w:sz w:val="24"/>
          <w:szCs w:val="24"/>
          <w:lang w:val="en-GB"/>
        </w:rPr>
        <w:t>Okekunle</w:t>
      </w:r>
      <w:proofErr w:type="spellEnd"/>
      <w:r>
        <w:rPr>
          <w:rFonts w:ascii="Arial" w:eastAsia="MinionPro-Regular" w:hAnsi="Arial" w:cs="Arial"/>
          <w:sz w:val="24"/>
          <w:szCs w:val="24"/>
          <w:lang w:val="en-GB"/>
        </w:rPr>
        <w:t xml:space="preserve"> (2020), reported higher prevalence rates of </w:t>
      </w:r>
      <w:r>
        <w:rPr>
          <w:rFonts w:ascii="Arial" w:eastAsia="MinionPro-Regular" w:hAnsi="Arial" w:cs="Arial"/>
          <w:sz w:val="24"/>
          <w:szCs w:val="24"/>
        </w:rPr>
        <w:t>Substance use</w:t>
      </w:r>
      <w:r>
        <w:rPr>
          <w:rFonts w:ascii="Arial" w:eastAsia="MinionPro-Regular" w:hAnsi="Arial" w:cs="Arial"/>
          <w:sz w:val="24"/>
          <w:szCs w:val="24"/>
          <w:lang w:val="en-GB"/>
        </w:rPr>
        <w:t xml:space="preserve">among students residing in off-campus accommodations in Osun State, Nigeria. Such findings mirror international evidence, where unsupervised youth environments, such as college dormitories in the United States, have been linked with binge drinking and recreational drug use (Johnston et al., 2022). Lastly, </w:t>
      </w:r>
      <w:proofErr w:type="spellStart"/>
      <w:r>
        <w:rPr>
          <w:rFonts w:ascii="Arial" w:eastAsia="MinionPro-Regular" w:hAnsi="Arial" w:cs="Arial"/>
          <w:sz w:val="24"/>
          <w:szCs w:val="24"/>
          <w:lang w:val="en-GB"/>
        </w:rPr>
        <w:t>Nnebue</w:t>
      </w:r>
      <w:proofErr w:type="spellEnd"/>
      <w:r>
        <w:rPr>
          <w:rFonts w:ascii="Arial" w:eastAsia="MinionPro-Regular" w:hAnsi="Arial" w:cs="Arial"/>
          <w:sz w:val="24"/>
          <w:szCs w:val="24"/>
          <w:lang w:val="en-GB"/>
        </w:rPr>
        <w:t xml:space="preserve"> et al. (2017) found that youth with unstable home environments were more likely to engage in drug use. The widespread availability of psychoactive substances from unregulated vendors, including patent medicine dealers and street hawkers, has been consistently cited in Nigerian studies as a key enabler of adolescent drug use. This reflects broader structural weaknesses in Nigeria’s drug control systems, as the UNODC (2018) reported that informal drug markets, serve as significant conduits for youth access to psychoactive substances, especially in peri-urban and rural settings. Contrastingly, countries with stricter drug enforcement and surveillance regimes tend to report lower incidence of adolescent access to controlled substances, albeit sometimes at the cost of pushing the market underground (EMCDDA, 2023).</w:t>
      </w:r>
    </w:p>
    <w:p w:rsidR="0072364A" w:rsidRDefault="0072364A">
      <w:pPr>
        <w:autoSpaceDE w:val="0"/>
        <w:autoSpaceDN w:val="0"/>
        <w:adjustRightInd w:val="0"/>
        <w:spacing w:after="0" w:line="360" w:lineRule="auto"/>
        <w:jc w:val="both"/>
        <w:rPr>
          <w:rFonts w:ascii="Arial" w:hAnsi="Arial" w:cs="Arial"/>
        </w:rPr>
      </w:pPr>
    </w:p>
    <w:p w:rsidR="0072364A" w:rsidRDefault="00183ECA">
      <w:pPr>
        <w:pStyle w:val="Heading3"/>
        <w:spacing w:before="0" w:line="360" w:lineRule="auto"/>
        <w:jc w:val="both"/>
        <w:rPr>
          <w:rFonts w:ascii="Arial" w:hAnsi="Arial" w:cs="Arial"/>
          <w:b w:val="0"/>
          <w:color w:val="auto"/>
          <w:sz w:val="24"/>
          <w:szCs w:val="24"/>
        </w:rPr>
      </w:pPr>
      <w:bookmarkStart w:id="35" w:name="_Toc157868930"/>
      <w:r>
        <w:rPr>
          <w:rFonts w:ascii="Arial" w:hAnsi="Arial" w:cs="Arial"/>
          <w:color w:val="auto"/>
          <w:sz w:val="24"/>
          <w:szCs w:val="24"/>
        </w:rPr>
        <w:t>Conclusion</w:t>
      </w:r>
      <w:bookmarkEnd w:id="35"/>
      <w:r>
        <w:rPr>
          <w:rFonts w:ascii="Arial" w:hAnsi="Arial" w:cs="Arial"/>
          <w:color w:val="auto"/>
          <w:sz w:val="24"/>
          <w:szCs w:val="24"/>
        </w:rPr>
        <w:t xml:space="preserve"> </w:t>
      </w:r>
    </w:p>
    <w:p w:rsidR="0072364A" w:rsidRDefault="00183ECA">
      <w:pPr>
        <w:autoSpaceDE w:val="0"/>
        <w:autoSpaceDN w:val="0"/>
        <w:adjustRightInd w:val="0"/>
        <w:spacing w:after="0" w:line="360" w:lineRule="auto"/>
        <w:jc w:val="both"/>
        <w:rPr>
          <w:rFonts w:ascii="Arial" w:eastAsia="MinionPro-Regular" w:hAnsi="Arial" w:cs="Arial"/>
          <w:sz w:val="24"/>
          <w:szCs w:val="24"/>
          <w:lang w:val="en-GB"/>
        </w:rPr>
      </w:pPr>
      <w:r>
        <w:rPr>
          <w:rFonts w:ascii="Arial" w:eastAsia="MinionPro-Regular" w:hAnsi="Arial" w:cs="Arial"/>
          <w:sz w:val="24"/>
          <w:szCs w:val="24"/>
          <w:lang w:val="en-GB"/>
        </w:rPr>
        <w:t xml:space="preserve">This systematic review critically synthesised existing empirical evidence on the prevalence and determinants of </w:t>
      </w:r>
      <w:r>
        <w:rPr>
          <w:rFonts w:ascii="Arial" w:eastAsia="MinionPro-Regular" w:hAnsi="Arial" w:cs="Arial"/>
          <w:sz w:val="24"/>
          <w:szCs w:val="24"/>
        </w:rPr>
        <w:t>Substance use</w:t>
      </w:r>
      <w:r>
        <w:rPr>
          <w:rFonts w:ascii="Arial" w:eastAsia="MinionPro-Regular" w:hAnsi="Arial" w:cs="Arial"/>
          <w:sz w:val="24"/>
          <w:szCs w:val="24"/>
          <w:lang w:val="en-GB"/>
        </w:rPr>
        <w:t xml:space="preserve">among youth in South East Nigeria. The findings clearly indicate that psychoactive substance use remains a significant and multifaceted public health concern in the region. Alcohol, tobacco, cannabis, tranquillisers, and inhalants emerged as the most commonly used substances, with alcohol and tobacco being particularly pervasive due to their social acceptability and widespread accessibility. The consistent emergence of peer influence, gender, age, family structure, and availability of substances as key predictors calls for multi-layered interventions that are both community-driven and policy-informed. Hence, tackling youth </w:t>
      </w:r>
      <w:r>
        <w:rPr>
          <w:rFonts w:ascii="Arial" w:eastAsia="MinionPro-Regular" w:hAnsi="Arial" w:cs="Arial"/>
          <w:sz w:val="24"/>
          <w:szCs w:val="24"/>
        </w:rPr>
        <w:t>Substance use</w:t>
      </w:r>
      <w:r>
        <w:rPr>
          <w:rFonts w:ascii="Arial" w:eastAsia="MinionPro-Regular" w:hAnsi="Arial" w:cs="Arial"/>
          <w:sz w:val="24"/>
          <w:szCs w:val="24"/>
          <w:lang w:val="en-GB"/>
        </w:rPr>
        <w:t xml:space="preserve">in South East Nigeria requires a multidimensional approach, integrating public health, education, social welfare, and legal frameworks. Furthermore, interventions must be youth-centred, community-informed, and policy-driven, with emphasis on early prevention, parental involvement, peer-led education, and stricter regulation of psychoactive substances. </w:t>
      </w:r>
    </w:p>
    <w:p w:rsidR="0072364A" w:rsidRDefault="0072364A">
      <w:pPr>
        <w:autoSpaceDE w:val="0"/>
        <w:autoSpaceDN w:val="0"/>
        <w:adjustRightInd w:val="0"/>
        <w:spacing w:after="0" w:line="360" w:lineRule="auto"/>
        <w:jc w:val="both"/>
        <w:rPr>
          <w:rFonts w:ascii="Arial" w:eastAsia="MinionPro-Regular" w:hAnsi="Arial" w:cs="Arial"/>
          <w:sz w:val="24"/>
          <w:szCs w:val="24"/>
          <w:lang w:val="en-GB"/>
        </w:rPr>
      </w:pPr>
    </w:p>
    <w:p w:rsidR="0072364A" w:rsidRDefault="0072364A">
      <w:pPr>
        <w:rPr>
          <w:kern w:val="2"/>
        </w:rPr>
      </w:pPr>
      <w:bookmarkStart w:id="36" w:name="_Hlk192511329"/>
      <w:bookmarkStart w:id="37" w:name="_Hlk187485061"/>
      <w:bookmarkStart w:id="38" w:name="_Hlk194655630"/>
      <w:bookmarkStart w:id="39" w:name="_Hlk209008097"/>
    </w:p>
    <w:p w:rsidR="0072364A" w:rsidRPr="002E50D1" w:rsidRDefault="00183ECA">
      <w:pPr>
        <w:rPr>
          <w:b/>
          <w:kern w:val="2"/>
          <w:sz w:val="28"/>
          <w:szCs w:val="28"/>
        </w:rPr>
      </w:pPr>
      <w:bookmarkStart w:id="40" w:name="_Hlk204003461"/>
      <w:bookmarkStart w:id="41" w:name="_Hlk209007716"/>
      <w:bookmarkEnd w:id="36"/>
      <w:bookmarkEnd w:id="37"/>
      <w:bookmarkEnd w:id="38"/>
      <w:r w:rsidRPr="002E50D1">
        <w:rPr>
          <w:b/>
          <w:kern w:val="2"/>
          <w:sz w:val="28"/>
          <w:szCs w:val="28"/>
        </w:rPr>
        <w:t>Disclaimer (Artificial intelligence)</w:t>
      </w:r>
    </w:p>
    <w:p w:rsidR="0072364A" w:rsidRDefault="00183ECA">
      <w:pPr>
        <w:rPr>
          <w:kern w:val="2"/>
          <w:sz w:val="28"/>
          <w:szCs w:val="28"/>
        </w:rPr>
      </w:pPr>
      <w:r>
        <w:rPr>
          <w:kern w:val="2"/>
          <w:sz w:val="28"/>
          <w:szCs w:val="28"/>
        </w:rPr>
        <w:t>Option 1:</w:t>
      </w:r>
    </w:p>
    <w:p w:rsidR="0072364A" w:rsidRDefault="00183ECA">
      <w:pPr>
        <w:rPr>
          <w:kern w:val="2"/>
          <w:sz w:val="28"/>
          <w:szCs w:val="28"/>
        </w:rPr>
      </w:pPr>
      <w:r>
        <w:rPr>
          <w:kern w:val="2"/>
          <w:sz w:val="28"/>
          <w:szCs w:val="28"/>
        </w:rPr>
        <w:t>Author(s) hereby declare that NO generative AI technologies such as Large Language Models (</w:t>
      </w:r>
      <w:proofErr w:type="spellStart"/>
      <w:r>
        <w:rPr>
          <w:kern w:val="2"/>
          <w:sz w:val="28"/>
          <w:szCs w:val="28"/>
        </w:rPr>
        <w:t>ChatGPT</w:t>
      </w:r>
      <w:proofErr w:type="spellEnd"/>
      <w:r>
        <w:rPr>
          <w:kern w:val="2"/>
          <w:sz w:val="28"/>
          <w:szCs w:val="28"/>
        </w:rPr>
        <w:t xml:space="preserve">, COPILOT, etc.) and text-to-image generators have been used during the writing or editing of this manuscript. </w:t>
      </w:r>
    </w:p>
    <w:bookmarkEnd w:id="39"/>
    <w:bookmarkEnd w:id="40"/>
    <w:bookmarkEnd w:id="41"/>
    <w:p w:rsidR="0072364A" w:rsidRDefault="0072364A">
      <w:pPr>
        <w:autoSpaceDE w:val="0"/>
        <w:autoSpaceDN w:val="0"/>
        <w:adjustRightInd w:val="0"/>
        <w:spacing w:after="0" w:line="360" w:lineRule="auto"/>
        <w:jc w:val="both"/>
        <w:rPr>
          <w:rFonts w:ascii="Arial" w:eastAsia="MinionPro-Regular" w:hAnsi="Arial" w:cs="Arial"/>
          <w:sz w:val="24"/>
          <w:szCs w:val="24"/>
          <w:lang w:val="en-GB"/>
        </w:rPr>
      </w:pPr>
    </w:p>
    <w:p w:rsidR="0072364A" w:rsidRDefault="0072364A">
      <w:pPr>
        <w:autoSpaceDE w:val="0"/>
        <w:autoSpaceDN w:val="0"/>
        <w:adjustRightInd w:val="0"/>
        <w:spacing w:after="0" w:line="360" w:lineRule="auto"/>
        <w:jc w:val="both"/>
        <w:rPr>
          <w:rFonts w:ascii="Arial" w:eastAsia="MinionPro-Regular" w:hAnsi="Arial" w:cs="Arial"/>
          <w:sz w:val="24"/>
          <w:szCs w:val="24"/>
          <w:lang w:val="en-GB"/>
        </w:rPr>
      </w:pPr>
    </w:p>
    <w:p w:rsidR="0072364A" w:rsidRDefault="0072364A">
      <w:pPr>
        <w:autoSpaceDE w:val="0"/>
        <w:autoSpaceDN w:val="0"/>
        <w:adjustRightInd w:val="0"/>
        <w:spacing w:after="0" w:line="360" w:lineRule="auto"/>
        <w:jc w:val="both"/>
        <w:rPr>
          <w:rFonts w:ascii="Arial" w:eastAsia="MinionPro-Regular" w:hAnsi="Arial" w:cs="Arial"/>
          <w:sz w:val="24"/>
          <w:szCs w:val="24"/>
          <w:lang w:val="en-GB"/>
        </w:rPr>
      </w:pPr>
    </w:p>
    <w:p w:rsidR="0072364A" w:rsidRDefault="00183ECA">
      <w:pPr>
        <w:pStyle w:val="Heading2"/>
        <w:spacing w:before="0" w:line="360" w:lineRule="auto"/>
        <w:ind w:right="-270"/>
        <w:jc w:val="center"/>
        <w:rPr>
          <w:rFonts w:ascii="Arial" w:hAnsi="Arial" w:cs="Arial"/>
          <w:color w:val="auto"/>
          <w:sz w:val="24"/>
          <w:szCs w:val="24"/>
        </w:rPr>
      </w:pPr>
      <w:bookmarkStart w:id="42" w:name="_Toc127834064"/>
      <w:bookmarkStart w:id="43" w:name="_Toc157868932"/>
      <w:bookmarkStart w:id="44" w:name="_Toc128102285"/>
      <w:bookmarkStart w:id="45" w:name="_Toc75428715"/>
      <w:r>
        <w:rPr>
          <w:rFonts w:ascii="Arial" w:hAnsi="Arial" w:cs="Arial"/>
          <w:color w:val="auto"/>
          <w:sz w:val="24"/>
          <w:szCs w:val="24"/>
        </w:rPr>
        <w:t>REFERENCES</w:t>
      </w:r>
      <w:bookmarkEnd w:id="42"/>
      <w:bookmarkEnd w:id="43"/>
      <w:bookmarkEnd w:id="44"/>
      <w:bookmarkEnd w:id="45"/>
    </w:p>
    <w:bookmarkEnd w:id="18"/>
    <w:p w:rsidR="0072364A" w:rsidRDefault="00183ECA">
      <w:pPr>
        <w:autoSpaceDE w:val="0"/>
        <w:autoSpaceDN w:val="0"/>
        <w:adjustRightInd w:val="0"/>
        <w:spacing w:before="120" w:after="0"/>
        <w:ind w:left="720" w:hanging="720"/>
        <w:jc w:val="both"/>
        <w:rPr>
          <w:rFonts w:ascii="Arial" w:hAnsi="Arial" w:cs="Arial"/>
        </w:rPr>
      </w:pPr>
      <w:proofErr w:type="spellStart"/>
      <w:r w:rsidRPr="0004019A">
        <w:rPr>
          <w:rFonts w:ascii="Arial" w:hAnsi="Arial" w:cs="Arial"/>
          <w:highlight w:val="yellow"/>
        </w:rPr>
        <w:t>Ajala</w:t>
      </w:r>
      <w:proofErr w:type="spellEnd"/>
      <w:r w:rsidRPr="0004019A">
        <w:rPr>
          <w:rFonts w:ascii="Arial" w:hAnsi="Arial" w:cs="Arial"/>
          <w:highlight w:val="yellow"/>
        </w:rPr>
        <w:t>, J. A. (2012). A profile of drugs used in some selected universities in Nigeria. West Africa Journal on Physical and Health Education, 1(1), 50–52.</w:t>
      </w:r>
    </w:p>
    <w:p w:rsidR="0072364A" w:rsidRDefault="00183ECA">
      <w:pPr>
        <w:autoSpaceDE w:val="0"/>
        <w:autoSpaceDN w:val="0"/>
        <w:adjustRightInd w:val="0"/>
        <w:spacing w:before="120" w:after="0"/>
        <w:ind w:left="720" w:hanging="720"/>
        <w:jc w:val="both"/>
        <w:rPr>
          <w:rFonts w:ascii="Arial" w:hAnsi="Arial" w:cs="Arial"/>
        </w:rPr>
      </w:pPr>
      <w:proofErr w:type="spellStart"/>
      <w:r w:rsidRPr="0004019A">
        <w:rPr>
          <w:rFonts w:ascii="Arial" w:hAnsi="Arial" w:cs="Arial"/>
          <w:highlight w:val="yellow"/>
        </w:rPr>
        <w:t>Akpa</w:t>
      </w:r>
      <w:proofErr w:type="spellEnd"/>
      <w:r w:rsidRPr="0004019A">
        <w:rPr>
          <w:rFonts w:ascii="Arial" w:hAnsi="Arial" w:cs="Arial"/>
          <w:highlight w:val="yellow"/>
        </w:rPr>
        <w:t xml:space="preserve">, O. M., &amp; </w:t>
      </w:r>
      <w:proofErr w:type="spellStart"/>
      <w:r w:rsidRPr="0004019A">
        <w:rPr>
          <w:rFonts w:ascii="Arial" w:hAnsi="Arial" w:cs="Arial"/>
          <w:highlight w:val="yellow"/>
        </w:rPr>
        <w:t>Okekunle</w:t>
      </w:r>
      <w:proofErr w:type="spellEnd"/>
      <w:r w:rsidRPr="0004019A">
        <w:rPr>
          <w:rFonts w:ascii="Arial" w:hAnsi="Arial" w:cs="Arial"/>
          <w:highlight w:val="yellow"/>
        </w:rPr>
        <w:t>, A. P. (2020). Substance use among university students: A cross-sectional survey of a Nigerian private university. BMC Public Health, 20(1), 1–10. https://doi.org/10.1186/s12889-020-09331-z</w:t>
      </w:r>
    </w:p>
    <w:p w:rsidR="0072364A" w:rsidRDefault="00183ECA">
      <w:pPr>
        <w:autoSpaceDE w:val="0"/>
        <w:autoSpaceDN w:val="0"/>
        <w:adjustRightInd w:val="0"/>
        <w:spacing w:before="120" w:after="0"/>
        <w:ind w:left="720" w:hanging="720"/>
        <w:jc w:val="both"/>
        <w:rPr>
          <w:rFonts w:ascii="Arial" w:hAnsi="Arial" w:cs="Arial"/>
        </w:rPr>
      </w:pPr>
      <w:proofErr w:type="spellStart"/>
      <w:r>
        <w:rPr>
          <w:rFonts w:ascii="Arial" w:hAnsi="Arial" w:cs="Arial"/>
        </w:rPr>
        <w:t>Aromataris</w:t>
      </w:r>
      <w:proofErr w:type="spellEnd"/>
      <w:r>
        <w:rPr>
          <w:rFonts w:ascii="Arial" w:hAnsi="Arial" w:cs="Arial"/>
        </w:rPr>
        <w:t xml:space="preserve">, E., Fernandez, R., Godfrey, C. M., Holly, C., Khalil, H., &amp; </w:t>
      </w:r>
      <w:proofErr w:type="spellStart"/>
      <w:r>
        <w:rPr>
          <w:rFonts w:ascii="Arial" w:hAnsi="Arial" w:cs="Arial"/>
        </w:rPr>
        <w:t>Tungpunkom</w:t>
      </w:r>
      <w:proofErr w:type="spellEnd"/>
      <w:r>
        <w:rPr>
          <w:rFonts w:ascii="Arial" w:hAnsi="Arial" w:cs="Arial"/>
        </w:rPr>
        <w:t>, P. (2015). Summarizing systematic reviews: Methodological development, conduct and reporting of an umbrella review approach. International Journal of Evidence-Based Healthcare, 13(3), 132–140. https://doi.org/10.1097/XEB.0000000000000055</w:t>
      </w:r>
    </w:p>
    <w:p w:rsidR="0072364A" w:rsidRDefault="00183ECA">
      <w:pPr>
        <w:autoSpaceDE w:val="0"/>
        <w:autoSpaceDN w:val="0"/>
        <w:adjustRightInd w:val="0"/>
        <w:spacing w:before="120" w:after="0"/>
        <w:ind w:left="720" w:hanging="720"/>
        <w:jc w:val="both"/>
        <w:rPr>
          <w:rFonts w:ascii="Arial" w:hAnsi="Arial" w:cs="Arial"/>
        </w:rPr>
      </w:pPr>
      <w:proofErr w:type="spellStart"/>
      <w:r>
        <w:rPr>
          <w:rFonts w:ascii="Arial" w:hAnsi="Arial" w:cs="Arial"/>
        </w:rPr>
        <w:t>Barerah</w:t>
      </w:r>
      <w:proofErr w:type="spellEnd"/>
      <w:r>
        <w:rPr>
          <w:rFonts w:ascii="Arial" w:hAnsi="Arial" w:cs="Arial"/>
        </w:rPr>
        <w:t>, S. (2018). Forms of drugs abused and their effects. Alcoholism and Drug Abuse Weekly, 1, 13–19.</w:t>
      </w:r>
    </w:p>
    <w:p w:rsidR="0072364A" w:rsidRDefault="00183ECA">
      <w:pPr>
        <w:autoSpaceDE w:val="0"/>
        <w:autoSpaceDN w:val="0"/>
        <w:adjustRightInd w:val="0"/>
        <w:spacing w:before="120" w:after="0"/>
        <w:ind w:left="720" w:hanging="720"/>
        <w:jc w:val="both"/>
        <w:rPr>
          <w:rFonts w:ascii="Arial" w:hAnsi="Arial" w:cs="Arial"/>
        </w:rPr>
      </w:pPr>
      <w:proofErr w:type="spellStart"/>
      <w:r>
        <w:rPr>
          <w:rFonts w:ascii="Arial" w:hAnsi="Arial" w:cs="Arial"/>
        </w:rPr>
        <w:t>Bramer</w:t>
      </w:r>
      <w:proofErr w:type="spellEnd"/>
      <w:r>
        <w:rPr>
          <w:rFonts w:ascii="Arial" w:hAnsi="Arial" w:cs="Arial"/>
        </w:rPr>
        <w:t xml:space="preserve">, W. M., </w:t>
      </w:r>
      <w:proofErr w:type="spellStart"/>
      <w:r>
        <w:rPr>
          <w:rFonts w:ascii="Arial" w:hAnsi="Arial" w:cs="Arial"/>
        </w:rPr>
        <w:t>Rethlefsen</w:t>
      </w:r>
      <w:proofErr w:type="spellEnd"/>
      <w:r>
        <w:rPr>
          <w:rFonts w:ascii="Arial" w:hAnsi="Arial" w:cs="Arial"/>
        </w:rPr>
        <w:t xml:space="preserve">, M. L., </w:t>
      </w:r>
      <w:proofErr w:type="spellStart"/>
      <w:r>
        <w:rPr>
          <w:rFonts w:ascii="Arial" w:hAnsi="Arial" w:cs="Arial"/>
        </w:rPr>
        <w:t>Kleijnen</w:t>
      </w:r>
      <w:proofErr w:type="spellEnd"/>
      <w:r>
        <w:rPr>
          <w:rFonts w:ascii="Arial" w:hAnsi="Arial" w:cs="Arial"/>
        </w:rPr>
        <w:t>, J., &amp; Franco, O. H. (2017). Optimal database combinations for literature searches in systematic reviews: A prospective exploratory study. Systematic Reviews, 6, Article 245. https://doi.org/10.1186/s13643-017-0644-y</w:t>
      </w:r>
    </w:p>
    <w:p w:rsidR="0072364A" w:rsidRDefault="00183ECA">
      <w:pPr>
        <w:autoSpaceDE w:val="0"/>
        <w:autoSpaceDN w:val="0"/>
        <w:adjustRightInd w:val="0"/>
        <w:spacing w:before="120" w:after="0"/>
        <w:ind w:left="720" w:hanging="720"/>
        <w:jc w:val="both"/>
        <w:rPr>
          <w:rFonts w:ascii="Arial" w:hAnsi="Arial" w:cs="Arial"/>
        </w:rPr>
      </w:pPr>
      <w:proofErr w:type="spellStart"/>
      <w:r>
        <w:rPr>
          <w:rFonts w:ascii="Arial" w:hAnsi="Arial" w:cs="Arial"/>
        </w:rPr>
        <w:t>Chikere</w:t>
      </w:r>
      <w:proofErr w:type="spellEnd"/>
      <w:r>
        <w:rPr>
          <w:rFonts w:ascii="Arial" w:hAnsi="Arial" w:cs="Arial"/>
        </w:rPr>
        <w:t>, E. I., &amp; Mayowa, M. O. (2011). Prevalence and perceived health effects of alcohol use among male undergraduate students in Owerri, South-East Nigeria: A descriptive cross-sectional study. BMC Public Health, 11, Article 118. https://doi.org/10.1186/1471-2458-11-118</w:t>
      </w:r>
    </w:p>
    <w:p w:rsidR="0072364A" w:rsidRDefault="00183ECA">
      <w:pPr>
        <w:autoSpaceDE w:val="0"/>
        <w:autoSpaceDN w:val="0"/>
        <w:adjustRightInd w:val="0"/>
        <w:spacing w:before="120" w:after="0"/>
        <w:ind w:left="720" w:hanging="720"/>
        <w:jc w:val="both"/>
        <w:rPr>
          <w:rFonts w:ascii="Arial" w:hAnsi="Arial" w:cs="Arial"/>
        </w:rPr>
      </w:pPr>
      <w:r>
        <w:rPr>
          <w:rFonts w:ascii="Arial" w:hAnsi="Arial" w:cs="Arial"/>
        </w:rPr>
        <w:t>Cooper, H., Hedges, L. V., &amp; Valentine, J. C. (Eds.). (2018). The handbook of research synthesis and meta-analysis (3rd ed.). Russell Sage Foundation.</w:t>
      </w:r>
    </w:p>
    <w:p w:rsidR="0072364A" w:rsidRDefault="00183ECA">
      <w:pPr>
        <w:autoSpaceDE w:val="0"/>
        <w:autoSpaceDN w:val="0"/>
        <w:adjustRightInd w:val="0"/>
        <w:spacing w:before="120" w:after="0"/>
        <w:ind w:left="720" w:hanging="720"/>
        <w:jc w:val="both"/>
        <w:rPr>
          <w:rFonts w:ascii="Arial" w:hAnsi="Arial" w:cs="Arial"/>
        </w:rPr>
      </w:pPr>
      <w:r>
        <w:rPr>
          <w:rFonts w:ascii="Arial" w:hAnsi="Arial" w:cs="Arial"/>
        </w:rPr>
        <w:t xml:space="preserve">Critical Appraisal Skills </w:t>
      </w:r>
      <w:proofErr w:type="spellStart"/>
      <w:r>
        <w:rPr>
          <w:rFonts w:ascii="Arial" w:hAnsi="Arial" w:cs="Arial"/>
        </w:rPr>
        <w:t>Programme</w:t>
      </w:r>
      <w:proofErr w:type="spellEnd"/>
      <w:r>
        <w:rPr>
          <w:rFonts w:ascii="Arial" w:hAnsi="Arial" w:cs="Arial"/>
        </w:rPr>
        <w:t>. (2018). CASP quantitative checklist. https://casp-uk.net/</w:t>
      </w:r>
    </w:p>
    <w:p w:rsidR="0072364A" w:rsidRDefault="00183ECA">
      <w:pPr>
        <w:autoSpaceDE w:val="0"/>
        <w:autoSpaceDN w:val="0"/>
        <w:adjustRightInd w:val="0"/>
        <w:spacing w:before="120" w:after="0"/>
        <w:ind w:left="720" w:hanging="720"/>
        <w:jc w:val="both"/>
        <w:rPr>
          <w:rFonts w:ascii="Arial" w:hAnsi="Arial" w:cs="Arial"/>
        </w:rPr>
      </w:pPr>
      <w:r>
        <w:rPr>
          <w:rFonts w:ascii="Arial" w:hAnsi="Arial" w:cs="Arial"/>
        </w:rPr>
        <w:t>Daley, D. C. (2013). Family and social aspects of substance use disorders and treatment. Journal of Food and Drug Analysis, 21(Suppl 1), S73–S76. https://doi.org/10.1016/j.jfda.2013.09.038</w:t>
      </w:r>
    </w:p>
    <w:p w:rsidR="0072364A" w:rsidRDefault="00183ECA">
      <w:pPr>
        <w:autoSpaceDE w:val="0"/>
        <w:autoSpaceDN w:val="0"/>
        <w:adjustRightInd w:val="0"/>
        <w:spacing w:before="120" w:after="0"/>
        <w:ind w:left="720" w:hanging="720"/>
        <w:jc w:val="both"/>
        <w:rPr>
          <w:rFonts w:ascii="Arial" w:hAnsi="Arial" w:cs="Arial"/>
        </w:rPr>
      </w:pPr>
      <w:proofErr w:type="spellStart"/>
      <w:r>
        <w:rPr>
          <w:rFonts w:ascii="Arial" w:hAnsi="Arial" w:cs="Arial"/>
        </w:rPr>
        <w:t>Ejikem</w:t>
      </w:r>
      <w:proofErr w:type="spellEnd"/>
      <w:r>
        <w:rPr>
          <w:rFonts w:ascii="Arial" w:hAnsi="Arial" w:cs="Arial"/>
        </w:rPr>
        <w:t xml:space="preserve"> PI, </w:t>
      </w:r>
      <w:proofErr w:type="spellStart"/>
      <w:r>
        <w:rPr>
          <w:rFonts w:ascii="Arial" w:hAnsi="Arial" w:cs="Arial"/>
        </w:rPr>
        <w:t>Ekeleme</w:t>
      </w:r>
      <w:proofErr w:type="spellEnd"/>
      <w:r>
        <w:rPr>
          <w:rFonts w:ascii="Arial" w:hAnsi="Arial" w:cs="Arial"/>
        </w:rPr>
        <w:t xml:space="preserve"> NC, </w:t>
      </w:r>
      <w:proofErr w:type="spellStart"/>
      <w:r>
        <w:rPr>
          <w:rFonts w:ascii="Arial" w:hAnsi="Arial" w:cs="Arial"/>
        </w:rPr>
        <w:t>Uwakwe</w:t>
      </w:r>
      <w:proofErr w:type="spellEnd"/>
      <w:r>
        <w:rPr>
          <w:rFonts w:ascii="Arial" w:hAnsi="Arial" w:cs="Arial"/>
        </w:rPr>
        <w:t xml:space="preserve"> KA, </w:t>
      </w:r>
      <w:proofErr w:type="spellStart"/>
      <w:r>
        <w:rPr>
          <w:rFonts w:ascii="Arial" w:hAnsi="Arial" w:cs="Arial"/>
        </w:rPr>
        <w:t>Iwuoha</w:t>
      </w:r>
      <w:proofErr w:type="spellEnd"/>
      <w:r>
        <w:rPr>
          <w:rFonts w:ascii="Arial" w:hAnsi="Arial" w:cs="Arial"/>
        </w:rPr>
        <w:t xml:space="preserve"> EC. Pattern of Psychoactive Substance Use and its Determinant Factors among Adolescents in Urban and Rural Communities in </w:t>
      </w:r>
      <w:proofErr w:type="spellStart"/>
      <w:r>
        <w:rPr>
          <w:rFonts w:ascii="Arial" w:hAnsi="Arial" w:cs="Arial"/>
        </w:rPr>
        <w:t>Abia</w:t>
      </w:r>
      <w:proofErr w:type="spellEnd"/>
      <w:r>
        <w:rPr>
          <w:rFonts w:ascii="Arial" w:hAnsi="Arial" w:cs="Arial"/>
        </w:rPr>
        <w:t xml:space="preserve"> State, Nigeria: A Cross-Sectional Descriptive Study. Asian Journal of Medicine and Health. 2023 Nov 25;21(11):300-8.</w:t>
      </w:r>
    </w:p>
    <w:p w:rsidR="0072364A" w:rsidRDefault="00183ECA">
      <w:pPr>
        <w:autoSpaceDE w:val="0"/>
        <w:autoSpaceDN w:val="0"/>
        <w:adjustRightInd w:val="0"/>
        <w:spacing w:before="120" w:after="0"/>
        <w:ind w:left="720" w:hanging="720"/>
        <w:jc w:val="both"/>
        <w:rPr>
          <w:rFonts w:ascii="Arial" w:hAnsi="Arial" w:cs="Arial"/>
        </w:rPr>
      </w:pPr>
      <w:r>
        <w:rPr>
          <w:rFonts w:ascii="Arial" w:hAnsi="Arial" w:cs="Arial"/>
        </w:rPr>
        <w:t>European Monitoring Centre for Drugs and Drug Addiction (EMCDDA, 2023). European Drug Report 2023: Trends and Developments. European Monitoring Centre for Drugs and Drug Addiction.</w:t>
      </w:r>
    </w:p>
    <w:p w:rsidR="0072364A" w:rsidRDefault="00183ECA">
      <w:pPr>
        <w:autoSpaceDE w:val="0"/>
        <w:autoSpaceDN w:val="0"/>
        <w:adjustRightInd w:val="0"/>
        <w:spacing w:before="120" w:after="0"/>
        <w:ind w:left="720" w:hanging="720"/>
        <w:jc w:val="both"/>
        <w:rPr>
          <w:rFonts w:ascii="Arial" w:hAnsi="Arial" w:cs="Arial"/>
        </w:rPr>
      </w:pPr>
      <w:proofErr w:type="spellStart"/>
      <w:r>
        <w:rPr>
          <w:rFonts w:ascii="Arial" w:hAnsi="Arial" w:cs="Arial"/>
        </w:rPr>
        <w:t>Fagbe</w:t>
      </w:r>
      <w:proofErr w:type="spellEnd"/>
      <w:r>
        <w:rPr>
          <w:rFonts w:ascii="Arial" w:hAnsi="Arial" w:cs="Arial"/>
        </w:rPr>
        <w:t xml:space="preserve">, A. O. (2019). Information </w:t>
      </w:r>
      <w:proofErr w:type="spellStart"/>
      <w:r>
        <w:rPr>
          <w:rFonts w:ascii="Arial" w:hAnsi="Arial" w:cs="Arial"/>
        </w:rPr>
        <w:t>behaviour</w:t>
      </w:r>
      <w:proofErr w:type="spellEnd"/>
      <w:r>
        <w:rPr>
          <w:rFonts w:ascii="Arial" w:hAnsi="Arial" w:cs="Arial"/>
        </w:rPr>
        <w:t xml:space="preserve"> and substance use among undergraduates in Babcock University, Ogun State, Nigeria. European Journal of Psychological Research, 6, 2057–4794.</w:t>
      </w:r>
    </w:p>
    <w:p w:rsidR="0072364A" w:rsidRDefault="00183ECA">
      <w:pPr>
        <w:autoSpaceDE w:val="0"/>
        <w:autoSpaceDN w:val="0"/>
        <w:adjustRightInd w:val="0"/>
        <w:spacing w:before="120" w:after="0"/>
        <w:ind w:left="720" w:hanging="720"/>
        <w:jc w:val="both"/>
        <w:rPr>
          <w:rFonts w:ascii="Arial" w:hAnsi="Arial" w:cs="Arial"/>
        </w:rPr>
      </w:pPr>
      <w:proofErr w:type="spellStart"/>
      <w:r>
        <w:rPr>
          <w:rFonts w:ascii="Arial" w:hAnsi="Arial" w:cs="Arial"/>
        </w:rPr>
        <w:t>Gopiram</w:t>
      </w:r>
      <w:proofErr w:type="spellEnd"/>
      <w:r>
        <w:rPr>
          <w:rFonts w:ascii="Arial" w:hAnsi="Arial" w:cs="Arial"/>
        </w:rPr>
        <w:t xml:space="preserve">, P., &amp; Kishore, M. T. (2014). Psychosocial attributes of Substance </w:t>
      </w:r>
      <w:proofErr w:type="spellStart"/>
      <w:r>
        <w:rPr>
          <w:rFonts w:ascii="Arial" w:hAnsi="Arial" w:cs="Arial"/>
        </w:rPr>
        <w:t>useamong</w:t>
      </w:r>
      <w:proofErr w:type="spellEnd"/>
      <w:r>
        <w:rPr>
          <w:rFonts w:ascii="Arial" w:hAnsi="Arial" w:cs="Arial"/>
        </w:rPr>
        <w:t xml:space="preserve"> adolescents and young adults: A comparative study of users and non-users. Indian Journal of Psychological Medicine, 36(1), 58–61. https://doi.org/10.4103/0253-7176.127252</w:t>
      </w:r>
    </w:p>
    <w:p w:rsidR="0072364A" w:rsidRDefault="00183ECA">
      <w:pPr>
        <w:autoSpaceDE w:val="0"/>
        <w:autoSpaceDN w:val="0"/>
        <w:adjustRightInd w:val="0"/>
        <w:spacing w:before="120" w:after="0"/>
        <w:ind w:left="720" w:hanging="720"/>
        <w:jc w:val="both"/>
        <w:rPr>
          <w:rFonts w:ascii="Arial" w:hAnsi="Arial" w:cs="Arial"/>
        </w:rPr>
      </w:pPr>
      <w:r>
        <w:rPr>
          <w:rFonts w:ascii="Arial" w:hAnsi="Arial" w:cs="Arial"/>
        </w:rPr>
        <w:t xml:space="preserve">Gore, F. M., </w:t>
      </w:r>
      <w:proofErr w:type="spellStart"/>
      <w:r>
        <w:rPr>
          <w:rFonts w:ascii="Arial" w:hAnsi="Arial" w:cs="Arial"/>
        </w:rPr>
        <w:t>Bloem</w:t>
      </w:r>
      <w:proofErr w:type="spellEnd"/>
      <w:r>
        <w:rPr>
          <w:rFonts w:ascii="Arial" w:hAnsi="Arial" w:cs="Arial"/>
        </w:rPr>
        <w:t>, P. J., Patton, G. C., Ferguson, J., Joseph, V., Coffey, C., et al. (2011). Global burden of disease in young people aged 10–24 years: A systematic analysis. The Lancet, 377(9783), 2093–2102. https://doi.org/10.1016/S0140-6736(11)60512-6</w:t>
      </w:r>
    </w:p>
    <w:p w:rsidR="0072364A" w:rsidRDefault="00183ECA">
      <w:pPr>
        <w:autoSpaceDE w:val="0"/>
        <w:autoSpaceDN w:val="0"/>
        <w:adjustRightInd w:val="0"/>
        <w:spacing w:before="120" w:after="0"/>
        <w:ind w:left="720" w:hanging="720"/>
        <w:jc w:val="both"/>
        <w:rPr>
          <w:rFonts w:ascii="Arial" w:hAnsi="Arial" w:cs="Arial"/>
        </w:rPr>
      </w:pPr>
      <w:r>
        <w:rPr>
          <w:rFonts w:ascii="Arial" w:hAnsi="Arial" w:cs="Arial"/>
        </w:rPr>
        <w:t xml:space="preserve">Higgins, J. P. T., Thomas, J., Chandler, J., </w:t>
      </w:r>
      <w:proofErr w:type="spellStart"/>
      <w:r>
        <w:rPr>
          <w:rFonts w:ascii="Arial" w:hAnsi="Arial" w:cs="Arial"/>
        </w:rPr>
        <w:t>Cumpston</w:t>
      </w:r>
      <w:proofErr w:type="spellEnd"/>
      <w:r>
        <w:rPr>
          <w:rFonts w:ascii="Arial" w:hAnsi="Arial" w:cs="Arial"/>
        </w:rPr>
        <w:t>, M., Li, T., Page, M. J., &amp; Welch, V. A. (Eds.). (2019). Cochrane handbook for systematic reviews of interventions (2nd ed.). Wiley. https://doi.org/10.1002/9781119536604</w:t>
      </w:r>
    </w:p>
    <w:p w:rsidR="0072364A" w:rsidRDefault="00183ECA">
      <w:pPr>
        <w:autoSpaceDE w:val="0"/>
        <w:autoSpaceDN w:val="0"/>
        <w:adjustRightInd w:val="0"/>
        <w:spacing w:before="120" w:after="0"/>
        <w:ind w:left="720" w:hanging="720"/>
        <w:jc w:val="both"/>
        <w:rPr>
          <w:rFonts w:ascii="Arial" w:hAnsi="Arial" w:cs="Arial"/>
        </w:rPr>
      </w:pPr>
      <w:r>
        <w:rPr>
          <w:rFonts w:ascii="Arial" w:hAnsi="Arial" w:cs="Arial"/>
        </w:rPr>
        <w:t xml:space="preserve">Higgins, J. P. T., Thomas, J., Chandler, J., </w:t>
      </w:r>
      <w:proofErr w:type="spellStart"/>
      <w:r>
        <w:rPr>
          <w:rFonts w:ascii="Arial" w:hAnsi="Arial" w:cs="Arial"/>
        </w:rPr>
        <w:t>Cumpston</w:t>
      </w:r>
      <w:proofErr w:type="spellEnd"/>
      <w:r>
        <w:rPr>
          <w:rFonts w:ascii="Arial" w:hAnsi="Arial" w:cs="Arial"/>
        </w:rPr>
        <w:t>, M., Li, T., Page, M. J., &amp; Welch, V. A. (Eds.). (2022). Cochrane handbook for systematic reviews of interventions (2nd ed.). Wiley.</w:t>
      </w:r>
    </w:p>
    <w:p w:rsidR="0072364A" w:rsidRDefault="00183ECA">
      <w:pPr>
        <w:autoSpaceDE w:val="0"/>
        <w:autoSpaceDN w:val="0"/>
        <w:adjustRightInd w:val="0"/>
        <w:spacing w:before="120" w:after="0"/>
        <w:ind w:left="720" w:hanging="720"/>
        <w:jc w:val="both"/>
        <w:rPr>
          <w:rFonts w:ascii="Arial" w:hAnsi="Arial" w:cs="Arial"/>
        </w:rPr>
      </w:pPr>
      <w:r>
        <w:rPr>
          <w:rFonts w:ascii="Arial" w:hAnsi="Arial" w:cs="Arial"/>
        </w:rPr>
        <w:t xml:space="preserve">Hong, Q. N., </w:t>
      </w:r>
      <w:proofErr w:type="spellStart"/>
      <w:r>
        <w:rPr>
          <w:rFonts w:ascii="Arial" w:hAnsi="Arial" w:cs="Arial"/>
        </w:rPr>
        <w:t>Fàbregues</w:t>
      </w:r>
      <w:proofErr w:type="spellEnd"/>
      <w:r>
        <w:rPr>
          <w:rFonts w:ascii="Arial" w:hAnsi="Arial" w:cs="Arial"/>
        </w:rPr>
        <w:t xml:space="preserve">, S., Bartlett, G., Boardman, F., Cargo, M., </w:t>
      </w:r>
      <w:proofErr w:type="spellStart"/>
      <w:r>
        <w:rPr>
          <w:rFonts w:ascii="Arial" w:hAnsi="Arial" w:cs="Arial"/>
        </w:rPr>
        <w:t>Dagenais</w:t>
      </w:r>
      <w:proofErr w:type="spellEnd"/>
      <w:r>
        <w:rPr>
          <w:rFonts w:ascii="Arial" w:hAnsi="Arial" w:cs="Arial"/>
        </w:rPr>
        <w:t xml:space="preserve">, P., et al. (2018). The Mixed Methods Appraisal Tool (MMAT) version 2018 for information professionals and researchers. Education for Information, 34(4), 285–291. </w:t>
      </w:r>
      <w:hyperlink r:id="rId15" w:history="1">
        <w:r>
          <w:rPr>
            <w:rStyle w:val="Hyperlink"/>
            <w:rFonts w:ascii="Arial" w:hAnsi="Arial" w:cs="Arial"/>
          </w:rPr>
          <w:t>https://doi.org/10.3233/EFI-180221</w:t>
        </w:r>
      </w:hyperlink>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Idowu, A., </w:t>
      </w:r>
      <w:proofErr w:type="spellStart"/>
      <w:r>
        <w:rPr>
          <w:rFonts w:ascii="Arial" w:hAnsi="Arial" w:cs="Arial"/>
          <w:sz w:val="24"/>
          <w:szCs w:val="24"/>
          <w:lang w:val="en-GB"/>
        </w:rPr>
        <w:t>Aremu</w:t>
      </w:r>
      <w:proofErr w:type="spellEnd"/>
      <w:r>
        <w:rPr>
          <w:rFonts w:ascii="Arial" w:hAnsi="Arial" w:cs="Arial"/>
          <w:sz w:val="24"/>
          <w:szCs w:val="24"/>
          <w:lang w:val="en-GB"/>
        </w:rPr>
        <w:t xml:space="preserve">, A. O., Olumide, A., &amp; </w:t>
      </w:r>
      <w:proofErr w:type="spellStart"/>
      <w:r>
        <w:rPr>
          <w:rFonts w:ascii="Arial" w:hAnsi="Arial" w:cs="Arial"/>
          <w:sz w:val="24"/>
          <w:szCs w:val="24"/>
          <w:lang w:val="en-GB"/>
        </w:rPr>
        <w:t>Ogunlaja</w:t>
      </w:r>
      <w:proofErr w:type="spellEnd"/>
      <w:r>
        <w:rPr>
          <w:rFonts w:ascii="Arial" w:hAnsi="Arial" w:cs="Arial"/>
          <w:sz w:val="24"/>
          <w:szCs w:val="24"/>
          <w:lang w:val="en-GB"/>
        </w:rPr>
        <w:t xml:space="preserve">, O. A. (2018). </w:t>
      </w:r>
      <w:r>
        <w:rPr>
          <w:rFonts w:ascii="Arial" w:hAnsi="Arial" w:cs="Arial"/>
          <w:sz w:val="24"/>
          <w:szCs w:val="24"/>
        </w:rPr>
        <w:t>Substance use</w:t>
      </w:r>
      <w:r>
        <w:rPr>
          <w:rFonts w:ascii="Arial" w:hAnsi="Arial" w:cs="Arial"/>
          <w:sz w:val="24"/>
          <w:szCs w:val="24"/>
          <w:lang w:val="en-GB"/>
        </w:rPr>
        <w:t>among students in selected secondary schools of an urban community of Oyo State, South West Nigeria: Implication for policy action. African Health Sciences, 18(3), 776–785. https://doi.org/10.4314/ahs.v18i3.33</w:t>
      </w:r>
    </w:p>
    <w:p w:rsidR="0072364A" w:rsidRDefault="00183ECA">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Jaguga</w:t>
      </w:r>
      <w:proofErr w:type="spellEnd"/>
      <w:r>
        <w:rPr>
          <w:rFonts w:ascii="Arial" w:hAnsi="Arial" w:cs="Arial"/>
          <w:sz w:val="24"/>
          <w:szCs w:val="24"/>
          <w:lang w:val="en-GB"/>
        </w:rPr>
        <w:t xml:space="preserve">, F., </w:t>
      </w:r>
      <w:proofErr w:type="spellStart"/>
      <w:r>
        <w:rPr>
          <w:rFonts w:ascii="Arial" w:hAnsi="Arial" w:cs="Arial"/>
          <w:sz w:val="24"/>
          <w:szCs w:val="24"/>
          <w:lang w:val="en-GB"/>
        </w:rPr>
        <w:t>Kiburi</w:t>
      </w:r>
      <w:proofErr w:type="spellEnd"/>
      <w:r>
        <w:rPr>
          <w:rFonts w:ascii="Arial" w:hAnsi="Arial" w:cs="Arial"/>
          <w:sz w:val="24"/>
          <w:szCs w:val="24"/>
          <w:lang w:val="en-GB"/>
        </w:rPr>
        <w:t xml:space="preserve">, S. K., </w:t>
      </w:r>
      <w:proofErr w:type="spellStart"/>
      <w:r>
        <w:rPr>
          <w:rFonts w:ascii="Arial" w:hAnsi="Arial" w:cs="Arial"/>
          <w:sz w:val="24"/>
          <w:szCs w:val="24"/>
          <w:lang w:val="en-GB"/>
        </w:rPr>
        <w:t>Temet</w:t>
      </w:r>
      <w:proofErr w:type="spellEnd"/>
      <w:r>
        <w:rPr>
          <w:rFonts w:ascii="Arial" w:hAnsi="Arial" w:cs="Arial"/>
          <w:sz w:val="24"/>
          <w:szCs w:val="24"/>
          <w:lang w:val="en-GB"/>
        </w:rPr>
        <w:t xml:space="preserve">, E., </w:t>
      </w:r>
      <w:proofErr w:type="spellStart"/>
      <w:r>
        <w:rPr>
          <w:rFonts w:ascii="Arial" w:hAnsi="Arial" w:cs="Arial"/>
          <w:sz w:val="24"/>
          <w:szCs w:val="24"/>
          <w:lang w:val="en-GB"/>
        </w:rPr>
        <w:t>Barasa</w:t>
      </w:r>
      <w:proofErr w:type="spellEnd"/>
      <w:r>
        <w:rPr>
          <w:rFonts w:ascii="Arial" w:hAnsi="Arial" w:cs="Arial"/>
          <w:sz w:val="24"/>
          <w:szCs w:val="24"/>
          <w:lang w:val="en-GB"/>
        </w:rPr>
        <w:t>, J., Karanja, S., Kinyua, L., et al. (2022). A systematic review of substance use and substance use disorder research in Kenya. PLOS ONE, 17(8), e0269340. https://doi.org/10.1371/journal.pone.0269340</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JBI. (2014). Joanna Briggs Institute Reviewers’ Manual: 2014 edition/Supplement. The Joanna Briggs Institute. https://jbi.global/sites/default/files/2019-05/JBIReviewersManual2014.pdf</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Jere, D. L., </w:t>
      </w:r>
      <w:proofErr w:type="spellStart"/>
      <w:r>
        <w:rPr>
          <w:rFonts w:ascii="Arial" w:hAnsi="Arial" w:cs="Arial"/>
          <w:sz w:val="24"/>
          <w:szCs w:val="24"/>
          <w:lang w:val="en-GB"/>
        </w:rPr>
        <w:t>Norr</w:t>
      </w:r>
      <w:proofErr w:type="spellEnd"/>
      <w:r>
        <w:rPr>
          <w:rFonts w:ascii="Arial" w:hAnsi="Arial" w:cs="Arial"/>
          <w:sz w:val="24"/>
          <w:szCs w:val="24"/>
          <w:lang w:val="en-GB"/>
        </w:rPr>
        <w:t xml:space="preserve">, K. F., Bell, C. C., Corte, C., Dancy, B. L., </w:t>
      </w:r>
      <w:proofErr w:type="spellStart"/>
      <w:r>
        <w:rPr>
          <w:rFonts w:ascii="Arial" w:hAnsi="Arial" w:cs="Arial"/>
          <w:sz w:val="24"/>
          <w:szCs w:val="24"/>
          <w:lang w:val="en-GB"/>
        </w:rPr>
        <w:t>Kaponda</w:t>
      </w:r>
      <w:proofErr w:type="spellEnd"/>
      <w:r>
        <w:rPr>
          <w:rFonts w:ascii="Arial" w:hAnsi="Arial" w:cs="Arial"/>
          <w:sz w:val="24"/>
          <w:szCs w:val="24"/>
          <w:lang w:val="en-GB"/>
        </w:rPr>
        <w:t xml:space="preserve">, C. P. N., et al. (2017). Substance use and risky sexual </w:t>
      </w:r>
      <w:proofErr w:type="spellStart"/>
      <w:r>
        <w:rPr>
          <w:rFonts w:ascii="Arial" w:hAnsi="Arial" w:cs="Arial"/>
          <w:sz w:val="24"/>
          <w:szCs w:val="24"/>
          <w:lang w:val="en-GB"/>
        </w:rPr>
        <w:t>behaviors</w:t>
      </w:r>
      <w:proofErr w:type="spellEnd"/>
      <w:r>
        <w:rPr>
          <w:rFonts w:ascii="Arial" w:hAnsi="Arial" w:cs="Arial"/>
          <w:sz w:val="24"/>
          <w:szCs w:val="24"/>
          <w:lang w:val="en-GB"/>
        </w:rPr>
        <w:t xml:space="preserve"> among young men working at a rural roadside market in Malawi. Journal of the Association of Nurses in AIDS Care, 28(2), 280–290. https://journals.lww.com/janac/fulltext/2017/03000/substance_use_and_risky_sexual_behaviors_among.7.aspx</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Johnston, L. D., O’Malley, P. M., </w:t>
      </w:r>
      <w:proofErr w:type="spellStart"/>
      <w:r>
        <w:rPr>
          <w:rFonts w:ascii="Arial" w:hAnsi="Arial" w:cs="Arial"/>
          <w:sz w:val="24"/>
          <w:szCs w:val="24"/>
          <w:lang w:val="en-GB"/>
        </w:rPr>
        <w:t>Miech</w:t>
      </w:r>
      <w:proofErr w:type="spellEnd"/>
      <w:r>
        <w:rPr>
          <w:rFonts w:ascii="Arial" w:hAnsi="Arial" w:cs="Arial"/>
          <w:sz w:val="24"/>
          <w:szCs w:val="24"/>
          <w:lang w:val="en-GB"/>
        </w:rPr>
        <w:t>, R. A., Bachman, J. G., &amp; Schulenberg, J. E. (2022). Monitoring the Future national survey results on drug use, 1975–2021: College students and adults ages 19–60. University of Michigan, Institute for Social Research. https://www.monitoringthefuture.org</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Moher, D., </w:t>
      </w:r>
      <w:proofErr w:type="spellStart"/>
      <w:r>
        <w:rPr>
          <w:rFonts w:ascii="Arial" w:hAnsi="Arial" w:cs="Arial"/>
          <w:sz w:val="24"/>
          <w:szCs w:val="24"/>
          <w:lang w:val="en-GB"/>
        </w:rPr>
        <w:t>Shamseer</w:t>
      </w:r>
      <w:proofErr w:type="spellEnd"/>
      <w:r>
        <w:rPr>
          <w:rFonts w:ascii="Arial" w:hAnsi="Arial" w:cs="Arial"/>
          <w:sz w:val="24"/>
          <w:szCs w:val="24"/>
          <w:lang w:val="en-GB"/>
        </w:rPr>
        <w:t xml:space="preserve">, L., Clarke, M., </w:t>
      </w:r>
      <w:proofErr w:type="spellStart"/>
      <w:r>
        <w:rPr>
          <w:rFonts w:ascii="Arial" w:hAnsi="Arial" w:cs="Arial"/>
          <w:sz w:val="24"/>
          <w:szCs w:val="24"/>
          <w:lang w:val="en-GB"/>
        </w:rPr>
        <w:t>Ghersi</w:t>
      </w:r>
      <w:proofErr w:type="spellEnd"/>
      <w:r>
        <w:rPr>
          <w:rFonts w:ascii="Arial" w:hAnsi="Arial" w:cs="Arial"/>
          <w:sz w:val="24"/>
          <w:szCs w:val="24"/>
          <w:lang w:val="en-GB"/>
        </w:rPr>
        <w:t xml:space="preserve">, D., </w:t>
      </w:r>
      <w:proofErr w:type="spellStart"/>
      <w:r>
        <w:rPr>
          <w:rFonts w:ascii="Arial" w:hAnsi="Arial" w:cs="Arial"/>
          <w:sz w:val="24"/>
          <w:szCs w:val="24"/>
          <w:lang w:val="en-GB"/>
        </w:rPr>
        <w:t>Liberati</w:t>
      </w:r>
      <w:proofErr w:type="spellEnd"/>
      <w:r>
        <w:rPr>
          <w:rFonts w:ascii="Arial" w:hAnsi="Arial" w:cs="Arial"/>
          <w:sz w:val="24"/>
          <w:szCs w:val="24"/>
          <w:lang w:val="en-GB"/>
        </w:rPr>
        <w:t xml:space="preserve">, A., </w:t>
      </w:r>
      <w:proofErr w:type="spellStart"/>
      <w:r>
        <w:rPr>
          <w:rFonts w:ascii="Arial" w:hAnsi="Arial" w:cs="Arial"/>
          <w:sz w:val="24"/>
          <w:szCs w:val="24"/>
          <w:lang w:val="en-GB"/>
        </w:rPr>
        <w:t>Petticrew</w:t>
      </w:r>
      <w:proofErr w:type="spellEnd"/>
      <w:r>
        <w:rPr>
          <w:rFonts w:ascii="Arial" w:hAnsi="Arial" w:cs="Arial"/>
          <w:sz w:val="24"/>
          <w:szCs w:val="24"/>
          <w:lang w:val="en-GB"/>
        </w:rPr>
        <w:t>, M., et al. (2015). Preferred reporting items for systematic review and meta-analysis protocols (PRISMA-P) 2015 statement. Systematic Reviews, 4(1), Article 1. https://doi.org/10.1186/2046-4053-4-1</w:t>
      </w:r>
    </w:p>
    <w:p w:rsidR="0072364A" w:rsidRDefault="00183ECA">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Mulye</w:t>
      </w:r>
      <w:proofErr w:type="spellEnd"/>
      <w:r>
        <w:rPr>
          <w:rFonts w:ascii="Arial" w:hAnsi="Arial" w:cs="Arial"/>
          <w:sz w:val="24"/>
          <w:szCs w:val="24"/>
          <w:lang w:val="en-GB"/>
        </w:rPr>
        <w:t xml:space="preserve">, T. P., Park, M. J., Nelson, C. D., Adams, S. H., Irwin, C. E., Jr., &amp; </w:t>
      </w:r>
      <w:proofErr w:type="spellStart"/>
      <w:r>
        <w:rPr>
          <w:rFonts w:ascii="Arial" w:hAnsi="Arial" w:cs="Arial"/>
          <w:sz w:val="24"/>
          <w:szCs w:val="24"/>
          <w:lang w:val="en-GB"/>
        </w:rPr>
        <w:t>Brindis</w:t>
      </w:r>
      <w:proofErr w:type="spellEnd"/>
      <w:r>
        <w:rPr>
          <w:rFonts w:ascii="Arial" w:hAnsi="Arial" w:cs="Arial"/>
          <w:sz w:val="24"/>
          <w:szCs w:val="24"/>
          <w:lang w:val="en-GB"/>
        </w:rPr>
        <w:t>, C. D. (2009). Trends in adolescent and young adult health in the United States. Journal of Adolescent Health, 45(1), 8–24. https://doi.org/10.1016/j.jadohealth.2009.03.013</w:t>
      </w:r>
    </w:p>
    <w:p w:rsidR="0072364A" w:rsidRDefault="00183ECA">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Mutepfa</w:t>
      </w:r>
      <w:proofErr w:type="spellEnd"/>
      <w:r>
        <w:rPr>
          <w:rFonts w:ascii="Arial" w:hAnsi="Arial" w:cs="Arial"/>
          <w:sz w:val="24"/>
          <w:szCs w:val="24"/>
          <w:lang w:val="en-GB"/>
        </w:rPr>
        <w:t>, M. (2021). Substance use and misuse in sub-Saharan Africa: Trends, intervention, and policy. Springer. https://doi.org/10.1007/978-3-030-85732-5</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National Drug Law Enforcement Agency (NDLEA). (2022). Nigeria drug use survey: Summary of key findings. NDLEA, Abuja, Nigeria.</w:t>
      </w:r>
    </w:p>
    <w:p w:rsidR="0072364A" w:rsidRDefault="00183ECA">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Nawi</w:t>
      </w:r>
      <w:proofErr w:type="spellEnd"/>
      <w:r>
        <w:rPr>
          <w:rFonts w:ascii="Arial" w:hAnsi="Arial" w:cs="Arial"/>
          <w:sz w:val="24"/>
          <w:szCs w:val="24"/>
          <w:lang w:val="en-GB"/>
        </w:rPr>
        <w:t xml:space="preserve">, A. M., Ismail, R., Ibrahim, F., Hassan, M. R., </w:t>
      </w:r>
      <w:proofErr w:type="spellStart"/>
      <w:r>
        <w:rPr>
          <w:rFonts w:ascii="Arial" w:hAnsi="Arial" w:cs="Arial"/>
          <w:sz w:val="24"/>
          <w:szCs w:val="24"/>
          <w:lang w:val="en-GB"/>
        </w:rPr>
        <w:t>Manaf</w:t>
      </w:r>
      <w:proofErr w:type="spellEnd"/>
      <w:r>
        <w:rPr>
          <w:rFonts w:ascii="Arial" w:hAnsi="Arial" w:cs="Arial"/>
          <w:sz w:val="24"/>
          <w:szCs w:val="24"/>
          <w:lang w:val="en-GB"/>
        </w:rPr>
        <w:t>, M. R. A., Amit, N., et al. (2021). Risk and protective factors of drug abuse among adolescents: A systematic review. BMC Public Health, 21, Article 2088. https://doi.org/10.1186/s12889-021-11906-2</w:t>
      </w:r>
    </w:p>
    <w:p w:rsidR="0072364A" w:rsidRDefault="00183ECA">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Ngwu</w:t>
      </w:r>
      <w:proofErr w:type="spellEnd"/>
      <w:r>
        <w:rPr>
          <w:rFonts w:ascii="Arial" w:hAnsi="Arial" w:cs="Arial"/>
          <w:sz w:val="24"/>
          <w:szCs w:val="24"/>
          <w:lang w:val="en-GB"/>
        </w:rPr>
        <w:t xml:space="preserve">, A. N., </w:t>
      </w:r>
      <w:proofErr w:type="spellStart"/>
      <w:r>
        <w:rPr>
          <w:rFonts w:ascii="Arial" w:hAnsi="Arial" w:cs="Arial"/>
          <w:sz w:val="24"/>
          <w:szCs w:val="24"/>
          <w:lang w:val="en-GB"/>
        </w:rPr>
        <w:t>Aniaku</w:t>
      </w:r>
      <w:proofErr w:type="spellEnd"/>
      <w:r>
        <w:rPr>
          <w:rFonts w:ascii="Arial" w:hAnsi="Arial" w:cs="Arial"/>
          <w:sz w:val="24"/>
          <w:szCs w:val="24"/>
          <w:lang w:val="en-GB"/>
        </w:rPr>
        <w:t xml:space="preserve">, O. L., Nwankwo, A. L., </w:t>
      </w:r>
      <w:proofErr w:type="spellStart"/>
      <w:r>
        <w:rPr>
          <w:rFonts w:ascii="Arial" w:hAnsi="Arial" w:cs="Arial"/>
          <w:sz w:val="24"/>
          <w:szCs w:val="24"/>
          <w:lang w:val="en-GB"/>
        </w:rPr>
        <w:t>Ukah</w:t>
      </w:r>
      <w:proofErr w:type="spellEnd"/>
      <w:r>
        <w:rPr>
          <w:rFonts w:ascii="Arial" w:hAnsi="Arial" w:cs="Arial"/>
          <w:sz w:val="24"/>
          <w:szCs w:val="24"/>
          <w:lang w:val="en-GB"/>
        </w:rPr>
        <w:t xml:space="preserve">, V. I., </w:t>
      </w:r>
      <w:proofErr w:type="spellStart"/>
      <w:r>
        <w:rPr>
          <w:rFonts w:ascii="Arial" w:hAnsi="Arial" w:cs="Arial"/>
          <w:sz w:val="24"/>
          <w:szCs w:val="24"/>
          <w:lang w:val="en-GB"/>
        </w:rPr>
        <w:t>Ugwu</w:t>
      </w:r>
      <w:proofErr w:type="spellEnd"/>
      <w:r>
        <w:rPr>
          <w:rFonts w:ascii="Arial" w:hAnsi="Arial" w:cs="Arial"/>
          <w:sz w:val="24"/>
          <w:szCs w:val="24"/>
          <w:lang w:val="en-GB"/>
        </w:rPr>
        <w:t xml:space="preserve">, C. B. A., </w:t>
      </w:r>
      <w:proofErr w:type="spellStart"/>
      <w:r>
        <w:rPr>
          <w:rFonts w:ascii="Arial" w:hAnsi="Arial" w:cs="Arial"/>
          <w:sz w:val="24"/>
          <w:szCs w:val="24"/>
          <w:lang w:val="en-GB"/>
        </w:rPr>
        <w:t>Abamuche</w:t>
      </w:r>
      <w:proofErr w:type="spellEnd"/>
      <w:r>
        <w:rPr>
          <w:rFonts w:ascii="Arial" w:hAnsi="Arial" w:cs="Arial"/>
          <w:sz w:val="24"/>
          <w:szCs w:val="24"/>
          <w:lang w:val="en-GB"/>
        </w:rPr>
        <w:t xml:space="preserve">, J. A., </w:t>
      </w:r>
      <w:proofErr w:type="spellStart"/>
      <w:r>
        <w:rPr>
          <w:rFonts w:ascii="Arial" w:hAnsi="Arial" w:cs="Arial"/>
          <w:sz w:val="24"/>
          <w:szCs w:val="24"/>
          <w:lang w:val="en-GB"/>
        </w:rPr>
        <w:t>Aham</w:t>
      </w:r>
      <w:proofErr w:type="spellEnd"/>
      <w:r>
        <w:rPr>
          <w:rFonts w:ascii="Arial" w:hAnsi="Arial" w:cs="Arial"/>
          <w:sz w:val="24"/>
          <w:szCs w:val="24"/>
          <w:lang w:val="en-GB"/>
        </w:rPr>
        <w:t>, C. A., &amp; Okereke, E. I. (2024). Demographic determinants of drug abuse among undergraduate youths in South-Eastern communities in Nigeria. Educational Administration: Theory and Practice, 30(5), 13385–13391.</w:t>
      </w:r>
    </w:p>
    <w:p w:rsidR="0072364A" w:rsidRDefault="00183ECA">
      <w:pPr>
        <w:autoSpaceDE w:val="0"/>
        <w:autoSpaceDN w:val="0"/>
        <w:adjustRightInd w:val="0"/>
        <w:spacing w:before="120" w:after="0"/>
        <w:ind w:left="720" w:hanging="720"/>
        <w:jc w:val="both"/>
        <w:rPr>
          <w:rFonts w:ascii="Arial" w:hAnsi="Arial" w:cs="Arial"/>
          <w:sz w:val="24"/>
          <w:szCs w:val="24"/>
          <w:lang w:val="en-GB"/>
        </w:rPr>
      </w:pPr>
      <w:proofErr w:type="spellStart"/>
      <w:r w:rsidRPr="0004019A">
        <w:rPr>
          <w:rFonts w:ascii="Arial" w:hAnsi="Arial" w:cs="Arial"/>
          <w:sz w:val="24"/>
          <w:szCs w:val="24"/>
          <w:highlight w:val="yellow"/>
          <w:lang w:val="en-GB"/>
        </w:rPr>
        <w:t>Nnebue</w:t>
      </w:r>
      <w:proofErr w:type="spellEnd"/>
      <w:r w:rsidRPr="0004019A">
        <w:rPr>
          <w:rFonts w:ascii="Arial" w:hAnsi="Arial" w:cs="Arial"/>
          <w:sz w:val="24"/>
          <w:szCs w:val="24"/>
          <w:highlight w:val="yellow"/>
          <w:lang w:val="en-GB"/>
        </w:rPr>
        <w:t xml:space="preserve">, C., </w:t>
      </w:r>
      <w:proofErr w:type="spellStart"/>
      <w:r w:rsidRPr="0004019A">
        <w:rPr>
          <w:rFonts w:ascii="Arial" w:hAnsi="Arial" w:cs="Arial"/>
          <w:sz w:val="24"/>
          <w:szCs w:val="24"/>
          <w:highlight w:val="yellow"/>
          <w:lang w:val="en-GB"/>
        </w:rPr>
        <w:t>Chimah</w:t>
      </w:r>
      <w:proofErr w:type="spellEnd"/>
      <w:r w:rsidRPr="0004019A">
        <w:rPr>
          <w:rFonts w:ascii="Arial" w:hAnsi="Arial" w:cs="Arial"/>
          <w:sz w:val="24"/>
          <w:szCs w:val="24"/>
          <w:highlight w:val="yellow"/>
          <w:lang w:val="en-GB"/>
        </w:rPr>
        <w:t xml:space="preserve">, U., </w:t>
      </w:r>
      <w:proofErr w:type="spellStart"/>
      <w:r w:rsidRPr="0004019A">
        <w:rPr>
          <w:rFonts w:ascii="Arial" w:hAnsi="Arial" w:cs="Arial"/>
          <w:sz w:val="24"/>
          <w:szCs w:val="24"/>
          <w:highlight w:val="yellow"/>
          <w:lang w:val="en-GB"/>
        </w:rPr>
        <w:t>Duru</w:t>
      </w:r>
      <w:proofErr w:type="spellEnd"/>
      <w:r w:rsidRPr="0004019A">
        <w:rPr>
          <w:rFonts w:ascii="Arial" w:hAnsi="Arial" w:cs="Arial"/>
          <w:sz w:val="24"/>
          <w:szCs w:val="24"/>
          <w:highlight w:val="yellow"/>
          <w:lang w:val="en-GB"/>
        </w:rPr>
        <w:t xml:space="preserve">, C., </w:t>
      </w:r>
      <w:proofErr w:type="spellStart"/>
      <w:r w:rsidRPr="0004019A">
        <w:rPr>
          <w:rFonts w:ascii="Arial" w:hAnsi="Arial" w:cs="Arial"/>
          <w:sz w:val="24"/>
          <w:szCs w:val="24"/>
          <w:highlight w:val="yellow"/>
          <w:lang w:val="en-GB"/>
        </w:rPr>
        <w:t>Ilika</w:t>
      </w:r>
      <w:proofErr w:type="spellEnd"/>
      <w:r w:rsidRPr="0004019A">
        <w:rPr>
          <w:rFonts w:ascii="Arial" w:hAnsi="Arial" w:cs="Arial"/>
          <w:sz w:val="24"/>
          <w:szCs w:val="24"/>
          <w:highlight w:val="yellow"/>
          <w:lang w:val="en-GB"/>
        </w:rPr>
        <w:t xml:space="preserve">, A., &amp; </w:t>
      </w:r>
      <w:proofErr w:type="spellStart"/>
      <w:r w:rsidRPr="0004019A">
        <w:rPr>
          <w:rFonts w:ascii="Arial" w:hAnsi="Arial" w:cs="Arial"/>
          <w:sz w:val="24"/>
          <w:szCs w:val="24"/>
          <w:highlight w:val="yellow"/>
          <w:lang w:val="en-GB"/>
        </w:rPr>
        <w:t>Lawoyin</w:t>
      </w:r>
      <w:proofErr w:type="spellEnd"/>
      <w:r w:rsidRPr="0004019A">
        <w:rPr>
          <w:rFonts w:ascii="Arial" w:hAnsi="Arial" w:cs="Arial"/>
          <w:sz w:val="24"/>
          <w:szCs w:val="24"/>
          <w:highlight w:val="yellow"/>
          <w:lang w:val="en-GB"/>
        </w:rPr>
        <w:t>, T. (2017). Determinants of psychoactive substance use among youth in a rural community in South East Nigeria. Nigerian Journal of Clinical Practice, 20(1), 101–107. https://doi.org/10.4103/1119-3077.180068</w:t>
      </w:r>
    </w:p>
    <w:p w:rsidR="0072364A" w:rsidRDefault="00183ECA">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Odejide</w:t>
      </w:r>
      <w:proofErr w:type="spellEnd"/>
      <w:r>
        <w:rPr>
          <w:rFonts w:ascii="Arial" w:hAnsi="Arial" w:cs="Arial"/>
          <w:sz w:val="24"/>
          <w:szCs w:val="24"/>
          <w:lang w:val="en-GB"/>
        </w:rPr>
        <w:t>, A. O. (2006). Status of drug use/abuse in Africa: A review. International Journal of Mental Health and Addiction, 4(2), 87–102. https://doi.org/10.1007/s11469-006-9015-y</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Okafor, P. (2019). Causes and consequences of drug abuse among youth in </w:t>
      </w:r>
      <w:proofErr w:type="spellStart"/>
      <w:r>
        <w:rPr>
          <w:rFonts w:ascii="Arial" w:hAnsi="Arial" w:cs="Arial"/>
          <w:sz w:val="24"/>
          <w:szCs w:val="24"/>
          <w:lang w:val="en-GB"/>
        </w:rPr>
        <w:t>Kwara</w:t>
      </w:r>
      <w:proofErr w:type="spellEnd"/>
      <w:r>
        <w:rPr>
          <w:rFonts w:ascii="Arial" w:hAnsi="Arial" w:cs="Arial"/>
          <w:sz w:val="24"/>
          <w:szCs w:val="24"/>
          <w:lang w:val="en-GB"/>
        </w:rPr>
        <w:t xml:space="preserve"> State Nigeria. Canadian Journal of Family and Youth / Le Journal </w:t>
      </w:r>
      <w:proofErr w:type="spellStart"/>
      <w:r>
        <w:rPr>
          <w:rFonts w:ascii="Arial" w:hAnsi="Arial" w:cs="Arial"/>
          <w:sz w:val="24"/>
          <w:szCs w:val="24"/>
          <w:lang w:val="en-GB"/>
        </w:rPr>
        <w:t>Canadien</w:t>
      </w:r>
      <w:proofErr w:type="spellEnd"/>
      <w:r>
        <w:rPr>
          <w:rFonts w:ascii="Arial" w:hAnsi="Arial" w:cs="Arial"/>
          <w:sz w:val="24"/>
          <w:szCs w:val="24"/>
          <w:lang w:val="en-GB"/>
        </w:rPr>
        <w:t xml:space="preserve"> de </w:t>
      </w:r>
      <w:proofErr w:type="spellStart"/>
      <w:r>
        <w:rPr>
          <w:rFonts w:ascii="Arial" w:hAnsi="Arial" w:cs="Arial"/>
          <w:sz w:val="24"/>
          <w:szCs w:val="24"/>
          <w:lang w:val="en-GB"/>
        </w:rPr>
        <w:t>Famille</w:t>
      </w:r>
      <w:proofErr w:type="spellEnd"/>
      <w:r>
        <w:rPr>
          <w:rFonts w:ascii="Arial" w:hAnsi="Arial" w:cs="Arial"/>
          <w:sz w:val="24"/>
          <w:szCs w:val="24"/>
          <w:lang w:val="en-GB"/>
        </w:rPr>
        <w:t xml:space="preserve"> et de la Jeunesse, 12(1), 147–162.</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Oshodi, Y. O., </w:t>
      </w:r>
      <w:proofErr w:type="spellStart"/>
      <w:r>
        <w:rPr>
          <w:rFonts w:ascii="Arial" w:hAnsi="Arial" w:cs="Arial"/>
          <w:sz w:val="24"/>
          <w:szCs w:val="24"/>
          <w:lang w:val="en-GB"/>
        </w:rPr>
        <w:t>Aina</w:t>
      </w:r>
      <w:proofErr w:type="spellEnd"/>
      <w:r>
        <w:rPr>
          <w:rFonts w:ascii="Arial" w:hAnsi="Arial" w:cs="Arial"/>
          <w:sz w:val="24"/>
          <w:szCs w:val="24"/>
          <w:lang w:val="en-GB"/>
        </w:rPr>
        <w:t xml:space="preserve">, O. F., &amp; </w:t>
      </w:r>
      <w:proofErr w:type="spellStart"/>
      <w:r>
        <w:rPr>
          <w:rFonts w:ascii="Arial" w:hAnsi="Arial" w:cs="Arial"/>
          <w:sz w:val="24"/>
          <w:szCs w:val="24"/>
          <w:lang w:val="en-GB"/>
        </w:rPr>
        <w:t>Onajole</w:t>
      </w:r>
      <w:proofErr w:type="spellEnd"/>
      <w:r>
        <w:rPr>
          <w:rFonts w:ascii="Arial" w:hAnsi="Arial" w:cs="Arial"/>
          <w:sz w:val="24"/>
          <w:szCs w:val="24"/>
          <w:lang w:val="en-GB"/>
        </w:rPr>
        <w:t>, A. T. (2010). Substance use among secondary school students in an urban setting in Nigeria: Prevalence and associated factors. African Journal of Psychiatry, 13(1), 52–57. https://doi.org/10.4314/ajpsy.v13i1.53430</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Page, M. J., McKenzie, J. E., </w:t>
      </w:r>
      <w:proofErr w:type="spellStart"/>
      <w:r>
        <w:rPr>
          <w:rFonts w:ascii="Arial" w:hAnsi="Arial" w:cs="Arial"/>
          <w:sz w:val="24"/>
          <w:szCs w:val="24"/>
          <w:lang w:val="en-GB"/>
        </w:rPr>
        <w:t>Bossuyt</w:t>
      </w:r>
      <w:proofErr w:type="spellEnd"/>
      <w:r>
        <w:rPr>
          <w:rFonts w:ascii="Arial" w:hAnsi="Arial" w:cs="Arial"/>
          <w:sz w:val="24"/>
          <w:szCs w:val="24"/>
          <w:lang w:val="en-GB"/>
        </w:rPr>
        <w:t xml:space="preserve">, P. M., </w:t>
      </w:r>
      <w:proofErr w:type="spellStart"/>
      <w:r>
        <w:rPr>
          <w:rFonts w:ascii="Arial" w:hAnsi="Arial" w:cs="Arial"/>
          <w:sz w:val="24"/>
          <w:szCs w:val="24"/>
          <w:lang w:val="en-GB"/>
        </w:rPr>
        <w:t>Boutron</w:t>
      </w:r>
      <w:proofErr w:type="spellEnd"/>
      <w:r>
        <w:rPr>
          <w:rFonts w:ascii="Arial" w:hAnsi="Arial" w:cs="Arial"/>
          <w:sz w:val="24"/>
          <w:szCs w:val="24"/>
          <w:lang w:val="en-GB"/>
        </w:rPr>
        <w:t>, I., Hoffmann, T. C., Mulrow, C. D., ... &amp; Moher, D. (2021). The PRISMA 2020 statement: An updated guideline for reporting systematic reviews. BMJ, 372, n71. https://doi.org/10.1136/bmj.n71</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Peacock, A., Leung, J., </w:t>
      </w:r>
      <w:proofErr w:type="spellStart"/>
      <w:r>
        <w:rPr>
          <w:rFonts w:ascii="Arial" w:hAnsi="Arial" w:cs="Arial"/>
          <w:sz w:val="24"/>
          <w:szCs w:val="24"/>
          <w:lang w:val="en-GB"/>
        </w:rPr>
        <w:t>Larney</w:t>
      </w:r>
      <w:proofErr w:type="spellEnd"/>
      <w:r>
        <w:rPr>
          <w:rFonts w:ascii="Arial" w:hAnsi="Arial" w:cs="Arial"/>
          <w:sz w:val="24"/>
          <w:szCs w:val="24"/>
          <w:lang w:val="en-GB"/>
        </w:rPr>
        <w:t xml:space="preserve">, S., </w:t>
      </w:r>
      <w:proofErr w:type="spellStart"/>
      <w:r>
        <w:rPr>
          <w:rFonts w:ascii="Arial" w:hAnsi="Arial" w:cs="Arial"/>
          <w:sz w:val="24"/>
          <w:szCs w:val="24"/>
          <w:lang w:val="en-GB"/>
        </w:rPr>
        <w:t>Colledge</w:t>
      </w:r>
      <w:proofErr w:type="spellEnd"/>
      <w:r>
        <w:rPr>
          <w:rFonts w:ascii="Arial" w:hAnsi="Arial" w:cs="Arial"/>
          <w:sz w:val="24"/>
          <w:szCs w:val="24"/>
          <w:lang w:val="en-GB"/>
        </w:rPr>
        <w:t>, S., Hickman, M., Rehm, J., et al. (2018). Global statistics on alcohol, tobacco and illicit drug use: 2017 status report. Addiction, 113(10), 1905–1926. https://doi.org/10.1111/add.14234</w:t>
      </w:r>
    </w:p>
    <w:p w:rsidR="0072364A" w:rsidRDefault="00183ECA">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Peltzer</w:t>
      </w:r>
      <w:proofErr w:type="spellEnd"/>
      <w:r>
        <w:rPr>
          <w:rFonts w:ascii="Arial" w:hAnsi="Arial" w:cs="Arial"/>
          <w:sz w:val="24"/>
          <w:szCs w:val="24"/>
          <w:lang w:val="en-GB"/>
        </w:rPr>
        <w:t xml:space="preserve">, K., &amp; </w:t>
      </w:r>
      <w:proofErr w:type="spellStart"/>
      <w:r>
        <w:rPr>
          <w:rFonts w:ascii="Arial" w:hAnsi="Arial" w:cs="Arial"/>
          <w:sz w:val="24"/>
          <w:szCs w:val="24"/>
          <w:lang w:val="en-GB"/>
        </w:rPr>
        <w:t>Pengpid</w:t>
      </w:r>
      <w:proofErr w:type="spellEnd"/>
      <w:r>
        <w:rPr>
          <w:rFonts w:ascii="Arial" w:hAnsi="Arial" w:cs="Arial"/>
          <w:sz w:val="24"/>
          <w:szCs w:val="24"/>
          <w:lang w:val="en-GB"/>
        </w:rPr>
        <w:t>, S. (2016). Prevalence and social correlates of substance use among school-going adolescents in four African countries. International Journal of Adolescent Medicine and Health, 28(2), 167–176. https://doi.org/10.1515/ijamh-2015-0002</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Ritchie, H., &amp; </w:t>
      </w:r>
      <w:proofErr w:type="spellStart"/>
      <w:r>
        <w:rPr>
          <w:rFonts w:ascii="Arial" w:hAnsi="Arial" w:cs="Arial"/>
          <w:sz w:val="24"/>
          <w:szCs w:val="24"/>
          <w:lang w:val="en-GB"/>
        </w:rPr>
        <w:t>Roser</w:t>
      </w:r>
      <w:proofErr w:type="spellEnd"/>
      <w:r>
        <w:rPr>
          <w:rFonts w:ascii="Arial" w:hAnsi="Arial" w:cs="Arial"/>
          <w:sz w:val="24"/>
          <w:szCs w:val="24"/>
          <w:lang w:val="en-GB"/>
        </w:rPr>
        <w:t>, M. (2018). Opioids, cocaine, cannabis and illicit drugs. Our World in Data. https://ourworldindata.org/illicit-drug-use</w:t>
      </w:r>
    </w:p>
    <w:p w:rsidR="0072364A" w:rsidRDefault="00183ECA">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Ritchwood</w:t>
      </w:r>
      <w:proofErr w:type="spellEnd"/>
      <w:r>
        <w:rPr>
          <w:rFonts w:ascii="Arial" w:hAnsi="Arial" w:cs="Arial"/>
          <w:sz w:val="24"/>
          <w:szCs w:val="24"/>
          <w:lang w:val="en-GB"/>
        </w:rPr>
        <w:t xml:space="preserve">, T. D., Ford, H., </w:t>
      </w:r>
      <w:proofErr w:type="spellStart"/>
      <w:r>
        <w:rPr>
          <w:rFonts w:ascii="Arial" w:hAnsi="Arial" w:cs="Arial"/>
          <w:sz w:val="24"/>
          <w:szCs w:val="24"/>
          <w:lang w:val="en-GB"/>
        </w:rPr>
        <w:t>DeCoster</w:t>
      </w:r>
      <w:proofErr w:type="spellEnd"/>
      <w:r>
        <w:rPr>
          <w:rFonts w:ascii="Arial" w:hAnsi="Arial" w:cs="Arial"/>
          <w:sz w:val="24"/>
          <w:szCs w:val="24"/>
          <w:lang w:val="en-GB"/>
        </w:rPr>
        <w:t xml:space="preserve">, J., Sutton, M., &amp; </w:t>
      </w:r>
      <w:proofErr w:type="spellStart"/>
      <w:r>
        <w:rPr>
          <w:rFonts w:ascii="Arial" w:hAnsi="Arial" w:cs="Arial"/>
          <w:sz w:val="24"/>
          <w:szCs w:val="24"/>
          <w:lang w:val="en-GB"/>
        </w:rPr>
        <w:t>Lochman</w:t>
      </w:r>
      <w:proofErr w:type="spellEnd"/>
      <w:r>
        <w:rPr>
          <w:rFonts w:ascii="Arial" w:hAnsi="Arial" w:cs="Arial"/>
          <w:sz w:val="24"/>
          <w:szCs w:val="24"/>
          <w:lang w:val="en-GB"/>
        </w:rPr>
        <w:t xml:space="preserve">, J. E. (2015). Risky sexual </w:t>
      </w:r>
      <w:proofErr w:type="spellStart"/>
      <w:r>
        <w:rPr>
          <w:rFonts w:ascii="Arial" w:hAnsi="Arial" w:cs="Arial"/>
          <w:sz w:val="24"/>
          <w:szCs w:val="24"/>
          <w:lang w:val="en-GB"/>
        </w:rPr>
        <w:t>behavior</w:t>
      </w:r>
      <w:proofErr w:type="spellEnd"/>
      <w:r>
        <w:rPr>
          <w:rFonts w:ascii="Arial" w:hAnsi="Arial" w:cs="Arial"/>
          <w:sz w:val="24"/>
          <w:szCs w:val="24"/>
          <w:lang w:val="en-GB"/>
        </w:rPr>
        <w:t xml:space="preserve"> and substance use among adolescents: A meta-analysis. Children and Youth Services Review, 52, 74–88. https://doi.org/10.1016/j.childyouth.2015.03.005</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Steinberg, L. (2005). Cognitive and affective development in adolescence. Trends in Cognitive Sciences, 9(2), 69–74. https://doi.org/10.1016/j.tics.2004.12.005</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United Nations Office on Drugs and Crime. (2018). Drug use in Nigeria. UNODC Research. https://www.unodc.org/documents/data-and-analysis/statistics/Drugs/Drug_Use_Survey_Nigeria_2019_BOOK.pdf</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United Nations Office on Drugs and Crime. (2019). World drug report 2019: Executive summary; Conclusions and policy implications. https://wdr.unodc.org/wdr2019/en/exsum.html</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United Nations Population Fund. (2023). State of World Population 2023: 8 billion lives, infinite possibilities – The case for rights and choices. https://www.unfpa.org/sites/default/files/swop23/SWOP2023-ENGLISH-230329-web.pdf</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United Nations. (1995). World Programme of Action for Youth to the Year 2000 and Beyond. https://undocs.org/A/RES/50/81</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UNODC. (2018). Drug use in Nigeria: Summary report. United Nations Office on Drugs and Crime. https://www.unodc.org/documents/data-and-analysis/statistics/Drugs/Drug_Use_Survey_Nigeria_2019_BOOK.pdf</w:t>
      </w:r>
    </w:p>
    <w:p w:rsidR="0072364A" w:rsidRDefault="00183ECA">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World Health Organization. (2022). Global status report on alcohol and health 2022. World Health Organization. https://www.who.int/publications/i/item/9789240054596</w:t>
      </w:r>
    </w:p>
    <w:sectPr w:rsidR="0072364A">
      <w:pgSz w:w="12240" w:h="15840"/>
      <w:pgMar w:top="1134"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029" w:rsidRDefault="00126029">
      <w:pPr>
        <w:spacing w:line="240" w:lineRule="auto"/>
      </w:pPr>
      <w:r>
        <w:separator/>
      </w:r>
    </w:p>
  </w:endnote>
  <w:endnote w:type="continuationSeparator" w:id="0">
    <w:p w:rsidR="00126029" w:rsidRDefault="00126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heSans B4 SemiLight">
    <w:altName w:val="Arial"/>
    <w:charset w:val="00"/>
    <w:family w:val="modern"/>
    <w:pitch w:val="default"/>
    <w:sig w:usb0="00000000" w:usb1="00000000" w:usb2="00000000" w:usb3="00000000" w:csb0="00000001" w:csb1="00000000"/>
  </w:font>
  <w:font w:name="Optima LT Std">
    <w:altName w:val="Calibri"/>
    <w:charset w:val="00"/>
    <w:family w:val="swiss"/>
    <w:pitch w:val="default"/>
    <w:sig w:usb0="00000000" w:usb1="00000000" w:usb2="00000000" w:usb3="00000000" w:csb0="00000001" w:csb1="00000000"/>
  </w:font>
  <w:font w:name="MinionPro-Regular">
    <w:altName w:val="Yu Gothic"/>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4A" w:rsidRDefault="00723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4A" w:rsidRDefault="00183ECA">
    <w:pPr>
      <w:pStyle w:val="Footer"/>
      <w:jc w:val="right"/>
    </w:pPr>
    <w:r>
      <w:fldChar w:fldCharType="begin"/>
    </w:r>
    <w:r>
      <w:instrText xml:space="preserve"> PAGE   \* MERGEFORMAT </w:instrText>
    </w:r>
    <w:r>
      <w:fldChar w:fldCharType="separate"/>
    </w:r>
    <w:r>
      <w:t>xii</w:t>
    </w:r>
    <w:r>
      <w:fldChar w:fldCharType="end"/>
    </w:r>
  </w:p>
  <w:p w:rsidR="0072364A" w:rsidRDefault="00723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4A" w:rsidRDefault="00723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029" w:rsidRDefault="00126029">
      <w:pPr>
        <w:spacing w:after="0"/>
      </w:pPr>
      <w:r>
        <w:separator/>
      </w:r>
    </w:p>
  </w:footnote>
  <w:footnote w:type="continuationSeparator" w:id="0">
    <w:p w:rsidR="00126029" w:rsidRDefault="001260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4A" w:rsidRDefault="00126029">
    <w:pPr>
      <w:pStyle w:val="Header"/>
    </w:pPr>
    <w:r>
      <w:pict w14:anchorId="727E1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469"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4A" w:rsidRDefault="00126029">
    <w:pPr>
      <w:pStyle w:val="Header"/>
    </w:pPr>
    <w:r>
      <w:pict w14:anchorId="76E08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470"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4A" w:rsidRDefault="00126029">
    <w:pPr>
      <w:pStyle w:val="Header"/>
    </w:pPr>
    <w:r>
      <w:pict w14:anchorId="2DBC2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468"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14"/>
    <w:rsid w:val="00000284"/>
    <w:rsid w:val="0000113D"/>
    <w:rsid w:val="0000196C"/>
    <w:rsid w:val="00001A14"/>
    <w:rsid w:val="00001DB1"/>
    <w:rsid w:val="00002976"/>
    <w:rsid w:val="00002B5D"/>
    <w:rsid w:val="00002DE6"/>
    <w:rsid w:val="0000357A"/>
    <w:rsid w:val="0000439F"/>
    <w:rsid w:val="000044A2"/>
    <w:rsid w:val="00004574"/>
    <w:rsid w:val="000047FD"/>
    <w:rsid w:val="000049A1"/>
    <w:rsid w:val="00004A1B"/>
    <w:rsid w:val="00004FDD"/>
    <w:rsid w:val="000052D0"/>
    <w:rsid w:val="00005C58"/>
    <w:rsid w:val="00006202"/>
    <w:rsid w:val="00006C84"/>
    <w:rsid w:val="00006F51"/>
    <w:rsid w:val="00007C2B"/>
    <w:rsid w:val="00010572"/>
    <w:rsid w:val="00010DD7"/>
    <w:rsid w:val="0001118F"/>
    <w:rsid w:val="00011601"/>
    <w:rsid w:val="0001164A"/>
    <w:rsid w:val="00011C15"/>
    <w:rsid w:val="00012127"/>
    <w:rsid w:val="0001263C"/>
    <w:rsid w:val="00013310"/>
    <w:rsid w:val="000134E7"/>
    <w:rsid w:val="0001352B"/>
    <w:rsid w:val="0001426B"/>
    <w:rsid w:val="00014807"/>
    <w:rsid w:val="00014B29"/>
    <w:rsid w:val="0001500E"/>
    <w:rsid w:val="0001545C"/>
    <w:rsid w:val="00015920"/>
    <w:rsid w:val="000162F4"/>
    <w:rsid w:val="00016D16"/>
    <w:rsid w:val="00016DDA"/>
    <w:rsid w:val="00017143"/>
    <w:rsid w:val="000171A2"/>
    <w:rsid w:val="0001726D"/>
    <w:rsid w:val="00017802"/>
    <w:rsid w:val="00017C56"/>
    <w:rsid w:val="00017D87"/>
    <w:rsid w:val="00017F68"/>
    <w:rsid w:val="000200EA"/>
    <w:rsid w:val="00020AD6"/>
    <w:rsid w:val="000211F7"/>
    <w:rsid w:val="0002169F"/>
    <w:rsid w:val="000217BE"/>
    <w:rsid w:val="000218CF"/>
    <w:rsid w:val="00021C5A"/>
    <w:rsid w:val="00022419"/>
    <w:rsid w:val="0002248D"/>
    <w:rsid w:val="000227FC"/>
    <w:rsid w:val="0002312A"/>
    <w:rsid w:val="0002362F"/>
    <w:rsid w:val="00023984"/>
    <w:rsid w:val="00023A1A"/>
    <w:rsid w:val="00024199"/>
    <w:rsid w:val="000243C3"/>
    <w:rsid w:val="00024449"/>
    <w:rsid w:val="00024DFB"/>
    <w:rsid w:val="0002506C"/>
    <w:rsid w:val="0002526D"/>
    <w:rsid w:val="00025436"/>
    <w:rsid w:val="00025B3D"/>
    <w:rsid w:val="00025F69"/>
    <w:rsid w:val="000260AC"/>
    <w:rsid w:val="00026A48"/>
    <w:rsid w:val="00026F5B"/>
    <w:rsid w:val="00027176"/>
    <w:rsid w:val="00030323"/>
    <w:rsid w:val="00030385"/>
    <w:rsid w:val="0003059C"/>
    <w:rsid w:val="00031228"/>
    <w:rsid w:val="000316DA"/>
    <w:rsid w:val="00031DF0"/>
    <w:rsid w:val="0003314C"/>
    <w:rsid w:val="0003333C"/>
    <w:rsid w:val="0003343A"/>
    <w:rsid w:val="00033B58"/>
    <w:rsid w:val="00033D28"/>
    <w:rsid w:val="000340D1"/>
    <w:rsid w:val="000349B4"/>
    <w:rsid w:val="00034A63"/>
    <w:rsid w:val="00034F15"/>
    <w:rsid w:val="00035B3F"/>
    <w:rsid w:val="00036190"/>
    <w:rsid w:val="00037BF0"/>
    <w:rsid w:val="00037E37"/>
    <w:rsid w:val="0004019A"/>
    <w:rsid w:val="000401DA"/>
    <w:rsid w:val="0004063C"/>
    <w:rsid w:val="00040DE6"/>
    <w:rsid w:val="00041C74"/>
    <w:rsid w:val="000420FD"/>
    <w:rsid w:val="00042882"/>
    <w:rsid w:val="00043276"/>
    <w:rsid w:val="000435A0"/>
    <w:rsid w:val="00043843"/>
    <w:rsid w:val="00043FD3"/>
    <w:rsid w:val="000443A1"/>
    <w:rsid w:val="00044925"/>
    <w:rsid w:val="00044D9A"/>
    <w:rsid w:val="000450DE"/>
    <w:rsid w:val="000456C3"/>
    <w:rsid w:val="000462C2"/>
    <w:rsid w:val="00046795"/>
    <w:rsid w:val="00046D29"/>
    <w:rsid w:val="00046FBC"/>
    <w:rsid w:val="00047048"/>
    <w:rsid w:val="00047265"/>
    <w:rsid w:val="00047CAC"/>
    <w:rsid w:val="00047E91"/>
    <w:rsid w:val="00050F20"/>
    <w:rsid w:val="000512AE"/>
    <w:rsid w:val="00051D04"/>
    <w:rsid w:val="00051D5F"/>
    <w:rsid w:val="000537F4"/>
    <w:rsid w:val="000541F4"/>
    <w:rsid w:val="0005461B"/>
    <w:rsid w:val="000550F5"/>
    <w:rsid w:val="000552C2"/>
    <w:rsid w:val="00055980"/>
    <w:rsid w:val="00055EC0"/>
    <w:rsid w:val="0005633D"/>
    <w:rsid w:val="000565C6"/>
    <w:rsid w:val="00056B80"/>
    <w:rsid w:val="00056D14"/>
    <w:rsid w:val="000571E5"/>
    <w:rsid w:val="000573C0"/>
    <w:rsid w:val="000573ED"/>
    <w:rsid w:val="00057E99"/>
    <w:rsid w:val="0006008A"/>
    <w:rsid w:val="0006093C"/>
    <w:rsid w:val="000609DB"/>
    <w:rsid w:val="00061949"/>
    <w:rsid w:val="00061D19"/>
    <w:rsid w:val="00061F99"/>
    <w:rsid w:val="00062329"/>
    <w:rsid w:val="0006248D"/>
    <w:rsid w:val="0006478F"/>
    <w:rsid w:val="000647EC"/>
    <w:rsid w:val="00064A19"/>
    <w:rsid w:val="00065398"/>
    <w:rsid w:val="00065E9E"/>
    <w:rsid w:val="00066051"/>
    <w:rsid w:val="000660C1"/>
    <w:rsid w:val="00066693"/>
    <w:rsid w:val="0006670F"/>
    <w:rsid w:val="000670B2"/>
    <w:rsid w:val="00067E8D"/>
    <w:rsid w:val="00070025"/>
    <w:rsid w:val="000712BE"/>
    <w:rsid w:val="00071B9F"/>
    <w:rsid w:val="00071DF4"/>
    <w:rsid w:val="000720DA"/>
    <w:rsid w:val="00072131"/>
    <w:rsid w:val="000722C6"/>
    <w:rsid w:val="00073690"/>
    <w:rsid w:val="00073BB4"/>
    <w:rsid w:val="0007412F"/>
    <w:rsid w:val="0007469B"/>
    <w:rsid w:val="000746EC"/>
    <w:rsid w:val="000755B1"/>
    <w:rsid w:val="000758C5"/>
    <w:rsid w:val="00075F87"/>
    <w:rsid w:val="0007633E"/>
    <w:rsid w:val="00077687"/>
    <w:rsid w:val="00077A2D"/>
    <w:rsid w:val="00077B3B"/>
    <w:rsid w:val="00080244"/>
    <w:rsid w:val="000806D2"/>
    <w:rsid w:val="0008107B"/>
    <w:rsid w:val="00081F4E"/>
    <w:rsid w:val="000830A4"/>
    <w:rsid w:val="000864C1"/>
    <w:rsid w:val="000869BC"/>
    <w:rsid w:val="00086F44"/>
    <w:rsid w:val="000870CA"/>
    <w:rsid w:val="00087968"/>
    <w:rsid w:val="00087A91"/>
    <w:rsid w:val="0009026A"/>
    <w:rsid w:val="00091147"/>
    <w:rsid w:val="000911D0"/>
    <w:rsid w:val="00093B71"/>
    <w:rsid w:val="000951BE"/>
    <w:rsid w:val="00095323"/>
    <w:rsid w:val="0009594E"/>
    <w:rsid w:val="00095A72"/>
    <w:rsid w:val="00095E62"/>
    <w:rsid w:val="00096037"/>
    <w:rsid w:val="00096A09"/>
    <w:rsid w:val="000A00E8"/>
    <w:rsid w:val="000A0540"/>
    <w:rsid w:val="000A055F"/>
    <w:rsid w:val="000A0627"/>
    <w:rsid w:val="000A06C5"/>
    <w:rsid w:val="000A114D"/>
    <w:rsid w:val="000A2427"/>
    <w:rsid w:val="000A3432"/>
    <w:rsid w:val="000A3855"/>
    <w:rsid w:val="000A4190"/>
    <w:rsid w:val="000A4A66"/>
    <w:rsid w:val="000A4BF9"/>
    <w:rsid w:val="000A4DD1"/>
    <w:rsid w:val="000A5060"/>
    <w:rsid w:val="000A57E0"/>
    <w:rsid w:val="000A6106"/>
    <w:rsid w:val="000A644F"/>
    <w:rsid w:val="000A66EA"/>
    <w:rsid w:val="000A6880"/>
    <w:rsid w:val="000A73EF"/>
    <w:rsid w:val="000A77A5"/>
    <w:rsid w:val="000A7D1B"/>
    <w:rsid w:val="000A7D32"/>
    <w:rsid w:val="000B0340"/>
    <w:rsid w:val="000B068B"/>
    <w:rsid w:val="000B0C8D"/>
    <w:rsid w:val="000B17DB"/>
    <w:rsid w:val="000B186B"/>
    <w:rsid w:val="000B1C21"/>
    <w:rsid w:val="000B1D2F"/>
    <w:rsid w:val="000B29CF"/>
    <w:rsid w:val="000B3417"/>
    <w:rsid w:val="000B3D92"/>
    <w:rsid w:val="000B4078"/>
    <w:rsid w:val="000B452F"/>
    <w:rsid w:val="000B4799"/>
    <w:rsid w:val="000B4FE9"/>
    <w:rsid w:val="000B508E"/>
    <w:rsid w:val="000B568D"/>
    <w:rsid w:val="000B56CE"/>
    <w:rsid w:val="000B65B4"/>
    <w:rsid w:val="000B6CE6"/>
    <w:rsid w:val="000B7923"/>
    <w:rsid w:val="000C13B7"/>
    <w:rsid w:val="000C1A62"/>
    <w:rsid w:val="000C28D4"/>
    <w:rsid w:val="000C2901"/>
    <w:rsid w:val="000C2A33"/>
    <w:rsid w:val="000C2BC2"/>
    <w:rsid w:val="000C30E3"/>
    <w:rsid w:val="000C3127"/>
    <w:rsid w:val="000C3DAB"/>
    <w:rsid w:val="000C4609"/>
    <w:rsid w:val="000C486C"/>
    <w:rsid w:val="000C4A4C"/>
    <w:rsid w:val="000C4EFD"/>
    <w:rsid w:val="000C518E"/>
    <w:rsid w:val="000C54AB"/>
    <w:rsid w:val="000C5997"/>
    <w:rsid w:val="000C5C3C"/>
    <w:rsid w:val="000C6CB5"/>
    <w:rsid w:val="000C6F42"/>
    <w:rsid w:val="000C7CC2"/>
    <w:rsid w:val="000D0797"/>
    <w:rsid w:val="000D0C8D"/>
    <w:rsid w:val="000D0DAA"/>
    <w:rsid w:val="000D15AF"/>
    <w:rsid w:val="000D1737"/>
    <w:rsid w:val="000D2353"/>
    <w:rsid w:val="000D2E6C"/>
    <w:rsid w:val="000D3155"/>
    <w:rsid w:val="000D3D2A"/>
    <w:rsid w:val="000D3FC2"/>
    <w:rsid w:val="000D4495"/>
    <w:rsid w:val="000D4F36"/>
    <w:rsid w:val="000D5042"/>
    <w:rsid w:val="000D5C1B"/>
    <w:rsid w:val="000D5EC6"/>
    <w:rsid w:val="000D662C"/>
    <w:rsid w:val="000D6734"/>
    <w:rsid w:val="000D6DA4"/>
    <w:rsid w:val="000D7BBB"/>
    <w:rsid w:val="000E0177"/>
    <w:rsid w:val="000E18A8"/>
    <w:rsid w:val="000E1F5F"/>
    <w:rsid w:val="000E24A9"/>
    <w:rsid w:val="000E2EC2"/>
    <w:rsid w:val="000E3160"/>
    <w:rsid w:val="000E31C4"/>
    <w:rsid w:val="000E3635"/>
    <w:rsid w:val="000E3778"/>
    <w:rsid w:val="000E4174"/>
    <w:rsid w:val="000E4397"/>
    <w:rsid w:val="000E46D7"/>
    <w:rsid w:val="000E5591"/>
    <w:rsid w:val="000E5963"/>
    <w:rsid w:val="000E5E32"/>
    <w:rsid w:val="000E6253"/>
    <w:rsid w:val="000E645D"/>
    <w:rsid w:val="000E7081"/>
    <w:rsid w:val="000E7214"/>
    <w:rsid w:val="000E7782"/>
    <w:rsid w:val="000E77D8"/>
    <w:rsid w:val="000E7ED3"/>
    <w:rsid w:val="000F06C1"/>
    <w:rsid w:val="000F06CF"/>
    <w:rsid w:val="000F0E72"/>
    <w:rsid w:val="000F1956"/>
    <w:rsid w:val="000F199C"/>
    <w:rsid w:val="000F2211"/>
    <w:rsid w:val="000F24C5"/>
    <w:rsid w:val="000F258D"/>
    <w:rsid w:val="000F2638"/>
    <w:rsid w:val="000F2D77"/>
    <w:rsid w:val="000F33D2"/>
    <w:rsid w:val="000F361D"/>
    <w:rsid w:val="000F38EB"/>
    <w:rsid w:val="000F3A51"/>
    <w:rsid w:val="000F4209"/>
    <w:rsid w:val="000F443A"/>
    <w:rsid w:val="000F584A"/>
    <w:rsid w:val="000F5851"/>
    <w:rsid w:val="000F59DC"/>
    <w:rsid w:val="000F5CA9"/>
    <w:rsid w:val="000F5E2D"/>
    <w:rsid w:val="000F6BBD"/>
    <w:rsid w:val="000F6D06"/>
    <w:rsid w:val="000F6E99"/>
    <w:rsid w:val="000F77C6"/>
    <w:rsid w:val="000F788F"/>
    <w:rsid w:val="000F7A0E"/>
    <w:rsid w:val="000F7C3F"/>
    <w:rsid w:val="00100100"/>
    <w:rsid w:val="001005CF"/>
    <w:rsid w:val="00101360"/>
    <w:rsid w:val="00101572"/>
    <w:rsid w:val="0010219D"/>
    <w:rsid w:val="001024C6"/>
    <w:rsid w:val="00102699"/>
    <w:rsid w:val="001027E8"/>
    <w:rsid w:val="00103521"/>
    <w:rsid w:val="001040F6"/>
    <w:rsid w:val="001042FB"/>
    <w:rsid w:val="0010491A"/>
    <w:rsid w:val="00104A18"/>
    <w:rsid w:val="00104A1E"/>
    <w:rsid w:val="00105625"/>
    <w:rsid w:val="00106297"/>
    <w:rsid w:val="0010636C"/>
    <w:rsid w:val="001064FD"/>
    <w:rsid w:val="00106AFE"/>
    <w:rsid w:val="00106CC1"/>
    <w:rsid w:val="0010709B"/>
    <w:rsid w:val="0010720E"/>
    <w:rsid w:val="0010762F"/>
    <w:rsid w:val="00107BC9"/>
    <w:rsid w:val="001107AB"/>
    <w:rsid w:val="00110BAE"/>
    <w:rsid w:val="001116D4"/>
    <w:rsid w:val="00111944"/>
    <w:rsid w:val="00112602"/>
    <w:rsid w:val="00112B51"/>
    <w:rsid w:val="00112CE1"/>
    <w:rsid w:val="001134A4"/>
    <w:rsid w:val="001142BF"/>
    <w:rsid w:val="00114563"/>
    <w:rsid w:val="001147D9"/>
    <w:rsid w:val="001148E0"/>
    <w:rsid w:val="00114A2B"/>
    <w:rsid w:val="00115010"/>
    <w:rsid w:val="0011527C"/>
    <w:rsid w:val="00115581"/>
    <w:rsid w:val="00116EA0"/>
    <w:rsid w:val="00117220"/>
    <w:rsid w:val="0011795C"/>
    <w:rsid w:val="00117A82"/>
    <w:rsid w:val="00117ADE"/>
    <w:rsid w:val="00117D70"/>
    <w:rsid w:val="00121C62"/>
    <w:rsid w:val="00121DD0"/>
    <w:rsid w:val="00121EBF"/>
    <w:rsid w:val="001221C2"/>
    <w:rsid w:val="001233A3"/>
    <w:rsid w:val="001234A1"/>
    <w:rsid w:val="0012370A"/>
    <w:rsid w:val="00124083"/>
    <w:rsid w:val="001242B0"/>
    <w:rsid w:val="001249B7"/>
    <w:rsid w:val="00124F28"/>
    <w:rsid w:val="00124FA3"/>
    <w:rsid w:val="0012547F"/>
    <w:rsid w:val="00125B42"/>
    <w:rsid w:val="00125C44"/>
    <w:rsid w:val="00126029"/>
    <w:rsid w:val="00126098"/>
    <w:rsid w:val="00127470"/>
    <w:rsid w:val="001279D5"/>
    <w:rsid w:val="00127BBA"/>
    <w:rsid w:val="00127C38"/>
    <w:rsid w:val="001302A7"/>
    <w:rsid w:val="001311E6"/>
    <w:rsid w:val="00132435"/>
    <w:rsid w:val="00133426"/>
    <w:rsid w:val="00133752"/>
    <w:rsid w:val="00133916"/>
    <w:rsid w:val="00133ECE"/>
    <w:rsid w:val="0013427E"/>
    <w:rsid w:val="001343AE"/>
    <w:rsid w:val="00134E15"/>
    <w:rsid w:val="0013542A"/>
    <w:rsid w:val="00135AD8"/>
    <w:rsid w:val="00135C61"/>
    <w:rsid w:val="0013630B"/>
    <w:rsid w:val="00136712"/>
    <w:rsid w:val="001377EE"/>
    <w:rsid w:val="00137AE3"/>
    <w:rsid w:val="00137F56"/>
    <w:rsid w:val="00140850"/>
    <w:rsid w:val="00140DA8"/>
    <w:rsid w:val="00140F3D"/>
    <w:rsid w:val="001415FB"/>
    <w:rsid w:val="001416CF"/>
    <w:rsid w:val="00141B3E"/>
    <w:rsid w:val="0014200C"/>
    <w:rsid w:val="00142332"/>
    <w:rsid w:val="001424C2"/>
    <w:rsid w:val="00142D25"/>
    <w:rsid w:val="0014325D"/>
    <w:rsid w:val="001432AE"/>
    <w:rsid w:val="00143847"/>
    <w:rsid w:val="00143DCC"/>
    <w:rsid w:val="00144296"/>
    <w:rsid w:val="001446F0"/>
    <w:rsid w:val="00144A4D"/>
    <w:rsid w:val="001452ED"/>
    <w:rsid w:val="00145364"/>
    <w:rsid w:val="001453A8"/>
    <w:rsid w:val="001454BB"/>
    <w:rsid w:val="001464E7"/>
    <w:rsid w:val="00146673"/>
    <w:rsid w:val="001469B1"/>
    <w:rsid w:val="0015091B"/>
    <w:rsid w:val="00150B96"/>
    <w:rsid w:val="001513CF"/>
    <w:rsid w:val="001514FF"/>
    <w:rsid w:val="0015164B"/>
    <w:rsid w:val="00152158"/>
    <w:rsid w:val="001522F5"/>
    <w:rsid w:val="0015243B"/>
    <w:rsid w:val="0015283B"/>
    <w:rsid w:val="0015312F"/>
    <w:rsid w:val="00153376"/>
    <w:rsid w:val="001535B2"/>
    <w:rsid w:val="00153662"/>
    <w:rsid w:val="001538A1"/>
    <w:rsid w:val="00153D93"/>
    <w:rsid w:val="001546ED"/>
    <w:rsid w:val="0015482A"/>
    <w:rsid w:val="00155074"/>
    <w:rsid w:val="00155921"/>
    <w:rsid w:val="00155A13"/>
    <w:rsid w:val="00155F47"/>
    <w:rsid w:val="00156202"/>
    <w:rsid w:val="00156262"/>
    <w:rsid w:val="001567AD"/>
    <w:rsid w:val="001567EE"/>
    <w:rsid w:val="00156E3A"/>
    <w:rsid w:val="0015785C"/>
    <w:rsid w:val="00157A0C"/>
    <w:rsid w:val="00157D03"/>
    <w:rsid w:val="00157EB8"/>
    <w:rsid w:val="00160093"/>
    <w:rsid w:val="001603A4"/>
    <w:rsid w:val="00160DC9"/>
    <w:rsid w:val="001612CD"/>
    <w:rsid w:val="001612F5"/>
    <w:rsid w:val="001613AD"/>
    <w:rsid w:val="001613C5"/>
    <w:rsid w:val="0016171F"/>
    <w:rsid w:val="001617FD"/>
    <w:rsid w:val="00162359"/>
    <w:rsid w:val="001624F6"/>
    <w:rsid w:val="0016340C"/>
    <w:rsid w:val="0016427C"/>
    <w:rsid w:val="00164F68"/>
    <w:rsid w:val="00165619"/>
    <w:rsid w:val="00165864"/>
    <w:rsid w:val="00165EE3"/>
    <w:rsid w:val="0016641C"/>
    <w:rsid w:val="00166484"/>
    <w:rsid w:val="0016764A"/>
    <w:rsid w:val="00167BFF"/>
    <w:rsid w:val="00167F39"/>
    <w:rsid w:val="001700F8"/>
    <w:rsid w:val="001702A5"/>
    <w:rsid w:val="001708C5"/>
    <w:rsid w:val="00170A82"/>
    <w:rsid w:val="00171925"/>
    <w:rsid w:val="00171A68"/>
    <w:rsid w:val="00171E4F"/>
    <w:rsid w:val="001725E9"/>
    <w:rsid w:val="00172E6C"/>
    <w:rsid w:val="001741CC"/>
    <w:rsid w:val="001742EF"/>
    <w:rsid w:val="001746C8"/>
    <w:rsid w:val="00174855"/>
    <w:rsid w:val="00175008"/>
    <w:rsid w:val="001754A3"/>
    <w:rsid w:val="00175DFD"/>
    <w:rsid w:val="00176EA9"/>
    <w:rsid w:val="00176EF9"/>
    <w:rsid w:val="00176F91"/>
    <w:rsid w:val="001777C6"/>
    <w:rsid w:val="0018026A"/>
    <w:rsid w:val="00180CF2"/>
    <w:rsid w:val="0018140B"/>
    <w:rsid w:val="0018184A"/>
    <w:rsid w:val="001824C1"/>
    <w:rsid w:val="00182564"/>
    <w:rsid w:val="00182715"/>
    <w:rsid w:val="001836BB"/>
    <w:rsid w:val="00183773"/>
    <w:rsid w:val="0018386D"/>
    <w:rsid w:val="00183ECA"/>
    <w:rsid w:val="00184010"/>
    <w:rsid w:val="00184846"/>
    <w:rsid w:val="00184964"/>
    <w:rsid w:val="00184F12"/>
    <w:rsid w:val="0018575B"/>
    <w:rsid w:val="00185AD0"/>
    <w:rsid w:val="00185AF8"/>
    <w:rsid w:val="00185B88"/>
    <w:rsid w:val="00186F5E"/>
    <w:rsid w:val="00187A09"/>
    <w:rsid w:val="00187ED0"/>
    <w:rsid w:val="0019033C"/>
    <w:rsid w:val="001909ED"/>
    <w:rsid w:val="00190A78"/>
    <w:rsid w:val="00191BC9"/>
    <w:rsid w:val="00192683"/>
    <w:rsid w:val="00192791"/>
    <w:rsid w:val="00192916"/>
    <w:rsid w:val="00192CC2"/>
    <w:rsid w:val="00193398"/>
    <w:rsid w:val="0019340D"/>
    <w:rsid w:val="00193721"/>
    <w:rsid w:val="001941BC"/>
    <w:rsid w:val="00194329"/>
    <w:rsid w:val="00194ACF"/>
    <w:rsid w:val="00194AE1"/>
    <w:rsid w:val="00194B55"/>
    <w:rsid w:val="00195516"/>
    <w:rsid w:val="0019607F"/>
    <w:rsid w:val="001961FB"/>
    <w:rsid w:val="0019760F"/>
    <w:rsid w:val="00197C62"/>
    <w:rsid w:val="001A04A7"/>
    <w:rsid w:val="001A0590"/>
    <w:rsid w:val="001A07C4"/>
    <w:rsid w:val="001A08F0"/>
    <w:rsid w:val="001A0C2F"/>
    <w:rsid w:val="001A111C"/>
    <w:rsid w:val="001A11C3"/>
    <w:rsid w:val="001A143B"/>
    <w:rsid w:val="001A18DC"/>
    <w:rsid w:val="001A1B20"/>
    <w:rsid w:val="001A1FA3"/>
    <w:rsid w:val="001A25B1"/>
    <w:rsid w:val="001A275D"/>
    <w:rsid w:val="001A2E1B"/>
    <w:rsid w:val="001A30DC"/>
    <w:rsid w:val="001A37E4"/>
    <w:rsid w:val="001A3CE9"/>
    <w:rsid w:val="001A3D24"/>
    <w:rsid w:val="001A4ACE"/>
    <w:rsid w:val="001A4E72"/>
    <w:rsid w:val="001A511A"/>
    <w:rsid w:val="001A547E"/>
    <w:rsid w:val="001A5E7C"/>
    <w:rsid w:val="001A6B8B"/>
    <w:rsid w:val="001A7726"/>
    <w:rsid w:val="001A7D34"/>
    <w:rsid w:val="001B0F40"/>
    <w:rsid w:val="001B1676"/>
    <w:rsid w:val="001B1F10"/>
    <w:rsid w:val="001B20F3"/>
    <w:rsid w:val="001B238C"/>
    <w:rsid w:val="001B24E4"/>
    <w:rsid w:val="001B280E"/>
    <w:rsid w:val="001B2B26"/>
    <w:rsid w:val="001B2E94"/>
    <w:rsid w:val="001B305A"/>
    <w:rsid w:val="001B3F1A"/>
    <w:rsid w:val="001B432C"/>
    <w:rsid w:val="001B4452"/>
    <w:rsid w:val="001B499A"/>
    <w:rsid w:val="001B4A9B"/>
    <w:rsid w:val="001B4AFD"/>
    <w:rsid w:val="001B4FA1"/>
    <w:rsid w:val="001B52D4"/>
    <w:rsid w:val="001B543D"/>
    <w:rsid w:val="001B6526"/>
    <w:rsid w:val="001B681C"/>
    <w:rsid w:val="001B6DB5"/>
    <w:rsid w:val="001B6F85"/>
    <w:rsid w:val="001B744B"/>
    <w:rsid w:val="001B77F4"/>
    <w:rsid w:val="001B78BA"/>
    <w:rsid w:val="001B7A0F"/>
    <w:rsid w:val="001C0431"/>
    <w:rsid w:val="001C056D"/>
    <w:rsid w:val="001C1293"/>
    <w:rsid w:val="001C1A7F"/>
    <w:rsid w:val="001C20A5"/>
    <w:rsid w:val="001C2936"/>
    <w:rsid w:val="001C2DD6"/>
    <w:rsid w:val="001C2E2B"/>
    <w:rsid w:val="001C3153"/>
    <w:rsid w:val="001C31D5"/>
    <w:rsid w:val="001C344B"/>
    <w:rsid w:val="001C375D"/>
    <w:rsid w:val="001C4078"/>
    <w:rsid w:val="001C43F5"/>
    <w:rsid w:val="001C4B56"/>
    <w:rsid w:val="001C54FD"/>
    <w:rsid w:val="001C5C1C"/>
    <w:rsid w:val="001C6335"/>
    <w:rsid w:val="001C6509"/>
    <w:rsid w:val="001C6CDB"/>
    <w:rsid w:val="001C78C4"/>
    <w:rsid w:val="001C7E1B"/>
    <w:rsid w:val="001C7EEB"/>
    <w:rsid w:val="001D0509"/>
    <w:rsid w:val="001D0849"/>
    <w:rsid w:val="001D11E6"/>
    <w:rsid w:val="001D1794"/>
    <w:rsid w:val="001D18CF"/>
    <w:rsid w:val="001D1C1F"/>
    <w:rsid w:val="001D28DF"/>
    <w:rsid w:val="001D334A"/>
    <w:rsid w:val="001D3D3F"/>
    <w:rsid w:val="001D4128"/>
    <w:rsid w:val="001D4B1D"/>
    <w:rsid w:val="001D4CE0"/>
    <w:rsid w:val="001D50A8"/>
    <w:rsid w:val="001D5498"/>
    <w:rsid w:val="001D63C6"/>
    <w:rsid w:val="001D65E5"/>
    <w:rsid w:val="001D6A01"/>
    <w:rsid w:val="001D6A29"/>
    <w:rsid w:val="001D6CC6"/>
    <w:rsid w:val="001D7069"/>
    <w:rsid w:val="001E094D"/>
    <w:rsid w:val="001E0ECD"/>
    <w:rsid w:val="001E1025"/>
    <w:rsid w:val="001E11C4"/>
    <w:rsid w:val="001E13B6"/>
    <w:rsid w:val="001E142C"/>
    <w:rsid w:val="001E1565"/>
    <w:rsid w:val="001E208E"/>
    <w:rsid w:val="001E3700"/>
    <w:rsid w:val="001E4255"/>
    <w:rsid w:val="001E55C2"/>
    <w:rsid w:val="001E5EA2"/>
    <w:rsid w:val="001E639D"/>
    <w:rsid w:val="001E6A2D"/>
    <w:rsid w:val="001F02B3"/>
    <w:rsid w:val="001F1AE2"/>
    <w:rsid w:val="001F3356"/>
    <w:rsid w:val="001F39DD"/>
    <w:rsid w:val="001F5159"/>
    <w:rsid w:val="001F5760"/>
    <w:rsid w:val="001F5C38"/>
    <w:rsid w:val="001F5D02"/>
    <w:rsid w:val="001F61F3"/>
    <w:rsid w:val="001F6BCF"/>
    <w:rsid w:val="001F76CB"/>
    <w:rsid w:val="001F78B9"/>
    <w:rsid w:val="001F7AC2"/>
    <w:rsid w:val="001F7C82"/>
    <w:rsid w:val="002012A2"/>
    <w:rsid w:val="002013BB"/>
    <w:rsid w:val="00201620"/>
    <w:rsid w:val="002025FD"/>
    <w:rsid w:val="00202629"/>
    <w:rsid w:val="00202C74"/>
    <w:rsid w:val="00202F34"/>
    <w:rsid w:val="00204027"/>
    <w:rsid w:val="002044CC"/>
    <w:rsid w:val="00205B35"/>
    <w:rsid w:val="002061FC"/>
    <w:rsid w:val="0020646A"/>
    <w:rsid w:val="00206A5C"/>
    <w:rsid w:val="00206BE4"/>
    <w:rsid w:val="00210822"/>
    <w:rsid w:val="00210895"/>
    <w:rsid w:val="00210EB9"/>
    <w:rsid w:val="00211C6A"/>
    <w:rsid w:val="00212171"/>
    <w:rsid w:val="00212322"/>
    <w:rsid w:val="00212582"/>
    <w:rsid w:val="002126D8"/>
    <w:rsid w:val="002132DE"/>
    <w:rsid w:val="00213C24"/>
    <w:rsid w:val="00214E26"/>
    <w:rsid w:val="00215D8E"/>
    <w:rsid w:val="0021605A"/>
    <w:rsid w:val="00216CE8"/>
    <w:rsid w:val="00216E64"/>
    <w:rsid w:val="00217355"/>
    <w:rsid w:val="002177CB"/>
    <w:rsid w:val="00217838"/>
    <w:rsid w:val="002200C5"/>
    <w:rsid w:val="002206D6"/>
    <w:rsid w:val="002207A2"/>
    <w:rsid w:val="00220862"/>
    <w:rsid w:val="00221B0B"/>
    <w:rsid w:val="00221F4A"/>
    <w:rsid w:val="002221EF"/>
    <w:rsid w:val="00222AC2"/>
    <w:rsid w:val="002234AC"/>
    <w:rsid w:val="002237DA"/>
    <w:rsid w:val="002238A3"/>
    <w:rsid w:val="00223BFA"/>
    <w:rsid w:val="00223EC5"/>
    <w:rsid w:val="00223F64"/>
    <w:rsid w:val="0022453A"/>
    <w:rsid w:val="00225065"/>
    <w:rsid w:val="0022564F"/>
    <w:rsid w:val="00225D85"/>
    <w:rsid w:val="002267EB"/>
    <w:rsid w:val="00227160"/>
    <w:rsid w:val="002274BB"/>
    <w:rsid w:val="00227C71"/>
    <w:rsid w:val="002302BE"/>
    <w:rsid w:val="00230ECC"/>
    <w:rsid w:val="00230FB2"/>
    <w:rsid w:val="00231128"/>
    <w:rsid w:val="002311A0"/>
    <w:rsid w:val="0023158C"/>
    <w:rsid w:val="00231660"/>
    <w:rsid w:val="002326F4"/>
    <w:rsid w:val="00232AC8"/>
    <w:rsid w:val="0023300B"/>
    <w:rsid w:val="00233483"/>
    <w:rsid w:val="002336B8"/>
    <w:rsid w:val="00233A5A"/>
    <w:rsid w:val="00233A67"/>
    <w:rsid w:val="002349DE"/>
    <w:rsid w:val="00234A5B"/>
    <w:rsid w:val="00235334"/>
    <w:rsid w:val="00235518"/>
    <w:rsid w:val="00235985"/>
    <w:rsid w:val="002363D2"/>
    <w:rsid w:val="002367A8"/>
    <w:rsid w:val="002368D5"/>
    <w:rsid w:val="002368D6"/>
    <w:rsid w:val="0023690A"/>
    <w:rsid w:val="00237000"/>
    <w:rsid w:val="0023725D"/>
    <w:rsid w:val="0023730F"/>
    <w:rsid w:val="002375DE"/>
    <w:rsid w:val="00237660"/>
    <w:rsid w:val="00237B26"/>
    <w:rsid w:val="00237BC0"/>
    <w:rsid w:val="00240AD8"/>
    <w:rsid w:val="00240ADF"/>
    <w:rsid w:val="002415BC"/>
    <w:rsid w:val="00241E72"/>
    <w:rsid w:val="002421A0"/>
    <w:rsid w:val="0024247D"/>
    <w:rsid w:val="0024297D"/>
    <w:rsid w:val="002429AB"/>
    <w:rsid w:val="0024314F"/>
    <w:rsid w:val="002431C2"/>
    <w:rsid w:val="002436DF"/>
    <w:rsid w:val="00243973"/>
    <w:rsid w:val="00243A45"/>
    <w:rsid w:val="00244A27"/>
    <w:rsid w:val="00244B78"/>
    <w:rsid w:val="00245058"/>
    <w:rsid w:val="00245269"/>
    <w:rsid w:val="0024577F"/>
    <w:rsid w:val="002457C2"/>
    <w:rsid w:val="002466F5"/>
    <w:rsid w:val="00246739"/>
    <w:rsid w:val="00247036"/>
    <w:rsid w:val="00247A02"/>
    <w:rsid w:val="00247C96"/>
    <w:rsid w:val="00252ADF"/>
    <w:rsid w:val="00252C40"/>
    <w:rsid w:val="00252CF3"/>
    <w:rsid w:val="00252DC1"/>
    <w:rsid w:val="00253096"/>
    <w:rsid w:val="0025346D"/>
    <w:rsid w:val="00253AEA"/>
    <w:rsid w:val="00255134"/>
    <w:rsid w:val="002554B4"/>
    <w:rsid w:val="0025762E"/>
    <w:rsid w:val="002577D0"/>
    <w:rsid w:val="0025797F"/>
    <w:rsid w:val="00257A0B"/>
    <w:rsid w:val="00260110"/>
    <w:rsid w:val="00260270"/>
    <w:rsid w:val="00261651"/>
    <w:rsid w:val="002629A9"/>
    <w:rsid w:val="00262A2D"/>
    <w:rsid w:val="00262F38"/>
    <w:rsid w:val="0026361A"/>
    <w:rsid w:val="00263768"/>
    <w:rsid w:val="002640EC"/>
    <w:rsid w:val="002650D4"/>
    <w:rsid w:val="0026591E"/>
    <w:rsid w:val="00265F6C"/>
    <w:rsid w:val="002666B7"/>
    <w:rsid w:val="00266CFF"/>
    <w:rsid w:val="00266EB4"/>
    <w:rsid w:val="00267F93"/>
    <w:rsid w:val="002702ED"/>
    <w:rsid w:val="0027042D"/>
    <w:rsid w:val="00270A73"/>
    <w:rsid w:val="0027130F"/>
    <w:rsid w:val="00271402"/>
    <w:rsid w:val="002715C8"/>
    <w:rsid w:val="002724F8"/>
    <w:rsid w:val="00272559"/>
    <w:rsid w:val="002735AE"/>
    <w:rsid w:val="002749AF"/>
    <w:rsid w:val="00274B6C"/>
    <w:rsid w:val="00274EC1"/>
    <w:rsid w:val="0027645F"/>
    <w:rsid w:val="002769AC"/>
    <w:rsid w:val="00276F3A"/>
    <w:rsid w:val="0027711C"/>
    <w:rsid w:val="002772E1"/>
    <w:rsid w:val="0027780C"/>
    <w:rsid w:val="00280F6D"/>
    <w:rsid w:val="00281316"/>
    <w:rsid w:val="0028157F"/>
    <w:rsid w:val="002815B7"/>
    <w:rsid w:val="00281B7B"/>
    <w:rsid w:val="00281BD4"/>
    <w:rsid w:val="00282656"/>
    <w:rsid w:val="0028311F"/>
    <w:rsid w:val="00283304"/>
    <w:rsid w:val="00283E15"/>
    <w:rsid w:val="002843D3"/>
    <w:rsid w:val="00284C6C"/>
    <w:rsid w:val="00284CD3"/>
    <w:rsid w:val="0028530C"/>
    <w:rsid w:val="002857D4"/>
    <w:rsid w:val="00286207"/>
    <w:rsid w:val="002864A0"/>
    <w:rsid w:val="0028692C"/>
    <w:rsid w:val="00287186"/>
    <w:rsid w:val="002901CB"/>
    <w:rsid w:val="0029215F"/>
    <w:rsid w:val="0029294F"/>
    <w:rsid w:val="0029297D"/>
    <w:rsid w:val="00292D42"/>
    <w:rsid w:val="0029328C"/>
    <w:rsid w:val="002934D5"/>
    <w:rsid w:val="002935D7"/>
    <w:rsid w:val="00294F94"/>
    <w:rsid w:val="00295467"/>
    <w:rsid w:val="00295488"/>
    <w:rsid w:val="002956FF"/>
    <w:rsid w:val="00295A26"/>
    <w:rsid w:val="00295D66"/>
    <w:rsid w:val="00296FA7"/>
    <w:rsid w:val="002976D5"/>
    <w:rsid w:val="00297B14"/>
    <w:rsid w:val="00297C5A"/>
    <w:rsid w:val="00297D88"/>
    <w:rsid w:val="002A06AD"/>
    <w:rsid w:val="002A06FE"/>
    <w:rsid w:val="002A0A8B"/>
    <w:rsid w:val="002A1242"/>
    <w:rsid w:val="002A17A8"/>
    <w:rsid w:val="002A191F"/>
    <w:rsid w:val="002A2058"/>
    <w:rsid w:val="002A22B4"/>
    <w:rsid w:val="002A24F4"/>
    <w:rsid w:val="002A2E9D"/>
    <w:rsid w:val="002A36AB"/>
    <w:rsid w:val="002A377C"/>
    <w:rsid w:val="002A3C03"/>
    <w:rsid w:val="002A438E"/>
    <w:rsid w:val="002A470D"/>
    <w:rsid w:val="002A47E1"/>
    <w:rsid w:val="002A4AE2"/>
    <w:rsid w:val="002A516D"/>
    <w:rsid w:val="002A6EB8"/>
    <w:rsid w:val="002A735E"/>
    <w:rsid w:val="002A7678"/>
    <w:rsid w:val="002B03D3"/>
    <w:rsid w:val="002B05DD"/>
    <w:rsid w:val="002B0638"/>
    <w:rsid w:val="002B0AD1"/>
    <w:rsid w:val="002B0B0B"/>
    <w:rsid w:val="002B16B7"/>
    <w:rsid w:val="002B2573"/>
    <w:rsid w:val="002B2D8A"/>
    <w:rsid w:val="002B343F"/>
    <w:rsid w:val="002B34DF"/>
    <w:rsid w:val="002B3705"/>
    <w:rsid w:val="002B39EF"/>
    <w:rsid w:val="002B3B21"/>
    <w:rsid w:val="002B3BAB"/>
    <w:rsid w:val="002B3DD8"/>
    <w:rsid w:val="002B3E24"/>
    <w:rsid w:val="002B42A1"/>
    <w:rsid w:val="002B44BA"/>
    <w:rsid w:val="002B475C"/>
    <w:rsid w:val="002B4818"/>
    <w:rsid w:val="002B4D5F"/>
    <w:rsid w:val="002B529C"/>
    <w:rsid w:val="002B5BF3"/>
    <w:rsid w:val="002B6170"/>
    <w:rsid w:val="002B697C"/>
    <w:rsid w:val="002B6E3C"/>
    <w:rsid w:val="002B7354"/>
    <w:rsid w:val="002B73B7"/>
    <w:rsid w:val="002B79BF"/>
    <w:rsid w:val="002B7A2B"/>
    <w:rsid w:val="002B7B3A"/>
    <w:rsid w:val="002C0842"/>
    <w:rsid w:val="002C0879"/>
    <w:rsid w:val="002C120D"/>
    <w:rsid w:val="002C1A9D"/>
    <w:rsid w:val="002C1D05"/>
    <w:rsid w:val="002C1E1C"/>
    <w:rsid w:val="002C4E57"/>
    <w:rsid w:val="002C52CD"/>
    <w:rsid w:val="002C5427"/>
    <w:rsid w:val="002C5D3E"/>
    <w:rsid w:val="002C5D40"/>
    <w:rsid w:val="002C6360"/>
    <w:rsid w:val="002C6D4B"/>
    <w:rsid w:val="002C7035"/>
    <w:rsid w:val="002C78BC"/>
    <w:rsid w:val="002C7E2F"/>
    <w:rsid w:val="002D02B2"/>
    <w:rsid w:val="002D0C5E"/>
    <w:rsid w:val="002D0E41"/>
    <w:rsid w:val="002D1266"/>
    <w:rsid w:val="002D1A84"/>
    <w:rsid w:val="002D226C"/>
    <w:rsid w:val="002D32BB"/>
    <w:rsid w:val="002D33F1"/>
    <w:rsid w:val="002D38B2"/>
    <w:rsid w:val="002D3CCB"/>
    <w:rsid w:val="002D3D52"/>
    <w:rsid w:val="002D3E4D"/>
    <w:rsid w:val="002D40A3"/>
    <w:rsid w:val="002D4419"/>
    <w:rsid w:val="002D48F6"/>
    <w:rsid w:val="002D499A"/>
    <w:rsid w:val="002D4BFC"/>
    <w:rsid w:val="002D4ED1"/>
    <w:rsid w:val="002D5822"/>
    <w:rsid w:val="002D61C7"/>
    <w:rsid w:val="002D62FF"/>
    <w:rsid w:val="002D6459"/>
    <w:rsid w:val="002D661A"/>
    <w:rsid w:val="002D68C7"/>
    <w:rsid w:val="002D73E8"/>
    <w:rsid w:val="002D772A"/>
    <w:rsid w:val="002D7AF7"/>
    <w:rsid w:val="002D7DC4"/>
    <w:rsid w:val="002E00A7"/>
    <w:rsid w:val="002E0260"/>
    <w:rsid w:val="002E0384"/>
    <w:rsid w:val="002E0724"/>
    <w:rsid w:val="002E0D70"/>
    <w:rsid w:val="002E0D82"/>
    <w:rsid w:val="002E16A2"/>
    <w:rsid w:val="002E17CE"/>
    <w:rsid w:val="002E1E65"/>
    <w:rsid w:val="002E252B"/>
    <w:rsid w:val="002E2A88"/>
    <w:rsid w:val="002E392F"/>
    <w:rsid w:val="002E4B9D"/>
    <w:rsid w:val="002E4FD6"/>
    <w:rsid w:val="002E50D1"/>
    <w:rsid w:val="002E54CE"/>
    <w:rsid w:val="002E5AC5"/>
    <w:rsid w:val="002E5E06"/>
    <w:rsid w:val="002E602C"/>
    <w:rsid w:val="002E78BB"/>
    <w:rsid w:val="002E7E66"/>
    <w:rsid w:val="002F0782"/>
    <w:rsid w:val="002F0B4E"/>
    <w:rsid w:val="002F0C71"/>
    <w:rsid w:val="002F144C"/>
    <w:rsid w:val="002F1B0F"/>
    <w:rsid w:val="002F1E4B"/>
    <w:rsid w:val="002F2148"/>
    <w:rsid w:val="002F2360"/>
    <w:rsid w:val="002F26F4"/>
    <w:rsid w:val="002F27EB"/>
    <w:rsid w:val="002F29F6"/>
    <w:rsid w:val="002F3029"/>
    <w:rsid w:val="002F34C0"/>
    <w:rsid w:val="002F408D"/>
    <w:rsid w:val="002F4827"/>
    <w:rsid w:val="002F4D14"/>
    <w:rsid w:val="002F4D58"/>
    <w:rsid w:val="002F548C"/>
    <w:rsid w:val="002F559B"/>
    <w:rsid w:val="002F5A1C"/>
    <w:rsid w:val="002F76E7"/>
    <w:rsid w:val="002F771E"/>
    <w:rsid w:val="002F7EA1"/>
    <w:rsid w:val="00300077"/>
    <w:rsid w:val="00300199"/>
    <w:rsid w:val="003002F2"/>
    <w:rsid w:val="003005DE"/>
    <w:rsid w:val="00300865"/>
    <w:rsid w:val="00301F56"/>
    <w:rsid w:val="00302213"/>
    <w:rsid w:val="00302DCA"/>
    <w:rsid w:val="00302E8E"/>
    <w:rsid w:val="0030367B"/>
    <w:rsid w:val="00303B99"/>
    <w:rsid w:val="00303E64"/>
    <w:rsid w:val="0030459F"/>
    <w:rsid w:val="00304B62"/>
    <w:rsid w:val="00304EB7"/>
    <w:rsid w:val="00306657"/>
    <w:rsid w:val="00306840"/>
    <w:rsid w:val="00307231"/>
    <w:rsid w:val="0030756E"/>
    <w:rsid w:val="00307826"/>
    <w:rsid w:val="00307AF2"/>
    <w:rsid w:val="003103C9"/>
    <w:rsid w:val="00310468"/>
    <w:rsid w:val="00310891"/>
    <w:rsid w:val="00311358"/>
    <w:rsid w:val="00311C7F"/>
    <w:rsid w:val="00311D54"/>
    <w:rsid w:val="003125FE"/>
    <w:rsid w:val="0031263E"/>
    <w:rsid w:val="0031289C"/>
    <w:rsid w:val="00312B5C"/>
    <w:rsid w:val="00312F1D"/>
    <w:rsid w:val="00313D5D"/>
    <w:rsid w:val="00313FF1"/>
    <w:rsid w:val="00314DD9"/>
    <w:rsid w:val="00314E39"/>
    <w:rsid w:val="00315819"/>
    <w:rsid w:val="00315B16"/>
    <w:rsid w:val="00315E1D"/>
    <w:rsid w:val="003169AE"/>
    <w:rsid w:val="00316A43"/>
    <w:rsid w:val="00316BEF"/>
    <w:rsid w:val="00317677"/>
    <w:rsid w:val="0032019A"/>
    <w:rsid w:val="0032022F"/>
    <w:rsid w:val="0032078F"/>
    <w:rsid w:val="00320A7E"/>
    <w:rsid w:val="00320B01"/>
    <w:rsid w:val="00321199"/>
    <w:rsid w:val="003217E2"/>
    <w:rsid w:val="00321C9C"/>
    <w:rsid w:val="003221BF"/>
    <w:rsid w:val="003225F1"/>
    <w:rsid w:val="00322A28"/>
    <w:rsid w:val="00323448"/>
    <w:rsid w:val="00323699"/>
    <w:rsid w:val="00324207"/>
    <w:rsid w:val="003247B2"/>
    <w:rsid w:val="003252EE"/>
    <w:rsid w:val="0032602C"/>
    <w:rsid w:val="003264AE"/>
    <w:rsid w:val="003265A3"/>
    <w:rsid w:val="0032660B"/>
    <w:rsid w:val="0032663F"/>
    <w:rsid w:val="00326A89"/>
    <w:rsid w:val="00326AE9"/>
    <w:rsid w:val="00326F83"/>
    <w:rsid w:val="00327388"/>
    <w:rsid w:val="00327E95"/>
    <w:rsid w:val="0033045C"/>
    <w:rsid w:val="00331612"/>
    <w:rsid w:val="00331727"/>
    <w:rsid w:val="00331AAF"/>
    <w:rsid w:val="00331F33"/>
    <w:rsid w:val="00332B13"/>
    <w:rsid w:val="00332F1B"/>
    <w:rsid w:val="00333096"/>
    <w:rsid w:val="00333812"/>
    <w:rsid w:val="0033439C"/>
    <w:rsid w:val="003345A4"/>
    <w:rsid w:val="0033460E"/>
    <w:rsid w:val="00334733"/>
    <w:rsid w:val="00334C27"/>
    <w:rsid w:val="00335644"/>
    <w:rsid w:val="00335CD6"/>
    <w:rsid w:val="00336378"/>
    <w:rsid w:val="0033777F"/>
    <w:rsid w:val="00337878"/>
    <w:rsid w:val="00340316"/>
    <w:rsid w:val="003411D0"/>
    <w:rsid w:val="00342213"/>
    <w:rsid w:val="003424A7"/>
    <w:rsid w:val="00343144"/>
    <w:rsid w:val="003436F6"/>
    <w:rsid w:val="00343C0C"/>
    <w:rsid w:val="00343F0D"/>
    <w:rsid w:val="003441B7"/>
    <w:rsid w:val="0034465D"/>
    <w:rsid w:val="0034467A"/>
    <w:rsid w:val="00344C5A"/>
    <w:rsid w:val="00344F7D"/>
    <w:rsid w:val="0034509B"/>
    <w:rsid w:val="003452DC"/>
    <w:rsid w:val="003454CD"/>
    <w:rsid w:val="003459A4"/>
    <w:rsid w:val="00345F65"/>
    <w:rsid w:val="0034621B"/>
    <w:rsid w:val="0034652A"/>
    <w:rsid w:val="003470EF"/>
    <w:rsid w:val="0034779C"/>
    <w:rsid w:val="003479D2"/>
    <w:rsid w:val="00347B7D"/>
    <w:rsid w:val="00350E69"/>
    <w:rsid w:val="003512D5"/>
    <w:rsid w:val="0035270D"/>
    <w:rsid w:val="00352B85"/>
    <w:rsid w:val="00352F8C"/>
    <w:rsid w:val="00353D7F"/>
    <w:rsid w:val="00353E02"/>
    <w:rsid w:val="00353E67"/>
    <w:rsid w:val="0035425F"/>
    <w:rsid w:val="0035441F"/>
    <w:rsid w:val="0035527B"/>
    <w:rsid w:val="003554AA"/>
    <w:rsid w:val="00355810"/>
    <w:rsid w:val="00355D51"/>
    <w:rsid w:val="003564FB"/>
    <w:rsid w:val="00356543"/>
    <w:rsid w:val="00356CFD"/>
    <w:rsid w:val="003574AD"/>
    <w:rsid w:val="00357588"/>
    <w:rsid w:val="00357CA2"/>
    <w:rsid w:val="00360CF4"/>
    <w:rsid w:val="003614CA"/>
    <w:rsid w:val="00361597"/>
    <w:rsid w:val="00361ED2"/>
    <w:rsid w:val="003622DC"/>
    <w:rsid w:val="00362C2A"/>
    <w:rsid w:val="00362D52"/>
    <w:rsid w:val="00363520"/>
    <w:rsid w:val="00363D79"/>
    <w:rsid w:val="0036445D"/>
    <w:rsid w:val="003649D4"/>
    <w:rsid w:val="00365091"/>
    <w:rsid w:val="003652CC"/>
    <w:rsid w:val="0036577A"/>
    <w:rsid w:val="003659CB"/>
    <w:rsid w:val="00365EBB"/>
    <w:rsid w:val="003665E0"/>
    <w:rsid w:val="00366A8C"/>
    <w:rsid w:val="00367714"/>
    <w:rsid w:val="003707B5"/>
    <w:rsid w:val="00371243"/>
    <w:rsid w:val="00371291"/>
    <w:rsid w:val="0037170B"/>
    <w:rsid w:val="00371774"/>
    <w:rsid w:val="00371E0C"/>
    <w:rsid w:val="00371E91"/>
    <w:rsid w:val="00372034"/>
    <w:rsid w:val="003725A1"/>
    <w:rsid w:val="00372767"/>
    <w:rsid w:val="00372D56"/>
    <w:rsid w:val="003736BE"/>
    <w:rsid w:val="00373787"/>
    <w:rsid w:val="00373FC0"/>
    <w:rsid w:val="003744FF"/>
    <w:rsid w:val="00374BA3"/>
    <w:rsid w:val="00374DCD"/>
    <w:rsid w:val="00375EB5"/>
    <w:rsid w:val="00377262"/>
    <w:rsid w:val="00377EFA"/>
    <w:rsid w:val="00380439"/>
    <w:rsid w:val="00380451"/>
    <w:rsid w:val="00380F84"/>
    <w:rsid w:val="003810A6"/>
    <w:rsid w:val="00381658"/>
    <w:rsid w:val="00381C6A"/>
    <w:rsid w:val="00381E36"/>
    <w:rsid w:val="00383379"/>
    <w:rsid w:val="00383919"/>
    <w:rsid w:val="00383F82"/>
    <w:rsid w:val="0038428F"/>
    <w:rsid w:val="00385592"/>
    <w:rsid w:val="00385FBB"/>
    <w:rsid w:val="00386049"/>
    <w:rsid w:val="00386760"/>
    <w:rsid w:val="00386CE8"/>
    <w:rsid w:val="003900A8"/>
    <w:rsid w:val="00390D24"/>
    <w:rsid w:val="00390D9C"/>
    <w:rsid w:val="00391875"/>
    <w:rsid w:val="003918C9"/>
    <w:rsid w:val="0039196F"/>
    <w:rsid w:val="00391AE0"/>
    <w:rsid w:val="00391DC4"/>
    <w:rsid w:val="003928F1"/>
    <w:rsid w:val="00392F2D"/>
    <w:rsid w:val="003930B3"/>
    <w:rsid w:val="00393278"/>
    <w:rsid w:val="00393EC2"/>
    <w:rsid w:val="003945AB"/>
    <w:rsid w:val="00394E56"/>
    <w:rsid w:val="0039506A"/>
    <w:rsid w:val="003951AA"/>
    <w:rsid w:val="00395A18"/>
    <w:rsid w:val="00395D84"/>
    <w:rsid w:val="00396321"/>
    <w:rsid w:val="003964B2"/>
    <w:rsid w:val="00396FEA"/>
    <w:rsid w:val="00397725"/>
    <w:rsid w:val="00397EA9"/>
    <w:rsid w:val="003A00E8"/>
    <w:rsid w:val="003A03BA"/>
    <w:rsid w:val="003A0E34"/>
    <w:rsid w:val="003A0E76"/>
    <w:rsid w:val="003A1352"/>
    <w:rsid w:val="003A1B05"/>
    <w:rsid w:val="003A1E22"/>
    <w:rsid w:val="003A23BB"/>
    <w:rsid w:val="003A2481"/>
    <w:rsid w:val="003A2AE3"/>
    <w:rsid w:val="003A3C2D"/>
    <w:rsid w:val="003A41CF"/>
    <w:rsid w:val="003A42A7"/>
    <w:rsid w:val="003A4ECE"/>
    <w:rsid w:val="003A5352"/>
    <w:rsid w:val="003A551B"/>
    <w:rsid w:val="003A5CEE"/>
    <w:rsid w:val="003A5FC1"/>
    <w:rsid w:val="003A6652"/>
    <w:rsid w:val="003A6A1F"/>
    <w:rsid w:val="003A6B00"/>
    <w:rsid w:val="003A6F15"/>
    <w:rsid w:val="003A7CD1"/>
    <w:rsid w:val="003A7DAA"/>
    <w:rsid w:val="003B0223"/>
    <w:rsid w:val="003B0A63"/>
    <w:rsid w:val="003B14D4"/>
    <w:rsid w:val="003B1EBF"/>
    <w:rsid w:val="003B2940"/>
    <w:rsid w:val="003B3583"/>
    <w:rsid w:val="003B36ED"/>
    <w:rsid w:val="003B42A7"/>
    <w:rsid w:val="003B42B9"/>
    <w:rsid w:val="003B4AB9"/>
    <w:rsid w:val="003B4FAE"/>
    <w:rsid w:val="003B5EEB"/>
    <w:rsid w:val="003B62D2"/>
    <w:rsid w:val="003B691D"/>
    <w:rsid w:val="003B746F"/>
    <w:rsid w:val="003B7851"/>
    <w:rsid w:val="003B7EDF"/>
    <w:rsid w:val="003C03C4"/>
    <w:rsid w:val="003C16CE"/>
    <w:rsid w:val="003C19E4"/>
    <w:rsid w:val="003C1ED0"/>
    <w:rsid w:val="003C2490"/>
    <w:rsid w:val="003C2874"/>
    <w:rsid w:val="003C2FA2"/>
    <w:rsid w:val="003C3A40"/>
    <w:rsid w:val="003C3AAB"/>
    <w:rsid w:val="003C3F9E"/>
    <w:rsid w:val="003C4C05"/>
    <w:rsid w:val="003C58A8"/>
    <w:rsid w:val="003C59A3"/>
    <w:rsid w:val="003C5B34"/>
    <w:rsid w:val="003C5F63"/>
    <w:rsid w:val="003C635B"/>
    <w:rsid w:val="003C65BE"/>
    <w:rsid w:val="003C6A97"/>
    <w:rsid w:val="003C6BF2"/>
    <w:rsid w:val="003D0197"/>
    <w:rsid w:val="003D02C3"/>
    <w:rsid w:val="003D07D9"/>
    <w:rsid w:val="003D0818"/>
    <w:rsid w:val="003D0A4D"/>
    <w:rsid w:val="003D0E60"/>
    <w:rsid w:val="003D17ED"/>
    <w:rsid w:val="003D1F10"/>
    <w:rsid w:val="003D25FC"/>
    <w:rsid w:val="003D2D23"/>
    <w:rsid w:val="003D3381"/>
    <w:rsid w:val="003D33D3"/>
    <w:rsid w:val="003D3C84"/>
    <w:rsid w:val="003D3E9C"/>
    <w:rsid w:val="003D42FE"/>
    <w:rsid w:val="003D433D"/>
    <w:rsid w:val="003D45F6"/>
    <w:rsid w:val="003D4885"/>
    <w:rsid w:val="003D4AB0"/>
    <w:rsid w:val="003D4CBB"/>
    <w:rsid w:val="003D50E0"/>
    <w:rsid w:val="003D55E2"/>
    <w:rsid w:val="003D591D"/>
    <w:rsid w:val="003D594D"/>
    <w:rsid w:val="003D5A72"/>
    <w:rsid w:val="003D64F8"/>
    <w:rsid w:val="003D6ED7"/>
    <w:rsid w:val="003D7AFA"/>
    <w:rsid w:val="003E04D5"/>
    <w:rsid w:val="003E0902"/>
    <w:rsid w:val="003E14CA"/>
    <w:rsid w:val="003E1B3C"/>
    <w:rsid w:val="003E2210"/>
    <w:rsid w:val="003E281E"/>
    <w:rsid w:val="003E28D3"/>
    <w:rsid w:val="003E2F6F"/>
    <w:rsid w:val="003E2FE9"/>
    <w:rsid w:val="003E3143"/>
    <w:rsid w:val="003E3281"/>
    <w:rsid w:val="003E3350"/>
    <w:rsid w:val="003E38C2"/>
    <w:rsid w:val="003E3C8C"/>
    <w:rsid w:val="003E3CB8"/>
    <w:rsid w:val="003E432E"/>
    <w:rsid w:val="003E4747"/>
    <w:rsid w:val="003E5236"/>
    <w:rsid w:val="003E52CF"/>
    <w:rsid w:val="003E6480"/>
    <w:rsid w:val="003E6544"/>
    <w:rsid w:val="003E65B0"/>
    <w:rsid w:val="003E71CA"/>
    <w:rsid w:val="003E72C6"/>
    <w:rsid w:val="003E791C"/>
    <w:rsid w:val="003E7C15"/>
    <w:rsid w:val="003E7E03"/>
    <w:rsid w:val="003E7FF9"/>
    <w:rsid w:val="003F05C4"/>
    <w:rsid w:val="003F0737"/>
    <w:rsid w:val="003F0CF5"/>
    <w:rsid w:val="003F1142"/>
    <w:rsid w:val="003F1492"/>
    <w:rsid w:val="003F1739"/>
    <w:rsid w:val="003F206F"/>
    <w:rsid w:val="003F2100"/>
    <w:rsid w:val="003F274D"/>
    <w:rsid w:val="003F28C0"/>
    <w:rsid w:val="003F328B"/>
    <w:rsid w:val="003F3D4F"/>
    <w:rsid w:val="003F45A2"/>
    <w:rsid w:val="003F50F0"/>
    <w:rsid w:val="003F5C1F"/>
    <w:rsid w:val="003F5DFC"/>
    <w:rsid w:val="003F7082"/>
    <w:rsid w:val="003F723B"/>
    <w:rsid w:val="004003A5"/>
    <w:rsid w:val="00400621"/>
    <w:rsid w:val="00400B79"/>
    <w:rsid w:val="00401529"/>
    <w:rsid w:val="00401610"/>
    <w:rsid w:val="00401828"/>
    <w:rsid w:val="00401F04"/>
    <w:rsid w:val="00401FAB"/>
    <w:rsid w:val="0040240E"/>
    <w:rsid w:val="00402517"/>
    <w:rsid w:val="00402AFF"/>
    <w:rsid w:val="00402C5A"/>
    <w:rsid w:val="00403094"/>
    <w:rsid w:val="00403244"/>
    <w:rsid w:val="00403D61"/>
    <w:rsid w:val="00404F7C"/>
    <w:rsid w:val="0040522E"/>
    <w:rsid w:val="00406314"/>
    <w:rsid w:val="004068F8"/>
    <w:rsid w:val="00406F1C"/>
    <w:rsid w:val="0040727F"/>
    <w:rsid w:val="00407720"/>
    <w:rsid w:val="0040792D"/>
    <w:rsid w:val="00407E26"/>
    <w:rsid w:val="00410F31"/>
    <w:rsid w:val="0041175D"/>
    <w:rsid w:val="0041184A"/>
    <w:rsid w:val="00411C92"/>
    <w:rsid w:val="00411E58"/>
    <w:rsid w:val="00411EBB"/>
    <w:rsid w:val="00412639"/>
    <w:rsid w:val="00412A92"/>
    <w:rsid w:val="00412AB5"/>
    <w:rsid w:val="00412BC0"/>
    <w:rsid w:val="0041359F"/>
    <w:rsid w:val="0041362D"/>
    <w:rsid w:val="004136EE"/>
    <w:rsid w:val="00413F0F"/>
    <w:rsid w:val="004141F4"/>
    <w:rsid w:val="00415DAD"/>
    <w:rsid w:val="00416189"/>
    <w:rsid w:val="00416798"/>
    <w:rsid w:val="00416843"/>
    <w:rsid w:val="00416A22"/>
    <w:rsid w:val="00416D75"/>
    <w:rsid w:val="00416E0E"/>
    <w:rsid w:val="0041717D"/>
    <w:rsid w:val="004171DA"/>
    <w:rsid w:val="0041777F"/>
    <w:rsid w:val="00417E77"/>
    <w:rsid w:val="00420666"/>
    <w:rsid w:val="00420C2D"/>
    <w:rsid w:val="00420D0A"/>
    <w:rsid w:val="00420E13"/>
    <w:rsid w:val="004222E6"/>
    <w:rsid w:val="0042236C"/>
    <w:rsid w:val="00422B9C"/>
    <w:rsid w:val="00423046"/>
    <w:rsid w:val="004232D8"/>
    <w:rsid w:val="004237CC"/>
    <w:rsid w:val="0042393C"/>
    <w:rsid w:val="004239AB"/>
    <w:rsid w:val="00424165"/>
    <w:rsid w:val="0042459F"/>
    <w:rsid w:val="0042469E"/>
    <w:rsid w:val="00424A05"/>
    <w:rsid w:val="00424A56"/>
    <w:rsid w:val="00424D15"/>
    <w:rsid w:val="0042542B"/>
    <w:rsid w:val="00425B6E"/>
    <w:rsid w:val="00425CF3"/>
    <w:rsid w:val="00426B75"/>
    <w:rsid w:val="0042745D"/>
    <w:rsid w:val="00427602"/>
    <w:rsid w:val="004276EB"/>
    <w:rsid w:val="00427CF0"/>
    <w:rsid w:val="00427FCC"/>
    <w:rsid w:val="00430E2E"/>
    <w:rsid w:val="00431171"/>
    <w:rsid w:val="004315AE"/>
    <w:rsid w:val="0043289D"/>
    <w:rsid w:val="00433377"/>
    <w:rsid w:val="00433501"/>
    <w:rsid w:val="00433533"/>
    <w:rsid w:val="0043372A"/>
    <w:rsid w:val="00433D45"/>
    <w:rsid w:val="004343E7"/>
    <w:rsid w:val="004357F7"/>
    <w:rsid w:val="00435BAF"/>
    <w:rsid w:val="00435E7B"/>
    <w:rsid w:val="00435EC2"/>
    <w:rsid w:val="004360E1"/>
    <w:rsid w:val="00436762"/>
    <w:rsid w:val="00436968"/>
    <w:rsid w:val="004373A4"/>
    <w:rsid w:val="00437B30"/>
    <w:rsid w:val="00437C81"/>
    <w:rsid w:val="00437CBC"/>
    <w:rsid w:val="00437D2A"/>
    <w:rsid w:val="0044102E"/>
    <w:rsid w:val="0044196B"/>
    <w:rsid w:val="004419D8"/>
    <w:rsid w:val="00442519"/>
    <w:rsid w:val="0044262A"/>
    <w:rsid w:val="00443540"/>
    <w:rsid w:val="0044385A"/>
    <w:rsid w:val="0044389E"/>
    <w:rsid w:val="00443ECB"/>
    <w:rsid w:val="00444671"/>
    <w:rsid w:val="004453F7"/>
    <w:rsid w:val="0044653C"/>
    <w:rsid w:val="004468D0"/>
    <w:rsid w:val="00446B16"/>
    <w:rsid w:val="0044714E"/>
    <w:rsid w:val="00447447"/>
    <w:rsid w:val="004478B0"/>
    <w:rsid w:val="00447BF6"/>
    <w:rsid w:val="00447DF2"/>
    <w:rsid w:val="004506DC"/>
    <w:rsid w:val="004509E5"/>
    <w:rsid w:val="004512F1"/>
    <w:rsid w:val="00451C69"/>
    <w:rsid w:val="0045272C"/>
    <w:rsid w:val="00452FB6"/>
    <w:rsid w:val="0045443C"/>
    <w:rsid w:val="004546D3"/>
    <w:rsid w:val="004548EA"/>
    <w:rsid w:val="004549F8"/>
    <w:rsid w:val="00455127"/>
    <w:rsid w:val="004553E4"/>
    <w:rsid w:val="00455A52"/>
    <w:rsid w:val="00455E1F"/>
    <w:rsid w:val="00456C46"/>
    <w:rsid w:val="00456D7B"/>
    <w:rsid w:val="004573EF"/>
    <w:rsid w:val="0045747B"/>
    <w:rsid w:val="004604EF"/>
    <w:rsid w:val="004605F6"/>
    <w:rsid w:val="0046074D"/>
    <w:rsid w:val="004608BE"/>
    <w:rsid w:val="00460B83"/>
    <w:rsid w:val="00460E16"/>
    <w:rsid w:val="00460E75"/>
    <w:rsid w:val="004615FA"/>
    <w:rsid w:val="00461F75"/>
    <w:rsid w:val="00461F7D"/>
    <w:rsid w:val="00462150"/>
    <w:rsid w:val="00462913"/>
    <w:rsid w:val="0046405A"/>
    <w:rsid w:val="00464258"/>
    <w:rsid w:val="00467BFC"/>
    <w:rsid w:val="004701BE"/>
    <w:rsid w:val="004704CD"/>
    <w:rsid w:val="00470CD3"/>
    <w:rsid w:val="00470D09"/>
    <w:rsid w:val="004715FF"/>
    <w:rsid w:val="00471962"/>
    <w:rsid w:val="00471A8B"/>
    <w:rsid w:val="004721BC"/>
    <w:rsid w:val="004727B7"/>
    <w:rsid w:val="00473461"/>
    <w:rsid w:val="00473D52"/>
    <w:rsid w:val="00473ED1"/>
    <w:rsid w:val="00474853"/>
    <w:rsid w:val="00474B0D"/>
    <w:rsid w:val="00475397"/>
    <w:rsid w:val="004754FE"/>
    <w:rsid w:val="00475549"/>
    <w:rsid w:val="004755FF"/>
    <w:rsid w:val="0047597D"/>
    <w:rsid w:val="00475B34"/>
    <w:rsid w:val="00475F1C"/>
    <w:rsid w:val="0047647E"/>
    <w:rsid w:val="004765E4"/>
    <w:rsid w:val="00476B8E"/>
    <w:rsid w:val="004771C7"/>
    <w:rsid w:val="00477395"/>
    <w:rsid w:val="00477839"/>
    <w:rsid w:val="00480486"/>
    <w:rsid w:val="00480D9B"/>
    <w:rsid w:val="00481BCC"/>
    <w:rsid w:val="00481C8D"/>
    <w:rsid w:val="00481E10"/>
    <w:rsid w:val="00481EE6"/>
    <w:rsid w:val="004831C3"/>
    <w:rsid w:val="0048332D"/>
    <w:rsid w:val="004837F3"/>
    <w:rsid w:val="00483893"/>
    <w:rsid w:val="004841F1"/>
    <w:rsid w:val="00484502"/>
    <w:rsid w:val="004851E3"/>
    <w:rsid w:val="00486A68"/>
    <w:rsid w:val="00487035"/>
    <w:rsid w:val="00487232"/>
    <w:rsid w:val="0049025B"/>
    <w:rsid w:val="004909C5"/>
    <w:rsid w:val="00490E35"/>
    <w:rsid w:val="00490F33"/>
    <w:rsid w:val="004918D8"/>
    <w:rsid w:val="00491CFA"/>
    <w:rsid w:val="00491F5A"/>
    <w:rsid w:val="00492C72"/>
    <w:rsid w:val="00493124"/>
    <w:rsid w:val="004937F2"/>
    <w:rsid w:val="00493AC3"/>
    <w:rsid w:val="004945DB"/>
    <w:rsid w:val="00494A8C"/>
    <w:rsid w:val="00494CD6"/>
    <w:rsid w:val="00495095"/>
    <w:rsid w:val="00495521"/>
    <w:rsid w:val="00495837"/>
    <w:rsid w:val="0049629B"/>
    <w:rsid w:val="004962C3"/>
    <w:rsid w:val="004962FB"/>
    <w:rsid w:val="00497450"/>
    <w:rsid w:val="00497E67"/>
    <w:rsid w:val="00497ED5"/>
    <w:rsid w:val="00497F99"/>
    <w:rsid w:val="004A00B3"/>
    <w:rsid w:val="004A1760"/>
    <w:rsid w:val="004A18CD"/>
    <w:rsid w:val="004A18FE"/>
    <w:rsid w:val="004A1BEC"/>
    <w:rsid w:val="004A2848"/>
    <w:rsid w:val="004A349D"/>
    <w:rsid w:val="004A3BB3"/>
    <w:rsid w:val="004A459C"/>
    <w:rsid w:val="004A45DA"/>
    <w:rsid w:val="004A4971"/>
    <w:rsid w:val="004A5424"/>
    <w:rsid w:val="004A59AE"/>
    <w:rsid w:val="004A5CDC"/>
    <w:rsid w:val="004A5E25"/>
    <w:rsid w:val="004A5EB4"/>
    <w:rsid w:val="004A6863"/>
    <w:rsid w:val="004A70AB"/>
    <w:rsid w:val="004A78B5"/>
    <w:rsid w:val="004A7D80"/>
    <w:rsid w:val="004B0238"/>
    <w:rsid w:val="004B03EF"/>
    <w:rsid w:val="004B049F"/>
    <w:rsid w:val="004B0B4C"/>
    <w:rsid w:val="004B1CB0"/>
    <w:rsid w:val="004B31EC"/>
    <w:rsid w:val="004B491F"/>
    <w:rsid w:val="004B56B9"/>
    <w:rsid w:val="004B66D1"/>
    <w:rsid w:val="004B6F5F"/>
    <w:rsid w:val="004B7103"/>
    <w:rsid w:val="004B7605"/>
    <w:rsid w:val="004B7CF7"/>
    <w:rsid w:val="004C05ED"/>
    <w:rsid w:val="004C069E"/>
    <w:rsid w:val="004C0BDA"/>
    <w:rsid w:val="004C0C70"/>
    <w:rsid w:val="004C0EE9"/>
    <w:rsid w:val="004C1469"/>
    <w:rsid w:val="004C1615"/>
    <w:rsid w:val="004C1C68"/>
    <w:rsid w:val="004C22AF"/>
    <w:rsid w:val="004C27A7"/>
    <w:rsid w:val="004C281B"/>
    <w:rsid w:val="004C2C9F"/>
    <w:rsid w:val="004C3531"/>
    <w:rsid w:val="004C3608"/>
    <w:rsid w:val="004C371A"/>
    <w:rsid w:val="004C3AA4"/>
    <w:rsid w:val="004C3DB2"/>
    <w:rsid w:val="004C496C"/>
    <w:rsid w:val="004C4D2B"/>
    <w:rsid w:val="004C4F87"/>
    <w:rsid w:val="004C53E5"/>
    <w:rsid w:val="004C601A"/>
    <w:rsid w:val="004C616B"/>
    <w:rsid w:val="004C6345"/>
    <w:rsid w:val="004C63BF"/>
    <w:rsid w:val="004C64E8"/>
    <w:rsid w:val="004C662B"/>
    <w:rsid w:val="004C6FAB"/>
    <w:rsid w:val="004C7172"/>
    <w:rsid w:val="004C7355"/>
    <w:rsid w:val="004C7BAE"/>
    <w:rsid w:val="004C7CF8"/>
    <w:rsid w:val="004D00ED"/>
    <w:rsid w:val="004D02FC"/>
    <w:rsid w:val="004D0449"/>
    <w:rsid w:val="004D04CD"/>
    <w:rsid w:val="004D0533"/>
    <w:rsid w:val="004D1D74"/>
    <w:rsid w:val="004D1F81"/>
    <w:rsid w:val="004D2290"/>
    <w:rsid w:val="004D2476"/>
    <w:rsid w:val="004D2A0F"/>
    <w:rsid w:val="004D2CBF"/>
    <w:rsid w:val="004D3B9F"/>
    <w:rsid w:val="004D454F"/>
    <w:rsid w:val="004D45E8"/>
    <w:rsid w:val="004D58CB"/>
    <w:rsid w:val="004D5D65"/>
    <w:rsid w:val="004D71CE"/>
    <w:rsid w:val="004D7776"/>
    <w:rsid w:val="004D7937"/>
    <w:rsid w:val="004D7E01"/>
    <w:rsid w:val="004E07A9"/>
    <w:rsid w:val="004E0D50"/>
    <w:rsid w:val="004E0DE7"/>
    <w:rsid w:val="004E0E42"/>
    <w:rsid w:val="004E1200"/>
    <w:rsid w:val="004E1301"/>
    <w:rsid w:val="004E1D68"/>
    <w:rsid w:val="004E1D6F"/>
    <w:rsid w:val="004E2079"/>
    <w:rsid w:val="004E2397"/>
    <w:rsid w:val="004E28A2"/>
    <w:rsid w:val="004E2FC2"/>
    <w:rsid w:val="004E31E2"/>
    <w:rsid w:val="004E346B"/>
    <w:rsid w:val="004E445E"/>
    <w:rsid w:val="004E4612"/>
    <w:rsid w:val="004E466C"/>
    <w:rsid w:val="004E46AB"/>
    <w:rsid w:val="004E474C"/>
    <w:rsid w:val="004E4FB8"/>
    <w:rsid w:val="004E502E"/>
    <w:rsid w:val="004E580F"/>
    <w:rsid w:val="004E5E46"/>
    <w:rsid w:val="004E60AF"/>
    <w:rsid w:val="004E637D"/>
    <w:rsid w:val="004E6D83"/>
    <w:rsid w:val="004E7870"/>
    <w:rsid w:val="004E7C54"/>
    <w:rsid w:val="004F00DF"/>
    <w:rsid w:val="004F0217"/>
    <w:rsid w:val="004F197F"/>
    <w:rsid w:val="004F1E4F"/>
    <w:rsid w:val="004F1FCF"/>
    <w:rsid w:val="004F2092"/>
    <w:rsid w:val="004F240A"/>
    <w:rsid w:val="004F251D"/>
    <w:rsid w:val="004F2883"/>
    <w:rsid w:val="004F2A50"/>
    <w:rsid w:val="004F2FBE"/>
    <w:rsid w:val="004F3A6A"/>
    <w:rsid w:val="004F40AD"/>
    <w:rsid w:val="004F4534"/>
    <w:rsid w:val="004F47CF"/>
    <w:rsid w:val="004F524D"/>
    <w:rsid w:val="004F56AB"/>
    <w:rsid w:val="004F5802"/>
    <w:rsid w:val="004F5D07"/>
    <w:rsid w:val="004F6090"/>
    <w:rsid w:val="004F6793"/>
    <w:rsid w:val="004F6F53"/>
    <w:rsid w:val="004F6FF3"/>
    <w:rsid w:val="004F72BA"/>
    <w:rsid w:val="004F784B"/>
    <w:rsid w:val="004F7C21"/>
    <w:rsid w:val="004F7C76"/>
    <w:rsid w:val="005003DC"/>
    <w:rsid w:val="005011FE"/>
    <w:rsid w:val="00501DCB"/>
    <w:rsid w:val="00502638"/>
    <w:rsid w:val="00502A3A"/>
    <w:rsid w:val="00502B63"/>
    <w:rsid w:val="00502D91"/>
    <w:rsid w:val="00502E7A"/>
    <w:rsid w:val="0050315D"/>
    <w:rsid w:val="005032DE"/>
    <w:rsid w:val="00503626"/>
    <w:rsid w:val="0050376A"/>
    <w:rsid w:val="00505577"/>
    <w:rsid w:val="00505F33"/>
    <w:rsid w:val="00506179"/>
    <w:rsid w:val="005063B0"/>
    <w:rsid w:val="00506506"/>
    <w:rsid w:val="005069CA"/>
    <w:rsid w:val="00506C22"/>
    <w:rsid w:val="0050703A"/>
    <w:rsid w:val="00507B23"/>
    <w:rsid w:val="00507F74"/>
    <w:rsid w:val="00511187"/>
    <w:rsid w:val="00511571"/>
    <w:rsid w:val="00512A4A"/>
    <w:rsid w:val="00512B6E"/>
    <w:rsid w:val="00512BDB"/>
    <w:rsid w:val="00512EF2"/>
    <w:rsid w:val="00513558"/>
    <w:rsid w:val="00513D30"/>
    <w:rsid w:val="00514288"/>
    <w:rsid w:val="00514469"/>
    <w:rsid w:val="00514AD5"/>
    <w:rsid w:val="00515250"/>
    <w:rsid w:val="00515355"/>
    <w:rsid w:val="00515695"/>
    <w:rsid w:val="00516333"/>
    <w:rsid w:val="00520137"/>
    <w:rsid w:val="00520171"/>
    <w:rsid w:val="005201B5"/>
    <w:rsid w:val="00520CB9"/>
    <w:rsid w:val="00521705"/>
    <w:rsid w:val="00522259"/>
    <w:rsid w:val="005226FC"/>
    <w:rsid w:val="00522E86"/>
    <w:rsid w:val="00523639"/>
    <w:rsid w:val="00523730"/>
    <w:rsid w:val="0052380B"/>
    <w:rsid w:val="00523870"/>
    <w:rsid w:val="005243B0"/>
    <w:rsid w:val="005245FE"/>
    <w:rsid w:val="0052463C"/>
    <w:rsid w:val="00524AE7"/>
    <w:rsid w:val="00524D83"/>
    <w:rsid w:val="00524E59"/>
    <w:rsid w:val="005251D5"/>
    <w:rsid w:val="00525279"/>
    <w:rsid w:val="00525313"/>
    <w:rsid w:val="00525445"/>
    <w:rsid w:val="0052556E"/>
    <w:rsid w:val="005260FB"/>
    <w:rsid w:val="0052658F"/>
    <w:rsid w:val="00526599"/>
    <w:rsid w:val="0052666E"/>
    <w:rsid w:val="0052738B"/>
    <w:rsid w:val="005274A0"/>
    <w:rsid w:val="00527648"/>
    <w:rsid w:val="00527801"/>
    <w:rsid w:val="00530507"/>
    <w:rsid w:val="00530B17"/>
    <w:rsid w:val="00530CD5"/>
    <w:rsid w:val="00530D01"/>
    <w:rsid w:val="00531B0F"/>
    <w:rsid w:val="00531CCC"/>
    <w:rsid w:val="005320D9"/>
    <w:rsid w:val="0053289A"/>
    <w:rsid w:val="00532D77"/>
    <w:rsid w:val="005332EB"/>
    <w:rsid w:val="005336A9"/>
    <w:rsid w:val="00533F22"/>
    <w:rsid w:val="005348A7"/>
    <w:rsid w:val="00535389"/>
    <w:rsid w:val="00535423"/>
    <w:rsid w:val="00535DF6"/>
    <w:rsid w:val="00535EF9"/>
    <w:rsid w:val="00536828"/>
    <w:rsid w:val="00537093"/>
    <w:rsid w:val="00537A77"/>
    <w:rsid w:val="00537E59"/>
    <w:rsid w:val="00540374"/>
    <w:rsid w:val="00540845"/>
    <w:rsid w:val="00540CE8"/>
    <w:rsid w:val="005431AB"/>
    <w:rsid w:val="00543982"/>
    <w:rsid w:val="00543C0D"/>
    <w:rsid w:val="00544230"/>
    <w:rsid w:val="00544363"/>
    <w:rsid w:val="00545B24"/>
    <w:rsid w:val="00545D55"/>
    <w:rsid w:val="00546152"/>
    <w:rsid w:val="00546422"/>
    <w:rsid w:val="005465D7"/>
    <w:rsid w:val="00546969"/>
    <w:rsid w:val="00546B23"/>
    <w:rsid w:val="00546EA1"/>
    <w:rsid w:val="00546FAC"/>
    <w:rsid w:val="00547250"/>
    <w:rsid w:val="0055032D"/>
    <w:rsid w:val="00550527"/>
    <w:rsid w:val="005505B5"/>
    <w:rsid w:val="0055096D"/>
    <w:rsid w:val="00550A65"/>
    <w:rsid w:val="00550B6E"/>
    <w:rsid w:val="00550E20"/>
    <w:rsid w:val="00551510"/>
    <w:rsid w:val="00551681"/>
    <w:rsid w:val="00551AA3"/>
    <w:rsid w:val="005522DC"/>
    <w:rsid w:val="0055257A"/>
    <w:rsid w:val="00553409"/>
    <w:rsid w:val="00553435"/>
    <w:rsid w:val="00553491"/>
    <w:rsid w:val="00553A63"/>
    <w:rsid w:val="00553FC7"/>
    <w:rsid w:val="00555613"/>
    <w:rsid w:val="00555877"/>
    <w:rsid w:val="00557FD0"/>
    <w:rsid w:val="00560171"/>
    <w:rsid w:val="0056080A"/>
    <w:rsid w:val="005608B6"/>
    <w:rsid w:val="005608C6"/>
    <w:rsid w:val="0056119F"/>
    <w:rsid w:val="00561C45"/>
    <w:rsid w:val="005629C2"/>
    <w:rsid w:val="00562D3D"/>
    <w:rsid w:val="00562DC8"/>
    <w:rsid w:val="005632A5"/>
    <w:rsid w:val="0056344E"/>
    <w:rsid w:val="00563662"/>
    <w:rsid w:val="005638D1"/>
    <w:rsid w:val="00563A63"/>
    <w:rsid w:val="0056542C"/>
    <w:rsid w:val="005657D6"/>
    <w:rsid w:val="00565E20"/>
    <w:rsid w:val="00566659"/>
    <w:rsid w:val="005666E6"/>
    <w:rsid w:val="00566B38"/>
    <w:rsid w:val="00566CD9"/>
    <w:rsid w:val="005675A4"/>
    <w:rsid w:val="00567D93"/>
    <w:rsid w:val="00570514"/>
    <w:rsid w:val="00570C1E"/>
    <w:rsid w:val="00570CD0"/>
    <w:rsid w:val="00570D67"/>
    <w:rsid w:val="005712A0"/>
    <w:rsid w:val="0057161E"/>
    <w:rsid w:val="005730A4"/>
    <w:rsid w:val="0057335A"/>
    <w:rsid w:val="00573FB5"/>
    <w:rsid w:val="005749AB"/>
    <w:rsid w:val="00575130"/>
    <w:rsid w:val="005756AB"/>
    <w:rsid w:val="00575D72"/>
    <w:rsid w:val="00575DCD"/>
    <w:rsid w:val="00575EAE"/>
    <w:rsid w:val="00576985"/>
    <w:rsid w:val="00576C0F"/>
    <w:rsid w:val="00577B1D"/>
    <w:rsid w:val="00577C4C"/>
    <w:rsid w:val="00577D78"/>
    <w:rsid w:val="0058037E"/>
    <w:rsid w:val="00580AD3"/>
    <w:rsid w:val="00580BD4"/>
    <w:rsid w:val="005811AC"/>
    <w:rsid w:val="005814BA"/>
    <w:rsid w:val="0058161F"/>
    <w:rsid w:val="00581917"/>
    <w:rsid w:val="005822F1"/>
    <w:rsid w:val="005827E1"/>
    <w:rsid w:val="00582906"/>
    <w:rsid w:val="00582F05"/>
    <w:rsid w:val="005830C9"/>
    <w:rsid w:val="00583640"/>
    <w:rsid w:val="005836B6"/>
    <w:rsid w:val="00583B2F"/>
    <w:rsid w:val="00583DB0"/>
    <w:rsid w:val="00583DE9"/>
    <w:rsid w:val="0058414C"/>
    <w:rsid w:val="00584602"/>
    <w:rsid w:val="00584876"/>
    <w:rsid w:val="005850F2"/>
    <w:rsid w:val="0058541D"/>
    <w:rsid w:val="00585E33"/>
    <w:rsid w:val="00586205"/>
    <w:rsid w:val="0058690F"/>
    <w:rsid w:val="0058732A"/>
    <w:rsid w:val="00587C7D"/>
    <w:rsid w:val="00587D80"/>
    <w:rsid w:val="00587E15"/>
    <w:rsid w:val="0059094B"/>
    <w:rsid w:val="00590BFA"/>
    <w:rsid w:val="00591080"/>
    <w:rsid w:val="00591CB8"/>
    <w:rsid w:val="00591E7C"/>
    <w:rsid w:val="005925C7"/>
    <w:rsid w:val="0059263B"/>
    <w:rsid w:val="005927CF"/>
    <w:rsid w:val="00593890"/>
    <w:rsid w:val="005942D3"/>
    <w:rsid w:val="0059524A"/>
    <w:rsid w:val="00595D3C"/>
    <w:rsid w:val="005966EA"/>
    <w:rsid w:val="005973F5"/>
    <w:rsid w:val="005A0240"/>
    <w:rsid w:val="005A07BE"/>
    <w:rsid w:val="005A0F34"/>
    <w:rsid w:val="005A18C3"/>
    <w:rsid w:val="005A1A2E"/>
    <w:rsid w:val="005A206E"/>
    <w:rsid w:val="005A32D0"/>
    <w:rsid w:val="005A3A40"/>
    <w:rsid w:val="005A3ADB"/>
    <w:rsid w:val="005A3D08"/>
    <w:rsid w:val="005A40DB"/>
    <w:rsid w:val="005A4AA9"/>
    <w:rsid w:val="005A552C"/>
    <w:rsid w:val="005A57F4"/>
    <w:rsid w:val="005A6096"/>
    <w:rsid w:val="005A7384"/>
    <w:rsid w:val="005A7932"/>
    <w:rsid w:val="005A7BE5"/>
    <w:rsid w:val="005A7D45"/>
    <w:rsid w:val="005B0595"/>
    <w:rsid w:val="005B0CAC"/>
    <w:rsid w:val="005B0CB2"/>
    <w:rsid w:val="005B10EC"/>
    <w:rsid w:val="005B1921"/>
    <w:rsid w:val="005B1D41"/>
    <w:rsid w:val="005B2899"/>
    <w:rsid w:val="005B40A5"/>
    <w:rsid w:val="005B4783"/>
    <w:rsid w:val="005B488D"/>
    <w:rsid w:val="005B5094"/>
    <w:rsid w:val="005B5427"/>
    <w:rsid w:val="005B565A"/>
    <w:rsid w:val="005B56DC"/>
    <w:rsid w:val="005B61F2"/>
    <w:rsid w:val="005B6BE7"/>
    <w:rsid w:val="005B6FB2"/>
    <w:rsid w:val="005B750E"/>
    <w:rsid w:val="005B76C6"/>
    <w:rsid w:val="005B785B"/>
    <w:rsid w:val="005B7BB6"/>
    <w:rsid w:val="005B7C52"/>
    <w:rsid w:val="005C046D"/>
    <w:rsid w:val="005C06A3"/>
    <w:rsid w:val="005C12BA"/>
    <w:rsid w:val="005C14C8"/>
    <w:rsid w:val="005C1BC0"/>
    <w:rsid w:val="005C21BC"/>
    <w:rsid w:val="005C23D1"/>
    <w:rsid w:val="005C2D14"/>
    <w:rsid w:val="005C2DA2"/>
    <w:rsid w:val="005C3377"/>
    <w:rsid w:val="005C3A56"/>
    <w:rsid w:val="005C4932"/>
    <w:rsid w:val="005C4D0E"/>
    <w:rsid w:val="005C5070"/>
    <w:rsid w:val="005C65A5"/>
    <w:rsid w:val="005C66A0"/>
    <w:rsid w:val="005C6A8D"/>
    <w:rsid w:val="005D02AD"/>
    <w:rsid w:val="005D06D3"/>
    <w:rsid w:val="005D077A"/>
    <w:rsid w:val="005D0D41"/>
    <w:rsid w:val="005D1647"/>
    <w:rsid w:val="005D202C"/>
    <w:rsid w:val="005D21D0"/>
    <w:rsid w:val="005D2662"/>
    <w:rsid w:val="005D301B"/>
    <w:rsid w:val="005D3197"/>
    <w:rsid w:val="005D3497"/>
    <w:rsid w:val="005D3516"/>
    <w:rsid w:val="005D369F"/>
    <w:rsid w:val="005D3A3F"/>
    <w:rsid w:val="005D3B06"/>
    <w:rsid w:val="005D4096"/>
    <w:rsid w:val="005D41D5"/>
    <w:rsid w:val="005D4E87"/>
    <w:rsid w:val="005D4F25"/>
    <w:rsid w:val="005D5E37"/>
    <w:rsid w:val="005D7188"/>
    <w:rsid w:val="005D72CF"/>
    <w:rsid w:val="005D7574"/>
    <w:rsid w:val="005D7733"/>
    <w:rsid w:val="005D7999"/>
    <w:rsid w:val="005E0065"/>
    <w:rsid w:val="005E0580"/>
    <w:rsid w:val="005E0B37"/>
    <w:rsid w:val="005E1438"/>
    <w:rsid w:val="005E1444"/>
    <w:rsid w:val="005E15B0"/>
    <w:rsid w:val="005E17E2"/>
    <w:rsid w:val="005E2022"/>
    <w:rsid w:val="005E348D"/>
    <w:rsid w:val="005E3AE5"/>
    <w:rsid w:val="005E416B"/>
    <w:rsid w:val="005E48D3"/>
    <w:rsid w:val="005E4C63"/>
    <w:rsid w:val="005E5687"/>
    <w:rsid w:val="005E5853"/>
    <w:rsid w:val="005E5A8B"/>
    <w:rsid w:val="005E6936"/>
    <w:rsid w:val="005E6F20"/>
    <w:rsid w:val="005E707D"/>
    <w:rsid w:val="005E77E4"/>
    <w:rsid w:val="005E7DCD"/>
    <w:rsid w:val="005F1DB2"/>
    <w:rsid w:val="005F1F6B"/>
    <w:rsid w:val="005F2171"/>
    <w:rsid w:val="005F253D"/>
    <w:rsid w:val="005F2D94"/>
    <w:rsid w:val="005F3399"/>
    <w:rsid w:val="005F33A3"/>
    <w:rsid w:val="005F516C"/>
    <w:rsid w:val="005F5339"/>
    <w:rsid w:val="005F58AE"/>
    <w:rsid w:val="005F65F6"/>
    <w:rsid w:val="00600454"/>
    <w:rsid w:val="006010A8"/>
    <w:rsid w:val="0060158F"/>
    <w:rsid w:val="006022DD"/>
    <w:rsid w:val="006028C8"/>
    <w:rsid w:val="00602FE6"/>
    <w:rsid w:val="0060306E"/>
    <w:rsid w:val="00603267"/>
    <w:rsid w:val="0060470F"/>
    <w:rsid w:val="00604F78"/>
    <w:rsid w:val="00605A46"/>
    <w:rsid w:val="00605C32"/>
    <w:rsid w:val="00606021"/>
    <w:rsid w:val="0060638D"/>
    <w:rsid w:val="006064A4"/>
    <w:rsid w:val="00607369"/>
    <w:rsid w:val="0060744D"/>
    <w:rsid w:val="006076B1"/>
    <w:rsid w:val="00607983"/>
    <w:rsid w:val="00607A20"/>
    <w:rsid w:val="00607F36"/>
    <w:rsid w:val="006100EC"/>
    <w:rsid w:val="006104C1"/>
    <w:rsid w:val="0061051C"/>
    <w:rsid w:val="0061071D"/>
    <w:rsid w:val="00610D9B"/>
    <w:rsid w:val="006110B9"/>
    <w:rsid w:val="0061150D"/>
    <w:rsid w:val="006118F7"/>
    <w:rsid w:val="00612298"/>
    <w:rsid w:val="00613A08"/>
    <w:rsid w:val="006142FE"/>
    <w:rsid w:val="0061450D"/>
    <w:rsid w:val="006145C3"/>
    <w:rsid w:val="0061508F"/>
    <w:rsid w:val="00616516"/>
    <w:rsid w:val="006165C9"/>
    <w:rsid w:val="006165D5"/>
    <w:rsid w:val="006166E8"/>
    <w:rsid w:val="006170E0"/>
    <w:rsid w:val="006210F2"/>
    <w:rsid w:val="006211C7"/>
    <w:rsid w:val="0062140A"/>
    <w:rsid w:val="00621B5F"/>
    <w:rsid w:val="00621B6B"/>
    <w:rsid w:val="00621E01"/>
    <w:rsid w:val="0062216D"/>
    <w:rsid w:val="00622172"/>
    <w:rsid w:val="0062241C"/>
    <w:rsid w:val="0062256A"/>
    <w:rsid w:val="006227F1"/>
    <w:rsid w:val="00623C9A"/>
    <w:rsid w:val="00623F3B"/>
    <w:rsid w:val="006246FD"/>
    <w:rsid w:val="006249E2"/>
    <w:rsid w:val="00624AAA"/>
    <w:rsid w:val="00624C67"/>
    <w:rsid w:val="00624C72"/>
    <w:rsid w:val="006262D8"/>
    <w:rsid w:val="0062695E"/>
    <w:rsid w:val="006272C2"/>
    <w:rsid w:val="006274DA"/>
    <w:rsid w:val="00627659"/>
    <w:rsid w:val="00627BE4"/>
    <w:rsid w:val="00630242"/>
    <w:rsid w:val="006304D9"/>
    <w:rsid w:val="00630566"/>
    <w:rsid w:val="006307CA"/>
    <w:rsid w:val="00630875"/>
    <w:rsid w:val="00630AE5"/>
    <w:rsid w:val="00630D56"/>
    <w:rsid w:val="00630D8B"/>
    <w:rsid w:val="00630FD1"/>
    <w:rsid w:val="006311B4"/>
    <w:rsid w:val="00631AE9"/>
    <w:rsid w:val="006327B1"/>
    <w:rsid w:val="006337BC"/>
    <w:rsid w:val="00633972"/>
    <w:rsid w:val="00633ACE"/>
    <w:rsid w:val="006342CF"/>
    <w:rsid w:val="006343DD"/>
    <w:rsid w:val="00634634"/>
    <w:rsid w:val="006348E9"/>
    <w:rsid w:val="00635A1B"/>
    <w:rsid w:val="006361E8"/>
    <w:rsid w:val="00636E4E"/>
    <w:rsid w:val="00637210"/>
    <w:rsid w:val="00637A6D"/>
    <w:rsid w:val="00637BCE"/>
    <w:rsid w:val="00637DD9"/>
    <w:rsid w:val="00637FF2"/>
    <w:rsid w:val="00640306"/>
    <w:rsid w:val="006406C6"/>
    <w:rsid w:val="00640ACC"/>
    <w:rsid w:val="00640D54"/>
    <w:rsid w:val="00641124"/>
    <w:rsid w:val="0064116E"/>
    <w:rsid w:val="006415DC"/>
    <w:rsid w:val="00641E41"/>
    <w:rsid w:val="00642BE3"/>
    <w:rsid w:val="0064371C"/>
    <w:rsid w:val="00643BD2"/>
    <w:rsid w:val="006447B2"/>
    <w:rsid w:val="0064497D"/>
    <w:rsid w:val="00644A59"/>
    <w:rsid w:val="00644B88"/>
    <w:rsid w:val="00644D4A"/>
    <w:rsid w:val="00646401"/>
    <w:rsid w:val="00646B42"/>
    <w:rsid w:val="0064700F"/>
    <w:rsid w:val="00647A37"/>
    <w:rsid w:val="00647BEE"/>
    <w:rsid w:val="00650052"/>
    <w:rsid w:val="00650326"/>
    <w:rsid w:val="006505FE"/>
    <w:rsid w:val="00651065"/>
    <w:rsid w:val="00651629"/>
    <w:rsid w:val="00651A01"/>
    <w:rsid w:val="006528F0"/>
    <w:rsid w:val="00652F20"/>
    <w:rsid w:val="006534D8"/>
    <w:rsid w:val="00653D67"/>
    <w:rsid w:val="00653E77"/>
    <w:rsid w:val="006540BF"/>
    <w:rsid w:val="006542B4"/>
    <w:rsid w:val="006544F8"/>
    <w:rsid w:val="006547BA"/>
    <w:rsid w:val="0065485C"/>
    <w:rsid w:val="00654D32"/>
    <w:rsid w:val="006551C3"/>
    <w:rsid w:val="006559E6"/>
    <w:rsid w:val="0065627A"/>
    <w:rsid w:val="006563D2"/>
    <w:rsid w:val="006569B6"/>
    <w:rsid w:val="0065700C"/>
    <w:rsid w:val="006570F2"/>
    <w:rsid w:val="006573A6"/>
    <w:rsid w:val="00657B16"/>
    <w:rsid w:val="00660F35"/>
    <w:rsid w:val="00661336"/>
    <w:rsid w:val="00661E26"/>
    <w:rsid w:val="00662073"/>
    <w:rsid w:val="006623B7"/>
    <w:rsid w:val="0066264A"/>
    <w:rsid w:val="00662BF1"/>
    <w:rsid w:val="00662F4D"/>
    <w:rsid w:val="00663982"/>
    <w:rsid w:val="00663A56"/>
    <w:rsid w:val="006643DD"/>
    <w:rsid w:val="006647E0"/>
    <w:rsid w:val="00664915"/>
    <w:rsid w:val="00664E7F"/>
    <w:rsid w:val="0066534D"/>
    <w:rsid w:val="00665538"/>
    <w:rsid w:val="00666487"/>
    <w:rsid w:val="00666C27"/>
    <w:rsid w:val="00667050"/>
    <w:rsid w:val="00667145"/>
    <w:rsid w:val="006709CD"/>
    <w:rsid w:val="00670BE1"/>
    <w:rsid w:val="00671731"/>
    <w:rsid w:val="00671CE4"/>
    <w:rsid w:val="0067223A"/>
    <w:rsid w:val="00672DB6"/>
    <w:rsid w:val="00673362"/>
    <w:rsid w:val="00673734"/>
    <w:rsid w:val="00673F76"/>
    <w:rsid w:val="006758DD"/>
    <w:rsid w:val="00675E7A"/>
    <w:rsid w:val="00676277"/>
    <w:rsid w:val="006762BD"/>
    <w:rsid w:val="0067638D"/>
    <w:rsid w:val="006766D1"/>
    <w:rsid w:val="0067672D"/>
    <w:rsid w:val="006769FA"/>
    <w:rsid w:val="00676E4D"/>
    <w:rsid w:val="0067795F"/>
    <w:rsid w:val="00677E22"/>
    <w:rsid w:val="00677E2E"/>
    <w:rsid w:val="00677EF6"/>
    <w:rsid w:val="00680152"/>
    <w:rsid w:val="006805BC"/>
    <w:rsid w:val="0068148F"/>
    <w:rsid w:val="006814D4"/>
    <w:rsid w:val="00681AFC"/>
    <w:rsid w:val="00681D5B"/>
    <w:rsid w:val="00682012"/>
    <w:rsid w:val="006827EB"/>
    <w:rsid w:val="006837AA"/>
    <w:rsid w:val="0068459B"/>
    <w:rsid w:val="00684912"/>
    <w:rsid w:val="006849C3"/>
    <w:rsid w:val="00684F20"/>
    <w:rsid w:val="006851F7"/>
    <w:rsid w:val="00685A67"/>
    <w:rsid w:val="00685E53"/>
    <w:rsid w:val="006861F1"/>
    <w:rsid w:val="0068630F"/>
    <w:rsid w:val="006863AF"/>
    <w:rsid w:val="00686428"/>
    <w:rsid w:val="00686463"/>
    <w:rsid w:val="00686B0B"/>
    <w:rsid w:val="00686BBE"/>
    <w:rsid w:val="006872F3"/>
    <w:rsid w:val="00687C0D"/>
    <w:rsid w:val="006900AB"/>
    <w:rsid w:val="006917C0"/>
    <w:rsid w:val="00691C7E"/>
    <w:rsid w:val="00691D6B"/>
    <w:rsid w:val="00692048"/>
    <w:rsid w:val="006920B5"/>
    <w:rsid w:val="00692762"/>
    <w:rsid w:val="006928CD"/>
    <w:rsid w:val="006929A4"/>
    <w:rsid w:val="00692F59"/>
    <w:rsid w:val="00693092"/>
    <w:rsid w:val="00693476"/>
    <w:rsid w:val="0069401E"/>
    <w:rsid w:val="006947F9"/>
    <w:rsid w:val="00695122"/>
    <w:rsid w:val="0069518E"/>
    <w:rsid w:val="00695635"/>
    <w:rsid w:val="00695AF6"/>
    <w:rsid w:val="00695EDE"/>
    <w:rsid w:val="0069657D"/>
    <w:rsid w:val="00696813"/>
    <w:rsid w:val="00696A71"/>
    <w:rsid w:val="00697F35"/>
    <w:rsid w:val="006A0322"/>
    <w:rsid w:val="006A03FF"/>
    <w:rsid w:val="006A08E2"/>
    <w:rsid w:val="006A09F3"/>
    <w:rsid w:val="006A0BCD"/>
    <w:rsid w:val="006A0F5E"/>
    <w:rsid w:val="006A1626"/>
    <w:rsid w:val="006A208E"/>
    <w:rsid w:val="006A2194"/>
    <w:rsid w:val="006A24EC"/>
    <w:rsid w:val="006A2BC2"/>
    <w:rsid w:val="006A32A1"/>
    <w:rsid w:val="006A3508"/>
    <w:rsid w:val="006A3524"/>
    <w:rsid w:val="006A3645"/>
    <w:rsid w:val="006A36F2"/>
    <w:rsid w:val="006A3C2A"/>
    <w:rsid w:val="006A404E"/>
    <w:rsid w:val="006A4945"/>
    <w:rsid w:val="006A4BA1"/>
    <w:rsid w:val="006A51BC"/>
    <w:rsid w:val="006A522A"/>
    <w:rsid w:val="006A5BB0"/>
    <w:rsid w:val="006A6196"/>
    <w:rsid w:val="006A6969"/>
    <w:rsid w:val="006A6D70"/>
    <w:rsid w:val="006B1835"/>
    <w:rsid w:val="006B19FB"/>
    <w:rsid w:val="006B1B0D"/>
    <w:rsid w:val="006B1D80"/>
    <w:rsid w:val="006B1DC6"/>
    <w:rsid w:val="006B24F4"/>
    <w:rsid w:val="006B2ABE"/>
    <w:rsid w:val="006B4175"/>
    <w:rsid w:val="006B5197"/>
    <w:rsid w:val="006B53EA"/>
    <w:rsid w:val="006C059B"/>
    <w:rsid w:val="006C0FF2"/>
    <w:rsid w:val="006C1105"/>
    <w:rsid w:val="006C1220"/>
    <w:rsid w:val="006C1426"/>
    <w:rsid w:val="006C1B99"/>
    <w:rsid w:val="006C1D1B"/>
    <w:rsid w:val="006C22D3"/>
    <w:rsid w:val="006C2372"/>
    <w:rsid w:val="006C2545"/>
    <w:rsid w:val="006C27F8"/>
    <w:rsid w:val="006C283E"/>
    <w:rsid w:val="006C2F12"/>
    <w:rsid w:val="006C309A"/>
    <w:rsid w:val="006C30C6"/>
    <w:rsid w:val="006C3A3E"/>
    <w:rsid w:val="006C43C4"/>
    <w:rsid w:val="006C4BE6"/>
    <w:rsid w:val="006C4E45"/>
    <w:rsid w:val="006C5092"/>
    <w:rsid w:val="006C57E6"/>
    <w:rsid w:val="006C63BA"/>
    <w:rsid w:val="006C63EE"/>
    <w:rsid w:val="006C6562"/>
    <w:rsid w:val="006C6765"/>
    <w:rsid w:val="006C6F63"/>
    <w:rsid w:val="006C705F"/>
    <w:rsid w:val="006C753D"/>
    <w:rsid w:val="006C7CA3"/>
    <w:rsid w:val="006C7F75"/>
    <w:rsid w:val="006D0F9D"/>
    <w:rsid w:val="006D0FC7"/>
    <w:rsid w:val="006D1F97"/>
    <w:rsid w:val="006D21BC"/>
    <w:rsid w:val="006D24B8"/>
    <w:rsid w:val="006D325D"/>
    <w:rsid w:val="006D3362"/>
    <w:rsid w:val="006D3935"/>
    <w:rsid w:val="006D3BE8"/>
    <w:rsid w:val="006D4291"/>
    <w:rsid w:val="006D45D8"/>
    <w:rsid w:val="006D498E"/>
    <w:rsid w:val="006D4A88"/>
    <w:rsid w:val="006D50F8"/>
    <w:rsid w:val="006D58D8"/>
    <w:rsid w:val="006D627C"/>
    <w:rsid w:val="006D64E8"/>
    <w:rsid w:val="006D6ABD"/>
    <w:rsid w:val="006D6E33"/>
    <w:rsid w:val="006D76C3"/>
    <w:rsid w:val="006D77D8"/>
    <w:rsid w:val="006D7A73"/>
    <w:rsid w:val="006D7E76"/>
    <w:rsid w:val="006D7F14"/>
    <w:rsid w:val="006E10B0"/>
    <w:rsid w:val="006E1577"/>
    <w:rsid w:val="006E18BD"/>
    <w:rsid w:val="006E297C"/>
    <w:rsid w:val="006E2C7E"/>
    <w:rsid w:val="006E3354"/>
    <w:rsid w:val="006E33E7"/>
    <w:rsid w:val="006E343B"/>
    <w:rsid w:val="006E3623"/>
    <w:rsid w:val="006E411C"/>
    <w:rsid w:val="006E4384"/>
    <w:rsid w:val="006E4481"/>
    <w:rsid w:val="006E47A2"/>
    <w:rsid w:val="006E4E67"/>
    <w:rsid w:val="006E53BC"/>
    <w:rsid w:val="006E5536"/>
    <w:rsid w:val="006E5979"/>
    <w:rsid w:val="006E6753"/>
    <w:rsid w:val="006E6AE9"/>
    <w:rsid w:val="006E6BE7"/>
    <w:rsid w:val="006E722E"/>
    <w:rsid w:val="006E7A06"/>
    <w:rsid w:val="006E7F90"/>
    <w:rsid w:val="006F021F"/>
    <w:rsid w:val="006F13F4"/>
    <w:rsid w:val="006F260C"/>
    <w:rsid w:val="006F26F2"/>
    <w:rsid w:val="006F2CBE"/>
    <w:rsid w:val="006F2D5E"/>
    <w:rsid w:val="006F382E"/>
    <w:rsid w:val="006F38EC"/>
    <w:rsid w:val="006F4042"/>
    <w:rsid w:val="006F44BD"/>
    <w:rsid w:val="006F4954"/>
    <w:rsid w:val="006F5D23"/>
    <w:rsid w:val="006F6716"/>
    <w:rsid w:val="006F67F5"/>
    <w:rsid w:val="006F6F3F"/>
    <w:rsid w:val="006F7D2E"/>
    <w:rsid w:val="007000BB"/>
    <w:rsid w:val="00700136"/>
    <w:rsid w:val="00700145"/>
    <w:rsid w:val="00700349"/>
    <w:rsid w:val="007003A3"/>
    <w:rsid w:val="00700943"/>
    <w:rsid w:val="00700944"/>
    <w:rsid w:val="007010F2"/>
    <w:rsid w:val="007012BF"/>
    <w:rsid w:val="0070206B"/>
    <w:rsid w:val="0070247C"/>
    <w:rsid w:val="00702ACD"/>
    <w:rsid w:val="00702B12"/>
    <w:rsid w:val="00703A9F"/>
    <w:rsid w:val="00703B8D"/>
    <w:rsid w:val="0070413B"/>
    <w:rsid w:val="007041EC"/>
    <w:rsid w:val="00704206"/>
    <w:rsid w:val="007042AA"/>
    <w:rsid w:val="00704C8B"/>
    <w:rsid w:val="0070540E"/>
    <w:rsid w:val="00705424"/>
    <w:rsid w:val="00705E72"/>
    <w:rsid w:val="007061C0"/>
    <w:rsid w:val="007071B4"/>
    <w:rsid w:val="0070778C"/>
    <w:rsid w:val="00707842"/>
    <w:rsid w:val="00707DC9"/>
    <w:rsid w:val="00707E6B"/>
    <w:rsid w:val="007104D6"/>
    <w:rsid w:val="00710611"/>
    <w:rsid w:val="007108EF"/>
    <w:rsid w:val="00710C90"/>
    <w:rsid w:val="00710D3B"/>
    <w:rsid w:val="0071140C"/>
    <w:rsid w:val="0071192E"/>
    <w:rsid w:val="0071197D"/>
    <w:rsid w:val="00711A90"/>
    <w:rsid w:val="00713454"/>
    <w:rsid w:val="007135F7"/>
    <w:rsid w:val="00713A56"/>
    <w:rsid w:val="00713ED2"/>
    <w:rsid w:val="00714709"/>
    <w:rsid w:val="00714A15"/>
    <w:rsid w:val="00714A53"/>
    <w:rsid w:val="00714E74"/>
    <w:rsid w:val="007154BF"/>
    <w:rsid w:val="00715B7C"/>
    <w:rsid w:val="00715B8F"/>
    <w:rsid w:val="00717941"/>
    <w:rsid w:val="00717A92"/>
    <w:rsid w:val="00717FA4"/>
    <w:rsid w:val="0072035B"/>
    <w:rsid w:val="00720896"/>
    <w:rsid w:val="00720A43"/>
    <w:rsid w:val="00720CCA"/>
    <w:rsid w:val="00721034"/>
    <w:rsid w:val="00721318"/>
    <w:rsid w:val="007216A3"/>
    <w:rsid w:val="00721E03"/>
    <w:rsid w:val="007226E3"/>
    <w:rsid w:val="00722797"/>
    <w:rsid w:val="0072294C"/>
    <w:rsid w:val="00722E47"/>
    <w:rsid w:val="0072342F"/>
    <w:rsid w:val="0072364A"/>
    <w:rsid w:val="00723711"/>
    <w:rsid w:val="007246B7"/>
    <w:rsid w:val="00724A7F"/>
    <w:rsid w:val="00724BD1"/>
    <w:rsid w:val="0072521C"/>
    <w:rsid w:val="00725610"/>
    <w:rsid w:val="0072623C"/>
    <w:rsid w:val="00726395"/>
    <w:rsid w:val="007263CB"/>
    <w:rsid w:val="00726B05"/>
    <w:rsid w:val="00727747"/>
    <w:rsid w:val="00727ADC"/>
    <w:rsid w:val="00727B1B"/>
    <w:rsid w:val="00727F0C"/>
    <w:rsid w:val="0073000C"/>
    <w:rsid w:val="00730CFF"/>
    <w:rsid w:val="00731178"/>
    <w:rsid w:val="007320DC"/>
    <w:rsid w:val="0073229A"/>
    <w:rsid w:val="007322FA"/>
    <w:rsid w:val="007339BC"/>
    <w:rsid w:val="00733D08"/>
    <w:rsid w:val="007348B9"/>
    <w:rsid w:val="00734ABA"/>
    <w:rsid w:val="00734C92"/>
    <w:rsid w:val="00734CA8"/>
    <w:rsid w:val="00734FF5"/>
    <w:rsid w:val="007353D3"/>
    <w:rsid w:val="007356EF"/>
    <w:rsid w:val="00736150"/>
    <w:rsid w:val="0073665F"/>
    <w:rsid w:val="0073669C"/>
    <w:rsid w:val="00736AB4"/>
    <w:rsid w:val="00736CB7"/>
    <w:rsid w:val="00737038"/>
    <w:rsid w:val="0073720A"/>
    <w:rsid w:val="00740686"/>
    <w:rsid w:val="00740982"/>
    <w:rsid w:val="00740A5D"/>
    <w:rsid w:val="007419BA"/>
    <w:rsid w:val="0074318A"/>
    <w:rsid w:val="007435AE"/>
    <w:rsid w:val="00743AC1"/>
    <w:rsid w:val="00743BD4"/>
    <w:rsid w:val="00744154"/>
    <w:rsid w:val="00744CEC"/>
    <w:rsid w:val="00744F27"/>
    <w:rsid w:val="00745553"/>
    <w:rsid w:val="00745A8F"/>
    <w:rsid w:val="00745D54"/>
    <w:rsid w:val="00746149"/>
    <w:rsid w:val="007466EC"/>
    <w:rsid w:val="00746D7D"/>
    <w:rsid w:val="007472CF"/>
    <w:rsid w:val="00747E38"/>
    <w:rsid w:val="0075089E"/>
    <w:rsid w:val="00751095"/>
    <w:rsid w:val="00751B57"/>
    <w:rsid w:val="0075213D"/>
    <w:rsid w:val="007521D4"/>
    <w:rsid w:val="007523FE"/>
    <w:rsid w:val="007524FD"/>
    <w:rsid w:val="0075324A"/>
    <w:rsid w:val="007538F1"/>
    <w:rsid w:val="00753A04"/>
    <w:rsid w:val="00753D42"/>
    <w:rsid w:val="00754BB4"/>
    <w:rsid w:val="0075512E"/>
    <w:rsid w:val="00755201"/>
    <w:rsid w:val="00755857"/>
    <w:rsid w:val="00755A7D"/>
    <w:rsid w:val="007566F8"/>
    <w:rsid w:val="0075682E"/>
    <w:rsid w:val="007570B3"/>
    <w:rsid w:val="00757E01"/>
    <w:rsid w:val="00757E28"/>
    <w:rsid w:val="00760D8F"/>
    <w:rsid w:val="00760E6A"/>
    <w:rsid w:val="007610F3"/>
    <w:rsid w:val="00762691"/>
    <w:rsid w:val="00762A2B"/>
    <w:rsid w:val="00763132"/>
    <w:rsid w:val="007634D5"/>
    <w:rsid w:val="00763A65"/>
    <w:rsid w:val="00763FBB"/>
    <w:rsid w:val="007652C9"/>
    <w:rsid w:val="007658B0"/>
    <w:rsid w:val="007659A4"/>
    <w:rsid w:val="00765DE8"/>
    <w:rsid w:val="00766429"/>
    <w:rsid w:val="00766601"/>
    <w:rsid w:val="0076777D"/>
    <w:rsid w:val="00767A69"/>
    <w:rsid w:val="00770332"/>
    <w:rsid w:val="007705D6"/>
    <w:rsid w:val="0077068C"/>
    <w:rsid w:val="00770C97"/>
    <w:rsid w:val="00771395"/>
    <w:rsid w:val="0077154B"/>
    <w:rsid w:val="00772095"/>
    <w:rsid w:val="0077262E"/>
    <w:rsid w:val="00772837"/>
    <w:rsid w:val="00772896"/>
    <w:rsid w:val="0077291A"/>
    <w:rsid w:val="00772F5F"/>
    <w:rsid w:val="007746F2"/>
    <w:rsid w:val="007748A4"/>
    <w:rsid w:val="00775A5B"/>
    <w:rsid w:val="00775CB2"/>
    <w:rsid w:val="007768E7"/>
    <w:rsid w:val="0077730A"/>
    <w:rsid w:val="00777F43"/>
    <w:rsid w:val="00777FC4"/>
    <w:rsid w:val="00777FD6"/>
    <w:rsid w:val="00780012"/>
    <w:rsid w:val="0078011A"/>
    <w:rsid w:val="0078023B"/>
    <w:rsid w:val="00780C13"/>
    <w:rsid w:val="00780C86"/>
    <w:rsid w:val="00781476"/>
    <w:rsid w:val="0078182A"/>
    <w:rsid w:val="007819A7"/>
    <w:rsid w:val="007820BE"/>
    <w:rsid w:val="00782CBA"/>
    <w:rsid w:val="00783925"/>
    <w:rsid w:val="00783F65"/>
    <w:rsid w:val="007841D7"/>
    <w:rsid w:val="00784846"/>
    <w:rsid w:val="00784ACC"/>
    <w:rsid w:val="0078585C"/>
    <w:rsid w:val="00785980"/>
    <w:rsid w:val="00785AF9"/>
    <w:rsid w:val="00786A85"/>
    <w:rsid w:val="00786B47"/>
    <w:rsid w:val="00786E8D"/>
    <w:rsid w:val="00786ED7"/>
    <w:rsid w:val="00786F36"/>
    <w:rsid w:val="00786FB8"/>
    <w:rsid w:val="007871F3"/>
    <w:rsid w:val="007876B8"/>
    <w:rsid w:val="00787A33"/>
    <w:rsid w:val="00790562"/>
    <w:rsid w:val="00790C96"/>
    <w:rsid w:val="00791146"/>
    <w:rsid w:val="00791C01"/>
    <w:rsid w:val="00791C69"/>
    <w:rsid w:val="00792634"/>
    <w:rsid w:val="007929DE"/>
    <w:rsid w:val="00792E54"/>
    <w:rsid w:val="00793218"/>
    <w:rsid w:val="0079371C"/>
    <w:rsid w:val="00793F85"/>
    <w:rsid w:val="0079418A"/>
    <w:rsid w:val="00794804"/>
    <w:rsid w:val="00794F40"/>
    <w:rsid w:val="007950EB"/>
    <w:rsid w:val="00795E6A"/>
    <w:rsid w:val="007961F4"/>
    <w:rsid w:val="00796678"/>
    <w:rsid w:val="00796DAD"/>
    <w:rsid w:val="00797423"/>
    <w:rsid w:val="00797968"/>
    <w:rsid w:val="00797E85"/>
    <w:rsid w:val="00797FAD"/>
    <w:rsid w:val="007A09DE"/>
    <w:rsid w:val="007A1313"/>
    <w:rsid w:val="007A15E5"/>
    <w:rsid w:val="007A215D"/>
    <w:rsid w:val="007A2EDE"/>
    <w:rsid w:val="007A3C72"/>
    <w:rsid w:val="007A4424"/>
    <w:rsid w:val="007A4B76"/>
    <w:rsid w:val="007A4BFE"/>
    <w:rsid w:val="007A5984"/>
    <w:rsid w:val="007A64AD"/>
    <w:rsid w:val="007A6E8D"/>
    <w:rsid w:val="007A6ED9"/>
    <w:rsid w:val="007A76BF"/>
    <w:rsid w:val="007A7C3D"/>
    <w:rsid w:val="007A7E72"/>
    <w:rsid w:val="007B00D1"/>
    <w:rsid w:val="007B0CF6"/>
    <w:rsid w:val="007B163A"/>
    <w:rsid w:val="007B1658"/>
    <w:rsid w:val="007B1DC9"/>
    <w:rsid w:val="007B2342"/>
    <w:rsid w:val="007B29BC"/>
    <w:rsid w:val="007B2DF6"/>
    <w:rsid w:val="007B391B"/>
    <w:rsid w:val="007B3B37"/>
    <w:rsid w:val="007B3C67"/>
    <w:rsid w:val="007B4049"/>
    <w:rsid w:val="007B4388"/>
    <w:rsid w:val="007B4994"/>
    <w:rsid w:val="007B4A8D"/>
    <w:rsid w:val="007B52B3"/>
    <w:rsid w:val="007B553D"/>
    <w:rsid w:val="007B589A"/>
    <w:rsid w:val="007B592C"/>
    <w:rsid w:val="007B5AA7"/>
    <w:rsid w:val="007B5C4E"/>
    <w:rsid w:val="007B5D68"/>
    <w:rsid w:val="007B5DA5"/>
    <w:rsid w:val="007B6A98"/>
    <w:rsid w:val="007B71D3"/>
    <w:rsid w:val="007B7A04"/>
    <w:rsid w:val="007B7E42"/>
    <w:rsid w:val="007C02A1"/>
    <w:rsid w:val="007C07D6"/>
    <w:rsid w:val="007C0917"/>
    <w:rsid w:val="007C0BD5"/>
    <w:rsid w:val="007C115F"/>
    <w:rsid w:val="007C1D18"/>
    <w:rsid w:val="007C2206"/>
    <w:rsid w:val="007C29AD"/>
    <w:rsid w:val="007C2D56"/>
    <w:rsid w:val="007C36AA"/>
    <w:rsid w:val="007C4062"/>
    <w:rsid w:val="007C4593"/>
    <w:rsid w:val="007C4718"/>
    <w:rsid w:val="007C4E86"/>
    <w:rsid w:val="007C50CE"/>
    <w:rsid w:val="007C5E3E"/>
    <w:rsid w:val="007C65E0"/>
    <w:rsid w:val="007C66F2"/>
    <w:rsid w:val="007C66F4"/>
    <w:rsid w:val="007C76A4"/>
    <w:rsid w:val="007C76CD"/>
    <w:rsid w:val="007D09B7"/>
    <w:rsid w:val="007D0D45"/>
    <w:rsid w:val="007D0E51"/>
    <w:rsid w:val="007D1131"/>
    <w:rsid w:val="007D1498"/>
    <w:rsid w:val="007D15DA"/>
    <w:rsid w:val="007D34F7"/>
    <w:rsid w:val="007D39E8"/>
    <w:rsid w:val="007D3B1B"/>
    <w:rsid w:val="007D3E61"/>
    <w:rsid w:val="007D4231"/>
    <w:rsid w:val="007D5514"/>
    <w:rsid w:val="007D617E"/>
    <w:rsid w:val="007D7072"/>
    <w:rsid w:val="007D7122"/>
    <w:rsid w:val="007D7138"/>
    <w:rsid w:val="007D74CC"/>
    <w:rsid w:val="007D7DE4"/>
    <w:rsid w:val="007E0529"/>
    <w:rsid w:val="007E0BC6"/>
    <w:rsid w:val="007E1A40"/>
    <w:rsid w:val="007E2297"/>
    <w:rsid w:val="007E2A80"/>
    <w:rsid w:val="007E2C19"/>
    <w:rsid w:val="007E3122"/>
    <w:rsid w:val="007E3345"/>
    <w:rsid w:val="007E3DAA"/>
    <w:rsid w:val="007E3E24"/>
    <w:rsid w:val="007E40EF"/>
    <w:rsid w:val="007E47DD"/>
    <w:rsid w:val="007E4BF1"/>
    <w:rsid w:val="007E4C78"/>
    <w:rsid w:val="007E5026"/>
    <w:rsid w:val="007E58A1"/>
    <w:rsid w:val="007E6226"/>
    <w:rsid w:val="007E63FD"/>
    <w:rsid w:val="007E6EE1"/>
    <w:rsid w:val="007E72D2"/>
    <w:rsid w:val="007E7646"/>
    <w:rsid w:val="007E79F7"/>
    <w:rsid w:val="007E7CDB"/>
    <w:rsid w:val="007F01CF"/>
    <w:rsid w:val="007F062D"/>
    <w:rsid w:val="007F0845"/>
    <w:rsid w:val="007F0CDA"/>
    <w:rsid w:val="007F2126"/>
    <w:rsid w:val="007F2842"/>
    <w:rsid w:val="007F37B6"/>
    <w:rsid w:val="007F3A77"/>
    <w:rsid w:val="007F3FAF"/>
    <w:rsid w:val="007F46FD"/>
    <w:rsid w:val="007F4E13"/>
    <w:rsid w:val="007F5556"/>
    <w:rsid w:val="007F6D50"/>
    <w:rsid w:val="007F756A"/>
    <w:rsid w:val="007F7589"/>
    <w:rsid w:val="007F79ED"/>
    <w:rsid w:val="00800123"/>
    <w:rsid w:val="008001FE"/>
    <w:rsid w:val="00800CB7"/>
    <w:rsid w:val="00800CE1"/>
    <w:rsid w:val="00801024"/>
    <w:rsid w:val="0080122B"/>
    <w:rsid w:val="00801298"/>
    <w:rsid w:val="00801337"/>
    <w:rsid w:val="00801B9A"/>
    <w:rsid w:val="00801E8D"/>
    <w:rsid w:val="00802015"/>
    <w:rsid w:val="00802351"/>
    <w:rsid w:val="008033DB"/>
    <w:rsid w:val="00803EE5"/>
    <w:rsid w:val="00804730"/>
    <w:rsid w:val="008049D9"/>
    <w:rsid w:val="00804E53"/>
    <w:rsid w:val="0080507C"/>
    <w:rsid w:val="008051D8"/>
    <w:rsid w:val="00805792"/>
    <w:rsid w:val="0080614D"/>
    <w:rsid w:val="00806309"/>
    <w:rsid w:val="00806593"/>
    <w:rsid w:val="00806B03"/>
    <w:rsid w:val="00806EE8"/>
    <w:rsid w:val="00807595"/>
    <w:rsid w:val="0080761D"/>
    <w:rsid w:val="00807CDB"/>
    <w:rsid w:val="00807FD6"/>
    <w:rsid w:val="00810041"/>
    <w:rsid w:val="00810B72"/>
    <w:rsid w:val="00810FDB"/>
    <w:rsid w:val="008110FF"/>
    <w:rsid w:val="008114A5"/>
    <w:rsid w:val="008121A5"/>
    <w:rsid w:val="008125A4"/>
    <w:rsid w:val="00813217"/>
    <w:rsid w:val="00813387"/>
    <w:rsid w:val="00813411"/>
    <w:rsid w:val="00813B1E"/>
    <w:rsid w:val="00813D17"/>
    <w:rsid w:val="008141B4"/>
    <w:rsid w:val="00815D5A"/>
    <w:rsid w:val="00815F74"/>
    <w:rsid w:val="0081644C"/>
    <w:rsid w:val="00816CF2"/>
    <w:rsid w:val="00816D5C"/>
    <w:rsid w:val="00816F8A"/>
    <w:rsid w:val="00817004"/>
    <w:rsid w:val="00817058"/>
    <w:rsid w:val="00817248"/>
    <w:rsid w:val="00817A0C"/>
    <w:rsid w:val="008205B8"/>
    <w:rsid w:val="008210AA"/>
    <w:rsid w:val="00821596"/>
    <w:rsid w:val="0082199A"/>
    <w:rsid w:val="00821BA5"/>
    <w:rsid w:val="00821FCE"/>
    <w:rsid w:val="00822B8D"/>
    <w:rsid w:val="008230B8"/>
    <w:rsid w:val="00823BD1"/>
    <w:rsid w:val="00823C43"/>
    <w:rsid w:val="00825025"/>
    <w:rsid w:val="00826115"/>
    <w:rsid w:val="008266E9"/>
    <w:rsid w:val="008267F4"/>
    <w:rsid w:val="0082753B"/>
    <w:rsid w:val="00827B8F"/>
    <w:rsid w:val="008301C2"/>
    <w:rsid w:val="008301CE"/>
    <w:rsid w:val="0083071B"/>
    <w:rsid w:val="0083151C"/>
    <w:rsid w:val="00831808"/>
    <w:rsid w:val="00831892"/>
    <w:rsid w:val="00832864"/>
    <w:rsid w:val="00832BC7"/>
    <w:rsid w:val="0083312F"/>
    <w:rsid w:val="00833450"/>
    <w:rsid w:val="00833B98"/>
    <w:rsid w:val="00833DF0"/>
    <w:rsid w:val="008342A9"/>
    <w:rsid w:val="008345DB"/>
    <w:rsid w:val="008365F3"/>
    <w:rsid w:val="00836A6D"/>
    <w:rsid w:val="008379F6"/>
    <w:rsid w:val="0084006A"/>
    <w:rsid w:val="008406D1"/>
    <w:rsid w:val="00840B26"/>
    <w:rsid w:val="00841347"/>
    <w:rsid w:val="00841798"/>
    <w:rsid w:val="00841A64"/>
    <w:rsid w:val="00841CCA"/>
    <w:rsid w:val="00842267"/>
    <w:rsid w:val="00842583"/>
    <w:rsid w:val="0084294D"/>
    <w:rsid w:val="00843190"/>
    <w:rsid w:val="00844621"/>
    <w:rsid w:val="00845773"/>
    <w:rsid w:val="00845FB8"/>
    <w:rsid w:val="008462F6"/>
    <w:rsid w:val="00847281"/>
    <w:rsid w:val="00847773"/>
    <w:rsid w:val="008477B6"/>
    <w:rsid w:val="00847915"/>
    <w:rsid w:val="008504EF"/>
    <w:rsid w:val="008505F2"/>
    <w:rsid w:val="00851D93"/>
    <w:rsid w:val="00852220"/>
    <w:rsid w:val="00852B67"/>
    <w:rsid w:val="00853244"/>
    <w:rsid w:val="0085415E"/>
    <w:rsid w:val="0085458A"/>
    <w:rsid w:val="008549B2"/>
    <w:rsid w:val="00854D7B"/>
    <w:rsid w:val="00854E0A"/>
    <w:rsid w:val="00855428"/>
    <w:rsid w:val="00855BC6"/>
    <w:rsid w:val="00855E19"/>
    <w:rsid w:val="00855EDC"/>
    <w:rsid w:val="00856D71"/>
    <w:rsid w:val="00856E45"/>
    <w:rsid w:val="00857CDD"/>
    <w:rsid w:val="008604AF"/>
    <w:rsid w:val="00860C5C"/>
    <w:rsid w:val="00860E18"/>
    <w:rsid w:val="008611E0"/>
    <w:rsid w:val="008614DA"/>
    <w:rsid w:val="00861982"/>
    <w:rsid w:val="008619CB"/>
    <w:rsid w:val="008629F9"/>
    <w:rsid w:val="00863535"/>
    <w:rsid w:val="008646A6"/>
    <w:rsid w:val="00864ACF"/>
    <w:rsid w:val="00865955"/>
    <w:rsid w:val="00865EA4"/>
    <w:rsid w:val="0086635C"/>
    <w:rsid w:val="008666ED"/>
    <w:rsid w:val="00866A28"/>
    <w:rsid w:val="00867134"/>
    <w:rsid w:val="00867223"/>
    <w:rsid w:val="00870010"/>
    <w:rsid w:val="008705D3"/>
    <w:rsid w:val="00870629"/>
    <w:rsid w:val="008708A3"/>
    <w:rsid w:val="008710B3"/>
    <w:rsid w:val="00871472"/>
    <w:rsid w:val="008717C4"/>
    <w:rsid w:val="00871968"/>
    <w:rsid w:val="00871A40"/>
    <w:rsid w:val="00871B47"/>
    <w:rsid w:val="00871D69"/>
    <w:rsid w:val="00872A75"/>
    <w:rsid w:val="008735AC"/>
    <w:rsid w:val="00873630"/>
    <w:rsid w:val="00873ABD"/>
    <w:rsid w:val="008743F2"/>
    <w:rsid w:val="00874ACB"/>
    <w:rsid w:val="00874C78"/>
    <w:rsid w:val="0087530F"/>
    <w:rsid w:val="00875488"/>
    <w:rsid w:val="0087599E"/>
    <w:rsid w:val="00875A6D"/>
    <w:rsid w:val="00875E3A"/>
    <w:rsid w:val="00876D04"/>
    <w:rsid w:val="00877657"/>
    <w:rsid w:val="0087777D"/>
    <w:rsid w:val="00880682"/>
    <w:rsid w:val="00880919"/>
    <w:rsid w:val="00880DA6"/>
    <w:rsid w:val="00880E83"/>
    <w:rsid w:val="00881259"/>
    <w:rsid w:val="00881599"/>
    <w:rsid w:val="008830B3"/>
    <w:rsid w:val="008831E9"/>
    <w:rsid w:val="00883835"/>
    <w:rsid w:val="00884BBB"/>
    <w:rsid w:val="00885488"/>
    <w:rsid w:val="00885C63"/>
    <w:rsid w:val="00886554"/>
    <w:rsid w:val="00886BC5"/>
    <w:rsid w:val="00887272"/>
    <w:rsid w:val="0088795C"/>
    <w:rsid w:val="00887B4A"/>
    <w:rsid w:val="00890AEC"/>
    <w:rsid w:val="00890B1E"/>
    <w:rsid w:val="008916BB"/>
    <w:rsid w:val="00892D67"/>
    <w:rsid w:val="00893259"/>
    <w:rsid w:val="00893772"/>
    <w:rsid w:val="00893E8E"/>
    <w:rsid w:val="00894A5F"/>
    <w:rsid w:val="008955F5"/>
    <w:rsid w:val="00895BB3"/>
    <w:rsid w:val="00895C1B"/>
    <w:rsid w:val="0089666E"/>
    <w:rsid w:val="00896745"/>
    <w:rsid w:val="00896878"/>
    <w:rsid w:val="008968CE"/>
    <w:rsid w:val="00896A7A"/>
    <w:rsid w:val="00896F50"/>
    <w:rsid w:val="00896F83"/>
    <w:rsid w:val="00897334"/>
    <w:rsid w:val="00897420"/>
    <w:rsid w:val="0089768D"/>
    <w:rsid w:val="008978D1"/>
    <w:rsid w:val="008A0023"/>
    <w:rsid w:val="008A05BE"/>
    <w:rsid w:val="008A06DA"/>
    <w:rsid w:val="008A0CB1"/>
    <w:rsid w:val="008A0D07"/>
    <w:rsid w:val="008A13C4"/>
    <w:rsid w:val="008A16E1"/>
    <w:rsid w:val="008A26E3"/>
    <w:rsid w:val="008A2B8F"/>
    <w:rsid w:val="008A2C80"/>
    <w:rsid w:val="008A2E4D"/>
    <w:rsid w:val="008A3FCF"/>
    <w:rsid w:val="008A41CC"/>
    <w:rsid w:val="008A4C6C"/>
    <w:rsid w:val="008A4F1B"/>
    <w:rsid w:val="008A518A"/>
    <w:rsid w:val="008A5ADF"/>
    <w:rsid w:val="008A5D2A"/>
    <w:rsid w:val="008A5E67"/>
    <w:rsid w:val="008A65FB"/>
    <w:rsid w:val="008A6776"/>
    <w:rsid w:val="008A7128"/>
    <w:rsid w:val="008A74F8"/>
    <w:rsid w:val="008A7E0E"/>
    <w:rsid w:val="008B0198"/>
    <w:rsid w:val="008B038C"/>
    <w:rsid w:val="008B0A58"/>
    <w:rsid w:val="008B11FE"/>
    <w:rsid w:val="008B16D7"/>
    <w:rsid w:val="008B1B3D"/>
    <w:rsid w:val="008B1BCA"/>
    <w:rsid w:val="008B239B"/>
    <w:rsid w:val="008B23AC"/>
    <w:rsid w:val="008B3515"/>
    <w:rsid w:val="008B4252"/>
    <w:rsid w:val="008B4785"/>
    <w:rsid w:val="008B5715"/>
    <w:rsid w:val="008B5AC2"/>
    <w:rsid w:val="008B6EAB"/>
    <w:rsid w:val="008B7FCC"/>
    <w:rsid w:val="008C06D9"/>
    <w:rsid w:val="008C09EF"/>
    <w:rsid w:val="008C0CE7"/>
    <w:rsid w:val="008C153C"/>
    <w:rsid w:val="008C1F7C"/>
    <w:rsid w:val="008C20CD"/>
    <w:rsid w:val="008C2574"/>
    <w:rsid w:val="008C2945"/>
    <w:rsid w:val="008C29C0"/>
    <w:rsid w:val="008C3AE2"/>
    <w:rsid w:val="008C3D71"/>
    <w:rsid w:val="008C4AF8"/>
    <w:rsid w:val="008C4E1D"/>
    <w:rsid w:val="008C4F83"/>
    <w:rsid w:val="008C50CF"/>
    <w:rsid w:val="008C51F4"/>
    <w:rsid w:val="008C53FB"/>
    <w:rsid w:val="008C5A57"/>
    <w:rsid w:val="008C5D96"/>
    <w:rsid w:val="008C630C"/>
    <w:rsid w:val="008C6415"/>
    <w:rsid w:val="008C6972"/>
    <w:rsid w:val="008C7563"/>
    <w:rsid w:val="008C77C9"/>
    <w:rsid w:val="008C77DA"/>
    <w:rsid w:val="008C7FD5"/>
    <w:rsid w:val="008D0C11"/>
    <w:rsid w:val="008D0C23"/>
    <w:rsid w:val="008D166E"/>
    <w:rsid w:val="008D2C96"/>
    <w:rsid w:val="008D2E45"/>
    <w:rsid w:val="008D3514"/>
    <w:rsid w:val="008D36CE"/>
    <w:rsid w:val="008D3728"/>
    <w:rsid w:val="008D3980"/>
    <w:rsid w:val="008D4D41"/>
    <w:rsid w:val="008D550A"/>
    <w:rsid w:val="008D5A1F"/>
    <w:rsid w:val="008D5F4C"/>
    <w:rsid w:val="008D645E"/>
    <w:rsid w:val="008D6891"/>
    <w:rsid w:val="008D6E85"/>
    <w:rsid w:val="008D73A9"/>
    <w:rsid w:val="008D79E9"/>
    <w:rsid w:val="008E0D81"/>
    <w:rsid w:val="008E0E0C"/>
    <w:rsid w:val="008E1784"/>
    <w:rsid w:val="008E2360"/>
    <w:rsid w:val="008E2572"/>
    <w:rsid w:val="008E340E"/>
    <w:rsid w:val="008E4213"/>
    <w:rsid w:val="008E4490"/>
    <w:rsid w:val="008E4F21"/>
    <w:rsid w:val="008E5408"/>
    <w:rsid w:val="008E5C75"/>
    <w:rsid w:val="008E601E"/>
    <w:rsid w:val="008E641F"/>
    <w:rsid w:val="008E6777"/>
    <w:rsid w:val="008E6CF8"/>
    <w:rsid w:val="008E6E17"/>
    <w:rsid w:val="008E7683"/>
    <w:rsid w:val="008F079A"/>
    <w:rsid w:val="008F08E0"/>
    <w:rsid w:val="008F0986"/>
    <w:rsid w:val="008F22F0"/>
    <w:rsid w:val="008F2399"/>
    <w:rsid w:val="008F2471"/>
    <w:rsid w:val="008F26C2"/>
    <w:rsid w:val="008F44CF"/>
    <w:rsid w:val="008F4A4B"/>
    <w:rsid w:val="008F4CB9"/>
    <w:rsid w:val="008F5A68"/>
    <w:rsid w:val="008F5E64"/>
    <w:rsid w:val="008F5EE6"/>
    <w:rsid w:val="008F6022"/>
    <w:rsid w:val="008F63CD"/>
    <w:rsid w:val="008F7A77"/>
    <w:rsid w:val="008F7D75"/>
    <w:rsid w:val="0090008F"/>
    <w:rsid w:val="009000CB"/>
    <w:rsid w:val="00900407"/>
    <w:rsid w:val="00900915"/>
    <w:rsid w:val="00900924"/>
    <w:rsid w:val="00900E85"/>
    <w:rsid w:val="00900EA2"/>
    <w:rsid w:val="0090105F"/>
    <w:rsid w:val="009010DB"/>
    <w:rsid w:val="0090152F"/>
    <w:rsid w:val="0090192A"/>
    <w:rsid w:val="00902429"/>
    <w:rsid w:val="00902681"/>
    <w:rsid w:val="009026BB"/>
    <w:rsid w:val="00902721"/>
    <w:rsid w:val="009027BD"/>
    <w:rsid w:val="009028DE"/>
    <w:rsid w:val="009028E1"/>
    <w:rsid w:val="00902965"/>
    <w:rsid w:val="00903052"/>
    <w:rsid w:val="0090329A"/>
    <w:rsid w:val="00903313"/>
    <w:rsid w:val="0090332B"/>
    <w:rsid w:val="00903C0B"/>
    <w:rsid w:val="00904323"/>
    <w:rsid w:val="009043FA"/>
    <w:rsid w:val="0090480C"/>
    <w:rsid w:val="00904EE4"/>
    <w:rsid w:val="00905DFC"/>
    <w:rsid w:val="00905EBD"/>
    <w:rsid w:val="00906014"/>
    <w:rsid w:val="0090672B"/>
    <w:rsid w:val="009068D1"/>
    <w:rsid w:val="00910BDF"/>
    <w:rsid w:val="009110D1"/>
    <w:rsid w:val="009114ED"/>
    <w:rsid w:val="0091181C"/>
    <w:rsid w:val="00911951"/>
    <w:rsid w:val="009119C7"/>
    <w:rsid w:val="00911EC5"/>
    <w:rsid w:val="009126E3"/>
    <w:rsid w:val="0091277B"/>
    <w:rsid w:val="00912DE5"/>
    <w:rsid w:val="00912E0D"/>
    <w:rsid w:val="00912E82"/>
    <w:rsid w:val="00913029"/>
    <w:rsid w:val="00913850"/>
    <w:rsid w:val="00913E04"/>
    <w:rsid w:val="00913F02"/>
    <w:rsid w:val="009146F7"/>
    <w:rsid w:val="00914A37"/>
    <w:rsid w:val="00914C2A"/>
    <w:rsid w:val="00914FE7"/>
    <w:rsid w:val="00915273"/>
    <w:rsid w:val="009156B7"/>
    <w:rsid w:val="0091620B"/>
    <w:rsid w:val="00916C69"/>
    <w:rsid w:val="009173FD"/>
    <w:rsid w:val="0091754C"/>
    <w:rsid w:val="00917583"/>
    <w:rsid w:val="009175C9"/>
    <w:rsid w:val="00917B00"/>
    <w:rsid w:val="00920D18"/>
    <w:rsid w:val="00920D64"/>
    <w:rsid w:val="00920E50"/>
    <w:rsid w:val="00920E92"/>
    <w:rsid w:val="0092217F"/>
    <w:rsid w:val="009229DC"/>
    <w:rsid w:val="0092388D"/>
    <w:rsid w:val="00923C47"/>
    <w:rsid w:val="00924297"/>
    <w:rsid w:val="009243C8"/>
    <w:rsid w:val="00924BC9"/>
    <w:rsid w:val="0092516D"/>
    <w:rsid w:val="00925DFA"/>
    <w:rsid w:val="00925E85"/>
    <w:rsid w:val="009269CF"/>
    <w:rsid w:val="00927047"/>
    <w:rsid w:val="00927B2A"/>
    <w:rsid w:val="0093001F"/>
    <w:rsid w:val="00930FE5"/>
    <w:rsid w:val="00930FF0"/>
    <w:rsid w:val="00931316"/>
    <w:rsid w:val="00931435"/>
    <w:rsid w:val="00931449"/>
    <w:rsid w:val="0093176C"/>
    <w:rsid w:val="00933DB8"/>
    <w:rsid w:val="0093492E"/>
    <w:rsid w:val="00935068"/>
    <w:rsid w:val="00935915"/>
    <w:rsid w:val="0093602A"/>
    <w:rsid w:val="00936214"/>
    <w:rsid w:val="0093662F"/>
    <w:rsid w:val="00936B0D"/>
    <w:rsid w:val="00936C5F"/>
    <w:rsid w:val="00936ED5"/>
    <w:rsid w:val="009377C5"/>
    <w:rsid w:val="00937961"/>
    <w:rsid w:val="00940354"/>
    <w:rsid w:val="00940631"/>
    <w:rsid w:val="00940AE0"/>
    <w:rsid w:val="0094161D"/>
    <w:rsid w:val="009419D9"/>
    <w:rsid w:val="00941D6D"/>
    <w:rsid w:val="009425A3"/>
    <w:rsid w:val="009426C7"/>
    <w:rsid w:val="0094274D"/>
    <w:rsid w:val="0094288D"/>
    <w:rsid w:val="009432AA"/>
    <w:rsid w:val="009438BE"/>
    <w:rsid w:val="00943A6A"/>
    <w:rsid w:val="00943C11"/>
    <w:rsid w:val="0094447C"/>
    <w:rsid w:val="00944633"/>
    <w:rsid w:val="009447A3"/>
    <w:rsid w:val="0094495E"/>
    <w:rsid w:val="00944A4D"/>
    <w:rsid w:val="00945344"/>
    <w:rsid w:val="0094576A"/>
    <w:rsid w:val="00945C46"/>
    <w:rsid w:val="00945D42"/>
    <w:rsid w:val="0094623E"/>
    <w:rsid w:val="00946454"/>
    <w:rsid w:val="00946821"/>
    <w:rsid w:val="00946B7C"/>
    <w:rsid w:val="00947433"/>
    <w:rsid w:val="0094745D"/>
    <w:rsid w:val="00947A4F"/>
    <w:rsid w:val="00947AF1"/>
    <w:rsid w:val="00950138"/>
    <w:rsid w:val="00950390"/>
    <w:rsid w:val="00950DB6"/>
    <w:rsid w:val="0095176E"/>
    <w:rsid w:val="00951A2E"/>
    <w:rsid w:val="00951A9F"/>
    <w:rsid w:val="00951EE1"/>
    <w:rsid w:val="009523F8"/>
    <w:rsid w:val="009527AD"/>
    <w:rsid w:val="009545E6"/>
    <w:rsid w:val="00954FF1"/>
    <w:rsid w:val="009554C6"/>
    <w:rsid w:val="00955C4C"/>
    <w:rsid w:val="00955D7A"/>
    <w:rsid w:val="0095674C"/>
    <w:rsid w:val="00957964"/>
    <w:rsid w:val="00957B9A"/>
    <w:rsid w:val="009600F3"/>
    <w:rsid w:val="009600FC"/>
    <w:rsid w:val="00960B0F"/>
    <w:rsid w:val="00960D04"/>
    <w:rsid w:val="00961BBA"/>
    <w:rsid w:val="00961D81"/>
    <w:rsid w:val="00962446"/>
    <w:rsid w:val="009624E7"/>
    <w:rsid w:val="0096327F"/>
    <w:rsid w:val="0096386A"/>
    <w:rsid w:val="0096439E"/>
    <w:rsid w:val="00964484"/>
    <w:rsid w:val="009645E2"/>
    <w:rsid w:val="009649DD"/>
    <w:rsid w:val="00964DBA"/>
    <w:rsid w:val="009652E4"/>
    <w:rsid w:val="009655DD"/>
    <w:rsid w:val="00965A2B"/>
    <w:rsid w:val="00965A6E"/>
    <w:rsid w:val="00965B47"/>
    <w:rsid w:val="00965EAD"/>
    <w:rsid w:val="00965EB3"/>
    <w:rsid w:val="009660C0"/>
    <w:rsid w:val="00966146"/>
    <w:rsid w:val="00966827"/>
    <w:rsid w:val="00966B96"/>
    <w:rsid w:val="00966D95"/>
    <w:rsid w:val="00966E6E"/>
    <w:rsid w:val="0096726F"/>
    <w:rsid w:val="00967449"/>
    <w:rsid w:val="00970343"/>
    <w:rsid w:val="009703CE"/>
    <w:rsid w:val="009707D2"/>
    <w:rsid w:val="0097089F"/>
    <w:rsid w:val="00971A4C"/>
    <w:rsid w:val="00971E3A"/>
    <w:rsid w:val="00971F61"/>
    <w:rsid w:val="00972190"/>
    <w:rsid w:val="0097223F"/>
    <w:rsid w:val="0097230E"/>
    <w:rsid w:val="009727A0"/>
    <w:rsid w:val="00973203"/>
    <w:rsid w:val="00973B51"/>
    <w:rsid w:val="0097429D"/>
    <w:rsid w:val="00974895"/>
    <w:rsid w:val="009751F4"/>
    <w:rsid w:val="009753DF"/>
    <w:rsid w:val="00975984"/>
    <w:rsid w:val="00975D55"/>
    <w:rsid w:val="00976BAE"/>
    <w:rsid w:val="00980A31"/>
    <w:rsid w:val="00981A8C"/>
    <w:rsid w:val="00981D12"/>
    <w:rsid w:val="009823B9"/>
    <w:rsid w:val="00982986"/>
    <w:rsid w:val="00982CA8"/>
    <w:rsid w:val="0098353E"/>
    <w:rsid w:val="00984117"/>
    <w:rsid w:val="009843AC"/>
    <w:rsid w:val="00984703"/>
    <w:rsid w:val="00984EBA"/>
    <w:rsid w:val="00984F3B"/>
    <w:rsid w:val="00985264"/>
    <w:rsid w:val="00985437"/>
    <w:rsid w:val="00986D43"/>
    <w:rsid w:val="009871A7"/>
    <w:rsid w:val="009874B3"/>
    <w:rsid w:val="00987926"/>
    <w:rsid w:val="00987DE0"/>
    <w:rsid w:val="00990C9C"/>
    <w:rsid w:val="00990D25"/>
    <w:rsid w:val="00990E38"/>
    <w:rsid w:val="009910BB"/>
    <w:rsid w:val="00991403"/>
    <w:rsid w:val="00991987"/>
    <w:rsid w:val="00991BCC"/>
    <w:rsid w:val="00992ED3"/>
    <w:rsid w:val="00993506"/>
    <w:rsid w:val="009935E7"/>
    <w:rsid w:val="0099406D"/>
    <w:rsid w:val="009948B9"/>
    <w:rsid w:val="009951D8"/>
    <w:rsid w:val="00995774"/>
    <w:rsid w:val="00996191"/>
    <w:rsid w:val="00996534"/>
    <w:rsid w:val="00996762"/>
    <w:rsid w:val="00996A80"/>
    <w:rsid w:val="009973BF"/>
    <w:rsid w:val="0099766D"/>
    <w:rsid w:val="0099778C"/>
    <w:rsid w:val="00997ACD"/>
    <w:rsid w:val="00997B8A"/>
    <w:rsid w:val="00997F3F"/>
    <w:rsid w:val="009A0357"/>
    <w:rsid w:val="009A0DB9"/>
    <w:rsid w:val="009A0EE5"/>
    <w:rsid w:val="009A0F9A"/>
    <w:rsid w:val="009A0FC4"/>
    <w:rsid w:val="009A18A5"/>
    <w:rsid w:val="009A1AAD"/>
    <w:rsid w:val="009A227D"/>
    <w:rsid w:val="009A29B3"/>
    <w:rsid w:val="009A2E82"/>
    <w:rsid w:val="009A3185"/>
    <w:rsid w:val="009A3516"/>
    <w:rsid w:val="009A3CD8"/>
    <w:rsid w:val="009A3DAC"/>
    <w:rsid w:val="009A4A56"/>
    <w:rsid w:val="009A510A"/>
    <w:rsid w:val="009A5F48"/>
    <w:rsid w:val="009A62BD"/>
    <w:rsid w:val="009A6DA8"/>
    <w:rsid w:val="009A6FB7"/>
    <w:rsid w:val="009A7292"/>
    <w:rsid w:val="009A72CA"/>
    <w:rsid w:val="009A7931"/>
    <w:rsid w:val="009A7D92"/>
    <w:rsid w:val="009B0057"/>
    <w:rsid w:val="009B0080"/>
    <w:rsid w:val="009B0249"/>
    <w:rsid w:val="009B1FA9"/>
    <w:rsid w:val="009B20A6"/>
    <w:rsid w:val="009B30F3"/>
    <w:rsid w:val="009B4847"/>
    <w:rsid w:val="009B4A5C"/>
    <w:rsid w:val="009B4CD6"/>
    <w:rsid w:val="009B4EE5"/>
    <w:rsid w:val="009B51D3"/>
    <w:rsid w:val="009B5579"/>
    <w:rsid w:val="009B561E"/>
    <w:rsid w:val="009B5758"/>
    <w:rsid w:val="009B5825"/>
    <w:rsid w:val="009B5A78"/>
    <w:rsid w:val="009B6342"/>
    <w:rsid w:val="009B6851"/>
    <w:rsid w:val="009B68CF"/>
    <w:rsid w:val="009B6CF3"/>
    <w:rsid w:val="009B703C"/>
    <w:rsid w:val="009B7132"/>
    <w:rsid w:val="009B7540"/>
    <w:rsid w:val="009C00A0"/>
    <w:rsid w:val="009C05D7"/>
    <w:rsid w:val="009C0A43"/>
    <w:rsid w:val="009C0CF1"/>
    <w:rsid w:val="009C0D1E"/>
    <w:rsid w:val="009C21BE"/>
    <w:rsid w:val="009C3151"/>
    <w:rsid w:val="009C3C4B"/>
    <w:rsid w:val="009C5159"/>
    <w:rsid w:val="009C53B2"/>
    <w:rsid w:val="009C5A07"/>
    <w:rsid w:val="009C6D54"/>
    <w:rsid w:val="009C6F9E"/>
    <w:rsid w:val="009C786C"/>
    <w:rsid w:val="009D023F"/>
    <w:rsid w:val="009D03E6"/>
    <w:rsid w:val="009D0FA0"/>
    <w:rsid w:val="009D144A"/>
    <w:rsid w:val="009D15A3"/>
    <w:rsid w:val="009D1FB4"/>
    <w:rsid w:val="009D2018"/>
    <w:rsid w:val="009D2B04"/>
    <w:rsid w:val="009D3E83"/>
    <w:rsid w:val="009D4274"/>
    <w:rsid w:val="009D4731"/>
    <w:rsid w:val="009D473D"/>
    <w:rsid w:val="009D5208"/>
    <w:rsid w:val="009D538D"/>
    <w:rsid w:val="009D60B0"/>
    <w:rsid w:val="009D60ED"/>
    <w:rsid w:val="009D6D36"/>
    <w:rsid w:val="009D6F75"/>
    <w:rsid w:val="009D75A6"/>
    <w:rsid w:val="009D76E5"/>
    <w:rsid w:val="009D7C14"/>
    <w:rsid w:val="009E0096"/>
    <w:rsid w:val="009E0468"/>
    <w:rsid w:val="009E0560"/>
    <w:rsid w:val="009E088A"/>
    <w:rsid w:val="009E0A4D"/>
    <w:rsid w:val="009E0B41"/>
    <w:rsid w:val="009E154D"/>
    <w:rsid w:val="009E1B2A"/>
    <w:rsid w:val="009E25C5"/>
    <w:rsid w:val="009E2DE8"/>
    <w:rsid w:val="009E376F"/>
    <w:rsid w:val="009E3CEA"/>
    <w:rsid w:val="009E42FC"/>
    <w:rsid w:val="009E4427"/>
    <w:rsid w:val="009E4FD8"/>
    <w:rsid w:val="009E5184"/>
    <w:rsid w:val="009E55D7"/>
    <w:rsid w:val="009E570C"/>
    <w:rsid w:val="009E5965"/>
    <w:rsid w:val="009E598F"/>
    <w:rsid w:val="009E5A4B"/>
    <w:rsid w:val="009E5BB8"/>
    <w:rsid w:val="009E61EA"/>
    <w:rsid w:val="009E6554"/>
    <w:rsid w:val="009E6838"/>
    <w:rsid w:val="009E6905"/>
    <w:rsid w:val="009E6CF2"/>
    <w:rsid w:val="009E70A4"/>
    <w:rsid w:val="009E7CBA"/>
    <w:rsid w:val="009F04DF"/>
    <w:rsid w:val="009F0B17"/>
    <w:rsid w:val="009F0E17"/>
    <w:rsid w:val="009F0FCA"/>
    <w:rsid w:val="009F1A65"/>
    <w:rsid w:val="009F2410"/>
    <w:rsid w:val="009F2F9C"/>
    <w:rsid w:val="009F3BC9"/>
    <w:rsid w:val="009F491C"/>
    <w:rsid w:val="009F4AD6"/>
    <w:rsid w:val="009F4C31"/>
    <w:rsid w:val="009F5239"/>
    <w:rsid w:val="009F52A4"/>
    <w:rsid w:val="009F6032"/>
    <w:rsid w:val="009F7266"/>
    <w:rsid w:val="009F7514"/>
    <w:rsid w:val="009F7C1F"/>
    <w:rsid w:val="009F7F1C"/>
    <w:rsid w:val="00A003E9"/>
    <w:rsid w:val="00A005F4"/>
    <w:rsid w:val="00A00BBB"/>
    <w:rsid w:val="00A013CE"/>
    <w:rsid w:val="00A02AC3"/>
    <w:rsid w:val="00A02FD2"/>
    <w:rsid w:val="00A03030"/>
    <w:rsid w:val="00A03540"/>
    <w:rsid w:val="00A03611"/>
    <w:rsid w:val="00A03615"/>
    <w:rsid w:val="00A038B9"/>
    <w:rsid w:val="00A04F50"/>
    <w:rsid w:val="00A056E3"/>
    <w:rsid w:val="00A05DD2"/>
    <w:rsid w:val="00A05F22"/>
    <w:rsid w:val="00A06F1A"/>
    <w:rsid w:val="00A07038"/>
    <w:rsid w:val="00A07CC0"/>
    <w:rsid w:val="00A07F7C"/>
    <w:rsid w:val="00A10514"/>
    <w:rsid w:val="00A1069A"/>
    <w:rsid w:val="00A10A83"/>
    <w:rsid w:val="00A116C7"/>
    <w:rsid w:val="00A12755"/>
    <w:rsid w:val="00A131E5"/>
    <w:rsid w:val="00A13204"/>
    <w:rsid w:val="00A133E5"/>
    <w:rsid w:val="00A1369B"/>
    <w:rsid w:val="00A13978"/>
    <w:rsid w:val="00A13AC1"/>
    <w:rsid w:val="00A1458F"/>
    <w:rsid w:val="00A14698"/>
    <w:rsid w:val="00A154BA"/>
    <w:rsid w:val="00A15A21"/>
    <w:rsid w:val="00A15F88"/>
    <w:rsid w:val="00A16AB9"/>
    <w:rsid w:val="00A173EB"/>
    <w:rsid w:val="00A20E42"/>
    <w:rsid w:val="00A2143E"/>
    <w:rsid w:val="00A21D0A"/>
    <w:rsid w:val="00A21E3B"/>
    <w:rsid w:val="00A228C1"/>
    <w:rsid w:val="00A22967"/>
    <w:rsid w:val="00A23F97"/>
    <w:rsid w:val="00A244D4"/>
    <w:rsid w:val="00A24DF5"/>
    <w:rsid w:val="00A25208"/>
    <w:rsid w:val="00A254AF"/>
    <w:rsid w:val="00A25615"/>
    <w:rsid w:val="00A25763"/>
    <w:rsid w:val="00A26087"/>
    <w:rsid w:val="00A273F6"/>
    <w:rsid w:val="00A27DAB"/>
    <w:rsid w:val="00A3046B"/>
    <w:rsid w:val="00A306F2"/>
    <w:rsid w:val="00A30B80"/>
    <w:rsid w:val="00A312EC"/>
    <w:rsid w:val="00A31443"/>
    <w:rsid w:val="00A31B7D"/>
    <w:rsid w:val="00A31D6C"/>
    <w:rsid w:val="00A32608"/>
    <w:rsid w:val="00A32645"/>
    <w:rsid w:val="00A326BF"/>
    <w:rsid w:val="00A32A2D"/>
    <w:rsid w:val="00A331DC"/>
    <w:rsid w:val="00A337DF"/>
    <w:rsid w:val="00A34982"/>
    <w:rsid w:val="00A352BF"/>
    <w:rsid w:val="00A352E4"/>
    <w:rsid w:val="00A37615"/>
    <w:rsid w:val="00A400CB"/>
    <w:rsid w:val="00A40814"/>
    <w:rsid w:val="00A40CCE"/>
    <w:rsid w:val="00A41385"/>
    <w:rsid w:val="00A41CF1"/>
    <w:rsid w:val="00A41DB3"/>
    <w:rsid w:val="00A422D4"/>
    <w:rsid w:val="00A42721"/>
    <w:rsid w:val="00A42F52"/>
    <w:rsid w:val="00A431F0"/>
    <w:rsid w:val="00A43A50"/>
    <w:rsid w:val="00A43CBB"/>
    <w:rsid w:val="00A44B78"/>
    <w:rsid w:val="00A44C1C"/>
    <w:rsid w:val="00A44E9A"/>
    <w:rsid w:val="00A457D4"/>
    <w:rsid w:val="00A45E45"/>
    <w:rsid w:val="00A460D7"/>
    <w:rsid w:val="00A462C9"/>
    <w:rsid w:val="00A47F07"/>
    <w:rsid w:val="00A50111"/>
    <w:rsid w:val="00A5047B"/>
    <w:rsid w:val="00A50EFE"/>
    <w:rsid w:val="00A50F2E"/>
    <w:rsid w:val="00A5187D"/>
    <w:rsid w:val="00A51C4F"/>
    <w:rsid w:val="00A527B8"/>
    <w:rsid w:val="00A52C17"/>
    <w:rsid w:val="00A52F4C"/>
    <w:rsid w:val="00A53414"/>
    <w:rsid w:val="00A5351D"/>
    <w:rsid w:val="00A53DE4"/>
    <w:rsid w:val="00A544C6"/>
    <w:rsid w:val="00A547AE"/>
    <w:rsid w:val="00A54DD2"/>
    <w:rsid w:val="00A55045"/>
    <w:rsid w:val="00A55344"/>
    <w:rsid w:val="00A55816"/>
    <w:rsid w:val="00A55C6D"/>
    <w:rsid w:val="00A56099"/>
    <w:rsid w:val="00A563C4"/>
    <w:rsid w:val="00A565BF"/>
    <w:rsid w:val="00A5790D"/>
    <w:rsid w:val="00A579FF"/>
    <w:rsid w:val="00A57BB5"/>
    <w:rsid w:val="00A6074C"/>
    <w:rsid w:val="00A609E8"/>
    <w:rsid w:val="00A609F1"/>
    <w:rsid w:val="00A6109E"/>
    <w:rsid w:val="00A6196F"/>
    <w:rsid w:val="00A61BED"/>
    <w:rsid w:val="00A61CF3"/>
    <w:rsid w:val="00A62223"/>
    <w:rsid w:val="00A62824"/>
    <w:rsid w:val="00A62B14"/>
    <w:rsid w:val="00A62BC5"/>
    <w:rsid w:val="00A62D23"/>
    <w:rsid w:val="00A635B6"/>
    <w:rsid w:val="00A635DA"/>
    <w:rsid w:val="00A63F77"/>
    <w:rsid w:val="00A64049"/>
    <w:rsid w:val="00A64A6C"/>
    <w:rsid w:val="00A65211"/>
    <w:rsid w:val="00A65309"/>
    <w:rsid w:val="00A65457"/>
    <w:rsid w:val="00A655AA"/>
    <w:rsid w:val="00A65627"/>
    <w:rsid w:val="00A6614E"/>
    <w:rsid w:val="00A662E4"/>
    <w:rsid w:val="00A66CA6"/>
    <w:rsid w:val="00A67019"/>
    <w:rsid w:val="00A67334"/>
    <w:rsid w:val="00A6764B"/>
    <w:rsid w:val="00A700A3"/>
    <w:rsid w:val="00A7031D"/>
    <w:rsid w:val="00A708F8"/>
    <w:rsid w:val="00A70DE1"/>
    <w:rsid w:val="00A70F65"/>
    <w:rsid w:val="00A711A0"/>
    <w:rsid w:val="00A71302"/>
    <w:rsid w:val="00A713DB"/>
    <w:rsid w:val="00A71F4E"/>
    <w:rsid w:val="00A723E5"/>
    <w:rsid w:val="00A734C0"/>
    <w:rsid w:val="00A74D73"/>
    <w:rsid w:val="00A75434"/>
    <w:rsid w:val="00A75975"/>
    <w:rsid w:val="00A76B77"/>
    <w:rsid w:val="00A7732C"/>
    <w:rsid w:val="00A774B5"/>
    <w:rsid w:val="00A77656"/>
    <w:rsid w:val="00A801A4"/>
    <w:rsid w:val="00A80BA7"/>
    <w:rsid w:val="00A81D17"/>
    <w:rsid w:val="00A81D2F"/>
    <w:rsid w:val="00A81DEA"/>
    <w:rsid w:val="00A82153"/>
    <w:rsid w:val="00A827D5"/>
    <w:rsid w:val="00A83080"/>
    <w:rsid w:val="00A83EA1"/>
    <w:rsid w:val="00A84C7D"/>
    <w:rsid w:val="00A84D60"/>
    <w:rsid w:val="00A84F1C"/>
    <w:rsid w:val="00A852E7"/>
    <w:rsid w:val="00A86119"/>
    <w:rsid w:val="00A86B62"/>
    <w:rsid w:val="00A86B80"/>
    <w:rsid w:val="00A8718F"/>
    <w:rsid w:val="00A872BE"/>
    <w:rsid w:val="00A87681"/>
    <w:rsid w:val="00A87887"/>
    <w:rsid w:val="00A87917"/>
    <w:rsid w:val="00A9074D"/>
    <w:rsid w:val="00A91253"/>
    <w:rsid w:val="00A91DBA"/>
    <w:rsid w:val="00A92234"/>
    <w:rsid w:val="00A925C2"/>
    <w:rsid w:val="00A927CB"/>
    <w:rsid w:val="00A92BDB"/>
    <w:rsid w:val="00A941B3"/>
    <w:rsid w:val="00A94BBA"/>
    <w:rsid w:val="00A94DFB"/>
    <w:rsid w:val="00A94F68"/>
    <w:rsid w:val="00A953D1"/>
    <w:rsid w:val="00A95608"/>
    <w:rsid w:val="00A966F6"/>
    <w:rsid w:val="00A96770"/>
    <w:rsid w:val="00A96913"/>
    <w:rsid w:val="00A973AB"/>
    <w:rsid w:val="00A97880"/>
    <w:rsid w:val="00AA034C"/>
    <w:rsid w:val="00AA06C0"/>
    <w:rsid w:val="00AA0820"/>
    <w:rsid w:val="00AA0AC3"/>
    <w:rsid w:val="00AA0B6A"/>
    <w:rsid w:val="00AA0B92"/>
    <w:rsid w:val="00AA0C5E"/>
    <w:rsid w:val="00AA0D86"/>
    <w:rsid w:val="00AA0EA7"/>
    <w:rsid w:val="00AA1DCA"/>
    <w:rsid w:val="00AA1E9D"/>
    <w:rsid w:val="00AA1EA4"/>
    <w:rsid w:val="00AA23C2"/>
    <w:rsid w:val="00AA29C8"/>
    <w:rsid w:val="00AA2F37"/>
    <w:rsid w:val="00AA3E44"/>
    <w:rsid w:val="00AA3FB7"/>
    <w:rsid w:val="00AA4BA7"/>
    <w:rsid w:val="00AA4CB0"/>
    <w:rsid w:val="00AA50A2"/>
    <w:rsid w:val="00AA511B"/>
    <w:rsid w:val="00AA542D"/>
    <w:rsid w:val="00AA614D"/>
    <w:rsid w:val="00AA692D"/>
    <w:rsid w:val="00AA72CE"/>
    <w:rsid w:val="00AA73EB"/>
    <w:rsid w:val="00AA79FE"/>
    <w:rsid w:val="00AA7E1E"/>
    <w:rsid w:val="00AB0F7A"/>
    <w:rsid w:val="00AB123F"/>
    <w:rsid w:val="00AB12EF"/>
    <w:rsid w:val="00AB1A6D"/>
    <w:rsid w:val="00AB284F"/>
    <w:rsid w:val="00AB2B8A"/>
    <w:rsid w:val="00AB2CDF"/>
    <w:rsid w:val="00AB3073"/>
    <w:rsid w:val="00AB357C"/>
    <w:rsid w:val="00AB3773"/>
    <w:rsid w:val="00AB3BBB"/>
    <w:rsid w:val="00AB3E93"/>
    <w:rsid w:val="00AB47C6"/>
    <w:rsid w:val="00AB4805"/>
    <w:rsid w:val="00AB4841"/>
    <w:rsid w:val="00AB5C09"/>
    <w:rsid w:val="00AB60F4"/>
    <w:rsid w:val="00AB6641"/>
    <w:rsid w:val="00AB7404"/>
    <w:rsid w:val="00AB7589"/>
    <w:rsid w:val="00AB7791"/>
    <w:rsid w:val="00AB7FA6"/>
    <w:rsid w:val="00AC0527"/>
    <w:rsid w:val="00AC07FF"/>
    <w:rsid w:val="00AC10BB"/>
    <w:rsid w:val="00AC1E27"/>
    <w:rsid w:val="00AC22A6"/>
    <w:rsid w:val="00AC2554"/>
    <w:rsid w:val="00AC2A69"/>
    <w:rsid w:val="00AC2BCB"/>
    <w:rsid w:val="00AC2EC0"/>
    <w:rsid w:val="00AC320B"/>
    <w:rsid w:val="00AC3285"/>
    <w:rsid w:val="00AC41FB"/>
    <w:rsid w:val="00AC4894"/>
    <w:rsid w:val="00AC4913"/>
    <w:rsid w:val="00AC52B5"/>
    <w:rsid w:val="00AC55DC"/>
    <w:rsid w:val="00AC6BF9"/>
    <w:rsid w:val="00AC6FA9"/>
    <w:rsid w:val="00AC7386"/>
    <w:rsid w:val="00AC7482"/>
    <w:rsid w:val="00AD001B"/>
    <w:rsid w:val="00AD0ADE"/>
    <w:rsid w:val="00AD12C5"/>
    <w:rsid w:val="00AD33DE"/>
    <w:rsid w:val="00AD344E"/>
    <w:rsid w:val="00AD433C"/>
    <w:rsid w:val="00AD459F"/>
    <w:rsid w:val="00AD485D"/>
    <w:rsid w:val="00AD4ADE"/>
    <w:rsid w:val="00AD4C65"/>
    <w:rsid w:val="00AD5835"/>
    <w:rsid w:val="00AD5C59"/>
    <w:rsid w:val="00AD6248"/>
    <w:rsid w:val="00AD6C08"/>
    <w:rsid w:val="00AE0625"/>
    <w:rsid w:val="00AE0C5C"/>
    <w:rsid w:val="00AE0D75"/>
    <w:rsid w:val="00AE0EF1"/>
    <w:rsid w:val="00AE1425"/>
    <w:rsid w:val="00AE1708"/>
    <w:rsid w:val="00AE1838"/>
    <w:rsid w:val="00AE1C2D"/>
    <w:rsid w:val="00AE2B5A"/>
    <w:rsid w:val="00AE301B"/>
    <w:rsid w:val="00AE32B8"/>
    <w:rsid w:val="00AE3A75"/>
    <w:rsid w:val="00AE3C7E"/>
    <w:rsid w:val="00AE400A"/>
    <w:rsid w:val="00AE4859"/>
    <w:rsid w:val="00AE5355"/>
    <w:rsid w:val="00AE6302"/>
    <w:rsid w:val="00AE6C74"/>
    <w:rsid w:val="00AE6F43"/>
    <w:rsid w:val="00AE6FAB"/>
    <w:rsid w:val="00AE7E64"/>
    <w:rsid w:val="00AF00D0"/>
    <w:rsid w:val="00AF0243"/>
    <w:rsid w:val="00AF0B1E"/>
    <w:rsid w:val="00AF0C97"/>
    <w:rsid w:val="00AF0E30"/>
    <w:rsid w:val="00AF2052"/>
    <w:rsid w:val="00AF2CE8"/>
    <w:rsid w:val="00AF2E59"/>
    <w:rsid w:val="00AF3514"/>
    <w:rsid w:val="00AF35CF"/>
    <w:rsid w:val="00AF3B2A"/>
    <w:rsid w:val="00AF3E33"/>
    <w:rsid w:val="00AF3F25"/>
    <w:rsid w:val="00AF4779"/>
    <w:rsid w:val="00AF4D10"/>
    <w:rsid w:val="00AF4E78"/>
    <w:rsid w:val="00AF4F3F"/>
    <w:rsid w:val="00AF5232"/>
    <w:rsid w:val="00AF56BC"/>
    <w:rsid w:val="00AF6007"/>
    <w:rsid w:val="00AF611A"/>
    <w:rsid w:val="00AF7670"/>
    <w:rsid w:val="00AF76A2"/>
    <w:rsid w:val="00B00F9C"/>
    <w:rsid w:val="00B014A1"/>
    <w:rsid w:val="00B01657"/>
    <w:rsid w:val="00B01DE7"/>
    <w:rsid w:val="00B01F87"/>
    <w:rsid w:val="00B03963"/>
    <w:rsid w:val="00B0433B"/>
    <w:rsid w:val="00B04416"/>
    <w:rsid w:val="00B047D8"/>
    <w:rsid w:val="00B049B4"/>
    <w:rsid w:val="00B04C6D"/>
    <w:rsid w:val="00B05489"/>
    <w:rsid w:val="00B05502"/>
    <w:rsid w:val="00B05AA9"/>
    <w:rsid w:val="00B05CCD"/>
    <w:rsid w:val="00B063E8"/>
    <w:rsid w:val="00B06AF6"/>
    <w:rsid w:val="00B06F41"/>
    <w:rsid w:val="00B07470"/>
    <w:rsid w:val="00B0798B"/>
    <w:rsid w:val="00B07FEB"/>
    <w:rsid w:val="00B1034B"/>
    <w:rsid w:val="00B1194A"/>
    <w:rsid w:val="00B1207D"/>
    <w:rsid w:val="00B122A6"/>
    <w:rsid w:val="00B12514"/>
    <w:rsid w:val="00B12744"/>
    <w:rsid w:val="00B12802"/>
    <w:rsid w:val="00B12B01"/>
    <w:rsid w:val="00B12C6C"/>
    <w:rsid w:val="00B130A2"/>
    <w:rsid w:val="00B13115"/>
    <w:rsid w:val="00B139CB"/>
    <w:rsid w:val="00B153FA"/>
    <w:rsid w:val="00B15D5E"/>
    <w:rsid w:val="00B17A90"/>
    <w:rsid w:val="00B2020D"/>
    <w:rsid w:val="00B2056E"/>
    <w:rsid w:val="00B215CE"/>
    <w:rsid w:val="00B21965"/>
    <w:rsid w:val="00B21ED4"/>
    <w:rsid w:val="00B22702"/>
    <w:rsid w:val="00B22B67"/>
    <w:rsid w:val="00B23192"/>
    <w:rsid w:val="00B232AF"/>
    <w:rsid w:val="00B23467"/>
    <w:rsid w:val="00B23DA6"/>
    <w:rsid w:val="00B23F9A"/>
    <w:rsid w:val="00B247C6"/>
    <w:rsid w:val="00B24A95"/>
    <w:rsid w:val="00B24E01"/>
    <w:rsid w:val="00B24E92"/>
    <w:rsid w:val="00B250DB"/>
    <w:rsid w:val="00B2529E"/>
    <w:rsid w:val="00B2582F"/>
    <w:rsid w:val="00B268FC"/>
    <w:rsid w:val="00B26EF2"/>
    <w:rsid w:val="00B27040"/>
    <w:rsid w:val="00B2708D"/>
    <w:rsid w:val="00B270BE"/>
    <w:rsid w:val="00B273FD"/>
    <w:rsid w:val="00B27466"/>
    <w:rsid w:val="00B277AE"/>
    <w:rsid w:val="00B27E58"/>
    <w:rsid w:val="00B27F06"/>
    <w:rsid w:val="00B30720"/>
    <w:rsid w:val="00B31825"/>
    <w:rsid w:val="00B31977"/>
    <w:rsid w:val="00B31E0D"/>
    <w:rsid w:val="00B31F49"/>
    <w:rsid w:val="00B3229C"/>
    <w:rsid w:val="00B32A7F"/>
    <w:rsid w:val="00B32DE6"/>
    <w:rsid w:val="00B32EC2"/>
    <w:rsid w:val="00B33730"/>
    <w:rsid w:val="00B33902"/>
    <w:rsid w:val="00B33BBD"/>
    <w:rsid w:val="00B3420D"/>
    <w:rsid w:val="00B34CD1"/>
    <w:rsid w:val="00B3615D"/>
    <w:rsid w:val="00B3628D"/>
    <w:rsid w:val="00B3630E"/>
    <w:rsid w:val="00B3673D"/>
    <w:rsid w:val="00B41C01"/>
    <w:rsid w:val="00B41CFD"/>
    <w:rsid w:val="00B448AB"/>
    <w:rsid w:val="00B44C74"/>
    <w:rsid w:val="00B44C91"/>
    <w:rsid w:val="00B44EE2"/>
    <w:rsid w:val="00B455CA"/>
    <w:rsid w:val="00B45D11"/>
    <w:rsid w:val="00B45F60"/>
    <w:rsid w:val="00B4650E"/>
    <w:rsid w:val="00B4676D"/>
    <w:rsid w:val="00B46D4F"/>
    <w:rsid w:val="00B46F74"/>
    <w:rsid w:val="00B507DC"/>
    <w:rsid w:val="00B50F7C"/>
    <w:rsid w:val="00B50FBD"/>
    <w:rsid w:val="00B51081"/>
    <w:rsid w:val="00B51729"/>
    <w:rsid w:val="00B5195E"/>
    <w:rsid w:val="00B5209F"/>
    <w:rsid w:val="00B522DE"/>
    <w:rsid w:val="00B52514"/>
    <w:rsid w:val="00B52593"/>
    <w:rsid w:val="00B52992"/>
    <w:rsid w:val="00B52B39"/>
    <w:rsid w:val="00B52E7C"/>
    <w:rsid w:val="00B53A84"/>
    <w:rsid w:val="00B5436C"/>
    <w:rsid w:val="00B544BB"/>
    <w:rsid w:val="00B5452A"/>
    <w:rsid w:val="00B547B4"/>
    <w:rsid w:val="00B54ECF"/>
    <w:rsid w:val="00B551BC"/>
    <w:rsid w:val="00B55805"/>
    <w:rsid w:val="00B55ABA"/>
    <w:rsid w:val="00B569F5"/>
    <w:rsid w:val="00B56BB3"/>
    <w:rsid w:val="00B57149"/>
    <w:rsid w:val="00B57E09"/>
    <w:rsid w:val="00B57E5C"/>
    <w:rsid w:val="00B57F8A"/>
    <w:rsid w:val="00B6199A"/>
    <w:rsid w:val="00B6398C"/>
    <w:rsid w:val="00B63DAD"/>
    <w:rsid w:val="00B63E13"/>
    <w:rsid w:val="00B64902"/>
    <w:rsid w:val="00B649F1"/>
    <w:rsid w:val="00B649F9"/>
    <w:rsid w:val="00B65016"/>
    <w:rsid w:val="00B650B3"/>
    <w:rsid w:val="00B650D3"/>
    <w:rsid w:val="00B653C7"/>
    <w:rsid w:val="00B65654"/>
    <w:rsid w:val="00B65EF3"/>
    <w:rsid w:val="00B669C6"/>
    <w:rsid w:val="00B66FEE"/>
    <w:rsid w:val="00B67B0F"/>
    <w:rsid w:val="00B67D74"/>
    <w:rsid w:val="00B70326"/>
    <w:rsid w:val="00B70A14"/>
    <w:rsid w:val="00B70B17"/>
    <w:rsid w:val="00B70BC8"/>
    <w:rsid w:val="00B72632"/>
    <w:rsid w:val="00B7264E"/>
    <w:rsid w:val="00B72E7E"/>
    <w:rsid w:val="00B7312D"/>
    <w:rsid w:val="00B736AD"/>
    <w:rsid w:val="00B73ACF"/>
    <w:rsid w:val="00B73CC6"/>
    <w:rsid w:val="00B73F70"/>
    <w:rsid w:val="00B740F2"/>
    <w:rsid w:val="00B74577"/>
    <w:rsid w:val="00B74EAB"/>
    <w:rsid w:val="00B7518C"/>
    <w:rsid w:val="00B75276"/>
    <w:rsid w:val="00B75834"/>
    <w:rsid w:val="00B759C3"/>
    <w:rsid w:val="00B75AE4"/>
    <w:rsid w:val="00B75BE2"/>
    <w:rsid w:val="00B76442"/>
    <w:rsid w:val="00B76B0C"/>
    <w:rsid w:val="00B80029"/>
    <w:rsid w:val="00B8012A"/>
    <w:rsid w:val="00B80530"/>
    <w:rsid w:val="00B805FA"/>
    <w:rsid w:val="00B8145A"/>
    <w:rsid w:val="00B82630"/>
    <w:rsid w:val="00B82C6E"/>
    <w:rsid w:val="00B82FE6"/>
    <w:rsid w:val="00B834F9"/>
    <w:rsid w:val="00B836E1"/>
    <w:rsid w:val="00B8395E"/>
    <w:rsid w:val="00B83A6D"/>
    <w:rsid w:val="00B83E3A"/>
    <w:rsid w:val="00B844E0"/>
    <w:rsid w:val="00B84A0C"/>
    <w:rsid w:val="00B84C26"/>
    <w:rsid w:val="00B84E5A"/>
    <w:rsid w:val="00B85036"/>
    <w:rsid w:val="00B85BFD"/>
    <w:rsid w:val="00B866B8"/>
    <w:rsid w:val="00B86A69"/>
    <w:rsid w:val="00B86A9F"/>
    <w:rsid w:val="00B86BD8"/>
    <w:rsid w:val="00B87E4B"/>
    <w:rsid w:val="00B9004B"/>
    <w:rsid w:val="00B90525"/>
    <w:rsid w:val="00B90B54"/>
    <w:rsid w:val="00B91252"/>
    <w:rsid w:val="00B91D3D"/>
    <w:rsid w:val="00B91DC6"/>
    <w:rsid w:val="00B91DE9"/>
    <w:rsid w:val="00B91FEA"/>
    <w:rsid w:val="00B9212A"/>
    <w:rsid w:val="00B93355"/>
    <w:rsid w:val="00B93662"/>
    <w:rsid w:val="00B93818"/>
    <w:rsid w:val="00B93C36"/>
    <w:rsid w:val="00B94424"/>
    <w:rsid w:val="00B946A1"/>
    <w:rsid w:val="00B9489F"/>
    <w:rsid w:val="00B949B6"/>
    <w:rsid w:val="00B9507C"/>
    <w:rsid w:val="00B96FA9"/>
    <w:rsid w:val="00B97494"/>
    <w:rsid w:val="00B97665"/>
    <w:rsid w:val="00BA0B90"/>
    <w:rsid w:val="00BA0F35"/>
    <w:rsid w:val="00BA12E2"/>
    <w:rsid w:val="00BA16C5"/>
    <w:rsid w:val="00BA1744"/>
    <w:rsid w:val="00BA1DDA"/>
    <w:rsid w:val="00BA202C"/>
    <w:rsid w:val="00BA2984"/>
    <w:rsid w:val="00BA29F8"/>
    <w:rsid w:val="00BA2BAF"/>
    <w:rsid w:val="00BA2E1B"/>
    <w:rsid w:val="00BA3629"/>
    <w:rsid w:val="00BA3ABD"/>
    <w:rsid w:val="00BA41CF"/>
    <w:rsid w:val="00BA4557"/>
    <w:rsid w:val="00BA4D54"/>
    <w:rsid w:val="00BA583C"/>
    <w:rsid w:val="00BA58CA"/>
    <w:rsid w:val="00BA597E"/>
    <w:rsid w:val="00BA61CC"/>
    <w:rsid w:val="00BA6320"/>
    <w:rsid w:val="00BA6EEF"/>
    <w:rsid w:val="00BA705D"/>
    <w:rsid w:val="00BA71F5"/>
    <w:rsid w:val="00BA78D5"/>
    <w:rsid w:val="00BA7C9E"/>
    <w:rsid w:val="00BA7DB9"/>
    <w:rsid w:val="00BB0997"/>
    <w:rsid w:val="00BB0CE4"/>
    <w:rsid w:val="00BB33C3"/>
    <w:rsid w:val="00BB38D2"/>
    <w:rsid w:val="00BB3D5D"/>
    <w:rsid w:val="00BB41D2"/>
    <w:rsid w:val="00BB4636"/>
    <w:rsid w:val="00BB4CF5"/>
    <w:rsid w:val="00BB5D58"/>
    <w:rsid w:val="00BB6846"/>
    <w:rsid w:val="00BB7219"/>
    <w:rsid w:val="00BB747B"/>
    <w:rsid w:val="00BB784D"/>
    <w:rsid w:val="00BC0864"/>
    <w:rsid w:val="00BC0B06"/>
    <w:rsid w:val="00BC0CBC"/>
    <w:rsid w:val="00BC0FE2"/>
    <w:rsid w:val="00BC1462"/>
    <w:rsid w:val="00BC20BD"/>
    <w:rsid w:val="00BC2451"/>
    <w:rsid w:val="00BC2DDB"/>
    <w:rsid w:val="00BC3CBD"/>
    <w:rsid w:val="00BC426C"/>
    <w:rsid w:val="00BC45D0"/>
    <w:rsid w:val="00BC4E67"/>
    <w:rsid w:val="00BC5A0F"/>
    <w:rsid w:val="00BC5A78"/>
    <w:rsid w:val="00BC5C4E"/>
    <w:rsid w:val="00BC5C7F"/>
    <w:rsid w:val="00BC5ED4"/>
    <w:rsid w:val="00BC5F69"/>
    <w:rsid w:val="00BC664E"/>
    <w:rsid w:val="00BC77F0"/>
    <w:rsid w:val="00BC7E5C"/>
    <w:rsid w:val="00BD03BB"/>
    <w:rsid w:val="00BD03D7"/>
    <w:rsid w:val="00BD047B"/>
    <w:rsid w:val="00BD04E9"/>
    <w:rsid w:val="00BD1067"/>
    <w:rsid w:val="00BD1944"/>
    <w:rsid w:val="00BD1BA0"/>
    <w:rsid w:val="00BD3411"/>
    <w:rsid w:val="00BD3690"/>
    <w:rsid w:val="00BD421C"/>
    <w:rsid w:val="00BD4C61"/>
    <w:rsid w:val="00BD4CE2"/>
    <w:rsid w:val="00BD4DFA"/>
    <w:rsid w:val="00BD530B"/>
    <w:rsid w:val="00BD540A"/>
    <w:rsid w:val="00BD54FC"/>
    <w:rsid w:val="00BD56BD"/>
    <w:rsid w:val="00BD5FB5"/>
    <w:rsid w:val="00BD626C"/>
    <w:rsid w:val="00BD62D2"/>
    <w:rsid w:val="00BD69CB"/>
    <w:rsid w:val="00BD7263"/>
    <w:rsid w:val="00BD790D"/>
    <w:rsid w:val="00BD7B4C"/>
    <w:rsid w:val="00BD7BEE"/>
    <w:rsid w:val="00BE01BF"/>
    <w:rsid w:val="00BE08B4"/>
    <w:rsid w:val="00BE15C2"/>
    <w:rsid w:val="00BE22C2"/>
    <w:rsid w:val="00BE2467"/>
    <w:rsid w:val="00BE31E8"/>
    <w:rsid w:val="00BE3451"/>
    <w:rsid w:val="00BE3643"/>
    <w:rsid w:val="00BE3DFF"/>
    <w:rsid w:val="00BE4233"/>
    <w:rsid w:val="00BE448A"/>
    <w:rsid w:val="00BE4967"/>
    <w:rsid w:val="00BE508F"/>
    <w:rsid w:val="00BE6E14"/>
    <w:rsid w:val="00BE7EF7"/>
    <w:rsid w:val="00BF0536"/>
    <w:rsid w:val="00BF063D"/>
    <w:rsid w:val="00BF152F"/>
    <w:rsid w:val="00BF16ED"/>
    <w:rsid w:val="00BF1768"/>
    <w:rsid w:val="00BF183F"/>
    <w:rsid w:val="00BF1C59"/>
    <w:rsid w:val="00BF265C"/>
    <w:rsid w:val="00BF2DD0"/>
    <w:rsid w:val="00BF3894"/>
    <w:rsid w:val="00BF45FE"/>
    <w:rsid w:val="00BF4716"/>
    <w:rsid w:val="00BF4F1E"/>
    <w:rsid w:val="00BF5929"/>
    <w:rsid w:val="00BF5FE6"/>
    <w:rsid w:val="00BF625D"/>
    <w:rsid w:val="00BF6514"/>
    <w:rsid w:val="00BF6556"/>
    <w:rsid w:val="00BF698C"/>
    <w:rsid w:val="00BF748C"/>
    <w:rsid w:val="00BF74E3"/>
    <w:rsid w:val="00BF7B4F"/>
    <w:rsid w:val="00BF7DA3"/>
    <w:rsid w:val="00C003BD"/>
    <w:rsid w:val="00C0060D"/>
    <w:rsid w:val="00C008F3"/>
    <w:rsid w:val="00C00943"/>
    <w:rsid w:val="00C00D2C"/>
    <w:rsid w:val="00C016C8"/>
    <w:rsid w:val="00C01798"/>
    <w:rsid w:val="00C01FB7"/>
    <w:rsid w:val="00C020C3"/>
    <w:rsid w:val="00C02413"/>
    <w:rsid w:val="00C027B0"/>
    <w:rsid w:val="00C0282D"/>
    <w:rsid w:val="00C03AA3"/>
    <w:rsid w:val="00C03D56"/>
    <w:rsid w:val="00C04282"/>
    <w:rsid w:val="00C045C1"/>
    <w:rsid w:val="00C04739"/>
    <w:rsid w:val="00C04E35"/>
    <w:rsid w:val="00C05746"/>
    <w:rsid w:val="00C058E9"/>
    <w:rsid w:val="00C0595E"/>
    <w:rsid w:val="00C05F19"/>
    <w:rsid w:val="00C077C4"/>
    <w:rsid w:val="00C077D8"/>
    <w:rsid w:val="00C079F6"/>
    <w:rsid w:val="00C07AEA"/>
    <w:rsid w:val="00C07C05"/>
    <w:rsid w:val="00C108D0"/>
    <w:rsid w:val="00C11C73"/>
    <w:rsid w:val="00C11D63"/>
    <w:rsid w:val="00C12109"/>
    <w:rsid w:val="00C13653"/>
    <w:rsid w:val="00C1376B"/>
    <w:rsid w:val="00C138DF"/>
    <w:rsid w:val="00C13E0C"/>
    <w:rsid w:val="00C145B1"/>
    <w:rsid w:val="00C14F49"/>
    <w:rsid w:val="00C15AF0"/>
    <w:rsid w:val="00C1608C"/>
    <w:rsid w:val="00C166FD"/>
    <w:rsid w:val="00C1709F"/>
    <w:rsid w:val="00C170BB"/>
    <w:rsid w:val="00C17EC6"/>
    <w:rsid w:val="00C20E83"/>
    <w:rsid w:val="00C2105E"/>
    <w:rsid w:val="00C21832"/>
    <w:rsid w:val="00C219D4"/>
    <w:rsid w:val="00C221A4"/>
    <w:rsid w:val="00C22787"/>
    <w:rsid w:val="00C22796"/>
    <w:rsid w:val="00C232E6"/>
    <w:rsid w:val="00C23794"/>
    <w:rsid w:val="00C23A4F"/>
    <w:rsid w:val="00C23C45"/>
    <w:rsid w:val="00C24329"/>
    <w:rsid w:val="00C24480"/>
    <w:rsid w:val="00C24A22"/>
    <w:rsid w:val="00C24A92"/>
    <w:rsid w:val="00C25465"/>
    <w:rsid w:val="00C25593"/>
    <w:rsid w:val="00C25CE6"/>
    <w:rsid w:val="00C2648E"/>
    <w:rsid w:val="00C26CFE"/>
    <w:rsid w:val="00C2727C"/>
    <w:rsid w:val="00C273E0"/>
    <w:rsid w:val="00C277C0"/>
    <w:rsid w:val="00C30310"/>
    <w:rsid w:val="00C30343"/>
    <w:rsid w:val="00C30A09"/>
    <w:rsid w:val="00C30B95"/>
    <w:rsid w:val="00C30F28"/>
    <w:rsid w:val="00C31036"/>
    <w:rsid w:val="00C311EE"/>
    <w:rsid w:val="00C31662"/>
    <w:rsid w:val="00C31CBF"/>
    <w:rsid w:val="00C32314"/>
    <w:rsid w:val="00C32819"/>
    <w:rsid w:val="00C32F3A"/>
    <w:rsid w:val="00C336C5"/>
    <w:rsid w:val="00C34678"/>
    <w:rsid w:val="00C35722"/>
    <w:rsid w:val="00C36362"/>
    <w:rsid w:val="00C36E0B"/>
    <w:rsid w:val="00C370E7"/>
    <w:rsid w:val="00C40C08"/>
    <w:rsid w:val="00C41114"/>
    <w:rsid w:val="00C411BF"/>
    <w:rsid w:val="00C41679"/>
    <w:rsid w:val="00C4195A"/>
    <w:rsid w:val="00C42139"/>
    <w:rsid w:val="00C42235"/>
    <w:rsid w:val="00C42375"/>
    <w:rsid w:val="00C43181"/>
    <w:rsid w:val="00C43CB6"/>
    <w:rsid w:val="00C43D11"/>
    <w:rsid w:val="00C4411C"/>
    <w:rsid w:val="00C44441"/>
    <w:rsid w:val="00C44DEB"/>
    <w:rsid w:val="00C45D67"/>
    <w:rsid w:val="00C45F2D"/>
    <w:rsid w:val="00C45F2F"/>
    <w:rsid w:val="00C45F98"/>
    <w:rsid w:val="00C46298"/>
    <w:rsid w:val="00C46FF4"/>
    <w:rsid w:val="00C4768F"/>
    <w:rsid w:val="00C506CB"/>
    <w:rsid w:val="00C52D83"/>
    <w:rsid w:val="00C52E1A"/>
    <w:rsid w:val="00C532CD"/>
    <w:rsid w:val="00C53582"/>
    <w:rsid w:val="00C53814"/>
    <w:rsid w:val="00C53AE7"/>
    <w:rsid w:val="00C53B46"/>
    <w:rsid w:val="00C53C6A"/>
    <w:rsid w:val="00C53C93"/>
    <w:rsid w:val="00C54B13"/>
    <w:rsid w:val="00C550B0"/>
    <w:rsid w:val="00C56399"/>
    <w:rsid w:val="00C5676E"/>
    <w:rsid w:val="00C56EE3"/>
    <w:rsid w:val="00C57008"/>
    <w:rsid w:val="00C57692"/>
    <w:rsid w:val="00C57BBD"/>
    <w:rsid w:val="00C60FBD"/>
    <w:rsid w:val="00C61385"/>
    <w:rsid w:val="00C618BE"/>
    <w:rsid w:val="00C619B3"/>
    <w:rsid w:val="00C61DE5"/>
    <w:rsid w:val="00C62361"/>
    <w:rsid w:val="00C62BD3"/>
    <w:rsid w:val="00C63547"/>
    <w:rsid w:val="00C6363A"/>
    <w:rsid w:val="00C6377A"/>
    <w:rsid w:val="00C639C8"/>
    <w:rsid w:val="00C641BD"/>
    <w:rsid w:val="00C64D89"/>
    <w:rsid w:val="00C64DD8"/>
    <w:rsid w:val="00C6545D"/>
    <w:rsid w:val="00C6674C"/>
    <w:rsid w:val="00C67122"/>
    <w:rsid w:val="00C671C6"/>
    <w:rsid w:val="00C702BD"/>
    <w:rsid w:val="00C7049C"/>
    <w:rsid w:val="00C704FF"/>
    <w:rsid w:val="00C706A7"/>
    <w:rsid w:val="00C70C52"/>
    <w:rsid w:val="00C70E87"/>
    <w:rsid w:val="00C70EB4"/>
    <w:rsid w:val="00C710A8"/>
    <w:rsid w:val="00C7128E"/>
    <w:rsid w:val="00C713DF"/>
    <w:rsid w:val="00C714CB"/>
    <w:rsid w:val="00C71BBD"/>
    <w:rsid w:val="00C726C5"/>
    <w:rsid w:val="00C72B15"/>
    <w:rsid w:val="00C73970"/>
    <w:rsid w:val="00C73FA1"/>
    <w:rsid w:val="00C7498C"/>
    <w:rsid w:val="00C749CC"/>
    <w:rsid w:val="00C75A0B"/>
    <w:rsid w:val="00C77082"/>
    <w:rsid w:val="00C770AB"/>
    <w:rsid w:val="00C77580"/>
    <w:rsid w:val="00C77584"/>
    <w:rsid w:val="00C775D7"/>
    <w:rsid w:val="00C77992"/>
    <w:rsid w:val="00C802F9"/>
    <w:rsid w:val="00C807C8"/>
    <w:rsid w:val="00C809CC"/>
    <w:rsid w:val="00C80DB2"/>
    <w:rsid w:val="00C813C2"/>
    <w:rsid w:val="00C81706"/>
    <w:rsid w:val="00C81ACD"/>
    <w:rsid w:val="00C81CD8"/>
    <w:rsid w:val="00C81E22"/>
    <w:rsid w:val="00C827F6"/>
    <w:rsid w:val="00C82BBE"/>
    <w:rsid w:val="00C8327E"/>
    <w:rsid w:val="00C83677"/>
    <w:rsid w:val="00C83F48"/>
    <w:rsid w:val="00C84037"/>
    <w:rsid w:val="00C84557"/>
    <w:rsid w:val="00C84772"/>
    <w:rsid w:val="00C8495D"/>
    <w:rsid w:val="00C8563E"/>
    <w:rsid w:val="00C86269"/>
    <w:rsid w:val="00C86398"/>
    <w:rsid w:val="00C874EE"/>
    <w:rsid w:val="00C874F9"/>
    <w:rsid w:val="00C87DB1"/>
    <w:rsid w:val="00C908D9"/>
    <w:rsid w:val="00C9091D"/>
    <w:rsid w:val="00C90C30"/>
    <w:rsid w:val="00C91605"/>
    <w:rsid w:val="00C91A23"/>
    <w:rsid w:val="00C91C0F"/>
    <w:rsid w:val="00C91E81"/>
    <w:rsid w:val="00C9232C"/>
    <w:rsid w:val="00C92B9F"/>
    <w:rsid w:val="00C92D57"/>
    <w:rsid w:val="00C93AEA"/>
    <w:rsid w:val="00C93B29"/>
    <w:rsid w:val="00C93DDD"/>
    <w:rsid w:val="00C94006"/>
    <w:rsid w:val="00C945BF"/>
    <w:rsid w:val="00C945FE"/>
    <w:rsid w:val="00C948E5"/>
    <w:rsid w:val="00C94AEE"/>
    <w:rsid w:val="00C950B8"/>
    <w:rsid w:val="00C9592E"/>
    <w:rsid w:val="00C95E84"/>
    <w:rsid w:val="00C95F1E"/>
    <w:rsid w:val="00C97119"/>
    <w:rsid w:val="00C9744D"/>
    <w:rsid w:val="00C9787E"/>
    <w:rsid w:val="00CA084C"/>
    <w:rsid w:val="00CA0FEC"/>
    <w:rsid w:val="00CA146D"/>
    <w:rsid w:val="00CA1FC2"/>
    <w:rsid w:val="00CA225F"/>
    <w:rsid w:val="00CA36D0"/>
    <w:rsid w:val="00CA37D8"/>
    <w:rsid w:val="00CA3809"/>
    <w:rsid w:val="00CA3A64"/>
    <w:rsid w:val="00CA3D38"/>
    <w:rsid w:val="00CA4689"/>
    <w:rsid w:val="00CA5242"/>
    <w:rsid w:val="00CA5379"/>
    <w:rsid w:val="00CA6458"/>
    <w:rsid w:val="00CA6CE8"/>
    <w:rsid w:val="00CA6D23"/>
    <w:rsid w:val="00CA709C"/>
    <w:rsid w:val="00CB015C"/>
    <w:rsid w:val="00CB0855"/>
    <w:rsid w:val="00CB0AB9"/>
    <w:rsid w:val="00CB1298"/>
    <w:rsid w:val="00CB1369"/>
    <w:rsid w:val="00CB29E4"/>
    <w:rsid w:val="00CB2AE7"/>
    <w:rsid w:val="00CB2B01"/>
    <w:rsid w:val="00CB2C6E"/>
    <w:rsid w:val="00CB316F"/>
    <w:rsid w:val="00CB3F96"/>
    <w:rsid w:val="00CB4192"/>
    <w:rsid w:val="00CB4731"/>
    <w:rsid w:val="00CB4758"/>
    <w:rsid w:val="00CB4B83"/>
    <w:rsid w:val="00CB5D07"/>
    <w:rsid w:val="00CB63C9"/>
    <w:rsid w:val="00CB68B7"/>
    <w:rsid w:val="00CB6CE5"/>
    <w:rsid w:val="00CB79DA"/>
    <w:rsid w:val="00CB7B19"/>
    <w:rsid w:val="00CB7C95"/>
    <w:rsid w:val="00CC0258"/>
    <w:rsid w:val="00CC098B"/>
    <w:rsid w:val="00CC09F3"/>
    <w:rsid w:val="00CC0C98"/>
    <w:rsid w:val="00CC138A"/>
    <w:rsid w:val="00CC17F4"/>
    <w:rsid w:val="00CC1A2B"/>
    <w:rsid w:val="00CC1B33"/>
    <w:rsid w:val="00CC224C"/>
    <w:rsid w:val="00CC24BB"/>
    <w:rsid w:val="00CC2EB7"/>
    <w:rsid w:val="00CC33E0"/>
    <w:rsid w:val="00CC4066"/>
    <w:rsid w:val="00CC4A14"/>
    <w:rsid w:val="00CC4B67"/>
    <w:rsid w:val="00CC4CE8"/>
    <w:rsid w:val="00CC5842"/>
    <w:rsid w:val="00CC5D10"/>
    <w:rsid w:val="00CC65CF"/>
    <w:rsid w:val="00CC6698"/>
    <w:rsid w:val="00CC69A0"/>
    <w:rsid w:val="00CC73A3"/>
    <w:rsid w:val="00CC7648"/>
    <w:rsid w:val="00CC7C6B"/>
    <w:rsid w:val="00CC7EFA"/>
    <w:rsid w:val="00CD1271"/>
    <w:rsid w:val="00CD2687"/>
    <w:rsid w:val="00CD2C0D"/>
    <w:rsid w:val="00CD2CA7"/>
    <w:rsid w:val="00CD2E36"/>
    <w:rsid w:val="00CD3019"/>
    <w:rsid w:val="00CD324B"/>
    <w:rsid w:val="00CD35A6"/>
    <w:rsid w:val="00CD4910"/>
    <w:rsid w:val="00CD4994"/>
    <w:rsid w:val="00CD4BD0"/>
    <w:rsid w:val="00CD516E"/>
    <w:rsid w:val="00CD5688"/>
    <w:rsid w:val="00CD5DE8"/>
    <w:rsid w:val="00CD5FDA"/>
    <w:rsid w:val="00CD63C6"/>
    <w:rsid w:val="00CD77D1"/>
    <w:rsid w:val="00CD7A37"/>
    <w:rsid w:val="00CD7D64"/>
    <w:rsid w:val="00CE0928"/>
    <w:rsid w:val="00CE1769"/>
    <w:rsid w:val="00CE17C4"/>
    <w:rsid w:val="00CE2731"/>
    <w:rsid w:val="00CE276D"/>
    <w:rsid w:val="00CE29A7"/>
    <w:rsid w:val="00CE37F8"/>
    <w:rsid w:val="00CE3A76"/>
    <w:rsid w:val="00CE4005"/>
    <w:rsid w:val="00CE4FB6"/>
    <w:rsid w:val="00CE50D0"/>
    <w:rsid w:val="00CE5692"/>
    <w:rsid w:val="00CE58A7"/>
    <w:rsid w:val="00CE5DEA"/>
    <w:rsid w:val="00CE7E75"/>
    <w:rsid w:val="00CF03A5"/>
    <w:rsid w:val="00CF0797"/>
    <w:rsid w:val="00CF09EB"/>
    <w:rsid w:val="00CF0F8A"/>
    <w:rsid w:val="00CF12E7"/>
    <w:rsid w:val="00CF14BC"/>
    <w:rsid w:val="00CF1588"/>
    <w:rsid w:val="00CF187D"/>
    <w:rsid w:val="00CF1B2D"/>
    <w:rsid w:val="00CF216A"/>
    <w:rsid w:val="00CF2484"/>
    <w:rsid w:val="00CF2ADD"/>
    <w:rsid w:val="00CF367D"/>
    <w:rsid w:val="00CF3B04"/>
    <w:rsid w:val="00CF3BE5"/>
    <w:rsid w:val="00CF3FB0"/>
    <w:rsid w:val="00CF48AF"/>
    <w:rsid w:val="00CF5729"/>
    <w:rsid w:val="00CF6769"/>
    <w:rsid w:val="00CF6B64"/>
    <w:rsid w:val="00CF7165"/>
    <w:rsid w:val="00CF787B"/>
    <w:rsid w:val="00CF78F0"/>
    <w:rsid w:val="00D0126F"/>
    <w:rsid w:val="00D01481"/>
    <w:rsid w:val="00D019B8"/>
    <w:rsid w:val="00D019DC"/>
    <w:rsid w:val="00D022CF"/>
    <w:rsid w:val="00D02659"/>
    <w:rsid w:val="00D02794"/>
    <w:rsid w:val="00D02DC7"/>
    <w:rsid w:val="00D02EDF"/>
    <w:rsid w:val="00D0342D"/>
    <w:rsid w:val="00D04B27"/>
    <w:rsid w:val="00D057FC"/>
    <w:rsid w:val="00D05A6C"/>
    <w:rsid w:val="00D05DA6"/>
    <w:rsid w:val="00D06271"/>
    <w:rsid w:val="00D0678F"/>
    <w:rsid w:val="00D06B8E"/>
    <w:rsid w:val="00D073E9"/>
    <w:rsid w:val="00D1003E"/>
    <w:rsid w:val="00D10933"/>
    <w:rsid w:val="00D1114A"/>
    <w:rsid w:val="00D1125E"/>
    <w:rsid w:val="00D12457"/>
    <w:rsid w:val="00D12F12"/>
    <w:rsid w:val="00D1465C"/>
    <w:rsid w:val="00D14987"/>
    <w:rsid w:val="00D15056"/>
    <w:rsid w:val="00D1505D"/>
    <w:rsid w:val="00D15265"/>
    <w:rsid w:val="00D15433"/>
    <w:rsid w:val="00D155FD"/>
    <w:rsid w:val="00D1678C"/>
    <w:rsid w:val="00D168BD"/>
    <w:rsid w:val="00D16ADD"/>
    <w:rsid w:val="00D16D76"/>
    <w:rsid w:val="00D1702F"/>
    <w:rsid w:val="00D177F1"/>
    <w:rsid w:val="00D17CEA"/>
    <w:rsid w:val="00D17E2B"/>
    <w:rsid w:val="00D2061C"/>
    <w:rsid w:val="00D20832"/>
    <w:rsid w:val="00D20B82"/>
    <w:rsid w:val="00D212ED"/>
    <w:rsid w:val="00D21CF5"/>
    <w:rsid w:val="00D229E9"/>
    <w:rsid w:val="00D23319"/>
    <w:rsid w:val="00D23549"/>
    <w:rsid w:val="00D23AAF"/>
    <w:rsid w:val="00D23BE6"/>
    <w:rsid w:val="00D24017"/>
    <w:rsid w:val="00D25FA0"/>
    <w:rsid w:val="00D262E8"/>
    <w:rsid w:val="00D26300"/>
    <w:rsid w:val="00D26B76"/>
    <w:rsid w:val="00D26D99"/>
    <w:rsid w:val="00D26F5B"/>
    <w:rsid w:val="00D2704B"/>
    <w:rsid w:val="00D275BB"/>
    <w:rsid w:val="00D277FF"/>
    <w:rsid w:val="00D27891"/>
    <w:rsid w:val="00D27A90"/>
    <w:rsid w:val="00D27E6E"/>
    <w:rsid w:val="00D30B9E"/>
    <w:rsid w:val="00D30FCC"/>
    <w:rsid w:val="00D3165E"/>
    <w:rsid w:val="00D318C2"/>
    <w:rsid w:val="00D31D67"/>
    <w:rsid w:val="00D324C6"/>
    <w:rsid w:val="00D325CD"/>
    <w:rsid w:val="00D32915"/>
    <w:rsid w:val="00D32B1A"/>
    <w:rsid w:val="00D32C1C"/>
    <w:rsid w:val="00D330F8"/>
    <w:rsid w:val="00D334C6"/>
    <w:rsid w:val="00D34654"/>
    <w:rsid w:val="00D34986"/>
    <w:rsid w:val="00D34E67"/>
    <w:rsid w:val="00D34F50"/>
    <w:rsid w:val="00D351A5"/>
    <w:rsid w:val="00D35309"/>
    <w:rsid w:val="00D35451"/>
    <w:rsid w:val="00D35614"/>
    <w:rsid w:val="00D35A16"/>
    <w:rsid w:val="00D35A39"/>
    <w:rsid w:val="00D37553"/>
    <w:rsid w:val="00D37DDB"/>
    <w:rsid w:val="00D40223"/>
    <w:rsid w:val="00D407DE"/>
    <w:rsid w:val="00D41A87"/>
    <w:rsid w:val="00D42256"/>
    <w:rsid w:val="00D42BCF"/>
    <w:rsid w:val="00D42DC8"/>
    <w:rsid w:val="00D43118"/>
    <w:rsid w:val="00D431CB"/>
    <w:rsid w:val="00D43474"/>
    <w:rsid w:val="00D43E44"/>
    <w:rsid w:val="00D447B2"/>
    <w:rsid w:val="00D450C1"/>
    <w:rsid w:val="00D452E9"/>
    <w:rsid w:val="00D4571E"/>
    <w:rsid w:val="00D459A3"/>
    <w:rsid w:val="00D46226"/>
    <w:rsid w:val="00D46710"/>
    <w:rsid w:val="00D46B02"/>
    <w:rsid w:val="00D46E89"/>
    <w:rsid w:val="00D46EA8"/>
    <w:rsid w:val="00D47361"/>
    <w:rsid w:val="00D47975"/>
    <w:rsid w:val="00D50015"/>
    <w:rsid w:val="00D503C4"/>
    <w:rsid w:val="00D52FF9"/>
    <w:rsid w:val="00D5314C"/>
    <w:rsid w:val="00D544DA"/>
    <w:rsid w:val="00D549DE"/>
    <w:rsid w:val="00D560FE"/>
    <w:rsid w:val="00D566B5"/>
    <w:rsid w:val="00D56B07"/>
    <w:rsid w:val="00D56D80"/>
    <w:rsid w:val="00D56D96"/>
    <w:rsid w:val="00D57157"/>
    <w:rsid w:val="00D578E5"/>
    <w:rsid w:val="00D57FF0"/>
    <w:rsid w:val="00D632EA"/>
    <w:rsid w:val="00D63520"/>
    <w:rsid w:val="00D63BD2"/>
    <w:rsid w:val="00D6426D"/>
    <w:rsid w:val="00D6450E"/>
    <w:rsid w:val="00D64D6C"/>
    <w:rsid w:val="00D65742"/>
    <w:rsid w:val="00D65906"/>
    <w:rsid w:val="00D666D3"/>
    <w:rsid w:val="00D66A59"/>
    <w:rsid w:val="00D66A71"/>
    <w:rsid w:val="00D66ACF"/>
    <w:rsid w:val="00D66E8B"/>
    <w:rsid w:val="00D6709F"/>
    <w:rsid w:val="00D67122"/>
    <w:rsid w:val="00D6775E"/>
    <w:rsid w:val="00D67E38"/>
    <w:rsid w:val="00D71156"/>
    <w:rsid w:val="00D71914"/>
    <w:rsid w:val="00D71C91"/>
    <w:rsid w:val="00D7247C"/>
    <w:rsid w:val="00D729FE"/>
    <w:rsid w:val="00D72C8B"/>
    <w:rsid w:val="00D72EAE"/>
    <w:rsid w:val="00D73390"/>
    <w:rsid w:val="00D73ADD"/>
    <w:rsid w:val="00D73D8F"/>
    <w:rsid w:val="00D73FFD"/>
    <w:rsid w:val="00D75445"/>
    <w:rsid w:val="00D7577B"/>
    <w:rsid w:val="00D766F5"/>
    <w:rsid w:val="00D77DD8"/>
    <w:rsid w:val="00D8074E"/>
    <w:rsid w:val="00D823FB"/>
    <w:rsid w:val="00D82976"/>
    <w:rsid w:val="00D8365A"/>
    <w:rsid w:val="00D83B88"/>
    <w:rsid w:val="00D84320"/>
    <w:rsid w:val="00D84D2C"/>
    <w:rsid w:val="00D857D8"/>
    <w:rsid w:val="00D85F4B"/>
    <w:rsid w:val="00D8663A"/>
    <w:rsid w:val="00D86A5C"/>
    <w:rsid w:val="00D86ADC"/>
    <w:rsid w:val="00D87181"/>
    <w:rsid w:val="00D87D7E"/>
    <w:rsid w:val="00D87E8B"/>
    <w:rsid w:val="00D87ECF"/>
    <w:rsid w:val="00D9069A"/>
    <w:rsid w:val="00D907FC"/>
    <w:rsid w:val="00D90B1A"/>
    <w:rsid w:val="00D915DC"/>
    <w:rsid w:val="00D91B6D"/>
    <w:rsid w:val="00D92C02"/>
    <w:rsid w:val="00D94780"/>
    <w:rsid w:val="00D94906"/>
    <w:rsid w:val="00D95480"/>
    <w:rsid w:val="00D9564C"/>
    <w:rsid w:val="00D95858"/>
    <w:rsid w:val="00D95F19"/>
    <w:rsid w:val="00D96147"/>
    <w:rsid w:val="00D96476"/>
    <w:rsid w:val="00D96C22"/>
    <w:rsid w:val="00DA0C1D"/>
    <w:rsid w:val="00DA119A"/>
    <w:rsid w:val="00DA126B"/>
    <w:rsid w:val="00DA1279"/>
    <w:rsid w:val="00DA19BD"/>
    <w:rsid w:val="00DA307E"/>
    <w:rsid w:val="00DA3B31"/>
    <w:rsid w:val="00DA40C5"/>
    <w:rsid w:val="00DA41F6"/>
    <w:rsid w:val="00DA4B2C"/>
    <w:rsid w:val="00DA5AD8"/>
    <w:rsid w:val="00DA5E31"/>
    <w:rsid w:val="00DA5FE2"/>
    <w:rsid w:val="00DA64A8"/>
    <w:rsid w:val="00DA6631"/>
    <w:rsid w:val="00DA693C"/>
    <w:rsid w:val="00DA6CF3"/>
    <w:rsid w:val="00DA736E"/>
    <w:rsid w:val="00DA7466"/>
    <w:rsid w:val="00DA75FA"/>
    <w:rsid w:val="00DA78F2"/>
    <w:rsid w:val="00DA7D79"/>
    <w:rsid w:val="00DA7DE6"/>
    <w:rsid w:val="00DA7E9A"/>
    <w:rsid w:val="00DB04EA"/>
    <w:rsid w:val="00DB06E4"/>
    <w:rsid w:val="00DB097F"/>
    <w:rsid w:val="00DB0B29"/>
    <w:rsid w:val="00DB0C8E"/>
    <w:rsid w:val="00DB0DCE"/>
    <w:rsid w:val="00DB1A97"/>
    <w:rsid w:val="00DB2129"/>
    <w:rsid w:val="00DB2251"/>
    <w:rsid w:val="00DB26C8"/>
    <w:rsid w:val="00DB33CD"/>
    <w:rsid w:val="00DB3E9A"/>
    <w:rsid w:val="00DB47BE"/>
    <w:rsid w:val="00DB4843"/>
    <w:rsid w:val="00DB4D51"/>
    <w:rsid w:val="00DB4DB1"/>
    <w:rsid w:val="00DB4E9C"/>
    <w:rsid w:val="00DB51B0"/>
    <w:rsid w:val="00DB524B"/>
    <w:rsid w:val="00DB5419"/>
    <w:rsid w:val="00DB598B"/>
    <w:rsid w:val="00DB5D61"/>
    <w:rsid w:val="00DB5E7C"/>
    <w:rsid w:val="00DB5F26"/>
    <w:rsid w:val="00DB608F"/>
    <w:rsid w:val="00DB6A10"/>
    <w:rsid w:val="00DB7007"/>
    <w:rsid w:val="00DB7120"/>
    <w:rsid w:val="00DB726A"/>
    <w:rsid w:val="00DB7555"/>
    <w:rsid w:val="00DC03D6"/>
    <w:rsid w:val="00DC04D0"/>
    <w:rsid w:val="00DC0573"/>
    <w:rsid w:val="00DC1681"/>
    <w:rsid w:val="00DC16B4"/>
    <w:rsid w:val="00DC228F"/>
    <w:rsid w:val="00DC26BA"/>
    <w:rsid w:val="00DC2927"/>
    <w:rsid w:val="00DC400C"/>
    <w:rsid w:val="00DC54DE"/>
    <w:rsid w:val="00DC5A49"/>
    <w:rsid w:val="00DC6482"/>
    <w:rsid w:val="00DC6B23"/>
    <w:rsid w:val="00DC6D1E"/>
    <w:rsid w:val="00DC7D4E"/>
    <w:rsid w:val="00DC7DEB"/>
    <w:rsid w:val="00DD08AA"/>
    <w:rsid w:val="00DD0AAD"/>
    <w:rsid w:val="00DD0CED"/>
    <w:rsid w:val="00DD158C"/>
    <w:rsid w:val="00DD1B45"/>
    <w:rsid w:val="00DD2033"/>
    <w:rsid w:val="00DD2CC0"/>
    <w:rsid w:val="00DD2FBC"/>
    <w:rsid w:val="00DD33CB"/>
    <w:rsid w:val="00DD33D4"/>
    <w:rsid w:val="00DD3F90"/>
    <w:rsid w:val="00DD403A"/>
    <w:rsid w:val="00DD42F3"/>
    <w:rsid w:val="00DD4494"/>
    <w:rsid w:val="00DD454A"/>
    <w:rsid w:val="00DD58F9"/>
    <w:rsid w:val="00DD5A2B"/>
    <w:rsid w:val="00DD5CC6"/>
    <w:rsid w:val="00DD6038"/>
    <w:rsid w:val="00DD69A4"/>
    <w:rsid w:val="00DD7011"/>
    <w:rsid w:val="00DD75BF"/>
    <w:rsid w:val="00DD7984"/>
    <w:rsid w:val="00DE0063"/>
    <w:rsid w:val="00DE02DA"/>
    <w:rsid w:val="00DE0328"/>
    <w:rsid w:val="00DE1142"/>
    <w:rsid w:val="00DE168C"/>
    <w:rsid w:val="00DE25EA"/>
    <w:rsid w:val="00DE25F1"/>
    <w:rsid w:val="00DE29F4"/>
    <w:rsid w:val="00DE3129"/>
    <w:rsid w:val="00DE31DF"/>
    <w:rsid w:val="00DE3A85"/>
    <w:rsid w:val="00DE4610"/>
    <w:rsid w:val="00DE4812"/>
    <w:rsid w:val="00DE4BD0"/>
    <w:rsid w:val="00DE4D55"/>
    <w:rsid w:val="00DE5941"/>
    <w:rsid w:val="00DE6FCE"/>
    <w:rsid w:val="00DE70ED"/>
    <w:rsid w:val="00DE714E"/>
    <w:rsid w:val="00DF0031"/>
    <w:rsid w:val="00DF0276"/>
    <w:rsid w:val="00DF07AA"/>
    <w:rsid w:val="00DF1A10"/>
    <w:rsid w:val="00DF1B6C"/>
    <w:rsid w:val="00DF200A"/>
    <w:rsid w:val="00DF268F"/>
    <w:rsid w:val="00DF326E"/>
    <w:rsid w:val="00DF32AF"/>
    <w:rsid w:val="00DF360D"/>
    <w:rsid w:val="00DF3F16"/>
    <w:rsid w:val="00DF4CAD"/>
    <w:rsid w:val="00DF52F5"/>
    <w:rsid w:val="00DF5995"/>
    <w:rsid w:val="00DF5BFB"/>
    <w:rsid w:val="00DF7314"/>
    <w:rsid w:val="00DF79DC"/>
    <w:rsid w:val="00DF7BAE"/>
    <w:rsid w:val="00DF7CF5"/>
    <w:rsid w:val="00DF7EDE"/>
    <w:rsid w:val="00E00205"/>
    <w:rsid w:val="00E00C73"/>
    <w:rsid w:val="00E010F0"/>
    <w:rsid w:val="00E01548"/>
    <w:rsid w:val="00E01F0D"/>
    <w:rsid w:val="00E0216A"/>
    <w:rsid w:val="00E0224D"/>
    <w:rsid w:val="00E023A6"/>
    <w:rsid w:val="00E03035"/>
    <w:rsid w:val="00E03065"/>
    <w:rsid w:val="00E038D6"/>
    <w:rsid w:val="00E03FE3"/>
    <w:rsid w:val="00E04AEA"/>
    <w:rsid w:val="00E05017"/>
    <w:rsid w:val="00E05041"/>
    <w:rsid w:val="00E05053"/>
    <w:rsid w:val="00E05264"/>
    <w:rsid w:val="00E05814"/>
    <w:rsid w:val="00E05FA1"/>
    <w:rsid w:val="00E062DC"/>
    <w:rsid w:val="00E10310"/>
    <w:rsid w:val="00E10A67"/>
    <w:rsid w:val="00E10CDF"/>
    <w:rsid w:val="00E12249"/>
    <w:rsid w:val="00E12502"/>
    <w:rsid w:val="00E12A5A"/>
    <w:rsid w:val="00E130EB"/>
    <w:rsid w:val="00E14588"/>
    <w:rsid w:val="00E1461A"/>
    <w:rsid w:val="00E152CC"/>
    <w:rsid w:val="00E15352"/>
    <w:rsid w:val="00E15AE1"/>
    <w:rsid w:val="00E160B9"/>
    <w:rsid w:val="00E16494"/>
    <w:rsid w:val="00E17105"/>
    <w:rsid w:val="00E1720E"/>
    <w:rsid w:val="00E1725E"/>
    <w:rsid w:val="00E173BC"/>
    <w:rsid w:val="00E1766D"/>
    <w:rsid w:val="00E17E44"/>
    <w:rsid w:val="00E17FD0"/>
    <w:rsid w:val="00E203C4"/>
    <w:rsid w:val="00E20E18"/>
    <w:rsid w:val="00E2103D"/>
    <w:rsid w:val="00E2145E"/>
    <w:rsid w:val="00E21542"/>
    <w:rsid w:val="00E21931"/>
    <w:rsid w:val="00E21BD1"/>
    <w:rsid w:val="00E22987"/>
    <w:rsid w:val="00E22BC7"/>
    <w:rsid w:val="00E22C6A"/>
    <w:rsid w:val="00E22C81"/>
    <w:rsid w:val="00E22E31"/>
    <w:rsid w:val="00E239BC"/>
    <w:rsid w:val="00E23DCA"/>
    <w:rsid w:val="00E23DF1"/>
    <w:rsid w:val="00E24096"/>
    <w:rsid w:val="00E24287"/>
    <w:rsid w:val="00E24C6C"/>
    <w:rsid w:val="00E24D40"/>
    <w:rsid w:val="00E2551B"/>
    <w:rsid w:val="00E258CD"/>
    <w:rsid w:val="00E260B4"/>
    <w:rsid w:val="00E26147"/>
    <w:rsid w:val="00E26BAF"/>
    <w:rsid w:val="00E26C33"/>
    <w:rsid w:val="00E26F9D"/>
    <w:rsid w:val="00E2735B"/>
    <w:rsid w:val="00E274B5"/>
    <w:rsid w:val="00E276DF"/>
    <w:rsid w:val="00E27A9C"/>
    <w:rsid w:val="00E27AE6"/>
    <w:rsid w:val="00E27B6E"/>
    <w:rsid w:val="00E27D1F"/>
    <w:rsid w:val="00E3036A"/>
    <w:rsid w:val="00E308A2"/>
    <w:rsid w:val="00E30A75"/>
    <w:rsid w:val="00E30DD9"/>
    <w:rsid w:val="00E30E20"/>
    <w:rsid w:val="00E313CE"/>
    <w:rsid w:val="00E32170"/>
    <w:rsid w:val="00E3278F"/>
    <w:rsid w:val="00E32AAB"/>
    <w:rsid w:val="00E32F4A"/>
    <w:rsid w:val="00E3300F"/>
    <w:rsid w:val="00E333EE"/>
    <w:rsid w:val="00E33A4E"/>
    <w:rsid w:val="00E3400C"/>
    <w:rsid w:val="00E34666"/>
    <w:rsid w:val="00E34A69"/>
    <w:rsid w:val="00E34C58"/>
    <w:rsid w:val="00E34C6D"/>
    <w:rsid w:val="00E34EAD"/>
    <w:rsid w:val="00E361E0"/>
    <w:rsid w:val="00E36E29"/>
    <w:rsid w:val="00E36F25"/>
    <w:rsid w:val="00E3771C"/>
    <w:rsid w:val="00E37E66"/>
    <w:rsid w:val="00E37FCC"/>
    <w:rsid w:val="00E4031F"/>
    <w:rsid w:val="00E407E7"/>
    <w:rsid w:val="00E40D94"/>
    <w:rsid w:val="00E41152"/>
    <w:rsid w:val="00E41183"/>
    <w:rsid w:val="00E41204"/>
    <w:rsid w:val="00E42646"/>
    <w:rsid w:val="00E42B0B"/>
    <w:rsid w:val="00E43531"/>
    <w:rsid w:val="00E436C4"/>
    <w:rsid w:val="00E4383A"/>
    <w:rsid w:val="00E443E9"/>
    <w:rsid w:val="00E450AB"/>
    <w:rsid w:val="00E4584E"/>
    <w:rsid w:val="00E459F6"/>
    <w:rsid w:val="00E46586"/>
    <w:rsid w:val="00E465BE"/>
    <w:rsid w:val="00E47039"/>
    <w:rsid w:val="00E477B7"/>
    <w:rsid w:val="00E477D3"/>
    <w:rsid w:val="00E47DEA"/>
    <w:rsid w:val="00E502B9"/>
    <w:rsid w:val="00E50AAC"/>
    <w:rsid w:val="00E50D30"/>
    <w:rsid w:val="00E50FA6"/>
    <w:rsid w:val="00E51816"/>
    <w:rsid w:val="00E51D0A"/>
    <w:rsid w:val="00E5214B"/>
    <w:rsid w:val="00E52546"/>
    <w:rsid w:val="00E5261A"/>
    <w:rsid w:val="00E52C13"/>
    <w:rsid w:val="00E531CA"/>
    <w:rsid w:val="00E53EAB"/>
    <w:rsid w:val="00E5421F"/>
    <w:rsid w:val="00E54398"/>
    <w:rsid w:val="00E54CF6"/>
    <w:rsid w:val="00E5535A"/>
    <w:rsid w:val="00E55561"/>
    <w:rsid w:val="00E55B59"/>
    <w:rsid w:val="00E55BF1"/>
    <w:rsid w:val="00E5611F"/>
    <w:rsid w:val="00E567F1"/>
    <w:rsid w:val="00E56E5B"/>
    <w:rsid w:val="00E56FEE"/>
    <w:rsid w:val="00E570E9"/>
    <w:rsid w:val="00E571FB"/>
    <w:rsid w:val="00E5782C"/>
    <w:rsid w:val="00E57CE3"/>
    <w:rsid w:val="00E57FAF"/>
    <w:rsid w:val="00E6023F"/>
    <w:rsid w:val="00E60251"/>
    <w:rsid w:val="00E604B4"/>
    <w:rsid w:val="00E604BA"/>
    <w:rsid w:val="00E6078C"/>
    <w:rsid w:val="00E6108A"/>
    <w:rsid w:val="00E61170"/>
    <w:rsid w:val="00E613E5"/>
    <w:rsid w:val="00E616A6"/>
    <w:rsid w:val="00E61FCC"/>
    <w:rsid w:val="00E622BC"/>
    <w:rsid w:val="00E62BB8"/>
    <w:rsid w:val="00E62EA9"/>
    <w:rsid w:val="00E634EA"/>
    <w:rsid w:val="00E63F01"/>
    <w:rsid w:val="00E6563C"/>
    <w:rsid w:val="00E65666"/>
    <w:rsid w:val="00E66511"/>
    <w:rsid w:val="00E667C8"/>
    <w:rsid w:val="00E672AC"/>
    <w:rsid w:val="00E67462"/>
    <w:rsid w:val="00E6763D"/>
    <w:rsid w:val="00E67CFE"/>
    <w:rsid w:val="00E700A2"/>
    <w:rsid w:val="00E7018B"/>
    <w:rsid w:val="00E70236"/>
    <w:rsid w:val="00E70507"/>
    <w:rsid w:val="00E70521"/>
    <w:rsid w:val="00E70D76"/>
    <w:rsid w:val="00E710A9"/>
    <w:rsid w:val="00E711A9"/>
    <w:rsid w:val="00E712B0"/>
    <w:rsid w:val="00E72ADF"/>
    <w:rsid w:val="00E72C99"/>
    <w:rsid w:val="00E731F8"/>
    <w:rsid w:val="00E734E7"/>
    <w:rsid w:val="00E743C2"/>
    <w:rsid w:val="00E748E8"/>
    <w:rsid w:val="00E75586"/>
    <w:rsid w:val="00E756A0"/>
    <w:rsid w:val="00E75B8C"/>
    <w:rsid w:val="00E771C2"/>
    <w:rsid w:val="00E772F1"/>
    <w:rsid w:val="00E77573"/>
    <w:rsid w:val="00E778C8"/>
    <w:rsid w:val="00E803B5"/>
    <w:rsid w:val="00E805F0"/>
    <w:rsid w:val="00E80A7A"/>
    <w:rsid w:val="00E80AB8"/>
    <w:rsid w:val="00E80DF7"/>
    <w:rsid w:val="00E812D3"/>
    <w:rsid w:val="00E81C26"/>
    <w:rsid w:val="00E82889"/>
    <w:rsid w:val="00E82D68"/>
    <w:rsid w:val="00E82E95"/>
    <w:rsid w:val="00E83A16"/>
    <w:rsid w:val="00E83D01"/>
    <w:rsid w:val="00E84E98"/>
    <w:rsid w:val="00E85083"/>
    <w:rsid w:val="00E8530D"/>
    <w:rsid w:val="00E858FB"/>
    <w:rsid w:val="00E85DFB"/>
    <w:rsid w:val="00E87529"/>
    <w:rsid w:val="00E87E8E"/>
    <w:rsid w:val="00E90389"/>
    <w:rsid w:val="00E90C2F"/>
    <w:rsid w:val="00E90D01"/>
    <w:rsid w:val="00E90FA4"/>
    <w:rsid w:val="00E917A9"/>
    <w:rsid w:val="00E91931"/>
    <w:rsid w:val="00E92168"/>
    <w:rsid w:val="00E929A8"/>
    <w:rsid w:val="00E92B33"/>
    <w:rsid w:val="00E92C84"/>
    <w:rsid w:val="00E93455"/>
    <w:rsid w:val="00E93521"/>
    <w:rsid w:val="00E93EB3"/>
    <w:rsid w:val="00E93F87"/>
    <w:rsid w:val="00E9408E"/>
    <w:rsid w:val="00E94250"/>
    <w:rsid w:val="00E945DB"/>
    <w:rsid w:val="00E95041"/>
    <w:rsid w:val="00E95115"/>
    <w:rsid w:val="00E959FF"/>
    <w:rsid w:val="00E962B0"/>
    <w:rsid w:val="00E969B3"/>
    <w:rsid w:val="00E97E4E"/>
    <w:rsid w:val="00EA0113"/>
    <w:rsid w:val="00EA022A"/>
    <w:rsid w:val="00EA0324"/>
    <w:rsid w:val="00EA087E"/>
    <w:rsid w:val="00EA1AA1"/>
    <w:rsid w:val="00EA1F25"/>
    <w:rsid w:val="00EA2AC3"/>
    <w:rsid w:val="00EA2F21"/>
    <w:rsid w:val="00EA31FC"/>
    <w:rsid w:val="00EA3671"/>
    <w:rsid w:val="00EA3D96"/>
    <w:rsid w:val="00EA4121"/>
    <w:rsid w:val="00EA47C8"/>
    <w:rsid w:val="00EA4A54"/>
    <w:rsid w:val="00EA4BFF"/>
    <w:rsid w:val="00EA4E29"/>
    <w:rsid w:val="00EA4E39"/>
    <w:rsid w:val="00EA5F7B"/>
    <w:rsid w:val="00EA62D3"/>
    <w:rsid w:val="00EA636B"/>
    <w:rsid w:val="00EA689B"/>
    <w:rsid w:val="00EA6A87"/>
    <w:rsid w:val="00EA7896"/>
    <w:rsid w:val="00EB0523"/>
    <w:rsid w:val="00EB0612"/>
    <w:rsid w:val="00EB06DB"/>
    <w:rsid w:val="00EB1299"/>
    <w:rsid w:val="00EB1B20"/>
    <w:rsid w:val="00EB2D55"/>
    <w:rsid w:val="00EB33C1"/>
    <w:rsid w:val="00EB38CD"/>
    <w:rsid w:val="00EB3CF9"/>
    <w:rsid w:val="00EB447C"/>
    <w:rsid w:val="00EB4E1E"/>
    <w:rsid w:val="00EB4F56"/>
    <w:rsid w:val="00EB545F"/>
    <w:rsid w:val="00EB559C"/>
    <w:rsid w:val="00EB59A5"/>
    <w:rsid w:val="00EB6483"/>
    <w:rsid w:val="00EB694A"/>
    <w:rsid w:val="00EB6A98"/>
    <w:rsid w:val="00EB7627"/>
    <w:rsid w:val="00EB7803"/>
    <w:rsid w:val="00EC01F1"/>
    <w:rsid w:val="00EC0D20"/>
    <w:rsid w:val="00EC211D"/>
    <w:rsid w:val="00EC24E6"/>
    <w:rsid w:val="00EC3B64"/>
    <w:rsid w:val="00EC3B9F"/>
    <w:rsid w:val="00EC3CDB"/>
    <w:rsid w:val="00EC3DA1"/>
    <w:rsid w:val="00EC3E49"/>
    <w:rsid w:val="00EC4412"/>
    <w:rsid w:val="00EC4EAF"/>
    <w:rsid w:val="00EC4F75"/>
    <w:rsid w:val="00EC5ACD"/>
    <w:rsid w:val="00EC5C51"/>
    <w:rsid w:val="00EC5DA0"/>
    <w:rsid w:val="00EC5F95"/>
    <w:rsid w:val="00EC6660"/>
    <w:rsid w:val="00EC71AD"/>
    <w:rsid w:val="00EC7334"/>
    <w:rsid w:val="00EC73F6"/>
    <w:rsid w:val="00EC74CE"/>
    <w:rsid w:val="00EC75CB"/>
    <w:rsid w:val="00EC75F7"/>
    <w:rsid w:val="00EC7A5D"/>
    <w:rsid w:val="00ED0182"/>
    <w:rsid w:val="00ED08C7"/>
    <w:rsid w:val="00ED090A"/>
    <w:rsid w:val="00ED1108"/>
    <w:rsid w:val="00ED1659"/>
    <w:rsid w:val="00ED1744"/>
    <w:rsid w:val="00ED27CC"/>
    <w:rsid w:val="00ED2E24"/>
    <w:rsid w:val="00ED30B2"/>
    <w:rsid w:val="00ED347E"/>
    <w:rsid w:val="00ED3F54"/>
    <w:rsid w:val="00ED52CF"/>
    <w:rsid w:val="00ED5488"/>
    <w:rsid w:val="00ED5DA4"/>
    <w:rsid w:val="00ED63B5"/>
    <w:rsid w:val="00ED6ED6"/>
    <w:rsid w:val="00ED7812"/>
    <w:rsid w:val="00ED794A"/>
    <w:rsid w:val="00ED79B7"/>
    <w:rsid w:val="00EE03BF"/>
    <w:rsid w:val="00EE16C9"/>
    <w:rsid w:val="00EE20BB"/>
    <w:rsid w:val="00EE22A1"/>
    <w:rsid w:val="00EE26EB"/>
    <w:rsid w:val="00EE2899"/>
    <w:rsid w:val="00EE31A8"/>
    <w:rsid w:val="00EE3588"/>
    <w:rsid w:val="00EE41F6"/>
    <w:rsid w:val="00EE41FB"/>
    <w:rsid w:val="00EE4619"/>
    <w:rsid w:val="00EE548A"/>
    <w:rsid w:val="00EE5BE4"/>
    <w:rsid w:val="00EE69C3"/>
    <w:rsid w:val="00EE7307"/>
    <w:rsid w:val="00EF017E"/>
    <w:rsid w:val="00EF0296"/>
    <w:rsid w:val="00EF0866"/>
    <w:rsid w:val="00EF09E0"/>
    <w:rsid w:val="00EF1F77"/>
    <w:rsid w:val="00EF238E"/>
    <w:rsid w:val="00EF2BC0"/>
    <w:rsid w:val="00EF2E54"/>
    <w:rsid w:val="00EF3070"/>
    <w:rsid w:val="00EF30E6"/>
    <w:rsid w:val="00EF33B2"/>
    <w:rsid w:val="00EF354E"/>
    <w:rsid w:val="00EF44BB"/>
    <w:rsid w:val="00EF4685"/>
    <w:rsid w:val="00EF4AA0"/>
    <w:rsid w:val="00EF4B3B"/>
    <w:rsid w:val="00EF5603"/>
    <w:rsid w:val="00EF579D"/>
    <w:rsid w:val="00EF59D6"/>
    <w:rsid w:val="00EF5C59"/>
    <w:rsid w:val="00EF61FF"/>
    <w:rsid w:val="00EF6224"/>
    <w:rsid w:val="00EF67E9"/>
    <w:rsid w:val="00EF6E6C"/>
    <w:rsid w:val="00EF7213"/>
    <w:rsid w:val="00EF72CA"/>
    <w:rsid w:val="00EF7987"/>
    <w:rsid w:val="00EF7BFC"/>
    <w:rsid w:val="00EF7C4A"/>
    <w:rsid w:val="00EF7E0E"/>
    <w:rsid w:val="00EF7F33"/>
    <w:rsid w:val="00F0084F"/>
    <w:rsid w:val="00F00C19"/>
    <w:rsid w:val="00F00C6C"/>
    <w:rsid w:val="00F01D40"/>
    <w:rsid w:val="00F03259"/>
    <w:rsid w:val="00F03B89"/>
    <w:rsid w:val="00F03B8B"/>
    <w:rsid w:val="00F040DA"/>
    <w:rsid w:val="00F041CE"/>
    <w:rsid w:val="00F05D77"/>
    <w:rsid w:val="00F06241"/>
    <w:rsid w:val="00F0655B"/>
    <w:rsid w:val="00F0689F"/>
    <w:rsid w:val="00F06D92"/>
    <w:rsid w:val="00F06F38"/>
    <w:rsid w:val="00F06F68"/>
    <w:rsid w:val="00F06FA3"/>
    <w:rsid w:val="00F07622"/>
    <w:rsid w:val="00F077A3"/>
    <w:rsid w:val="00F07C0E"/>
    <w:rsid w:val="00F10251"/>
    <w:rsid w:val="00F10334"/>
    <w:rsid w:val="00F10524"/>
    <w:rsid w:val="00F106A0"/>
    <w:rsid w:val="00F107D7"/>
    <w:rsid w:val="00F1127F"/>
    <w:rsid w:val="00F112E4"/>
    <w:rsid w:val="00F1198E"/>
    <w:rsid w:val="00F12C26"/>
    <w:rsid w:val="00F12EE3"/>
    <w:rsid w:val="00F13030"/>
    <w:rsid w:val="00F13187"/>
    <w:rsid w:val="00F13197"/>
    <w:rsid w:val="00F13B92"/>
    <w:rsid w:val="00F13BB1"/>
    <w:rsid w:val="00F145FA"/>
    <w:rsid w:val="00F146D2"/>
    <w:rsid w:val="00F147D7"/>
    <w:rsid w:val="00F14F97"/>
    <w:rsid w:val="00F15576"/>
    <w:rsid w:val="00F1582A"/>
    <w:rsid w:val="00F1678B"/>
    <w:rsid w:val="00F169C1"/>
    <w:rsid w:val="00F16B7A"/>
    <w:rsid w:val="00F174E9"/>
    <w:rsid w:val="00F203A7"/>
    <w:rsid w:val="00F20EA3"/>
    <w:rsid w:val="00F21558"/>
    <w:rsid w:val="00F21613"/>
    <w:rsid w:val="00F21B9A"/>
    <w:rsid w:val="00F21D22"/>
    <w:rsid w:val="00F21F99"/>
    <w:rsid w:val="00F22347"/>
    <w:rsid w:val="00F225FD"/>
    <w:rsid w:val="00F227F9"/>
    <w:rsid w:val="00F22967"/>
    <w:rsid w:val="00F229BC"/>
    <w:rsid w:val="00F22E17"/>
    <w:rsid w:val="00F23137"/>
    <w:rsid w:val="00F23474"/>
    <w:rsid w:val="00F235B9"/>
    <w:rsid w:val="00F24406"/>
    <w:rsid w:val="00F2441C"/>
    <w:rsid w:val="00F245F6"/>
    <w:rsid w:val="00F2475C"/>
    <w:rsid w:val="00F24D20"/>
    <w:rsid w:val="00F24E59"/>
    <w:rsid w:val="00F250C1"/>
    <w:rsid w:val="00F255A6"/>
    <w:rsid w:val="00F26634"/>
    <w:rsid w:val="00F27026"/>
    <w:rsid w:val="00F27501"/>
    <w:rsid w:val="00F27F44"/>
    <w:rsid w:val="00F30AEB"/>
    <w:rsid w:val="00F30F24"/>
    <w:rsid w:val="00F3177F"/>
    <w:rsid w:val="00F317B1"/>
    <w:rsid w:val="00F31C3A"/>
    <w:rsid w:val="00F32048"/>
    <w:rsid w:val="00F3390C"/>
    <w:rsid w:val="00F33E33"/>
    <w:rsid w:val="00F3432D"/>
    <w:rsid w:val="00F344BD"/>
    <w:rsid w:val="00F346AF"/>
    <w:rsid w:val="00F34897"/>
    <w:rsid w:val="00F34CFF"/>
    <w:rsid w:val="00F353AD"/>
    <w:rsid w:val="00F35985"/>
    <w:rsid w:val="00F36AF8"/>
    <w:rsid w:val="00F36CD5"/>
    <w:rsid w:val="00F36E0C"/>
    <w:rsid w:val="00F3785A"/>
    <w:rsid w:val="00F408D3"/>
    <w:rsid w:val="00F40985"/>
    <w:rsid w:val="00F40E62"/>
    <w:rsid w:val="00F4140E"/>
    <w:rsid w:val="00F414A6"/>
    <w:rsid w:val="00F41E23"/>
    <w:rsid w:val="00F41EF0"/>
    <w:rsid w:val="00F42784"/>
    <w:rsid w:val="00F427EA"/>
    <w:rsid w:val="00F42C19"/>
    <w:rsid w:val="00F42E6D"/>
    <w:rsid w:val="00F431CA"/>
    <w:rsid w:val="00F4320F"/>
    <w:rsid w:val="00F433A6"/>
    <w:rsid w:val="00F433AA"/>
    <w:rsid w:val="00F45691"/>
    <w:rsid w:val="00F456BC"/>
    <w:rsid w:val="00F45A57"/>
    <w:rsid w:val="00F45A5C"/>
    <w:rsid w:val="00F45DF6"/>
    <w:rsid w:val="00F45F5A"/>
    <w:rsid w:val="00F468F2"/>
    <w:rsid w:val="00F471D1"/>
    <w:rsid w:val="00F47249"/>
    <w:rsid w:val="00F47477"/>
    <w:rsid w:val="00F47AEE"/>
    <w:rsid w:val="00F500C8"/>
    <w:rsid w:val="00F5017D"/>
    <w:rsid w:val="00F502DD"/>
    <w:rsid w:val="00F5155C"/>
    <w:rsid w:val="00F516A1"/>
    <w:rsid w:val="00F52208"/>
    <w:rsid w:val="00F52392"/>
    <w:rsid w:val="00F5242B"/>
    <w:rsid w:val="00F52D84"/>
    <w:rsid w:val="00F53451"/>
    <w:rsid w:val="00F534F9"/>
    <w:rsid w:val="00F53994"/>
    <w:rsid w:val="00F53ABA"/>
    <w:rsid w:val="00F54000"/>
    <w:rsid w:val="00F54907"/>
    <w:rsid w:val="00F54FE1"/>
    <w:rsid w:val="00F55083"/>
    <w:rsid w:val="00F55F2B"/>
    <w:rsid w:val="00F55F35"/>
    <w:rsid w:val="00F56020"/>
    <w:rsid w:val="00F56022"/>
    <w:rsid w:val="00F5602A"/>
    <w:rsid w:val="00F56749"/>
    <w:rsid w:val="00F56898"/>
    <w:rsid w:val="00F572AD"/>
    <w:rsid w:val="00F57485"/>
    <w:rsid w:val="00F575B1"/>
    <w:rsid w:val="00F5773C"/>
    <w:rsid w:val="00F57AA1"/>
    <w:rsid w:val="00F611BF"/>
    <w:rsid w:val="00F615CC"/>
    <w:rsid w:val="00F6168A"/>
    <w:rsid w:val="00F618E9"/>
    <w:rsid w:val="00F61ED5"/>
    <w:rsid w:val="00F61F45"/>
    <w:rsid w:val="00F62360"/>
    <w:rsid w:val="00F629A7"/>
    <w:rsid w:val="00F62DD8"/>
    <w:rsid w:val="00F62E05"/>
    <w:rsid w:val="00F635BD"/>
    <w:rsid w:val="00F6421A"/>
    <w:rsid w:val="00F64587"/>
    <w:rsid w:val="00F647E6"/>
    <w:rsid w:val="00F64875"/>
    <w:rsid w:val="00F64D39"/>
    <w:rsid w:val="00F6500D"/>
    <w:rsid w:val="00F6527E"/>
    <w:rsid w:val="00F65B14"/>
    <w:rsid w:val="00F660FD"/>
    <w:rsid w:val="00F661EB"/>
    <w:rsid w:val="00F6647E"/>
    <w:rsid w:val="00F664CD"/>
    <w:rsid w:val="00F66C2C"/>
    <w:rsid w:val="00F67257"/>
    <w:rsid w:val="00F6738B"/>
    <w:rsid w:val="00F674C4"/>
    <w:rsid w:val="00F67626"/>
    <w:rsid w:val="00F67B3F"/>
    <w:rsid w:val="00F67D45"/>
    <w:rsid w:val="00F67F00"/>
    <w:rsid w:val="00F705AB"/>
    <w:rsid w:val="00F706DA"/>
    <w:rsid w:val="00F70B2C"/>
    <w:rsid w:val="00F70CAE"/>
    <w:rsid w:val="00F70DCE"/>
    <w:rsid w:val="00F715E8"/>
    <w:rsid w:val="00F717C1"/>
    <w:rsid w:val="00F71FF4"/>
    <w:rsid w:val="00F72056"/>
    <w:rsid w:val="00F72603"/>
    <w:rsid w:val="00F72A9F"/>
    <w:rsid w:val="00F72C58"/>
    <w:rsid w:val="00F72DD6"/>
    <w:rsid w:val="00F73231"/>
    <w:rsid w:val="00F7385E"/>
    <w:rsid w:val="00F738FA"/>
    <w:rsid w:val="00F73B00"/>
    <w:rsid w:val="00F73BC4"/>
    <w:rsid w:val="00F74011"/>
    <w:rsid w:val="00F750C5"/>
    <w:rsid w:val="00F754FF"/>
    <w:rsid w:val="00F75559"/>
    <w:rsid w:val="00F75C85"/>
    <w:rsid w:val="00F763FA"/>
    <w:rsid w:val="00F7696D"/>
    <w:rsid w:val="00F77375"/>
    <w:rsid w:val="00F777A1"/>
    <w:rsid w:val="00F77853"/>
    <w:rsid w:val="00F800D3"/>
    <w:rsid w:val="00F80360"/>
    <w:rsid w:val="00F8119F"/>
    <w:rsid w:val="00F8120B"/>
    <w:rsid w:val="00F81868"/>
    <w:rsid w:val="00F81B7B"/>
    <w:rsid w:val="00F81D73"/>
    <w:rsid w:val="00F81E48"/>
    <w:rsid w:val="00F81F84"/>
    <w:rsid w:val="00F82162"/>
    <w:rsid w:val="00F82679"/>
    <w:rsid w:val="00F82680"/>
    <w:rsid w:val="00F82CC2"/>
    <w:rsid w:val="00F83A82"/>
    <w:rsid w:val="00F83E95"/>
    <w:rsid w:val="00F83FC5"/>
    <w:rsid w:val="00F85013"/>
    <w:rsid w:val="00F855BD"/>
    <w:rsid w:val="00F85617"/>
    <w:rsid w:val="00F85BE0"/>
    <w:rsid w:val="00F860D6"/>
    <w:rsid w:val="00F86A8C"/>
    <w:rsid w:val="00F86C03"/>
    <w:rsid w:val="00F86D01"/>
    <w:rsid w:val="00F86F80"/>
    <w:rsid w:val="00F8778E"/>
    <w:rsid w:val="00F87791"/>
    <w:rsid w:val="00F87870"/>
    <w:rsid w:val="00F900D4"/>
    <w:rsid w:val="00F9082F"/>
    <w:rsid w:val="00F90BC9"/>
    <w:rsid w:val="00F9107F"/>
    <w:rsid w:val="00F91385"/>
    <w:rsid w:val="00F917EF"/>
    <w:rsid w:val="00F9183A"/>
    <w:rsid w:val="00F91ECD"/>
    <w:rsid w:val="00F92B31"/>
    <w:rsid w:val="00F92B59"/>
    <w:rsid w:val="00F92FE5"/>
    <w:rsid w:val="00F931B4"/>
    <w:rsid w:val="00F93E78"/>
    <w:rsid w:val="00F95B3B"/>
    <w:rsid w:val="00F95CEC"/>
    <w:rsid w:val="00F96A83"/>
    <w:rsid w:val="00F97987"/>
    <w:rsid w:val="00F97D02"/>
    <w:rsid w:val="00FA0251"/>
    <w:rsid w:val="00FA0278"/>
    <w:rsid w:val="00FA02B2"/>
    <w:rsid w:val="00FA1053"/>
    <w:rsid w:val="00FA127D"/>
    <w:rsid w:val="00FA1400"/>
    <w:rsid w:val="00FA1D77"/>
    <w:rsid w:val="00FA1DD2"/>
    <w:rsid w:val="00FA2047"/>
    <w:rsid w:val="00FA26E2"/>
    <w:rsid w:val="00FA2D42"/>
    <w:rsid w:val="00FA2DAC"/>
    <w:rsid w:val="00FA33EF"/>
    <w:rsid w:val="00FA4908"/>
    <w:rsid w:val="00FA4930"/>
    <w:rsid w:val="00FA4A3C"/>
    <w:rsid w:val="00FA4B52"/>
    <w:rsid w:val="00FA5216"/>
    <w:rsid w:val="00FA63D8"/>
    <w:rsid w:val="00FA63F3"/>
    <w:rsid w:val="00FA649E"/>
    <w:rsid w:val="00FA77C8"/>
    <w:rsid w:val="00FA7B85"/>
    <w:rsid w:val="00FB061F"/>
    <w:rsid w:val="00FB0EA7"/>
    <w:rsid w:val="00FB0FA3"/>
    <w:rsid w:val="00FB1BF8"/>
    <w:rsid w:val="00FB23DE"/>
    <w:rsid w:val="00FB2536"/>
    <w:rsid w:val="00FB2677"/>
    <w:rsid w:val="00FB2ED9"/>
    <w:rsid w:val="00FB3AD7"/>
    <w:rsid w:val="00FB3D7A"/>
    <w:rsid w:val="00FB3F44"/>
    <w:rsid w:val="00FB5033"/>
    <w:rsid w:val="00FB5044"/>
    <w:rsid w:val="00FB50DF"/>
    <w:rsid w:val="00FB513F"/>
    <w:rsid w:val="00FB5B1A"/>
    <w:rsid w:val="00FB618F"/>
    <w:rsid w:val="00FB66E0"/>
    <w:rsid w:val="00FB6FBD"/>
    <w:rsid w:val="00FB703C"/>
    <w:rsid w:val="00FB76DA"/>
    <w:rsid w:val="00FB791F"/>
    <w:rsid w:val="00FB7C92"/>
    <w:rsid w:val="00FC0570"/>
    <w:rsid w:val="00FC0BF9"/>
    <w:rsid w:val="00FC0C48"/>
    <w:rsid w:val="00FC12EB"/>
    <w:rsid w:val="00FC15E5"/>
    <w:rsid w:val="00FC17A6"/>
    <w:rsid w:val="00FC1E53"/>
    <w:rsid w:val="00FC1E55"/>
    <w:rsid w:val="00FC38FD"/>
    <w:rsid w:val="00FC3A2B"/>
    <w:rsid w:val="00FC4383"/>
    <w:rsid w:val="00FC5271"/>
    <w:rsid w:val="00FC53D6"/>
    <w:rsid w:val="00FC5B1A"/>
    <w:rsid w:val="00FC5C2B"/>
    <w:rsid w:val="00FC5E78"/>
    <w:rsid w:val="00FC6C4C"/>
    <w:rsid w:val="00FC6DB3"/>
    <w:rsid w:val="00FC7056"/>
    <w:rsid w:val="00FD0528"/>
    <w:rsid w:val="00FD083A"/>
    <w:rsid w:val="00FD097B"/>
    <w:rsid w:val="00FD122F"/>
    <w:rsid w:val="00FD18F4"/>
    <w:rsid w:val="00FD2C17"/>
    <w:rsid w:val="00FD388F"/>
    <w:rsid w:val="00FD4098"/>
    <w:rsid w:val="00FD4DE4"/>
    <w:rsid w:val="00FD4E95"/>
    <w:rsid w:val="00FD4FD8"/>
    <w:rsid w:val="00FD5141"/>
    <w:rsid w:val="00FD5366"/>
    <w:rsid w:val="00FD5711"/>
    <w:rsid w:val="00FD654F"/>
    <w:rsid w:val="00FD6E95"/>
    <w:rsid w:val="00FD7717"/>
    <w:rsid w:val="00FD7A42"/>
    <w:rsid w:val="00FE0BE6"/>
    <w:rsid w:val="00FE0DAC"/>
    <w:rsid w:val="00FE139F"/>
    <w:rsid w:val="00FE16CA"/>
    <w:rsid w:val="00FE1874"/>
    <w:rsid w:val="00FE198B"/>
    <w:rsid w:val="00FE2D9F"/>
    <w:rsid w:val="00FE34BD"/>
    <w:rsid w:val="00FE3B0E"/>
    <w:rsid w:val="00FE4282"/>
    <w:rsid w:val="00FE492D"/>
    <w:rsid w:val="00FE4C43"/>
    <w:rsid w:val="00FE4C8C"/>
    <w:rsid w:val="00FE4D9E"/>
    <w:rsid w:val="00FE4FC0"/>
    <w:rsid w:val="00FE5362"/>
    <w:rsid w:val="00FE5DF9"/>
    <w:rsid w:val="00FE60AB"/>
    <w:rsid w:val="00FE62E0"/>
    <w:rsid w:val="00FE63EF"/>
    <w:rsid w:val="00FE664B"/>
    <w:rsid w:val="00FE6706"/>
    <w:rsid w:val="00FE6835"/>
    <w:rsid w:val="00FE6AB0"/>
    <w:rsid w:val="00FE6C98"/>
    <w:rsid w:val="00FE741B"/>
    <w:rsid w:val="00FE7D12"/>
    <w:rsid w:val="00FE7E57"/>
    <w:rsid w:val="00FF008A"/>
    <w:rsid w:val="00FF01A5"/>
    <w:rsid w:val="00FF05EA"/>
    <w:rsid w:val="00FF0612"/>
    <w:rsid w:val="00FF076D"/>
    <w:rsid w:val="00FF09F2"/>
    <w:rsid w:val="00FF0B66"/>
    <w:rsid w:val="00FF24DA"/>
    <w:rsid w:val="00FF3061"/>
    <w:rsid w:val="00FF31DB"/>
    <w:rsid w:val="00FF3A18"/>
    <w:rsid w:val="00FF4093"/>
    <w:rsid w:val="00FF40CD"/>
    <w:rsid w:val="00FF4604"/>
    <w:rsid w:val="00FF56D4"/>
    <w:rsid w:val="00FF5835"/>
    <w:rsid w:val="00FF5FEE"/>
    <w:rsid w:val="00FF61B8"/>
    <w:rsid w:val="00FF6889"/>
    <w:rsid w:val="00FF6AA3"/>
    <w:rsid w:val="00FF6AE8"/>
    <w:rsid w:val="00FF6B59"/>
    <w:rsid w:val="00FF6F59"/>
    <w:rsid w:val="00FF6FF2"/>
    <w:rsid w:val="00FF7F66"/>
    <w:rsid w:val="12EC4418"/>
    <w:rsid w:val="22D851FA"/>
    <w:rsid w:val="26DB38D0"/>
    <w:rsid w:val="31102C0A"/>
    <w:rsid w:val="3BDD02C5"/>
    <w:rsid w:val="558124DD"/>
    <w:rsid w:val="6B131038"/>
    <w:rsid w:val="7AD37490"/>
    <w:rsid w:val="7B8D43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E0C24C9"/>
  <w15:docId w15:val="{51C64190-0A3E-4D23-86D7-ACB6D80F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Times New Roman" w:hAnsi="Cambria"/>
      <w:b/>
      <w:bCs/>
      <w:color w:val="4F81BD"/>
      <w:sz w:val="26"/>
      <w:szCs w:val="26"/>
      <w:lang w:val="en-GB"/>
    </w:rPr>
  </w:style>
  <w:style w:type="paragraph" w:styleId="Heading3">
    <w:name w:val="heading 3"/>
    <w:basedOn w:val="Normal"/>
    <w:next w:val="Normal"/>
    <w:link w:val="Heading3Char"/>
    <w:uiPriority w:val="9"/>
    <w:qFormat/>
    <w:pPr>
      <w:keepNext/>
      <w:keepLines/>
      <w:spacing w:before="200" w:after="0"/>
      <w:outlineLvl w:val="2"/>
    </w:pPr>
    <w:rPr>
      <w:rFonts w:ascii="Cambria" w:eastAsia="Times New Roman" w:hAnsi="Cambria"/>
      <w:b/>
      <w:bCs/>
      <w:color w:val="4F81BD"/>
      <w:lang w:val="en-GB"/>
    </w:rPr>
  </w:style>
  <w:style w:type="paragraph" w:styleId="Heading4">
    <w:name w:val="heading 4"/>
    <w:basedOn w:val="Normal"/>
    <w:next w:val="Normal"/>
    <w:link w:val="Heading4Char"/>
    <w:uiPriority w:val="9"/>
    <w:unhideWhenUsed/>
    <w:qFormat/>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uiPriority w:val="39"/>
    <w:qFormat/>
    <w:pPr>
      <w:spacing w:after="100"/>
      <w:ind w:left="220"/>
    </w:pPr>
    <w:rPr>
      <w:lang w:val="en-GB"/>
    </w:rPr>
  </w:style>
  <w:style w:type="paragraph" w:styleId="TOC3">
    <w:name w:val="toc 3"/>
    <w:basedOn w:val="Normal"/>
    <w:next w:val="Normal"/>
    <w:uiPriority w:val="39"/>
    <w:qFormat/>
    <w:pPr>
      <w:spacing w:after="100"/>
      <w:ind w:left="440"/>
    </w:pPr>
    <w:rPr>
      <w:rFonts w:eastAsia="Times New Roman"/>
      <w:lang w:val="en-GB" w:eastAsia="ja-JP"/>
    </w:rPr>
  </w:style>
  <w:style w:type="paragraph" w:styleId="TOC4">
    <w:name w:val="toc 4"/>
    <w:basedOn w:val="Normal"/>
    <w:next w:val="Normal"/>
    <w:autoRedefine/>
    <w:uiPriority w:val="39"/>
    <w:unhideWhenUsed/>
    <w:qFormat/>
    <w:pPr>
      <w:spacing w:after="100"/>
      <w:ind w:left="660"/>
    </w:pPr>
  </w:style>
  <w:style w:type="character" w:customStyle="1" w:styleId="Heading1Char">
    <w:name w:val="Heading 1 Char"/>
    <w:basedOn w:val="DefaultParagraphFont"/>
    <w:link w:val="Heading1"/>
    <w:uiPriority w:val="9"/>
    <w:qFormat/>
    <w:rPr>
      <w:rFonts w:ascii="Cambria" w:eastAsia="Times New Roman" w:hAnsi="Cambria" w:cs="Times New Roman"/>
      <w:color w:val="365F91"/>
      <w:kern w:val="0"/>
      <w:sz w:val="32"/>
      <w:szCs w:val="32"/>
      <w:lang w:val="en-US"/>
      <w14:ligatures w14:val="none"/>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uiPriority w:val="9"/>
    <w:qFormat/>
    <w:rPr>
      <w:rFonts w:ascii="Cambria" w:eastAsia="Times New Roman" w:hAnsi="Cambria" w:cs="Times New Roman"/>
      <w:b/>
      <w:bCs/>
      <w:color w:val="4F81BD"/>
      <w:kern w:val="0"/>
      <w14:ligatures w14:val="none"/>
    </w:rPr>
  </w:style>
  <w:style w:type="character" w:customStyle="1" w:styleId="Heading4Char">
    <w:name w:val="Heading 4 Char"/>
    <w:basedOn w:val="DefaultParagraphFont"/>
    <w:link w:val="Heading4"/>
    <w:uiPriority w:val="9"/>
    <w:qFormat/>
    <w:rPr>
      <w:rFonts w:ascii="Cambria" w:eastAsia="Times New Roman" w:hAnsi="Cambria" w:cs="Times New Roman"/>
      <w:i/>
      <w:iCs/>
      <w:color w:val="365F91"/>
      <w:kern w:val="0"/>
      <w:lang w:val="en-US"/>
      <w14:ligatures w14:val="non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eastAsia="Calibri" w:hAnsi="Tahoma" w:cs="Tahoma"/>
      <w:kern w:val="0"/>
      <w:sz w:val="16"/>
      <w:szCs w:val="16"/>
      <w:lang w:val="en-US"/>
      <w14:ligatures w14:val="none"/>
    </w:rPr>
  </w:style>
  <w:style w:type="character" w:customStyle="1" w:styleId="HeaderChar">
    <w:name w:val="Header Char"/>
    <w:basedOn w:val="DefaultParagraphFont"/>
    <w:link w:val="Header"/>
    <w:uiPriority w:val="99"/>
    <w:qFormat/>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qFormat/>
    <w:rPr>
      <w:rFonts w:ascii="Calibri" w:eastAsia="Calibri" w:hAnsi="Calibri" w:cs="Times New Roman"/>
      <w:kern w:val="0"/>
      <w:lang w:val="en-US"/>
      <w14:ligatures w14:val="none"/>
    </w:rPr>
  </w:style>
  <w:style w:type="paragraph" w:customStyle="1" w:styleId="Default">
    <w:name w:val="Default"/>
    <w:qFormat/>
    <w:pPr>
      <w:autoSpaceDE w:val="0"/>
      <w:autoSpaceDN w:val="0"/>
      <w:adjustRightInd w:val="0"/>
    </w:pPr>
    <w:rPr>
      <w:rFonts w:eastAsia="Calibri"/>
      <w:color w:val="000000"/>
      <w:sz w:val="24"/>
      <w:szCs w:val="24"/>
      <w:lang w:val="en-US" w:eastAsia="en-US"/>
    </w:rPr>
  </w:style>
  <w:style w:type="paragraph" w:customStyle="1" w:styleId="TOCHeading1">
    <w:name w:val="TOC Heading1"/>
    <w:basedOn w:val="Heading1"/>
    <w:next w:val="Normal"/>
    <w:uiPriority w:val="39"/>
    <w:unhideWhenUsed/>
    <w:qFormat/>
    <w:pPr>
      <w:spacing w:before="480"/>
      <w:outlineLvl w:val="9"/>
    </w:pPr>
    <w:rPr>
      <w:b/>
      <w:bCs/>
      <w:sz w:val="28"/>
      <w:szCs w:val="28"/>
    </w:rPr>
  </w:style>
  <w:style w:type="character" w:customStyle="1" w:styleId="CommentTextChar">
    <w:name w:val="Comment Text Char"/>
    <w:basedOn w:val="DefaultParagraphFont"/>
    <w:link w:val="CommentText"/>
    <w:uiPriority w:val="99"/>
    <w:qFormat/>
    <w:rPr>
      <w:rFonts w:ascii="Calibri" w:eastAsia="Calibri" w:hAnsi="Calibri" w:cs="Times New Roman"/>
      <w:kern w:val="0"/>
      <w:sz w:val="20"/>
      <w:szCs w:val="20"/>
      <w:lang w:val="en-US"/>
      <w14:ligatures w14:val="none"/>
    </w:rPr>
  </w:style>
  <w:style w:type="character" w:customStyle="1" w:styleId="mixed-citation">
    <w:name w:val="mixed-citation"/>
    <w:basedOn w:val="DefaultParagraphFont"/>
    <w:qFormat/>
  </w:style>
  <w:style w:type="character" w:customStyle="1" w:styleId="A1">
    <w:name w:val="A1"/>
    <w:uiPriority w:val="99"/>
    <w:qFormat/>
    <w:rPr>
      <w:rFonts w:cs="Minion Pro"/>
      <w:color w:val="000000"/>
      <w:sz w:val="20"/>
      <w:szCs w:val="20"/>
    </w:rPr>
  </w:style>
  <w:style w:type="character" w:customStyle="1" w:styleId="A2">
    <w:name w:val="A2"/>
    <w:uiPriority w:val="99"/>
    <w:qFormat/>
    <w:rPr>
      <w:rFonts w:cs="Minion Pro"/>
      <w:color w:val="000000"/>
      <w:sz w:val="11"/>
      <w:szCs w:val="11"/>
    </w:rPr>
  </w:style>
  <w:style w:type="character" w:customStyle="1" w:styleId="A11">
    <w:name w:val="A11"/>
    <w:uiPriority w:val="99"/>
    <w:qFormat/>
    <w:rPr>
      <w:color w:val="000000"/>
      <w:sz w:val="15"/>
      <w:szCs w:val="15"/>
    </w:rPr>
  </w:style>
  <w:style w:type="character" w:customStyle="1" w:styleId="A0">
    <w:name w:val="A0"/>
    <w:uiPriority w:val="99"/>
    <w:qFormat/>
    <w:rPr>
      <w:b/>
      <w:bCs/>
      <w:color w:val="000000"/>
      <w:sz w:val="36"/>
      <w:szCs w:val="36"/>
    </w:rPr>
  </w:style>
  <w:style w:type="paragraph" w:customStyle="1" w:styleId="ArialItal12pt">
    <w:name w:val="Arial Ital 12 pt"/>
    <w:basedOn w:val="Normal"/>
    <w:qFormat/>
    <w:pPr>
      <w:spacing w:after="0" w:line="240" w:lineRule="auto"/>
    </w:pPr>
    <w:rPr>
      <w:rFonts w:ascii="Arial" w:eastAsia="Times New Roman" w:hAnsi="Arial"/>
      <w:i/>
      <w:sz w:val="24"/>
      <w:szCs w:val="20"/>
    </w:rPr>
  </w:style>
  <w:style w:type="paragraph" w:styleId="NoSpacing">
    <w:name w:val="No Spacing"/>
    <w:uiPriority w:val="1"/>
    <w:qFormat/>
    <w:rPr>
      <w:rFonts w:ascii="Calibri" w:eastAsia="Calibri" w:hAnsi="Calibri"/>
      <w:sz w:val="22"/>
      <w:szCs w:val="22"/>
      <w:lang w:val="en-GB" w:eastAsia="en-US"/>
    </w:rPr>
  </w:style>
  <w:style w:type="character" w:customStyle="1" w:styleId="IntenseEmphasis1">
    <w:name w:val="Intense Emphasis1"/>
    <w:uiPriority w:val="21"/>
    <w:qFormat/>
    <w:rPr>
      <w:i/>
      <w:iCs/>
      <w:color w:val="4F81BD"/>
    </w:rPr>
  </w:style>
  <w:style w:type="paragraph" w:customStyle="1" w:styleId="TOCHeading11">
    <w:name w:val="TOC Heading11"/>
    <w:basedOn w:val="Heading1"/>
    <w:next w:val="Normal"/>
    <w:unhideWhenUsed/>
    <w:qFormat/>
    <w:pPr>
      <w:spacing w:line="259" w:lineRule="auto"/>
      <w:outlineLvl w:val="9"/>
    </w:pPr>
  </w:style>
  <w:style w:type="character" w:customStyle="1" w:styleId="UnresolvedMention1">
    <w:name w:val="Unresolved Mention1"/>
    <w:uiPriority w:val="99"/>
    <w:semiHidden/>
    <w:unhideWhenUsed/>
    <w:qFormat/>
    <w:rPr>
      <w:color w:val="605E5C"/>
      <w:shd w:val="clear" w:color="auto" w:fill="E1DFDD"/>
    </w:rPr>
  </w:style>
  <w:style w:type="paragraph" w:customStyle="1" w:styleId="DeptAddress">
    <w:name w:val="DeptAddress"/>
    <w:basedOn w:val="Normal"/>
    <w:qFormat/>
    <w:pPr>
      <w:tabs>
        <w:tab w:val="left" w:pos="7200"/>
      </w:tabs>
      <w:spacing w:after="0" w:line="240" w:lineRule="auto"/>
      <w:ind w:left="7200"/>
    </w:pPr>
    <w:rPr>
      <w:rFonts w:ascii="TheSans B4 SemiLight" w:eastAsia="Times New Roman" w:hAnsi="TheSans B4 SemiLight"/>
      <w:sz w:val="18"/>
      <w:szCs w:val="18"/>
      <w:lang w:val="en-GB"/>
    </w:rPr>
  </w:style>
  <w:style w:type="character" w:customStyle="1" w:styleId="a">
    <w:name w:val="_"/>
    <w:basedOn w:val="DefaultParagraphFont"/>
    <w:qFormat/>
  </w:style>
  <w:style w:type="character" w:customStyle="1" w:styleId="A8">
    <w:name w:val="A8"/>
    <w:uiPriority w:val="99"/>
    <w:qFormat/>
    <w:rPr>
      <w:rFonts w:cs="Minion Pro"/>
      <w:color w:val="000000"/>
      <w:sz w:val="20"/>
      <w:szCs w:val="20"/>
    </w:rPr>
  </w:style>
  <w:style w:type="character" w:customStyle="1" w:styleId="A5">
    <w:name w:val="A5"/>
    <w:uiPriority w:val="99"/>
    <w:qFormat/>
    <w:rPr>
      <w:rFonts w:cs="Minion Pro"/>
      <w:color w:val="000000"/>
      <w:sz w:val="18"/>
      <w:szCs w:val="18"/>
    </w:rPr>
  </w:style>
  <w:style w:type="character" w:customStyle="1" w:styleId="A6">
    <w:name w:val="A6"/>
    <w:uiPriority w:val="99"/>
    <w:qFormat/>
    <w:rPr>
      <w:rFonts w:cs="Optima LT Std"/>
      <w:color w:val="000000"/>
      <w:sz w:val="16"/>
      <w:szCs w:val="16"/>
    </w:rPr>
  </w:style>
  <w:style w:type="character" w:customStyle="1" w:styleId="selectable">
    <w:name w:val="selectable"/>
    <w:basedOn w:val="DefaultParagraphFont"/>
    <w:qFormat/>
  </w:style>
  <w:style w:type="paragraph" w:customStyle="1" w:styleId="Normal1">
    <w:name w:val="Normal1"/>
    <w:qFormat/>
    <w:pPr>
      <w:spacing w:line="276" w:lineRule="auto"/>
    </w:pPr>
    <w:rPr>
      <w:rFonts w:ascii="Arial" w:eastAsia="Arial" w:hAnsi="Arial" w:cs="Arial"/>
      <w:sz w:val="22"/>
      <w:szCs w:val="22"/>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233/EFI-18022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DDFBC-266B-4A0B-B23F-99D9CD93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5652</Words>
  <Characters>32222</Characters>
  <Application>Microsoft Office Word</Application>
  <DocSecurity>0</DocSecurity>
  <Lines>268</Lines>
  <Paragraphs>75</Paragraphs>
  <ScaleCrop>false</ScaleCrop>
  <Company/>
  <LinksUpToDate>false</LinksUpToDate>
  <CharactersWithSpaces>37799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UCHECHUKWU APUGO</dc:creator>
  <cp:lastModifiedBy>SDI 1183</cp:lastModifiedBy>
  <cp:revision>650</cp:revision>
  <dcterms:created xsi:type="dcterms:W3CDTF">2025-05-16T07:12:00Z</dcterms:created>
  <dcterms:modified xsi:type="dcterms:W3CDTF">2025-10-16T08:11:00Z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420439ca-c195-4f91-980b-090bdb50868e</vt:lpwstr>
  </property>
  <property fmtid="{D5CDD505-2E9C-101B-9397-08002B2CF9AE}" pid="3" name="TII_WORD_DOCUMENT_FILENAME">
    <vt:lpwstr>Dissertation - 2226146.docx</vt:lpwstr>
  </property>
  <property fmtid="{D5CDD505-2E9C-101B-9397-08002B2CF9AE}" pid="4" name="TII_WORD_DOCUMENT_ID">
    <vt:lpwstr>38c04a1b-c5e4-41fe-bd1f-f1ae19c2b4bf</vt:lpwstr>
  </property>
  <property fmtid="{D5CDD505-2E9C-101B-9397-08002B2CF9AE}" pid="5" name="TII_WORD_DOCUMENT_HASH">
    <vt:lpwstr>6ed015c811c26efa16e17c1eb5687e99977160ad0513f7ad33c1ded699e5a9e8</vt:lpwstr>
  </property>
  <property fmtid="{D5CDD505-2E9C-101B-9397-08002B2CF9AE}" pid="6" name="KSOProductBuildVer">
    <vt:lpwstr>1033-12.2.0.22549</vt:lpwstr>
  </property>
  <property fmtid="{D5CDD505-2E9C-101B-9397-08002B2CF9AE}" pid="7" name="ICV">
    <vt:lpwstr>953CED391E50427AB6AD92303F853374_13</vt:lpwstr>
  </property>
</Properties>
</file>