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E1450" w14:textId="4E239D5F" w:rsidR="00773459" w:rsidRPr="00773459" w:rsidRDefault="00773459" w:rsidP="000354E1">
      <w:pPr>
        <w:pStyle w:val="Author"/>
        <w:spacing w:line="240" w:lineRule="auto"/>
        <w:rPr>
          <w:rFonts w:ascii="Arial" w:hAnsi="Arial" w:cs="Arial"/>
          <w:bCs/>
          <w:kern w:val="28"/>
          <w:sz w:val="36"/>
          <w:u w:val="single"/>
        </w:rPr>
      </w:pPr>
      <w:r w:rsidRPr="00773459">
        <w:rPr>
          <w:rFonts w:ascii="Arial" w:hAnsi="Arial" w:cs="Arial"/>
          <w:bCs/>
          <w:kern w:val="28"/>
          <w:sz w:val="36"/>
          <w:u w:val="single"/>
        </w:rPr>
        <w:t>Case Report</w:t>
      </w:r>
    </w:p>
    <w:p w14:paraId="620A6188" w14:textId="77777777" w:rsidR="00773459" w:rsidRDefault="00773459" w:rsidP="000354E1">
      <w:pPr>
        <w:pStyle w:val="Author"/>
        <w:spacing w:line="240" w:lineRule="auto"/>
        <w:rPr>
          <w:rFonts w:ascii="Arial" w:hAnsi="Arial" w:cs="Arial"/>
          <w:bCs/>
          <w:kern w:val="28"/>
          <w:sz w:val="36"/>
        </w:rPr>
      </w:pPr>
    </w:p>
    <w:p w14:paraId="34AC67F1" w14:textId="77777777" w:rsidR="00773459" w:rsidRDefault="00773459" w:rsidP="000354E1">
      <w:pPr>
        <w:pStyle w:val="Author"/>
        <w:spacing w:line="240" w:lineRule="auto"/>
        <w:rPr>
          <w:rFonts w:ascii="Arial" w:hAnsi="Arial" w:cs="Arial"/>
          <w:bCs/>
          <w:kern w:val="28"/>
          <w:sz w:val="36"/>
        </w:rPr>
      </w:pPr>
    </w:p>
    <w:p w14:paraId="5795DA80" w14:textId="51869FC7" w:rsidR="000354E1" w:rsidRPr="000354E1" w:rsidRDefault="000354E1" w:rsidP="000354E1">
      <w:pPr>
        <w:pStyle w:val="Author"/>
        <w:spacing w:line="240" w:lineRule="auto"/>
        <w:rPr>
          <w:rFonts w:ascii="Arial" w:hAnsi="Arial" w:cs="Arial"/>
          <w:kern w:val="28"/>
          <w:sz w:val="36"/>
        </w:rPr>
      </w:pPr>
      <w:r w:rsidRPr="000354E1">
        <w:rPr>
          <w:rFonts w:ascii="Arial" w:hAnsi="Arial" w:cs="Arial"/>
          <w:bCs/>
          <w:kern w:val="28"/>
          <w:sz w:val="36"/>
        </w:rPr>
        <w:t xml:space="preserve">Evidence-Informed Pediatric Physiotherapy in </w:t>
      </w:r>
      <w:proofErr w:type="spellStart"/>
      <w:r w:rsidRPr="000354E1">
        <w:rPr>
          <w:rFonts w:ascii="Arial" w:hAnsi="Arial" w:cs="Arial"/>
          <w:bCs/>
          <w:kern w:val="28"/>
          <w:sz w:val="36"/>
        </w:rPr>
        <w:t>Hallervorden-Spatz</w:t>
      </w:r>
      <w:proofErr w:type="spellEnd"/>
      <w:r w:rsidRPr="000354E1">
        <w:rPr>
          <w:rFonts w:ascii="Arial" w:hAnsi="Arial" w:cs="Arial"/>
          <w:bCs/>
          <w:kern w:val="28"/>
          <w:sz w:val="36"/>
        </w:rPr>
        <w:t xml:space="preserve"> Disease – A Case Report</w:t>
      </w:r>
    </w:p>
    <w:p w14:paraId="2AEC4CA0" w14:textId="77777777" w:rsidR="00A258C3" w:rsidRPr="00790ADA" w:rsidRDefault="00A258C3" w:rsidP="00441B6F">
      <w:pPr>
        <w:pStyle w:val="Author"/>
        <w:spacing w:line="240" w:lineRule="auto"/>
        <w:jc w:val="both"/>
        <w:rPr>
          <w:rFonts w:ascii="Arial" w:hAnsi="Arial" w:cs="Arial"/>
          <w:sz w:val="36"/>
        </w:rPr>
      </w:pPr>
    </w:p>
    <w:p w14:paraId="3F45906E" w14:textId="77777777" w:rsidR="00790ADA" w:rsidRDefault="00790ADA" w:rsidP="00441B6F">
      <w:pPr>
        <w:pStyle w:val="Affiliation"/>
        <w:spacing w:after="0" w:line="240" w:lineRule="auto"/>
        <w:jc w:val="both"/>
        <w:rPr>
          <w:rFonts w:ascii="Arial" w:hAnsi="Arial" w:cs="Arial"/>
        </w:rPr>
      </w:pPr>
    </w:p>
    <w:p w14:paraId="6AC2A0C7" w14:textId="77777777" w:rsidR="002C57D2" w:rsidRPr="00FB3A86" w:rsidRDefault="002C57D2" w:rsidP="00441B6F">
      <w:pPr>
        <w:pStyle w:val="Affiliation"/>
        <w:spacing w:after="0" w:line="240" w:lineRule="auto"/>
        <w:jc w:val="both"/>
        <w:rPr>
          <w:rFonts w:ascii="Arial" w:hAnsi="Arial" w:cs="Arial"/>
        </w:rPr>
      </w:pPr>
    </w:p>
    <w:p w14:paraId="479EE3CF" w14:textId="77777777" w:rsidR="00B01FCD" w:rsidRPr="00FB3A86" w:rsidRDefault="003E13F6" w:rsidP="00441B6F">
      <w:pPr>
        <w:pStyle w:val="Copyright"/>
        <w:spacing w:after="0" w:line="240" w:lineRule="auto"/>
        <w:jc w:val="both"/>
        <w:rPr>
          <w:rFonts w:ascii="Arial" w:hAnsi="Arial" w:cs="Arial"/>
        </w:rPr>
        <w:sectPr w:rsidR="00B01FCD" w:rsidRPr="00FB3A86" w:rsidSect="000E26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433665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965D28" w14:textId="73D2DC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80A3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3051B3" w14:textId="77777777" w:rsidTr="001E44FE">
        <w:tc>
          <w:tcPr>
            <w:tcW w:w="9576" w:type="dxa"/>
            <w:shd w:val="clear" w:color="auto" w:fill="F2F2F2"/>
          </w:tcPr>
          <w:p w14:paraId="2DFF1426" w14:textId="77777777" w:rsidR="00F129E2" w:rsidRPr="000354E1" w:rsidRDefault="00F129E2" w:rsidP="00F129E2">
            <w:pPr>
              <w:pStyle w:val="Body"/>
              <w:spacing w:after="0"/>
              <w:rPr>
                <w:rFonts w:ascii="Arial" w:eastAsia="Calibri" w:hAnsi="Arial" w:cs="Arial"/>
                <w:szCs w:val="22"/>
              </w:rPr>
            </w:pPr>
            <w:r w:rsidRPr="000354E1">
              <w:rPr>
                <w:rFonts w:ascii="Arial" w:eastAsia="Calibri" w:hAnsi="Arial" w:cs="Arial"/>
                <w:b/>
                <w:bCs/>
                <w:szCs w:val="22"/>
              </w:rPr>
              <w:t>Background:</w:t>
            </w:r>
            <w:r w:rsidRPr="000354E1">
              <w:rPr>
                <w:rFonts w:ascii="Arial" w:eastAsia="Calibri" w:hAnsi="Arial" w:cs="Arial"/>
                <w:szCs w:val="22"/>
              </w:rPr>
              <w:t xml:space="preserve"> </w:t>
            </w:r>
            <w:proofErr w:type="spellStart"/>
            <w:r w:rsidRPr="0025607D">
              <w:rPr>
                <w:rFonts w:ascii="Arial" w:eastAsia="Calibri" w:hAnsi="Arial" w:cs="Arial"/>
                <w:i/>
                <w:iCs/>
                <w:szCs w:val="22"/>
              </w:rPr>
              <w:t>Hallervorden-Spatz</w:t>
            </w:r>
            <w:proofErr w:type="spellEnd"/>
            <w:r w:rsidRPr="0025607D">
              <w:rPr>
                <w:rFonts w:ascii="Arial" w:eastAsia="Calibri" w:hAnsi="Arial" w:cs="Arial"/>
                <w:i/>
                <w:iCs/>
                <w:szCs w:val="22"/>
              </w:rPr>
              <w:t xml:space="preserve"> Disease (HSD),</w:t>
            </w:r>
            <w:r w:rsidRPr="000354E1">
              <w:rPr>
                <w:rFonts w:ascii="Arial" w:eastAsia="Calibri" w:hAnsi="Arial" w:cs="Arial"/>
                <w:szCs w:val="22"/>
              </w:rPr>
              <w:t xml:space="preserve"> an aggressive and rare form of </w:t>
            </w:r>
            <w:r w:rsidRPr="0025607D">
              <w:rPr>
                <w:i/>
                <w:iCs/>
              </w:rPr>
              <w:t>Neurodegeneration with Brain Iron Accumulation (</w:t>
            </w:r>
            <w:r w:rsidRPr="0025607D">
              <w:rPr>
                <w:rFonts w:ascii="Arial" w:eastAsia="Calibri" w:hAnsi="Arial" w:cs="Arial"/>
                <w:i/>
                <w:iCs/>
                <w:szCs w:val="22"/>
              </w:rPr>
              <w:t>NBIA),</w:t>
            </w:r>
            <w:r w:rsidRPr="000354E1">
              <w:rPr>
                <w:rFonts w:ascii="Arial" w:eastAsia="Calibri" w:hAnsi="Arial" w:cs="Arial"/>
                <w:szCs w:val="22"/>
              </w:rPr>
              <w:t xml:space="preserve"> has specific rehabilitation issues in its rapid neurodegenerative course and early loss of motor milestones. Physiotherapy literature still lacks the entire clinical and therapeutic profile of such patients. </w:t>
            </w:r>
          </w:p>
          <w:p w14:paraId="2DB4D15E" w14:textId="639C4429" w:rsidR="00F129E2" w:rsidRPr="000354E1" w:rsidRDefault="00F129E2" w:rsidP="00F129E2">
            <w:pPr>
              <w:pStyle w:val="Body"/>
              <w:spacing w:after="0"/>
              <w:rPr>
                <w:rFonts w:ascii="Arial" w:eastAsia="Calibri" w:hAnsi="Arial" w:cs="Arial"/>
                <w:szCs w:val="22"/>
              </w:rPr>
            </w:pPr>
            <w:r w:rsidRPr="000354E1">
              <w:rPr>
                <w:rFonts w:ascii="Arial" w:eastAsia="Calibri" w:hAnsi="Arial" w:cs="Arial"/>
                <w:b/>
                <w:bCs/>
                <w:szCs w:val="22"/>
              </w:rPr>
              <w:t>Case summary:</w:t>
            </w:r>
            <w:r w:rsidRPr="000354E1">
              <w:rPr>
                <w:rFonts w:ascii="Arial" w:eastAsia="Calibri" w:hAnsi="Arial" w:cs="Arial"/>
                <w:szCs w:val="22"/>
              </w:rPr>
              <w:t xml:space="preserve"> This article reports the lengthy, birth-end-of-life clinical history of an 11-year-old female patient with genetically established HSD. </w:t>
            </w:r>
            <w:r w:rsidR="00C97B34">
              <w:t>Her symptoms began in infancy, with feeding difficulties and delayed motor milestones noted by 6 months, and she died at age 11 in late 2024.</w:t>
            </w:r>
            <w:r w:rsidR="00C97B34">
              <w:t xml:space="preserve"> </w:t>
            </w:r>
            <w:r w:rsidRPr="000354E1">
              <w:rPr>
                <w:rFonts w:ascii="Arial" w:eastAsia="Calibri" w:hAnsi="Arial" w:cs="Arial"/>
                <w:szCs w:val="22"/>
              </w:rPr>
              <w:t xml:space="preserve">She had severe dystonia, fixed postures, scoliosis, compromised respiration, and total dependence on all </w:t>
            </w:r>
            <w:r>
              <w:rPr>
                <w:rFonts w:ascii="Arial" w:eastAsia="Calibri" w:hAnsi="Arial" w:cs="Arial"/>
                <w:szCs w:val="22"/>
              </w:rPr>
              <w:t>activities of daily living (</w:t>
            </w:r>
            <w:r w:rsidRPr="000354E1">
              <w:rPr>
                <w:rFonts w:ascii="Arial" w:eastAsia="Calibri" w:hAnsi="Arial" w:cs="Arial"/>
                <w:szCs w:val="22"/>
              </w:rPr>
              <w:t>ADLs</w:t>
            </w:r>
            <w:r>
              <w:rPr>
                <w:rFonts w:ascii="Arial" w:eastAsia="Calibri" w:hAnsi="Arial" w:cs="Arial"/>
                <w:szCs w:val="22"/>
              </w:rPr>
              <w:t>)</w:t>
            </w:r>
            <w:r w:rsidRPr="000354E1">
              <w:rPr>
                <w:rFonts w:ascii="Arial" w:eastAsia="Calibri" w:hAnsi="Arial" w:cs="Arial"/>
                <w:szCs w:val="22"/>
              </w:rPr>
              <w:t xml:space="preserve">. Standardized </w:t>
            </w:r>
            <w:r w:rsidR="003A280A">
              <w:rPr>
                <w:rFonts w:ascii="Arial" w:eastAsia="Calibri" w:hAnsi="Arial" w:cs="Arial"/>
                <w:szCs w:val="22"/>
              </w:rPr>
              <w:t xml:space="preserve">assessments and </w:t>
            </w:r>
            <w:r w:rsidRPr="000354E1">
              <w:rPr>
                <w:rFonts w:ascii="Arial" w:eastAsia="Calibri" w:hAnsi="Arial" w:cs="Arial"/>
                <w:szCs w:val="22"/>
              </w:rPr>
              <w:t>outcome measures</w:t>
            </w:r>
            <w:r w:rsidR="003A280A">
              <w:rPr>
                <w:rFonts w:ascii="Arial" w:eastAsia="Calibri" w:hAnsi="Arial" w:cs="Arial"/>
                <w:szCs w:val="22"/>
              </w:rPr>
              <w:t xml:space="preserve"> </w:t>
            </w:r>
            <w:r w:rsidRPr="000354E1">
              <w:rPr>
                <w:rFonts w:ascii="Arial" w:eastAsia="Calibri" w:hAnsi="Arial" w:cs="Arial"/>
                <w:szCs w:val="22"/>
              </w:rPr>
              <w:t>—</w:t>
            </w:r>
            <w:r>
              <w:t xml:space="preserve"> Functional Independence Measure for Children (</w:t>
            </w:r>
            <w:proofErr w:type="spellStart"/>
            <w:r w:rsidRPr="000354E1">
              <w:rPr>
                <w:rFonts w:ascii="Arial" w:eastAsia="Calibri" w:hAnsi="Arial" w:cs="Arial"/>
                <w:szCs w:val="22"/>
              </w:rPr>
              <w:t>WeeFIM</w:t>
            </w:r>
            <w:proofErr w:type="spellEnd"/>
            <w:r>
              <w:rPr>
                <w:rFonts w:ascii="Arial" w:eastAsia="Calibri" w:hAnsi="Arial" w:cs="Arial"/>
                <w:szCs w:val="22"/>
              </w:rPr>
              <w:t>)</w:t>
            </w:r>
            <w:r w:rsidRPr="000354E1">
              <w:rPr>
                <w:rFonts w:ascii="Arial" w:eastAsia="Calibri" w:hAnsi="Arial" w:cs="Arial"/>
                <w:szCs w:val="22"/>
              </w:rPr>
              <w:t xml:space="preserve">, </w:t>
            </w:r>
            <w:r>
              <w:rPr>
                <w:rStyle w:val="Emphasis"/>
              </w:rPr>
              <w:t>Gross Motor Function Measure – 88 (</w:t>
            </w:r>
            <w:r w:rsidRPr="000354E1">
              <w:rPr>
                <w:rFonts w:ascii="Arial" w:eastAsia="Calibri" w:hAnsi="Arial" w:cs="Arial"/>
                <w:szCs w:val="22"/>
              </w:rPr>
              <w:t>GMFM-88</w:t>
            </w:r>
            <w:r>
              <w:rPr>
                <w:rFonts w:ascii="Arial" w:eastAsia="Calibri" w:hAnsi="Arial" w:cs="Arial"/>
                <w:szCs w:val="22"/>
              </w:rPr>
              <w:t>)</w:t>
            </w:r>
            <w:r w:rsidRPr="000354E1">
              <w:rPr>
                <w:rFonts w:ascii="Arial" w:eastAsia="Calibri" w:hAnsi="Arial" w:cs="Arial"/>
                <w:szCs w:val="22"/>
              </w:rPr>
              <w:t xml:space="preserve">, </w:t>
            </w:r>
            <w:r>
              <w:rPr>
                <w:rStyle w:val="Emphasis"/>
              </w:rPr>
              <w:t>Pantothenate Kinase-Associated Neurodegeneration – Activities of Daily Living Scale (</w:t>
            </w:r>
            <w:r w:rsidRPr="000354E1">
              <w:rPr>
                <w:rFonts w:ascii="Arial" w:eastAsia="Calibri" w:hAnsi="Arial" w:cs="Arial"/>
                <w:szCs w:val="22"/>
              </w:rPr>
              <w:t>PKAN-ADL</w:t>
            </w:r>
            <w:r>
              <w:rPr>
                <w:rFonts w:ascii="Arial" w:eastAsia="Calibri" w:hAnsi="Arial" w:cs="Arial"/>
                <w:szCs w:val="22"/>
              </w:rPr>
              <w:t>)</w:t>
            </w:r>
            <w:r w:rsidRPr="000354E1">
              <w:rPr>
                <w:rFonts w:ascii="Arial" w:eastAsia="Calibri" w:hAnsi="Arial" w:cs="Arial"/>
                <w:szCs w:val="22"/>
              </w:rPr>
              <w:t xml:space="preserve">, </w:t>
            </w:r>
            <w:r>
              <w:rPr>
                <w:rStyle w:val="Emphasis"/>
              </w:rPr>
              <w:t>Manual Ability Classification System (</w:t>
            </w:r>
            <w:r w:rsidRPr="000354E1">
              <w:rPr>
                <w:rFonts w:ascii="Arial" w:eastAsia="Calibri" w:hAnsi="Arial" w:cs="Arial"/>
                <w:szCs w:val="22"/>
              </w:rPr>
              <w:t>MACS</w:t>
            </w:r>
            <w:r>
              <w:rPr>
                <w:rFonts w:ascii="Arial" w:eastAsia="Calibri" w:hAnsi="Arial" w:cs="Arial"/>
                <w:szCs w:val="22"/>
              </w:rPr>
              <w:t>)</w:t>
            </w:r>
            <w:r w:rsidRPr="000354E1">
              <w:rPr>
                <w:rFonts w:ascii="Arial" w:eastAsia="Calibri" w:hAnsi="Arial" w:cs="Arial"/>
                <w:szCs w:val="22"/>
              </w:rPr>
              <w:t xml:space="preserve"> and </w:t>
            </w:r>
            <w:r>
              <w:rPr>
                <w:rStyle w:val="Emphasis"/>
              </w:rPr>
              <w:t>Communication Function Classification System (</w:t>
            </w:r>
            <w:r w:rsidRPr="000354E1">
              <w:rPr>
                <w:rFonts w:ascii="Arial" w:eastAsia="Calibri" w:hAnsi="Arial" w:cs="Arial"/>
                <w:szCs w:val="22"/>
              </w:rPr>
              <w:t>CFCS</w:t>
            </w:r>
            <w:r>
              <w:rPr>
                <w:rFonts w:ascii="Arial" w:eastAsia="Calibri" w:hAnsi="Arial" w:cs="Arial"/>
                <w:szCs w:val="22"/>
              </w:rPr>
              <w:t>)</w:t>
            </w:r>
            <w:r w:rsidR="00A079B9">
              <w:rPr>
                <w:rFonts w:ascii="Arial" w:eastAsia="Calibri" w:hAnsi="Arial" w:cs="Arial"/>
                <w:szCs w:val="22"/>
              </w:rPr>
              <w:t xml:space="preserve">, </w:t>
            </w:r>
            <w:r w:rsidR="00A079B9">
              <w:t>Caregiver Quality of Life Index – Pediatric (CQOL-P)</w:t>
            </w:r>
            <w:r w:rsidR="00A079B9" w:rsidRPr="000354E1">
              <w:rPr>
                <w:rFonts w:ascii="Arial" w:eastAsia="Calibri" w:hAnsi="Arial" w:cs="Arial"/>
                <w:szCs w:val="22"/>
              </w:rPr>
              <w:t xml:space="preserve"> </w:t>
            </w:r>
            <w:r w:rsidRPr="000354E1">
              <w:rPr>
                <w:rFonts w:ascii="Arial" w:eastAsia="Calibri" w:hAnsi="Arial" w:cs="Arial"/>
                <w:szCs w:val="22"/>
              </w:rPr>
              <w:t xml:space="preserve">—were documented systematically. </w:t>
            </w:r>
          </w:p>
          <w:p w14:paraId="089E7EEC"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Intervention:</w:t>
            </w:r>
            <w:r w:rsidRPr="000354E1">
              <w:rPr>
                <w:rFonts w:ascii="Arial" w:eastAsia="Calibri" w:hAnsi="Arial" w:cs="Arial"/>
                <w:szCs w:val="22"/>
              </w:rPr>
              <w:t xml:space="preserve"> A structured, evidence-based physiotherapy plan was initiated with task-based training in sitting, chest expansion, postural re-education, and caregiver-supervised home programs specific to her degenerating state. </w:t>
            </w:r>
          </w:p>
          <w:p w14:paraId="4377C886" w14:textId="77777777" w:rsidR="000354E1" w:rsidRPr="000354E1" w:rsidRDefault="000354E1" w:rsidP="000354E1">
            <w:pPr>
              <w:pStyle w:val="Body"/>
              <w:spacing w:after="0"/>
              <w:rPr>
                <w:rFonts w:ascii="Arial" w:eastAsia="Calibri" w:hAnsi="Arial" w:cs="Arial"/>
                <w:szCs w:val="22"/>
              </w:rPr>
            </w:pPr>
            <w:r w:rsidRPr="000354E1">
              <w:rPr>
                <w:rFonts w:ascii="Arial" w:eastAsia="Calibri" w:hAnsi="Arial" w:cs="Arial"/>
                <w:b/>
                <w:bCs/>
                <w:szCs w:val="22"/>
              </w:rPr>
              <w:t>Conclusion:</w:t>
            </w:r>
            <w:r w:rsidRPr="000354E1">
              <w:rPr>
                <w:rFonts w:ascii="Arial" w:eastAsia="Calibri" w:hAnsi="Arial" w:cs="Arial"/>
                <w:szCs w:val="22"/>
              </w:rPr>
              <w:t xml:space="preserve"> This is the first physiotherapy case report to comprehensively use longitudinal history, validated outcome measures, and evidence-based therapy in HSD, demonstrating the vital role of neurorehabilitation in the course of the disease.</w:t>
            </w:r>
          </w:p>
          <w:p w14:paraId="65549DA3" w14:textId="77777777" w:rsidR="00505F06" w:rsidRPr="00BA1B01" w:rsidRDefault="00505F06" w:rsidP="00441B6F">
            <w:pPr>
              <w:pStyle w:val="Body"/>
              <w:spacing w:after="0"/>
              <w:rPr>
                <w:rFonts w:ascii="Arial" w:eastAsia="Calibri" w:hAnsi="Arial" w:cs="Arial"/>
                <w:szCs w:val="22"/>
              </w:rPr>
            </w:pPr>
          </w:p>
        </w:tc>
      </w:tr>
    </w:tbl>
    <w:p w14:paraId="2ABB37EA" w14:textId="77777777" w:rsidR="00636EB2" w:rsidRDefault="00636EB2" w:rsidP="00441B6F">
      <w:pPr>
        <w:pStyle w:val="Body"/>
        <w:spacing w:after="0"/>
        <w:rPr>
          <w:rFonts w:ascii="Arial" w:hAnsi="Arial" w:cs="Arial"/>
          <w:i/>
        </w:rPr>
      </w:pPr>
    </w:p>
    <w:p w14:paraId="6B5CD775"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EE3CB9" w:rsidRPr="00EE3CB9">
        <w:rPr>
          <w:rFonts w:ascii="Arial" w:hAnsi="Arial" w:cs="Arial"/>
          <w:i/>
        </w:rPr>
        <w:t>Hallervorden-Spatz</w:t>
      </w:r>
      <w:proofErr w:type="spellEnd"/>
      <w:r w:rsidR="00EE3CB9" w:rsidRPr="00EE3CB9">
        <w:rPr>
          <w:rFonts w:ascii="Arial" w:hAnsi="Arial" w:cs="Arial"/>
          <w:i/>
        </w:rPr>
        <w:t xml:space="preserve"> Disease, NBIA, pediatric neurorehabilitation, evidence-informed physiotherapy, dystonia, outcome measures, task-oriented training, birth-to-death trajectory</w:t>
      </w:r>
    </w:p>
    <w:p w14:paraId="63C2A055" w14:textId="77777777" w:rsidR="0024282C" w:rsidRDefault="0024282C" w:rsidP="00441B6F">
      <w:pPr>
        <w:pStyle w:val="Body"/>
        <w:spacing w:after="0"/>
        <w:rPr>
          <w:rFonts w:ascii="Arial" w:hAnsi="Arial" w:cs="Arial"/>
          <w:i/>
          <w:sz w:val="18"/>
        </w:rPr>
      </w:pPr>
    </w:p>
    <w:p w14:paraId="3C8DCE65" w14:textId="77777777" w:rsidR="00505F06" w:rsidRPr="00A24E7E" w:rsidRDefault="00505F06" w:rsidP="00441B6F">
      <w:pPr>
        <w:pStyle w:val="Body"/>
        <w:spacing w:after="0"/>
        <w:rPr>
          <w:rFonts w:ascii="Arial" w:hAnsi="Arial" w:cs="Arial"/>
          <w:i/>
        </w:rPr>
      </w:pPr>
    </w:p>
    <w:p w14:paraId="2733D9A7" w14:textId="2B624E9B" w:rsidR="007F7B32" w:rsidRDefault="00902823" w:rsidP="00441B6F">
      <w:pPr>
        <w:pStyle w:val="AbstHead"/>
        <w:spacing w:after="0"/>
        <w:jc w:val="both"/>
        <w:rPr>
          <w:rFonts w:ascii="Arial" w:hAnsi="Arial" w:cs="Arial"/>
        </w:rPr>
      </w:pPr>
      <w:r>
        <w:rPr>
          <w:rFonts w:ascii="Arial" w:hAnsi="Arial" w:cs="Arial"/>
        </w:rPr>
        <w:t xml:space="preserve">1. </w:t>
      </w:r>
      <w:bookmarkStart w:id="0" w:name="_Hlk208900069"/>
      <w:r w:rsidR="00B01FCD" w:rsidRPr="00FB3A86">
        <w:rPr>
          <w:rFonts w:ascii="Arial" w:hAnsi="Arial" w:cs="Arial"/>
        </w:rPr>
        <w:t>INTRODUCTION</w:t>
      </w:r>
      <w:r w:rsidR="007F7B32">
        <w:rPr>
          <w:rFonts w:ascii="Arial" w:hAnsi="Arial" w:cs="Arial"/>
        </w:rPr>
        <w:t xml:space="preserve"> </w:t>
      </w:r>
      <w:bookmarkEnd w:id="0"/>
    </w:p>
    <w:p w14:paraId="0B3190CC" w14:textId="77777777" w:rsidR="00790ADA" w:rsidRPr="00FB3A86" w:rsidRDefault="00790ADA" w:rsidP="00441B6F">
      <w:pPr>
        <w:pStyle w:val="AbstHead"/>
        <w:spacing w:after="0"/>
        <w:jc w:val="both"/>
        <w:rPr>
          <w:rFonts w:ascii="Arial" w:hAnsi="Arial" w:cs="Arial"/>
        </w:rPr>
      </w:pPr>
    </w:p>
    <w:p w14:paraId="078C8D46" w14:textId="02193556" w:rsidR="00B726FD" w:rsidRDefault="00B726FD" w:rsidP="00B726FD">
      <w:pPr>
        <w:pStyle w:val="Body"/>
        <w:spacing w:after="0"/>
        <w:rPr>
          <w:rFonts w:ascii="Arial" w:hAnsi="Arial" w:cs="Arial"/>
        </w:rPr>
      </w:pPr>
      <w:proofErr w:type="spellStart"/>
      <w:r w:rsidRPr="00B726FD">
        <w:rPr>
          <w:rFonts w:ascii="Arial" w:hAnsi="Arial" w:cs="Arial"/>
        </w:rPr>
        <w:t>Hallervorden-Spatz</w:t>
      </w:r>
      <w:proofErr w:type="spellEnd"/>
      <w:r w:rsidRPr="00B726FD">
        <w:rPr>
          <w:rFonts w:ascii="Arial" w:hAnsi="Arial" w:cs="Arial"/>
        </w:rPr>
        <w:t xml:space="preserve"> disease, now more commonly referred to as pantothenate kinase-associated neurodegeneration (PKAN), is a rare neurologic disorder that is a member of the neurodegeneration with brain iron accumulation (NBIA) diseases. The diseases previously belonged to a classification based on post-mortem findings of iron accumulation in specific brain locations, specifically the globus pallidus and substantia nigra, as indicated by several staining techniques like Perl's stain and ferritin immunostaining </w:t>
      </w:r>
      <w:r w:rsidRPr="00B726FD">
        <w:rPr>
          <w:rFonts w:ascii="Arial" w:hAnsi="Arial" w:cs="Arial"/>
          <w:vertAlign w:val="superscript"/>
        </w:rPr>
        <w:t>[1,2]</w:t>
      </w:r>
      <w:r w:rsidRPr="00B726FD">
        <w:rPr>
          <w:rFonts w:ascii="Arial" w:hAnsi="Arial" w:cs="Arial"/>
        </w:rPr>
        <w:t>.</w:t>
      </w:r>
    </w:p>
    <w:p w14:paraId="1C1FD46C" w14:textId="0C250536" w:rsidR="00CB7B32" w:rsidRDefault="00CB7B32" w:rsidP="00B726FD">
      <w:pPr>
        <w:pStyle w:val="Body"/>
        <w:spacing w:after="0"/>
        <w:rPr>
          <w:rFonts w:ascii="Arial" w:hAnsi="Arial" w:cs="Arial"/>
        </w:rPr>
      </w:pPr>
    </w:p>
    <w:p w14:paraId="0345A829" w14:textId="62FAC909" w:rsidR="00CB7B32" w:rsidRDefault="00CB7B32" w:rsidP="00CB7B32">
      <w:pPr>
        <w:pStyle w:val="Body"/>
        <w:spacing w:after="0"/>
        <w:rPr>
          <w:rFonts w:ascii="Arial" w:hAnsi="Arial" w:cs="Arial"/>
        </w:rPr>
      </w:pPr>
      <w:r w:rsidRPr="00CB7B32">
        <w:rPr>
          <w:rFonts w:ascii="Arial" w:hAnsi="Arial" w:cs="Arial"/>
        </w:rPr>
        <w:t>Inheritance of PKAN follows an autosomal recessive pattern. This means that for an individual to be affected, they must inherit two copies of the mutated gene, one from each parent</w:t>
      </w:r>
      <w:r w:rsidR="009E6526">
        <w:rPr>
          <w:rFonts w:ascii="Arial" w:hAnsi="Arial" w:cs="Arial"/>
        </w:rPr>
        <w:t xml:space="preserve"> </w:t>
      </w:r>
      <w:r w:rsidR="009E6526">
        <w:rPr>
          <w:rFonts w:ascii="Arial" w:hAnsi="Arial" w:cs="Arial"/>
          <w:vertAlign w:val="superscript"/>
        </w:rPr>
        <w:t>[3]</w:t>
      </w:r>
      <w:r w:rsidRPr="00CB7B32">
        <w:rPr>
          <w:rFonts w:ascii="Arial" w:hAnsi="Arial" w:cs="Arial"/>
        </w:rPr>
        <w:t xml:space="preserve">. When both parents are heterozygous carriers, each of their children has a 25% chance of being affected by the disease, a 50% chance of being a carrier, and a 25% chance of being neither affected nor a carrier. This inheritance pattern applies equally to both males and females. Carriers typically </w:t>
      </w:r>
      <w:r w:rsidRPr="00CB7B32">
        <w:rPr>
          <w:rFonts w:ascii="Arial" w:hAnsi="Arial" w:cs="Arial"/>
        </w:rPr>
        <w:lastRenderedPageBreak/>
        <w:t>do not exhibit symptoms because they possess one normal copy of the gene. The prevalence of the carrier state in the general population is estimated to be between 1 in 275 and 1 in 500</w:t>
      </w:r>
      <w:r w:rsidR="00A25513">
        <w:rPr>
          <w:rFonts w:ascii="Arial" w:hAnsi="Arial" w:cs="Arial"/>
        </w:rPr>
        <w:t xml:space="preserve"> </w:t>
      </w:r>
      <w:r w:rsidR="00A25513">
        <w:rPr>
          <w:rFonts w:ascii="Arial" w:hAnsi="Arial" w:cs="Arial"/>
          <w:vertAlign w:val="superscript"/>
        </w:rPr>
        <w:t>[4]</w:t>
      </w:r>
      <w:r w:rsidRPr="00CB7B32">
        <w:rPr>
          <w:rFonts w:ascii="Arial" w:hAnsi="Arial" w:cs="Arial"/>
        </w:rPr>
        <w:t>. The identification of carrier status is vital for genetic counseling, which provides at-risk families with an understanding of their risks and reproductive options, including prenatal testing or assisted reproductive technologies. More than 100 mutations in the PANK2 gene have been identified, with a notable correlation between mutation type and disease severity</w:t>
      </w:r>
      <w:r w:rsidR="00377064">
        <w:rPr>
          <w:rFonts w:ascii="Arial" w:hAnsi="Arial" w:cs="Arial"/>
        </w:rPr>
        <w:t xml:space="preserve"> </w:t>
      </w:r>
      <w:r w:rsidR="00377064">
        <w:rPr>
          <w:rFonts w:ascii="Arial" w:hAnsi="Arial" w:cs="Arial"/>
          <w:vertAlign w:val="superscript"/>
        </w:rPr>
        <w:t>[5]</w:t>
      </w:r>
      <w:r w:rsidRPr="00CB7B32">
        <w:rPr>
          <w:rFonts w:ascii="Arial" w:hAnsi="Arial" w:cs="Arial"/>
        </w:rPr>
        <w:t>. For example, early-onset, severe forms of HSD are often associated with mutations that prevent the production of any functional pantothenate kinase 2</w:t>
      </w:r>
      <w:r w:rsidR="005B0402">
        <w:rPr>
          <w:rFonts w:ascii="Arial" w:hAnsi="Arial" w:cs="Arial"/>
        </w:rPr>
        <w:t>.</w:t>
      </w:r>
    </w:p>
    <w:p w14:paraId="36145B85" w14:textId="77777777" w:rsidR="00B726FD" w:rsidRPr="00B726FD" w:rsidRDefault="00B726FD" w:rsidP="00B726FD">
      <w:pPr>
        <w:pStyle w:val="Body"/>
        <w:spacing w:after="0"/>
        <w:rPr>
          <w:rFonts w:ascii="Arial" w:hAnsi="Arial" w:cs="Arial"/>
        </w:rPr>
      </w:pPr>
    </w:p>
    <w:p w14:paraId="4607D3C9" w14:textId="04F27D4D" w:rsidR="00B726FD" w:rsidRDefault="00B726FD" w:rsidP="00B726FD">
      <w:pPr>
        <w:pStyle w:val="Body"/>
        <w:spacing w:after="0"/>
        <w:rPr>
          <w:rFonts w:ascii="Arial" w:hAnsi="Arial" w:cs="Arial"/>
        </w:rPr>
      </w:pPr>
      <w:r w:rsidRPr="00B726FD">
        <w:rPr>
          <w:rFonts w:ascii="Arial" w:hAnsi="Arial" w:cs="Arial"/>
        </w:rPr>
        <w:t xml:space="preserve">The onset of PKAN typically occurs between the ages of 5 to 15 years, with a rapid progression of symptoms leading to death within a decade of diagnosis </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Pr="00B726FD">
        <w:rPr>
          <w:rFonts w:ascii="Arial" w:hAnsi="Arial" w:cs="Arial"/>
        </w:rPr>
        <w:t xml:space="preserve">. The hallmark symptoms of NBIA, including dystonia, dysarthria, and movement disorders, reflect the progressive nature of the disease, often necessitating adjustments in treatment and the use of assistive devices as the condition advances </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009444EE">
        <w:rPr>
          <w:rFonts w:ascii="Arial" w:hAnsi="Arial" w:cs="Arial"/>
          <w:vertAlign w:val="superscript"/>
        </w:rPr>
        <w:t>2</w:t>
      </w:r>
      <w:r w:rsidRPr="00B726FD">
        <w:rPr>
          <w:rFonts w:ascii="Arial" w:hAnsi="Arial" w:cs="Arial"/>
          <w:vertAlign w:val="superscript"/>
        </w:rPr>
        <w:t>]</w:t>
      </w:r>
      <w:r w:rsidRPr="00B726FD">
        <w:rPr>
          <w:rFonts w:ascii="Arial" w:hAnsi="Arial" w:cs="Arial"/>
        </w:rPr>
        <w:t xml:space="preserve">. Pathological examinations reveal significant neuronal loss, particularly in the substantia nigra, along with widespread Lewy bodies and neurites, while iron deposition is notably localized to specific brain areas, including the globus pallidus </w:t>
      </w:r>
      <w:r w:rsidRPr="00B726FD">
        <w:rPr>
          <w:rFonts w:ascii="Arial" w:hAnsi="Arial" w:cs="Arial"/>
          <w:vertAlign w:val="superscript"/>
        </w:rPr>
        <w:t>[1,2]</w:t>
      </w:r>
      <w:r w:rsidRPr="00B726FD">
        <w:rPr>
          <w:rFonts w:ascii="Arial" w:hAnsi="Arial" w:cs="Arial"/>
        </w:rPr>
        <w:t>.</w:t>
      </w:r>
    </w:p>
    <w:p w14:paraId="35549106" w14:textId="77777777" w:rsidR="00B726FD" w:rsidRPr="00B726FD" w:rsidRDefault="00B726FD" w:rsidP="00B726FD">
      <w:pPr>
        <w:pStyle w:val="Body"/>
        <w:spacing w:after="0"/>
        <w:rPr>
          <w:rFonts w:ascii="Arial" w:hAnsi="Arial" w:cs="Arial"/>
        </w:rPr>
      </w:pPr>
    </w:p>
    <w:p w14:paraId="084C6634" w14:textId="0D9C9313" w:rsidR="00B726FD" w:rsidRDefault="00B726FD" w:rsidP="00B726FD">
      <w:pPr>
        <w:pStyle w:val="Body"/>
        <w:spacing w:after="0"/>
        <w:rPr>
          <w:rFonts w:ascii="Arial" w:hAnsi="Arial" w:cs="Arial"/>
        </w:rPr>
      </w:pPr>
      <w:r w:rsidRPr="00B726FD">
        <w:rPr>
          <w:rFonts w:ascii="Arial" w:hAnsi="Arial" w:cs="Arial"/>
        </w:rPr>
        <w:t xml:space="preserve">Discovery of the PANK2 gene in 2001 was a breakthrough in understanding PKAN since this gene causes most cases of PKAN </w:t>
      </w:r>
      <w:r w:rsidRPr="00B726FD">
        <w:rPr>
          <w:rFonts w:ascii="Arial" w:hAnsi="Arial" w:cs="Arial"/>
          <w:vertAlign w:val="superscript"/>
        </w:rPr>
        <w:t>[2,</w:t>
      </w:r>
      <w:r w:rsidR="009444EE">
        <w:rPr>
          <w:rFonts w:ascii="Arial" w:hAnsi="Arial" w:cs="Arial"/>
          <w:vertAlign w:val="superscript"/>
        </w:rPr>
        <w:t>7</w:t>
      </w:r>
      <w:r w:rsidRPr="00B726FD">
        <w:rPr>
          <w:rFonts w:ascii="Arial" w:hAnsi="Arial" w:cs="Arial"/>
          <w:vertAlign w:val="superscript"/>
        </w:rPr>
        <w:t>]</w:t>
      </w:r>
      <w:r w:rsidRPr="00B726FD">
        <w:rPr>
          <w:rFonts w:ascii="Arial" w:hAnsi="Arial" w:cs="Arial"/>
        </w:rPr>
        <w:t xml:space="preserve">. As research has progressed, other NBIA disorders due to other genetic mutations have been defined, and the categorization of these disorders has been growing, giving a better picture of their mechanism </w:t>
      </w:r>
      <w:r w:rsidRPr="00B726FD">
        <w:rPr>
          <w:rFonts w:ascii="Arial" w:hAnsi="Arial" w:cs="Arial"/>
          <w:vertAlign w:val="superscript"/>
        </w:rPr>
        <w:t>[2]</w:t>
      </w:r>
      <w:r w:rsidRPr="00B726FD">
        <w:rPr>
          <w:rFonts w:ascii="Arial" w:hAnsi="Arial" w:cs="Arial"/>
        </w:rPr>
        <w:t xml:space="preserve">. Due to the intricate interaction of genetic factors and the process of neurodegeneration, ongoing research continues to study the different aspects of PKAN and its treatment </w:t>
      </w:r>
      <w:r w:rsidRPr="00B726FD">
        <w:rPr>
          <w:rFonts w:ascii="Arial" w:hAnsi="Arial" w:cs="Arial"/>
          <w:vertAlign w:val="superscript"/>
        </w:rPr>
        <w:t>[</w:t>
      </w:r>
      <w:r w:rsidR="009444EE">
        <w:rPr>
          <w:rFonts w:ascii="Arial" w:hAnsi="Arial" w:cs="Arial"/>
          <w:vertAlign w:val="superscript"/>
        </w:rPr>
        <w:t>8</w:t>
      </w:r>
      <w:r w:rsidRPr="00B726FD">
        <w:rPr>
          <w:rFonts w:ascii="Arial" w:hAnsi="Arial" w:cs="Arial"/>
          <w:vertAlign w:val="superscript"/>
        </w:rPr>
        <w:t>]</w:t>
      </w:r>
      <w:r w:rsidRPr="00B726FD">
        <w:rPr>
          <w:rFonts w:ascii="Arial" w:hAnsi="Arial" w:cs="Arial"/>
        </w:rPr>
        <w:t>.</w:t>
      </w:r>
    </w:p>
    <w:p w14:paraId="6CB3C415" w14:textId="77777777" w:rsidR="001D54D2" w:rsidRDefault="001D54D2" w:rsidP="00B726FD">
      <w:pPr>
        <w:pStyle w:val="Body"/>
        <w:spacing w:after="0"/>
        <w:rPr>
          <w:rFonts w:ascii="Arial" w:hAnsi="Arial" w:cs="Arial"/>
        </w:rPr>
      </w:pPr>
    </w:p>
    <w:p w14:paraId="6C1DC855" w14:textId="0BC67A3F" w:rsidR="001D54D2" w:rsidRPr="001D54D2" w:rsidRDefault="001D54D2" w:rsidP="00B726FD">
      <w:pPr>
        <w:pStyle w:val="Body"/>
        <w:spacing w:after="0"/>
        <w:rPr>
          <w:rFonts w:ascii="Arial" w:hAnsi="Arial" w:cs="Arial"/>
          <w:b/>
          <w:bCs/>
        </w:rPr>
      </w:pPr>
      <w:r w:rsidRPr="001D54D2">
        <w:rPr>
          <w:rFonts w:ascii="Arial" w:hAnsi="Arial" w:cs="Arial"/>
          <w:b/>
          <w:bCs/>
        </w:rPr>
        <w:t xml:space="preserve">CASE PRESENTATION </w:t>
      </w:r>
    </w:p>
    <w:p w14:paraId="75F99641" w14:textId="77777777" w:rsidR="00790ADA" w:rsidRPr="00FB3A86" w:rsidRDefault="00790ADA" w:rsidP="00441B6F">
      <w:pPr>
        <w:pStyle w:val="AbstHead"/>
        <w:spacing w:after="0"/>
        <w:jc w:val="both"/>
        <w:rPr>
          <w:rFonts w:ascii="Arial" w:hAnsi="Arial" w:cs="Arial"/>
        </w:rPr>
      </w:pPr>
    </w:p>
    <w:p w14:paraId="030632C1" w14:textId="77777777" w:rsidR="00B726FD" w:rsidRDefault="00B726FD" w:rsidP="00B726FD">
      <w:pPr>
        <w:pStyle w:val="Body"/>
        <w:spacing w:after="0"/>
        <w:rPr>
          <w:rFonts w:ascii="Arial" w:hAnsi="Arial" w:cs="Arial"/>
          <w:b/>
          <w:bCs/>
          <w:sz w:val="22"/>
          <w:szCs w:val="22"/>
        </w:rPr>
      </w:pPr>
      <w:r w:rsidRPr="00B726FD">
        <w:rPr>
          <w:rFonts w:ascii="Arial" w:hAnsi="Arial" w:cs="Arial"/>
          <w:b/>
          <w:bCs/>
          <w:sz w:val="22"/>
          <w:szCs w:val="22"/>
        </w:rPr>
        <w:t>2. PATIENT INFORMATION:</w:t>
      </w:r>
    </w:p>
    <w:p w14:paraId="1FD5C266" w14:textId="77777777" w:rsidR="00B726FD" w:rsidRPr="00B726FD" w:rsidRDefault="00B726FD" w:rsidP="00B726FD">
      <w:pPr>
        <w:pStyle w:val="Body"/>
        <w:spacing w:after="0"/>
        <w:rPr>
          <w:rFonts w:ascii="Arial" w:hAnsi="Arial" w:cs="Arial"/>
          <w:b/>
          <w:bCs/>
          <w:sz w:val="22"/>
          <w:szCs w:val="22"/>
        </w:rPr>
      </w:pPr>
    </w:p>
    <w:p w14:paraId="668F83F1" w14:textId="77777777" w:rsidR="00B726FD" w:rsidRDefault="00B726FD" w:rsidP="00B726FD">
      <w:pPr>
        <w:pStyle w:val="Body"/>
        <w:spacing w:after="0"/>
        <w:rPr>
          <w:rFonts w:ascii="Arial" w:hAnsi="Arial" w:cs="Arial"/>
        </w:rPr>
      </w:pPr>
      <w:r w:rsidRPr="00B726FD">
        <w:rPr>
          <w:rFonts w:ascii="Arial" w:hAnsi="Arial" w:cs="Arial"/>
        </w:rPr>
        <w:t xml:space="preserve">An 11-year-old girl with </w:t>
      </w:r>
      <w:proofErr w:type="spellStart"/>
      <w:r w:rsidRPr="00B726FD">
        <w:rPr>
          <w:rFonts w:ascii="Arial" w:hAnsi="Arial" w:cs="Arial"/>
        </w:rPr>
        <w:t>Hallervorden-Spatz</w:t>
      </w:r>
      <w:proofErr w:type="spellEnd"/>
      <w:r w:rsidRPr="00B726FD">
        <w:rPr>
          <w:rFonts w:ascii="Arial" w:hAnsi="Arial" w:cs="Arial"/>
        </w:rPr>
        <w:t xml:space="preserve"> Disease (HSD), an uncommon neurodegenerative disorder belonging to neurodegeneration with brain iron accumulation (NBIA), was referred to our pediatric neurorehabilitation unit. She was completely dependent on all activities of daily living (ADLs) on presentation and had marked global impairment of motor function with loss of postural control and motor coordination. Written informed consent was taken from the patient's parents to publish clinical features of the patient.</w:t>
      </w:r>
      <w:r w:rsidRPr="00B726FD">
        <w:rPr>
          <w:rFonts w:ascii="Arial" w:hAnsi="Arial" w:cs="Arial"/>
        </w:rPr>
        <w:br/>
        <w:t>She had a history of feeding difficulties and delayed motor milestones in childhood. Toe-walking at 11 months was later recognized as an early feature of extrapyramidal dysfunction. Dystonic posturing, motor regression, and sparse language development were seen by the age of 2 years. Spasticity worsened, choreoathetoid movements, scoliosis, and fixed foot deformities ensued with inexorable decline. MRI at 5 years (Figure 1) revealed the typical 'eye-of-the-tiger' sign, and genetic analysis revealed HSD with a homozygous mutation and both parents were heterozygous carriers</w:t>
      </w:r>
      <w:r>
        <w:rPr>
          <w:rFonts w:ascii="Arial" w:hAnsi="Arial" w:cs="Arial"/>
        </w:rPr>
        <w:t>.</w:t>
      </w:r>
    </w:p>
    <w:p w14:paraId="2AC5B0EF" w14:textId="77777777" w:rsidR="00B726FD" w:rsidRPr="00B726FD" w:rsidRDefault="00B726FD" w:rsidP="00B726FD">
      <w:pPr>
        <w:pStyle w:val="Body"/>
        <w:spacing w:after="0"/>
        <w:rPr>
          <w:rFonts w:ascii="Arial" w:hAnsi="Arial" w:cs="Arial"/>
        </w:rPr>
      </w:pPr>
    </w:p>
    <w:p w14:paraId="7D218861" w14:textId="3BA2F98C" w:rsidR="00B726FD" w:rsidRDefault="00B726FD" w:rsidP="00B61391">
      <w:pPr>
        <w:pStyle w:val="Body"/>
        <w:spacing w:after="0"/>
        <w:jc w:val="center"/>
        <w:rPr>
          <w:rFonts w:ascii="Arial" w:hAnsi="Arial" w:cs="Arial"/>
        </w:rPr>
      </w:pPr>
      <w:r w:rsidRPr="00B726FD">
        <w:rPr>
          <w:rFonts w:ascii="Arial" w:hAnsi="Arial" w:cs="Arial"/>
        </w:rPr>
        <w:t>.</w:t>
      </w:r>
      <w:r w:rsidRPr="00B726FD">
        <w:rPr>
          <w:rFonts w:ascii="Arial" w:hAnsi="Arial" w:cs="Arial"/>
          <w:noProof/>
        </w:rPr>
        <w:drawing>
          <wp:inline distT="0" distB="0" distL="0" distR="0" wp14:anchorId="32E98660" wp14:editId="7A26BC75">
            <wp:extent cx="2895600" cy="28587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40103-WA000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2675" cy="2865691"/>
                    </a:xfrm>
                    <a:prstGeom prst="rect">
                      <a:avLst/>
                    </a:prstGeom>
                  </pic:spPr>
                </pic:pic>
              </a:graphicData>
            </a:graphic>
          </wp:inline>
        </w:drawing>
      </w:r>
    </w:p>
    <w:p w14:paraId="764C3F95" w14:textId="77777777" w:rsidR="006F6DE6" w:rsidRPr="00B726FD" w:rsidRDefault="006F6DE6" w:rsidP="00B726FD">
      <w:pPr>
        <w:pStyle w:val="Body"/>
        <w:spacing w:after="0"/>
        <w:rPr>
          <w:rFonts w:ascii="Arial" w:hAnsi="Arial" w:cs="Arial"/>
        </w:rPr>
      </w:pPr>
    </w:p>
    <w:p w14:paraId="0A79DCFD" w14:textId="6CD50999" w:rsidR="00B726FD" w:rsidRDefault="00B726FD" w:rsidP="00B726FD">
      <w:pPr>
        <w:pStyle w:val="Body"/>
        <w:spacing w:after="0"/>
        <w:rPr>
          <w:rFonts w:ascii="Arial" w:hAnsi="Arial" w:cs="Arial"/>
        </w:rPr>
      </w:pPr>
      <w:r w:rsidRPr="00B726FD">
        <w:rPr>
          <w:rFonts w:ascii="Arial" w:hAnsi="Arial" w:cs="Arial"/>
        </w:rPr>
        <w:t>(Figure 1: The "eye of the tiger" sign, a characteristic feature of HSD as seen on T2-weighted magnetic resonance imaging (MRI) of the brain, particularly in the globus pallidus.)</w:t>
      </w:r>
    </w:p>
    <w:p w14:paraId="43DE20F4" w14:textId="77777777" w:rsidR="006F6DE6" w:rsidRPr="00B726FD" w:rsidRDefault="006F6DE6" w:rsidP="00B726FD">
      <w:pPr>
        <w:pStyle w:val="Body"/>
        <w:spacing w:after="0"/>
        <w:rPr>
          <w:rFonts w:ascii="Arial" w:hAnsi="Arial" w:cs="Arial"/>
        </w:rPr>
      </w:pPr>
    </w:p>
    <w:p w14:paraId="001F912F" w14:textId="77777777" w:rsidR="00B726FD" w:rsidRDefault="00B726FD" w:rsidP="00B726FD">
      <w:pPr>
        <w:pStyle w:val="Body"/>
        <w:spacing w:after="0"/>
        <w:rPr>
          <w:rFonts w:ascii="Arial" w:hAnsi="Arial" w:cs="Arial"/>
        </w:rPr>
      </w:pPr>
      <w:r w:rsidRPr="00B726FD">
        <w:rPr>
          <w:rFonts w:ascii="Arial" w:hAnsi="Arial" w:cs="Arial"/>
        </w:rPr>
        <w:lastRenderedPageBreak/>
        <w:t xml:space="preserve">She had received repeated treatment prior to referral: pharmacological treatment consisted of baclofen (twice daily), tetrabenazine (25 mg per day), and </w:t>
      </w:r>
      <w:proofErr w:type="spellStart"/>
      <w:r w:rsidRPr="00B726FD">
        <w:rPr>
          <w:rFonts w:ascii="Arial" w:hAnsi="Arial" w:cs="Arial"/>
        </w:rPr>
        <w:t>mazetol</w:t>
      </w:r>
      <w:proofErr w:type="spellEnd"/>
      <w:r w:rsidRPr="00B726FD">
        <w:rPr>
          <w:rFonts w:ascii="Arial" w:hAnsi="Arial" w:cs="Arial"/>
        </w:rPr>
        <w:t xml:space="preserve"> (200 mg), besides Ayurvedic treatment like </w:t>
      </w:r>
      <w:proofErr w:type="spellStart"/>
      <w:r w:rsidRPr="00B726FD">
        <w:rPr>
          <w:rFonts w:ascii="Arial" w:hAnsi="Arial" w:cs="Arial"/>
        </w:rPr>
        <w:t>nasya</w:t>
      </w:r>
      <w:proofErr w:type="spellEnd"/>
      <w:r w:rsidRPr="00B726FD">
        <w:rPr>
          <w:rFonts w:ascii="Arial" w:hAnsi="Arial" w:cs="Arial"/>
        </w:rPr>
        <w:t xml:space="preserve">, panchakarma, </w:t>
      </w:r>
      <w:proofErr w:type="spellStart"/>
      <w:r w:rsidRPr="00B726FD">
        <w:rPr>
          <w:rFonts w:ascii="Arial" w:hAnsi="Arial" w:cs="Arial"/>
        </w:rPr>
        <w:t>shirodhara</w:t>
      </w:r>
      <w:proofErr w:type="spellEnd"/>
      <w:r w:rsidRPr="00B726FD">
        <w:rPr>
          <w:rFonts w:ascii="Arial" w:hAnsi="Arial" w:cs="Arial"/>
        </w:rPr>
        <w:t>, and rice therapy. Physiotherapy was irregular and haphazard.</w:t>
      </w:r>
    </w:p>
    <w:p w14:paraId="56115F30" w14:textId="77777777" w:rsidR="00B726FD" w:rsidRPr="00B726FD" w:rsidRDefault="00B726FD" w:rsidP="00B726FD">
      <w:pPr>
        <w:pStyle w:val="Body"/>
        <w:spacing w:after="0"/>
        <w:rPr>
          <w:rFonts w:ascii="Arial" w:hAnsi="Arial" w:cs="Arial"/>
        </w:rPr>
      </w:pPr>
    </w:p>
    <w:p w14:paraId="737D873B" w14:textId="77777777" w:rsidR="00B726FD" w:rsidRDefault="00B726FD" w:rsidP="00B726FD">
      <w:pPr>
        <w:pStyle w:val="Body"/>
        <w:spacing w:after="0"/>
        <w:rPr>
          <w:rFonts w:ascii="Arial" w:hAnsi="Arial" w:cs="Arial"/>
        </w:rPr>
      </w:pPr>
      <w:r w:rsidRPr="00B726FD">
        <w:rPr>
          <w:rFonts w:ascii="Arial" w:hAnsi="Arial" w:cs="Arial"/>
        </w:rPr>
        <w:t>At our facility, thorough assessment with standardized outcome measures determined her baseline functioning (see Table 1). Evidence-based interventions including task-oriented training, breathing, joint range maintenance, and orthotic support were instituted (see Table 2). In spite of intense multidisciplinary treatment, she worsened.</w:t>
      </w:r>
    </w:p>
    <w:p w14:paraId="31B9E602" w14:textId="77777777" w:rsidR="00B726FD" w:rsidRPr="00B726FD" w:rsidRDefault="00B726FD" w:rsidP="00B726FD">
      <w:pPr>
        <w:pStyle w:val="Body"/>
        <w:spacing w:after="0"/>
        <w:rPr>
          <w:rFonts w:ascii="Arial" w:hAnsi="Arial" w:cs="Arial"/>
        </w:rPr>
      </w:pPr>
    </w:p>
    <w:tbl>
      <w:tblPr>
        <w:tblStyle w:val="TableGrid"/>
        <w:tblW w:w="0" w:type="auto"/>
        <w:tblLook w:val="04A0" w:firstRow="1" w:lastRow="0" w:firstColumn="1" w:lastColumn="0" w:noHBand="0" w:noVBand="1"/>
      </w:tblPr>
      <w:tblGrid>
        <w:gridCol w:w="2754"/>
        <w:gridCol w:w="163"/>
        <w:gridCol w:w="2212"/>
        <w:gridCol w:w="379"/>
        <w:gridCol w:w="704"/>
        <w:gridCol w:w="2050"/>
        <w:gridCol w:w="2754"/>
      </w:tblGrid>
      <w:tr w:rsidR="00B726FD" w:rsidRPr="00B726FD" w14:paraId="461772EF" w14:textId="77777777" w:rsidTr="00975A14">
        <w:trPr>
          <w:trHeight w:val="661"/>
        </w:trPr>
        <w:tc>
          <w:tcPr>
            <w:tcW w:w="0" w:type="auto"/>
            <w:gridSpan w:val="7"/>
          </w:tcPr>
          <w:p w14:paraId="43B9B311"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Table 1: Outcome measures</w:t>
            </w:r>
          </w:p>
        </w:tc>
      </w:tr>
      <w:tr w:rsidR="00B726FD" w:rsidRPr="00B726FD" w14:paraId="69617750" w14:textId="77777777" w:rsidTr="00614DA6">
        <w:trPr>
          <w:trHeight w:val="661"/>
        </w:trPr>
        <w:tc>
          <w:tcPr>
            <w:tcW w:w="2917" w:type="dxa"/>
            <w:gridSpan w:val="2"/>
          </w:tcPr>
          <w:p w14:paraId="0CA119E9"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Outcome measure: Function specific</w:t>
            </w:r>
          </w:p>
        </w:tc>
        <w:tc>
          <w:tcPr>
            <w:tcW w:w="2212" w:type="dxa"/>
          </w:tcPr>
          <w:p w14:paraId="1B6BC661"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Components:</w:t>
            </w:r>
          </w:p>
        </w:tc>
        <w:tc>
          <w:tcPr>
            <w:tcW w:w="1083" w:type="dxa"/>
            <w:gridSpan w:val="2"/>
          </w:tcPr>
          <w:p w14:paraId="10A63CB3"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Scoring:</w:t>
            </w:r>
          </w:p>
        </w:tc>
        <w:tc>
          <w:tcPr>
            <w:tcW w:w="4804" w:type="dxa"/>
            <w:gridSpan w:val="2"/>
          </w:tcPr>
          <w:p w14:paraId="5473611D"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Interpretation:</w:t>
            </w:r>
          </w:p>
        </w:tc>
      </w:tr>
      <w:tr w:rsidR="00B726FD" w:rsidRPr="00B726FD" w14:paraId="744C78FD" w14:textId="77777777" w:rsidTr="00614DA6">
        <w:trPr>
          <w:trHeight w:val="661"/>
        </w:trPr>
        <w:tc>
          <w:tcPr>
            <w:tcW w:w="2917" w:type="dxa"/>
            <w:gridSpan w:val="2"/>
            <w:vMerge w:val="restart"/>
          </w:tcPr>
          <w:p w14:paraId="5B2B39D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Functional Independence Measure for Children (</w:t>
            </w:r>
            <w:proofErr w:type="spellStart"/>
            <w:r w:rsidRPr="00B726FD">
              <w:rPr>
                <w:rFonts w:ascii="Arial" w:hAnsi="Arial" w:cs="Arial"/>
                <w:sz w:val="20"/>
                <w:szCs w:val="20"/>
              </w:rPr>
              <w:t>WeeFIM</w:t>
            </w:r>
            <w:proofErr w:type="spellEnd"/>
            <w:r w:rsidRPr="00B726FD">
              <w:rPr>
                <w:rFonts w:ascii="Arial" w:hAnsi="Arial" w:cs="Arial"/>
                <w:sz w:val="20"/>
                <w:szCs w:val="20"/>
              </w:rPr>
              <w:t>)</w:t>
            </w:r>
          </w:p>
        </w:tc>
        <w:tc>
          <w:tcPr>
            <w:tcW w:w="2212" w:type="dxa"/>
          </w:tcPr>
          <w:p w14:paraId="2456B7A9"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Selfcare</w:t>
            </w:r>
          </w:p>
        </w:tc>
        <w:tc>
          <w:tcPr>
            <w:tcW w:w="1083" w:type="dxa"/>
            <w:gridSpan w:val="2"/>
          </w:tcPr>
          <w:p w14:paraId="2DD09DF8"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8/56</w:t>
            </w:r>
          </w:p>
        </w:tc>
        <w:tc>
          <w:tcPr>
            <w:tcW w:w="4804" w:type="dxa"/>
            <w:gridSpan w:val="2"/>
            <w:vMerge w:val="restart"/>
          </w:tcPr>
          <w:p w14:paraId="3749093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The patient required maximal to total assistance in all domains, including feeding, grooming, bathing, toileting, and mobility.</w:t>
            </w:r>
          </w:p>
          <w:p w14:paraId="07F244F7" w14:textId="77777777" w:rsidR="00B726FD" w:rsidRPr="00B726FD" w:rsidRDefault="00B726FD" w:rsidP="00B726FD">
            <w:pPr>
              <w:pStyle w:val="Body"/>
              <w:rPr>
                <w:rFonts w:ascii="Arial" w:hAnsi="Arial" w:cs="Arial"/>
                <w:sz w:val="20"/>
                <w:szCs w:val="20"/>
              </w:rPr>
            </w:pPr>
          </w:p>
        </w:tc>
      </w:tr>
      <w:tr w:rsidR="00B726FD" w:rsidRPr="00B726FD" w14:paraId="09F4D844" w14:textId="77777777" w:rsidTr="00614DA6">
        <w:trPr>
          <w:trHeight w:val="614"/>
        </w:trPr>
        <w:tc>
          <w:tcPr>
            <w:tcW w:w="2917" w:type="dxa"/>
            <w:gridSpan w:val="2"/>
            <w:vMerge/>
          </w:tcPr>
          <w:p w14:paraId="34CA8A21" w14:textId="77777777" w:rsidR="00B726FD" w:rsidRPr="00B726FD" w:rsidRDefault="00B726FD" w:rsidP="00B726FD">
            <w:pPr>
              <w:pStyle w:val="Body"/>
              <w:rPr>
                <w:rFonts w:ascii="Arial" w:hAnsi="Arial" w:cs="Arial"/>
                <w:sz w:val="20"/>
                <w:szCs w:val="20"/>
              </w:rPr>
            </w:pPr>
          </w:p>
        </w:tc>
        <w:tc>
          <w:tcPr>
            <w:tcW w:w="2212" w:type="dxa"/>
          </w:tcPr>
          <w:p w14:paraId="5921F685"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Mobility</w:t>
            </w:r>
          </w:p>
        </w:tc>
        <w:tc>
          <w:tcPr>
            <w:tcW w:w="1083" w:type="dxa"/>
            <w:gridSpan w:val="2"/>
          </w:tcPr>
          <w:p w14:paraId="06FB20B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5/35</w:t>
            </w:r>
          </w:p>
        </w:tc>
        <w:tc>
          <w:tcPr>
            <w:tcW w:w="4804" w:type="dxa"/>
            <w:gridSpan w:val="2"/>
            <w:vMerge/>
          </w:tcPr>
          <w:p w14:paraId="6B21C7A4" w14:textId="77777777" w:rsidR="00B726FD" w:rsidRPr="00B726FD" w:rsidRDefault="00B726FD" w:rsidP="00B726FD">
            <w:pPr>
              <w:pStyle w:val="Body"/>
              <w:rPr>
                <w:rFonts w:ascii="Arial" w:hAnsi="Arial" w:cs="Arial"/>
                <w:sz w:val="20"/>
                <w:szCs w:val="20"/>
              </w:rPr>
            </w:pPr>
          </w:p>
        </w:tc>
      </w:tr>
      <w:tr w:rsidR="00B726FD" w:rsidRPr="00B726FD" w14:paraId="01D8574E" w14:textId="77777777" w:rsidTr="00614DA6">
        <w:trPr>
          <w:trHeight w:val="661"/>
        </w:trPr>
        <w:tc>
          <w:tcPr>
            <w:tcW w:w="2917" w:type="dxa"/>
            <w:gridSpan w:val="2"/>
            <w:vMerge/>
          </w:tcPr>
          <w:p w14:paraId="11195B95" w14:textId="77777777" w:rsidR="00B726FD" w:rsidRPr="00B726FD" w:rsidRDefault="00B726FD" w:rsidP="00B726FD">
            <w:pPr>
              <w:pStyle w:val="Body"/>
              <w:rPr>
                <w:rFonts w:ascii="Arial" w:hAnsi="Arial" w:cs="Arial"/>
                <w:sz w:val="20"/>
                <w:szCs w:val="20"/>
              </w:rPr>
            </w:pPr>
          </w:p>
        </w:tc>
        <w:tc>
          <w:tcPr>
            <w:tcW w:w="2212" w:type="dxa"/>
          </w:tcPr>
          <w:p w14:paraId="14DB236C"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Cognition</w:t>
            </w:r>
          </w:p>
        </w:tc>
        <w:tc>
          <w:tcPr>
            <w:tcW w:w="1083" w:type="dxa"/>
            <w:gridSpan w:val="2"/>
          </w:tcPr>
          <w:p w14:paraId="35EA93DE"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31/35</w:t>
            </w:r>
          </w:p>
        </w:tc>
        <w:tc>
          <w:tcPr>
            <w:tcW w:w="4804" w:type="dxa"/>
            <w:gridSpan w:val="2"/>
            <w:vMerge/>
          </w:tcPr>
          <w:p w14:paraId="033776E1" w14:textId="77777777" w:rsidR="00B726FD" w:rsidRPr="00B726FD" w:rsidRDefault="00B726FD" w:rsidP="00B726FD">
            <w:pPr>
              <w:pStyle w:val="Body"/>
              <w:rPr>
                <w:rFonts w:ascii="Arial" w:hAnsi="Arial" w:cs="Arial"/>
                <w:sz w:val="20"/>
                <w:szCs w:val="20"/>
              </w:rPr>
            </w:pPr>
          </w:p>
        </w:tc>
      </w:tr>
      <w:tr w:rsidR="00B726FD" w:rsidRPr="00B726FD" w14:paraId="6018E570" w14:textId="77777777" w:rsidTr="00614DA6">
        <w:trPr>
          <w:trHeight w:val="614"/>
        </w:trPr>
        <w:tc>
          <w:tcPr>
            <w:tcW w:w="2917" w:type="dxa"/>
            <w:gridSpan w:val="2"/>
            <w:vMerge w:val="restart"/>
          </w:tcPr>
          <w:p w14:paraId="6399FC57"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Gross Motor Function Measure (GMFM - 88)</w:t>
            </w:r>
          </w:p>
        </w:tc>
        <w:tc>
          <w:tcPr>
            <w:tcW w:w="2212" w:type="dxa"/>
          </w:tcPr>
          <w:p w14:paraId="25727E8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Lying and rolling</w:t>
            </w:r>
          </w:p>
        </w:tc>
        <w:tc>
          <w:tcPr>
            <w:tcW w:w="1083" w:type="dxa"/>
            <w:gridSpan w:val="2"/>
          </w:tcPr>
          <w:p w14:paraId="346BD21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52%</w:t>
            </w:r>
          </w:p>
        </w:tc>
        <w:tc>
          <w:tcPr>
            <w:tcW w:w="4804" w:type="dxa"/>
            <w:gridSpan w:val="2"/>
            <w:vMerge w:val="restart"/>
          </w:tcPr>
          <w:p w14:paraId="27676AD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Limited movements were seen in dimension A (lying and rolling) and B (sitting), suggesting retained reflexive but not purposeful control. Dimensions D (standing) and E (walking, running, and jumping) showed near-zero scores, indicating total functional immobility.</w:t>
            </w:r>
          </w:p>
          <w:p w14:paraId="457978B7" w14:textId="77777777" w:rsidR="00B726FD" w:rsidRPr="00B726FD" w:rsidRDefault="00B726FD" w:rsidP="00B726FD">
            <w:pPr>
              <w:pStyle w:val="Body"/>
              <w:rPr>
                <w:rFonts w:ascii="Arial" w:hAnsi="Arial" w:cs="Arial"/>
                <w:sz w:val="20"/>
                <w:szCs w:val="20"/>
              </w:rPr>
            </w:pPr>
          </w:p>
        </w:tc>
      </w:tr>
      <w:tr w:rsidR="00B726FD" w:rsidRPr="00B726FD" w14:paraId="6354D32E" w14:textId="77777777" w:rsidTr="00614DA6">
        <w:trPr>
          <w:trHeight w:val="614"/>
        </w:trPr>
        <w:tc>
          <w:tcPr>
            <w:tcW w:w="2917" w:type="dxa"/>
            <w:gridSpan w:val="2"/>
            <w:vMerge/>
          </w:tcPr>
          <w:p w14:paraId="3626D52D" w14:textId="77777777" w:rsidR="00B726FD" w:rsidRPr="00B726FD" w:rsidRDefault="00B726FD" w:rsidP="00B726FD">
            <w:pPr>
              <w:pStyle w:val="Body"/>
              <w:rPr>
                <w:rFonts w:ascii="Arial" w:hAnsi="Arial" w:cs="Arial"/>
                <w:sz w:val="20"/>
                <w:szCs w:val="20"/>
              </w:rPr>
            </w:pPr>
          </w:p>
        </w:tc>
        <w:tc>
          <w:tcPr>
            <w:tcW w:w="2212" w:type="dxa"/>
          </w:tcPr>
          <w:p w14:paraId="0ACCF0E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Sitting</w:t>
            </w:r>
          </w:p>
        </w:tc>
        <w:tc>
          <w:tcPr>
            <w:tcW w:w="1083" w:type="dxa"/>
            <w:gridSpan w:val="2"/>
          </w:tcPr>
          <w:p w14:paraId="73416676"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26%</w:t>
            </w:r>
          </w:p>
        </w:tc>
        <w:tc>
          <w:tcPr>
            <w:tcW w:w="4804" w:type="dxa"/>
            <w:gridSpan w:val="2"/>
            <w:vMerge/>
          </w:tcPr>
          <w:p w14:paraId="2F04B9B3" w14:textId="77777777" w:rsidR="00B726FD" w:rsidRPr="00B726FD" w:rsidRDefault="00B726FD" w:rsidP="00B726FD">
            <w:pPr>
              <w:pStyle w:val="Body"/>
              <w:rPr>
                <w:rFonts w:ascii="Arial" w:hAnsi="Arial" w:cs="Arial"/>
                <w:sz w:val="20"/>
                <w:szCs w:val="20"/>
              </w:rPr>
            </w:pPr>
          </w:p>
        </w:tc>
      </w:tr>
      <w:tr w:rsidR="00B726FD" w:rsidRPr="00B726FD" w14:paraId="1D68DDDE" w14:textId="77777777" w:rsidTr="00614DA6">
        <w:trPr>
          <w:trHeight w:val="614"/>
        </w:trPr>
        <w:tc>
          <w:tcPr>
            <w:tcW w:w="2917" w:type="dxa"/>
            <w:gridSpan w:val="2"/>
            <w:vMerge/>
          </w:tcPr>
          <w:p w14:paraId="48366CAB" w14:textId="77777777" w:rsidR="00B726FD" w:rsidRPr="00B726FD" w:rsidRDefault="00B726FD" w:rsidP="00B726FD">
            <w:pPr>
              <w:pStyle w:val="Body"/>
              <w:rPr>
                <w:rFonts w:ascii="Arial" w:hAnsi="Arial" w:cs="Arial"/>
                <w:sz w:val="20"/>
                <w:szCs w:val="20"/>
              </w:rPr>
            </w:pPr>
          </w:p>
        </w:tc>
        <w:tc>
          <w:tcPr>
            <w:tcW w:w="2212" w:type="dxa"/>
          </w:tcPr>
          <w:p w14:paraId="6AF3B79B"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Crawling, Kneeling</w:t>
            </w:r>
          </w:p>
        </w:tc>
        <w:tc>
          <w:tcPr>
            <w:tcW w:w="1083" w:type="dxa"/>
            <w:gridSpan w:val="2"/>
          </w:tcPr>
          <w:p w14:paraId="22D7AD32"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7%</w:t>
            </w:r>
          </w:p>
        </w:tc>
        <w:tc>
          <w:tcPr>
            <w:tcW w:w="4804" w:type="dxa"/>
            <w:gridSpan w:val="2"/>
            <w:vMerge/>
          </w:tcPr>
          <w:p w14:paraId="471C229E" w14:textId="77777777" w:rsidR="00B726FD" w:rsidRPr="00B726FD" w:rsidRDefault="00B726FD" w:rsidP="00B726FD">
            <w:pPr>
              <w:pStyle w:val="Body"/>
              <w:rPr>
                <w:rFonts w:ascii="Arial" w:hAnsi="Arial" w:cs="Arial"/>
                <w:sz w:val="20"/>
                <w:szCs w:val="20"/>
              </w:rPr>
            </w:pPr>
          </w:p>
        </w:tc>
      </w:tr>
      <w:tr w:rsidR="00B726FD" w:rsidRPr="00B726FD" w14:paraId="775983AF" w14:textId="77777777" w:rsidTr="00614DA6">
        <w:trPr>
          <w:trHeight w:val="614"/>
        </w:trPr>
        <w:tc>
          <w:tcPr>
            <w:tcW w:w="2917" w:type="dxa"/>
            <w:gridSpan w:val="2"/>
            <w:vMerge/>
          </w:tcPr>
          <w:p w14:paraId="5B1458A6" w14:textId="77777777" w:rsidR="00B726FD" w:rsidRPr="00B726FD" w:rsidRDefault="00B726FD" w:rsidP="00B726FD">
            <w:pPr>
              <w:pStyle w:val="Body"/>
              <w:rPr>
                <w:rFonts w:ascii="Arial" w:hAnsi="Arial" w:cs="Arial"/>
                <w:sz w:val="20"/>
                <w:szCs w:val="20"/>
              </w:rPr>
            </w:pPr>
          </w:p>
        </w:tc>
        <w:tc>
          <w:tcPr>
            <w:tcW w:w="2212" w:type="dxa"/>
          </w:tcPr>
          <w:p w14:paraId="3699D1B0"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Total</w:t>
            </w:r>
          </w:p>
        </w:tc>
        <w:tc>
          <w:tcPr>
            <w:tcW w:w="1083" w:type="dxa"/>
            <w:gridSpan w:val="2"/>
          </w:tcPr>
          <w:p w14:paraId="460E30AB"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28%</w:t>
            </w:r>
          </w:p>
        </w:tc>
        <w:tc>
          <w:tcPr>
            <w:tcW w:w="4804" w:type="dxa"/>
            <w:gridSpan w:val="2"/>
            <w:vMerge/>
          </w:tcPr>
          <w:p w14:paraId="296DE0E5" w14:textId="77777777" w:rsidR="00B726FD" w:rsidRPr="00B726FD" w:rsidRDefault="00B726FD" w:rsidP="00B726FD">
            <w:pPr>
              <w:pStyle w:val="Body"/>
              <w:rPr>
                <w:rFonts w:ascii="Arial" w:hAnsi="Arial" w:cs="Arial"/>
                <w:sz w:val="20"/>
                <w:szCs w:val="20"/>
              </w:rPr>
            </w:pPr>
          </w:p>
        </w:tc>
      </w:tr>
      <w:tr w:rsidR="00B726FD" w:rsidRPr="00B726FD" w14:paraId="32CC9612" w14:textId="77777777" w:rsidTr="00614DA6">
        <w:trPr>
          <w:trHeight w:val="614"/>
        </w:trPr>
        <w:tc>
          <w:tcPr>
            <w:tcW w:w="2917" w:type="dxa"/>
            <w:gridSpan w:val="2"/>
          </w:tcPr>
          <w:p w14:paraId="401DD041"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Manual Ability Classification System Level</w:t>
            </w:r>
          </w:p>
        </w:tc>
        <w:tc>
          <w:tcPr>
            <w:tcW w:w="3295" w:type="dxa"/>
            <w:gridSpan w:val="3"/>
          </w:tcPr>
          <w:p w14:paraId="52CB14DF"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Level IV</w:t>
            </w:r>
          </w:p>
        </w:tc>
        <w:tc>
          <w:tcPr>
            <w:tcW w:w="4804" w:type="dxa"/>
            <w:gridSpan w:val="2"/>
          </w:tcPr>
          <w:p w14:paraId="53EC7EE2"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 xml:space="preserve">Handles a limited selection of easily managed objects in adapted situations – </w:t>
            </w:r>
            <w:r w:rsidRPr="00B726FD">
              <w:rPr>
                <w:rFonts w:ascii="Arial" w:hAnsi="Arial" w:cs="Arial"/>
                <w:sz w:val="20"/>
                <w:szCs w:val="20"/>
              </w:rPr>
              <w:t>Performs parts of activities with effort and with limited success. Requires continuous support and assistance and/or adapted equipment, for even partial achievement of the activity.</w:t>
            </w:r>
          </w:p>
        </w:tc>
      </w:tr>
      <w:tr w:rsidR="00B726FD" w:rsidRPr="00B726FD" w14:paraId="04E4DC25" w14:textId="77777777" w:rsidTr="00614DA6">
        <w:trPr>
          <w:trHeight w:val="614"/>
        </w:trPr>
        <w:tc>
          <w:tcPr>
            <w:tcW w:w="2917" w:type="dxa"/>
            <w:gridSpan w:val="2"/>
          </w:tcPr>
          <w:p w14:paraId="6DA5EE94"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Communication Function Classification System Level</w:t>
            </w:r>
          </w:p>
        </w:tc>
        <w:tc>
          <w:tcPr>
            <w:tcW w:w="3295" w:type="dxa"/>
            <w:gridSpan w:val="3"/>
          </w:tcPr>
          <w:p w14:paraId="11BE8CE5" w14:textId="77777777" w:rsidR="00B726FD" w:rsidRPr="00B726FD" w:rsidRDefault="00B726FD" w:rsidP="00B726FD">
            <w:pPr>
              <w:pStyle w:val="Body"/>
              <w:rPr>
                <w:rFonts w:ascii="Arial" w:hAnsi="Arial" w:cs="Arial"/>
                <w:sz w:val="20"/>
                <w:szCs w:val="20"/>
              </w:rPr>
            </w:pPr>
            <w:r w:rsidRPr="00B726FD">
              <w:rPr>
                <w:rFonts w:ascii="Arial" w:hAnsi="Arial" w:cs="Arial"/>
                <w:b/>
                <w:bCs/>
                <w:sz w:val="20"/>
                <w:szCs w:val="20"/>
              </w:rPr>
              <w:t>Level V</w:t>
            </w:r>
          </w:p>
        </w:tc>
        <w:tc>
          <w:tcPr>
            <w:tcW w:w="4804" w:type="dxa"/>
            <w:gridSpan w:val="2"/>
          </w:tcPr>
          <w:p w14:paraId="562FDAAC"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A person is seldom able to communicate effectively even with familiar people.</w:t>
            </w:r>
          </w:p>
        </w:tc>
      </w:tr>
      <w:tr w:rsidR="00B726FD" w:rsidRPr="00B726FD" w14:paraId="15BA26B9" w14:textId="77777777" w:rsidTr="00052387">
        <w:trPr>
          <w:trHeight w:val="305"/>
        </w:trPr>
        <w:tc>
          <w:tcPr>
            <w:tcW w:w="11016" w:type="dxa"/>
            <w:gridSpan w:val="7"/>
          </w:tcPr>
          <w:p w14:paraId="5ADE1AE2" w14:textId="77777777" w:rsidR="00B726FD" w:rsidRPr="00B726FD" w:rsidRDefault="00B726FD" w:rsidP="00B726FD">
            <w:pPr>
              <w:pStyle w:val="Body"/>
              <w:rPr>
                <w:rFonts w:ascii="Arial" w:hAnsi="Arial" w:cs="Arial"/>
                <w:sz w:val="20"/>
                <w:szCs w:val="20"/>
              </w:rPr>
            </w:pPr>
          </w:p>
        </w:tc>
      </w:tr>
      <w:tr w:rsidR="00B726FD" w:rsidRPr="00B726FD" w14:paraId="4FF19ECC" w14:textId="77777777" w:rsidTr="00052387">
        <w:trPr>
          <w:trHeight w:val="368"/>
        </w:trPr>
        <w:tc>
          <w:tcPr>
            <w:tcW w:w="0" w:type="auto"/>
            <w:gridSpan w:val="7"/>
          </w:tcPr>
          <w:p w14:paraId="216C39C9" w14:textId="3AA91312"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Disease Specific</w:t>
            </w:r>
            <w:r w:rsidR="003D654F">
              <w:rPr>
                <w:rFonts w:ascii="Arial" w:hAnsi="Arial" w:cs="Arial"/>
                <w:b/>
                <w:bCs/>
                <w:sz w:val="20"/>
                <w:szCs w:val="20"/>
              </w:rPr>
              <w:t xml:space="preserve"> </w:t>
            </w:r>
            <w:r w:rsidR="003D654F" w:rsidRPr="00B726FD">
              <w:rPr>
                <w:rFonts w:ascii="Arial" w:hAnsi="Arial" w:cs="Arial"/>
                <w:b/>
                <w:bCs/>
                <w:sz w:val="20"/>
                <w:szCs w:val="20"/>
              </w:rPr>
              <w:t>Outcome measure:</w:t>
            </w:r>
          </w:p>
        </w:tc>
      </w:tr>
      <w:tr w:rsidR="00B726FD" w:rsidRPr="00B726FD" w14:paraId="36CDAA37" w14:textId="77777777" w:rsidTr="00614DA6">
        <w:trPr>
          <w:trHeight w:val="661"/>
        </w:trPr>
        <w:tc>
          <w:tcPr>
            <w:tcW w:w="5129" w:type="dxa"/>
            <w:gridSpan w:val="3"/>
            <w:vMerge w:val="restart"/>
          </w:tcPr>
          <w:p w14:paraId="0365DC98" w14:textId="77777777" w:rsidR="00B726FD" w:rsidRPr="00B726FD" w:rsidRDefault="00B726FD" w:rsidP="00B726FD">
            <w:pPr>
              <w:pStyle w:val="Body"/>
              <w:rPr>
                <w:rFonts w:ascii="Arial" w:hAnsi="Arial" w:cs="Arial"/>
                <w:b/>
                <w:bCs/>
                <w:sz w:val="20"/>
                <w:szCs w:val="20"/>
              </w:rPr>
            </w:pPr>
            <w:r w:rsidRPr="00B726FD">
              <w:rPr>
                <w:rFonts w:ascii="Arial" w:hAnsi="Arial" w:cs="Arial"/>
                <w:sz w:val="20"/>
                <w:szCs w:val="20"/>
              </w:rPr>
              <w:t>Pantothenate Kinase associated Neurodegeneration – Activity of Daily Living Scale (PKAN-ADL)</w:t>
            </w:r>
          </w:p>
        </w:tc>
        <w:tc>
          <w:tcPr>
            <w:tcW w:w="1083" w:type="dxa"/>
            <w:gridSpan w:val="2"/>
          </w:tcPr>
          <w:p w14:paraId="75CC5695"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Scoring:</w:t>
            </w:r>
          </w:p>
        </w:tc>
        <w:tc>
          <w:tcPr>
            <w:tcW w:w="4804" w:type="dxa"/>
            <w:gridSpan w:val="2"/>
          </w:tcPr>
          <w:p w14:paraId="3B228824" w14:textId="77777777" w:rsidR="00B726FD" w:rsidRPr="00B726FD" w:rsidRDefault="00B726FD" w:rsidP="00B726FD">
            <w:pPr>
              <w:pStyle w:val="Body"/>
              <w:rPr>
                <w:rFonts w:ascii="Arial" w:hAnsi="Arial" w:cs="Arial"/>
                <w:b/>
                <w:bCs/>
                <w:sz w:val="20"/>
                <w:szCs w:val="20"/>
              </w:rPr>
            </w:pPr>
            <w:r w:rsidRPr="00B726FD">
              <w:rPr>
                <w:rFonts w:ascii="Arial" w:hAnsi="Arial" w:cs="Arial"/>
                <w:b/>
                <w:bCs/>
                <w:sz w:val="20"/>
                <w:szCs w:val="20"/>
              </w:rPr>
              <w:t>Interpretation:</w:t>
            </w:r>
          </w:p>
        </w:tc>
      </w:tr>
      <w:tr w:rsidR="00B726FD" w:rsidRPr="00B726FD" w14:paraId="30A19073" w14:textId="77777777" w:rsidTr="00052387">
        <w:trPr>
          <w:trHeight w:val="1385"/>
        </w:trPr>
        <w:tc>
          <w:tcPr>
            <w:tcW w:w="5129" w:type="dxa"/>
            <w:gridSpan w:val="3"/>
            <w:vMerge/>
          </w:tcPr>
          <w:p w14:paraId="0B07D15B" w14:textId="77777777" w:rsidR="00B726FD" w:rsidRPr="00B726FD" w:rsidRDefault="00B726FD" w:rsidP="00B726FD">
            <w:pPr>
              <w:pStyle w:val="Body"/>
              <w:rPr>
                <w:rFonts w:ascii="Arial" w:hAnsi="Arial" w:cs="Arial"/>
                <w:sz w:val="20"/>
                <w:szCs w:val="20"/>
              </w:rPr>
            </w:pPr>
          </w:p>
        </w:tc>
        <w:tc>
          <w:tcPr>
            <w:tcW w:w="1083" w:type="dxa"/>
            <w:gridSpan w:val="2"/>
          </w:tcPr>
          <w:p w14:paraId="45F74D93" w14:textId="77777777" w:rsidR="00B726FD" w:rsidRPr="00B726FD" w:rsidRDefault="00B726FD" w:rsidP="00B726FD">
            <w:pPr>
              <w:pStyle w:val="Body"/>
              <w:rPr>
                <w:rFonts w:ascii="Arial" w:hAnsi="Arial" w:cs="Arial"/>
                <w:sz w:val="20"/>
                <w:szCs w:val="20"/>
              </w:rPr>
            </w:pPr>
            <w:r w:rsidRPr="00B726FD">
              <w:rPr>
                <w:rFonts w:ascii="Arial" w:hAnsi="Arial" w:cs="Arial"/>
                <w:sz w:val="20"/>
                <w:szCs w:val="20"/>
              </w:rPr>
              <w:t>38/48</w:t>
            </w:r>
          </w:p>
        </w:tc>
        <w:tc>
          <w:tcPr>
            <w:tcW w:w="4804" w:type="dxa"/>
            <w:gridSpan w:val="2"/>
          </w:tcPr>
          <w:p w14:paraId="1AE725CB" w14:textId="32297CC8" w:rsidR="00B726FD" w:rsidRPr="00B726FD" w:rsidRDefault="00B726FD" w:rsidP="00B726FD">
            <w:pPr>
              <w:pStyle w:val="Body"/>
              <w:rPr>
                <w:rFonts w:ascii="Arial" w:hAnsi="Arial" w:cs="Arial"/>
                <w:sz w:val="20"/>
                <w:szCs w:val="20"/>
              </w:rPr>
            </w:pPr>
            <w:r w:rsidRPr="00B726FD">
              <w:rPr>
                <w:rFonts w:ascii="Arial" w:hAnsi="Arial" w:cs="Arial"/>
                <w:sz w:val="20"/>
                <w:szCs w:val="20"/>
              </w:rPr>
              <w:t>Key impairments were noted in eating (requiring assisted feeding), dressing (inability to manipulate fasteners), toileting (incontinence and dependency), and hygiene (complete assistance required).</w:t>
            </w:r>
          </w:p>
        </w:tc>
      </w:tr>
      <w:tr w:rsidR="00614DA6" w:rsidRPr="00B726FD" w14:paraId="29B82ED4" w14:textId="77777777" w:rsidTr="00052387">
        <w:trPr>
          <w:trHeight w:val="305"/>
        </w:trPr>
        <w:tc>
          <w:tcPr>
            <w:tcW w:w="11016" w:type="dxa"/>
            <w:gridSpan w:val="7"/>
          </w:tcPr>
          <w:p w14:paraId="3FAEA336" w14:textId="280E92A8" w:rsidR="00614DA6" w:rsidRPr="008048F7" w:rsidRDefault="003B5447" w:rsidP="00B726FD">
            <w:pPr>
              <w:pStyle w:val="Body"/>
              <w:rPr>
                <w:rFonts w:ascii="Arial" w:hAnsi="Arial" w:cs="Arial"/>
                <w:b/>
                <w:bCs/>
                <w:sz w:val="20"/>
                <w:szCs w:val="20"/>
              </w:rPr>
            </w:pPr>
            <w:r w:rsidRPr="008048F7">
              <w:rPr>
                <w:rFonts w:ascii="Arial" w:hAnsi="Arial" w:cs="Arial"/>
                <w:b/>
                <w:bCs/>
                <w:sz w:val="20"/>
                <w:szCs w:val="20"/>
              </w:rPr>
              <w:t>Others:</w:t>
            </w:r>
          </w:p>
        </w:tc>
      </w:tr>
      <w:tr w:rsidR="008E5366" w:rsidRPr="00B726FD" w14:paraId="42C0CE49" w14:textId="77777777" w:rsidTr="00457C1F">
        <w:trPr>
          <w:trHeight w:val="661"/>
        </w:trPr>
        <w:tc>
          <w:tcPr>
            <w:tcW w:w="2754" w:type="dxa"/>
          </w:tcPr>
          <w:p w14:paraId="2CD9BD39" w14:textId="6A683982" w:rsidR="008E5366" w:rsidRPr="004E6CD0" w:rsidRDefault="00A06731" w:rsidP="00B726FD">
            <w:pPr>
              <w:pStyle w:val="Body"/>
              <w:rPr>
                <w:rFonts w:ascii="Arial" w:hAnsi="Arial" w:cs="Arial"/>
                <w:b/>
                <w:bCs/>
                <w:sz w:val="20"/>
                <w:szCs w:val="20"/>
              </w:rPr>
            </w:pPr>
            <w:r w:rsidRPr="008E5366">
              <w:rPr>
                <w:rFonts w:ascii="Arial" w:hAnsi="Arial" w:cs="Arial"/>
                <w:b/>
                <w:bCs/>
                <w:sz w:val="20"/>
                <w:szCs w:val="20"/>
              </w:rPr>
              <w:lastRenderedPageBreak/>
              <w:t>Domain</w:t>
            </w:r>
          </w:p>
        </w:tc>
        <w:tc>
          <w:tcPr>
            <w:tcW w:w="2754" w:type="dxa"/>
            <w:gridSpan w:val="3"/>
          </w:tcPr>
          <w:p w14:paraId="383D0155" w14:textId="4BE50B57" w:rsidR="008E5366" w:rsidRPr="008E5366" w:rsidRDefault="008E5366" w:rsidP="00B726FD">
            <w:pPr>
              <w:pStyle w:val="Body"/>
              <w:rPr>
                <w:rFonts w:ascii="Arial" w:hAnsi="Arial" w:cs="Arial"/>
                <w:b/>
                <w:bCs/>
                <w:sz w:val="20"/>
                <w:szCs w:val="20"/>
              </w:rPr>
            </w:pPr>
            <w:r w:rsidRPr="008E5366">
              <w:rPr>
                <w:rFonts w:ascii="Arial" w:hAnsi="Arial" w:cs="Arial"/>
                <w:b/>
                <w:bCs/>
                <w:sz w:val="20"/>
                <w:szCs w:val="20"/>
              </w:rPr>
              <w:t>Subscale</w:t>
            </w:r>
          </w:p>
        </w:tc>
        <w:tc>
          <w:tcPr>
            <w:tcW w:w="2754" w:type="dxa"/>
            <w:gridSpan w:val="2"/>
          </w:tcPr>
          <w:p w14:paraId="1768FA9D" w14:textId="603142D7" w:rsidR="008E5366" w:rsidRPr="008E5366" w:rsidRDefault="008E5366" w:rsidP="00B726FD">
            <w:pPr>
              <w:pStyle w:val="Body"/>
              <w:rPr>
                <w:rFonts w:ascii="Arial" w:hAnsi="Arial" w:cs="Arial"/>
                <w:b/>
                <w:bCs/>
                <w:sz w:val="20"/>
                <w:szCs w:val="20"/>
              </w:rPr>
            </w:pPr>
            <w:r w:rsidRPr="008E5366">
              <w:rPr>
                <w:rFonts w:ascii="Arial" w:hAnsi="Arial" w:cs="Arial"/>
                <w:b/>
                <w:bCs/>
                <w:sz w:val="20"/>
                <w:szCs w:val="20"/>
              </w:rPr>
              <w:t xml:space="preserve">Score </w:t>
            </w:r>
          </w:p>
        </w:tc>
        <w:tc>
          <w:tcPr>
            <w:tcW w:w="2754" w:type="dxa"/>
          </w:tcPr>
          <w:p w14:paraId="31631F9E" w14:textId="6AC4D0BB" w:rsidR="008E5366" w:rsidRPr="008E5366" w:rsidRDefault="002013EB" w:rsidP="00B726FD">
            <w:pPr>
              <w:pStyle w:val="Body"/>
              <w:rPr>
                <w:rFonts w:ascii="Arial" w:hAnsi="Arial" w:cs="Arial"/>
                <w:b/>
                <w:bCs/>
                <w:sz w:val="20"/>
                <w:szCs w:val="20"/>
              </w:rPr>
            </w:pPr>
            <w:r w:rsidRPr="008E5366">
              <w:rPr>
                <w:rFonts w:ascii="Arial" w:hAnsi="Arial" w:cs="Arial"/>
                <w:b/>
                <w:bCs/>
                <w:sz w:val="20"/>
                <w:szCs w:val="20"/>
              </w:rPr>
              <w:t>Interpretation</w:t>
            </w:r>
          </w:p>
        </w:tc>
      </w:tr>
      <w:tr w:rsidR="00614DA6" w:rsidRPr="00B726FD" w14:paraId="5CAA82F2" w14:textId="77777777" w:rsidTr="00457C1F">
        <w:trPr>
          <w:trHeight w:val="661"/>
        </w:trPr>
        <w:tc>
          <w:tcPr>
            <w:tcW w:w="2754" w:type="dxa"/>
          </w:tcPr>
          <w:p w14:paraId="542C5767" w14:textId="0DBF4B2B" w:rsidR="00614DA6" w:rsidRPr="008048F7" w:rsidRDefault="00614DA6" w:rsidP="00B726FD">
            <w:pPr>
              <w:pStyle w:val="Body"/>
              <w:rPr>
                <w:rFonts w:ascii="Arial" w:hAnsi="Arial" w:cs="Arial"/>
                <w:sz w:val="20"/>
                <w:szCs w:val="20"/>
              </w:rPr>
            </w:pPr>
            <w:r w:rsidRPr="008048F7">
              <w:rPr>
                <w:rFonts w:ascii="Arial" w:hAnsi="Arial" w:cs="Arial"/>
                <w:sz w:val="20"/>
                <w:szCs w:val="20"/>
              </w:rPr>
              <w:t>Respiratory Function</w:t>
            </w:r>
          </w:p>
        </w:tc>
        <w:tc>
          <w:tcPr>
            <w:tcW w:w="2754" w:type="dxa"/>
            <w:gridSpan w:val="3"/>
          </w:tcPr>
          <w:p w14:paraId="4421FE42" w14:textId="160CDB05" w:rsidR="00614DA6" w:rsidRPr="008048F7" w:rsidRDefault="00614DA6" w:rsidP="00B726FD">
            <w:pPr>
              <w:pStyle w:val="Body"/>
              <w:rPr>
                <w:rFonts w:ascii="Arial" w:hAnsi="Arial" w:cs="Arial"/>
                <w:sz w:val="20"/>
                <w:szCs w:val="20"/>
              </w:rPr>
            </w:pPr>
            <w:r w:rsidRPr="008048F7">
              <w:rPr>
                <w:rFonts w:ascii="Arial" w:hAnsi="Arial" w:cs="Arial"/>
                <w:sz w:val="20"/>
                <w:szCs w:val="20"/>
              </w:rPr>
              <w:t>Peak Expiratory Flow Rate</w:t>
            </w:r>
          </w:p>
        </w:tc>
        <w:tc>
          <w:tcPr>
            <w:tcW w:w="2754" w:type="dxa"/>
            <w:gridSpan w:val="2"/>
          </w:tcPr>
          <w:p w14:paraId="6723FCC5" w14:textId="04B7D222" w:rsidR="00614DA6" w:rsidRPr="008048F7" w:rsidRDefault="004B7AD6" w:rsidP="00B726FD">
            <w:pPr>
              <w:pStyle w:val="Body"/>
              <w:rPr>
                <w:rFonts w:ascii="Arial" w:hAnsi="Arial" w:cs="Arial"/>
                <w:sz w:val="20"/>
                <w:szCs w:val="20"/>
              </w:rPr>
            </w:pPr>
            <w:r w:rsidRPr="008048F7">
              <w:rPr>
                <w:rFonts w:ascii="Arial" w:hAnsi="Arial" w:cs="Arial"/>
                <w:sz w:val="20"/>
                <w:szCs w:val="20"/>
              </w:rPr>
              <w:t>80 L/min</w:t>
            </w:r>
          </w:p>
        </w:tc>
        <w:tc>
          <w:tcPr>
            <w:tcW w:w="2754" w:type="dxa"/>
          </w:tcPr>
          <w:p w14:paraId="318BD657" w14:textId="686B4469" w:rsidR="00614DA6" w:rsidRPr="008048F7" w:rsidRDefault="004B7AD6" w:rsidP="00B726FD">
            <w:pPr>
              <w:pStyle w:val="Body"/>
              <w:rPr>
                <w:rFonts w:ascii="Arial" w:hAnsi="Arial" w:cs="Arial"/>
                <w:sz w:val="20"/>
                <w:szCs w:val="20"/>
              </w:rPr>
            </w:pPr>
            <w:r w:rsidRPr="008048F7">
              <w:rPr>
                <w:rFonts w:ascii="Arial" w:hAnsi="Arial" w:cs="Arial"/>
                <w:sz w:val="20"/>
                <w:szCs w:val="20"/>
              </w:rPr>
              <w:t>Severely reduced ventilatory capacity, indicating restrictive respiratory pattern.</w:t>
            </w:r>
          </w:p>
        </w:tc>
      </w:tr>
      <w:tr w:rsidR="00614DA6" w:rsidRPr="00B726FD" w14:paraId="51FE350A" w14:textId="77777777" w:rsidTr="00457C1F">
        <w:trPr>
          <w:trHeight w:val="661"/>
        </w:trPr>
        <w:tc>
          <w:tcPr>
            <w:tcW w:w="2754" w:type="dxa"/>
          </w:tcPr>
          <w:p w14:paraId="60026849" w14:textId="56D20A3D" w:rsidR="00614DA6" w:rsidRPr="008048F7" w:rsidRDefault="004B7AD6" w:rsidP="00B726FD">
            <w:pPr>
              <w:pStyle w:val="Body"/>
              <w:rPr>
                <w:rFonts w:ascii="Arial" w:hAnsi="Arial" w:cs="Arial"/>
                <w:sz w:val="20"/>
                <w:szCs w:val="20"/>
              </w:rPr>
            </w:pPr>
            <w:r w:rsidRPr="008048F7">
              <w:rPr>
                <w:rFonts w:ascii="Arial" w:hAnsi="Arial" w:cs="Arial"/>
                <w:sz w:val="20"/>
                <w:szCs w:val="20"/>
              </w:rPr>
              <w:t>Postural/Orthopedic Assessment</w:t>
            </w:r>
          </w:p>
        </w:tc>
        <w:tc>
          <w:tcPr>
            <w:tcW w:w="2754" w:type="dxa"/>
            <w:gridSpan w:val="3"/>
          </w:tcPr>
          <w:p w14:paraId="5767A923" w14:textId="6502BDDE" w:rsidR="00614DA6" w:rsidRPr="008048F7" w:rsidRDefault="004B7AD6" w:rsidP="00B726FD">
            <w:pPr>
              <w:pStyle w:val="Body"/>
              <w:rPr>
                <w:rFonts w:ascii="Arial" w:hAnsi="Arial" w:cs="Arial"/>
                <w:sz w:val="20"/>
                <w:szCs w:val="20"/>
              </w:rPr>
            </w:pPr>
            <w:r w:rsidRPr="008048F7">
              <w:rPr>
                <w:rFonts w:ascii="Arial" w:hAnsi="Arial" w:cs="Arial"/>
                <w:sz w:val="20"/>
                <w:szCs w:val="20"/>
              </w:rPr>
              <w:t>Scoliosis &amp; Contractures</w:t>
            </w:r>
          </w:p>
        </w:tc>
        <w:tc>
          <w:tcPr>
            <w:tcW w:w="2754" w:type="dxa"/>
            <w:gridSpan w:val="2"/>
          </w:tcPr>
          <w:p w14:paraId="3ED07DC7" w14:textId="70A3032D" w:rsidR="00614DA6" w:rsidRPr="008048F7" w:rsidRDefault="004B7AD6" w:rsidP="00B726FD">
            <w:pPr>
              <w:pStyle w:val="Body"/>
              <w:rPr>
                <w:rFonts w:ascii="Arial" w:hAnsi="Arial" w:cs="Arial"/>
                <w:sz w:val="20"/>
                <w:szCs w:val="20"/>
              </w:rPr>
            </w:pPr>
            <w:r w:rsidRPr="008048F7">
              <w:rPr>
                <w:rFonts w:ascii="Arial" w:hAnsi="Arial" w:cs="Arial"/>
                <w:sz w:val="20"/>
                <w:szCs w:val="20"/>
              </w:rPr>
              <w:t>Severe</w:t>
            </w:r>
          </w:p>
        </w:tc>
        <w:tc>
          <w:tcPr>
            <w:tcW w:w="2754" w:type="dxa"/>
          </w:tcPr>
          <w:p w14:paraId="5F7621DE" w14:textId="31FC38C7" w:rsidR="00614DA6" w:rsidRPr="008048F7" w:rsidRDefault="004B7AD6" w:rsidP="00B726FD">
            <w:pPr>
              <w:pStyle w:val="Body"/>
              <w:rPr>
                <w:rFonts w:ascii="Arial" w:hAnsi="Arial" w:cs="Arial"/>
                <w:sz w:val="20"/>
                <w:szCs w:val="20"/>
              </w:rPr>
            </w:pPr>
            <w:r w:rsidRPr="008048F7">
              <w:rPr>
                <w:rFonts w:ascii="Arial" w:hAnsi="Arial" w:cs="Arial"/>
                <w:sz w:val="20"/>
                <w:szCs w:val="20"/>
              </w:rPr>
              <w:t>Marked thoracolumbar scoliosis with pelvic obliquity; limb contractures limiting passive range of motion.</w:t>
            </w:r>
          </w:p>
        </w:tc>
      </w:tr>
      <w:tr w:rsidR="00614DA6" w:rsidRPr="00B726FD" w14:paraId="7C6D36B1" w14:textId="77777777" w:rsidTr="00457C1F">
        <w:trPr>
          <w:trHeight w:val="661"/>
        </w:trPr>
        <w:tc>
          <w:tcPr>
            <w:tcW w:w="2754" w:type="dxa"/>
          </w:tcPr>
          <w:p w14:paraId="3DF852D3" w14:textId="2477B41F" w:rsidR="00614DA6" w:rsidRPr="008048F7" w:rsidRDefault="004B7AD6" w:rsidP="00B726FD">
            <w:pPr>
              <w:pStyle w:val="Body"/>
              <w:rPr>
                <w:rFonts w:ascii="Arial" w:hAnsi="Arial" w:cs="Arial"/>
                <w:sz w:val="20"/>
                <w:szCs w:val="20"/>
              </w:rPr>
            </w:pPr>
            <w:r w:rsidRPr="008048F7">
              <w:rPr>
                <w:rFonts w:ascii="Arial" w:hAnsi="Arial" w:cs="Arial"/>
                <w:sz w:val="20"/>
                <w:szCs w:val="20"/>
              </w:rPr>
              <w:t>Swallowing &amp; Nutrition</w:t>
            </w:r>
          </w:p>
        </w:tc>
        <w:tc>
          <w:tcPr>
            <w:tcW w:w="2754" w:type="dxa"/>
            <w:gridSpan w:val="3"/>
          </w:tcPr>
          <w:p w14:paraId="7A8E3C1F" w14:textId="5A812486" w:rsidR="00614DA6" w:rsidRPr="008048F7" w:rsidRDefault="004B7AD6" w:rsidP="00B726FD">
            <w:pPr>
              <w:pStyle w:val="Body"/>
              <w:rPr>
                <w:rFonts w:ascii="Arial" w:hAnsi="Arial" w:cs="Arial"/>
                <w:sz w:val="20"/>
                <w:szCs w:val="20"/>
              </w:rPr>
            </w:pPr>
            <w:r w:rsidRPr="008048F7">
              <w:rPr>
                <w:rFonts w:ascii="Arial" w:hAnsi="Arial" w:cs="Arial"/>
                <w:sz w:val="20"/>
                <w:szCs w:val="20"/>
              </w:rPr>
              <w:t>Safety &amp; Intake</w:t>
            </w:r>
          </w:p>
        </w:tc>
        <w:tc>
          <w:tcPr>
            <w:tcW w:w="2754" w:type="dxa"/>
            <w:gridSpan w:val="2"/>
          </w:tcPr>
          <w:p w14:paraId="3DA55870" w14:textId="619AE9A1" w:rsidR="00614DA6" w:rsidRPr="008048F7" w:rsidRDefault="004B7AD6" w:rsidP="00B726FD">
            <w:pPr>
              <w:pStyle w:val="Body"/>
              <w:rPr>
                <w:rFonts w:ascii="Arial" w:hAnsi="Arial" w:cs="Arial"/>
                <w:sz w:val="20"/>
                <w:szCs w:val="20"/>
              </w:rPr>
            </w:pPr>
            <w:r w:rsidRPr="008048F7">
              <w:rPr>
                <w:rFonts w:ascii="Arial" w:hAnsi="Arial" w:cs="Arial"/>
                <w:sz w:val="20"/>
                <w:szCs w:val="20"/>
              </w:rPr>
              <w:t>Compromised</w:t>
            </w:r>
          </w:p>
        </w:tc>
        <w:tc>
          <w:tcPr>
            <w:tcW w:w="2754" w:type="dxa"/>
          </w:tcPr>
          <w:p w14:paraId="0B3E9F2D" w14:textId="3AFF0EFF" w:rsidR="00614DA6" w:rsidRPr="008048F7" w:rsidRDefault="004B7AD6" w:rsidP="00B726FD">
            <w:pPr>
              <w:pStyle w:val="Body"/>
              <w:rPr>
                <w:rFonts w:ascii="Arial" w:hAnsi="Arial" w:cs="Arial"/>
                <w:sz w:val="20"/>
                <w:szCs w:val="20"/>
              </w:rPr>
            </w:pPr>
            <w:r w:rsidRPr="008048F7">
              <w:rPr>
                <w:rFonts w:ascii="Arial" w:hAnsi="Arial" w:cs="Arial"/>
                <w:sz w:val="20"/>
                <w:szCs w:val="20"/>
              </w:rPr>
              <w:t>Risk of aspiration; required modified-texture diets and assisted feeding.</w:t>
            </w:r>
          </w:p>
        </w:tc>
      </w:tr>
      <w:tr w:rsidR="003B5447" w:rsidRPr="00B726FD" w14:paraId="01729254" w14:textId="77777777" w:rsidTr="00457C1F">
        <w:trPr>
          <w:trHeight w:val="661"/>
        </w:trPr>
        <w:tc>
          <w:tcPr>
            <w:tcW w:w="2754" w:type="dxa"/>
            <w:vMerge w:val="restart"/>
          </w:tcPr>
          <w:p w14:paraId="50F968F3" w14:textId="2D39142F" w:rsidR="003B5447" w:rsidRPr="008048F7" w:rsidRDefault="003B5447" w:rsidP="00B726FD">
            <w:pPr>
              <w:pStyle w:val="Body"/>
              <w:rPr>
                <w:rFonts w:ascii="Arial" w:hAnsi="Arial" w:cs="Arial"/>
                <w:sz w:val="20"/>
                <w:szCs w:val="20"/>
              </w:rPr>
            </w:pPr>
            <w:r w:rsidRPr="008048F7">
              <w:rPr>
                <w:rFonts w:ascii="Arial" w:hAnsi="Arial" w:cs="Arial"/>
                <w:sz w:val="20"/>
                <w:szCs w:val="20"/>
              </w:rPr>
              <w:t>Caregiver Quality of Life Index – Pediatric (CQOL-P)</w:t>
            </w:r>
          </w:p>
        </w:tc>
        <w:tc>
          <w:tcPr>
            <w:tcW w:w="2754" w:type="dxa"/>
            <w:gridSpan w:val="3"/>
          </w:tcPr>
          <w:p w14:paraId="0B3C0FDE" w14:textId="3C589A41" w:rsidR="003B5447" w:rsidRPr="008048F7" w:rsidRDefault="003B5447" w:rsidP="00B726FD">
            <w:pPr>
              <w:pStyle w:val="Body"/>
              <w:rPr>
                <w:rFonts w:ascii="Arial" w:hAnsi="Arial" w:cs="Arial"/>
                <w:sz w:val="20"/>
                <w:szCs w:val="20"/>
              </w:rPr>
            </w:pPr>
            <w:r w:rsidRPr="008048F7">
              <w:rPr>
                <w:rFonts w:ascii="Arial" w:hAnsi="Arial" w:cs="Arial"/>
                <w:sz w:val="20"/>
                <w:szCs w:val="20"/>
              </w:rPr>
              <w:t>Emotional Well being</w:t>
            </w:r>
          </w:p>
        </w:tc>
        <w:tc>
          <w:tcPr>
            <w:tcW w:w="2754" w:type="dxa"/>
            <w:gridSpan w:val="2"/>
          </w:tcPr>
          <w:p w14:paraId="1A39661B" w14:textId="61A011D8" w:rsidR="003B5447" w:rsidRPr="008048F7" w:rsidRDefault="003B5447" w:rsidP="00B726FD">
            <w:pPr>
              <w:pStyle w:val="Body"/>
              <w:rPr>
                <w:rFonts w:ascii="Arial" w:hAnsi="Arial" w:cs="Arial"/>
                <w:sz w:val="20"/>
                <w:szCs w:val="20"/>
              </w:rPr>
            </w:pPr>
            <w:r w:rsidRPr="008048F7">
              <w:rPr>
                <w:rFonts w:ascii="Arial" w:hAnsi="Arial" w:cs="Arial"/>
                <w:sz w:val="20"/>
                <w:szCs w:val="20"/>
              </w:rPr>
              <w:t>12/20 – High stress</w:t>
            </w:r>
          </w:p>
        </w:tc>
        <w:tc>
          <w:tcPr>
            <w:tcW w:w="2754" w:type="dxa"/>
          </w:tcPr>
          <w:p w14:paraId="270EE4F7" w14:textId="78CE96E1" w:rsidR="003B5447" w:rsidRPr="008048F7" w:rsidRDefault="003B5447" w:rsidP="00B726FD">
            <w:pPr>
              <w:pStyle w:val="Body"/>
              <w:rPr>
                <w:rFonts w:ascii="Arial" w:hAnsi="Arial" w:cs="Arial"/>
                <w:sz w:val="20"/>
                <w:szCs w:val="20"/>
              </w:rPr>
            </w:pPr>
            <w:r w:rsidRPr="008048F7">
              <w:rPr>
                <w:rFonts w:ascii="Arial" w:hAnsi="Arial" w:cs="Arial"/>
                <w:sz w:val="20"/>
                <w:szCs w:val="20"/>
              </w:rPr>
              <w:t>Indicates significant emotional burden due to child’s dependence</w:t>
            </w:r>
          </w:p>
        </w:tc>
      </w:tr>
      <w:tr w:rsidR="003B5447" w:rsidRPr="00B726FD" w14:paraId="119ED285" w14:textId="77777777" w:rsidTr="00457C1F">
        <w:trPr>
          <w:trHeight w:val="661"/>
        </w:trPr>
        <w:tc>
          <w:tcPr>
            <w:tcW w:w="2754" w:type="dxa"/>
            <w:vMerge/>
          </w:tcPr>
          <w:p w14:paraId="2DF84CB5" w14:textId="77777777" w:rsidR="003B5447" w:rsidRPr="008048F7" w:rsidRDefault="003B5447" w:rsidP="00B726FD">
            <w:pPr>
              <w:pStyle w:val="Body"/>
              <w:rPr>
                <w:rFonts w:ascii="Arial" w:hAnsi="Arial" w:cs="Arial"/>
                <w:sz w:val="20"/>
                <w:szCs w:val="20"/>
              </w:rPr>
            </w:pPr>
          </w:p>
        </w:tc>
        <w:tc>
          <w:tcPr>
            <w:tcW w:w="2754" w:type="dxa"/>
            <w:gridSpan w:val="3"/>
          </w:tcPr>
          <w:p w14:paraId="29A399A4" w14:textId="5331DEE6" w:rsidR="003B5447" w:rsidRPr="008048F7" w:rsidRDefault="003B5447" w:rsidP="00B726FD">
            <w:pPr>
              <w:pStyle w:val="Body"/>
              <w:rPr>
                <w:rFonts w:ascii="Arial" w:hAnsi="Arial" w:cs="Arial"/>
                <w:sz w:val="20"/>
                <w:szCs w:val="20"/>
              </w:rPr>
            </w:pPr>
            <w:r w:rsidRPr="008048F7">
              <w:rPr>
                <w:rFonts w:ascii="Arial" w:hAnsi="Arial" w:cs="Arial"/>
                <w:sz w:val="20"/>
                <w:szCs w:val="20"/>
              </w:rPr>
              <w:t>Social functioning</w:t>
            </w:r>
          </w:p>
        </w:tc>
        <w:tc>
          <w:tcPr>
            <w:tcW w:w="2754" w:type="dxa"/>
            <w:gridSpan w:val="2"/>
          </w:tcPr>
          <w:p w14:paraId="0449F2E9" w14:textId="5FFB4B4C" w:rsidR="003B5447" w:rsidRPr="008048F7" w:rsidRDefault="003B5447" w:rsidP="003B5447">
            <w:pPr>
              <w:pStyle w:val="Body"/>
              <w:rPr>
                <w:rFonts w:ascii="Arial" w:hAnsi="Arial" w:cs="Arial"/>
                <w:sz w:val="20"/>
                <w:szCs w:val="20"/>
              </w:rPr>
            </w:pPr>
            <w:r w:rsidRPr="008048F7">
              <w:rPr>
                <w:rFonts w:ascii="Arial" w:hAnsi="Arial" w:cs="Arial"/>
                <w:sz w:val="20"/>
                <w:szCs w:val="20"/>
              </w:rPr>
              <w:t>10/20 – Low</w:t>
            </w:r>
          </w:p>
        </w:tc>
        <w:tc>
          <w:tcPr>
            <w:tcW w:w="2754" w:type="dxa"/>
          </w:tcPr>
          <w:p w14:paraId="23F88F51" w14:textId="1E392695" w:rsidR="003B5447" w:rsidRPr="008048F7" w:rsidRDefault="003B5447" w:rsidP="00B726FD">
            <w:pPr>
              <w:pStyle w:val="Body"/>
              <w:rPr>
                <w:rFonts w:ascii="Arial" w:hAnsi="Arial" w:cs="Arial"/>
                <w:sz w:val="20"/>
                <w:szCs w:val="20"/>
              </w:rPr>
            </w:pPr>
            <w:r w:rsidRPr="008048F7">
              <w:rPr>
                <w:rFonts w:ascii="Arial" w:hAnsi="Arial" w:cs="Arial"/>
                <w:sz w:val="20"/>
                <w:szCs w:val="20"/>
              </w:rPr>
              <w:t>Social interactions limited by caregiving demands</w:t>
            </w:r>
          </w:p>
        </w:tc>
      </w:tr>
      <w:tr w:rsidR="003B5447" w:rsidRPr="00B726FD" w14:paraId="42B39BE1" w14:textId="77777777" w:rsidTr="00457C1F">
        <w:trPr>
          <w:trHeight w:val="661"/>
        </w:trPr>
        <w:tc>
          <w:tcPr>
            <w:tcW w:w="2754" w:type="dxa"/>
            <w:vMerge/>
          </w:tcPr>
          <w:p w14:paraId="31949240" w14:textId="77777777" w:rsidR="003B5447" w:rsidRPr="008048F7" w:rsidRDefault="003B5447" w:rsidP="00B726FD">
            <w:pPr>
              <w:pStyle w:val="Body"/>
              <w:rPr>
                <w:rFonts w:ascii="Arial" w:hAnsi="Arial" w:cs="Arial"/>
                <w:sz w:val="20"/>
                <w:szCs w:val="20"/>
              </w:rPr>
            </w:pPr>
          </w:p>
        </w:tc>
        <w:tc>
          <w:tcPr>
            <w:tcW w:w="2754" w:type="dxa"/>
            <w:gridSpan w:val="3"/>
          </w:tcPr>
          <w:p w14:paraId="2BBB814F" w14:textId="5A06480A" w:rsidR="003B5447" w:rsidRPr="008048F7" w:rsidRDefault="003B5447" w:rsidP="00B726FD">
            <w:pPr>
              <w:pStyle w:val="Body"/>
              <w:rPr>
                <w:rFonts w:ascii="Arial" w:hAnsi="Arial" w:cs="Arial"/>
                <w:sz w:val="20"/>
                <w:szCs w:val="20"/>
              </w:rPr>
            </w:pPr>
            <w:r w:rsidRPr="008048F7">
              <w:rPr>
                <w:rFonts w:ascii="Arial" w:hAnsi="Arial" w:cs="Arial"/>
                <w:sz w:val="20"/>
                <w:szCs w:val="20"/>
              </w:rPr>
              <w:t>Time demands</w:t>
            </w:r>
          </w:p>
        </w:tc>
        <w:tc>
          <w:tcPr>
            <w:tcW w:w="2754" w:type="dxa"/>
            <w:gridSpan w:val="2"/>
          </w:tcPr>
          <w:p w14:paraId="535C884B" w14:textId="2FCC322E" w:rsidR="003B5447" w:rsidRPr="008048F7" w:rsidRDefault="003B5447" w:rsidP="00B726FD">
            <w:pPr>
              <w:pStyle w:val="Body"/>
              <w:rPr>
                <w:rFonts w:ascii="Arial" w:hAnsi="Arial" w:cs="Arial"/>
                <w:sz w:val="20"/>
                <w:szCs w:val="20"/>
              </w:rPr>
            </w:pPr>
            <w:r w:rsidRPr="008048F7">
              <w:rPr>
                <w:rFonts w:ascii="Arial" w:hAnsi="Arial" w:cs="Arial"/>
                <w:sz w:val="20"/>
                <w:szCs w:val="20"/>
              </w:rPr>
              <w:t>15/20 – Very high</w:t>
            </w:r>
          </w:p>
        </w:tc>
        <w:tc>
          <w:tcPr>
            <w:tcW w:w="2754" w:type="dxa"/>
          </w:tcPr>
          <w:p w14:paraId="1FE581DC" w14:textId="4587ED2D" w:rsidR="003B5447" w:rsidRPr="008048F7" w:rsidRDefault="003B5447" w:rsidP="00B726FD">
            <w:pPr>
              <w:pStyle w:val="Body"/>
              <w:rPr>
                <w:rFonts w:ascii="Arial" w:hAnsi="Arial" w:cs="Arial"/>
                <w:sz w:val="20"/>
                <w:szCs w:val="20"/>
              </w:rPr>
            </w:pPr>
            <w:r w:rsidRPr="008048F7">
              <w:rPr>
                <w:rFonts w:ascii="Arial" w:hAnsi="Arial" w:cs="Arial"/>
                <w:sz w:val="20"/>
                <w:szCs w:val="20"/>
              </w:rPr>
              <w:t>Daily caregiving time substantial</w:t>
            </w:r>
          </w:p>
        </w:tc>
      </w:tr>
      <w:tr w:rsidR="003B5447" w:rsidRPr="00B726FD" w14:paraId="177A07E5" w14:textId="77777777" w:rsidTr="00457C1F">
        <w:trPr>
          <w:trHeight w:val="661"/>
        </w:trPr>
        <w:tc>
          <w:tcPr>
            <w:tcW w:w="2754" w:type="dxa"/>
            <w:vMerge/>
          </w:tcPr>
          <w:p w14:paraId="07329815" w14:textId="77777777" w:rsidR="003B5447" w:rsidRPr="008048F7" w:rsidRDefault="003B5447" w:rsidP="00B726FD">
            <w:pPr>
              <w:pStyle w:val="Body"/>
              <w:rPr>
                <w:rFonts w:ascii="Arial" w:hAnsi="Arial" w:cs="Arial"/>
                <w:sz w:val="20"/>
                <w:szCs w:val="20"/>
              </w:rPr>
            </w:pPr>
          </w:p>
        </w:tc>
        <w:tc>
          <w:tcPr>
            <w:tcW w:w="2754" w:type="dxa"/>
            <w:gridSpan w:val="3"/>
          </w:tcPr>
          <w:p w14:paraId="3B010ABD" w14:textId="49DF62F8" w:rsidR="003B5447" w:rsidRPr="008048F7" w:rsidRDefault="003B5447" w:rsidP="00B726FD">
            <w:pPr>
              <w:pStyle w:val="Body"/>
              <w:rPr>
                <w:rFonts w:ascii="Arial" w:hAnsi="Arial" w:cs="Arial"/>
                <w:sz w:val="20"/>
                <w:szCs w:val="20"/>
              </w:rPr>
            </w:pPr>
            <w:r w:rsidRPr="008048F7">
              <w:rPr>
                <w:rFonts w:ascii="Arial" w:hAnsi="Arial" w:cs="Arial"/>
                <w:sz w:val="20"/>
                <w:szCs w:val="20"/>
              </w:rPr>
              <w:t>Physical Health</w:t>
            </w:r>
          </w:p>
        </w:tc>
        <w:tc>
          <w:tcPr>
            <w:tcW w:w="2754" w:type="dxa"/>
            <w:gridSpan w:val="2"/>
          </w:tcPr>
          <w:p w14:paraId="3205B579" w14:textId="1ACE0EAD" w:rsidR="003B5447" w:rsidRPr="008048F7" w:rsidRDefault="003B5447" w:rsidP="00B726FD">
            <w:pPr>
              <w:pStyle w:val="Body"/>
              <w:rPr>
                <w:rFonts w:ascii="Arial" w:hAnsi="Arial" w:cs="Arial"/>
                <w:sz w:val="20"/>
                <w:szCs w:val="20"/>
              </w:rPr>
            </w:pPr>
            <w:r w:rsidRPr="008048F7">
              <w:rPr>
                <w:rFonts w:ascii="Arial" w:hAnsi="Arial" w:cs="Arial"/>
                <w:sz w:val="20"/>
                <w:szCs w:val="20"/>
              </w:rPr>
              <w:t>8/20 – Compromised</w:t>
            </w:r>
          </w:p>
        </w:tc>
        <w:tc>
          <w:tcPr>
            <w:tcW w:w="2754" w:type="dxa"/>
          </w:tcPr>
          <w:p w14:paraId="200FC15E" w14:textId="2935C883" w:rsidR="003B5447" w:rsidRPr="008048F7" w:rsidRDefault="003B5447" w:rsidP="00B726FD">
            <w:pPr>
              <w:pStyle w:val="Body"/>
              <w:rPr>
                <w:rFonts w:ascii="Arial" w:hAnsi="Arial" w:cs="Arial"/>
                <w:sz w:val="20"/>
                <w:szCs w:val="20"/>
              </w:rPr>
            </w:pPr>
            <w:r w:rsidRPr="008048F7">
              <w:rPr>
                <w:rFonts w:ascii="Arial" w:hAnsi="Arial" w:cs="Arial"/>
                <w:sz w:val="20"/>
                <w:szCs w:val="20"/>
              </w:rPr>
              <w:t>Fatigue, sleep disturbance noted</w:t>
            </w:r>
          </w:p>
        </w:tc>
      </w:tr>
      <w:tr w:rsidR="003B5447" w:rsidRPr="00B726FD" w14:paraId="3E42344A" w14:textId="77777777" w:rsidTr="00457C1F">
        <w:trPr>
          <w:trHeight w:val="661"/>
        </w:trPr>
        <w:tc>
          <w:tcPr>
            <w:tcW w:w="2754" w:type="dxa"/>
            <w:vMerge/>
          </w:tcPr>
          <w:p w14:paraId="10B00198" w14:textId="77777777" w:rsidR="003B5447" w:rsidRPr="008048F7" w:rsidRDefault="003B5447" w:rsidP="00B726FD">
            <w:pPr>
              <w:pStyle w:val="Body"/>
              <w:rPr>
                <w:rFonts w:ascii="Arial" w:hAnsi="Arial" w:cs="Arial"/>
                <w:sz w:val="20"/>
                <w:szCs w:val="20"/>
              </w:rPr>
            </w:pPr>
          </w:p>
        </w:tc>
        <w:tc>
          <w:tcPr>
            <w:tcW w:w="2754" w:type="dxa"/>
            <w:gridSpan w:val="3"/>
          </w:tcPr>
          <w:p w14:paraId="4B39D299" w14:textId="28DB7060" w:rsidR="003B5447" w:rsidRPr="008048F7" w:rsidRDefault="003B5447" w:rsidP="00B726FD">
            <w:pPr>
              <w:pStyle w:val="Body"/>
              <w:rPr>
                <w:rFonts w:ascii="Arial" w:hAnsi="Arial" w:cs="Arial"/>
                <w:sz w:val="20"/>
                <w:szCs w:val="20"/>
              </w:rPr>
            </w:pPr>
            <w:r w:rsidRPr="008048F7">
              <w:rPr>
                <w:rFonts w:ascii="Arial" w:hAnsi="Arial" w:cs="Arial"/>
                <w:sz w:val="20"/>
                <w:szCs w:val="20"/>
              </w:rPr>
              <w:t>Total score</w:t>
            </w:r>
          </w:p>
        </w:tc>
        <w:tc>
          <w:tcPr>
            <w:tcW w:w="2754" w:type="dxa"/>
            <w:gridSpan w:val="2"/>
          </w:tcPr>
          <w:p w14:paraId="04512222" w14:textId="477D6957" w:rsidR="003B5447" w:rsidRPr="008048F7" w:rsidRDefault="003B5447" w:rsidP="00B726FD">
            <w:pPr>
              <w:pStyle w:val="Body"/>
              <w:rPr>
                <w:rFonts w:ascii="Arial" w:hAnsi="Arial" w:cs="Arial"/>
                <w:sz w:val="20"/>
                <w:szCs w:val="20"/>
              </w:rPr>
            </w:pPr>
            <w:r w:rsidRPr="008048F7">
              <w:rPr>
                <w:rFonts w:ascii="Arial" w:hAnsi="Arial" w:cs="Arial"/>
                <w:sz w:val="20"/>
                <w:szCs w:val="20"/>
              </w:rPr>
              <w:t>45/80 – Low QoL</w:t>
            </w:r>
          </w:p>
        </w:tc>
        <w:tc>
          <w:tcPr>
            <w:tcW w:w="2754" w:type="dxa"/>
          </w:tcPr>
          <w:p w14:paraId="37973111" w14:textId="4929F4E9" w:rsidR="003B5447" w:rsidRPr="008048F7" w:rsidRDefault="003B5447" w:rsidP="00B726FD">
            <w:pPr>
              <w:pStyle w:val="Body"/>
              <w:rPr>
                <w:rFonts w:ascii="Arial" w:hAnsi="Arial" w:cs="Arial"/>
                <w:sz w:val="20"/>
                <w:szCs w:val="20"/>
              </w:rPr>
            </w:pPr>
            <w:r w:rsidRPr="008048F7">
              <w:rPr>
                <w:rFonts w:ascii="Arial" w:hAnsi="Arial" w:cs="Arial"/>
                <w:sz w:val="20"/>
                <w:szCs w:val="20"/>
              </w:rPr>
              <w:t>Reflects high caregiver strain in chronic, severe NBIA</w:t>
            </w:r>
          </w:p>
        </w:tc>
      </w:tr>
    </w:tbl>
    <w:p w14:paraId="412F4BFE" w14:textId="77777777" w:rsidR="00B726FD" w:rsidRPr="00B726FD" w:rsidRDefault="00B726FD" w:rsidP="00B726FD">
      <w:pPr>
        <w:pStyle w:val="Body"/>
        <w:spacing w:after="0"/>
        <w:rPr>
          <w:rFonts w:ascii="Arial" w:hAnsi="Arial" w:cs="Arial"/>
        </w:rPr>
      </w:pPr>
    </w:p>
    <w:p w14:paraId="280542E9" w14:textId="66B5E6E9" w:rsidR="00B726FD" w:rsidRDefault="00B726FD" w:rsidP="00B726FD">
      <w:pPr>
        <w:pStyle w:val="Body"/>
        <w:spacing w:after="0"/>
        <w:rPr>
          <w:rFonts w:ascii="Arial" w:hAnsi="Arial" w:cs="Arial"/>
        </w:rPr>
      </w:pPr>
    </w:p>
    <w:tbl>
      <w:tblPr>
        <w:tblStyle w:val="TableGrid"/>
        <w:tblW w:w="0" w:type="auto"/>
        <w:tblLook w:val="04A0" w:firstRow="1" w:lastRow="0" w:firstColumn="1" w:lastColumn="0" w:noHBand="0" w:noVBand="1"/>
      </w:tblPr>
      <w:tblGrid>
        <w:gridCol w:w="1916"/>
        <w:gridCol w:w="4260"/>
        <w:gridCol w:w="1400"/>
        <w:gridCol w:w="3440"/>
      </w:tblGrid>
      <w:tr w:rsidR="000C47B5" w:rsidRPr="001801CB" w14:paraId="2A476734" w14:textId="77777777" w:rsidTr="00EB76A0">
        <w:tc>
          <w:tcPr>
            <w:tcW w:w="0" w:type="auto"/>
            <w:gridSpan w:val="4"/>
          </w:tcPr>
          <w:p w14:paraId="7E0894F5" w14:textId="5268E48A" w:rsidR="000C47B5" w:rsidRPr="001801CB" w:rsidRDefault="000C47B5" w:rsidP="00903690">
            <w:pPr>
              <w:rPr>
                <w:rFonts w:ascii="Arial" w:hAnsi="Arial" w:cs="Arial"/>
                <w:b/>
                <w:bCs/>
                <w:sz w:val="20"/>
                <w:szCs w:val="20"/>
                <w:lang w:bidi="hi-IN"/>
              </w:rPr>
            </w:pPr>
            <w:r w:rsidRPr="001801CB">
              <w:rPr>
                <w:rFonts w:ascii="Arial" w:hAnsi="Arial" w:cs="Arial"/>
                <w:b/>
                <w:bCs/>
                <w:sz w:val="20"/>
                <w:szCs w:val="20"/>
                <w:lang w:bidi="hi-IN"/>
              </w:rPr>
              <w:t>Table 2: Evidence informed rehabilitation protocol</w:t>
            </w:r>
          </w:p>
        </w:tc>
      </w:tr>
      <w:tr w:rsidR="000C47B5" w:rsidRPr="000C47B5" w14:paraId="0004D8ED" w14:textId="77777777" w:rsidTr="000C47B5">
        <w:tc>
          <w:tcPr>
            <w:tcW w:w="0" w:type="auto"/>
            <w:hideMark/>
          </w:tcPr>
          <w:p w14:paraId="34E3C5BB" w14:textId="77777777" w:rsidR="000C47B5" w:rsidRPr="000C47B5" w:rsidRDefault="000C47B5" w:rsidP="000C47B5">
            <w:pPr>
              <w:jc w:val="center"/>
              <w:rPr>
                <w:rFonts w:ascii="Arial" w:hAnsi="Arial" w:cs="Arial"/>
                <w:b/>
                <w:bCs/>
                <w:sz w:val="20"/>
                <w:szCs w:val="20"/>
                <w:lang w:bidi="hi-IN"/>
              </w:rPr>
            </w:pPr>
            <w:r w:rsidRPr="000C47B5">
              <w:rPr>
                <w:rFonts w:ascii="Arial" w:hAnsi="Arial" w:cs="Arial"/>
                <w:b/>
                <w:bCs/>
                <w:sz w:val="20"/>
                <w:szCs w:val="20"/>
                <w:lang w:bidi="hi-IN"/>
              </w:rPr>
              <w:t>Domain</w:t>
            </w:r>
          </w:p>
        </w:tc>
        <w:tc>
          <w:tcPr>
            <w:tcW w:w="0" w:type="auto"/>
            <w:hideMark/>
          </w:tcPr>
          <w:p w14:paraId="21255C9E" w14:textId="77777777" w:rsidR="000C47B5" w:rsidRPr="000C47B5" w:rsidRDefault="000C47B5" w:rsidP="000C47B5">
            <w:pPr>
              <w:jc w:val="center"/>
              <w:rPr>
                <w:rFonts w:ascii="Arial" w:hAnsi="Arial" w:cs="Arial"/>
                <w:b/>
                <w:bCs/>
                <w:sz w:val="20"/>
                <w:szCs w:val="20"/>
                <w:lang w:bidi="hi-IN"/>
              </w:rPr>
            </w:pPr>
            <w:r w:rsidRPr="000C47B5">
              <w:rPr>
                <w:rFonts w:ascii="Arial" w:hAnsi="Arial" w:cs="Arial"/>
                <w:b/>
                <w:bCs/>
                <w:sz w:val="20"/>
                <w:szCs w:val="20"/>
                <w:lang w:bidi="hi-IN"/>
              </w:rPr>
              <w:t>Intervention Strategy</w:t>
            </w:r>
          </w:p>
        </w:tc>
        <w:tc>
          <w:tcPr>
            <w:tcW w:w="0" w:type="auto"/>
            <w:hideMark/>
          </w:tcPr>
          <w:p w14:paraId="315EF064" w14:textId="77777777" w:rsidR="000C47B5" w:rsidRPr="000C47B5" w:rsidRDefault="000C47B5" w:rsidP="000C47B5">
            <w:pPr>
              <w:jc w:val="center"/>
              <w:rPr>
                <w:rFonts w:ascii="Arial" w:hAnsi="Arial" w:cs="Arial"/>
                <w:b/>
                <w:bCs/>
                <w:sz w:val="20"/>
                <w:szCs w:val="20"/>
                <w:lang w:bidi="hi-IN"/>
              </w:rPr>
            </w:pPr>
            <w:r w:rsidRPr="000C47B5">
              <w:rPr>
                <w:rFonts w:ascii="Arial" w:hAnsi="Arial" w:cs="Arial"/>
                <w:b/>
                <w:bCs/>
                <w:sz w:val="20"/>
                <w:szCs w:val="20"/>
                <w:lang w:bidi="hi-IN"/>
              </w:rPr>
              <w:t>Frequency / Dosage</w:t>
            </w:r>
          </w:p>
        </w:tc>
        <w:tc>
          <w:tcPr>
            <w:tcW w:w="0" w:type="auto"/>
            <w:hideMark/>
          </w:tcPr>
          <w:p w14:paraId="223901C0" w14:textId="77777777" w:rsidR="000C47B5" w:rsidRPr="000C47B5" w:rsidRDefault="000C47B5" w:rsidP="000C47B5">
            <w:pPr>
              <w:jc w:val="center"/>
              <w:rPr>
                <w:rFonts w:ascii="Arial" w:hAnsi="Arial" w:cs="Arial"/>
                <w:b/>
                <w:bCs/>
                <w:sz w:val="20"/>
                <w:szCs w:val="20"/>
                <w:lang w:bidi="hi-IN"/>
              </w:rPr>
            </w:pPr>
            <w:r w:rsidRPr="000C47B5">
              <w:rPr>
                <w:rFonts w:ascii="Arial" w:hAnsi="Arial" w:cs="Arial"/>
                <w:b/>
                <w:bCs/>
                <w:sz w:val="20"/>
                <w:szCs w:val="20"/>
                <w:lang w:bidi="hi-IN"/>
              </w:rPr>
              <w:t>Rationale / Evidence</w:t>
            </w:r>
          </w:p>
        </w:tc>
      </w:tr>
      <w:tr w:rsidR="000C47B5" w:rsidRPr="000C47B5" w14:paraId="23D8CF1B" w14:textId="77777777" w:rsidTr="000C47B5">
        <w:tc>
          <w:tcPr>
            <w:tcW w:w="0" w:type="auto"/>
            <w:hideMark/>
          </w:tcPr>
          <w:p w14:paraId="5502BC16"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Postural Control &amp; Sitting</w:t>
            </w:r>
          </w:p>
        </w:tc>
        <w:tc>
          <w:tcPr>
            <w:tcW w:w="0" w:type="auto"/>
            <w:hideMark/>
          </w:tcPr>
          <w:p w14:paraId="64F6767A"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xml:space="preserve">- Task-oriented sitting training on therapy ball with trunk support - Dynamic reaching, weight-shifting, and trunk rotation in sitting - Guided </w:t>
            </w:r>
            <w:proofErr w:type="spellStart"/>
            <w:r w:rsidRPr="000C47B5">
              <w:rPr>
                <w:rFonts w:ascii="Arial" w:hAnsi="Arial" w:cs="Arial"/>
                <w:sz w:val="20"/>
                <w:szCs w:val="20"/>
                <w:lang w:bidi="hi-IN"/>
              </w:rPr>
              <w:t>sidelying</w:t>
            </w:r>
            <w:proofErr w:type="spellEnd"/>
            <w:r w:rsidRPr="000C47B5">
              <w:rPr>
                <w:rFonts w:ascii="Arial" w:hAnsi="Arial" w:cs="Arial"/>
                <w:sz w:val="20"/>
                <w:szCs w:val="20"/>
                <w:lang w:bidi="hi-IN"/>
              </w:rPr>
              <w:t>-to-sitting transitions</w:t>
            </w:r>
          </w:p>
        </w:tc>
        <w:tc>
          <w:tcPr>
            <w:tcW w:w="0" w:type="auto"/>
            <w:hideMark/>
          </w:tcPr>
          <w:p w14:paraId="5E2C0FE5"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2x/day, 15–20 min</w:t>
            </w:r>
          </w:p>
        </w:tc>
        <w:tc>
          <w:tcPr>
            <w:tcW w:w="0" w:type="auto"/>
            <w:hideMark/>
          </w:tcPr>
          <w:p w14:paraId="5B6A9B68"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Enhances trunk stability, postural alignment, and functional reach; evidence supports task-specific postural training in pediatric neurodegenerative disorders.</w:t>
            </w:r>
          </w:p>
        </w:tc>
      </w:tr>
      <w:tr w:rsidR="000C47B5" w:rsidRPr="000C47B5" w14:paraId="5FF4B19F" w14:textId="77777777" w:rsidTr="000C47B5">
        <w:tc>
          <w:tcPr>
            <w:tcW w:w="0" w:type="auto"/>
            <w:hideMark/>
          </w:tcPr>
          <w:p w14:paraId="4F8E0EFB"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Respiratory Function &amp; Chest Expansion</w:t>
            </w:r>
          </w:p>
        </w:tc>
        <w:tc>
          <w:tcPr>
            <w:tcW w:w="0" w:type="auto"/>
            <w:hideMark/>
          </w:tcPr>
          <w:p w14:paraId="17E19AAA"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Segmental breathing exercises targeting apical, lateral, and basal segments - Manual chest expansion using hold-relax techniques - Bubble positive expiratory pressure (PEP) therapy</w:t>
            </w:r>
          </w:p>
        </w:tc>
        <w:tc>
          <w:tcPr>
            <w:tcW w:w="0" w:type="auto"/>
            <w:hideMark/>
          </w:tcPr>
          <w:p w14:paraId="44F71950"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2–3x/day</w:t>
            </w:r>
          </w:p>
        </w:tc>
        <w:tc>
          <w:tcPr>
            <w:tcW w:w="0" w:type="auto"/>
            <w:hideMark/>
          </w:tcPr>
          <w:p w14:paraId="5692FCAF"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Optimizes thoracic mobility, ventilatory capacity, and airway clearance; aligns with pediatric respiratory physiotherapy recommendations.</w:t>
            </w:r>
          </w:p>
        </w:tc>
      </w:tr>
      <w:tr w:rsidR="000C47B5" w:rsidRPr="000C47B5" w14:paraId="5505C446" w14:textId="77777777" w:rsidTr="000C47B5">
        <w:tc>
          <w:tcPr>
            <w:tcW w:w="0" w:type="auto"/>
            <w:hideMark/>
          </w:tcPr>
          <w:p w14:paraId="494EF7C1"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Spasticity &amp; Contracture Management</w:t>
            </w:r>
          </w:p>
        </w:tc>
        <w:tc>
          <w:tcPr>
            <w:tcW w:w="0" w:type="auto"/>
            <w:hideMark/>
          </w:tcPr>
          <w:p w14:paraId="75837C87"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Prolonged passive stretching of hamstrings, pectorals, gastrocnemius (60 sec ×3) - Rhythmic inhibition and Neurodevelopmental Treatment (NDT) facilitation - Strategic positioning in long sitting, prone, or side-lying</w:t>
            </w:r>
          </w:p>
        </w:tc>
        <w:tc>
          <w:tcPr>
            <w:tcW w:w="0" w:type="auto"/>
            <w:hideMark/>
          </w:tcPr>
          <w:p w14:paraId="504D49F1"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Daily</w:t>
            </w:r>
          </w:p>
        </w:tc>
        <w:tc>
          <w:tcPr>
            <w:tcW w:w="0" w:type="auto"/>
            <w:hideMark/>
          </w:tcPr>
          <w:p w14:paraId="401A88FA"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Preserves joint range, reduces spasticity, prevents deformities; consistent with guidelines for progressive pediatric neuromotor disorders.</w:t>
            </w:r>
          </w:p>
        </w:tc>
      </w:tr>
      <w:tr w:rsidR="000C47B5" w:rsidRPr="000C47B5" w14:paraId="090C87F7" w14:textId="77777777" w:rsidTr="000C47B5">
        <w:tc>
          <w:tcPr>
            <w:tcW w:w="0" w:type="auto"/>
            <w:hideMark/>
          </w:tcPr>
          <w:p w14:paraId="59478905"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Trunk &amp; Core Stability</w:t>
            </w:r>
          </w:p>
        </w:tc>
        <w:tc>
          <w:tcPr>
            <w:tcW w:w="0" w:type="auto"/>
            <w:hideMark/>
          </w:tcPr>
          <w:p w14:paraId="28606B9F"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Bridging with pelvic facilitation - Segmental trunk rotation with reach cues - Facilitated prone-on-elbows activities</w:t>
            </w:r>
          </w:p>
        </w:tc>
        <w:tc>
          <w:tcPr>
            <w:tcW w:w="0" w:type="auto"/>
            <w:hideMark/>
          </w:tcPr>
          <w:p w14:paraId="160D6E55"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2–3x/day</w:t>
            </w:r>
          </w:p>
        </w:tc>
        <w:tc>
          <w:tcPr>
            <w:tcW w:w="0" w:type="auto"/>
            <w:hideMark/>
          </w:tcPr>
          <w:p w14:paraId="1C4E75D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xml:space="preserve">Strengthens core musculature, promotes midline control, and supports functional transitions; supported by GMFM-informed </w:t>
            </w:r>
            <w:r w:rsidRPr="000C47B5">
              <w:rPr>
                <w:rFonts w:ascii="Arial" w:hAnsi="Arial" w:cs="Arial"/>
                <w:sz w:val="20"/>
                <w:szCs w:val="20"/>
                <w:lang w:bidi="hi-IN"/>
              </w:rPr>
              <w:lastRenderedPageBreak/>
              <w:t>rehabilitation strategies.</w:t>
            </w:r>
          </w:p>
        </w:tc>
      </w:tr>
      <w:tr w:rsidR="000C47B5" w:rsidRPr="000C47B5" w14:paraId="59B916D8" w14:textId="77777777" w:rsidTr="000C47B5">
        <w:tc>
          <w:tcPr>
            <w:tcW w:w="0" w:type="auto"/>
            <w:hideMark/>
          </w:tcPr>
          <w:p w14:paraId="40C8B8B1"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lastRenderedPageBreak/>
              <w:t>Upper Limb Function &amp; Dexterity</w:t>
            </w:r>
          </w:p>
        </w:tc>
        <w:tc>
          <w:tcPr>
            <w:tcW w:w="0" w:type="auto"/>
            <w:hideMark/>
          </w:tcPr>
          <w:p w14:paraId="6F622D59"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Weight-bearing through upper limbs in prone - Bilateral reaching tasks with visual guidance - Hand-over-hand facilitation for self-care simulations</w:t>
            </w:r>
          </w:p>
        </w:tc>
        <w:tc>
          <w:tcPr>
            <w:tcW w:w="0" w:type="auto"/>
            <w:hideMark/>
          </w:tcPr>
          <w:p w14:paraId="2472A160"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Daily, 10–15 min/task</w:t>
            </w:r>
          </w:p>
        </w:tc>
        <w:tc>
          <w:tcPr>
            <w:tcW w:w="0" w:type="auto"/>
            <w:hideMark/>
          </w:tcPr>
          <w:p w14:paraId="5CA5A508"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Enhances upper limb coordination, supports participation in ADLs; evidence supports task-specific upper limb training in severe motor impairment.</w:t>
            </w:r>
          </w:p>
        </w:tc>
      </w:tr>
      <w:tr w:rsidR="000C47B5" w:rsidRPr="000C47B5" w14:paraId="7C9AB07C" w14:textId="77777777" w:rsidTr="000C47B5">
        <w:tc>
          <w:tcPr>
            <w:tcW w:w="0" w:type="auto"/>
            <w:hideMark/>
          </w:tcPr>
          <w:p w14:paraId="2CAE4EBC"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Sensory-Motor Modulation</w:t>
            </w:r>
          </w:p>
        </w:tc>
        <w:tc>
          <w:tcPr>
            <w:tcW w:w="0" w:type="auto"/>
            <w:hideMark/>
          </w:tcPr>
          <w:p w14:paraId="360F5C36"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Thermal and tactile stimulation prior to feeding - Auditory and proprioceptive input during therapy - Deep pressure for dystonia modulation</w:t>
            </w:r>
          </w:p>
        </w:tc>
        <w:tc>
          <w:tcPr>
            <w:tcW w:w="0" w:type="auto"/>
            <w:hideMark/>
          </w:tcPr>
          <w:p w14:paraId="06515C43"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As required during therapy</w:t>
            </w:r>
          </w:p>
        </w:tc>
        <w:tc>
          <w:tcPr>
            <w:tcW w:w="0" w:type="auto"/>
            <w:hideMark/>
          </w:tcPr>
          <w:p w14:paraId="7A4D253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Reduces dystonic activity, enhances task engagement, and facilitates sensorimotor integration; supported by pediatric neurorehabilitation literature.</w:t>
            </w:r>
          </w:p>
        </w:tc>
      </w:tr>
      <w:tr w:rsidR="000C47B5" w:rsidRPr="000C47B5" w14:paraId="4AE64BCE" w14:textId="77777777" w:rsidTr="000C47B5">
        <w:tc>
          <w:tcPr>
            <w:tcW w:w="0" w:type="auto"/>
            <w:hideMark/>
          </w:tcPr>
          <w:p w14:paraId="557173B7"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Mobility &amp; Weight-Bearing</w:t>
            </w:r>
          </w:p>
        </w:tc>
        <w:tc>
          <w:tcPr>
            <w:tcW w:w="0" w:type="auto"/>
            <w:hideMark/>
          </w:tcPr>
          <w:p w14:paraId="7C711841"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Tilt table standing with abdominal binder (20 min/day) - Side-lying to sitting practice - Assisted sit-to-stand with verbal and tactile cues</w:t>
            </w:r>
          </w:p>
        </w:tc>
        <w:tc>
          <w:tcPr>
            <w:tcW w:w="0" w:type="auto"/>
            <w:hideMark/>
          </w:tcPr>
          <w:p w14:paraId="19BC8195"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Daily</w:t>
            </w:r>
          </w:p>
        </w:tc>
        <w:tc>
          <w:tcPr>
            <w:tcW w:w="0" w:type="auto"/>
            <w:hideMark/>
          </w:tcPr>
          <w:p w14:paraId="6FC3F04A"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Maintains bone density, orthostatic tolerance, and functional transition skills; aligns with pediatric neuromotor rehabilitation recommendations.</w:t>
            </w:r>
          </w:p>
        </w:tc>
      </w:tr>
      <w:tr w:rsidR="000C47B5" w:rsidRPr="000C47B5" w14:paraId="72ACE625" w14:textId="77777777" w:rsidTr="000C47B5">
        <w:tc>
          <w:tcPr>
            <w:tcW w:w="0" w:type="auto"/>
            <w:hideMark/>
          </w:tcPr>
          <w:p w14:paraId="7FF700AA" w14:textId="77777777" w:rsidR="000C47B5" w:rsidRPr="000C47B5" w:rsidRDefault="000C47B5" w:rsidP="000C47B5">
            <w:pPr>
              <w:rPr>
                <w:rFonts w:ascii="Arial" w:hAnsi="Arial" w:cs="Arial"/>
                <w:sz w:val="20"/>
                <w:szCs w:val="20"/>
                <w:lang w:bidi="hi-IN"/>
              </w:rPr>
            </w:pPr>
            <w:proofErr w:type="spellStart"/>
            <w:r w:rsidRPr="001801CB">
              <w:rPr>
                <w:rFonts w:ascii="Arial" w:hAnsi="Arial" w:cs="Arial"/>
                <w:b/>
                <w:bCs/>
                <w:sz w:val="20"/>
                <w:szCs w:val="20"/>
                <w:lang w:bidi="hi-IN"/>
              </w:rPr>
              <w:t>Oromotor</w:t>
            </w:r>
            <w:proofErr w:type="spellEnd"/>
            <w:r w:rsidRPr="001801CB">
              <w:rPr>
                <w:rFonts w:ascii="Arial" w:hAnsi="Arial" w:cs="Arial"/>
                <w:b/>
                <w:bCs/>
                <w:sz w:val="20"/>
                <w:szCs w:val="20"/>
                <w:lang w:bidi="hi-IN"/>
              </w:rPr>
              <w:t xml:space="preserve"> &amp; Swallowing Support</w:t>
            </w:r>
          </w:p>
        </w:tc>
        <w:tc>
          <w:tcPr>
            <w:tcW w:w="0" w:type="auto"/>
            <w:hideMark/>
          </w:tcPr>
          <w:p w14:paraId="41E16A00"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Facilitated jaw support during swallowing - Textured bolus trials with speech-language pathology guidance - Cheek and lip tactile stimulation prior to feeding</w:t>
            </w:r>
          </w:p>
        </w:tc>
        <w:tc>
          <w:tcPr>
            <w:tcW w:w="0" w:type="auto"/>
            <w:hideMark/>
          </w:tcPr>
          <w:p w14:paraId="7FAC5FBB"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2–3x/day during meals</w:t>
            </w:r>
          </w:p>
        </w:tc>
        <w:tc>
          <w:tcPr>
            <w:tcW w:w="0" w:type="auto"/>
            <w:hideMark/>
          </w:tcPr>
          <w:p w14:paraId="12E1920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Promotes safe swallowing, reduces aspiration risk, and supports oral intake; evidence-based strategies for pediatric dysphagia management.</w:t>
            </w:r>
          </w:p>
        </w:tc>
      </w:tr>
      <w:tr w:rsidR="000C47B5" w:rsidRPr="000C47B5" w14:paraId="22C89F07" w14:textId="77777777" w:rsidTr="000C47B5">
        <w:tc>
          <w:tcPr>
            <w:tcW w:w="0" w:type="auto"/>
            <w:hideMark/>
          </w:tcPr>
          <w:p w14:paraId="6E060915"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Orthotic &amp; Postural Support</w:t>
            </w:r>
          </w:p>
        </w:tc>
        <w:tc>
          <w:tcPr>
            <w:tcW w:w="0" w:type="auto"/>
            <w:hideMark/>
          </w:tcPr>
          <w:p w14:paraId="78975D57"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Night splints for elbows and wrists - Soft cervical collar for torticollis - KAFOs discontinued due to skin compromise</w:t>
            </w:r>
          </w:p>
        </w:tc>
        <w:tc>
          <w:tcPr>
            <w:tcW w:w="0" w:type="auto"/>
            <w:hideMark/>
          </w:tcPr>
          <w:p w14:paraId="61E4D667"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Nightly or as indicated</w:t>
            </w:r>
          </w:p>
        </w:tc>
        <w:tc>
          <w:tcPr>
            <w:tcW w:w="0" w:type="auto"/>
            <w:hideMark/>
          </w:tcPr>
          <w:p w14:paraId="23021AB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Prevents contractures, maintains postural alignment, and minimizes musculoskeletal deformity; consistent with pediatric orthotic practice.</w:t>
            </w:r>
          </w:p>
        </w:tc>
      </w:tr>
      <w:tr w:rsidR="000C47B5" w:rsidRPr="000C47B5" w14:paraId="1B488601" w14:textId="77777777" w:rsidTr="000C47B5">
        <w:tc>
          <w:tcPr>
            <w:tcW w:w="0" w:type="auto"/>
            <w:hideMark/>
          </w:tcPr>
          <w:p w14:paraId="05898545"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Caregiver Training &amp; Empowerment</w:t>
            </w:r>
          </w:p>
        </w:tc>
        <w:tc>
          <w:tcPr>
            <w:tcW w:w="0" w:type="auto"/>
            <w:hideMark/>
          </w:tcPr>
          <w:p w14:paraId="07CA649D"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Home stretching and positioning program 2x/day - Feeding checklist, seizure management, and safe transfer protocols - Training in recognizing and managing dystonic episodes</w:t>
            </w:r>
          </w:p>
        </w:tc>
        <w:tc>
          <w:tcPr>
            <w:tcW w:w="0" w:type="auto"/>
            <w:hideMark/>
          </w:tcPr>
          <w:p w14:paraId="7A828584"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Daily</w:t>
            </w:r>
          </w:p>
        </w:tc>
        <w:tc>
          <w:tcPr>
            <w:tcW w:w="0" w:type="auto"/>
            <w:hideMark/>
          </w:tcPr>
          <w:p w14:paraId="7C4918C7"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Facilitates adherence, improves safety, and promotes family-centered care; supported by pediatric chronic care guidelines.</w:t>
            </w:r>
          </w:p>
        </w:tc>
      </w:tr>
      <w:tr w:rsidR="000C47B5" w:rsidRPr="000C47B5" w14:paraId="5534998F" w14:textId="77777777" w:rsidTr="000C47B5">
        <w:tc>
          <w:tcPr>
            <w:tcW w:w="0" w:type="auto"/>
            <w:hideMark/>
          </w:tcPr>
          <w:p w14:paraId="484983A5" w14:textId="77777777" w:rsidR="000C47B5" w:rsidRPr="000C47B5" w:rsidRDefault="000C47B5" w:rsidP="000C47B5">
            <w:pPr>
              <w:rPr>
                <w:rFonts w:ascii="Arial" w:hAnsi="Arial" w:cs="Arial"/>
                <w:sz w:val="20"/>
                <w:szCs w:val="20"/>
                <w:lang w:bidi="hi-IN"/>
              </w:rPr>
            </w:pPr>
            <w:r w:rsidRPr="001801CB">
              <w:rPr>
                <w:rFonts w:ascii="Arial" w:hAnsi="Arial" w:cs="Arial"/>
                <w:b/>
                <w:bCs/>
                <w:sz w:val="20"/>
                <w:szCs w:val="20"/>
                <w:lang w:bidi="hi-IN"/>
              </w:rPr>
              <w:t>Quality of Life &amp; Emotional Engagement</w:t>
            </w:r>
          </w:p>
        </w:tc>
        <w:tc>
          <w:tcPr>
            <w:tcW w:w="0" w:type="auto"/>
            <w:hideMark/>
          </w:tcPr>
          <w:p w14:paraId="474C1C05"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 Music therapy with familiar songs and rhythmic entrainment - Facial expression recognition and interactive engagement coaching for family</w:t>
            </w:r>
          </w:p>
        </w:tc>
        <w:tc>
          <w:tcPr>
            <w:tcW w:w="0" w:type="auto"/>
            <w:hideMark/>
          </w:tcPr>
          <w:p w14:paraId="4DDBC5CE"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3–5x/week</w:t>
            </w:r>
          </w:p>
        </w:tc>
        <w:tc>
          <w:tcPr>
            <w:tcW w:w="0" w:type="auto"/>
            <w:hideMark/>
          </w:tcPr>
          <w:p w14:paraId="03404F73" w14:textId="77777777" w:rsidR="000C47B5" w:rsidRPr="000C47B5" w:rsidRDefault="000C47B5" w:rsidP="000C47B5">
            <w:pPr>
              <w:rPr>
                <w:rFonts w:ascii="Arial" w:hAnsi="Arial" w:cs="Arial"/>
                <w:sz w:val="20"/>
                <w:szCs w:val="20"/>
                <w:lang w:bidi="hi-IN"/>
              </w:rPr>
            </w:pPr>
            <w:r w:rsidRPr="000C47B5">
              <w:rPr>
                <w:rFonts w:ascii="Arial" w:hAnsi="Arial" w:cs="Arial"/>
                <w:sz w:val="20"/>
                <w:szCs w:val="20"/>
                <w:lang w:bidi="hi-IN"/>
              </w:rPr>
              <w:t>Enhances emotional expression, engagement, and overall quality of life; supported by pediatric sensory-enrichment and neurorehabilitation literature.</w:t>
            </w:r>
          </w:p>
        </w:tc>
      </w:tr>
    </w:tbl>
    <w:p w14:paraId="6B6866B6" w14:textId="1F394DCE" w:rsidR="000C47B5" w:rsidRDefault="000C47B5" w:rsidP="00B726FD">
      <w:pPr>
        <w:pStyle w:val="Body"/>
        <w:spacing w:after="0"/>
        <w:rPr>
          <w:rFonts w:ascii="Arial" w:hAnsi="Arial" w:cs="Arial"/>
        </w:rPr>
      </w:pPr>
    </w:p>
    <w:p w14:paraId="746A8AB6" w14:textId="77777777" w:rsidR="000C47B5" w:rsidRPr="00B726FD" w:rsidRDefault="000C47B5" w:rsidP="00B726FD">
      <w:pPr>
        <w:pStyle w:val="Body"/>
        <w:spacing w:after="0"/>
        <w:rPr>
          <w:rFonts w:ascii="Arial" w:hAnsi="Arial" w:cs="Arial"/>
        </w:rPr>
      </w:pPr>
    </w:p>
    <w:p w14:paraId="6CE4BE42" w14:textId="77777777" w:rsidR="00B726FD" w:rsidRDefault="00B726FD" w:rsidP="00B726FD">
      <w:pPr>
        <w:pStyle w:val="Body"/>
        <w:spacing w:after="0"/>
        <w:rPr>
          <w:rFonts w:ascii="Arial" w:hAnsi="Arial" w:cs="Arial"/>
        </w:rPr>
      </w:pPr>
      <w:r w:rsidRPr="00B726FD">
        <w:rPr>
          <w:rFonts w:ascii="Arial" w:hAnsi="Arial" w:cs="Arial"/>
        </w:rPr>
        <w:t>She had severe dystonia, fixed postures, advanced scoliosis, compromised respiratory function, and limited communication at age 11. Complications included swallowing dysfunction and recurrent infections. She had developed signs of gastrointestinal obstruction, refractory seizures, and aspiration-related cardiorespiratory arrest within 72 hours, resulting in death in late 2024.</w:t>
      </w:r>
    </w:p>
    <w:p w14:paraId="1E63CD1C" w14:textId="77777777" w:rsidR="00B726FD" w:rsidRPr="00B726FD" w:rsidRDefault="00B726FD" w:rsidP="00B726FD">
      <w:pPr>
        <w:pStyle w:val="Body"/>
        <w:spacing w:after="0"/>
        <w:rPr>
          <w:rFonts w:ascii="Arial" w:hAnsi="Arial" w:cs="Arial"/>
        </w:rPr>
      </w:pPr>
    </w:p>
    <w:p w14:paraId="75C06AA2" w14:textId="77777777" w:rsidR="00B726FD" w:rsidRDefault="00B726FD" w:rsidP="00B726FD">
      <w:pPr>
        <w:pStyle w:val="Body"/>
        <w:spacing w:after="0"/>
        <w:rPr>
          <w:rFonts w:ascii="Arial" w:hAnsi="Arial" w:cs="Arial"/>
        </w:rPr>
      </w:pPr>
      <w:r w:rsidRPr="00B726FD">
        <w:rPr>
          <w:rFonts w:ascii="Arial" w:hAnsi="Arial" w:cs="Arial"/>
        </w:rPr>
        <w:t>This case highlights the rare and innovative nature of HSD and offers a longitudinal case study, objective outcome measures, and an evidence-informed physiotherapy approach to advanced pediatric neurodegenerative cases.</w:t>
      </w:r>
    </w:p>
    <w:p w14:paraId="71C7C348" w14:textId="77777777" w:rsidR="00B726FD" w:rsidRPr="00B726FD" w:rsidRDefault="00B726FD" w:rsidP="00B726FD">
      <w:pPr>
        <w:pStyle w:val="Body"/>
        <w:spacing w:after="0"/>
        <w:rPr>
          <w:rFonts w:ascii="Arial" w:hAnsi="Arial" w:cs="Arial"/>
        </w:rPr>
      </w:pPr>
    </w:p>
    <w:p w14:paraId="179B99DE" w14:textId="77777777" w:rsidR="00B726FD" w:rsidRDefault="00B726FD" w:rsidP="00B726FD">
      <w:pPr>
        <w:pStyle w:val="Body"/>
        <w:spacing w:after="0"/>
        <w:rPr>
          <w:rFonts w:ascii="Arial" w:hAnsi="Arial" w:cs="Arial"/>
          <w:b/>
          <w:bCs/>
          <w:sz w:val="22"/>
          <w:szCs w:val="22"/>
        </w:rPr>
      </w:pPr>
      <w:r w:rsidRPr="00B726FD">
        <w:rPr>
          <w:rFonts w:ascii="Arial" w:hAnsi="Arial" w:cs="Arial"/>
          <w:b/>
          <w:bCs/>
          <w:sz w:val="22"/>
          <w:szCs w:val="22"/>
        </w:rPr>
        <w:t xml:space="preserve">3. DISCUSSION: </w:t>
      </w:r>
    </w:p>
    <w:p w14:paraId="476AA51A" w14:textId="77777777" w:rsidR="00B726FD" w:rsidRPr="00B726FD" w:rsidRDefault="00B726FD" w:rsidP="00B726FD">
      <w:pPr>
        <w:pStyle w:val="Body"/>
        <w:spacing w:after="0"/>
        <w:rPr>
          <w:rFonts w:ascii="Arial" w:hAnsi="Arial" w:cs="Arial"/>
          <w:b/>
          <w:bCs/>
          <w:sz w:val="22"/>
          <w:szCs w:val="22"/>
        </w:rPr>
      </w:pPr>
    </w:p>
    <w:p w14:paraId="614CACE9" w14:textId="36D9CC90" w:rsidR="00B726FD" w:rsidRDefault="00B726FD" w:rsidP="00B726FD">
      <w:pPr>
        <w:pStyle w:val="Body"/>
        <w:spacing w:after="0"/>
        <w:rPr>
          <w:rFonts w:ascii="Arial" w:hAnsi="Arial" w:cs="Arial"/>
        </w:rPr>
      </w:pPr>
      <w:proofErr w:type="spellStart"/>
      <w:r w:rsidRPr="00B726FD">
        <w:rPr>
          <w:rFonts w:ascii="Arial" w:hAnsi="Arial" w:cs="Arial"/>
        </w:rPr>
        <w:t>Hallerverden</w:t>
      </w:r>
      <w:proofErr w:type="spellEnd"/>
      <w:r w:rsidRPr="00B726FD">
        <w:rPr>
          <w:rFonts w:ascii="Arial" w:hAnsi="Arial" w:cs="Arial"/>
        </w:rPr>
        <w:t xml:space="preserve"> </w:t>
      </w:r>
      <w:proofErr w:type="spellStart"/>
      <w:r w:rsidRPr="00B726FD">
        <w:rPr>
          <w:rFonts w:ascii="Arial" w:hAnsi="Arial" w:cs="Arial"/>
        </w:rPr>
        <w:t>Spatz</w:t>
      </w:r>
      <w:proofErr w:type="spellEnd"/>
      <w:r w:rsidRPr="00B726FD">
        <w:rPr>
          <w:rFonts w:ascii="Arial" w:hAnsi="Arial" w:cs="Arial"/>
        </w:rPr>
        <w:t xml:space="preserve"> Disease (HSD) is an uncommon autosomal recessive neurodegenerative disorder belonging to the NBIA spectrum. It is associated with iron accumulation in the basal ganglia, with most of them being in the globus pallidus. The most frequent underlying genetic etiology is mutation of the PANK2 gene, but others are present. Our patient presented a homozygous 215-216ins A* mutation, which is typical of classical types of HSD </w:t>
      </w:r>
      <w:r w:rsidRPr="00B726FD">
        <w:rPr>
          <w:rFonts w:ascii="Arial" w:hAnsi="Arial" w:cs="Arial"/>
          <w:vertAlign w:val="superscript"/>
        </w:rPr>
        <w:t>[</w:t>
      </w:r>
      <w:r w:rsidR="009444EE">
        <w:rPr>
          <w:rFonts w:ascii="Arial" w:hAnsi="Arial" w:cs="Arial"/>
          <w:vertAlign w:val="superscript"/>
        </w:rPr>
        <w:t>9</w:t>
      </w:r>
      <w:r w:rsidRPr="00B726FD">
        <w:rPr>
          <w:rFonts w:ascii="Arial" w:hAnsi="Arial" w:cs="Arial"/>
          <w:vertAlign w:val="superscript"/>
        </w:rPr>
        <w:t>]</w:t>
      </w:r>
      <w:r w:rsidRPr="00B726FD">
        <w:rPr>
          <w:rFonts w:ascii="Arial" w:hAnsi="Arial" w:cs="Arial"/>
        </w:rPr>
        <w:t>.</w:t>
      </w:r>
    </w:p>
    <w:p w14:paraId="55925803" w14:textId="77777777" w:rsidR="00B726FD" w:rsidRPr="00B726FD" w:rsidRDefault="00B726FD" w:rsidP="00B726FD">
      <w:pPr>
        <w:pStyle w:val="Body"/>
        <w:spacing w:after="0"/>
        <w:rPr>
          <w:rFonts w:ascii="Arial" w:hAnsi="Arial" w:cs="Arial"/>
        </w:rPr>
      </w:pPr>
    </w:p>
    <w:p w14:paraId="6A473E1C" w14:textId="2097F668" w:rsidR="00B726FD" w:rsidRDefault="00B726FD" w:rsidP="00B726FD">
      <w:pPr>
        <w:pStyle w:val="Body"/>
        <w:spacing w:after="0"/>
        <w:rPr>
          <w:rFonts w:ascii="Arial" w:hAnsi="Arial" w:cs="Arial"/>
        </w:rPr>
      </w:pPr>
      <w:r w:rsidRPr="00B726FD">
        <w:rPr>
          <w:rFonts w:ascii="Arial" w:hAnsi="Arial" w:cs="Arial"/>
        </w:rPr>
        <w:t xml:space="preserve">The classical expression of PKAN usually occurs in early childhood with dystonia, dysarthria, and rigidity between 7 and 15 years of age </w:t>
      </w:r>
      <w:r w:rsidRPr="00B726FD">
        <w:rPr>
          <w:rFonts w:ascii="Arial" w:hAnsi="Arial" w:cs="Arial"/>
          <w:vertAlign w:val="superscript"/>
        </w:rPr>
        <w:t>[4]</w:t>
      </w:r>
      <w:r w:rsidRPr="00B726FD">
        <w:rPr>
          <w:rFonts w:ascii="Arial" w:hAnsi="Arial" w:cs="Arial"/>
        </w:rPr>
        <w:t xml:space="preserve">. Survival is variable, but median survival after diagnosis is about 10 to 12 years, with a few patients experiencing a quick deterioration and death within one to two years from the onset of symptoms </w:t>
      </w:r>
      <w:r w:rsidRPr="00B726FD">
        <w:rPr>
          <w:rFonts w:ascii="Arial" w:hAnsi="Arial" w:cs="Arial"/>
          <w:vertAlign w:val="superscript"/>
        </w:rPr>
        <w:t>[</w:t>
      </w:r>
      <w:r w:rsidR="009444EE">
        <w:rPr>
          <w:rFonts w:ascii="Arial" w:hAnsi="Arial" w:cs="Arial"/>
          <w:vertAlign w:val="superscript"/>
        </w:rPr>
        <w:t>10</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Pr="00B726FD">
        <w:rPr>
          <w:rFonts w:ascii="Arial" w:hAnsi="Arial" w:cs="Arial"/>
        </w:rPr>
        <w:t>.</w:t>
      </w:r>
    </w:p>
    <w:p w14:paraId="4A269BE7" w14:textId="77777777" w:rsidR="00B726FD" w:rsidRPr="00B726FD" w:rsidRDefault="00B726FD" w:rsidP="00B726FD">
      <w:pPr>
        <w:pStyle w:val="Body"/>
        <w:spacing w:after="0"/>
        <w:rPr>
          <w:rFonts w:ascii="Arial" w:hAnsi="Arial" w:cs="Arial"/>
        </w:rPr>
      </w:pPr>
    </w:p>
    <w:p w14:paraId="4637BDB1" w14:textId="77777777" w:rsidR="00B726FD" w:rsidRDefault="00B726FD" w:rsidP="00B726FD">
      <w:pPr>
        <w:pStyle w:val="Body"/>
        <w:spacing w:after="0"/>
        <w:rPr>
          <w:rFonts w:ascii="Arial" w:hAnsi="Arial" w:cs="Arial"/>
        </w:rPr>
      </w:pPr>
      <w:r w:rsidRPr="00B726FD">
        <w:rPr>
          <w:rFonts w:ascii="Arial" w:hAnsi="Arial" w:cs="Arial"/>
        </w:rPr>
        <w:t>Early signs of abnormal gait at 11 months progressed rapidly into postural collapse, fixed deformities, and near total functional dependence at 11 years. In spite of early use of physiotherapy, the relentless pace of motor deterioration highlights the limited success of symptomatic treatment with which we are armed.</w:t>
      </w:r>
    </w:p>
    <w:p w14:paraId="637501CC" w14:textId="77777777" w:rsidR="00B726FD" w:rsidRPr="00B726FD" w:rsidRDefault="00B726FD" w:rsidP="00B726FD">
      <w:pPr>
        <w:pStyle w:val="Body"/>
        <w:spacing w:after="0"/>
        <w:rPr>
          <w:rFonts w:ascii="Arial" w:hAnsi="Arial" w:cs="Arial"/>
        </w:rPr>
      </w:pPr>
    </w:p>
    <w:p w14:paraId="1AD2C86D" w14:textId="22D99402" w:rsidR="00B726FD" w:rsidRDefault="00B726FD" w:rsidP="00B726FD">
      <w:pPr>
        <w:pStyle w:val="Body"/>
        <w:spacing w:after="0"/>
        <w:rPr>
          <w:rFonts w:ascii="Arial" w:hAnsi="Arial" w:cs="Arial"/>
        </w:rPr>
      </w:pPr>
      <w:r w:rsidRPr="00B726FD">
        <w:rPr>
          <w:rFonts w:ascii="Arial" w:hAnsi="Arial" w:cs="Arial"/>
        </w:rPr>
        <w:t xml:space="preserve">While most patients have relentless progression, there is considerable heterogeneity in the disease course. Some patients have a slow rate of progression or, indeed, a plateau for many years, maintaining functional capacity well into the third decade </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009444EE">
        <w:rPr>
          <w:rFonts w:ascii="Arial" w:hAnsi="Arial" w:cs="Arial"/>
          <w:vertAlign w:val="superscript"/>
        </w:rPr>
        <w:t>11</w:t>
      </w:r>
      <w:r w:rsidRPr="00B726FD">
        <w:rPr>
          <w:rFonts w:ascii="Arial" w:hAnsi="Arial" w:cs="Arial"/>
          <w:vertAlign w:val="superscript"/>
        </w:rPr>
        <w:t>]</w:t>
      </w:r>
      <w:r w:rsidRPr="00B726FD">
        <w:rPr>
          <w:rFonts w:ascii="Arial" w:hAnsi="Arial" w:cs="Arial"/>
        </w:rPr>
        <w:t xml:space="preserve">. There are others who experience catastrophic disability and deterioration, wheelchair dependency by mid-teens, and premature death from such complications as dysphagia and aspiration pneumonia </w:t>
      </w:r>
      <w:r w:rsidRPr="00B726FD">
        <w:rPr>
          <w:rFonts w:ascii="Arial" w:hAnsi="Arial" w:cs="Arial"/>
          <w:vertAlign w:val="superscript"/>
        </w:rPr>
        <w:t>[</w:t>
      </w:r>
      <w:r w:rsidR="009444EE">
        <w:rPr>
          <w:rFonts w:ascii="Arial" w:hAnsi="Arial" w:cs="Arial"/>
          <w:vertAlign w:val="superscript"/>
        </w:rPr>
        <w:t>6</w:t>
      </w:r>
      <w:r w:rsidRPr="00B726FD">
        <w:rPr>
          <w:rFonts w:ascii="Arial" w:hAnsi="Arial" w:cs="Arial"/>
          <w:vertAlign w:val="superscript"/>
        </w:rPr>
        <w:t>,</w:t>
      </w:r>
      <w:r w:rsidR="009444EE">
        <w:rPr>
          <w:rFonts w:ascii="Arial" w:hAnsi="Arial" w:cs="Arial"/>
          <w:vertAlign w:val="superscript"/>
        </w:rPr>
        <w:t>10</w:t>
      </w:r>
      <w:r w:rsidRPr="00B726FD">
        <w:rPr>
          <w:rFonts w:ascii="Arial" w:hAnsi="Arial" w:cs="Arial"/>
          <w:vertAlign w:val="superscript"/>
        </w:rPr>
        <w:t>]</w:t>
      </w:r>
      <w:r w:rsidRPr="00B726FD">
        <w:rPr>
          <w:rFonts w:ascii="Arial" w:hAnsi="Arial" w:cs="Arial"/>
        </w:rPr>
        <w:t>.</w:t>
      </w:r>
    </w:p>
    <w:p w14:paraId="235FC4DB" w14:textId="77777777" w:rsidR="00B726FD" w:rsidRPr="00B726FD" w:rsidRDefault="00B726FD" w:rsidP="00B726FD">
      <w:pPr>
        <w:pStyle w:val="Body"/>
        <w:spacing w:after="0"/>
        <w:rPr>
          <w:rFonts w:ascii="Arial" w:hAnsi="Arial" w:cs="Arial"/>
        </w:rPr>
      </w:pPr>
    </w:p>
    <w:p w14:paraId="2C0FD56F" w14:textId="08184629" w:rsidR="00B726FD" w:rsidRDefault="00B726FD" w:rsidP="00B726FD">
      <w:pPr>
        <w:pStyle w:val="Body"/>
        <w:spacing w:after="0"/>
        <w:rPr>
          <w:rFonts w:ascii="Arial" w:hAnsi="Arial" w:cs="Arial"/>
        </w:rPr>
      </w:pPr>
      <w:r w:rsidRPr="00B726FD">
        <w:rPr>
          <w:rFonts w:ascii="Arial" w:hAnsi="Arial" w:cs="Arial"/>
        </w:rPr>
        <w:t xml:space="preserve">In the rare forms of the disease, onset is later in life, and the course of the disease is slower, with an uncertain prognosis </w:t>
      </w:r>
      <w:r w:rsidRPr="00B726FD">
        <w:rPr>
          <w:rFonts w:ascii="Arial" w:hAnsi="Arial" w:cs="Arial"/>
          <w:vertAlign w:val="superscript"/>
        </w:rPr>
        <w:t>[</w:t>
      </w:r>
      <w:r w:rsidR="009444EE">
        <w:rPr>
          <w:rFonts w:ascii="Arial" w:hAnsi="Arial" w:cs="Arial"/>
          <w:vertAlign w:val="superscript"/>
        </w:rPr>
        <w:t>7,11</w:t>
      </w:r>
      <w:r w:rsidRPr="00B726FD">
        <w:rPr>
          <w:rFonts w:ascii="Arial" w:hAnsi="Arial" w:cs="Arial"/>
          <w:vertAlign w:val="superscript"/>
        </w:rPr>
        <w:t>]</w:t>
      </w:r>
      <w:r w:rsidRPr="00B726FD">
        <w:rPr>
          <w:rFonts w:ascii="Arial" w:hAnsi="Arial" w:cs="Arial"/>
        </w:rPr>
        <w:t xml:space="preserve">. Genetic evaluation and counseling of the affected patients and families are indicated, as understanding of the underlying genetics of the disease can be used to inform clinical course and direct management strategies </w:t>
      </w:r>
      <w:r w:rsidRPr="00B726FD">
        <w:rPr>
          <w:rFonts w:ascii="Arial" w:hAnsi="Arial" w:cs="Arial"/>
          <w:vertAlign w:val="superscript"/>
        </w:rPr>
        <w:t>[</w:t>
      </w:r>
      <w:r w:rsidR="009444EE">
        <w:rPr>
          <w:rFonts w:ascii="Arial" w:hAnsi="Arial" w:cs="Arial"/>
          <w:vertAlign w:val="superscript"/>
        </w:rPr>
        <w:t>12</w:t>
      </w:r>
      <w:r w:rsidRPr="00B726FD">
        <w:rPr>
          <w:rFonts w:ascii="Arial" w:hAnsi="Arial" w:cs="Arial"/>
          <w:vertAlign w:val="superscript"/>
        </w:rPr>
        <w:t>]</w:t>
      </w:r>
      <w:r w:rsidRPr="00B726FD">
        <w:rPr>
          <w:rFonts w:ascii="Arial" w:hAnsi="Arial" w:cs="Arial"/>
        </w:rPr>
        <w:t xml:space="preserve">. In rare cases, while symptomatic treatment can be provided, to date there is no absolute cure for </w:t>
      </w:r>
      <w:proofErr w:type="spellStart"/>
      <w:r w:rsidRPr="00B726FD">
        <w:rPr>
          <w:rFonts w:ascii="Arial" w:hAnsi="Arial" w:cs="Arial"/>
        </w:rPr>
        <w:t>Hallervorden-Spatz</w:t>
      </w:r>
      <w:proofErr w:type="spellEnd"/>
      <w:r w:rsidRPr="00B726FD">
        <w:rPr>
          <w:rFonts w:ascii="Arial" w:hAnsi="Arial" w:cs="Arial"/>
        </w:rPr>
        <w:t xml:space="preserve"> disease, and supportive treatment is still useful to improve quality of life in affected patients </w:t>
      </w:r>
      <w:r w:rsidRPr="00B726FD">
        <w:rPr>
          <w:rFonts w:ascii="Arial" w:hAnsi="Arial" w:cs="Arial"/>
          <w:vertAlign w:val="superscript"/>
        </w:rPr>
        <w:t>[</w:t>
      </w:r>
      <w:r w:rsidR="009444EE">
        <w:rPr>
          <w:rFonts w:ascii="Arial" w:hAnsi="Arial" w:cs="Arial"/>
          <w:vertAlign w:val="superscript"/>
        </w:rPr>
        <w:t>10</w:t>
      </w:r>
      <w:r w:rsidRPr="00B726FD">
        <w:rPr>
          <w:rFonts w:ascii="Arial" w:hAnsi="Arial" w:cs="Arial"/>
          <w:vertAlign w:val="superscript"/>
        </w:rPr>
        <w:t>,</w:t>
      </w:r>
      <w:r w:rsidR="009444EE">
        <w:rPr>
          <w:rFonts w:ascii="Arial" w:hAnsi="Arial" w:cs="Arial"/>
          <w:vertAlign w:val="superscript"/>
        </w:rPr>
        <w:t>8</w:t>
      </w:r>
      <w:bookmarkStart w:id="1" w:name="_GoBack"/>
      <w:bookmarkEnd w:id="1"/>
      <w:r w:rsidRPr="00B726FD">
        <w:rPr>
          <w:rFonts w:ascii="Arial" w:hAnsi="Arial" w:cs="Arial"/>
          <w:vertAlign w:val="superscript"/>
        </w:rPr>
        <w:t>]</w:t>
      </w:r>
      <w:r w:rsidRPr="00B726FD">
        <w:rPr>
          <w:rFonts w:ascii="Arial" w:hAnsi="Arial" w:cs="Arial"/>
        </w:rPr>
        <w:t>.</w:t>
      </w:r>
    </w:p>
    <w:p w14:paraId="767BCEED" w14:textId="77777777" w:rsidR="00B726FD" w:rsidRPr="00B726FD" w:rsidRDefault="00B726FD" w:rsidP="00B726FD">
      <w:pPr>
        <w:pStyle w:val="Body"/>
        <w:spacing w:after="0"/>
        <w:rPr>
          <w:rFonts w:ascii="Arial" w:hAnsi="Arial" w:cs="Arial"/>
        </w:rPr>
      </w:pPr>
    </w:p>
    <w:p w14:paraId="06BE3E81" w14:textId="77777777" w:rsidR="00B726FD" w:rsidRDefault="00B726FD" w:rsidP="00B726FD">
      <w:pPr>
        <w:pStyle w:val="Body"/>
        <w:spacing w:after="0"/>
        <w:rPr>
          <w:rFonts w:ascii="Arial" w:hAnsi="Arial" w:cs="Arial"/>
          <w:b/>
          <w:bCs/>
        </w:rPr>
      </w:pPr>
      <w:r>
        <w:rPr>
          <w:rFonts w:ascii="Arial" w:hAnsi="Arial" w:cs="Arial"/>
          <w:b/>
          <w:bCs/>
        </w:rPr>
        <w:t xml:space="preserve">4. </w:t>
      </w:r>
      <w:r w:rsidRPr="00B726FD">
        <w:rPr>
          <w:rFonts w:ascii="Arial" w:hAnsi="Arial" w:cs="Arial"/>
          <w:b/>
          <w:bCs/>
        </w:rPr>
        <w:t>CONCLUSION:</w:t>
      </w:r>
    </w:p>
    <w:p w14:paraId="4B709DA0" w14:textId="77777777" w:rsidR="00B726FD" w:rsidRPr="00B726FD" w:rsidRDefault="00B726FD" w:rsidP="00B726FD">
      <w:pPr>
        <w:pStyle w:val="Body"/>
        <w:spacing w:after="0"/>
        <w:rPr>
          <w:rFonts w:ascii="Arial" w:hAnsi="Arial" w:cs="Arial"/>
          <w:b/>
          <w:bCs/>
        </w:rPr>
      </w:pPr>
    </w:p>
    <w:p w14:paraId="3A5BD6E5" w14:textId="77777777" w:rsidR="00B726FD" w:rsidRDefault="00B726FD" w:rsidP="00B726FD">
      <w:pPr>
        <w:pStyle w:val="Body"/>
        <w:spacing w:after="0"/>
        <w:rPr>
          <w:rFonts w:ascii="Arial" w:hAnsi="Arial" w:cs="Arial"/>
        </w:rPr>
      </w:pPr>
      <w:r w:rsidRPr="00B726FD">
        <w:rPr>
          <w:rFonts w:ascii="Arial" w:hAnsi="Arial" w:cs="Arial"/>
        </w:rPr>
        <w:t>This case demonstrates the natural history of untreated and treatment-resistant NBIA. Our case is one of the few, detailed longitudinal descriptions of pediatric HSD, from developmental concern to terminal complications. It highlights the importance of multidisciplinary management, early genetic counseling, and the necessity for research into disease-modifying therapy. The case also further convinces the case for the use of validated outcome measures in follow-up of pediatric neurodegenerative disease, to improve monitoring of progression, and the targeting of interventions.</w:t>
      </w:r>
    </w:p>
    <w:p w14:paraId="704FEBE0" w14:textId="77777777" w:rsidR="00B726FD" w:rsidRPr="00B726FD" w:rsidRDefault="00B726FD" w:rsidP="00B726FD">
      <w:pPr>
        <w:pStyle w:val="Body"/>
        <w:spacing w:after="0"/>
        <w:rPr>
          <w:rFonts w:ascii="Arial" w:hAnsi="Arial" w:cs="Arial"/>
        </w:rPr>
      </w:pPr>
    </w:p>
    <w:p w14:paraId="75BD060D" w14:textId="77777777" w:rsidR="002B685A" w:rsidRPr="00410C62" w:rsidRDefault="002B685A" w:rsidP="00441B6F">
      <w:pPr>
        <w:pStyle w:val="ReferHead"/>
        <w:spacing w:after="0"/>
        <w:jc w:val="both"/>
        <w:rPr>
          <w:rFonts w:ascii="Arial" w:hAnsi="Arial" w:cs="Arial"/>
          <w:b w:val="0"/>
          <w:caps w:val="0"/>
          <w:sz w:val="20"/>
        </w:rPr>
      </w:pPr>
    </w:p>
    <w:p w14:paraId="6F9E286A" w14:textId="77777777" w:rsidR="005C784C" w:rsidRPr="007373CE" w:rsidRDefault="002B685A" w:rsidP="00441B6F">
      <w:pPr>
        <w:pStyle w:val="ReferHead"/>
        <w:spacing w:after="0"/>
        <w:jc w:val="both"/>
        <w:rPr>
          <w:rFonts w:ascii="Arial" w:hAnsi="Arial" w:cs="Arial"/>
          <w:b w:val="0"/>
          <w:caps w:val="0"/>
          <w:sz w:val="20"/>
        </w:rPr>
      </w:pPr>
      <w:r w:rsidRPr="002B685A">
        <w:rPr>
          <w:rFonts w:ascii="Arial" w:hAnsi="Arial" w:cs="Arial"/>
          <w:bCs/>
        </w:rPr>
        <w:t>Consent</w:t>
      </w:r>
      <w:r>
        <w:rPr>
          <w:rFonts w:ascii="Arial" w:hAnsi="Arial" w:cs="Arial"/>
          <w:bCs/>
        </w:rPr>
        <w:t xml:space="preserve"> </w:t>
      </w:r>
      <w:r w:rsidR="007373CE" w:rsidRPr="007373CE">
        <w:rPr>
          <w:rFonts w:ascii="Arial" w:hAnsi="Arial" w:cs="Arial"/>
          <w:bCs/>
          <w:caps w:val="0"/>
          <w:szCs w:val="22"/>
        </w:rPr>
        <w:t xml:space="preserve">AND </w:t>
      </w:r>
      <w:r w:rsidR="005C784C">
        <w:rPr>
          <w:rFonts w:ascii="Arial" w:hAnsi="Arial" w:cs="Arial"/>
          <w:bCs/>
        </w:rPr>
        <w:t>Ethical approval (where</w:t>
      </w:r>
      <w:r w:rsidR="007369E6">
        <w:rPr>
          <w:rFonts w:ascii="Arial" w:hAnsi="Arial" w:cs="Arial"/>
          <w:bCs/>
        </w:rPr>
        <w:t xml:space="preserve"> </w:t>
      </w:r>
      <w:r w:rsidR="005C784C">
        <w:rPr>
          <w:rFonts w:ascii="Arial" w:hAnsi="Arial" w:cs="Arial"/>
          <w:bCs/>
        </w:rPr>
        <w:t>ever applicable)</w:t>
      </w:r>
    </w:p>
    <w:p w14:paraId="218168EA" w14:textId="77777777" w:rsidR="005C784C" w:rsidRPr="002B685A" w:rsidRDefault="005C784C" w:rsidP="00441B6F">
      <w:pPr>
        <w:pStyle w:val="ReferHead"/>
        <w:spacing w:after="0"/>
        <w:jc w:val="both"/>
        <w:rPr>
          <w:rFonts w:ascii="Arial" w:hAnsi="Arial" w:cs="Arial"/>
          <w:bCs/>
        </w:rPr>
      </w:pPr>
    </w:p>
    <w:p w14:paraId="7CA29CF7" w14:textId="77777777" w:rsidR="00B01FCD" w:rsidRDefault="00B726FD" w:rsidP="00B726FD">
      <w:pPr>
        <w:pStyle w:val="ReferHead"/>
        <w:spacing w:after="0"/>
        <w:jc w:val="both"/>
        <w:rPr>
          <w:rFonts w:ascii="Arial" w:hAnsi="Arial" w:cs="Arial"/>
          <w:b w:val="0"/>
          <w:caps w:val="0"/>
          <w:sz w:val="20"/>
        </w:rPr>
      </w:pPr>
      <w:r w:rsidRPr="00B726FD">
        <w:rPr>
          <w:rFonts w:ascii="Arial" w:hAnsi="Arial" w:cs="Arial"/>
          <w:b w:val="0"/>
          <w:caps w:val="0"/>
          <w:sz w:val="20"/>
        </w:rPr>
        <w:t>Ethical approval was not required for this single case report as per institutional guidelines; however, written informed consent for participation and publication was obtained from the patient’s legal guardian</w:t>
      </w:r>
      <w:r>
        <w:rPr>
          <w:rFonts w:ascii="Arial" w:hAnsi="Arial" w:cs="Arial"/>
          <w:b w:val="0"/>
          <w:caps w:val="0"/>
          <w:sz w:val="20"/>
        </w:rPr>
        <w:t>.</w:t>
      </w:r>
    </w:p>
    <w:p w14:paraId="6E140FF9" w14:textId="77777777" w:rsidR="007B7AA0" w:rsidRDefault="007B7AA0" w:rsidP="00B726FD">
      <w:pPr>
        <w:pStyle w:val="ReferHead"/>
        <w:spacing w:after="0"/>
        <w:jc w:val="both"/>
        <w:rPr>
          <w:rFonts w:ascii="Arial" w:hAnsi="Arial" w:cs="Arial"/>
          <w:b w:val="0"/>
          <w:caps w:val="0"/>
          <w:sz w:val="20"/>
        </w:rPr>
      </w:pPr>
    </w:p>
    <w:p w14:paraId="2C57405D" w14:textId="77777777" w:rsidR="007B7AA0" w:rsidRDefault="007B7AA0" w:rsidP="00B726FD">
      <w:pPr>
        <w:pStyle w:val="ReferHead"/>
        <w:spacing w:after="0"/>
        <w:jc w:val="both"/>
        <w:rPr>
          <w:rFonts w:ascii="Arial" w:hAnsi="Arial" w:cs="Arial"/>
          <w:b w:val="0"/>
          <w:caps w:val="0"/>
          <w:sz w:val="20"/>
        </w:rPr>
      </w:pPr>
    </w:p>
    <w:p w14:paraId="1F3D2CD3" w14:textId="77777777" w:rsidR="007B7AA0" w:rsidRPr="00282632" w:rsidRDefault="007B7AA0" w:rsidP="007B7AA0">
      <w:pPr>
        <w:pStyle w:val="ReferHead"/>
        <w:jc w:val="both"/>
        <w:rPr>
          <w:rFonts w:ascii="Arial" w:hAnsi="Arial" w:cs="Arial"/>
          <w:bCs/>
          <w:caps w:val="0"/>
          <w:sz w:val="20"/>
        </w:rPr>
      </w:pPr>
      <w:r w:rsidRPr="00282632">
        <w:rPr>
          <w:rFonts w:ascii="Arial" w:hAnsi="Arial" w:cs="Arial"/>
          <w:bCs/>
          <w:caps w:val="0"/>
          <w:sz w:val="20"/>
        </w:rPr>
        <w:t>COMPETING INTERESTS DISCLAIMER:</w:t>
      </w:r>
    </w:p>
    <w:p w14:paraId="65F50384" w14:textId="4E9FFDAA" w:rsidR="007B7AA0" w:rsidRDefault="007B7AA0" w:rsidP="007B7AA0">
      <w:pPr>
        <w:pStyle w:val="ReferHead"/>
        <w:spacing w:after="0"/>
        <w:jc w:val="both"/>
        <w:rPr>
          <w:rFonts w:ascii="Arial" w:hAnsi="Arial" w:cs="Arial"/>
          <w:b w:val="0"/>
          <w:caps w:val="0"/>
          <w:sz w:val="20"/>
        </w:rPr>
      </w:pPr>
      <w:r w:rsidRPr="007B7AA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AD3510D" w14:textId="47D947F3" w:rsidR="00A41C5A" w:rsidRDefault="00A41C5A" w:rsidP="007B7AA0">
      <w:pPr>
        <w:pStyle w:val="ReferHead"/>
        <w:spacing w:after="0"/>
        <w:jc w:val="both"/>
        <w:rPr>
          <w:rFonts w:ascii="Arial" w:hAnsi="Arial" w:cs="Arial"/>
          <w:b w:val="0"/>
          <w:caps w:val="0"/>
          <w:sz w:val="20"/>
        </w:rPr>
      </w:pPr>
    </w:p>
    <w:p w14:paraId="75AA023A" w14:textId="162459D1" w:rsidR="00A41C5A" w:rsidRDefault="00A41C5A" w:rsidP="007B7AA0">
      <w:pPr>
        <w:pStyle w:val="ReferHead"/>
        <w:spacing w:after="0"/>
        <w:jc w:val="both"/>
        <w:rPr>
          <w:rFonts w:ascii="Arial" w:hAnsi="Arial" w:cs="Arial"/>
          <w:b w:val="0"/>
          <w:caps w:val="0"/>
          <w:sz w:val="20"/>
        </w:rPr>
      </w:pPr>
    </w:p>
    <w:p w14:paraId="24C8D40E" w14:textId="77777777" w:rsidR="00A41C5A" w:rsidRDefault="00A41C5A" w:rsidP="00A41C5A">
      <w:pPr>
        <w:rPr>
          <w:rFonts w:ascii="Calibri" w:eastAsia="Calibri" w:hAnsi="Calibri"/>
          <w:kern w:val="2"/>
        </w:rPr>
      </w:pPr>
      <w:bookmarkStart w:id="2" w:name="_Hlk192511329"/>
      <w:bookmarkStart w:id="3" w:name="_Hlk187485061"/>
      <w:bookmarkStart w:id="4" w:name="_Hlk194655630"/>
      <w:bookmarkStart w:id="5" w:name="_Hlk209008097"/>
    </w:p>
    <w:p w14:paraId="477BD881" w14:textId="77777777" w:rsidR="00A41C5A" w:rsidRPr="00282632" w:rsidRDefault="00A41C5A" w:rsidP="00A41C5A">
      <w:pPr>
        <w:rPr>
          <w:rFonts w:ascii="Calibri" w:eastAsia="Calibri" w:hAnsi="Calibri"/>
          <w:b/>
          <w:bCs/>
          <w:kern w:val="2"/>
        </w:rPr>
      </w:pPr>
      <w:bookmarkStart w:id="6" w:name="_Hlk204003461"/>
      <w:bookmarkStart w:id="7" w:name="_Hlk209007716"/>
      <w:bookmarkEnd w:id="2"/>
      <w:bookmarkEnd w:id="3"/>
      <w:bookmarkEnd w:id="4"/>
      <w:r w:rsidRPr="00282632">
        <w:rPr>
          <w:rFonts w:ascii="Calibri" w:eastAsia="Calibri" w:hAnsi="Calibri"/>
          <w:b/>
          <w:bCs/>
          <w:kern w:val="2"/>
        </w:rPr>
        <w:t>Disclaimer (Artificial intelligence)</w:t>
      </w:r>
    </w:p>
    <w:p w14:paraId="65EF9151" w14:textId="77777777" w:rsidR="00A41C5A" w:rsidRPr="00282632" w:rsidRDefault="00A41C5A" w:rsidP="00A41C5A">
      <w:pPr>
        <w:rPr>
          <w:rFonts w:ascii="Calibri" w:eastAsia="Calibri" w:hAnsi="Calibri"/>
          <w:kern w:val="2"/>
        </w:rPr>
      </w:pPr>
      <w:r w:rsidRPr="00282632">
        <w:rPr>
          <w:rFonts w:ascii="Calibri" w:eastAsia="Calibri" w:hAnsi="Calibri"/>
          <w:kern w:val="2"/>
        </w:rPr>
        <w:t xml:space="preserve">Author(s) hereby declare that </w:t>
      </w:r>
      <w:proofErr w:type="spellStart"/>
      <w:r w:rsidRPr="00282632">
        <w:rPr>
          <w:rFonts w:ascii="Calibri" w:eastAsia="Calibri" w:hAnsi="Calibri"/>
          <w:kern w:val="2"/>
        </w:rPr>
        <w:t>generativ</w:t>
      </w:r>
      <w:proofErr w:type="spellEnd"/>
      <w:r w:rsidRPr="00282632">
        <w:rPr>
          <w:rFonts w:ascii="Calibri" w:eastAsia="Calibri" w:hAnsi="Calibri"/>
          <w:kern w:val="2"/>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A6C83D" w14:textId="77777777" w:rsidR="00A41C5A" w:rsidRPr="00282632" w:rsidRDefault="00A41C5A" w:rsidP="00A41C5A">
      <w:pPr>
        <w:rPr>
          <w:rFonts w:ascii="Calibri" w:eastAsia="Calibri" w:hAnsi="Calibri"/>
          <w:kern w:val="2"/>
        </w:rPr>
      </w:pPr>
      <w:r w:rsidRPr="00282632">
        <w:rPr>
          <w:rFonts w:ascii="Calibri" w:eastAsia="Calibri" w:hAnsi="Calibri"/>
          <w:kern w:val="2"/>
        </w:rPr>
        <w:t>Details of the AI usage are given below:</w:t>
      </w:r>
    </w:p>
    <w:p w14:paraId="435C90A5" w14:textId="1E9D409E" w:rsidR="00A41C5A" w:rsidRDefault="00A41C5A" w:rsidP="00A41C5A">
      <w:pPr>
        <w:rPr>
          <w:rFonts w:ascii="Calibri" w:eastAsia="Calibri" w:hAnsi="Calibri"/>
          <w:kern w:val="2"/>
          <w:highlight w:val="yellow"/>
        </w:rPr>
      </w:pPr>
      <w:r w:rsidRPr="00282632">
        <w:rPr>
          <w:rFonts w:ascii="Calibri" w:eastAsia="Calibri" w:hAnsi="Calibri"/>
          <w:kern w:val="2"/>
        </w:rPr>
        <w:t>1.</w:t>
      </w:r>
      <w:r w:rsidR="00FF2D9E" w:rsidRPr="00FF2D9E">
        <w:t xml:space="preserve"> </w:t>
      </w:r>
      <w:r w:rsidR="00FF2D9E" w:rsidRPr="00FF2D9E">
        <w:rPr>
          <w:rFonts w:ascii="Calibri" w:eastAsia="Calibri" w:hAnsi="Calibri"/>
          <w:kern w:val="2"/>
        </w:rPr>
        <w:t>Grammarly (Version: Premium, Grammarly Inc.) – used to enhance grammar, clarity, and readability of the manuscript text.</w:t>
      </w:r>
    </w:p>
    <w:bookmarkEnd w:id="5"/>
    <w:bookmarkEnd w:id="6"/>
    <w:bookmarkEnd w:id="7"/>
    <w:p w14:paraId="0B966C63" w14:textId="77777777" w:rsidR="00A41C5A" w:rsidRDefault="00A41C5A" w:rsidP="007B7AA0">
      <w:pPr>
        <w:pStyle w:val="ReferHead"/>
        <w:spacing w:after="0"/>
        <w:jc w:val="both"/>
        <w:rPr>
          <w:rFonts w:ascii="Arial" w:hAnsi="Arial" w:cs="Arial"/>
          <w:b w:val="0"/>
          <w:caps w:val="0"/>
          <w:sz w:val="20"/>
        </w:rPr>
      </w:pPr>
    </w:p>
    <w:p w14:paraId="1ED7B0DB" w14:textId="77777777" w:rsidR="00EB0097" w:rsidRDefault="00EB0097" w:rsidP="00B726FD">
      <w:pPr>
        <w:pStyle w:val="ReferHead"/>
        <w:spacing w:after="0"/>
        <w:jc w:val="both"/>
        <w:rPr>
          <w:rFonts w:ascii="Arial" w:hAnsi="Arial" w:cs="Arial"/>
          <w:b w:val="0"/>
          <w:caps w:val="0"/>
          <w:sz w:val="20"/>
        </w:rPr>
      </w:pPr>
    </w:p>
    <w:p w14:paraId="741FA4BB" w14:textId="77777777" w:rsidR="00EB0097" w:rsidRDefault="00EB0097" w:rsidP="00B726FD">
      <w:pPr>
        <w:pStyle w:val="ReferHead"/>
        <w:spacing w:after="0"/>
        <w:jc w:val="both"/>
        <w:rPr>
          <w:rFonts w:ascii="Arial" w:hAnsi="Arial" w:cs="Arial"/>
          <w:b w:val="0"/>
          <w:caps w:val="0"/>
          <w:sz w:val="20"/>
        </w:rPr>
      </w:pPr>
    </w:p>
    <w:p w14:paraId="4B53FDED" w14:textId="77777777" w:rsidR="00EB0097" w:rsidRDefault="00EB0097" w:rsidP="00B726FD">
      <w:pPr>
        <w:pStyle w:val="ReferHead"/>
        <w:spacing w:after="0"/>
        <w:jc w:val="both"/>
        <w:rPr>
          <w:rFonts w:ascii="Arial" w:hAnsi="Arial" w:cs="Arial"/>
          <w:b w:val="0"/>
          <w:caps w:val="0"/>
          <w:sz w:val="20"/>
        </w:rPr>
      </w:pPr>
    </w:p>
    <w:p w14:paraId="1B97B97A" w14:textId="77777777" w:rsidR="00EB0097" w:rsidRPr="00B726FD" w:rsidRDefault="00EB0097" w:rsidP="00EB0097">
      <w:pPr>
        <w:pStyle w:val="Body"/>
        <w:spacing w:after="0"/>
        <w:rPr>
          <w:rFonts w:ascii="Arial" w:hAnsi="Arial" w:cs="Arial"/>
          <w:b/>
          <w:bCs/>
          <w:sz w:val="22"/>
          <w:szCs w:val="22"/>
        </w:rPr>
      </w:pPr>
      <w:r w:rsidRPr="00B726FD">
        <w:rPr>
          <w:rFonts w:ascii="Arial" w:hAnsi="Arial" w:cs="Arial"/>
          <w:b/>
          <w:bCs/>
          <w:sz w:val="22"/>
          <w:szCs w:val="22"/>
        </w:rPr>
        <w:t xml:space="preserve">5. REFERENCES: </w:t>
      </w:r>
    </w:p>
    <w:p w14:paraId="26B350DE" w14:textId="77777777" w:rsidR="00EB0097" w:rsidRPr="00B726FD" w:rsidRDefault="00EB0097" w:rsidP="00EB0097">
      <w:pPr>
        <w:pStyle w:val="Body"/>
        <w:spacing w:after="0"/>
        <w:rPr>
          <w:rFonts w:ascii="Arial" w:hAnsi="Arial" w:cs="Arial"/>
          <w:b/>
          <w:bCs/>
        </w:rPr>
      </w:pPr>
    </w:p>
    <w:p w14:paraId="48321C6E" w14:textId="76ABA9E7" w:rsidR="00EB0097"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Kurian MA, </w:t>
      </w:r>
      <w:proofErr w:type="spellStart"/>
      <w:r w:rsidRPr="00377064">
        <w:rPr>
          <w:rFonts w:ascii="Arial" w:hAnsi="Arial" w:cs="Arial"/>
        </w:rPr>
        <w:t>Spaull</w:t>
      </w:r>
      <w:proofErr w:type="spellEnd"/>
      <w:r w:rsidRPr="00377064">
        <w:rPr>
          <w:rFonts w:ascii="Arial" w:hAnsi="Arial" w:cs="Arial"/>
        </w:rPr>
        <w:t xml:space="preserve"> RV V, Soo AKS, Hogarth P, Hayflick SJ. Towards Precision Therapies for Inherited Disorders of Neurodegeneration with Brain Iron Accumulation. 2021;11(1):1-20. doi:10.5334/tohm.661</w:t>
      </w:r>
    </w:p>
    <w:p w14:paraId="4A657D01" w14:textId="77777777" w:rsidR="009E6526"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Overview of NBIA Disorders - NBIA Disorders Association. Accessed May 15, 2025. </w:t>
      </w:r>
      <w:hyperlink r:id="rId15" w:history="1">
        <w:r w:rsidR="009E6526" w:rsidRPr="00377064">
          <w:rPr>
            <w:rStyle w:val="Hyperlink"/>
            <w:rFonts w:ascii="Arial" w:hAnsi="Arial" w:cs="Arial"/>
            <w:color w:val="auto"/>
            <w:u w:val="none"/>
          </w:rPr>
          <w:t>https://www.nbiadisorders.org/about-nbia/overview-of-nbia-disorders</w:t>
        </w:r>
      </w:hyperlink>
    </w:p>
    <w:p w14:paraId="343E3C84" w14:textId="201E3CC4" w:rsidR="009E6526" w:rsidRPr="00377064" w:rsidRDefault="009E6526" w:rsidP="009E6526">
      <w:pPr>
        <w:pStyle w:val="Body"/>
        <w:numPr>
          <w:ilvl w:val="0"/>
          <w:numId w:val="34"/>
        </w:numPr>
        <w:spacing w:after="0"/>
        <w:rPr>
          <w:rFonts w:ascii="Arial" w:hAnsi="Arial" w:cs="Arial"/>
        </w:rPr>
      </w:pPr>
      <w:r w:rsidRPr="00377064">
        <w:rPr>
          <w:rFonts w:ascii="Arial" w:hAnsi="Arial" w:cs="Arial"/>
          <w:b/>
          <w:bCs/>
          <w:color w:val="333333"/>
        </w:rPr>
        <w:t>NORD. Pantothenate Kinase-Associated Neurodegeneration Accessed 22 Jul 2022 from </w:t>
      </w:r>
      <w:hyperlink r:id="rId16" w:history="1">
        <w:r w:rsidRPr="00377064">
          <w:rPr>
            <w:rStyle w:val="Hyperlink"/>
            <w:rFonts w:ascii="Arial" w:hAnsi="Arial" w:cs="Arial"/>
            <w:b/>
            <w:bCs/>
            <w:color w:val="auto"/>
            <w:u w:val="none"/>
          </w:rPr>
          <w:t>https://rarediseases.org/rare-diseases/pantothenate-kinase-associated-neurodegeneration/</w:t>
        </w:r>
      </w:hyperlink>
      <w:r w:rsidRPr="00377064">
        <w:rPr>
          <w:rFonts w:ascii="Arial" w:hAnsi="Arial" w:cs="Arial"/>
        </w:rPr>
        <w:t>.</w:t>
      </w:r>
    </w:p>
    <w:p w14:paraId="430DFB27" w14:textId="190FF1F3" w:rsidR="00A25513" w:rsidRPr="00377064" w:rsidRDefault="00A25513" w:rsidP="009E6526">
      <w:pPr>
        <w:pStyle w:val="Body"/>
        <w:numPr>
          <w:ilvl w:val="0"/>
          <w:numId w:val="34"/>
        </w:numPr>
        <w:spacing w:after="0"/>
        <w:rPr>
          <w:rFonts w:ascii="Arial" w:hAnsi="Arial" w:cs="Arial"/>
        </w:rPr>
      </w:pPr>
      <w:r w:rsidRPr="00377064">
        <w:rPr>
          <w:rFonts w:ascii="Arial" w:hAnsi="Arial" w:cs="Arial"/>
        </w:rPr>
        <w:t>Overview of NBIA disorders - NBIA Disorders Association. </w:t>
      </w:r>
      <w:hyperlink r:id="rId17" w:history="1">
        <w:r w:rsidR="00377064" w:rsidRPr="00377064">
          <w:rPr>
            <w:rStyle w:val="Hyperlink"/>
            <w:rFonts w:ascii="Arial" w:hAnsi="Arial" w:cs="Arial"/>
            <w:color w:val="auto"/>
            <w:u w:val="none"/>
            <w:bdr w:val="single" w:sz="2" w:space="0" w:color="ECEDEE" w:frame="1"/>
          </w:rPr>
          <w:t>https://www.nbiadisorders.org/about-nbia/overview-of-nbia-disorders</w:t>
        </w:r>
      </w:hyperlink>
      <w:r w:rsidRPr="00377064">
        <w:rPr>
          <w:rFonts w:ascii="Arial" w:hAnsi="Arial" w:cs="Arial"/>
        </w:rPr>
        <w:t>.</w:t>
      </w:r>
    </w:p>
    <w:p w14:paraId="629093E1" w14:textId="0B59ED50" w:rsidR="00377064" w:rsidRPr="00377064" w:rsidRDefault="00377064" w:rsidP="00377064">
      <w:pPr>
        <w:pStyle w:val="NormalWeb"/>
        <w:numPr>
          <w:ilvl w:val="0"/>
          <w:numId w:val="34"/>
        </w:numPr>
        <w:spacing w:before="0" w:beforeAutospacing="0" w:after="0" w:afterAutospacing="0"/>
        <w:rPr>
          <w:rFonts w:ascii="Arial" w:hAnsi="Arial" w:cs="Arial"/>
          <w:sz w:val="20"/>
          <w:szCs w:val="20"/>
        </w:rPr>
      </w:pPr>
      <w:r w:rsidRPr="00377064">
        <w:rPr>
          <w:rFonts w:ascii="Arial" w:hAnsi="Arial" w:cs="Arial"/>
          <w:sz w:val="20"/>
          <w:szCs w:val="20"/>
        </w:rPr>
        <w:t xml:space="preserve">NBIA DISORDERS ASSOCIATION - GuideStar Profile. </w:t>
      </w:r>
      <w:r w:rsidRPr="00377064">
        <w:rPr>
          <w:rStyle w:val="url"/>
          <w:rFonts w:ascii="Arial" w:hAnsi="Arial" w:cs="Arial"/>
          <w:sz w:val="20"/>
          <w:szCs w:val="20"/>
        </w:rPr>
        <w:t>https://www.guidestar.org/profile/33-0712327</w:t>
      </w:r>
      <w:r w:rsidRPr="00377064">
        <w:rPr>
          <w:rFonts w:ascii="Arial" w:hAnsi="Arial" w:cs="Arial"/>
          <w:sz w:val="20"/>
          <w:szCs w:val="20"/>
        </w:rPr>
        <w:t>.</w:t>
      </w:r>
    </w:p>
    <w:p w14:paraId="6186A65E" w14:textId="6D781DD2" w:rsidR="00EB0097" w:rsidRPr="00377064" w:rsidRDefault="00EB0097" w:rsidP="009E6526">
      <w:pPr>
        <w:pStyle w:val="Body"/>
        <w:numPr>
          <w:ilvl w:val="0"/>
          <w:numId w:val="34"/>
        </w:numPr>
        <w:spacing w:after="0"/>
        <w:rPr>
          <w:rFonts w:ascii="Arial" w:hAnsi="Arial" w:cs="Arial"/>
        </w:rPr>
      </w:pPr>
      <w:proofErr w:type="spellStart"/>
      <w:r w:rsidRPr="00377064">
        <w:rPr>
          <w:rFonts w:ascii="Arial" w:hAnsi="Arial" w:cs="Arial"/>
        </w:rPr>
        <w:t>Hallervorden-Spatz</w:t>
      </w:r>
      <w:proofErr w:type="spellEnd"/>
      <w:r w:rsidRPr="00377064">
        <w:rPr>
          <w:rFonts w:ascii="Arial" w:hAnsi="Arial" w:cs="Arial"/>
        </w:rPr>
        <w:t xml:space="preserve"> Disease | Syndromes: Rapid Recognition and Perioperative Implications, 2e | </w:t>
      </w:r>
      <w:proofErr w:type="spellStart"/>
      <w:r w:rsidRPr="00377064">
        <w:rPr>
          <w:rFonts w:ascii="Arial" w:hAnsi="Arial" w:cs="Arial"/>
        </w:rPr>
        <w:t>AccessPediatrics</w:t>
      </w:r>
      <w:proofErr w:type="spellEnd"/>
      <w:r w:rsidRPr="00377064">
        <w:rPr>
          <w:rFonts w:ascii="Arial" w:hAnsi="Arial" w:cs="Arial"/>
        </w:rPr>
        <w:t xml:space="preserve"> | McGraw Hill Medical. Accessed May 18, 2025. https://accesspediatrics.mhmedical.com/content.aspx?bookid=2674&amp;sectionid=220531686</w:t>
      </w:r>
    </w:p>
    <w:p w14:paraId="05A94B2E" w14:textId="341CE65E" w:rsidR="00EB0097" w:rsidRPr="00377064" w:rsidRDefault="00EB0097" w:rsidP="009E6526">
      <w:pPr>
        <w:pStyle w:val="Body"/>
        <w:numPr>
          <w:ilvl w:val="0"/>
          <w:numId w:val="34"/>
        </w:numPr>
        <w:spacing w:after="0"/>
        <w:rPr>
          <w:rFonts w:ascii="Arial" w:hAnsi="Arial" w:cs="Arial"/>
        </w:rPr>
      </w:pPr>
      <w:proofErr w:type="spellStart"/>
      <w:r w:rsidRPr="00377064">
        <w:rPr>
          <w:rFonts w:ascii="Arial" w:hAnsi="Arial" w:cs="Arial"/>
        </w:rPr>
        <w:lastRenderedPageBreak/>
        <w:t>Hallervorden-Spatz</w:t>
      </w:r>
      <w:proofErr w:type="spellEnd"/>
      <w:r w:rsidRPr="00377064">
        <w:rPr>
          <w:rFonts w:ascii="Arial" w:hAnsi="Arial" w:cs="Arial"/>
        </w:rPr>
        <w:t xml:space="preserve"> syndrome, PANK2, and the tiger’s eyes. Arch Dis Child. 2003;88(6):487-487. doi:10.1136/ADC.88.6.487</w:t>
      </w:r>
    </w:p>
    <w:p w14:paraId="4AB5CDD2" w14:textId="53BE7F56" w:rsidR="00EB0097" w:rsidRPr="00377064" w:rsidRDefault="00EB0097" w:rsidP="009E6526">
      <w:pPr>
        <w:pStyle w:val="Body"/>
        <w:numPr>
          <w:ilvl w:val="0"/>
          <w:numId w:val="34"/>
        </w:numPr>
        <w:spacing w:after="0"/>
        <w:rPr>
          <w:rFonts w:ascii="Arial" w:hAnsi="Arial" w:cs="Arial"/>
        </w:rPr>
      </w:pPr>
      <w:proofErr w:type="spellStart"/>
      <w:r w:rsidRPr="00377064">
        <w:rPr>
          <w:rFonts w:ascii="Arial" w:hAnsi="Arial" w:cs="Arial"/>
        </w:rPr>
        <w:t>Pohane</w:t>
      </w:r>
      <w:proofErr w:type="spellEnd"/>
      <w:r w:rsidRPr="00377064">
        <w:rPr>
          <w:rFonts w:ascii="Arial" w:hAnsi="Arial" w:cs="Arial"/>
        </w:rPr>
        <w:t xml:space="preserve"> MR, </w:t>
      </w:r>
      <w:proofErr w:type="spellStart"/>
      <w:r w:rsidRPr="00377064">
        <w:rPr>
          <w:rFonts w:ascii="Arial" w:hAnsi="Arial" w:cs="Arial"/>
        </w:rPr>
        <w:t>Dafre</w:t>
      </w:r>
      <w:proofErr w:type="spellEnd"/>
      <w:r w:rsidRPr="00377064">
        <w:rPr>
          <w:rFonts w:ascii="Arial" w:hAnsi="Arial" w:cs="Arial"/>
        </w:rPr>
        <w:t xml:space="preserve"> R, Sontakke NG. Diagnosis and Treatment of Pantothenate Kinase-Associated Neurodegeneration (PKAN): A Systematic Review. Cureus. 2023;15(9). doi:10.7759/CUREUS.46135</w:t>
      </w:r>
    </w:p>
    <w:p w14:paraId="3BA5CE47" w14:textId="4E27E241" w:rsidR="00EB0097"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Tao Y, Zhao C, Han D, et al. Typical pantothenate kinase-associated neurodegeneration caused by compound heterozygous mutations in PANK2 gene in a Chinese patient: a case report and literature review. Front Neurol. </w:t>
      </w:r>
      <w:proofErr w:type="gramStart"/>
      <w:r w:rsidRPr="00377064">
        <w:rPr>
          <w:rFonts w:ascii="Arial" w:hAnsi="Arial" w:cs="Arial"/>
        </w:rPr>
        <w:t>2023;14:1170557</w:t>
      </w:r>
      <w:proofErr w:type="gramEnd"/>
      <w:r w:rsidRPr="00377064">
        <w:rPr>
          <w:rFonts w:ascii="Arial" w:hAnsi="Arial" w:cs="Arial"/>
        </w:rPr>
        <w:t>. doi:10.3389/FNEUR.2023.1170557/BIBTEX</w:t>
      </w:r>
    </w:p>
    <w:p w14:paraId="62E73D3A" w14:textId="6B1FB38C" w:rsidR="00EB0097"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Neurodegeneration with brain iron accumulation | </w:t>
      </w:r>
      <w:proofErr w:type="spellStart"/>
      <w:r w:rsidRPr="00377064">
        <w:rPr>
          <w:rFonts w:ascii="Arial" w:hAnsi="Arial" w:cs="Arial"/>
        </w:rPr>
        <w:t>MedLink</w:t>
      </w:r>
      <w:proofErr w:type="spellEnd"/>
      <w:r w:rsidRPr="00377064">
        <w:rPr>
          <w:rFonts w:ascii="Arial" w:hAnsi="Arial" w:cs="Arial"/>
        </w:rPr>
        <w:t xml:space="preserve"> Neurology. Accessed May 18, 2025. https://www.medlink.com/articles/neurodegeneration-with-brain-iron-accumulation</w:t>
      </w:r>
    </w:p>
    <w:p w14:paraId="5C24C631" w14:textId="3A37FD31" w:rsidR="00EB0097" w:rsidRPr="00377064" w:rsidRDefault="00EB0097" w:rsidP="009E6526">
      <w:pPr>
        <w:pStyle w:val="Body"/>
        <w:numPr>
          <w:ilvl w:val="0"/>
          <w:numId w:val="34"/>
        </w:numPr>
        <w:spacing w:after="0"/>
        <w:rPr>
          <w:rFonts w:ascii="Arial" w:hAnsi="Arial" w:cs="Arial"/>
        </w:rPr>
      </w:pPr>
      <w:r w:rsidRPr="00377064">
        <w:rPr>
          <w:rFonts w:ascii="Arial" w:hAnsi="Arial" w:cs="Arial"/>
        </w:rPr>
        <w:t xml:space="preserve">Reddy N, Sharma J, Sharma A. Case of </w:t>
      </w:r>
      <w:proofErr w:type="spellStart"/>
      <w:r w:rsidRPr="00377064">
        <w:rPr>
          <w:rFonts w:ascii="Arial" w:hAnsi="Arial" w:cs="Arial"/>
        </w:rPr>
        <w:t>Hallervorden</w:t>
      </w:r>
      <w:proofErr w:type="spellEnd"/>
      <w:r w:rsidRPr="00377064">
        <w:rPr>
          <w:rFonts w:ascii="Arial" w:hAnsi="Arial" w:cs="Arial"/>
        </w:rPr>
        <w:t>–</w:t>
      </w:r>
      <w:proofErr w:type="spellStart"/>
      <w:r w:rsidRPr="00377064">
        <w:rPr>
          <w:rFonts w:ascii="Arial" w:hAnsi="Arial" w:cs="Arial"/>
        </w:rPr>
        <w:t>Spatz</w:t>
      </w:r>
      <w:proofErr w:type="spellEnd"/>
      <w:r w:rsidRPr="00377064">
        <w:rPr>
          <w:rFonts w:ascii="Arial" w:hAnsi="Arial" w:cs="Arial"/>
        </w:rPr>
        <w:t xml:space="preserve"> Syndrome: A Tale of Twin Sisters. Neurol India. 2024;72(2):411-413. doi:10.4103/NI.NI_1135_22</w:t>
      </w:r>
    </w:p>
    <w:p w14:paraId="09D423C4" w14:textId="10F91A0B" w:rsidR="00EB0097" w:rsidRPr="00B726FD" w:rsidRDefault="00EB0097" w:rsidP="009E6526">
      <w:pPr>
        <w:pStyle w:val="Body"/>
        <w:numPr>
          <w:ilvl w:val="0"/>
          <w:numId w:val="34"/>
        </w:numPr>
        <w:spacing w:after="0"/>
        <w:rPr>
          <w:rFonts w:ascii="Arial" w:hAnsi="Arial" w:cs="Arial"/>
        </w:rPr>
      </w:pPr>
      <w:r w:rsidRPr="00B726FD">
        <w:rPr>
          <w:rFonts w:ascii="Arial" w:hAnsi="Arial" w:cs="Arial"/>
        </w:rPr>
        <w:t xml:space="preserve">Hogarth P, Kurian MA, Gregory A, et al. Consensus clinical management guideline for pantothenate kinase-associated neurodegeneration (PKAN). Mol Genet Metab. 2017;120(3):278-287. </w:t>
      </w:r>
      <w:proofErr w:type="gramStart"/>
      <w:r w:rsidRPr="00B726FD">
        <w:rPr>
          <w:rFonts w:ascii="Arial" w:hAnsi="Arial" w:cs="Arial"/>
        </w:rPr>
        <w:t>doi:10.1016/J.YMGME</w:t>
      </w:r>
      <w:proofErr w:type="gramEnd"/>
      <w:r w:rsidRPr="00B726FD">
        <w:rPr>
          <w:rFonts w:ascii="Arial" w:hAnsi="Arial" w:cs="Arial"/>
        </w:rPr>
        <w:t>.2016.11.004</w:t>
      </w:r>
    </w:p>
    <w:p w14:paraId="2A6CC124" w14:textId="77777777" w:rsidR="00EB0097" w:rsidRPr="00B726FD" w:rsidRDefault="00EB0097" w:rsidP="00EB0097">
      <w:pPr>
        <w:pStyle w:val="Body"/>
        <w:spacing w:after="0"/>
        <w:rPr>
          <w:rFonts w:ascii="Arial" w:hAnsi="Arial" w:cs="Arial"/>
        </w:rPr>
      </w:pPr>
    </w:p>
    <w:p w14:paraId="438DD76E" w14:textId="0893416D" w:rsidR="00EB0097" w:rsidRDefault="00EB0097" w:rsidP="00B726FD">
      <w:pPr>
        <w:pStyle w:val="ReferHead"/>
        <w:spacing w:after="0"/>
        <w:jc w:val="both"/>
        <w:rPr>
          <w:rFonts w:ascii="Arial" w:hAnsi="Arial" w:cs="Arial"/>
          <w:b w:val="0"/>
        </w:rPr>
      </w:pPr>
    </w:p>
    <w:p w14:paraId="144198D0" w14:textId="33902F77" w:rsidR="003D5ADD" w:rsidRDefault="003D5ADD" w:rsidP="00B726FD">
      <w:pPr>
        <w:pStyle w:val="ReferHead"/>
        <w:spacing w:after="0"/>
        <w:jc w:val="both"/>
        <w:rPr>
          <w:rFonts w:ascii="Arial" w:hAnsi="Arial" w:cs="Arial"/>
          <w:b w:val="0"/>
        </w:rPr>
      </w:pPr>
    </w:p>
    <w:p w14:paraId="3D79C225" w14:textId="77777777" w:rsidR="003D5ADD" w:rsidRPr="00FB3A86" w:rsidRDefault="003D5ADD" w:rsidP="00B726FD">
      <w:pPr>
        <w:pStyle w:val="ReferHead"/>
        <w:spacing w:after="0"/>
        <w:jc w:val="both"/>
        <w:rPr>
          <w:rFonts w:ascii="Arial" w:hAnsi="Arial" w:cs="Arial"/>
          <w:b w:val="0"/>
        </w:rPr>
      </w:pPr>
    </w:p>
    <w:sectPr w:rsidR="003D5ADD" w:rsidRPr="00FB3A86" w:rsidSect="000E265E">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EBB6F" w14:textId="77777777" w:rsidR="003E13F6" w:rsidRDefault="003E13F6" w:rsidP="00C37E61">
      <w:r>
        <w:separator/>
      </w:r>
    </w:p>
  </w:endnote>
  <w:endnote w:type="continuationSeparator" w:id="0">
    <w:p w14:paraId="320B9AB2" w14:textId="77777777" w:rsidR="003E13F6" w:rsidRDefault="003E13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13B0" w14:textId="77777777" w:rsidR="000E265E" w:rsidRDefault="000E2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2C2C" w14:textId="77777777" w:rsidR="000E265E" w:rsidRDefault="000E2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8397" w14:textId="1081B468" w:rsidR="00754C9A" w:rsidRPr="000E265E" w:rsidRDefault="00754C9A" w:rsidP="000E26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68D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DEA6C" w14:textId="77777777" w:rsidR="003E13F6" w:rsidRDefault="003E13F6" w:rsidP="00C37E61">
      <w:r>
        <w:separator/>
      </w:r>
    </w:p>
  </w:footnote>
  <w:footnote w:type="continuationSeparator" w:id="0">
    <w:p w14:paraId="79B7175B" w14:textId="77777777" w:rsidR="003E13F6" w:rsidRDefault="003E13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E204" w14:textId="531CB149" w:rsidR="000E265E" w:rsidRDefault="003E13F6">
    <w:pPr>
      <w:pStyle w:val="Header"/>
    </w:pPr>
    <w:r>
      <w:rPr>
        <w:noProof/>
      </w:rPr>
      <w:pict w14:anchorId="5D63A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5C8D" w14:textId="653EB290" w:rsidR="000E265E" w:rsidRDefault="003E13F6">
    <w:pPr>
      <w:pStyle w:val="Header"/>
    </w:pPr>
    <w:r>
      <w:rPr>
        <w:noProof/>
      </w:rPr>
      <w:pict w14:anchorId="2155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EB054" w14:textId="3A307552" w:rsidR="00296529" w:rsidRPr="00296529" w:rsidRDefault="003E13F6" w:rsidP="00296529">
    <w:pPr>
      <w:ind w:left="2160"/>
      <w:jc w:val="center"/>
      <w:rPr>
        <w:rFonts w:ascii="Times New Roman" w:eastAsia="Calibri" w:hAnsi="Times New Roman"/>
        <w:i/>
        <w:sz w:val="18"/>
        <w:szCs w:val="22"/>
      </w:rPr>
    </w:pPr>
    <w:r>
      <w:rPr>
        <w:noProof/>
      </w:rPr>
      <w:pict w14:anchorId="234F7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2F40F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DBEAE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D01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7AF0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66166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757B7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5252" w14:textId="578F49F7" w:rsidR="000E265E" w:rsidRDefault="003E13F6">
    <w:pPr>
      <w:pStyle w:val="Header"/>
    </w:pPr>
    <w:r>
      <w:rPr>
        <w:noProof/>
      </w:rPr>
      <w:pict w14:anchorId="04B9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EA40" w14:textId="3678A334" w:rsidR="000E265E" w:rsidRDefault="003E13F6">
    <w:pPr>
      <w:pStyle w:val="Header"/>
    </w:pPr>
    <w:r>
      <w:rPr>
        <w:noProof/>
      </w:rPr>
      <w:pict w14:anchorId="45966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3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1C75" w14:textId="0AB518C4" w:rsidR="000E265E" w:rsidRDefault="003E13F6">
    <w:pPr>
      <w:pStyle w:val="Header"/>
    </w:pPr>
    <w:r>
      <w:rPr>
        <w:noProof/>
      </w:rPr>
      <w:pict w14:anchorId="3BAA2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362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C011BE"/>
    <w:multiLevelType w:val="hybridMultilevel"/>
    <w:tmpl w:val="A0EE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37FCF"/>
    <w:multiLevelType w:val="hybridMultilevel"/>
    <w:tmpl w:val="18D6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A10D6F"/>
    <w:multiLevelType w:val="hybridMultilevel"/>
    <w:tmpl w:val="A190B63A"/>
    <w:lvl w:ilvl="0" w:tplc="FB024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4D4FB1"/>
    <w:multiLevelType w:val="multilevel"/>
    <w:tmpl w:val="EF5A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7"/>
  </w:num>
  <w:num w:numId="30">
    <w:abstractNumId w:val="12"/>
  </w:num>
  <w:num w:numId="31">
    <w:abstractNumId w:val="10"/>
  </w:num>
  <w:num w:numId="32">
    <w:abstractNumId w:val="29"/>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4E1"/>
    <w:rsid w:val="0004579C"/>
    <w:rsid w:val="00052387"/>
    <w:rsid w:val="000A47FA"/>
    <w:rsid w:val="000A65D3"/>
    <w:rsid w:val="000B1E33"/>
    <w:rsid w:val="000C47B5"/>
    <w:rsid w:val="000D367E"/>
    <w:rsid w:val="000D689F"/>
    <w:rsid w:val="000E265E"/>
    <w:rsid w:val="000E7B7B"/>
    <w:rsid w:val="000E7D62"/>
    <w:rsid w:val="00103357"/>
    <w:rsid w:val="00123C9F"/>
    <w:rsid w:val="00126190"/>
    <w:rsid w:val="00130F17"/>
    <w:rsid w:val="001320BF"/>
    <w:rsid w:val="00163BC4"/>
    <w:rsid w:val="001801CB"/>
    <w:rsid w:val="00191062"/>
    <w:rsid w:val="00192B72"/>
    <w:rsid w:val="001A29D8"/>
    <w:rsid w:val="001A5CAA"/>
    <w:rsid w:val="001B0427"/>
    <w:rsid w:val="001D398F"/>
    <w:rsid w:val="001D3A51"/>
    <w:rsid w:val="001D54D2"/>
    <w:rsid w:val="001E10D2"/>
    <w:rsid w:val="001E25B4"/>
    <w:rsid w:val="001E44FE"/>
    <w:rsid w:val="001E6FE9"/>
    <w:rsid w:val="00200595"/>
    <w:rsid w:val="002013EB"/>
    <w:rsid w:val="00204168"/>
    <w:rsid w:val="00204835"/>
    <w:rsid w:val="00231920"/>
    <w:rsid w:val="0023195C"/>
    <w:rsid w:val="0024282C"/>
    <w:rsid w:val="002460DC"/>
    <w:rsid w:val="00250985"/>
    <w:rsid w:val="002556F6"/>
    <w:rsid w:val="0025607D"/>
    <w:rsid w:val="00282632"/>
    <w:rsid w:val="00283105"/>
    <w:rsid w:val="00284C4C"/>
    <w:rsid w:val="00287E68"/>
    <w:rsid w:val="00296529"/>
    <w:rsid w:val="002B27FB"/>
    <w:rsid w:val="002B685A"/>
    <w:rsid w:val="002C57D2"/>
    <w:rsid w:val="002E0D56"/>
    <w:rsid w:val="003017CD"/>
    <w:rsid w:val="00305DC3"/>
    <w:rsid w:val="00315186"/>
    <w:rsid w:val="0033343E"/>
    <w:rsid w:val="003512C2"/>
    <w:rsid w:val="00371FB6"/>
    <w:rsid w:val="003763C1"/>
    <w:rsid w:val="00376BBE"/>
    <w:rsid w:val="00377064"/>
    <w:rsid w:val="0039224F"/>
    <w:rsid w:val="003A11EC"/>
    <w:rsid w:val="003A280A"/>
    <w:rsid w:val="003A43A4"/>
    <w:rsid w:val="003A7E18"/>
    <w:rsid w:val="003B5447"/>
    <w:rsid w:val="003C4C86"/>
    <w:rsid w:val="003C6258"/>
    <w:rsid w:val="003D5ADD"/>
    <w:rsid w:val="003D654F"/>
    <w:rsid w:val="003E13F6"/>
    <w:rsid w:val="003E2904"/>
    <w:rsid w:val="00401927"/>
    <w:rsid w:val="0041027F"/>
    <w:rsid w:val="00410C62"/>
    <w:rsid w:val="00412475"/>
    <w:rsid w:val="00423789"/>
    <w:rsid w:val="00435A6D"/>
    <w:rsid w:val="00440F43"/>
    <w:rsid w:val="00441B6F"/>
    <w:rsid w:val="00446221"/>
    <w:rsid w:val="00450E62"/>
    <w:rsid w:val="004539DB"/>
    <w:rsid w:val="00471A80"/>
    <w:rsid w:val="004A5BB3"/>
    <w:rsid w:val="004B7393"/>
    <w:rsid w:val="004B7AD6"/>
    <w:rsid w:val="004D305E"/>
    <w:rsid w:val="004D4277"/>
    <w:rsid w:val="004E6CD0"/>
    <w:rsid w:val="004F0DF3"/>
    <w:rsid w:val="00502516"/>
    <w:rsid w:val="00505F06"/>
    <w:rsid w:val="00506828"/>
    <w:rsid w:val="0053056E"/>
    <w:rsid w:val="00554FDA"/>
    <w:rsid w:val="005B0402"/>
    <w:rsid w:val="005C784C"/>
    <w:rsid w:val="005D17F6"/>
    <w:rsid w:val="005E5539"/>
    <w:rsid w:val="005F2D06"/>
    <w:rsid w:val="00602BF5"/>
    <w:rsid w:val="00614DA6"/>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DE6"/>
    <w:rsid w:val="0070082C"/>
    <w:rsid w:val="007369E6"/>
    <w:rsid w:val="007373CE"/>
    <w:rsid w:val="00746E59"/>
    <w:rsid w:val="00754C9A"/>
    <w:rsid w:val="0075599A"/>
    <w:rsid w:val="00761D52"/>
    <w:rsid w:val="00773459"/>
    <w:rsid w:val="0077749E"/>
    <w:rsid w:val="00790ADA"/>
    <w:rsid w:val="007B7AA0"/>
    <w:rsid w:val="007D2288"/>
    <w:rsid w:val="007E088F"/>
    <w:rsid w:val="007F7B32"/>
    <w:rsid w:val="008048F7"/>
    <w:rsid w:val="00804BC2"/>
    <w:rsid w:val="0081431A"/>
    <w:rsid w:val="0083216F"/>
    <w:rsid w:val="00860000"/>
    <w:rsid w:val="00863BD3"/>
    <w:rsid w:val="008641ED"/>
    <w:rsid w:val="00866D66"/>
    <w:rsid w:val="008671C6"/>
    <w:rsid w:val="00875803"/>
    <w:rsid w:val="008B459E"/>
    <w:rsid w:val="008E13AE"/>
    <w:rsid w:val="008E1506"/>
    <w:rsid w:val="008E5366"/>
    <w:rsid w:val="008E710C"/>
    <w:rsid w:val="008F69D6"/>
    <w:rsid w:val="00902823"/>
    <w:rsid w:val="00903690"/>
    <w:rsid w:val="00915CA6"/>
    <w:rsid w:val="00927834"/>
    <w:rsid w:val="009444EE"/>
    <w:rsid w:val="009500A6"/>
    <w:rsid w:val="00957C18"/>
    <w:rsid w:val="009659BA"/>
    <w:rsid w:val="00983040"/>
    <w:rsid w:val="009B3FB9"/>
    <w:rsid w:val="009C2465"/>
    <w:rsid w:val="009D1057"/>
    <w:rsid w:val="009D35A0"/>
    <w:rsid w:val="009D7EB7"/>
    <w:rsid w:val="009E048A"/>
    <w:rsid w:val="009E08E9"/>
    <w:rsid w:val="009E3DB9"/>
    <w:rsid w:val="009E6526"/>
    <w:rsid w:val="009E6E35"/>
    <w:rsid w:val="009F0EDA"/>
    <w:rsid w:val="00A03B96"/>
    <w:rsid w:val="00A05B19"/>
    <w:rsid w:val="00A06731"/>
    <w:rsid w:val="00A079B9"/>
    <w:rsid w:val="00A1134E"/>
    <w:rsid w:val="00A141E7"/>
    <w:rsid w:val="00A24E7E"/>
    <w:rsid w:val="00A25513"/>
    <w:rsid w:val="00A258C3"/>
    <w:rsid w:val="00A347C0"/>
    <w:rsid w:val="00A41C5A"/>
    <w:rsid w:val="00A51431"/>
    <w:rsid w:val="00A539AD"/>
    <w:rsid w:val="00A82ED5"/>
    <w:rsid w:val="00A94063"/>
    <w:rsid w:val="00AA6219"/>
    <w:rsid w:val="00AA74E0"/>
    <w:rsid w:val="00AA74E5"/>
    <w:rsid w:val="00AB703F"/>
    <w:rsid w:val="00AC6BB8"/>
    <w:rsid w:val="00AE008F"/>
    <w:rsid w:val="00AE7A0C"/>
    <w:rsid w:val="00B01FCD"/>
    <w:rsid w:val="00B1776C"/>
    <w:rsid w:val="00B52583"/>
    <w:rsid w:val="00B52896"/>
    <w:rsid w:val="00B61391"/>
    <w:rsid w:val="00B726FD"/>
    <w:rsid w:val="00B95236"/>
    <w:rsid w:val="00B96BD9"/>
    <w:rsid w:val="00BA1B01"/>
    <w:rsid w:val="00BA2641"/>
    <w:rsid w:val="00BB37AA"/>
    <w:rsid w:val="00BB3DC1"/>
    <w:rsid w:val="00BC53A0"/>
    <w:rsid w:val="00BE62AD"/>
    <w:rsid w:val="00BF121F"/>
    <w:rsid w:val="00BF1F80"/>
    <w:rsid w:val="00C166EF"/>
    <w:rsid w:val="00C17EB0"/>
    <w:rsid w:val="00C27F5F"/>
    <w:rsid w:val="00C30A0F"/>
    <w:rsid w:val="00C37E61"/>
    <w:rsid w:val="00C70F1B"/>
    <w:rsid w:val="00C71A47"/>
    <w:rsid w:val="00C7464C"/>
    <w:rsid w:val="00C85588"/>
    <w:rsid w:val="00C97B34"/>
    <w:rsid w:val="00CB7B32"/>
    <w:rsid w:val="00CD6755"/>
    <w:rsid w:val="00CD6856"/>
    <w:rsid w:val="00CE0089"/>
    <w:rsid w:val="00CE793C"/>
    <w:rsid w:val="00CF193C"/>
    <w:rsid w:val="00D173F1"/>
    <w:rsid w:val="00D3555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0097"/>
    <w:rsid w:val="00EC6A55"/>
    <w:rsid w:val="00ED0288"/>
    <w:rsid w:val="00EE3CB9"/>
    <w:rsid w:val="00EE52CB"/>
    <w:rsid w:val="00EF581D"/>
    <w:rsid w:val="00EF7FD8"/>
    <w:rsid w:val="00F06F59"/>
    <w:rsid w:val="00F129E2"/>
    <w:rsid w:val="00F17988"/>
    <w:rsid w:val="00F469F0"/>
    <w:rsid w:val="00F53273"/>
    <w:rsid w:val="00F755E4"/>
    <w:rsid w:val="00F77D02"/>
    <w:rsid w:val="00FB3A86"/>
    <w:rsid w:val="00FD36C8"/>
    <w:rsid w:val="00FF2D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C723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04168"/>
    <w:pPr>
      <w:spacing w:after="160" w:line="259" w:lineRule="auto"/>
      <w:ind w:left="720"/>
      <w:contextualSpacing/>
    </w:pPr>
    <w:rPr>
      <w:rFonts w:asciiTheme="minorHAnsi" w:eastAsiaTheme="minorHAnsi" w:hAnsiTheme="minorHAnsi" w:cstheme="minorBidi"/>
      <w:sz w:val="22"/>
      <w:lang w:bidi="hi-IN"/>
    </w:rPr>
  </w:style>
  <w:style w:type="character" w:styleId="Strong">
    <w:name w:val="Strong"/>
    <w:basedOn w:val="DefaultParagraphFont"/>
    <w:uiPriority w:val="22"/>
    <w:qFormat/>
    <w:rsid w:val="00614DA6"/>
    <w:rPr>
      <w:b/>
      <w:bCs/>
    </w:rPr>
  </w:style>
  <w:style w:type="table" w:styleId="TableGridLight">
    <w:name w:val="Grid Table Light"/>
    <w:basedOn w:val="TableNormal"/>
    <w:uiPriority w:val="40"/>
    <w:rsid w:val="000C47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reading-companionreference-citation">
    <w:name w:val="c-reading-companion__reference-citation"/>
    <w:basedOn w:val="Normal"/>
    <w:rsid w:val="003D5ADD"/>
    <w:pPr>
      <w:spacing w:before="100" w:beforeAutospacing="1" w:after="100" w:afterAutospacing="1"/>
    </w:pPr>
    <w:rPr>
      <w:rFonts w:ascii="Times New Roman" w:hAnsi="Times New Roman"/>
      <w:sz w:val="24"/>
      <w:szCs w:val="24"/>
      <w:lang w:bidi="hi-IN"/>
    </w:rPr>
  </w:style>
  <w:style w:type="character" w:customStyle="1" w:styleId="url">
    <w:name w:val="url"/>
    <w:basedOn w:val="DefaultParagraphFont"/>
    <w:rsid w:val="00A25513"/>
  </w:style>
  <w:style w:type="paragraph" w:styleId="NormalWeb">
    <w:name w:val="Normal (Web)"/>
    <w:basedOn w:val="Normal"/>
    <w:uiPriority w:val="99"/>
    <w:unhideWhenUsed/>
    <w:rsid w:val="00377064"/>
    <w:pPr>
      <w:spacing w:before="100" w:beforeAutospacing="1" w:after="100" w:afterAutospacing="1"/>
    </w:pPr>
    <w:rPr>
      <w:rFonts w:ascii="Times New Roman" w:hAnsi="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3306829">
      <w:bodyDiv w:val="1"/>
      <w:marLeft w:val="0"/>
      <w:marRight w:val="0"/>
      <w:marTop w:val="0"/>
      <w:marBottom w:val="0"/>
      <w:divBdr>
        <w:top w:val="none" w:sz="0" w:space="0" w:color="auto"/>
        <w:left w:val="none" w:sz="0" w:space="0" w:color="auto"/>
        <w:bottom w:val="none" w:sz="0" w:space="0" w:color="auto"/>
        <w:right w:val="none" w:sz="0" w:space="0" w:color="auto"/>
      </w:divBdr>
      <w:divsChild>
        <w:div w:id="1560825828">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578673">
      <w:bodyDiv w:val="1"/>
      <w:marLeft w:val="0"/>
      <w:marRight w:val="0"/>
      <w:marTop w:val="0"/>
      <w:marBottom w:val="0"/>
      <w:divBdr>
        <w:top w:val="none" w:sz="0" w:space="0" w:color="auto"/>
        <w:left w:val="none" w:sz="0" w:space="0" w:color="auto"/>
        <w:bottom w:val="none" w:sz="0" w:space="0" w:color="auto"/>
        <w:right w:val="none" w:sz="0" w:space="0" w:color="auto"/>
      </w:divBdr>
    </w:div>
    <w:div w:id="4345918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2444701">
      <w:bodyDiv w:val="1"/>
      <w:marLeft w:val="0"/>
      <w:marRight w:val="0"/>
      <w:marTop w:val="0"/>
      <w:marBottom w:val="0"/>
      <w:divBdr>
        <w:top w:val="none" w:sz="0" w:space="0" w:color="auto"/>
        <w:left w:val="none" w:sz="0" w:space="0" w:color="auto"/>
        <w:bottom w:val="none" w:sz="0" w:space="0" w:color="auto"/>
        <w:right w:val="none" w:sz="0" w:space="0" w:color="auto"/>
      </w:divBdr>
    </w:div>
    <w:div w:id="8314558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8646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biadisorders.org/about-nbia/overview-of-nbia-disorders" TargetMode="External"/><Relationship Id="rId2" Type="http://schemas.openxmlformats.org/officeDocument/2006/relationships/numbering" Target="numbering.xml"/><Relationship Id="rId16" Type="http://schemas.openxmlformats.org/officeDocument/2006/relationships/hyperlink" Target="https://rarediseases.org/rare-diseases/pantothenate-kinase-associated-neurodegenerati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biadisorders.org/about-nbia/overview-of-nbia-disorder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98AD56-086F-4CCB-8F60-DE3B35FEEDC9}">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6E755-D66A-483F-BF16-4682C769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7</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54</cp:revision>
  <cp:lastPrinted>1999-07-06T11:00:00Z</cp:lastPrinted>
  <dcterms:created xsi:type="dcterms:W3CDTF">2014-10-25T14:34:00Z</dcterms:created>
  <dcterms:modified xsi:type="dcterms:W3CDTF">2025-09-22T16:40:00Z</dcterms:modified>
</cp:coreProperties>
</file>