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5170" w:rsidRPr="002D4534" w:rsidRDefault="00AF6A66" w:rsidP="00AF6A66">
      <w:pPr>
        <w:ind w:right="0"/>
        <w:jc w:val="both"/>
        <w:rPr>
          <w:rFonts w:ascii="Arial" w:hAnsi="Arial" w:cs="Arial"/>
          <w:b/>
        </w:rPr>
      </w:pPr>
      <w:r w:rsidRPr="002D4534">
        <w:rPr>
          <w:rFonts w:ascii="Arial" w:hAnsi="Arial" w:cs="Arial"/>
          <w:b/>
        </w:rPr>
        <w:t>EVALUATION OF ANTIOXIDANT CONTENTS AND STRUCTURAL IDENTIFICATION BY HPTLC AND HPLC-MS/MS OF CAROTENOIDS IN THE BF59XCIP1 VARIETY OF IPOMOEA BATATAS L.</w:t>
      </w:r>
    </w:p>
    <w:p w:rsidR="00AF6A66" w:rsidRPr="002D4534" w:rsidRDefault="00AF6A66" w:rsidP="00AF6A66">
      <w:pPr>
        <w:ind w:right="0"/>
        <w:jc w:val="both"/>
        <w:rPr>
          <w:rFonts w:ascii="Arial" w:hAnsi="Arial" w:cs="Arial"/>
          <w:b/>
        </w:rPr>
      </w:pPr>
    </w:p>
    <w:p w:rsidR="00AF6A66" w:rsidRPr="002D4534" w:rsidRDefault="00AF6A66" w:rsidP="00AF6A66">
      <w:pPr>
        <w:rPr>
          <w:rFonts w:ascii="Arial" w:hAnsi="Arial" w:cs="Arial"/>
          <w:b/>
        </w:rPr>
      </w:pPr>
      <w:r w:rsidRPr="002D4534">
        <w:rPr>
          <w:rFonts w:ascii="Arial" w:hAnsi="Arial" w:cs="Arial"/>
          <w:b/>
        </w:rPr>
        <w:t xml:space="preserve">Abstract: </w:t>
      </w:r>
    </w:p>
    <w:p w:rsidR="00AF6A66" w:rsidRPr="002D4534" w:rsidRDefault="00AF6A66" w:rsidP="00AF6A66">
      <w:pPr>
        <w:spacing w:after="0" w:line="276" w:lineRule="auto"/>
        <w:ind w:right="0"/>
        <w:jc w:val="both"/>
        <w:rPr>
          <w:rFonts w:ascii="Arial" w:hAnsi="Arial" w:cs="Arial"/>
        </w:rPr>
      </w:pPr>
      <w:r w:rsidRPr="002D4534">
        <w:rPr>
          <w:rFonts w:ascii="Arial" w:hAnsi="Arial" w:cs="Arial"/>
          <w:b/>
        </w:rPr>
        <w:t>Objective:</w:t>
      </w:r>
      <w:r w:rsidRPr="002D4534">
        <w:rPr>
          <w:rFonts w:ascii="Arial" w:hAnsi="Arial" w:cs="Arial"/>
        </w:rPr>
        <w:t xml:space="preserve"> Orange-fleshed sweet potatoes are an important source of nutrients for consumers thanks to the carotenoids they contain. Carotenoids are bioactive compounds which, thanks to their anti-radical properties, can protect the human body against oxidative stress. Oxidative stress is the cause of many degenerative diseases, such as cancer, blindness, and aging. This study aims to evaluate the antioxidant content of the orange-fleshed variety BF59XCIP1, obtained by crossing varieties adapted to local agroecological conditions, and to identify the main carotenoids in this variety. </w:t>
      </w:r>
    </w:p>
    <w:p w:rsidR="00AF6A66" w:rsidRPr="002D4534" w:rsidRDefault="00AF6A66" w:rsidP="00AF6A66">
      <w:pPr>
        <w:spacing w:after="0" w:line="276" w:lineRule="auto"/>
        <w:ind w:right="0"/>
        <w:jc w:val="both"/>
        <w:rPr>
          <w:rFonts w:ascii="Arial" w:hAnsi="Arial" w:cs="Arial"/>
        </w:rPr>
      </w:pPr>
      <w:r w:rsidRPr="002D4534">
        <w:rPr>
          <w:rFonts w:ascii="Arial" w:hAnsi="Arial" w:cs="Arial"/>
          <w:b/>
        </w:rPr>
        <w:t>Study design:</w:t>
      </w:r>
      <w:r w:rsidRPr="002D4534">
        <w:rPr>
          <w:rFonts w:ascii="Arial" w:hAnsi="Arial" w:cs="Arial"/>
        </w:rPr>
        <w:t xml:space="preserve"> The work combined cutting, tuber harvesting, and various laboratory analyses. This work was carried out as part of my doctoral thesis.</w:t>
      </w:r>
    </w:p>
    <w:p w:rsidR="00AF6A66" w:rsidRPr="002D4534" w:rsidRDefault="00AF6A66" w:rsidP="00AF6A66">
      <w:pPr>
        <w:spacing w:after="0" w:line="276" w:lineRule="auto"/>
        <w:ind w:right="0"/>
        <w:jc w:val="both"/>
        <w:rPr>
          <w:rFonts w:ascii="Arial" w:hAnsi="Arial" w:cs="Arial"/>
        </w:rPr>
      </w:pPr>
      <w:r w:rsidRPr="002D4534">
        <w:rPr>
          <w:rFonts w:ascii="Arial" w:hAnsi="Arial" w:cs="Arial"/>
          <w:b/>
        </w:rPr>
        <w:t>Methodology:</w:t>
      </w:r>
      <w:r w:rsidRPr="002D4534">
        <w:rPr>
          <w:rFonts w:ascii="Arial" w:hAnsi="Arial" w:cs="Arial"/>
        </w:rPr>
        <w:t xml:space="preserve"> Two types of extracts were prepared. Extracts using an acetone-water-acetic acid solvent system (70:29.5:0.5 v/v/v) for the evaluation of antioxidant content and hexane extracts for structural identification. Antioxidant content was evaluated using the DPPH and FRAP methods. HPTLC-MS and HPLC-MS/MS analyses were used for carotenoid identification. </w:t>
      </w:r>
    </w:p>
    <w:p w:rsidR="00AF6A66" w:rsidRPr="002D4534" w:rsidRDefault="00AF6A66" w:rsidP="00AF6A66">
      <w:pPr>
        <w:spacing w:after="0" w:line="276" w:lineRule="auto"/>
        <w:ind w:right="0"/>
        <w:jc w:val="both"/>
        <w:rPr>
          <w:rFonts w:ascii="Arial" w:hAnsi="Arial" w:cs="Arial"/>
        </w:rPr>
      </w:pPr>
      <w:r w:rsidRPr="002D4534">
        <w:rPr>
          <w:rFonts w:ascii="Arial" w:hAnsi="Arial" w:cs="Arial"/>
          <w:b/>
        </w:rPr>
        <w:t>Results:</w:t>
      </w:r>
      <w:r w:rsidRPr="002D4534">
        <w:rPr>
          <w:rFonts w:ascii="Arial" w:hAnsi="Arial" w:cs="Arial"/>
        </w:rPr>
        <w:t xml:space="preserve"> antioxidant content assessed using the DPPH and FRAP methods was estimated at 0.082 mg ET/g and 0.183 mg ET/g of fresh plant material, respectively. For the structural identification of carotenoids, analysis of the two major spots by HPTLC-MS identified β-cryptoxanthin, zeaxanthin, and β-carotene. HPLC-MS/MS analysis identified capsanthin, echinenone, α-tocopherol, and β-carotene.  </w:t>
      </w:r>
    </w:p>
    <w:p w:rsidR="00AF6A66" w:rsidRDefault="00AF6A66" w:rsidP="00AF6A66">
      <w:pPr>
        <w:spacing w:after="0" w:line="276" w:lineRule="auto"/>
        <w:ind w:right="0"/>
        <w:jc w:val="both"/>
        <w:rPr>
          <w:rFonts w:ascii="Arial" w:hAnsi="Arial" w:cs="Arial"/>
        </w:rPr>
      </w:pPr>
      <w:r w:rsidRPr="002D4534">
        <w:rPr>
          <w:rFonts w:ascii="Arial" w:hAnsi="Arial" w:cs="Arial"/>
          <w:b/>
        </w:rPr>
        <w:t>Conclusion:</w:t>
      </w:r>
      <w:r w:rsidRPr="002D4534">
        <w:rPr>
          <w:rFonts w:ascii="Arial" w:hAnsi="Arial" w:cs="Arial"/>
        </w:rPr>
        <w:t xml:space="preserve"> The BF59XCIP1 variety of orange-fleshed sweet potato is a source of vitamin A. Therefore, its consumption can compensate for vitamin A deficiency in malnourished children.</w:t>
      </w:r>
    </w:p>
    <w:p w:rsidR="002D4534" w:rsidRPr="002D4534" w:rsidRDefault="002D4534" w:rsidP="00AF6A66">
      <w:pPr>
        <w:spacing w:after="0" w:line="276" w:lineRule="auto"/>
        <w:ind w:right="0"/>
        <w:jc w:val="both"/>
        <w:rPr>
          <w:rFonts w:ascii="Arial" w:hAnsi="Arial" w:cs="Arial"/>
        </w:rPr>
      </w:pPr>
    </w:p>
    <w:p w:rsidR="00AF6A66" w:rsidRPr="002D4534" w:rsidRDefault="00AF6A66" w:rsidP="00AF6A66">
      <w:pPr>
        <w:spacing w:after="0"/>
        <w:ind w:right="0"/>
        <w:jc w:val="both"/>
        <w:rPr>
          <w:rFonts w:ascii="Arial" w:hAnsi="Arial" w:cs="Arial"/>
        </w:rPr>
      </w:pPr>
      <w:r w:rsidRPr="002D4534">
        <w:rPr>
          <w:rFonts w:ascii="Arial" w:hAnsi="Arial" w:cs="Arial"/>
          <w:sz w:val="20"/>
        </w:rPr>
        <w:t>Keywords: carotenoids; antioxidant; HPLC-MS/MS, HPTLC-MS.</w:t>
      </w:r>
    </w:p>
    <w:p w:rsidR="00AF6A66" w:rsidRPr="002D4534" w:rsidRDefault="00AF6A66" w:rsidP="00AF6A66">
      <w:pPr>
        <w:ind w:right="0"/>
        <w:jc w:val="both"/>
        <w:rPr>
          <w:rFonts w:ascii="Arial" w:hAnsi="Arial" w:cs="Arial"/>
        </w:rPr>
      </w:pPr>
    </w:p>
    <w:p w:rsidR="00AF6A66" w:rsidRPr="002D4534" w:rsidRDefault="00AF6A66" w:rsidP="00AF6A66">
      <w:pPr>
        <w:ind w:right="0"/>
        <w:jc w:val="both"/>
        <w:rPr>
          <w:rFonts w:ascii="Arial" w:hAnsi="Arial" w:cs="Arial"/>
          <w:b/>
        </w:rPr>
      </w:pPr>
      <w:r w:rsidRPr="002D4534">
        <w:rPr>
          <w:rFonts w:ascii="Arial" w:hAnsi="Arial" w:cs="Arial"/>
          <w:b/>
        </w:rPr>
        <w:t>1. Introduction</w:t>
      </w:r>
    </w:p>
    <w:p w:rsidR="001D556D" w:rsidRDefault="005348FD" w:rsidP="001D556D">
      <w:pPr>
        <w:spacing w:line="276" w:lineRule="auto"/>
        <w:ind w:right="0"/>
        <w:jc w:val="both"/>
        <w:rPr>
          <w:rFonts w:ascii="Arial" w:hAnsi="Arial" w:cs="Arial"/>
          <w:sz w:val="20"/>
        </w:rPr>
      </w:pPr>
      <w:r>
        <w:rPr>
          <w:rFonts w:ascii="Arial" w:hAnsi="Arial" w:cs="Arial"/>
          <w:sz w:val="20"/>
        </w:rPr>
        <w:t>« </w:t>
      </w:r>
      <w:r w:rsidR="00AF6A66" w:rsidRPr="002D4534">
        <w:rPr>
          <w:rFonts w:ascii="Arial" w:hAnsi="Arial" w:cs="Arial"/>
          <w:sz w:val="20"/>
        </w:rPr>
        <w:t>Carotenoids are secondary metabolites, i.e., compounds synthesized by plants. They belong to the terpenoid family and comprise two major classes of compounds: carotenes and xanthophylls. Carotenoids are found in many fruits and vegetables (oranges, tomatoes, carrots, spinach, sweet potatoes, pumpkins) and are often responsible for the bright colors of these fruits and vegetables</w:t>
      </w:r>
      <w:r>
        <w:rPr>
          <w:rFonts w:ascii="Arial" w:hAnsi="Arial" w:cs="Arial"/>
          <w:sz w:val="20"/>
        </w:rPr>
        <w:t> »</w:t>
      </w:r>
      <w:r w:rsidR="00AF6A66" w:rsidRPr="002D4534">
        <w:rPr>
          <w:rFonts w:ascii="Arial" w:hAnsi="Arial" w:cs="Arial"/>
          <w:sz w:val="20"/>
        </w:rPr>
        <w:t xml:space="preserve"> [1]. </w:t>
      </w:r>
      <w:r>
        <w:rPr>
          <w:rFonts w:ascii="Arial" w:hAnsi="Arial" w:cs="Arial"/>
          <w:sz w:val="20"/>
        </w:rPr>
        <w:t>« </w:t>
      </w:r>
      <w:r w:rsidR="00AF6A66" w:rsidRPr="002D4534">
        <w:rPr>
          <w:rFonts w:ascii="Arial" w:hAnsi="Arial" w:cs="Arial"/>
          <w:sz w:val="20"/>
        </w:rPr>
        <w:t>Due to their coloring properties, carotenoids play an important role in plant physiology. Some carotenoids are precursors to vitamin A, which is one of their most important physiological functions</w:t>
      </w:r>
      <w:r>
        <w:rPr>
          <w:rFonts w:ascii="Arial" w:hAnsi="Arial" w:cs="Arial"/>
          <w:sz w:val="20"/>
        </w:rPr>
        <w:t> »</w:t>
      </w:r>
      <w:r w:rsidR="00AF6A66" w:rsidRPr="002D4534">
        <w:rPr>
          <w:rFonts w:ascii="Arial" w:hAnsi="Arial" w:cs="Arial"/>
          <w:sz w:val="20"/>
        </w:rPr>
        <w:t xml:space="preserve"> [2]. </w:t>
      </w:r>
      <w:r>
        <w:rPr>
          <w:rFonts w:ascii="Arial" w:hAnsi="Arial" w:cs="Arial"/>
          <w:sz w:val="20"/>
        </w:rPr>
        <w:t>« </w:t>
      </w:r>
      <w:r w:rsidR="00AF6A66" w:rsidRPr="002D4534">
        <w:rPr>
          <w:rFonts w:ascii="Arial" w:hAnsi="Arial" w:cs="Arial"/>
          <w:sz w:val="20"/>
        </w:rPr>
        <w:t>A correlation has been established between the consumption of vegetables and fruits rich in carotenoids and the prevention of several chronic degenerative diseases, such as cancer, inflammatory diseases, cardiovascular diseases, cataracts, and degeneration, among others</w:t>
      </w:r>
      <w:r>
        <w:rPr>
          <w:rFonts w:ascii="Arial" w:hAnsi="Arial" w:cs="Arial"/>
          <w:sz w:val="20"/>
        </w:rPr>
        <w:t> »</w:t>
      </w:r>
      <w:bookmarkStart w:id="0" w:name="_GoBack"/>
      <w:bookmarkEnd w:id="0"/>
      <w:r w:rsidR="00AF6A66" w:rsidRPr="002D4534">
        <w:rPr>
          <w:rFonts w:ascii="Arial" w:hAnsi="Arial" w:cs="Arial"/>
          <w:sz w:val="20"/>
        </w:rPr>
        <w:t xml:space="preserve"> [3], thanks to their antioxidant properties. Given the importance of these carotenoids, their qualitative and quantitative analysis in PDCO is necessary in order to promote their consumption as part of the fight against vitamin A deficiency</w:t>
      </w:r>
      <w:proofErr w:type="gramStart"/>
      <w:r w:rsidR="00AF6A66" w:rsidRPr="002D4534">
        <w:rPr>
          <w:rFonts w:ascii="Arial" w:hAnsi="Arial" w:cs="Arial"/>
          <w:sz w:val="20"/>
        </w:rPr>
        <w:t xml:space="preserve">. </w:t>
      </w:r>
      <w:r w:rsidR="001D556D" w:rsidRPr="002D4534">
        <w:rPr>
          <w:rFonts w:ascii="Arial" w:hAnsi="Arial" w:cs="Arial"/>
          <w:sz w:val="20"/>
        </w:rPr>
        <w:t>.</w:t>
      </w:r>
      <w:proofErr w:type="gramEnd"/>
      <w:r w:rsidR="001D556D" w:rsidRPr="002D4534">
        <w:rPr>
          <w:rFonts w:ascii="Arial" w:hAnsi="Arial" w:cs="Arial"/>
          <w:sz w:val="20"/>
        </w:rPr>
        <w:t xml:space="preserve"> </w:t>
      </w:r>
      <w:r w:rsidR="001D556D" w:rsidRPr="009F52BC">
        <w:rPr>
          <w:rFonts w:ascii="Arial" w:hAnsi="Arial" w:cs="Arial"/>
          <w:sz w:val="20"/>
        </w:rPr>
        <w:t>The objective of this study is to evaluate antioxidant content using spectrophotometry and to identify the structures of the major carotenoids in extracts of the BF59XCIP1 variety of Ipomoea batatas L. by combining chromatographic and spectral methods (HPLC-ESI-MS/MS; HPTLC-SM).</w:t>
      </w:r>
    </w:p>
    <w:p w:rsidR="00AF6A66" w:rsidRPr="002D4534" w:rsidRDefault="00AF6A66" w:rsidP="001D556D">
      <w:pPr>
        <w:spacing w:line="276" w:lineRule="auto"/>
        <w:ind w:right="0"/>
        <w:jc w:val="both"/>
        <w:rPr>
          <w:rFonts w:ascii="Arial" w:hAnsi="Arial" w:cs="Arial"/>
          <w:b/>
        </w:rPr>
      </w:pPr>
      <w:r w:rsidRPr="002D4534">
        <w:rPr>
          <w:rFonts w:ascii="Arial" w:hAnsi="Arial" w:cs="Arial"/>
          <w:b/>
        </w:rPr>
        <w:t>2. Materials and methods</w:t>
      </w:r>
    </w:p>
    <w:p w:rsidR="00AF6A66" w:rsidRPr="002D4534" w:rsidRDefault="00AF6A66" w:rsidP="00AF6A66">
      <w:pPr>
        <w:ind w:right="0"/>
        <w:jc w:val="both"/>
        <w:rPr>
          <w:rFonts w:ascii="Arial" w:hAnsi="Arial" w:cs="Arial"/>
          <w:b/>
        </w:rPr>
      </w:pPr>
      <w:r w:rsidRPr="002D4534">
        <w:rPr>
          <w:rFonts w:ascii="Arial" w:hAnsi="Arial" w:cs="Arial"/>
          <w:b/>
        </w:rPr>
        <w:t>2.1. Plant material</w:t>
      </w:r>
    </w:p>
    <w:p w:rsidR="00AF6A66" w:rsidRPr="002D4534" w:rsidRDefault="00AF6A66" w:rsidP="002D4534">
      <w:pPr>
        <w:spacing w:line="276" w:lineRule="auto"/>
        <w:ind w:right="0"/>
        <w:jc w:val="both"/>
        <w:rPr>
          <w:rFonts w:ascii="Arial" w:hAnsi="Arial" w:cs="Arial"/>
          <w:sz w:val="20"/>
        </w:rPr>
      </w:pPr>
      <w:r w:rsidRPr="002D4534">
        <w:rPr>
          <w:rFonts w:ascii="Arial" w:hAnsi="Arial" w:cs="Arial"/>
          <w:sz w:val="20"/>
        </w:rPr>
        <w:lastRenderedPageBreak/>
        <w:t>The plant material consisted of the BF59XCIP1 variety of orange-fleshed sweet potato. This variety, whose cuttings were provided by INERA, was grown in the LCOPA experimental garden at Joseph KI-ZERBO University.</w:t>
      </w:r>
    </w:p>
    <w:p w:rsidR="00AF6A66" w:rsidRPr="002D4534" w:rsidRDefault="00AF6A66" w:rsidP="00AF6A66">
      <w:pPr>
        <w:ind w:right="0"/>
        <w:jc w:val="both"/>
        <w:rPr>
          <w:rFonts w:ascii="Arial" w:hAnsi="Arial" w:cs="Arial"/>
          <w:b/>
        </w:rPr>
      </w:pPr>
      <w:r w:rsidRPr="002D4534">
        <w:rPr>
          <w:rFonts w:ascii="Arial" w:hAnsi="Arial" w:cs="Arial"/>
          <w:b/>
        </w:rPr>
        <w:t>2.2.    Methods</w:t>
      </w:r>
    </w:p>
    <w:p w:rsidR="00AF6A66" w:rsidRPr="002D4534" w:rsidRDefault="00AF6A66" w:rsidP="00AF6A66">
      <w:pPr>
        <w:ind w:right="0"/>
        <w:jc w:val="both"/>
        <w:rPr>
          <w:rFonts w:ascii="Arial" w:hAnsi="Arial" w:cs="Arial"/>
        </w:rPr>
      </w:pPr>
      <w:r w:rsidRPr="002D4534">
        <w:rPr>
          <w:rFonts w:ascii="Arial" w:hAnsi="Arial" w:cs="Arial"/>
        </w:rPr>
        <w:t xml:space="preserve">2.2.1.    Extraction </w:t>
      </w:r>
    </w:p>
    <w:p w:rsidR="00AF6A66" w:rsidRPr="002D4534" w:rsidRDefault="00AF6A66" w:rsidP="002D4534">
      <w:pPr>
        <w:spacing w:after="0"/>
        <w:ind w:right="0"/>
        <w:jc w:val="both"/>
        <w:rPr>
          <w:rFonts w:ascii="Arial" w:hAnsi="Arial" w:cs="Arial"/>
          <w:sz w:val="20"/>
        </w:rPr>
      </w:pPr>
      <w:r w:rsidRPr="002D4534">
        <w:rPr>
          <w:rFonts w:ascii="Arial" w:hAnsi="Arial" w:cs="Arial"/>
          <w:sz w:val="20"/>
        </w:rPr>
        <w:t xml:space="preserve">For qualitative analysis, 30 g of fresh crushed plant material was extracted successively with 100 mL, 50 mL, and 50 mL of hexane by maceration. The filtrates obtained were collected for saponification. In fact, 30% KOH in methanol was added to the crude extract. The mixture was left to stand at room temperature for 3 hours away from light. After liquid-liquid partitioning in a separating funnel using hexane, the organic phase obtained was concentrated to dryness and used for the various analyses. </w:t>
      </w:r>
    </w:p>
    <w:p w:rsidR="00AF6A66" w:rsidRPr="002D4534" w:rsidRDefault="00AF6A66" w:rsidP="002D4534">
      <w:pPr>
        <w:spacing w:before="240" w:after="0"/>
        <w:ind w:right="0"/>
        <w:jc w:val="both"/>
        <w:rPr>
          <w:rFonts w:ascii="Arial" w:hAnsi="Arial" w:cs="Arial"/>
          <w:sz w:val="20"/>
        </w:rPr>
      </w:pPr>
      <w:r w:rsidRPr="002D4534">
        <w:rPr>
          <w:rFonts w:ascii="Arial" w:hAnsi="Arial" w:cs="Arial"/>
          <w:sz w:val="20"/>
        </w:rPr>
        <w:t>To evaluate the antioxidant content, extracts were prepared using a solvent system of acetone-water-acetic acid (70:29.5:0.5 v/v/v). Five grams of crushed tubers were macerated using a sonicator for 1 hour in 10 mL of the solvent system. After filtration, two further extractions were carried out with 5 mL of the same solvent system for 30 min. The filtrates were combined for analysis.</w:t>
      </w:r>
    </w:p>
    <w:p w:rsidR="00AF6A66" w:rsidRPr="002D4534" w:rsidRDefault="00AF6A66" w:rsidP="002D4534">
      <w:pPr>
        <w:spacing w:before="240"/>
        <w:ind w:right="0"/>
        <w:jc w:val="both"/>
        <w:rPr>
          <w:rFonts w:ascii="Arial" w:hAnsi="Arial" w:cs="Arial"/>
        </w:rPr>
      </w:pPr>
      <w:r w:rsidRPr="002D4534">
        <w:rPr>
          <w:rFonts w:ascii="Arial" w:hAnsi="Arial" w:cs="Arial"/>
        </w:rPr>
        <w:t>2.2.2.    Evaluation of antioxidant content</w:t>
      </w:r>
    </w:p>
    <w:p w:rsidR="00AF6A66" w:rsidRPr="002D4534" w:rsidRDefault="00AF6A66" w:rsidP="002D4534">
      <w:pPr>
        <w:spacing w:after="0"/>
        <w:ind w:right="0"/>
        <w:jc w:val="both"/>
        <w:rPr>
          <w:rFonts w:ascii="Arial" w:hAnsi="Arial" w:cs="Arial"/>
          <w:sz w:val="20"/>
        </w:rPr>
      </w:pPr>
      <w:r w:rsidRPr="002D4534">
        <w:rPr>
          <w:rFonts w:ascii="Arial" w:hAnsi="Arial" w:cs="Arial"/>
          <w:sz w:val="20"/>
        </w:rPr>
        <w:t>The total antioxidant content was determined by spectrophotometry using two of the three commonly used methods: the 2,2-diphenyl-1-picrylhydrazyl (DPPH) method and the Ferric Reducing Antioxidant Power (FRAP) method. These methods are based on different chemical mechanisms. The DPPH method measures the ability of an antioxidant to trap the radical [4] by transferring electrons from the sample to the antioxidant. The FRAP method evaluates the reducing power of a sample.</w:t>
      </w:r>
    </w:p>
    <w:p w:rsidR="00AF6A66" w:rsidRPr="002D4534" w:rsidRDefault="00AF6A66" w:rsidP="002D4534">
      <w:pPr>
        <w:spacing w:after="0"/>
        <w:ind w:right="0"/>
        <w:jc w:val="both"/>
        <w:rPr>
          <w:rFonts w:ascii="Arial" w:hAnsi="Arial" w:cs="Arial"/>
          <w:sz w:val="20"/>
        </w:rPr>
      </w:pPr>
      <w:r w:rsidRPr="002D4534">
        <w:rPr>
          <w:rFonts w:ascii="Arial" w:hAnsi="Arial" w:cs="Arial"/>
          <w:sz w:val="20"/>
        </w:rPr>
        <w:t>DPPH method: This method measures the absorbance of the discolored DPPH° radical solution by the activity of a quantity of the sample being studied. Fifty µL of each extract is added to 200 µL of the DPPH reagent. After 10 minutes of incubation, the absorbances are read at 515 nm using a microplate reader (MP96 spectrophotometer, SAFAS). The absorbances of the samples studied are plotted on a standard curve (y = -14.194x + 0.6017; R² = 0.9997) previously established using Trolox as a reference antioxidant. The contents are thus expressed in mg of Trolox equivalents per gram of fresh plant material. All measurements are repeated three times.</w:t>
      </w:r>
    </w:p>
    <w:p w:rsidR="00AF6A66" w:rsidRPr="002D4534" w:rsidRDefault="00AF6A66" w:rsidP="002D4534">
      <w:pPr>
        <w:ind w:right="0"/>
        <w:jc w:val="both"/>
        <w:rPr>
          <w:rFonts w:ascii="Arial" w:hAnsi="Arial" w:cs="Arial"/>
          <w:sz w:val="20"/>
        </w:rPr>
      </w:pPr>
      <w:r w:rsidRPr="002D4534">
        <w:rPr>
          <w:rFonts w:ascii="Arial" w:hAnsi="Arial" w:cs="Arial"/>
          <w:sz w:val="20"/>
        </w:rPr>
        <w:t>FRAP method: in this method, a ferric salt, Fe(III)(TPTZ)2Cl3 (TPTZ = 2,4,6-tripyridyl-s-triazine) is used as an oxidant [4][5]. The absorbance of the intense blue discoloration at 595 nm is measured with a microplate reader (MP96 spectrophotometer, SAFAS). To a mixture of 30 μL of distilled water and 20 μL of each of the appropriately diluted samples, 200 μL of the FRAP reagent is added. A standard curve is established using Trolox as the reference antioxidant. The results, determined from the calibration curve equation (y = 18.957x + 0.2917; R2= 0.9985), were expressed in mg of Trolox Equivalents (TE) per gram of plant material. All measurements were repeated three times.</w:t>
      </w:r>
    </w:p>
    <w:p w:rsidR="00AF6A66" w:rsidRPr="002D4534" w:rsidRDefault="00AF6A66" w:rsidP="002D4534">
      <w:pPr>
        <w:ind w:right="0"/>
        <w:jc w:val="both"/>
        <w:rPr>
          <w:rFonts w:ascii="Arial" w:hAnsi="Arial" w:cs="Arial"/>
          <w:sz w:val="20"/>
        </w:rPr>
      </w:pPr>
      <w:r w:rsidRPr="002D4534">
        <w:rPr>
          <w:rFonts w:ascii="Arial" w:hAnsi="Arial" w:cs="Arial"/>
          <w:sz w:val="20"/>
        </w:rPr>
        <w:t>2.2.3. HPTLC-MS analysis</w:t>
      </w:r>
    </w:p>
    <w:p w:rsidR="00AF6A66" w:rsidRPr="002D4534" w:rsidRDefault="00AF6A66" w:rsidP="00AF6A66">
      <w:pPr>
        <w:ind w:right="0"/>
        <w:jc w:val="both"/>
        <w:rPr>
          <w:rFonts w:ascii="Arial" w:hAnsi="Arial" w:cs="Arial"/>
          <w:sz w:val="20"/>
        </w:rPr>
      </w:pPr>
      <w:r w:rsidRPr="002D4534">
        <w:rPr>
          <w:rFonts w:ascii="Arial" w:hAnsi="Arial" w:cs="Arial"/>
          <w:sz w:val="20"/>
        </w:rPr>
        <w:t>Chromatography was performed on a 20 cm x 10 cm silica gel 60 F254 HPTLC plate (Merck, Germany). The mobile phase was a petroleum ether-acetone-ethyl acetate system (85:15:5 v/v/v). Five µL and 6 µL of saponified extracts were applied in 5 mm bands using a CAMAG Vision CAT automatic thin-layer chromatography (TLC) sampler. The mass spectrometer used to identify carotenoids in PDCO extracts was a Quadrupole Time of Flight (QTOF, 6520 series) equipped with an Electro-Spray ionization source in positive mode (ESI+). Mass spectra were obtained in a mass range of m/z 400-600. The MS parameters were as follows: collision gas was helium; capillary temperature was 250°C.</w:t>
      </w:r>
    </w:p>
    <w:p w:rsidR="00AF6A66" w:rsidRPr="002D4534" w:rsidRDefault="00AF6A66" w:rsidP="00AF6A66">
      <w:pPr>
        <w:ind w:right="0"/>
        <w:jc w:val="both"/>
        <w:rPr>
          <w:rFonts w:ascii="Arial" w:hAnsi="Arial" w:cs="Arial"/>
        </w:rPr>
      </w:pPr>
      <w:r w:rsidRPr="002D4534">
        <w:rPr>
          <w:rFonts w:ascii="Arial" w:hAnsi="Arial" w:cs="Arial"/>
        </w:rPr>
        <w:t>2.2.4. HPLC-MS/MS analysis</w:t>
      </w:r>
    </w:p>
    <w:p w:rsidR="00AF6A66" w:rsidRPr="002D4534" w:rsidRDefault="00AF6A66" w:rsidP="00AF6A66">
      <w:pPr>
        <w:ind w:right="0"/>
        <w:jc w:val="both"/>
        <w:rPr>
          <w:rFonts w:ascii="Arial" w:hAnsi="Arial" w:cs="Arial"/>
          <w:sz w:val="20"/>
        </w:rPr>
      </w:pPr>
      <w:r w:rsidRPr="002D4534">
        <w:rPr>
          <w:rFonts w:ascii="Arial" w:hAnsi="Arial" w:cs="Arial"/>
          <w:sz w:val="20"/>
        </w:rPr>
        <w:t xml:space="preserve">HPLC coupled with tandem mass spectrometry using positive mode electrospray ionization (HPLC-ESI-MS/MS) was used in this study to identify and characterize carotenoids. An Agilent Technology Infinitely Better 1290 HPLC system was used for chromatographic separation. It is equipped with a 100 mm long, 2.1 mm diameter, 5 µm particle size, water X-terra reverse phase C18 column. Elution was performed with mobile phase A (acetonitrile; methanol 85:15 v/v + 0.1% formic acid) and mobile phase B (water + </w:t>
      </w:r>
      <w:r w:rsidRPr="002D4534">
        <w:rPr>
          <w:rFonts w:ascii="Arial" w:hAnsi="Arial" w:cs="Arial"/>
          <w:sz w:val="20"/>
        </w:rPr>
        <w:lastRenderedPageBreak/>
        <w:t>0.1% formic acid) as described by Jeevan Kumar Prasain et al [6]. The elution gradient over time, expressed as a percentage of the volume of mobile phase A and mobile phase B, was programmed as follows: 0 to 7 min, 95% A; 8 to 15 min, 100% A. The flow rate was maintained at 1 mL/min and the column temperature at 25°C.</w:t>
      </w:r>
    </w:p>
    <w:p w:rsidR="00AF6A66" w:rsidRPr="002D4534" w:rsidRDefault="00AF6A66" w:rsidP="00AF6A66">
      <w:pPr>
        <w:ind w:right="0"/>
        <w:jc w:val="both"/>
        <w:rPr>
          <w:rFonts w:ascii="Arial" w:hAnsi="Arial" w:cs="Arial"/>
          <w:b/>
        </w:rPr>
      </w:pPr>
      <w:r w:rsidRPr="002D4534">
        <w:rPr>
          <w:rFonts w:ascii="Arial" w:hAnsi="Arial" w:cs="Arial"/>
        </w:rPr>
        <w:tab/>
      </w:r>
      <w:r w:rsidRPr="002D4534">
        <w:rPr>
          <w:rFonts w:ascii="Arial" w:hAnsi="Arial" w:cs="Arial"/>
          <w:b/>
        </w:rPr>
        <w:t xml:space="preserve">3. Results and discussion </w:t>
      </w:r>
    </w:p>
    <w:p w:rsidR="00AF6A66" w:rsidRPr="00F840E1" w:rsidRDefault="00AF6A66" w:rsidP="00AF6A66">
      <w:pPr>
        <w:ind w:right="0"/>
        <w:jc w:val="both"/>
        <w:rPr>
          <w:rFonts w:ascii="Arial" w:hAnsi="Arial" w:cs="Arial"/>
          <w:b/>
        </w:rPr>
      </w:pPr>
      <w:r w:rsidRPr="00F840E1">
        <w:rPr>
          <w:rFonts w:ascii="Arial" w:hAnsi="Arial" w:cs="Arial"/>
          <w:b/>
        </w:rPr>
        <w:t xml:space="preserve">    3.1. Antioxidant content</w:t>
      </w:r>
    </w:p>
    <w:p w:rsidR="001D556D" w:rsidRPr="001D556D" w:rsidRDefault="00AF6A66" w:rsidP="001D556D">
      <w:pPr>
        <w:ind w:right="0"/>
        <w:jc w:val="both"/>
        <w:rPr>
          <w:rFonts w:ascii="Arial" w:hAnsi="Arial" w:cs="Arial"/>
          <w:sz w:val="20"/>
        </w:rPr>
      </w:pPr>
      <w:r w:rsidRPr="00F840E1">
        <w:rPr>
          <w:rFonts w:ascii="Arial" w:hAnsi="Arial" w:cs="Arial"/>
          <w:sz w:val="20"/>
        </w:rPr>
        <w:t>The antioxidant content of the local PDCO variety BF59XCIP1 is expressed in mg ET/g of plant material. These contents are 0.082±0.002 and 0.183±0.001 respectively by the DPPH and FRAP methods. These values are significantly different. This difference could be explained by their reaction mechanisms. The DPPH method measures the ability of an antioxidant to trap the DPPH° radical [4] by transferring electrons from the antioxidant sample. However, the FRAP method evaluates the reducing power of the sample.</w:t>
      </w:r>
      <w:r w:rsidR="001D556D" w:rsidRPr="001D556D">
        <w:t xml:space="preserve"> </w:t>
      </w:r>
      <w:r w:rsidR="001D556D" w:rsidRPr="001D556D">
        <w:rPr>
          <w:rFonts w:ascii="Arial" w:hAnsi="Arial" w:cs="Arial"/>
          <w:sz w:val="20"/>
        </w:rPr>
        <w:t xml:space="preserve">Similarly, Hinneburg et al. </w:t>
      </w:r>
      <w:proofErr w:type="gramStart"/>
      <w:r w:rsidR="001D556D" w:rsidRPr="001D556D">
        <w:rPr>
          <w:rFonts w:ascii="Arial" w:hAnsi="Arial" w:cs="Arial"/>
          <w:sz w:val="20"/>
        </w:rPr>
        <w:t>found</w:t>
      </w:r>
      <w:proofErr w:type="gramEnd"/>
      <w:r w:rsidR="001D556D" w:rsidRPr="001D556D">
        <w:rPr>
          <w:rFonts w:ascii="Arial" w:hAnsi="Arial" w:cs="Arial"/>
          <w:sz w:val="20"/>
        </w:rPr>
        <w:t xml:space="preserve"> in 2006 that cumin hydrodistillate has antioxidant activity, which varies depending on the type of test used</w:t>
      </w:r>
      <w:r w:rsidR="00D31488">
        <w:rPr>
          <w:rFonts w:ascii="Arial" w:hAnsi="Arial" w:cs="Arial"/>
          <w:sz w:val="20"/>
        </w:rPr>
        <w:t xml:space="preserve"> [7]</w:t>
      </w:r>
      <w:r w:rsidR="001D556D" w:rsidRPr="001D556D">
        <w:rPr>
          <w:rFonts w:ascii="Arial" w:hAnsi="Arial" w:cs="Arial"/>
          <w:sz w:val="20"/>
        </w:rPr>
        <w:t xml:space="preserve">.  The relatively low antioxidant content assessed by the DPPH method could also be explained by the structure of the DPPH° radical. This variety has higher antioxidant content compared to the BF59XCIP4 variety, which is 0.069 and 0.171 mg ET/g of fresh plant material, but lower compared to the TUSKEGEE ORANGE variety, which is 0.132 and 0.297 </w:t>
      </w:r>
      <w:r w:rsidR="001D556D">
        <w:rPr>
          <w:rFonts w:ascii="Arial" w:hAnsi="Arial" w:cs="Arial"/>
          <w:sz w:val="20"/>
        </w:rPr>
        <w:t>mg ET/g of fresh plant material</w:t>
      </w:r>
      <w:r w:rsidR="001D556D" w:rsidRPr="001D556D">
        <w:rPr>
          <w:rFonts w:ascii="Arial" w:hAnsi="Arial" w:cs="Arial"/>
          <w:sz w:val="20"/>
        </w:rPr>
        <w:t>, but lower than those of the TUSKEGEE ORANGE variety, which are 0.132 and 0.297 mg ET/g of fresh plant material respectivel</w:t>
      </w:r>
      <w:r w:rsidR="00CF0031">
        <w:rPr>
          <w:rFonts w:ascii="Arial" w:hAnsi="Arial" w:cs="Arial"/>
          <w:sz w:val="20"/>
        </w:rPr>
        <w:t>y</w:t>
      </w:r>
      <w:r w:rsidR="00D31488">
        <w:rPr>
          <w:rFonts w:ascii="Arial" w:hAnsi="Arial" w:cs="Arial"/>
          <w:sz w:val="20"/>
        </w:rPr>
        <w:t xml:space="preserve"> by the DPPH and FRAP methods [8</w:t>
      </w:r>
      <w:r w:rsidR="00CF0031">
        <w:rPr>
          <w:rFonts w:ascii="Arial" w:hAnsi="Arial" w:cs="Arial"/>
          <w:sz w:val="20"/>
        </w:rPr>
        <w:t>]</w:t>
      </w:r>
    </w:p>
    <w:p w:rsidR="00AF6A66" w:rsidRPr="00F840E1" w:rsidRDefault="00AF6A66" w:rsidP="00AF6A66">
      <w:pPr>
        <w:ind w:right="0"/>
        <w:jc w:val="both"/>
        <w:rPr>
          <w:rFonts w:ascii="Arial" w:hAnsi="Arial" w:cs="Arial"/>
          <w:b/>
        </w:rPr>
      </w:pPr>
      <w:r w:rsidRPr="002D4534">
        <w:rPr>
          <w:rFonts w:ascii="Arial" w:hAnsi="Arial" w:cs="Arial"/>
        </w:rPr>
        <w:t xml:space="preserve">    </w:t>
      </w:r>
      <w:r w:rsidRPr="00F840E1">
        <w:rPr>
          <w:rFonts w:ascii="Arial" w:hAnsi="Arial" w:cs="Arial"/>
          <w:b/>
        </w:rPr>
        <w:t>3.2.  Identification of the main carotenoids by HPTLC-MS</w:t>
      </w:r>
    </w:p>
    <w:p w:rsidR="00AF6A66" w:rsidRPr="00F840E1" w:rsidRDefault="00AF6A66" w:rsidP="00F840E1">
      <w:pPr>
        <w:spacing w:after="0"/>
        <w:ind w:right="0"/>
        <w:jc w:val="both"/>
        <w:rPr>
          <w:rFonts w:ascii="Arial" w:hAnsi="Arial" w:cs="Arial"/>
          <w:sz w:val="20"/>
        </w:rPr>
      </w:pPr>
      <w:r w:rsidRPr="002D4534">
        <w:rPr>
          <w:rFonts w:ascii="Arial" w:hAnsi="Arial" w:cs="Arial"/>
        </w:rPr>
        <w:t xml:space="preserve">  </w:t>
      </w:r>
      <w:r w:rsidRPr="00F840E1">
        <w:rPr>
          <w:rFonts w:ascii="Arial" w:hAnsi="Arial" w:cs="Arial"/>
          <w:sz w:val="20"/>
        </w:rPr>
        <w:t xml:space="preserve">The identity of the bands in the extract chromatogram was further confirmed by mass spectrometry, i.e., using the Camag TLC-MS interface, which allows direct coupling of TLC to MS. </w:t>
      </w:r>
    </w:p>
    <w:p w:rsidR="00AF6A66" w:rsidRPr="00F840E1" w:rsidRDefault="00AF6A66" w:rsidP="00F840E1">
      <w:pPr>
        <w:spacing w:after="0"/>
        <w:ind w:right="0"/>
        <w:jc w:val="both"/>
        <w:rPr>
          <w:rFonts w:ascii="Arial" w:hAnsi="Arial" w:cs="Arial"/>
          <w:sz w:val="20"/>
        </w:rPr>
      </w:pPr>
      <w:r w:rsidRPr="00F840E1">
        <w:rPr>
          <w:rFonts w:ascii="Arial" w:hAnsi="Arial" w:cs="Arial"/>
          <w:sz w:val="20"/>
        </w:rPr>
        <w:t xml:space="preserve">Two major spots were analyzed. Spots 1 and 2 with respective Rf values of 0.3 and 0.87 (Figure 1). </w:t>
      </w:r>
    </w:p>
    <w:p w:rsidR="00AF6A66" w:rsidRPr="00F840E1" w:rsidRDefault="00AF6A66" w:rsidP="00F840E1">
      <w:pPr>
        <w:spacing w:after="0"/>
        <w:ind w:right="0"/>
        <w:jc w:val="both"/>
        <w:rPr>
          <w:rFonts w:ascii="Arial" w:hAnsi="Arial" w:cs="Arial"/>
          <w:sz w:val="20"/>
        </w:rPr>
      </w:pPr>
      <w:r w:rsidRPr="00F840E1">
        <w:rPr>
          <w:rFonts w:ascii="Arial" w:hAnsi="Arial" w:cs="Arial"/>
          <w:sz w:val="20"/>
        </w:rPr>
        <w:t>MS analysis of spot 1 (Rf= 0.3) shows two peaks corresponding to two molecular ions at m/z 537.4 and 569.4, named A and B respectively (Figure 2). The molecular ion at m/z 537.4 (</w:t>
      </w:r>
      <w:r w:rsidRPr="00F840E1">
        <w:rPr>
          <w:rFonts w:ascii="Cambria Math" w:hAnsi="Cambria Math" w:cs="Cambria Math"/>
          <w:sz w:val="20"/>
        </w:rPr>
        <w:t>≃</w:t>
      </w:r>
      <w:r w:rsidRPr="00F840E1">
        <w:rPr>
          <w:rFonts w:ascii="Arial" w:hAnsi="Arial" w:cs="Arial"/>
          <w:sz w:val="20"/>
        </w:rPr>
        <w:t>537) corresponds to the mass calculated from the formula C</w:t>
      </w:r>
      <w:r w:rsidRPr="00CF0031">
        <w:rPr>
          <w:rFonts w:ascii="Arial" w:hAnsi="Arial" w:cs="Arial"/>
          <w:sz w:val="20"/>
          <w:vertAlign w:val="subscript"/>
        </w:rPr>
        <w:t>40</w:t>
      </w:r>
      <w:r w:rsidRPr="00F840E1">
        <w:rPr>
          <w:rFonts w:ascii="Arial" w:hAnsi="Arial" w:cs="Arial"/>
          <w:sz w:val="20"/>
        </w:rPr>
        <w:t>H</w:t>
      </w:r>
      <w:r w:rsidRPr="00CF0031">
        <w:rPr>
          <w:rFonts w:ascii="Arial" w:hAnsi="Arial" w:cs="Arial"/>
          <w:sz w:val="20"/>
          <w:vertAlign w:val="subscript"/>
        </w:rPr>
        <w:t>56</w:t>
      </w:r>
      <w:r w:rsidRPr="00F840E1">
        <w:rPr>
          <w:rFonts w:ascii="Arial" w:hAnsi="Arial" w:cs="Arial"/>
          <w:sz w:val="20"/>
        </w:rPr>
        <w:t>. Compounds such as β, α-carotene, and lycopene have the same molecular formula. Compound A can be either β or α-carotene, or lycopene. The molecular ion at m/z 569.4 (569) corresponds to the mass calculated from the formula C</w:t>
      </w:r>
      <w:r w:rsidRPr="00CF0031">
        <w:rPr>
          <w:rFonts w:ascii="Arial" w:hAnsi="Arial" w:cs="Arial"/>
          <w:sz w:val="20"/>
          <w:vertAlign w:val="subscript"/>
        </w:rPr>
        <w:t>40</w:t>
      </w:r>
      <w:r w:rsidRPr="00F840E1">
        <w:rPr>
          <w:rFonts w:ascii="Arial" w:hAnsi="Arial" w:cs="Arial"/>
          <w:sz w:val="20"/>
        </w:rPr>
        <w:t>H</w:t>
      </w:r>
      <w:r w:rsidRPr="00CF0031">
        <w:rPr>
          <w:rFonts w:ascii="Arial" w:hAnsi="Arial" w:cs="Arial"/>
          <w:sz w:val="20"/>
          <w:vertAlign w:val="subscript"/>
        </w:rPr>
        <w:t>56</w:t>
      </w:r>
      <w:r w:rsidRPr="00F840E1">
        <w:rPr>
          <w:rFonts w:ascii="Arial" w:hAnsi="Arial" w:cs="Arial"/>
          <w:sz w:val="20"/>
        </w:rPr>
        <w:t>O</w:t>
      </w:r>
      <w:r w:rsidRPr="00CF0031">
        <w:rPr>
          <w:rFonts w:ascii="Arial" w:hAnsi="Arial" w:cs="Arial"/>
          <w:sz w:val="20"/>
          <w:vertAlign w:val="subscript"/>
        </w:rPr>
        <w:t>2</w:t>
      </w:r>
      <w:r w:rsidRPr="00F840E1">
        <w:rPr>
          <w:rFonts w:ascii="Arial" w:hAnsi="Arial" w:cs="Arial"/>
          <w:sz w:val="20"/>
        </w:rPr>
        <w:t>. This is either lutein or zeaxanthin. Lutein and zeaxanthin differ only in the position of a double bond on the rings (Figure 3).</w:t>
      </w:r>
      <w:r w:rsidR="004D67EF" w:rsidRPr="004D67EF">
        <w:t xml:space="preserve"> </w:t>
      </w:r>
      <w:r w:rsidR="004D67EF">
        <w:t>Lutein and zeaxanthin are powerful fat soluble antioxidant nutrients.</w:t>
      </w:r>
      <w:r w:rsidRPr="00F840E1">
        <w:rPr>
          <w:rFonts w:ascii="Arial" w:hAnsi="Arial" w:cs="Arial"/>
          <w:sz w:val="20"/>
        </w:rPr>
        <w:t xml:space="preserve"> </w:t>
      </w:r>
      <w:r w:rsidR="004D67EF" w:rsidRPr="00037C2C">
        <w:rPr>
          <w:rFonts w:ascii="Times New Roman" w:hAnsi="Times New Roman" w:cs="Times New Roman"/>
          <w:sz w:val="24"/>
          <w:szCs w:val="24"/>
        </w:rPr>
        <w:t>Lutein and zeaxanthin are two xanthophylls found in t</w:t>
      </w:r>
      <w:r w:rsidR="004D67EF">
        <w:rPr>
          <w:rFonts w:ascii="Times New Roman" w:hAnsi="Times New Roman" w:cs="Times New Roman"/>
          <w:sz w:val="24"/>
          <w:szCs w:val="24"/>
        </w:rPr>
        <w:t xml:space="preserve">he macular pigment of the </w:t>
      </w:r>
      <w:proofErr w:type="gramStart"/>
      <w:r w:rsidR="004D67EF">
        <w:rPr>
          <w:rFonts w:ascii="Times New Roman" w:hAnsi="Times New Roman" w:cs="Times New Roman"/>
          <w:sz w:val="24"/>
          <w:szCs w:val="24"/>
        </w:rPr>
        <w:t>eyes.</w:t>
      </w:r>
      <w:r w:rsidR="004D67EF" w:rsidRPr="00037C2C">
        <w:rPr>
          <w:rFonts w:ascii="Times New Roman" w:hAnsi="Times New Roman" w:cs="Times New Roman"/>
          <w:sz w:val="24"/>
          <w:szCs w:val="24"/>
        </w:rPr>
        <w:t>These</w:t>
      </w:r>
      <w:proofErr w:type="gramEnd"/>
      <w:r w:rsidR="004D67EF" w:rsidRPr="00037C2C">
        <w:rPr>
          <w:rFonts w:ascii="Times New Roman" w:hAnsi="Times New Roman" w:cs="Times New Roman"/>
          <w:sz w:val="24"/>
          <w:szCs w:val="24"/>
        </w:rPr>
        <w:t xml:space="preserve"> molecules may play an important role in the prevention of age-related macular degeneration (AMD), cataracts, and other eye disorders</w:t>
      </w:r>
      <w:r w:rsidR="00E9263B">
        <w:rPr>
          <w:rFonts w:ascii="Times New Roman" w:hAnsi="Times New Roman" w:cs="Times New Roman"/>
          <w:sz w:val="24"/>
          <w:szCs w:val="24"/>
        </w:rPr>
        <w:t xml:space="preserve">. </w:t>
      </w:r>
      <w:r w:rsidR="00E9263B" w:rsidRPr="00E9263B">
        <w:rPr>
          <w:rFonts w:ascii="Times New Roman" w:hAnsi="Times New Roman" w:cs="Times New Roman"/>
          <w:sz w:val="24"/>
          <w:szCs w:val="24"/>
        </w:rPr>
        <w:t xml:space="preserve">Indeed, studies have shown that lutein has a shorter </w:t>
      </w:r>
      <w:r w:rsidR="00D31488">
        <w:rPr>
          <w:rFonts w:ascii="Times New Roman" w:hAnsi="Times New Roman" w:cs="Times New Roman"/>
          <w:sz w:val="24"/>
          <w:szCs w:val="24"/>
        </w:rPr>
        <w:t xml:space="preserve">retention time than </w:t>
      </w:r>
      <w:proofErr w:type="gramStart"/>
      <w:r w:rsidR="00D31488">
        <w:rPr>
          <w:rFonts w:ascii="Times New Roman" w:hAnsi="Times New Roman" w:cs="Times New Roman"/>
          <w:sz w:val="24"/>
          <w:szCs w:val="24"/>
        </w:rPr>
        <w:t>zeaxanthin[</w:t>
      </w:r>
      <w:proofErr w:type="gramEnd"/>
      <w:r w:rsidR="00D31488">
        <w:rPr>
          <w:rFonts w:ascii="Times New Roman" w:hAnsi="Times New Roman" w:cs="Times New Roman"/>
          <w:sz w:val="24"/>
          <w:szCs w:val="24"/>
        </w:rPr>
        <w:t>9</w:t>
      </w:r>
      <w:r w:rsidR="00E9263B" w:rsidRPr="00E9263B">
        <w:rPr>
          <w:rFonts w:ascii="Times New Roman" w:hAnsi="Times New Roman" w:cs="Times New Roman"/>
          <w:sz w:val="24"/>
          <w:szCs w:val="24"/>
        </w:rPr>
        <w:t>]. Compound B could therefore be lutein.</w:t>
      </w:r>
    </w:p>
    <w:p w:rsidR="001D556D" w:rsidRDefault="001D556D" w:rsidP="001D556D">
      <w:pPr>
        <w:spacing w:after="0"/>
        <w:ind w:right="0"/>
        <w:jc w:val="both"/>
        <w:rPr>
          <w:rFonts w:ascii="Arial" w:hAnsi="Arial" w:cs="Arial"/>
          <w:sz w:val="20"/>
        </w:rPr>
      </w:pPr>
      <w:r w:rsidRPr="001D556D">
        <w:rPr>
          <w:rFonts w:ascii="Arial" w:hAnsi="Arial" w:cs="Arial"/>
          <w:sz w:val="20"/>
        </w:rPr>
        <w:t>Mass spectrum analysis (HPTLC-MS) of spot 2 (Rf= 0.87) reveals three peaks corresponding to molecular ions at m/z 537.4, 553.7, and 568.5, labeled C, D, and E, respectively (Figure 2). As in the case of spot 1, the molecular ion at m/z 537.4 (</w:t>
      </w:r>
      <w:r w:rsidRPr="001D556D">
        <w:rPr>
          <w:rFonts w:ascii="Cambria Math" w:hAnsi="Cambria Math" w:cs="Cambria Math"/>
          <w:sz w:val="20"/>
        </w:rPr>
        <w:t>≃</w:t>
      </w:r>
      <w:r w:rsidRPr="001D556D">
        <w:rPr>
          <w:rFonts w:ascii="Arial" w:hAnsi="Arial" w:cs="Arial"/>
          <w:sz w:val="20"/>
        </w:rPr>
        <w:t>537) corresponds to the mass calculated from the formula C40H56. The masses of carotenoids such as lycopene, β, γ, and α-carotene correspond to this molecular formula. Compound C would be either lycopene or one of its isomers. However, several studies have shown that β-carotene (Figure 5) is</w:t>
      </w:r>
      <w:r w:rsidR="00D31488">
        <w:rPr>
          <w:rFonts w:ascii="Arial" w:hAnsi="Arial" w:cs="Arial"/>
          <w:sz w:val="20"/>
        </w:rPr>
        <w:t xml:space="preserve"> the major component in PDCOs [</w:t>
      </w:r>
      <w:proofErr w:type="gramStart"/>
      <w:r w:rsidR="00D31488">
        <w:rPr>
          <w:rFonts w:ascii="Arial" w:hAnsi="Arial" w:cs="Arial"/>
          <w:sz w:val="20"/>
        </w:rPr>
        <w:t>10</w:t>
      </w:r>
      <w:r w:rsidR="00E9263B">
        <w:rPr>
          <w:rFonts w:ascii="Arial" w:hAnsi="Arial" w:cs="Arial"/>
          <w:sz w:val="20"/>
        </w:rPr>
        <w:t>][</w:t>
      </w:r>
      <w:proofErr w:type="gramEnd"/>
      <w:r w:rsidR="00E9263B">
        <w:rPr>
          <w:rFonts w:ascii="Arial" w:hAnsi="Arial" w:cs="Arial"/>
          <w:sz w:val="20"/>
        </w:rPr>
        <w:t>1</w:t>
      </w:r>
      <w:r w:rsidR="00D31488">
        <w:rPr>
          <w:rFonts w:ascii="Arial" w:hAnsi="Arial" w:cs="Arial"/>
          <w:sz w:val="20"/>
        </w:rPr>
        <w:t>1</w:t>
      </w:r>
      <w:r w:rsidRPr="001D556D">
        <w:rPr>
          <w:rFonts w:ascii="Arial" w:hAnsi="Arial" w:cs="Arial"/>
          <w:sz w:val="20"/>
        </w:rPr>
        <w:t>]. Compound C could correspond to β-carotene. The molecular ion at m/z 553.7 could correspond to one of the isomers of cryptoxanthin (β-cryptoxanthin and α-cryptoxanthin) with the formula C</w:t>
      </w:r>
      <w:r w:rsidRPr="00CF0031">
        <w:rPr>
          <w:rFonts w:ascii="Arial" w:hAnsi="Arial" w:cs="Arial"/>
          <w:sz w:val="20"/>
          <w:vertAlign w:val="subscript"/>
        </w:rPr>
        <w:t>40</w:t>
      </w:r>
      <w:r w:rsidRPr="001D556D">
        <w:rPr>
          <w:rFonts w:ascii="Arial" w:hAnsi="Arial" w:cs="Arial"/>
          <w:sz w:val="20"/>
        </w:rPr>
        <w:t>H</w:t>
      </w:r>
      <w:r w:rsidRPr="00CF0031">
        <w:rPr>
          <w:rFonts w:ascii="Arial" w:hAnsi="Arial" w:cs="Arial"/>
          <w:sz w:val="20"/>
          <w:vertAlign w:val="subscript"/>
        </w:rPr>
        <w:t>56</w:t>
      </w:r>
      <w:r w:rsidRPr="001D556D">
        <w:rPr>
          <w:rFonts w:ascii="Arial" w:hAnsi="Arial" w:cs="Arial"/>
          <w:sz w:val="20"/>
        </w:rPr>
        <w:t>O (Figure 4). The structural difference between these two molecules is related to the position of the hydroxyl group and the double bond of the second nucleus of the molecule. In addition, the hydroxyl group of α-cryptoxanthin is allylic (Figure 86) and therefore easy to eliminate compared to the hydroxyl group of β-cryptoxanthin, which is linked to a secondary carbon with saturated neighboring C-C bonds. According to the work reported by Koala et al.</w:t>
      </w:r>
      <w:r w:rsidR="00AD577C">
        <w:rPr>
          <w:rFonts w:ascii="Arial" w:hAnsi="Arial" w:cs="Arial"/>
          <w:sz w:val="20"/>
        </w:rPr>
        <w:t xml:space="preserve"> </w:t>
      </w:r>
      <w:r w:rsidR="00E9263B">
        <w:rPr>
          <w:rFonts w:ascii="Arial" w:hAnsi="Arial" w:cs="Arial"/>
          <w:sz w:val="20"/>
        </w:rPr>
        <w:t>[1</w:t>
      </w:r>
      <w:r w:rsidR="00D31488">
        <w:rPr>
          <w:rFonts w:ascii="Arial" w:hAnsi="Arial" w:cs="Arial"/>
          <w:sz w:val="20"/>
        </w:rPr>
        <w:t>2</w:t>
      </w:r>
      <w:r w:rsidR="00E9263B">
        <w:rPr>
          <w:rFonts w:ascii="Arial" w:hAnsi="Arial" w:cs="Arial"/>
          <w:sz w:val="20"/>
        </w:rPr>
        <w:t>]</w:t>
      </w:r>
      <w:r w:rsidR="004867F1">
        <w:rPr>
          <w:rFonts w:ascii="Arial" w:hAnsi="Arial" w:cs="Arial"/>
          <w:sz w:val="20"/>
        </w:rPr>
        <w:t xml:space="preserve"> and Somé et </w:t>
      </w:r>
      <w:proofErr w:type="gramStart"/>
      <w:r w:rsidR="004867F1">
        <w:rPr>
          <w:rFonts w:ascii="Arial" w:hAnsi="Arial" w:cs="Arial"/>
          <w:sz w:val="20"/>
        </w:rPr>
        <w:t>al.</w:t>
      </w:r>
      <w:r w:rsidR="00E9263B">
        <w:rPr>
          <w:rFonts w:ascii="Arial" w:hAnsi="Arial" w:cs="Arial"/>
          <w:sz w:val="20"/>
        </w:rPr>
        <w:t>[</w:t>
      </w:r>
      <w:proofErr w:type="gramEnd"/>
      <w:r w:rsidR="00E9263B">
        <w:rPr>
          <w:rFonts w:ascii="Arial" w:hAnsi="Arial" w:cs="Arial"/>
          <w:sz w:val="20"/>
        </w:rPr>
        <w:t>1</w:t>
      </w:r>
      <w:r w:rsidR="00D31488">
        <w:rPr>
          <w:rFonts w:ascii="Arial" w:hAnsi="Arial" w:cs="Arial"/>
          <w:sz w:val="20"/>
        </w:rPr>
        <w:t>3</w:t>
      </w:r>
      <w:r w:rsidR="00E9263B">
        <w:rPr>
          <w:rFonts w:ascii="Arial" w:hAnsi="Arial" w:cs="Arial"/>
          <w:sz w:val="20"/>
        </w:rPr>
        <w:t>]</w:t>
      </w:r>
      <w:r w:rsidRPr="001D556D">
        <w:rPr>
          <w:rFonts w:ascii="Arial" w:hAnsi="Arial" w:cs="Arial"/>
          <w:sz w:val="20"/>
        </w:rPr>
        <w:t>, orange-fleshed sweet potatoes contain β-cryptoxanthin. It should be noted that β-cryptoxanthin is a powerful antioxidant. It is one of the xanthophylls that also have slight provita</w:t>
      </w:r>
      <w:r w:rsidR="004867F1">
        <w:rPr>
          <w:rFonts w:ascii="Arial" w:hAnsi="Arial" w:cs="Arial"/>
          <w:sz w:val="20"/>
        </w:rPr>
        <w:t xml:space="preserve">min A activity </w:t>
      </w:r>
      <w:r w:rsidR="00E9263B">
        <w:rPr>
          <w:rFonts w:ascii="Arial" w:hAnsi="Arial" w:cs="Arial"/>
          <w:sz w:val="20"/>
        </w:rPr>
        <w:t>[1</w:t>
      </w:r>
      <w:r w:rsidR="00D31488">
        <w:rPr>
          <w:rFonts w:ascii="Arial" w:hAnsi="Arial" w:cs="Arial"/>
          <w:sz w:val="20"/>
        </w:rPr>
        <w:t>4</w:t>
      </w:r>
      <w:r w:rsidR="00E9263B">
        <w:rPr>
          <w:rFonts w:ascii="Arial" w:hAnsi="Arial" w:cs="Arial"/>
          <w:sz w:val="20"/>
        </w:rPr>
        <w:t>]</w:t>
      </w:r>
      <w:r w:rsidRPr="001D556D">
        <w:rPr>
          <w:rFonts w:ascii="Arial" w:hAnsi="Arial" w:cs="Arial"/>
          <w:sz w:val="20"/>
        </w:rPr>
        <w:t>. It has about half the provita</w:t>
      </w:r>
      <w:r w:rsidR="004867F1">
        <w:rPr>
          <w:rFonts w:ascii="Arial" w:hAnsi="Arial" w:cs="Arial"/>
          <w:sz w:val="20"/>
        </w:rPr>
        <w:t xml:space="preserve">min A activity of β-carotene </w:t>
      </w:r>
      <w:r w:rsidR="002D0239">
        <w:rPr>
          <w:rFonts w:ascii="Arial" w:hAnsi="Arial" w:cs="Arial"/>
          <w:sz w:val="20"/>
        </w:rPr>
        <w:t>[1</w:t>
      </w:r>
      <w:r w:rsidR="00D31488">
        <w:rPr>
          <w:rFonts w:ascii="Arial" w:hAnsi="Arial" w:cs="Arial"/>
          <w:sz w:val="20"/>
        </w:rPr>
        <w:t>5</w:t>
      </w:r>
      <w:r w:rsidRPr="001D556D">
        <w:rPr>
          <w:rFonts w:ascii="Arial" w:hAnsi="Arial" w:cs="Arial"/>
          <w:sz w:val="20"/>
        </w:rPr>
        <w:t>]. Dietary β-cryptoxanthin is thought to be a preventive ag</w:t>
      </w:r>
      <w:r w:rsidR="004867F1">
        <w:rPr>
          <w:rFonts w:ascii="Arial" w:hAnsi="Arial" w:cs="Arial"/>
          <w:sz w:val="20"/>
        </w:rPr>
        <w:t xml:space="preserve">ent against certain cancers </w:t>
      </w:r>
      <w:r w:rsidR="002D0239">
        <w:rPr>
          <w:rFonts w:ascii="Arial" w:hAnsi="Arial" w:cs="Arial"/>
          <w:sz w:val="20"/>
        </w:rPr>
        <w:t>[1</w:t>
      </w:r>
      <w:r w:rsidR="00D31488">
        <w:rPr>
          <w:rFonts w:ascii="Arial" w:hAnsi="Arial" w:cs="Arial"/>
          <w:sz w:val="20"/>
        </w:rPr>
        <w:t>6</w:t>
      </w:r>
      <w:r w:rsidR="002D0239">
        <w:rPr>
          <w:rFonts w:ascii="Arial" w:hAnsi="Arial" w:cs="Arial"/>
          <w:sz w:val="20"/>
        </w:rPr>
        <w:t>]</w:t>
      </w:r>
      <w:r w:rsidR="004867F1">
        <w:rPr>
          <w:rFonts w:ascii="Arial" w:hAnsi="Arial" w:cs="Arial"/>
          <w:sz w:val="20"/>
        </w:rPr>
        <w:t xml:space="preserve"> and rheumatoid arthritis </w:t>
      </w:r>
      <w:r w:rsidR="002D0239">
        <w:rPr>
          <w:rFonts w:ascii="Arial" w:hAnsi="Arial" w:cs="Arial"/>
          <w:sz w:val="20"/>
        </w:rPr>
        <w:t>[1</w:t>
      </w:r>
      <w:r w:rsidR="00D31488">
        <w:rPr>
          <w:rFonts w:ascii="Arial" w:hAnsi="Arial" w:cs="Arial"/>
          <w:sz w:val="20"/>
        </w:rPr>
        <w:t>7</w:t>
      </w:r>
      <w:r w:rsidRPr="001D556D">
        <w:rPr>
          <w:rFonts w:ascii="Arial" w:hAnsi="Arial" w:cs="Arial"/>
          <w:sz w:val="20"/>
        </w:rPr>
        <w:t>]. Compound D could be identified as β-cryptoxanthin. The molecular ion at m/z 568.5 (</w:t>
      </w:r>
      <w:r w:rsidRPr="001D556D">
        <w:rPr>
          <w:rFonts w:ascii="Cambria Math" w:hAnsi="Cambria Math" w:cs="Cambria Math"/>
          <w:sz w:val="20"/>
        </w:rPr>
        <w:t>≃</w:t>
      </w:r>
      <w:r w:rsidRPr="001D556D">
        <w:rPr>
          <w:rFonts w:ascii="Arial" w:hAnsi="Arial" w:cs="Arial"/>
          <w:sz w:val="20"/>
        </w:rPr>
        <w:t xml:space="preserve">569) corresponds to the mass calculated from the formula C40H56O2. Lutein and </w:t>
      </w:r>
      <w:r w:rsidRPr="001D556D">
        <w:rPr>
          <w:rFonts w:ascii="Arial" w:hAnsi="Arial" w:cs="Arial"/>
          <w:sz w:val="20"/>
        </w:rPr>
        <w:lastRenderedPageBreak/>
        <w:t xml:space="preserve">zeaxanthin (Figure 3) are two carotenoids corresponding to this molecular formula. </w:t>
      </w:r>
      <w:r w:rsidR="00F94059" w:rsidRPr="00F94059">
        <w:rPr>
          <w:rFonts w:ascii="Arial" w:hAnsi="Arial" w:cs="Arial"/>
          <w:sz w:val="20"/>
        </w:rPr>
        <w:t xml:space="preserve">The structural difference between these two compounds is the presence of the allylic OH group in the structure of lutein. In addition, this hydroxyl group is easier to eliminate in the form of water to give a stable fragment ion. However, zeaxanthin does not have an allylic hydroxyl group, so its molecular ion is stable. Furthermore, previous studies have already shown the presence </w:t>
      </w:r>
      <w:r w:rsidR="002D0239">
        <w:rPr>
          <w:rFonts w:ascii="Arial" w:hAnsi="Arial" w:cs="Arial"/>
          <w:sz w:val="20"/>
        </w:rPr>
        <w:t>of these carotenoids in PDCO [1</w:t>
      </w:r>
      <w:r w:rsidR="00D31488">
        <w:rPr>
          <w:rFonts w:ascii="Arial" w:hAnsi="Arial" w:cs="Arial"/>
          <w:sz w:val="20"/>
        </w:rPr>
        <w:t>3</w:t>
      </w:r>
      <w:r w:rsidR="00F94059" w:rsidRPr="00F94059">
        <w:rPr>
          <w:rFonts w:ascii="Arial" w:hAnsi="Arial" w:cs="Arial"/>
          <w:sz w:val="20"/>
        </w:rPr>
        <w:t>]. Compound E could therefore be identified as zeaxanthin. It is a compound known as macular pigment.  It is a powerful antioxidant that helps trap free radicals formed in photoreceptors, thus protecting the macula from light-induced damage and age-related macular degeneration. In addition, zeaxanthin is a colorant widely used in the cosmetics and food industries. It may also play an essential</w:t>
      </w:r>
      <w:r w:rsidR="004867F1">
        <w:rPr>
          <w:rFonts w:ascii="Arial" w:hAnsi="Arial" w:cs="Arial"/>
          <w:sz w:val="20"/>
        </w:rPr>
        <w:t xml:space="preserve"> role in cancer prevention </w:t>
      </w:r>
      <w:r w:rsidR="002D0239">
        <w:rPr>
          <w:rFonts w:ascii="Arial" w:hAnsi="Arial" w:cs="Arial"/>
          <w:sz w:val="20"/>
        </w:rPr>
        <w:t>[1</w:t>
      </w:r>
      <w:r w:rsidR="00D31488">
        <w:rPr>
          <w:rFonts w:ascii="Arial" w:hAnsi="Arial" w:cs="Arial"/>
          <w:sz w:val="20"/>
        </w:rPr>
        <w:t>8</w:t>
      </w:r>
      <w:r w:rsidR="002D0239">
        <w:rPr>
          <w:rFonts w:ascii="Arial" w:hAnsi="Arial" w:cs="Arial"/>
          <w:sz w:val="20"/>
        </w:rPr>
        <w:t>]</w:t>
      </w:r>
      <w:r w:rsidR="00F94059" w:rsidRPr="00F94059">
        <w:rPr>
          <w:rFonts w:ascii="Arial" w:hAnsi="Arial" w:cs="Arial"/>
          <w:sz w:val="20"/>
        </w:rPr>
        <w:t>.</w:t>
      </w:r>
      <w:r w:rsidR="004D67EF" w:rsidRPr="004D67EF">
        <w:t xml:space="preserve"> </w:t>
      </w:r>
      <w:r w:rsidR="004D67EF">
        <w:t>Zeaxanthin is what gives the macular tissue in the eye its characteristic yellow colour.</w:t>
      </w:r>
    </w:p>
    <w:p w:rsidR="00F94059" w:rsidRPr="001D556D" w:rsidRDefault="00F94059" w:rsidP="001D556D">
      <w:pPr>
        <w:spacing w:after="0"/>
        <w:ind w:right="0"/>
        <w:jc w:val="both"/>
        <w:rPr>
          <w:rFonts w:ascii="Arial" w:hAnsi="Arial" w:cs="Arial"/>
          <w:sz w:val="20"/>
        </w:rPr>
      </w:pPr>
    </w:p>
    <w:p w:rsidR="00AF6A66" w:rsidRPr="002D4534" w:rsidRDefault="00744D27" w:rsidP="001D556D">
      <w:pPr>
        <w:ind w:right="0"/>
        <w:jc w:val="both"/>
        <w:rPr>
          <w:rFonts w:ascii="Arial" w:eastAsia="Calibri" w:hAnsi="Arial" w:cs="Arial"/>
        </w:rPr>
      </w:pPr>
      <w:r w:rsidRPr="002D4534">
        <w:rPr>
          <w:rFonts w:ascii="Arial" w:eastAsia="Calibri" w:hAnsi="Arial" w:cs="Arial"/>
        </w:rPr>
        <w:object w:dxaOrig="8490"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pt;height:141pt" o:ole="">
            <v:imagedata r:id="rId7" o:title=""/>
          </v:shape>
          <o:OLEObject Type="Embed" ProgID="ChemDraw.Document.6.0" ShapeID="_x0000_i1025" DrawAspect="Content" ObjectID="_1821357306" r:id="rId8"/>
        </w:object>
      </w:r>
    </w:p>
    <w:p w:rsidR="00744D27" w:rsidRPr="00C825EC" w:rsidRDefault="00744D27" w:rsidP="00C825EC">
      <w:pPr>
        <w:ind w:right="0"/>
        <w:jc w:val="center"/>
        <w:rPr>
          <w:rFonts w:ascii="Arial" w:eastAsia="Calibri" w:hAnsi="Arial" w:cs="Arial"/>
          <w:sz w:val="20"/>
        </w:rPr>
      </w:pPr>
      <w:r w:rsidRPr="00C825EC">
        <w:rPr>
          <w:rFonts w:ascii="Arial" w:eastAsia="Calibri" w:hAnsi="Arial" w:cs="Arial"/>
          <w:sz w:val="20"/>
        </w:rPr>
        <w:t>Figure 1: HPTLC spectrum of the BF59XCIP1 variety</w:t>
      </w:r>
    </w:p>
    <w:p w:rsidR="00744D27" w:rsidRPr="002D4534" w:rsidRDefault="00744D27" w:rsidP="00AF6A66">
      <w:pPr>
        <w:ind w:right="0"/>
        <w:jc w:val="both"/>
        <w:rPr>
          <w:rFonts w:ascii="Arial" w:eastAsia="Calibri" w:hAnsi="Arial" w:cs="Arial"/>
        </w:rPr>
      </w:pPr>
      <w:r w:rsidRPr="002D4534">
        <w:rPr>
          <w:rFonts w:ascii="Arial" w:eastAsia="Calibri" w:hAnsi="Arial" w:cs="Arial"/>
        </w:rPr>
        <w:object w:dxaOrig="12810" w:dyaOrig="3450">
          <v:shape id="_x0000_i1026" type="#_x0000_t75" style="width:443pt;height:142pt" o:ole="">
            <v:imagedata r:id="rId9" o:title=""/>
          </v:shape>
          <o:OLEObject Type="Embed" ProgID="ChemDraw.Document.6.0" ShapeID="_x0000_i1026" DrawAspect="Content" ObjectID="_1821357307" r:id="rId10"/>
        </w:object>
      </w:r>
    </w:p>
    <w:p w:rsidR="00AF6A66" w:rsidRPr="002D4534" w:rsidRDefault="00744D27" w:rsidP="00AF6A66">
      <w:pPr>
        <w:ind w:right="0"/>
        <w:jc w:val="both"/>
        <w:rPr>
          <w:rFonts w:ascii="Arial" w:eastAsia="Calibri" w:hAnsi="Arial" w:cs="Arial"/>
        </w:rPr>
      </w:pPr>
      <w:r w:rsidRPr="002D4534">
        <w:rPr>
          <w:rFonts w:ascii="Arial" w:eastAsia="Calibri" w:hAnsi="Arial" w:cs="Arial"/>
        </w:rPr>
        <w:object w:dxaOrig="13110" w:dyaOrig="4035">
          <v:shape id="_x0000_i1027" type="#_x0000_t75" style="width:425pt;height:163.5pt" o:ole="">
            <v:imagedata r:id="rId11" o:title=""/>
          </v:shape>
          <o:OLEObject Type="Embed" ProgID="ChemDraw.Document.6.0" ShapeID="_x0000_i1027" DrawAspect="Content" ObjectID="_1821357308" r:id="rId12"/>
        </w:object>
      </w:r>
    </w:p>
    <w:p w:rsidR="00744D27" w:rsidRPr="00C825EC" w:rsidRDefault="00744D27" w:rsidP="00C825EC">
      <w:pPr>
        <w:ind w:right="0"/>
        <w:jc w:val="center"/>
        <w:rPr>
          <w:rFonts w:ascii="Arial" w:hAnsi="Arial" w:cs="Arial"/>
          <w:sz w:val="20"/>
        </w:rPr>
      </w:pPr>
      <w:r w:rsidRPr="00C825EC">
        <w:rPr>
          <w:rFonts w:ascii="Arial" w:hAnsi="Arial" w:cs="Arial"/>
          <w:sz w:val="20"/>
        </w:rPr>
        <w:t>Figure 2: HPTLC spectrum of spots 1 and 2 of variety BF59XCIP1</w:t>
      </w:r>
    </w:p>
    <w:p w:rsidR="00744D27" w:rsidRPr="002D4534" w:rsidRDefault="00C825EC" w:rsidP="00AF6A66">
      <w:pPr>
        <w:ind w:right="0"/>
        <w:jc w:val="both"/>
        <w:rPr>
          <w:rFonts w:ascii="Arial" w:hAnsi="Arial" w:cs="Arial"/>
        </w:rPr>
      </w:pPr>
      <w:r w:rsidRPr="002D4534">
        <w:rPr>
          <w:rFonts w:ascii="Arial" w:hAnsi="Arial" w:cs="Arial"/>
        </w:rPr>
        <w:object w:dxaOrig="14016" w:dyaOrig="4555">
          <v:shape id="_x0000_i1028" type="#_x0000_t75" style="width:453.5pt;height:147pt" o:ole="">
            <v:imagedata r:id="rId13" o:title=""/>
          </v:shape>
          <o:OLEObject Type="Embed" ProgID="ChemDraw.Document.6.0" ShapeID="_x0000_i1028" DrawAspect="Content" ObjectID="_1821357309" r:id="rId14"/>
        </w:object>
      </w:r>
    </w:p>
    <w:p w:rsidR="00744D27" w:rsidRPr="00C825EC" w:rsidRDefault="00744D27" w:rsidP="00C825EC">
      <w:pPr>
        <w:ind w:right="0"/>
        <w:jc w:val="center"/>
        <w:rPr>
          <w:rFonts w:ascii="Arial" w:hAnsi="Arial" w:cs="Arial"/>
          <w:sz w:val="20"/>
        </w:rPr>
      </w:pPr>
      <w:r w:rsidRPr="00C825EC">
        <w:rPr>
          <w:rFonts w:ascii="Arial" w:hAnsi="Arial" w:cs="Arial"/>
          <w:sz w:val="20"/>
        </w:rPr>
        <w:t>Figure 3: Structures of zeaxanthin and lutein</w:t>
      </w:r>
    </w:p>
    <w:p w:rsidR="00744D27" w:rsidRPr="002D4534" w:rsidRDefault="00744D27" w:rsidP="00744D27">
      <w:pPr>
        <w:spacing w:after="0" w:line="360" w:lineRule="auto"/>
        <w:jc w:val="both"/>
        <w:rPr>
          <w:rFonts w:ascii="Arial" w:hAnsi="Arial" w:cs="Arial"/>
        </w:rPr>
      </w:pPr>
      <w:r w:rsidRPr="002D4534">
        <w:rPr>
          <w:rFonts w:ascii="Arial" w:hAnsi="Arial" w:cs="Arial"/>
        </w:rPr>
        <w:object w:dxaOrig="9723" w:dyaOrig="1807">
          <v:shape id="_x0000_i1029" type="#_x0000_t75" style="width:353.5pt;height:64.5pt" o:ole="">
            <v:imagedata r:id="rId15" o:title=""/>
          </v:shape>
          <o:OLEObject Type="Embed" ProgID="ChemDraw.Document.6.0" ShapeID="_x0000_i1029" DrawAspect="Content" ObjectID="_1821357310" r:id="rId16"/>
        </w:object>
      </w:r>
    </w:p>
    <w:p w:rsidR="00744D27" w:rsidRPr="002D4534" w:rsidRDefault="00744D27" w:rsidP="00744D27">
      <w:pPr>
        <w:tabs>
          <w:tab w:val="left" w:pos="2118"/>
        </w:tabs>
        <w:spacing w:after="0" w:line="360" w:lineRule="auto"/>
        <w:jc w:val="both"/>
        <w:rPr>
          <w:rFonts w:ascii="Arial" w:hAnsi="Arial" w:cs="Arial"/>
        </w:rPr>
      </w:pPr>
      <w:r w:rsidRPr="002D4534">
        <w:rPr>
          <w:rFonts w:ascii="Arial" w:hAnsi="Arial" w:cs="Arial"/>
        </w:rPr>
        <w:t xml:space="preserve">                                </w:t>
      </w:r>
      <w:proofErr w:type="gramStart"/>
      <w:r w:rsidRPr="002D4534">
        <w:rPr>
          <w:rFonts w:ascii="Arial" w:hAnsi="Arial" w:cs="Arial"/>
        </w:rPr>
        <w:t>α</w:t>
      </w:r>
      <w:proofErr w:type="gramEnd"/>
      <w:r w:rsidRPr="002D4534">
        <w:rPr>
          <w:rFonts w:ascii="Arial" w:hAnsi="Arial" w:cs="Arial"/>
        </w:rPr>
        <w:t>-cryptoxanthin</w:t>
      </w:r>
    </w:p>
    <w:p w:rsidR="00744D27" w:rsidRPr="002D4534" w:rsidRDefault="00744D27" w:rsidP="00744D27">
      <w:pPr>
        <w:spacing w:after="0" w:line="360" w:lineRule="auto"/>
        <w:jc w:val="both"/>
        <w:rPr>
          <w:rFonts w:ascii="Arial" w:hAnsi="Arial" w:cs="Arial"/>
        </w:rPr>
      </w:pPr>
      <w:r w:rsidRPr="002D4534">
        <w:rPr>
          <w:rFonts w:ascii="Arial" w:hAnsi="Arial" w:cs="Arial"/>
        </w:rPr>
        <w:object w:dxaOrig="10210" w:dyaOrig="1819">
          <v:shape id="_x0000_i1030" type="#_x0000_t75" style="width:345.5pt;height:58pt" o:ole="">
            <v:imagedata r:id="rId17" o:title=""/>
          </v:shape>
          <o:OLEObject Type="Embed" ProgID="ChemDraw.Document.6.0" ShapeID="_x0000_i1030" DrawAspect="Content" ObjectID="_1821357311" r:id="rId18"/>
        </w:object>
      </w:r>
    </w:p>
    <w:p w:rsidR="00744D27" w:rsidRPr="002D4534" w:rsidRDefault="00744D27" w:rsidP="00744D27">
      <w:pPr>
        <w:ind w:right="0"/>
        <w:jc w:val="both"/>
        <w:rPr>
          <w:rFonts w:ascii="Arial" w:hAnsi="Arial" w:cs="Arial"/>
        </w:rPr>
      </w:pPr>
      <w:r w:rsidRPr="002D4534">
        <w:rPr>
          <w:rFonts w:ascii="Arial" w:hAnsi="Arial" w:cs="Arial"/>
        </w:rPr>
        <w:t xml:space="preserve">                                            </w:t>
      </w:r>
      <w:proofErr w:type="gramStart"/>
      <w:r w:rsidRPr="002D4534">
        <w:rPr>
          <w:rFonts w:ascii="Arial" w:hAnsi="Arial" w:cs="Arial"/>
        </w:rPr>
        <w:t>β</w:t>
      </w:r>
      <w:proofErr w:type="gramEnd"/>
      <w:r w:rsidRPr="002D4534">
        <w:rPr>
          <w:rFonts w:ascii="Arial" w:hAnsi="Arial" w:cs="Arial"/>
        </w:rPr>
        <w:t>-cryptoxanthin</w:t>
      </w:r>
    </w:p>
    <w:p w:rsidR="00744D27" w:rsidRPr="002D4534" w:rsidRDefault="00744D27" w:rsidP="00C825EC">
      <w:pPr>
        <w:ind w:right="0"/>
        <w:jc w:val="center"/>
        <w:rPr>
          <w:rFonts w:ascii="Arial" w:hAnsi="Arial" w:cs="Arial"/>
        </w:rPr>
      </w:pPr>
      <w:r w:rsidRPr="00C825EC">
        <w:rPr>
          <w:rFonts w:ascii="Arial" w:hAnsi="Arial" w:cs="Arial"/>
          <w:sz w:val="20"/>
        </w:rPr>
        <w:t>Figure 4: Structures of β-cryptoxanthin and α-cryptoxanthin</w:t>
      </w:r>
    </w:p>
    <w:p w:rsidR="00744D27" w:rsidRPr="002D4534" w:rsidRDefault="00744D27" w:rsidP="00744D27">
      <w:pPr>
        <w:ind w:right="0"/>
        <w:jc w:val="both"/>
        <w:rPr>
          <w:rFonts w:ascii="Arial" w:hAnsi="Arial" w:cs="Arial"/>
        </w:rPr>
      </w:pPr>
      <w:r w:rsidRPr="002D4534">
        <w:rPr>
          <w:rFonts w:ascii="Arial" w:hAnsi="Arial" w:cs="Arial"/>
        </w:rPr>
        <w:object w:dxaOrig="12039" w:dyaOrig="2191">
          <v:shape id="_x0000_i1031" type="#_x0000_t75" style="width:363.5pt;height:64pt" o:ole="">
            <v:imagedata r:id="rId19" o:title=""/>
          </v:shape>
          <o:OLEObject Type="Embed" ProgID="ChemDraw.Document.6.0" ShapeID="_x0000_i1031" DrawAspect="Content" ObjectID="_1821357312" r:id="rId20"/>
        </w:object>
      </w:r>
    </w:p>
    <w:p w:rsidR="00744D27" w:rsidRPr="00C825EC" w:rsidRDefault="00744D27" w:rsidP="00C825EC">
      <w:pPr>
        <w:ind w:right="0"/>
        <w:jc w:val="center"/>
        <w:rPr>
          <w:rFonts w:ascii="Arial" w:hAnsi="Arial" w:cs="Arial"/>
          <w:sz w:val="20"/>
        </w:rPr>
      </w:pPr>
      <w:r w:rsidRPr="00C825EC">
        <w:rPr>
          <w:rFonts w:ascii="Arial" w:hAnsi="Arial" w:cs="Arial"/>
          <w:sz w:val="20"/>
        </w:rPr>
        <w:t>Figure 5: Structures of β-carotene</w:t>
      </w:r>
    </w:p>
    <w:p w:rsidR="00744D27" w:rsidRPr="002D4534" w:rsidRDefault="00744D27" w:rsidP="00744D27">
      <w:pPr>
        <w:ind w:right="0"/>
        <w:jc w:val="both"/>
        <w:rPr>
          <w:rFonts w:ascii="Arial" w:hAnsi="Arial" w:cs="Arial"/>
        </w:rPr>
      </w:pPr>
    </w:p>
    <w:p w:rsidR="00744D27" w:rsidRPr="00F840E1" w:rsidRDefault="00744D27" w:rsidP="00744D27">
      <w:pPr>
        <w:ind w:right="0"/>
        <w:jc w:val="both"/>
        <w:rPr>
          <w:rFonts w:ascii="Arial" w:hAnsi="Arial" w:cs="Arial"/>
          <w:b/>
        </w:rPr>
      </w:pPr>
      <w:r w:rsidRPr="00F840E1">
        <w:rPr>
          <w:rFonts w:ascii="Arial" w:hAnsi="Arial" w:cs="Arial"/>
          <w:b/>
        </w:rPr>
        <w:t xml:space="preserve">3.3 Identification of compounds in the BF59XCIP1 variety by HPLC-MS/MS </w:t>
      </w:r>
    </w:p>
    <w:p w:rsidR="00744D27" w:rsidRPr="00F840E1" w:rsidRDefault="00744D27" w:rsidP="00C825EC">
      <w:pPr>
        <w:spacing w:after="0"/>
        <w:ind w:right="0"/>
        <w:jc w:val="both"/>
        <w:rPr>
          <w:rFonts w:ascii="Arial" w:hAnsi="Arial" w:cs="Arial"/>
          <w:sz w:val="20"/>
        </w:rPr>
      </w:pPr>
      <w:r w:rsidRPr="00F840E1">
        <w:rPr>
          <w:rFonts w:ascii="Arial" w:hAnsi="Arial" w:cs="Arial"/>
          <w:sz w:val="20"/>
        </w:rPr>
        <w:t>The LC-MS/MS method can be used to characterize carotenoids present as minor components in several fruits, as demonstrated by the analysis of extracts from pineapple (Physalis peruviana), kiwano (Cucumis metuliferus), mango (Mangifera indica),</w:t>
      </w:r>
      <w:r w:rsidR="002D0239">
        <w:rPr>
          <w:rFonts w:ascii="Arial" w:hAnsi="Arial" w:cs="Arial"/>
          <w:sz w:val="20"/>
        </w:rPr>
        <w:t xml:space="preserve"> and pumpkin (Cucurbita pepo) [10</w:t>
      </w:r>
      <w:r w:rsidRPr="00F840E1">
        <w:rPr>
          <w:rFonts w:ascii="Arial" w:hAnsi="Arial" w:cs="Arial"/>
          <w:sz w:val="20"/>
        </w:rPr>
        <w:t xml:space="preserve">]. The identification of the different carotenoid isomers is based on the characteristic fragmentation pattern. Chromatographic analysis identified four peaks labeled 1, 2, 3, and 4 with retention times of 0.788, 0.94, 3.33, and 9.652 min, respectively, corresponding to four compounds (Figure 6). These peaks correspond in LC-MS to molecular ions at m/z: 585, 551, 431, and 537, respectively. The observed sequence of chromatographic peaks reflects the decreasing polarity of the eluted compounds, with the more polar xanthophylls being eluted first. This is related to the polarity of the mobile phase used in our case. The intensities of the peaks corresponding to the molecular ions are greater than those of the fragment ions. This could be explained by the collision energy used during their fragmentation. It could even explain the absence of </w:t>
      </w:r>
      <w:proofErr w:type="gramStart"/>
      <w:r w:rsidRPr="00F840E1">
        <w:rPr>
          <w:rFonts w:ascii="Arial" w:hAnsi="Arial" w:cs="Arial"/>
          <w:sz w:val="20"/>
        </w:rPr>
        <w:t>certain fragments</w:t>
      </w:r>
      <w:proofErr w:type="gramEnd"/>
      <w:r w:rsidRPr="00F840E1">
        <w:rPr>
          <w:rFonts w:ascii="Arial" w:hAnsi="Arial" w:cs="Arial"/>
          <w:sz w:val="20"/>
        </w:rPr>
        <w:t xml:space="preserve"> of these molecular ions.</w:t>
      </w:r>
    </w:p>
    <w:p w:rsidR="00744D27" w:rsidRPr="00F840E1" w:rsidRDefault="00744D27" w:rsidP="00C825EC">
      <w:pPr>
        <w:spacing w:after="0"/>
        <w:ind w:right="0"/>
        <w:jc w:val="both"/>
        <w:rPr>
          <w:rFonts w:ascii="Arial" w:hAnsi="Arial" w:cs="Arial"/>
          <w:sz w:val="20"/>
        </w:rPr>
      </w:pPr>
      <w:r w:rsidRPr="00F840E1">
        <w:rPr>
          <w:rFonts w:ascii="Arial" w:hAnsi="Arial" w:cs="Arial"/>
          <w:sz w:val="20"/>
        </w:rPr>
        <w:t xml:space="preserve">The molecular ion at m/z 585 corresponds to the mass calculated from the formula C40H56O3. It </w:t>
      </w:r>
      <w:proofErr w:type="gramStart"/>
      <w:r w:rsidRPr="00F840E1">
        <w:rPr>
          <w:rFonts w:ascii="Arial" w:hAnsi="Arial" w:cs="Arial"/>
          <w:sz w:val="20"/>
        </w:rPr>
        <w:t>corresponds</w:t>
      </w:r>
      <w:proofErr w:type="gramEnd"/>
      <w:r w:rsidRPr="00F840E1">
        <w:rPr>
          <w:rFonts w:ascii="Arial" w:hAnsi="Arial" w:cs="Arial"/>
          <w:sz w:val="20"/>
        </w:rPr>
        <w:t xml:space="preserve"> to the most polar compound. The presence of three oxygen atoms could explain this </w:t>
      </w:r>
      <w:r w:rsidRPr="00F840E1">
        <w:rPr>
          <w:rFonts w:ascii="Arial" w:hAnsi="Arial" w:cs="Arial"/>
          <w:sz w:val="20"/>
        </w:rPr>
        <w:lastRenderedPageBreak/>
        <w:t>polarity. LC-MS/MS analysis of this molecular ion gives a fragment ion at m/z 249 corresponding to [M+H-C24H32</w:t>
      </w:r>
      <w:proofErr w:type="gramStart"/>
      <w:r w:rsidRPr="00F840E1">
        <w:rPr>
          <w:rFonts w:ascii="Arial" w:hAnsi="Arial" w:cs="Arial"/>
          <w:sz w:val="20"/>
        </w:rPr>
        <w:t>O]+</w:t>
      </w:r>
      <w:proofErr w:type="gramEnd"/>
      <w:r w:rsidRPr="00F840E1">
        <w:rPr>
          <w:rFonts w:ascii="Arial" w:hAnsi="Arial" w:cs="Arial"/>
          <w:sz w:val="20"/>
        </w:rPr>
        <w:t xml:space="preserve"> (Figure 7). This compound 1 is thought to be capsanthin (Figure 8). </w:t>
      </w:r>
    </w:p>
    <w:p w:rsidR="00744D27" w:rsidRPr="00F840E1" w:rsidRDefault="00744D27" w:rsidP="00F840E1">
      <w:pPr>
        <w:spacing w:after="0"/>
        <w:ind w:right="0"/>
        <w:jc w:val="both"/>
        <w:rPr>
          <w:rFonts w:ascii="Arial" w:hAnsi="Arial" w:cs="Arial"/>
          <w:sz w:val="20"/>
        </w:rPr>
      </w:pPr>
      <w:r w:rsidRPr="00F840E1">
        <w:rPr>
          <w:rFonts w:ascii="Arial" w:hAnsi="Arial" w:cs="Arial"/>
          <w:sz w:val="20"/>
        </w:rPr>
        <w:t>The molecular ion at m/z 551.200 corresponds to the mass calculated from the formula C40H54O. Carotenoids (xanthophylls) have the same chromophore. The difference in retention times between the molecular ions at m/z 551 and 585 can be explained by the difference in the number of oxygen atoms. Thus, the molecular ion at m/z 551 would have fewer oxygen atoms than the one at 585. In addition, the MS/MS spectrum of this molecular ion gives a fragment ion at m/z 459. This fragment ion corresponds to the loss of toluene C7H8 [M+H-C7H</w:t>
      </w:r>
      <w:proofErr w:type="gramStart"/>
      <w:r w:rsidRPr="00F840E1">
        <w:rPr>
          <w:rFonts w:ascii="Arial" w:hAnsi="Arial" w:cs="Arial"/>
          <w:sz w:val="20"/>
        </w:rPr>
        <w:t>8]+</w:t>
      </w:r>
      <w:proofErr w:type="gramEnd"/>
      <w:r w:rsidRPr="00F840E1">
        <w:rPr>
          <w:rFonts w:ascii="Arial" w:hAnsi="Arial" w:cs="Arial"/>
          <w:sz w:val="20"/>
        </w:rPr>
        <w:t xml:space="preserve"> (Figure 9). This compound 2 can be identified as echinenone (Figure 10). </w:t>
      </w:r>
    </w:p>
    <w:p w:rsidR="00744D27" w:rsidRPr="00F840E1" w:rsidRDefault="00744D27" w:rsidP="00F840E1">
      <w:pPr>
        <w:spacing w:after="0"/>
        <w:ind w:right="0"/>
        <w:jc w:val="both"/>
        <w:rPr>
          <w:rFonts w:ascii="Arial" w:hAnsi="Arial" w:cs="Arial"/>
          <w:sz w:val="20"/>
        </w:rPr>
      </w:pPr>
      <w:r w:rsidRPr="00F840E1">
        <w:rPr>
          <w:rFonts w:ascii="Arial" w:hAnsi="Arial" w:cs="Arial"/>
          <w:sz w:val="20"/>
        </w:rPr>
        <w:t>From the analysis of the general and individual chromatograms, the peaks corresponding to masses 413 and 431 have the same retention times (Figure 11). The peak corresponding to m/z 413 could therefore correspond to the fragment ion of the molecular ion at m/z 431. This fragment ion corresponds to the loss of a water molecule [M+H-</w:t>
      </w:r>
      <w:proofErr w:type="gramStart"/>
      <w:r w:rsidRPr="00F840E1">
        <w:rPr>
          <w:rFonts w:ascii="Arial" w:hAnsi="Arial" w:cs="Arial"/>
          <w:sz w:val="20"/>
        </w:rPr>
        <w:t>H2O]+</w:t>
      </w:r>
      <w:proofErr w:type="gramEnd"/>
      <w:r w:rsidRPr="00F840E1">
        <w:rPr>
          <w:rFonts w:ascii="Arial" w:hAnsi="Arial" w:cs="Arial"/>
          <w:sz w:val="20"/>
        </w:rPr>
        <w:t>. In addition, the fragment ion at m/z 301 corresponds to the loss of a water molecule and a C8H17 molecule [M+H-H2O-C8H</w:t>
      </w:r>
      <w:proofErr w:type="gramStart"/>
      <w:r w:rsidRPr="00F840E1">
        <w:rPr>
          <w:rFonts w:ascii="Arial" w:hAnsi="Arial" w:cs="Arial"/>
          <w:sz w:val="20"/>
        </w:rPr>
        <w:t>17]+</w:t>
      </w:r>
      <w:proofErr w:type="gramEnd"/>
      <w:r w:rsidRPr="00F840E1">
        <w:rPr>
          <w:rFonts w:ascii="Arial" w:hAnsi="Arial" w:cs="Arial"/>
          <w:sz w:val="20"/>
        </w:rPr>
        <w:t xml:space="preserve"> (Figure 11). This compound 3 can be identified as α-tocopherol (5,7,8-trimethyltocol), also known as vitamin E (Figure 11).</w:t>
      </w:r>
    </w:p>
    <w:p w:rsidR="00744D27" w:rsidRDefault="00744D27" w:rsidP="00F840E1">
      <w:pPr>
        <w:spacing w:after="0"/>
        <w:ind w:right="0"/>
        <w:jc w:val="both"/>
        <w:rPr>
          <w:rFonts w:ascii="Arial" w:hAnsi="Arial" w:cs="Arial"/>
          <w:sz w:val="20"/>
        </w:rPr>
      </w:pPr>
      <w:r w:rsidRPr="00F840E1">
        <w:rPr>
          <w:rFonts w:ascii="Arial" w:hAnsi="Arial" w:cs="Arial"/>
          <w:sz w:val="20"/>
        </w:rPr>
        <w:t>The retention time tR=9.65 min corresponding to peak 4 of the chromatogram shows that the corresponding molecular ion is less polar than the other three ions. This molecular ion could belong to the carotenes subgroup. In mass spectrometry, this molecular ion gives a mass at m/z 537 corresponding to the mass calculated from the formula C40H56 and two fragment ions at m/z 415 [M+H-C9H</w:t>
      </w:r>
      <w:proofErr w:type="gramStart"/>
      <w:r w:rsidRPr="00F840E1">
        <w:rPr>
          <w:rFonts w:ascii="Arial" w:hAnsi="Arial" w:cs="Arial"/>
          <w:sz w:val="20"/>
        </w:rPr>
        <w:t>15]+</w:t>
      </w:r>
      <w:proofErr w:type="gramEnd"/>
      <w:r w:rsidRPr="00F840E1">
        <w:rPr>
          <w:rFonts w:ascii="Arial" w:hAnsi="Arial" w:cs="Arial"/>
          <w:sz w:val="20"/>
        </w:rPr>
        <w:t xml:space="preserve"> and 282 [M+H-C19H27]+ (Figure 12). The masses of lycopene, β, γ, and α-carotene correspond to this molecular formula. Compound 4 is either lycopene or one of its isomers. The presence of these compounds has already been reported in PDCOs in the literature. However, these studies show that β-carotene is the major compound [</w:t>
      </w:r>
      <w:r w:rsidR="002D0239">
        <w:rPr>
          <w:rFonts w:ascii="Arial" w:hAnsi="Arial" w:cs="Arial"/>
          <w:sz w:val="20"/>
        </w:rPr>
        <w:t>1</w:t>
      </w:r>
      <w:r w:rsidR="00D31488">
        <w:rPr>
          <w:rFonts w:ascii="Arial" w:hAnsi="Arial" w:cs="Arial"/>
          <w:sz w:val="20"/>
        </w:rPr>
        <w:t>3</w:t>
      </w:r>
      <w:r w:rsidRPr="00F840E1">
        <w:rPr>
          <w:rFonts w:ascii="Arial" w:hAnsi="Arial" w:cs="Arial"/>
          <w:sz w:val="20"/>
        </w:rPr>
        <w:t>]. Compound 4 can be identified as β-carotene (Figure 13).</w:t>
      </w:r>
    </w:p>
    <w:p w:rsidR="00C825EC" w:rsidRPr="00F840E1" w:rsidRDefault="00C825EC" w:rsidP="00F840E1">
      <w:pPr>
        <w:spacing w:after="0"/>
        <w:ind w:right="0"/>
        <w:jc w:val="both"/>
        <w:rPr>
          <w:rFonts w:ascii="Arial" w:hAnsi="Arial" w:cs="Arial"/>
          <w:sz w:val="20"/>
        </w:rPr>
      </w:pPr>
    </w:p>
    <w:p w:rsidR="00744D27" w:rsidRPr="002D4534" w:rsidRDefault="00744D27" w:rsidP="00744D27">
      <w:pPr>
        <w:ind w:right="0"/>
        <w:jc w:val="both"/>
        <w:rPr>
          <w:rFonts w:ascii="Arial" w:hAnsi="Arial" w:cs="Arial"/>
        </w:rPr>
      </w:pPr>
      <w:r w:rsidRPr="002D4534">
        <w:rPr>
          <w:rFonts w:ascii="Arial" w:hAnsi="Arial" w:cs="Arial"/>
          <w:noProof/>
          <w:lang w:eastAsia="fr-FR"/>
        </w:rPr>
        <w:drawing>
          <wp:inline distT="0" distB="0" distL="0" distR="0" wp14:anchorId="6D906EBC" wp14:editId="58F5189C">
            <wp:extent cx="5760720" cy="2322580"/>
            <wp:effectExtent l="0" t="0" r="11430" b="190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44D27" w:rsidRPr="00F840E1" w:rsidRDefault="00744D27" w:rsidP="00920431">
      <w:pPr>
        <w:ind w:right="0"/>
        <w:jc w:val="center"/>
        <w:rPr>
          <w:rFonts w:ascii="Arial" w:hAnsi="Arial" w:cs="Arial"/>
          <w:sz w:val="20"/>
        </w:rPr>
      </w:pPr>
      <w:r w:rsidRPr="00F840E1">
        <w:rPr>
          <w:rFonts w:ascii="Arial" w:hAnsi="Arial" w:cs="Arial"/>
          <w:sz w:val="20"/>
        </w:rPr>
        <w:t>Figure 6: Chromatogram of the extract from variety BF59XCIP1</w:t>
      </w:r>
    </w:p>
    <w:p w:rsidR="000B0E20" w:rsidRPr="002D4534" w:rsidRDefault="000B0E20" w:rsidP="00744D27">
      <w:pPr>
        <w:ind w:right="0"/>
        <w:jc w:val="both"/>
        <w:rPr>
          <w:rFonts w:ascii="Arial" w:hAnsi="Arial" w:cs="Arial"/>
        </w:rPr>
      </w:pPr>
      <w:r w:rsidRPr="002D4534">
        <w:rPr>
          <w:rFonts w:ascii="Arial" w:hAnsi="Arial" w:cs="Arial"/>
          <w:noProof/>
          <w:lang w:eastAsia="fr-FR"/>
        </w:rPr>
        <w:drawing>
          <wp:inline distT="0" distB="0" distL="0" distR="0" wp14:anchorId="22D2CBFD" wp14:editId="0BE86E5F">
            <wp:extent cx="5760720" cy="1838325"/>
            <wp:effectExtent l="0" t="0" r="0" b="9525"/>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22">
                      <a:extLst>
                        <a:ext uri="{28A0092B-C50C-407E-A947-70E740481C1C}">
                          <a14:useLocalDpi xmlns:a14="http://schemas.microsoft.com/office/drawing/2010/main" val="0"/>
                        </a:ext>
                      </a:extLst>
                    </a:blip>
                    <a:srcRect t="1700" r="21941"/>
                    <a:stretch/>
                  </pic:blipFill>
                  <pic:spPr bwMode="auto">
                    <a:xfrm>
                      <a:off x="0" y="0"/>
                      <a:ext cx="5760720"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920431" w:rsidRPr="00F840E1" w:rsidRDefault="00920431" w:rsidP="00920431">
      <w:pPr>
        <w:ind w:right="0"/>
        <w:jc w:val="center"/>
        <w:rPr>
          <w:rFonts w:ascii="Arial" w:hAnsi="Arial" w:cs="Arial"/>
          <w:sz w:val="20"/>
        </w:rPr>
      </w:pPr>
      <w:r w:rsidRPr="00F840E1">
        <w:rPr>
          <w:rFonts w:ascii="Arial" w:hAnsi="Arial" w:cs="Arial"/>
          <w:sz w:val="20"/>
        </w:rPr>
        <w:t>Figure 7: SM/SM spectrum of capsanthin</w:t>
      </w:r>
    </w:p>
    <w:p w:rsidR="00920431" w:rsidRPr="002D4534" w:rsidRDefault="00920431" w:rsidP="00744D27">
      <w:pPr>
        <w:ind w:right="0"/>
        <w:jc w:val="both"/>
        <w:rPr>
          <w:rFonts w:ascii="Arial" w:eastAsia="Calibri" w:hAnsi="Arial" w:cs="Arial"/>
        </w:rPr>
      </w:pPr>
      <w:r w:rsidRPr="002D4534">
        <w:rPr>
          <w:rFonts w:ascii="Arial" w:eastAsia="Calibri" w:hAnsi="Arial" w:cs="Arial"/>
        </w:rPr>
        <w:object w:dxaOrig="9075" w:dyaOrig="1590">
          <v:shape id="_x0000_i1032" type="#_x0000_t75" style="width:453pt;height:79.5pt" o:ole="">
            <v:imagedata r:id="rId23" o:title=""/>
          </v:shape>
          <o:OLEObject Type="Embed" ProgID="ChemDraw.Document.6.0" ShapeID="_x0000_i1032" DrawAspect="Content" ObjectID="_1821357313" r:id="rId24"/>
        </w:object>
      </w:r>
    </w:p>
    <w:p w:rsidR="00920431" w:rsidRPr="00F840E1" w:rsidRDefault="00920431" w:rsidP="00920431">
      <w:pPr>
        <w:ind w:right="0"/>
        <w:jc w:val="center"/>
        <w:rPr>
          <w:rFonts w:ascii="Arial" w:hAnsi="Arial" w:cs="Arial"/>
          <w:sz w:val="20"/>
        </w:rPr>
      </w:pPr>
      <w:r w:rsidRPr="00F840E1">
        <w:rPr>
          <w:rFonts w:ascii="Arial" w:hAnsi="Arial" w:cs="Arial"/>
          <w:sz w:val="20"/>
        </w:rPr>
        <w:t>Figure 8: Structure of capsanthin</w:t>
      </w:r>
    </w:p>
    <w:p w:rsidR="00920431" w:rsidRPr="002D4534" w:rsidRDefault="00920431" w:rsidP="00744D27">
      <w:pPr>
        <w:ind w:right="0"/>
        <w:jc w:val="both"/>
        <w:rPr>
          <w:rFonts w:ascii="Arial" w:hAnsi="Arial" w:cs="Arial"/>
        </w:rPr>
      </w:pPr>
      <w:r w:rsidRPr="002D4534">
        <w:rPr>
          <w:rFonts w:ascii="Arial" w:hAnsi="Arial" w:cs="Arial"/>
          <w:noProof/>
          <w:lang w:eastAsia="fr-FR"/>
        </w:rPr>
        <w:drawing>
          <wp:inline distT="0" distB="0" distL="0" distR="0" wp14:anchorId="5868A42A" wp14:editId="416ED01A">
            <wp:extent cx="5760720" cy="1847850"/>
            <wp:effectExtent l="0" t="0" r="0" b="0"/>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25">
                      <a:extLst>
                        <a:ext uri="{28A0092B-C50C-407E-A947-70E740481C1C}">
                          <a14:useLocalDpi xmlns:a14="http://schemas.microsoft.com/office/drawing/2010/main" val="0"/>
                        </a:ext>
                      </a:extLst>
                    </a:blip>
                    <a:srcRect t="3311" r="21550"/>
                    <a:stretch/>
                  </pic:blipFill>
                  <pic:spPr bwMode="auto">
                    <a:xfrm>
                      <a:off x="0" y="0"/>
                      <a:ext cx="5760720" cy="1847850"/>
                    </a:xfrm>
                    <a:prstGeom prst="rect">
                      <a:avLst/>
                    </a:prstGeom>
                    <a:noFill/>
                    <a:ln>
                      <a:noFill/>
                    </a:ln>
                    <a:extLst>
                      <a:ext uri="{53640926-AAD7-44D8-BBD7-CCE9431645EC}">
                        <a14:shadowObscured xmlns:a14="http://schemas.microsoft.com/office/drawing/2010/main"/>
                      </a:ext>
                    </a:extLst>
                  </pic:spPr>
                </pic:pic>
              </a:graphicData>
            </a:graphic>
          </wp:inline>
        </w:drawing>
      </w:r>
    </w:p>
    <w:p w:rsidR="00920431" w:rsidRPr="00F840E1" w:rsidRDefault="00920431" w:rsidP="00920431">
      <w:pPr>
        <w:ind w:right="0"/>
        <w:jc w:val="center"/>
        <w:rPr>
          <w:rFonts w:ascii="Arial" w:hAnsi="Arial" w:cs="Arial"/>
          <w:sz w:val="20"/>
        </w:rPr>
      </w:pPr>
      <w:r w:rsidRPr="00F840E1">
        <w:rPr>
          <w:rFonts w:ascii="Arial" w:hAnsi="Arial" w:cs="Arial"/>
          <w:sz w:val="20"/>
        </w:rPr>
        <w:t>Figure 9: SM/SM spectrum of echinenone</w:t>
      </w:r>
    </w:p>
    <w:p w:rsidR="00920431" w:rsidRPr="002D4534" w:rsidRDefault="00920431" w:rsidP="00744D27">
      <w:pPr>
        <w:ind w:right="0"/>
        <w:jc w:val="both"/>
        <w:rPr>
          <w:rFonts w:ascii="Arial" w:eastAsia="Calibri" w:hAnsi="Arial" w:cs="Arial"/>
        </w:rPr>
      </w:pPr>
      <w:r w:rsidRPr="002D4534">
        <w:rPr>
          <w:rFonts w:ascii="Arial" w:eastAsia="Calibri" w:hAnsi="Arial" w:cs="Arial"/>
        </w:rPr>
        <w:object w:dxaOrig="7920" w:dyaOrig="2010">
          <v:shape id="_x0000_i1033" type="#_x0000_t75" style="width:397pt;height:100.5pt" o:ole="">
            <v:imagedata r:id="rId26" o:title=""/>
          </v:shape>
          <o:OLEObject Type="Embed" ProgID="ChemDraw.Document.6.0" ShapeID="_x0000_i1033" DrawAspect="Content" ObjectID="_1821357314" r:id="rId27"/>
        </w:object>
      </w:r>
    </w:p>
    <w:p w:rsidR="00920431" w:rsidRPr="00F840E1" w:rsidRDefault="00920431" w:rsidP="00920431">
      <w:pPr>
        <w:ind w:right="0"/>
        <w:jc w:val="center"/>
        <w:rPr>
          <w:rFonts w:ascii="Arial" w:hAnsi="Arial" w:cs="Arial"/>
          <w:sz w:val="20"/>
        </w:rPr>
      </w:pPr>
      <w:r w:rsidRPr="00F840E1">
        <w:rPr>
          <w:rFonts w:ascii="Arial" w:hAnsi="Arial" w:cs="Arial"/>
          <w:sz w:val="20"/>
        </w:rPr>
        <w:t>Figure 10: Structure of echinenone</w:t>
      </w:r>
    </w:p>
    <w:p w:rsidR="00920431" w:rsidRPr="002D4534" w:rsidRDefault="00920431" w:rsidP="00744D27">
      <w:pPr>
        <w:ind w:right="0"/>
        <w:jc w:val="both"/>
        <w:rPr>
          <w:rFonts w:ascii="Arial" w:eastAsia="Calibri" w:hAnsi="Arial" w:cs="Arial"/>
        </w:rPr>
      </w:pPr>
    </w:p>
    <w:p w:rsidR="00920431" w:rsidRPr="002D4534" w:rsidRDefault="00920431" w:rsidP="00744D27">
      <w:pPr>
        <w:ind w:right="0"/>
        <w:jc w:val="both"/>
        <w:rPr>
          <w:rFonts w:ascii="Arial" w:hAnsi="Arial" w:cs="Arial"/>
        </w:rPr>
      </w:pPr>
      <w:r w:rsidRPr="002D4534">
        <w:rPr>
          <w:rFonts w:ascii="Arial" w:hAnsi="Arial" w:cs="Arial"/>
          <w:noProof/>
          <w:lang w:eastAsia="fr-FR"/>
        </w:rPr>
        <w:drawing>
          <wp:inline distT="0" distB="0" distL="0" distR="0" wp14:anchorId="377EC3FC" wp14:editId="15316DB8">
            <wp:extent cx="2705100" cy="2188210"/>
            <wp:effectExtent l="0" t="0" r="0" b="2540"/>
            <wp:docPr id="459" name="Image 459"/>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rotWithShape="1">
                    <a:blip r:embed="rId28">
                      <a:extLst>
                        <a:ext uri="{28A0092B-C50C-407E-A947-70E740481C1C}">
                          <a14:useLocalDpi xmlns:a14="http://schemas.microsoft.com/office/drawing/2010/main" val="0"/>
                        </a:ext>
                      </a:extLst>
                    </a:blip>
                    <a:srcRect r="34461" b="31561"/>
                    <a:stretch/>
                  </pic:blipFill>
                  <pic:spPr bwMode="auto">
                    <a:xfrm>
                      <a:off x="0" y="0"/>
                      <a:ext cx="2720601" cy="2200749"/>
                    </a:xfrm>
                    <a:prstGeom prst="rect">
                      <a:avLst/>
                    </a:prstGeom>
                    <a:noFill/>
                    <a:ln>
                      <a:noFill/>
                    </a:ln>
                    <a:extLst>
                      <a:ext uri="{53640926-AAD7-44D8-BBD7-CCE9431645EC}">
                        <a14:shadowObscured xmlns:a14="http://schemas.microsoft.com/office/drawing/2010/main"/>
                      </a:ext>
                    </a:extLst>
                  </pic:spPr>
                </pic:pic>
              </a:graphicData>
            </a:graphic>
          </wp:inline>
        </w:drawing>
      </w:r>
      <w:r w:rsidRPr="002D4534">
        <w:rPr>
          <w:rFonts w:ascii="Arial" w:hAnsi="Arial" w:cs="Arial"/>
          <w:noProof/>
          <w:lang w:eastAsia="fr-FR"/>
        </w:rPr>
        <w:drawing>
          <wp:inline distT="0" distB="0" distL="0" distR="0" wp14:anchorId="4F22F77D" wp14:editId="0B7D48C3">
            <wp:extent cx="2957195" cy="2315183"/>
            <wp:effectExtent l="0" t="0" r="0" b="9525"/>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0322" cy="2333289"/>
                    </a:xfrm>
                    <a:prstGeom prst="rect">
                      <a:avLst/>
                    </a:prstGeom>
                    <a:noFill/>
                    <a:ln>
                      <a:noFill/>
                    </a:ln>
                  </pic:spPr>
                </pic:pic>
              </a:graphicData>
            </a:graphic>
          </wp:inline>
        </w:drawing>
      </w:r>
    </w:p>
    <w:p w:rsidR="00920431" w:rsidRPr="00F840E1" w:rsidRDefault="00920431" w:rsidP="00920431">
      <w:pPr>
        <w:ind w:right="0"/>
        <w:jc w:val="center"/>
        <w:rPr>
          <w:rFonts w:ascii="Arial" w:hAnsi="Arial" w:cs="Arial"/>
          <w:sz w:val="20"/>
        </w:rPr>
      </w:pPr>
      <w:r w:rsidRPr="00F840E1">
        <w:rPr>
          <w:rFonts w:ascii="Arial" w:hAnsi="Arial" w:cs="Arial"/>
          <w:sz w:val="20"/>
        </w:rPr>
        <w:t>Figure 11: Mass spectrum of compound 3</w:t>
      </w:r>
    </w:p>
    <w:p w:rsidR="00920431" w:rsidRPr="002D4534" w:rsidRDefault="00920431" w:rsidP="00744D27">
      <w:pPr>
        <w:ind w:right="0"/>
        <w:jc w:val="both"/>
        <w:rPr>
          <w:rFonts w:ascii="Arial" w:hAnsi="Arial" w:cs="Arial"/>
        </w:rPr>
      </w:pPr>
    </w:p>
    <w:p w:rsidR="00920431" w:rsidRPr="002D4534" w:rsidRDefault="00920431" w:rsidP="00744D27">
      <w:pPr>
        <w:ind w:right="0"/>
        <w:jc w:val="both"/>
        <w:rPr>
          <w:rFonts w:ascii="Arial" w:eastAsia="Calibri" w:hAnsi="Arial" w:cs="Arial"/>
        </w:rPr>
      </w:pPr>
      <w:r w:rsidRPr="002D4534">
        <w:rPr>
          <w:rFonts w:ascii="Arial" w:eastAsia="Calibri" w:hAnsi="Arial" w:cs="Arial"/>
        </w:rPr>
        <w:object w:dxaOrig="6630" w:dyaOrig="1725">
          <v:shape id="_x0000_i1034" type="#_x0000_t75" style="width:286pt;height:74.5pt" o:ole="">
            <v:imagedata r:id="rId30" o:title=""/>
          </v:shape>
          <o:OLEObject Type="Embed" ProgID="ChemDraw.Document.6.0" ShapeID="_x0000_i1034" DrawAspect="Content" ObjectID="_1821357315" r:id="rId31"/>
        </w:object>
      </w:r>
    </w:p>
    <w:p w:rsidR="00920431" w:rsidRPr="00F840E1" w:rsidRDefault="00920431" w:rsidP="00920431">
      <w:pPr>
        <w:ind w:right="0"/>
        <w:jc w:val="center"/>
        <w:rPr>
          <w:rFonts w:ascii="Arial" w:hAnsi="Arial" w:cs="Arial"/>
          <w:sz w:val="20"/>
        </w:rPr>
      </w:pPr>
      <w:r w:rsidRPr="00F840E1">
        <w:rPr>
          <w:rFonts w:ascii="Arial" w:hAnsi="Arial" w:cs="Arial"/>
          <w:sz w:val="20"/>
        </w:rPr>
        <w:t>Figure 12: Structure of α-tocopherol</w:t>
      </w:r>
    </w:p>
    <w:p w:rsidR="00920431" w:rsidRPr="002D4534" w:rsidRDefault="00920431" w:rsidP="00744D27">
      <w:pPr>
        <w:ind w:right="0"/>
        <w:jc w:val="both"/>
        <w:rPr>
          <w:rFonts w:ascii="Arial" w:eastAsia="Calibri" w:hAnsi="Arial" w:cs="Arial"/>
        </w:rPr>
      </w:pPr>
    </w:p>
    <w:p w:rsidR="00920431" w:rsidRPr="002D4534" w:rsidRDefault="00920431" w:rsidP="00744D27">
      <w:pPr>
        <w:ind w:right="0"/>
        <w:jc w:val="both"/>
        <w:rPr>
          <w:rFonts w:ascii="Arial" w:hAnsi="Arial" w:cs="Arial"/>
        </w:rPr>
      </w:pPr>
      <w:r w:rsidRPr="002D4534">
        <w:rPr>
          <w:rFonts w:ascii="Arial" w:hAnsi="Arial" w:cs="Arial"/>
          <w:noProof/>
          <w:lang w:eastAsia="fr-FR"/>
        </w:rPr>
        <w:drawing>
          <wp:inline distT="0" distB="0" distL="0" distR="0" wp14:anchorId="197144CB" wp14:editId="2968DF36">
            <wp:extent cx="5760720" cy="1796415"/>
            <wp:effectExtent l="0" t="0" r="0" b="0"/>
            <wp:docPr id="472" name="Image 472"/>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rotWithShape="1">
                    <a:blip r:embed="rId32">
                      <a:extLst>
                        <a:ext uri="{28A0092B-C50C-407E-A947-70E740481C1C}">
                          <a14:useLocalDpi xmlns:a14="http://schemas.microsoft.com/office/drawing/2010/main" val="0"/>
                        </a:ext>
                      </a:extLst>
                    </a:blip>
                    <a:srcRect l="891" r="35013" b="32292"/>
                    <a:stretch/>
                  </pic:blipFill>
                  <pic:spPr bwMode="auto">
                    <a:xfrm>
                      <a:off x="0" y="0"/>
                      <a:ext cx="5760720" cy="1796415"/>
                    </a:xfrm>
                    <a:prstGeom prst="rect">
                      <a:avLst/>
                    </a:prstGeom>
                    <a:noFill/>
                    <a:ln>
                      <a:noFill/>
                    </a:ln>
                    <a:extLst>
                      <a:ext uri="{53640926-AAD7-44D8-BBD7-CCE9431645EC}">
                        <a14:shadowObscured xmlns:a14="http://schemas.microsoft.com/office/drawing/2010/main"/>
                      </a:ext>
                    </a:extLst>
                  </pic:spPr>
                </pic:pic>
              </a:graphicData>
            </a:graphic>
          </wp:inline>
        </w:drawing>
      </w:r>
    </w:p>
    <w:p w:rsidR="00920431" w:rsidRPr="00F840E1" w:rsidRDefault="00920431" w:rsidP="00920431">
      <w:pPr>
        <w:ind w:right="0"/>
        <w:jc w:val="center"/>
        <w:rPr>
          <w:rFonts w:ascii="Arial" w:hAnsi="Arial" w:cs="Arial"/>
          <w:sz w:val="20"/>
        </w:rPr>
      </w:pPr>
      <w:r w:rsidRPr="00F840E1">
        <w:rPr>
          <w:rFonts w:ascii="Arial" w:hAnsi="Arial" w:cs="Arial"/>
          <w:sz w:val="20"/>
        </w:rPr>
        <w:t>Figure 13: SM/SM spectrum of β-carotene</w:t>
      </w:r>
    </w:p>
    <w:p w:rsidR="00920431" w:rsidRPr="002D4534" w:rsidRDefault="00920431" w:rsidP="00744D27">
      <w:pPr>
        <w:ind w:right="0"/>
        <w:jc w:val="both"/>
        <w:rPr>
          <w:rFonts w:ascii="Arial" w:hAnsi="Arial" w:cs="Arial"/>
        </w:rPr>
      </w:pPr>
    </w:p>
    <w:p w:rsidR="00920431" w:rsidRPr="002D4534" w:rsidRDefault="00920431" w:rsidP="00744D27">
      <w:pPr>
        <w:ind w:right="0"/>
        <w:jc w:val="both"/>
        <w:rPr>
          <w:rFonts w:ascii="Arial" w:eastAsia="Calibri" w:hAnsi="Arial" w:cs="Arial"/>
        </w:rPr>
      </w:pPr>
      <w:r w:rsidRPr="002D4534">
        <w:rPr>
          <w:rFonts w:ascii="Arial" w:eastAsia="Calibri" w:hAnsi="Arial" w:cs="Arial"/>
        </w:rPr>
        <w:object w:dxaOrig="6480" w:dyaOrig="1155">
          <v:shape id="_x0000_i1035" type="#_x0000_t75" style="width:324pt;height:58pt" o:ole="">
            <v:imagedata r:id="rId33" o:title=""/>
          </v:shape>
          <o:OLEObject Type="Embed" ProgID="ChemDraw.Document.6.0" ShapeID="_x0000_i1035" DrawAspect="Content" ObjectID="_1821357316" r:id="rId34"/>
        </w:object>
      </w:r>
    </w:p>
    <w:p w:rsidR="00920431" w:rsidRPr="00F840E1" w:rsidRDefault="00920431" w:rsidP="00920431">
      <w:pPr>
        <w:ind w:right="0"/>
        <w:jc w:val="center"/>
        <w:rPr>
          <w:rFonts w:ascii="Arial" w:hAnsi="Arial" w:cs="Arial"/>
          <w:sz w:val="20"/>
        </w:rPr>
      </w:pPr>
      <w:r w:rsidRPr="00F840E1">
        <w:rPr>
          <w:rFonts w:ascii="Arial" w:hAnsi="Arial" w:cs="Arial"/>
          <w:sz w:val="20"/>
        </w:rPr>
        <w:t>Figure 14: Structure of β-carotene</w:t>
      </w:r>
    </w:p>
    <w:p w:rsidR="002C4E32" w:rsidRPr="002D4534" w:rsidRDefault="002C4E32" w:rsidP="002C4E32">
      <w:pPr>
        <w:ind w:right="0"/>
        <w:jc w:val="both"/>
        <w:rPr>
          <w:rFonts w:ascii="Arial" w:hAnsi="Arial" w:cs="Arial"/>
          <w:b/>
        </w:rPr>
      </w:pPr>
      <w:r w:rsidRPr="002D4534">
        <w:rPr>
          <w:rFonts w:ascii="Arial" w:hAnsi="Arial" w:cs="Arial"/>
          <w:b/>
        </w:rPr>
        <w:t>4. Conclusion</w:t>
      </w:r>
    </w:p>
    <w:p w:rsidR="002C4E32" w:rsidRPr="00F840E1" w:rsidRDefault="002C4E32" w:rsidP="002C4E32">
      <w:pPr>
        <w:ind w:right="0"/>
        <w:jc w:val="both"/>
        <w:rPr>
          <w:rFonts w:ascii="Arial" w:hAnsi="Arial" w:cs="Arial"/>
          <w:sz w:val="20"/>
        </w:rPr>
      </w:pPr>
      <w:r w:rsidRPr="00F840E1">
        <w:rPr>
          <w:rFonts w:ascii="Arial" w:hAnsi="Arial" w:cs="Arial"/>
          <w:sz w:val="20"/>
        </w:rPr>
        <w:t>Quantitative analysis of antioxidant content was performed using two of the three commonly used methods: DPPH and FRAP. Antioxidant content was found to be 0.082 and 0.183 mg ET/g of plant material using the DPPH and FRAP methods, respectively. From the qualitative analysis, four carotenoid molecules were identified: zeaxanthin, α-cryptoxanthin, α-tocopherol, and β-carotene. It appears that this variety contains vitamin E, a powerful antioxidant, and β-carotene, a molecule with provitamin A activity.</w:t>
      </w:r>
    </w:p>
    <w:p w:rsidR="002C4E32" w:rsidRPr="00F840E1" w:rsidRDefault="002C4E32" w:rsidP="002C4E32">
      <w:pPr>
        <w:ind w:right="0"/>
        <w:jc w:val="both"/>
        <w:rPr>
          <w:rFonts w:ascii="Arial" w:hAnsi="Arial" w:cs="Arial"/>
          <w:b/>
        </w:rPr>
      </w:pPr>
      <w:r w:rsidRPr="00F840E1">
        <w:rPr>
          <w:rFonts w:ascii="Arial" w:hAnsi="Arial" w:cs="Arial"/>
          <w:b/>
        </w:rPr>
        <w:t>DISCLAIMER (ARTIFICIAL INTELLIGENCE)</w:t>
      </w:r>
    </w:p>
    <w:p w:rsidR="002C4E32" w:rsidRPr="002D4534" w:rsidRDefault="002C4E32" w:rsidP="002C4E32">
      <w:pPr>
        <w:ind w:right="0"/>
        <w:jc w:val="both"/>
        <w:rPr>
          <w:rFonts w:ascii="Arial" w:hAnsi="Arial" w:cs="Arial"/>
        </w:rPr>
      </w:pPr>
      <w:r w:rsidRPr="00F840E1">
        <w:rPr>
          <w:rFonts w:ascii="Arial" w:hAnsi="Arial" w:cs="Arial"/>
          <w:sz w:val="20"/>
        </w:rPr>
        <w:t>The authors hereby declare that NO generative AI technology such as large language models (ChatGPT, COPILOT, etc.) and text-to-image generators were used in the writing or revision of this manuscript</w:t>
      </w:r>
      <w:r w:rsidRPr="002D4534">
        <w:rPr>
          <w:rFonts w:ascii="Arial" w:hAnsi="Arial" w:cs="Arial"/>
        </w:rPr>
        <w:t xml:space="preserve">.  </w:t>
      </w:r>
    </w:p>
    <w:p w:rsidR="00791805" w:rsidRDefault="00791805" w:rsidP="002C4E32">
      <w:pPr>
        <w:ind w:right="0"/>
        <w:jc w:val="both"/>
        <w:rPr>
          <w:rFonts w:ascii="Arial" w:hAnsi="Arial" w:cs="Arial"/>
        </w:rPr>
      </w:pPr>
    </w:p>
    <w:p w:rsidR="00920431" w:rsidRDefault="002C4E32" w:rsidP="002C4E32">
      <w:pPr>
        <w:ind w:right="0"/>
        <w:jc w:val="both"/>
        <w:rPr>
          <w:rFonts w:ascii="Arial" w:hAnsi="Arial" w:cs="Arial"/>
        </w:rPr>
      </w:pPr>
      <w:r w:rsidRPr="002D4534">
        <w:rPr>
          <w:rFonts w:ascii="Arial" w:hAnsi="Arial" w:cs="Arial"/>
        </w:rPr>
        <w:t>References</w:t>
      </w:r>
    </w:p>
    <w:p w:rsidR="00F840E1" w:rsidRPr="004D07C4" w:rsidRDefault="00F840E1" w:rsidP="00F840E1">
      <w:pPr>
        <w:widowControl w:val="0"/>
        <w:autoSpaceDE w:val="0"/>
        <w:autoSpaceDN w:val="0"/>
        <w:adjustRightInd w:val="0"/>
        <w:spacing w:after="0" w:line="360" w:lineRule="auto"/>
        <w:ind w:left="640" w:right="0" w:hanging="640"/>
        <w:jc w:val="both"/>
        <w:rPr>
          <w:rFonts w:ascii="Arial" w:hAnsi="Arial" w:cs="Arial"/>
          <w:noProof/>
          <w:szCs w:val="24"/>
        </w:rPr>
      </w:pPr>
      <w:r w:rsidRPr="004D07C4">
        <w:rPr>
          <w:rFonts w:ascii="Arial" w:hAnsi="Arial" w:cs="Arial"/>
          <w:noProof/>
          <w:szCs w:val="24"/>
        </w:rPr>
        <w:t>[1]</w:t>
      </w:r>
      <w:r w:rsidRPr="004D07C4">
        <w:rPr>
          <w:rFonts w:ascii="Arial" w:hAnsi="Arial" w:cs="Arial"/>
          <w:noProof/>
          <w:szCs w:val="24"/>
        </w:rPr>
        <w:tab/>
        <w:t xml:space="preserve">R. Sol, M, C. Paul, and C.-G. and Ramon, “identification of carotenoids using massspectrometry,” </w:t>
      </w:r>
      <w:r w:rsidRPr="004D07C4">
        <w:rPr>
          <w:rFonts w:ascii="Arial" w:hAnsi="Arial" w:cs="Arial"/>
          <w:i/>
          <w:iCs/>
          <w:noProof/>
          <w:szCs w:val="24"/>
        </w:rPr>
        <w:t>Wiley Online Libr.</w:t>
      </w:r>
      <w:r w:rsidRPr="004D07C4">
        <w:rPr>
          <w:rFonts w:ascii="Arial" w:hAnsi="Arial" w:cs="Arial"/>
          <w:noProof/>
          <w:szCs w:val="24"/>
        </w:rPr>
        <w:t>, pp. 33(5):353-372, 2013.</w:t>
      </w:r>
    </w:p>
    <w:p w:rsidR="00F840E1" w:rsidRPr="004D07C4" w:rsidRDefault="00F840E1" w:rsidP="00F840E1">
      <w:pPr>
        <w:widowControl w:val="0"/>
        <w:autoSpaceDE w:val="0"/>
        <w:autoSpaceDN w:val="0"/>
        <w:adjustRightInd w:val="0"/>
        <w:spacing w:after="0" w:line="360" w:lineRule="auto"/>
        <w:ind w:left="640" w:right="0" w:hanging="640"/>
        <w:jc w:val="both"/>
        <w:rPr>
          <w:rFonts w:ascii="Arial" w:hAnsi="Arial" w:cs="Arial"/>
          <w:noProof/>
          <w:szCs w:val="24"/>
        </w:rPr>
      </w:pPr>
      <w:r w:rsidRPr="004D07C4">
        <w:rPr>
          <w:rFonts w:ascii="Arial" w:hAnsi="Arial" w:cs="Arial"/>
          <w:noProof/>
          <w:szCs w:val="24"/>
        </w:rPr>
        <w:t>[2]</w:t>
      </w:r>
      <w:r w:rsidRPr="004D07C4">
        <w:rPr>
          <w:rFonts w:ascii="Arial" w:hAnsi="Arial" w:cs="Arial"/>
          <w:noProof/>
          <w:szCs w:val="24"/>
        </w:rPr>
        <w:tab/>
        <w:t xml:space="preserve">C. Vílchez, F. Eduardo, C. María, B. Francisco, G. Inés, and V. and José, M, “Marine Carotenoids: Biological Functions and Commercial Applications,” </w:t>
      </w:r>
      <w:r w:rsidRPr="004D07C4">
        <w:rPr>
          <w:rFonts w:ascii="Arial" w:hAnsi="Arial" w:cs="Arial"/>
          <w:i/>
          <w:iCs/>
          <w:noProof/>
          <w:szCs w:val="24"/>
        </w:rPr>
        <w:t>Mar. Drugs</w:t>
      </w:r>
      <w:r w:rsidRPr="004D07C4">
        <w:rPr>
          <w:rFonts w:ascii="Arial" w:hAnsi="Arial" w:cs="Arial"/>
          <w:noProof/>
          <w:szCs w:val="24"/>
        </w:rPr>
        <w:t xml:space="preserve">, pp. 9(3): </w:t>
      </w:r>
      <w:r w:rsidRPr="004D07C4">
        <w:rPr>
          <w:rFonts w:ascii="Arial" w:hAnsi="Arial" w:cs="Arial"/>
          <w:noProof/>
          <w:szCs w:val="24"/>
        </w:rPr>
        <w:lastRenderedPageBreak/>
        <w:t>319–333, 2011.</w:t>
      </w:r>
    </w:p>
    <w:p w:rsidR="00F840E1" w:rsidRPr="004D07C4" w:rsidRDefault="00F840E1" w:rsidP="00F840E1">
      <w:pPr>
        <w:widowControl w:val="0"/>
        <w:autoSpaceDE w:val="0"/>
        <w:autoSpaceDN w:val="0"/>
        <w:adjustRightInd w:val="0"/>
        <w:spacing w:after="0" w:line="360" w:lineRule="auto"/>
        <w:ind w:left="640" w:right="0" w:hanging="640"/>
        <w:jc w:val="both"/>
        <w:rPr>
          <w:rFonts w:ascii="Arial" w:hAnsi="Arial" w:cs="Arial"/>
          <w:noProof/>
          <w:szCs w:val="24"/>
        </w:rPr>
      </w:pPr>
      <w:r w:rsidRPr="004D07C4">
        <w:rPr>
          <w:rFonts w:ascii="Arial" w:hAnsi="Arial" w:cs="Arial"/>
          <w:noProof/>
          <w:szCs w:val="24"/>
        </w:rPr>
        <w:t>[3]</w:t>
      </w:r>
      <w:r w:rsidRPr="004D07C4">
        <w:rPr>
          <w:rFonts w:ascii="Arial" w:hAnsi="Arial" w:cs="Arial"/>
          <w:noProof/>
          <w:szCs w:val="24"/>
        </w:rPr>
        <w:tab/>
        <w:t xml:space="preserve">M. Guerin, M. Huntley, and M. Olaizola, “Haematococcus astaxanthin: Applications for human health and nutrition,” </w:t>
      </w:r>
      <w:r w:rsidRPr="004D07C4">
        <w:rPr>
          <w:rFonts w:ascii="Arial" w:hAnsi="Arial" w:cs="Arial"/>
          <w:i/>
          <w:iCs/>
          <w:noProof/>
          <w:szCs w:val="24"/>
        </w:rPr>
        <w:t>Trends Biotech</w:t>
      </w:r>
      <w:r w:rsidRPr="004D07C4">
        <w:rPr>
          <w:rFonts w:ascii="Arial" w:hAnsi="Arial" w:cs="Arial"/>
          <w:noProof/>
          <w:szCs w:val="24"/>
        </w:rPr>
        <w:t>, pp. 21;210–216, 2003.</w:t>
      </w:r>
    </w:p>
    <w:p w:rsidR="00F840E1" w:rsidRPr="004D07C4" w:rsidRDefault="00F840E1" w:rsidP="00F840E1">
      <w:pPr>
        <w:widowControl w:val="0"/>
        <w:autoSpaceDE w:val="0"/>
        <w:autoSpaceDN w:val="0"/>
        <w:adjustRightInd w:val="0"/>
        <w:spacing w:after="0" w:line="360" w:lineRule="auto"/>
        <w:ind w:left="640" w:right="0" w:hanging="640"/>
        <w:jc w:val="both"/>
        <w:rPr>
          <w:rFonts w:ascii="Arial" w:hAnsi="Arial" w:cs="Arial"/>
          <w:noProof/>
          <w:szCs w:val="24"/>
        </w:rPr>
      </w:pPr>
      <w:r w:rsidRPr="004D07C4">
        <w:rPr>
          <w:rFonts w:ascii="Arial" w:hAnsi="Arial" w:cs="Arial"/>
          <w:noProof/>
          <w:szCs w:val="24"/>
        </w:rPr>
        <w:t>[4]</w:t>
      </w:r>
      <w:r w:rsidRPr="004D07C4">
        <w:rPr>
          <w:rFonts w:ascii="Arial" w:hAnsi="Arial" w:cs="Arial"/>
          <w:noProof/>
          <w:szCs w:val="24"/>
        </w:rPr>
        <w:tab/>
        <w:t xml:space="preserve">H. Tapiero, D. Tew K, G. Nguyen, Ba, and G. Mathe, “Polyphenols: do they play a role in the prevention of human pathologies.,” </w:t>
      </w:r>
      <w:r w:rsidRPr="004D07C4">
        <w:rPr>
          <w:rFonts w:ascii="Arial" w:hAnsi="Arial" w:cs="Arial"/>
          <w:i/>
          <w:iCs/>
          <w:noProof/>
          <w:szCs w:val="24"/>
        </w:rPr>
        <w:t>Biomed. Pharmacother</w:t>
      </w:r>
      <w:r w:rsidRPr="004D07C4">
        <w:rPr>
          <w:rFonts w:ascii="Arial" w:hAnsi="Arial" w:cs="Arial"/>
          <w:noProof/>
          <w:szCs w:val="24"/>
        </w:rPr>
        <w:t>, pp. 56, 200–207, 2002.</w:t>
      </w:r>
    </w:p>
    <w:p w:rsidR="00F840E1" w:rsidRPr="004D07C4" w:rsidRDefault="00F840E1" w:rsidP="00F840E1">
      <w:pPr>
        <w:widowControl w:val="0"/>
        <w:autoSpaceDE w:val="0"/>
        <w:autoSpaceDN w:val="0"/>
        <w:adjustRightInd w:val="0"/>
        <w:spacing w:after="0" w:line="360" w:lineRule="auto"/>
        <w:ind w:left="640" w:right="0" w:hanging="640"/>
        <w:jc w:val="both"/>
        <w:rPr>
          <w:rFonts w:ascii="Arial" w:hAnsi="Arial" w:cs="Arial"/>
          <w:noProof/>
          <w:szCs w:val="24"/>
        </w:rPr>
      </w:pPr>
      <w:r w:rsidRPr="004D07C4">
        <w:rPr>
          <w:rFonts w:ascii="Arial" w:hAnsi="Arial" w:cs="Arial"/>
          <w:noProof/>
          <w:szCs w:val="24"/>
        </w:rPr>
        <w:t>[5]</w:t>
      </w:r>
      <w:r w:rsidRPr="004D07C4">
        <w:rPr>
          <w:rFonts w:ascii="Arial" w:hAnsi="Arial" w:cs="Arial"/>
          <w:noProof/>
          <w:szCs w:val="24"/>
        </w:rPr>
        <w:tab/>
        <w:t xml:space="preserve">J. Strain and B. IF, “The ferric reducing ability of plasma as a measure of ‘antioxidant power’: the FRAP assay.,” </w:t>
      </w:r>
      <w:r w:rsidRPr="004D07C4">
        <w:rPr>
          <w:rFonts w:ascii="Arial" w:hAnsi="Arial" w:cs="Arial"/>
          <w:i/>
          <w:iCs/>
          <w:noProof/>
          <w:szCs w:val="24"/>
        </w:rPr>
        <w:t>Anal. Biochem</w:t>
      </w:r>
      <w:r w:rsidRPr="004D07C4">
        <w:rPr>
          <w:rFonts w:ascii="Arial" w:hAnsi="Arial" w:cs="Arial"/>
          <w:noProof/>
          <w:szCs w:val="24"/>
        </w:rPr>
        <w:t>, pp. 239, 70–76, 1996.</w:t>
      </w:r>
    </w:p>
    <w:p w:rsidR="00F840E1" w:rsidRDefault="00F840E1" w:rsidP="00F840E1">
      <w:pPr>
        <w:widowControl w:val="0"/>
        <w:autoSpaceDE w:val="0"/>
        <w:autoSpaceDN w:val="0"/>
        <w:adjustRightInd w:val="0"/>
        <w:spacing w:after="0" w:line="360" w:lineRule="auto"/>
        <w:ind w:left="640" w:right="0" w:hanging="640"/>
        <w:jc w:val="both"/>
        <w:rPr>
          <w:rFonts w:ascii="Arial" w:hAnsi="Arial" w:cs="Arial"/>
          <w:noProof/>
        </w:rPr>
      </w:pPr>
      <w:r w:rsidRPr="004D07C4">
        <w:rPr>
          <w:rFonts w:ascii="Arial" w:hAnsi="Arial" w:cs="Arial"/>
          <w:noProof/>
          <w:szCs w:val="24"/>
        </w:rPr>
        <w:t>[6]</w:t>
      </w:r>
      <w:r w:rsidRPr="004D07C4">
        <w:rPr>
          <w:rFonts w:ascii="Arial" w:hAnsi="Arial" w:cs="Arial"/>
          <w:noProof/>
          <w:sz w:val="20"/>
        </w:rPr>
        <w:t xml:space="preserve">     </w:t>
      </w:r>
      <w:r w:rsidRPr="004D07C4">
        <w:rPr>
          <w:rFonts w:ascii="Arial" w:hAnsi="Arial" w:cs="Arial"/>
          <w:noProof/>
        </w:rPr>
        <w:t xml:space="preserve">Jeevan Kumar Prasain, «Electrospray tandem mass spectrometric analysis,» </w:t>
      </w:r>
      <w:r w:rsidRPr="004D07C4">
        <w:rPr>
          <w:rFonts w:ascii="Arial" w:hAnsi="Arial" w:cs="Arial"/>
          <w:i/>
          <w:iCs/>
          <w:noProof/>
        </w:rPr>
        <w:t xml:space="preserve">JOURNAL OF MASS SPECTROMETRY, </w:t>
      </w:r>
      <w:r w:rsidRPr="004D07C4">
        <w:rPr>
          <w:rFonts w:ascii="Arial" w:hAnsi="Arial" w:cs="Arial"/>
          <w:noProof/>
        </w:rPr>
        <w:t>vol. 40, n° %12005, p. 916–923, 2 June 2005.</w:t>
      </w:r>
    </w:p>
    <w:p w:rsidR="00A87E27" w:rsidRPr="00A87E27" w:rsidRDefault="00A87E27" w:rsidP="00A87E27">
      <w:pPr>
        <w:widowControl w:val="0"/>
        <w:autoSpaceDE w:val="0"/>
        <w:autoSpaceDN w:val="0"/>
        <w:adjustRightInd w:val="0"/>
        <w:spacing w:after="0" w:line="360" w:lineRule="auto"/>
        <w:ind w:left="640" w:right="0" w:hanging="640"/>
        <w:jc w:val="both"/>
        <w:rPr>
          <w:rFonts w:ascii="Arial" w:hAnsi="Arial" w:cs="Arial"/>
          <w:noProof/>
        </w:rPr>
      </w:pPr>
      <w:r>
        <w:rPr>
          <w:rFonts w:ascii="Arial" w:hAnsi="Arial" w:cs="Arial"/>
          <w:noProof/>
        </w:rPr>
        <w:t xml:space="preserve">[7]      </w:t>
      </w:r>
      <w:r w:rsidRPr="00A87E27">
        <w:rPr>
          <w:rFonts w:ascii="Arial" w:hAnsi="Arial" w:cs="Arial"/>
          <w:noProof/>
        </w:rPr>
        <w:t xml:space="preserve">S. Hongnan, M. Taihua, X. Lisha, Z. Miao, and C. Jingwang, “Sweet potato (Ipomoea </w:t>
      </w:r>
    </w:p>
    <w:p w:rsidR="00A87E27" w:rsidRPr="00A87E27" w:rsidRDefault="00A87E27" w:rsidP="00A87E27">
      <w:pPr>
        <w:widowControl w:val="0"/>
        <w:autoSpaceDE w:val="0"/>
        <w:autoSpaceDN w:val="0"/>
        <w:adjustRightInd w:val="0"/>
        <w:spacing w:after="0" w:line="360" w:lineRule="auto"/>
        <w:ind w:left="640" w:right="0" w:hanging="640"/>
        <w:jc w:val="both"/>
        <w:rPr>
          <w:rFonts w:ascii="Arial" w:hAnsi="Arial" w:cs="Arial"/>
          <w:noProof/>
        </w:rPr>
      </w:pPr>
      <w:r w:rsidRPr="00A87E27">
        <w:rPr>
          <w:rFonts w:ascii="Arial" w:hAnsi="Arial" w:cs="Arial"/>
          <w:noProof/>
        </w:rPr>
        <w:t xml:space="preserve">batatas L.) leaves as nutritional and functional foods.,” Food Chem., pp. 156, 380–389, </w:t>
      </w:r>
    </w:p>
    <w:p w:rsidR="00A87E27" w:rsidRPr="00A87E27" w:rsidRDefault="00A87E27" w:rsidP="00A87E27">
      <w:pPr>
        <w:widowControl w:val="0"/>
        <w:autoSpaceDE w:val="0"/>
        <w:autoSpaceDN w:val="0"/>
        <w:adjustRightInd w:val="0"/>
        <w:spacing w:after="0" w:line="360" w:lineRule="auto"/>
        <w:ind w:left="640" w:right="0" w:hanging="640"/>
        <w:jc w:val="both"/>
        <w:rPr>
          <w:rFonts w:ascii="Arial" w:hAnsi="Arial" w:cs="Arial"/>
          <w:noProof/>
        </w:rPr>
      </w:pPr>
      <w:r w:rsidRPr="00A87E27">
        <w:rPr>
          <w:rFonts w:ascii="Arial" w:hAnsi="Arial" w:cs="Arial"/>
          <w:noProof/>
        </w:rPr>
        <w:t>2014.</w:t>
      </w:r>
    </w:p>
    <w:p w:rsidR="002D0239" w:rsidRPr="00A87E27" w:rsidRDefault="002D0239" w:rsidP="00A87E27">
      <w:pPr>
        <w:widowControl w:val="0"/>
        <w:tabs>
          <w:tab w:val="left" w:pos="915"/>
        </w:tabs>
        <w:autoSpaceDE w:val="0"/>
        <w:autoSpaceDN w:val="0"/>
        <w:adjustRightInd w:val="0"/>
        <w:spacing w:after="0" w:line="360" w:lineRule="auto"/>
        <w:ind w:left="640" w:right="0" w:hanging="640"/>
        <w:jc w:val="both"/>
        <w:rPr>
          <w:rFonts w:ascii="Arial" w:hAnsi="Arial" w:cs="Arial"/>
        </w:rPr>
      </w:pPr>
      <w:r w:rsidRPr="00A87E27">
        <w:rPr>
          <w:rFonts w:ascii="Arial" w:hAnsi="Arial" w:cs="Arial"/>
          <w:noProof/>
        </w:rPr>
        <w:t>[</w:t>
      </w:r>
      <w:r w:rsidR="00A87E27">
        <w:rPr>
          <w:rFonts w:ascii="Arial" w:hAnsi="Arial" w:cs="Arial"/>
          <w:noProof/>
        </w:rPr>
        <w:t>8</w:t>
      </w:r>
      <w:r w:rsidRPr="00A87E27">
        <w:rPr>
          <w:rFonts w:ascii="Arial" w:hAnsi="Arial" w:cs="Arial"/>
          <w:noProof/>
        </w:rPr>
        <w:t>]</w:t>
      </w:r>
      <w:r w:rsidRPr="00A87E27">
        <w:rPr>
          <w:rFonts w:ascii="Arial" w:hAnsi="Arial" w:cs="Arial"/>
          <w:noProof/>
        </w:rPr>
        <w:tab/>
        <w:t>kabore saga dominique « </w:t>
      </w:r>
      <w:r w:rsidRPr="00A87E27">
        <w:rPr>
          <w:rFonts w:ascii="Arial" w:hAnsi="Arial" w:cs="Arial"/>
        </w:rPr>
        <w:t>MICRONUTRIMENTS ET CONTRIBUTION À LA SELECTION DE VARIÉTÉS DE PATATE DOUCE (</w:t>
      </w:r>
      <w:r w:rsidRPr="00A87E27">
        <w:rPr>
          <w:rFonts w:ascii="Arial" w:hAnsi="Arial" w:cs="Arial"/>
          <w:i/>
        </w:rPr>
        <w:t xml:space="preserve">Ipomea batatas </w:t>
      </w:r>
      <w:r w:rsidRPr="00A87E27">
        <w:rPr>
          <w:rFonts w:ascii="Arial" w:hAnsi="Arial" w:cs="Arial"/>
        </w:rPr>
        <w:t>Lam.) A CHAIR ORANGE ET POURPRE DU BURKINA FASO »</w:t>
      </w:r>
      <w:r w:rsidR="00B73218" w:rsidRPr="00A87E27">
        <w:rPr>
          <w:rFonts w:ascii="Arial" w:hAnsi="Arial" w:cs="Arial"/>
        </w:rPr>
        <w:t xml:space="preserve"> thèse de doctorat unique soutenu le 20 décembre 2021. Page 179</w:t>
      </w:r>
    </w:p>
    <w:p w:rsidR="00B73218" w:rsidRPr="00A87E27" w:rsidRDefault="00D31488" w:rsidP="00B73218">
      <w:pPr>
        <w:widowControl w:val="0"/>
        <w:tabs>
          <w:tab w:val="left" w:pos="705"/>
        </w:tabs>
        <w:autoSpaceDE w:val="0"/>
        <w:autoSpaceDN w:val="0"/>
        <w:adjustRightInd w:val="0"/>
        <w:spacing w:after="0" w:line="360" w:lineRule="auto"/>
        <w:ind w:left="640" w:right="0" w:hanging="640"/>
        <w:jc w:val="both"/>
        <w:rPr>
          <w:rFonts w:ascii="Arial" w:hAnsi="Arial" w:cs="Arial"/>
          <w:noProof/>
        </w:rPr>
      </w:pPr>
      <w:r w:rsidRPr="00A87E27">
        <w:rPr>
          <w:rFonts w:ascii="Arial" w:hAnsi="Arial" w:cs="Arial"/>
          <w:noProof/>
        </w:rPr>
        <w:t xml:space="preserve"> </w:t>
      </w:r>
      <w:r w:rsidR="00A87E27" w:rsidRPr="00A87E27">
        <w:rPr>
          <w:rFonts w:ascii="Arial" w:hAnsi="Arial" w:cs="Arial"/>
          <w:noProof/>
        </w:rPr>
        <w:t>[9</w:t>
      </w:r>
      <w:r w:rsidR="00B73218" w:rsidRPr="00A87E27">
        <w:rPr>
          <w:rFonts w:ascii="Arial" w:hAnsi="Arial" w:cs="Arial"/>
          <w:noProof/>
        </w:rPr>
        <w:t>]</w:t>
      </w:r>
      <w:r w:rsidR="00B73218" w:rsidRPr="00A87E27">
        <w:rPr>
          <w:rFonts w:ascii="Arial" w:hAnsi="Arial" w:cs="Arial"/>
          <w:noProof/>
        </w:rPr>
        <w:tab/>
        <w:t>David REGNARD, Fabrice ARELLA et Jean-Luc DEBORDE « Développements de méthodes d’analyse et de dosage de quelques caroténoïdes par CLHP / UV Application à la détection d’un composé non autorisé dans les compléments alimentaires à visée oculaire ».</w:t>
      </w:r>
      <w:r w:rsidR="00B73218" w:rsidRPr="00A87E27">
        <w:t xml:space="preserve"> </w:t>
      </w:r>
      <w:r w:rsidR="00B73218" w:rsidRPr="00A87E27">
        <w:rPr>
          <w:rFonts w:ascii="Arial" w:hAnsi="Arial" w:cs="Arial"/>
          <w:noProof/>
        </w:rPr>
        <w:t>Société des Experts Chimistes de France Revue N° 980 – 1er semestre 2014</w:t>
      </w:r>
    </w:p>
    <w:p w:rsidR="00F840E1" w:rsidRPr="004D07C4" w:rsidRDefault="00A87E27" w:rsidP="00F840E1">
      <w:pPr>
        <w:widowControl w:val="0"/>
        <w:autoSpaceDE w:val="0"/>
        <w:autoSpaceDN w:val="0"/>
        <w:adjustRightInd w:val="0"/>
        <w:spacing w:after="0" w:line="360" w:lineRule="auto"/>
        <w:ind w:left="640" w:right="0" w:hanging="640"/>
        <w:jc w:val="both"/>
        <w:rPr>
          <w:rFonts w:ascii="Arial" w:hAnsi="Arial" w:cs="Arial"/>
          <w:noProof/>
          <w:szCs w:val="24"/>
        </w:rPr>
      </w:pPr>
      <w:r>
        <w:rPr>
          <w:rFonts w:ascii="Arial" w:hAnsi="Arial" w:cs="Arial"/>
          <w:noProof/>
          <w:szCs w:val="24"/>
        </w:rPr>
        <w:t>[10</w:t>
      </w:r>
      <w:r w:rsidR="00F840E1" w:rsidRPr="004D07C4">
        <w:rPr>
          <w:rFonts w:ascii="Arial" w:hAnsi="Arial" w:cs="Arial"/>
          <w:noProof/>
          <w:szCs w:val="24"/>
        </w:rPr>
        <w:t>]</w:t>
      </w:r>
      <w:r w:rsidR="00F840E1" w:rsidRPr="004D07C4">
        <w:rPr>
          <w:rFonts w:ascii="Arial" w:hAnsi="Arial" w:cs="Arial"/>
          <w:noProof/>
          <w:szCs w:val="24"/>
        </w:rPr>
        <w:tab/>
        <w:t xml:space="preserve">M. Kimura, C. N. Kobori, R.-A. Delia B, and N. Penelope, “Screening and HPLC methods for carotenoids in sweetpotato, cassava and maize for plant breeding trials,” </w:t>
      </w:r>
      <w:r w:rsidR="00F840E1" w:rsidRPr="004D07C4">
        <w:rPr>
          <w:rFonts w:ascii="Arial" w:hAnsi="Arial" w:cs="Arial"/>
          <w:i/>
          <w:iCs/>
          <w:noProof/>
          <w:szCs w:val="24"/>
        </w:rPr>
        <w:t>Food Chem.</w:t>
      </w:r>
      <w:r w:rsidR="00F840E1" w:rsidRPr="004D07C4">
        <w:rPr>
          <w:rFonts w:ascii="Arial" w:hAnsi="Arial" w:cs="Arial"/>
          <w:noProof/>
          <w:szCs w:val="24"/>
        </w:rPr>
        <w:t>, vol. 100 (2007), 2007.</w:t>
      </w:r>
    </w:p>
    <w:p w:rsidR="00F840E1" w:rsidRDefault="00A87E27" w:rsidP="00F840E1">
      <w:pPr>
        <w:widowControl w:val="0"/>
        <w:autoSpaceDE w:val="0"/>
        <w:autoSpaceDN w:val="0"/>
        <w:adjustRightInd w:val="0"/>
        <w:spacing w:after="0" w:line="360" w:lineRule="auto"/>
        <w:ind w:left="640" w:right="0" w:hanging="640"/>
        <w:jc w:val="both"/>
        <w:rPr>
          <w:rFonts w:ascii="Arial" w:hAnsi="Arial" w:cs="Arial"/>
          <w:noProof/>
          <w:szCs w:val="24"/>
        </w:rPr>
      </w:pPr>
      <w:r>
        <w:rPr>
          <w:rFonts w:ascii="Arial" w:hAnsi="Arial" w:cs="Arial"/>
          <w:noProof/>
          <w:szCs w:val="24"/>
        </w:rPr>
        <w:t>[11</w:t>
      </w:r>
      <w:r w:rsidR="00F840E1" w:rsidRPr="004D07C4">
        <w:rPr>
          <w:rFonts w:ascii="Arial" w:hAnsi="Arial" w:cs="Arial"/>
          <w:noProof/>
          <w:szCs w:val="24"/>
        </w:rPr>
        <w:t>]</w:t>
      </w:r>
      <w:r w:rsidR="00F840E1" w:rsidRPr="004D07C4">
        <w:rPr>
          <w:rFonts w:ascii="Arial" w:hAnsi="Arial" w:cs="Arial"/>
          <w:noProof/>
          <w:szCs w:val="24"/>
        </w:rPr>
        <w:tab/>
        <w:t xml:space="preserve">I. Pott, D. Breithaupt, and R. Carle, “Detection of unusual carotenoid esters in fresh mango (Mangifera indica L. cv. ‘Kent’).,” </w:t>
      </w:r>
      <w:r w:rsidR="00F840E1" w:rsidRPr="004D07C4">
        <w:rPr>
          <w:rFonts w:ascii="Arial" w:hAnsi="Arial" w:cs="Arial"/>
          <w:i/>
          <w:iCs/>
          <w:noProof/>
          <w:szCs w:val="24"/>
        </w:rPr>
        <w:t>Phytochemistry</w:t>
      </w:r>
      <w:r w:rsidR="00F840E1" w:rsidRPr="004D07C4">
        <w:rPr>
          <w:rFonts w:ascii="Arial" w:hAnsi="Arial" w:cs="Arial"/>
          <w:noProof/>
          <w:szCs w:val="24"/>
        </w:rPr>
        <w:t>, pp. 64; 8–25, 2003.</w:t>
      </w:r>
    </w:p>
    <w:p w:rsidR="00D31488" w:rsidRPr="00D31488" w:rsidRDefault="00D31488" w:rsidP="004867F1">
      <w:pPr>
        <w:widowControl w:val="0"/>
        <w:autoSpaceDE w:val="0"/>
        <w:autoSpaceDN w:val="0"/>
        <w:adjustRightInd w:val="0"/>
        <w:spacing w:after="0" w:line="360" w:lineRule="auto"/>
        <w:ind w:left="640" w:right="0" w:hanging="640"/>
        <w:rPr>
          <w:rFonts w:ascii="Arial" w:hAnsi="Arial" w:cs="Arial"/>
          <w:noProof/>
        </w:rPr>
      </w:pPr>
      <w:r w:rsidRPr="00D31488">
        <w:rPr>
          <w:rFonts w:ascii="Arial" w:hAnsi="Arial" w:cs="Arial"/>
          <w:noProof/>
        </w:rPr>
        <w:t>[12]</w:t>
      </w:r>
      <w:r w:rsidRPr="00D31488">
        <w:rPr>
          <w:rFonts w:ascii="Arial" w:hAnsi="Arial" w:cs="Arial"/>
          <w:noProof/>
        </w:rPr>
        <w:tab/>
        <w:t>M. Koala, “étude des antioxydants d’ipomoea batatas (patate douce à chair orange) : structures et propriétés biologiques,” université joseph ki-zerbo, 2015.</w:t>
      </w:r>
    </w:p>
    <w:p w:rsidR="00D31488" w:rsidRDefault="00D31488" w:rsidP="00D31488">
      <w:pPr>
        <w:widowControl w:val="0"/>
        <w:autoSpaceDE w:val="0"/>
        <w:autoSpaceDN w:val="0"/>
        <w:adjustRightInd w:val="0"/>
        <w:spacing w:after="0" w:line="360" w:lineRule="auto"/>
        <w:ind w:left="640" w:right="0" w:hanging="640"/>
        <w:jc w:val="both"/>
        <w:rPr>
          <w:rFonts w:ascii="Arial" w:hAnsi="Arial" w:cs="Arial"/>
          <w:noProof/>
          <w:szCs w:val="24"/>
        </w:rPr>
      </w:pPr>
      <w:r w:rsidRPr="004D07C4">
        <w:rPr>
          <w:rFonts w:ascii="Arial" w:hAnsi="Arial" w:cs="Arial"/>
          <w:noProof/>
          <w:szCs w:val="24"/>
        </w:rPr>
        <w:t>[</w:t>
      </w:r>
      <w:r>
        <w:rPr>
          <w:rFonts w:ascii="Arial" w:hAnsi="Arial" w:cs="Arial"/>
          <w:noProof/>
          <w:szCs w:val="24"/>
        </w:rPr>
        <w:t>13</w:t>
      </w:r>
      <w:r w:rsidRPr="004D07C4">
        <w:rPr>
          <w:rFonts w:ascii="Arial" w:hAnsi="Arial" w:cs="Arial"/>
          <w:noProof/>
          <w:szCs w:val="24"/>
        </w:rPr>
        <w:t>]</w:t>
      </w:r>
      <w:r w:rsidRPr="004D07C4">
        <w:rPr>
          <w:rFonts w:ascii="Arial" w:hAnsi="Arial" w:cs="Arial"/>
          <w:noProof/>
          <w:szCs w:val="24"/>
        </w:rPr>
        <w:tab/>
        <w:t xml:space="preserve">T. Somé, Issa </w:t>
      </w:r>
      <w:r w:rsidRPr="004D07C4">
        <w:rPr>
          <w:rFonts w:ascii="Arial" w:hAnsi="Arial" w:cs="Arial"/>
          <w:i/>
          <w:iCs/>
          <w:noProof/>
          <w:szCs w:val="24"/>
        </w:rPr>
        <w:t>et al.</w:t>
      </w:r>
      <w:r w:rsidRPr="004D07C4">
        <w:rPr>
          <w:rFonts w:ascii="Arial" w:hAnsi="Arial" w:cs="Arial"/>
          <w:noProof/>
          <w:szCs w:val="24"/>
        </w:rPr>
        <w:t xml:space="preserve">, “Validation d’une méthode de dosage des caroténoïdes par CLHP : application à la détermination de teneur en caroténoïdes dans dix variétés de patates douces (Ipomea batata),” </w:t>
      </w:r>
      <w:r w:rsidRPr="004D07C4">
        <w:rPr>
          <w:rFonts w:ascii="Arial" w:hAnsi="Arial" w:cs="Arial"/>
          <w:i/>
          <w:iCs/>
          <w:noProof/>
          <w:szCs w:val="24"/>
        </w:rPr>
        <w:t>C. R. Chim. 7</w:t>
      </w:r>
      <w:r w:rsidRPr="004D07C4">
        <w:rPr>
          <w:rFonts w:ascii="Arial" w:hAnsi="Arial" w:cs="Arial"/>
          <w:noProof/>
          <w:szCs w:val="24"/>
        </w:rPr>
        <w:t>, pp. 1063–1071, 2004.</w:t>
      </w:r>
    </w:p>
    <w:p w:rsidR="00D31488" w:rsidRPr="004867F1" w:rsidRDefault="00D31488" w:rsidP="004867F1">
      <w:pPr>
        <w:widowControl w:val="0"/>
        <w:tabs>
          <w:tab w:val="left" w:pos="810"/>
        </w:tabs>
        <w:autoSpaceDE w:val="0"/>
        <w:autoSpaceDN w:val="0"/>
        <w:adjustRightInd w:val="0"/>
        <w:spacing w:after="0" w:line="360" w:lineRule="auto"/>
        <w:ind w:left="640" w:right="0" w:hanging="640"/>
        <w:jc w:val="both"/>
        <w:rPr>
          <w:rFonts w:ascii="Arial" w:hAnsi="Arial" w:cs="Arial"/>
          <w:noProof/>
        </w:rPr>
      </w:pPr>
      <w:r>
        <w:rPr>
          <w:rFonts w:ascii="Arial" w:hAnsi="Arial" w:cs="Arial"/>
          <w:noProof/>
          <w:szCs w:val="24"/>
        </w:rPr>
        <w:t>[14]</w:t>
      </w:r>
      <w:r>
        <w:rPr>
          <w:rFonts w:ascii="Arial" w:hAnsi="Arial" w:cs="Arial"/>
          <w:noProof/>
          <w:szCs w:val="24"/>
        </w:rPr>
        <w:tab/>
      </w:r>
      <w:r w:rsidRPr="004867F1">
        <w:rPr>
          <w:rFonts w:ascii="Arial" w:hAnsi="Arial" w:cs="Arial"/>
          <w:noProof/>
        </w:rPr>
        <w:t xml:space="preserve">Melendez-Martinez, A, M. Vicario, I, and J. and Heredia, F, “Nutritional importance of carote-noid pigments.,” </w:t>
      </w:r>
      <w:r w:rsidRPr="004867F1">
        <w:rPr>
          <w:rFonts w:ascii="Arial" w:hAnsi="Arial" w:cs="Arial"/>
          <w:i/>
          <w:iCs/>
          <w:noProof/>
        </w:rPr>
        <w:t>Arch. Latinoam. Nutr.</w:t>
      </w:r>
      <w:r w:rsidRPr="004867F1">
        <w:rPr>
          <w:rFonts w:ascii="Arial" w:hAnsi="Arial" w:cs="Arial"/>
          <w:noProof/>
        </w:rPr>
        <w:t>, pp. 54, 149–154, 2004.</w:t>
      </w:r>
    </w:p>
    <w:p w:rsidR="004867F1" w:rsidRPr="004867F1" w:rsidRDefault="004867F1" w:rsidP="004867F1">
      <w:pPr>
        <w:ind w:left="567" w:right="0" w:hanging="567"/>
        <w:jc w:val="both"/>
        <w:rPr>
          <w:rFonts w:ascii="Arial" w:hAnsi="Arial" w:cs="Arial"/>
        </w:rPr>
      </w:pPr>
      <w:r w:rsidRPr="004867F1">
        <w:rPr>
          <w:rFonts w:ascii="Arial" w:hAnsi="Arial" w:cs="Arial"/>
          <w:noProof/>
        </w:rPr>
        <w:t>[15</w:t>
      </w:r>
      <w:r>
        <w:rPr>
          <w:rFonts w:ascii="Arial" w:hAnsi="Arial" w:cs="Arial"/>
          <w:noProof/>
        </w:rPr>
        <w:t>]</w:t>
      </w:r>
      <w:r w:rsidRPr="004867F1">
        <w:rPr>
          <w:rFonts w:ascii="Arial" w:hAnsi="Arial" w:cs="Arial"/>
          <w:noProof/>
        </w:rPr>
        <w:t xml:space="preserve">   K. Delia, B, Rodriguez-Amaya. and Mieko, “HarvestPlus Handbook forCarotenoid Analysis,” </w:t>
      </w:r>
      <w:r w:rsidRPr="004867F1">
        <w:rPr>
          <w:rFonts w:ascii="Arial" w:hAnsi="Arial" w:cs="Arial"/>
          <w:i/>
          <w:iCs/>
          <w:noProof/>
        </w:rPr>
        <w:t>HarvestPlus</w:t>
      </w:r>
      <w:r w:rsidRPr="004867F1">
        <w:rPr>
          <w:rFonts w:ascii="Arial" w:hAnsi="Arial" w:cs="Arial"/>
          <w:noProof/>
        </w:rPr>
        <w:t>, pp. 1–63, 2004.</w:t>
      </w:r>
    </w:p>
    <w:p w:rsidR="004867F1" w:rsidRPr="004867F1" w:rsidRDefault="004867F1" w:rsidP="004867F1">
      <w:pPr>
        <w:ind w:left="567" w:right="0" w:hanging="567"/>
        <w:jc w:val="both"/>
        <w:rPr>
          <w:rFonts w:ascii="Arial" w:hAnsi="Arial" w:cs="Arial"/>
        </w:rPr>
      </w:pPr>
      <w:r w:rsidRPr="004867F1">
        <w:rPr>
          <w:rFonts w:ascii="Arial" w:hAnsi="Arial" w:cs="Arial"/>
          <w:noProof/>
        </w:rPr>
        <w:lastRenderedPageBreak/>
        <w:t xml:space="preserve">[16]       W. Binns, C, L. Jian, L, J, and H. and Lee, A, “The relationship between dietary carotenoids and prostate cancer risk in Southeast Chinese men.,” </w:t>
      </w:r>
      <w:r w:rsidRPr="004867F1">
        <w:rPr>
          <w:rFonts w:ascii="Arial" w:hAnsi="Arial" w:cs="Arial"/>
          <w:i/>
          <w:iCs/>
          <w:noProof/>
        </w:rPr>
        <w:t>Asia Pac. J. Clin. Nutr.</w:t>
      </w:r>
      <w:r w:rsidRPr="004867F1">
        <w:rPr>
          <w:rFonts w:ascii="Arial" w:hAnsi="Arial" w:cs="Arial"/>
          <w:noProof/>
        </w:rPr>
        <w:t>, pp. 13(Suppl.), S117, 2004</w:t>
      </w:r>
    </w:p>
    <w:p w:rsidR="004867F1" w:rsidRPr="004867F1" w:rsidRDefault="004867F1" w:rsidP="004867F1">
      <w:pPr>
        <w:ind w:left="709" w:right="0" w:hanging="709"/>
        <w:jc w:val="both"/>
        <w:rPr>
          <w:rFonts w:ascii="Arial" w:hAnsi="Arial" w:cs="Arial"/>
        </w:rPr>
      </w:pPr>
      <w:r w:rsidRPr="004867F1">
        <w:rPr>
          <w:rFonts w:ascii="Arial" w:hAnsi="Arial" w:cs="Arial"/>
          <w:noProof/>
        </w:rPr>
        <w:t xml:space="preserve">[17]    J. Pattison, D, A. Harrison, R, and M. and Symmons, D, P, “The role of diet in susceptibility to rheumatoid arthritis: a systematic review.,” </w:t>
      </w:r>
      <w:r w:rsidRPr="004867F1">
        <w:rPr>
          <w:rFonts w:ascii="Arial" w:hAnsi="Arial" w:cs="Arial"/>
          <w:i/>
          <w:iCs/>
          <w:noProof/>
        </w:rPr>
        <w:t>J. Rheumatol.</w:t>
      </w:r>
      <w:r w:rsidRPr="004867F1">
        <w:rPr>
          <w:rFonts w:ascii="Arial" w:hAnsi="Arial" w:cs="Arial"/>
          <w:noProof/>
        </w:rPr>
        <w:t>, pp. 31, 1310–1319, 2004.</w:t>
      </w:r>
    </w:p>
    <w:p w:rsidR="004867F1" w:rsidRPr="00A90086" w:rsidRDefault="004867F1" w:rsidP="004867F1">
      <w:pPr>
        <w:widowControl w:val="0"/>
        <w:autoSpaceDE w:val="0"/>
        <w:autoSpaceDN w:val="0"/>
        <w:adjustRightInd w:val="0"/>
        <w:spacing w:after="0" w:line="360" w:lineRule="auto"/>
        <w:ind w:left="640" w:right="0" w:hanging="640"/>
        <w:rPr>
          <w:rFonts w:ascii="Times New Roman" w:hAnsi="Times New Roman"/>
          <w:noProof/>
          <w:sz w:val="24"/>
          <w:szCs w:val="24"/>
        </w:rPr>
      </w:pPr>
      <w:r>
        <w:rPr>
          <w:rFonts w:ascii="Arial" w:hAnsi="Arial" w:cs="Arial"/>
        </w:rPr>
        <w:t>[18]</w:t>
      </w:r>
      <w:r>
        <w:rPr>
          <w:rFonts w:ascii="Arial" w:hAnsi="Arial" w:cs="Arial"/>
        </w:rPr>
        <w:tab/>
      </w:r>
      <w:r w:rsidRPr="00A90086">
        <w:rPr>
          <w:rFonts w:ascii="Times New Roman" w:hAnsi="Times New Roman"/>
          <w:noProof/>
          <w:sz w:val="24"/>
          <w:szCs w:val="24"/>
        </w:rPr>
        <w:t xml:space="preserve">K. Nishino, H., Murakosh, M., Ii, T., Takemura, M., Kuchide, M., Kanazawa, M., Mou, X.Y., Wada, S., Masuda, M., Ohsaka, Y., Yogosawa, S., Satomi, Y. and Jinno, “Carotenoids in cancer chemoprevention.,” </w:t>
      </w:r>
      <w:r w:rsidRPr="00A90086">
        <w:rPr>
          <w:rFonts w:ascii="Times New Roman" w:hAnsi="Times New Roman"/>
          <w:i/>
          <w:iCs/>
          <w:noProof/>
          <w:sz w:val="24"/>
          <w:szCs w:val="24"/>
        </w:rPr>
        <w:t>Cancer Metastasis Rev.</w:t>
      </w:r>
      <w:r w:rsidRPr="00A90086">
        <w:rPr>
          <w:rFonts w:ascii="Times New Roman" w:hAnsi="Times New Roman"/>
          <w:noProof/>
          <w:sz w:val="24"/>
          <w:szCs w:val="24"/>
        </w:rPr>
        <w:t>, pp. 21, 257–264, 2002.</w:t>
      </w:r>
    </w:p>
    <w:p w:rsidR="00F840E1" w:rsidRPr="004867F1" w:rsidRDefault="00F840E1" w:rsidP="004867F1">
      <w:pPr>
        <w:tabs>
          <w:tab w:val="left" w:pos="720"/>
        </w:tabs>
        <w:ind w:right="0"/>
        <w:jc w:val="both"/>
        <w:rPr>
          <w:rFonts w:ascii="Arial" w:hAnsi="Arial" w:cs="Arial"/>
        </w:rPr>
      </w:pPr>
    </w:p>
    <w:sectPr w:rsidR="00F840E1" w:rsidRPr="004867F1">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683A" w:rsidRDefault="00B9683A" w:rsidP="00791805">
      <w:pPr>
        <w:spacing w:after="0" w:line="240" w:lineRule="auto"/>
      </w:pPr>
      <w:r>
        <w:separator/>
      </w:r>
    </w:p>
  </w:endnote>
  <w:endnote w:type="continuationSeparator" w:id="0">
    <w:p w:rsidR="00B9683A" w:rsidRDefault="00B9683A" w:rsidP="00791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805" w:rsidRDefault="007918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805" w:rsidRDefault="007918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805" w:rsidRDefault="007918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683A" w:rsidRDefault="00B9683A" w:rsidP="00791805">
      <w:pPr>
        <w:spacing w:after="0" w:line="240" w:lineRule="auto"/>
      </w:pPr>
      <w:r>
        <w:separator/>
      </w:r>
    </w:p>
  </w:footnote>
  <w:footnote w:type="continuationSeparator" w:id="0">
    <w:p w:rsidR="00B9683A" w:rsidRDefault="00B9683A" w:rsidP="007918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805" w:rsidRDefault="00B968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7032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805" w:rsidRDefault="00B968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7033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805" w:rsidRDefault="00B968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7032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A66"/>
    <w:rsid w:val="000B0E20"/>
    <w:rsid w:val="001D556D"/>
    <w:rsid w:val="002C4E32"/>
    <w:rsid w:val="002D0239"/>
    <w:rsid w:val="002D4534"/>
    <w:rsid w:val="00447A96"/>
    <w:rsid w:val="004867F1"/>
    <w:rsid w:val="004D07C4"/>
    <w:rsid w:val="004D67EF"/>
    <w:rsid w:val="005348FD"/>
    <w:rsid w:val="00744D27"/>
    <w:rsid w:val="00791805"/>
    <w:rsid w:val="007E53F9"/>
    <w:rsid w:val="00920431"/>
    <w:rsid w:val="00A87E27"/>
    <w:rsid w:val="00AD577C"/>
    <w:rsid w:val="00AF6A66"/>
    <w:rsid w:val="00B73218"/>
    <w:rsid w:val="00B9683A"/>
    <w:rsid w:val="00BC218A"/>
    <w:rsid w:val="00C825EC"/>
    <w:rsid w:val="00CF0031"/>
    <w:rsid w:val="00D06B43"/>
    <w:rsid w:val="00D31488"/>
    <w:rsid w:val="00E9263B"/>
    <w:rsid w:val="00F6207B"/>
    <w:rsid w:val="00F840E1"/>
    <w:rsid w:val="00F940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C24410"/>
  <w15:chartTrackingRefBased/>
  <w15:docId w15:val="{953FB866-BE0B-4DA9-9214-8D00DBDF0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ind w:right="-1418"/>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F6A66"/>
    <w:rPr>
      <w:color w:val="0000FF"/>
      <w:u w:val="single"/>
    </w:rPr>
  </w:style>
  <w:style w:type="paragraph" w:styleId="Header">
    <w:name w:val="header"/>
    <w:basedOn w:val="Normal"/>
    <w:link w:val="HeaderChar"/>
    <w:uiPriority w:val="99"/>
    <w:unhideWhenUsed/>
    <w:rsid w:val="007918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805"/>
  </w:style>
  <w:style w:type="paragraph" w:styleId="Footer">
    <w:name w:val="footer"/>
    <w:basedOn w:val="Normal"/>
    <w:link w:val="FooterChar"/>
    <w:uiPriority w:val="99"/>
    <w:unhideWhenUsed/>
    <w:rsid w:val="007918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image" Target="media/image11.emf"/><Relationship Id="rId39" Type="http://schemas.openxmlformats.org/officeDocument/2006/relationships/header" Target="header3.xml"/><Relationship Id="rId21" Type="http://schemas.openxmlformats.org/officeDocument/2006/relationships/chart" Target="charts/chart1.xml"/><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4.emf"/><Relationship Id="rId35" Type="http://schemas.openxmlformats.org/officeDocument/2006/relationships/header" Target="header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image" Target="media/image16.emf"/><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Feuil1!$C$6:$C$339</c:f>
              <c:numCache>
                <c:formatCode>General</c:formatCode>
                <c:ptCount val="334"/>
                <c:pt idx="0">
                  <c:v>0.10199999999999999</c:v>
                </c:pt>
                <c:pt idx="1">
                  <c:v>0.153</c:v>
                </c:pt>
                <c:pt idx="2">
                  <c:v>0.20399999999999999</c:v>
                </c:pt>
                <c:pt idx="3">
                  <c:v>0.255</c:v>
                </c:pt>
                <c:pt idx="4">
                  <c:v>0.30599999999999999</c:v>
                </c:pt>
                <c:pt idx="5">
                  <c:v>0.35699999999999998</c:v>
                </c:pt>
                <c:pt idx="6">
                  <c:v>0.40799999999999997</c:v>
                </c:pt>
                <c:pt idx="7">
                  <c:v>0.45900000000000002</c:v>
                </c:pt>
                <c:pt idx="8">
                  <c:v>0.50900000000000001</c:v>
                </c:pt>
                <c:pt idx="9">
                  <c:v>0.56000000000000005</c:v>
                </c:pt>
                <c:pt idx="10">
                  <c:v>0.61099999999999999</c:v>
                </c:pt>
                <c:pt idx="11">
                  <c:v>0.66200000000000003</c:v>
                </c:pt>
                <c:pt idx="12">
                  <c:v>0.71299999999999997</c:v>
                </c:pt>
                <c:pt idx="13">
                  <c:v>0.76400000000000001</c:v>
                </c:pt>
                <c:pt idx="14">
                  <c:v>0.81499999999999995</c:v>
                </c:pt>
                <c:pt idx="15">
                  <c:v>0.86599999999999999</c:v>
                </c:pt>
                <c:pt idx="16">
                  <c:v>0.91700000000000004</c:v>
                </c:pt>
                <c:pt idx="17">
                  <c:v>0.96799999999999997</c:v>
                </c:pt>
                <c:pt idx="18">
                  <c:v>1.0189999999999999</c:v>
                </c:pt>
                <c:pt idx="19">
                  <c:v>1.07</c:v>
                </c:pt>
                <c:pt idx="20">
                  <c:v>1.121</c:v>
                </c:pt>
                <c:pt idx="21">
                  <c:v>1.1719999999999999</c:v>
                </c:pt>
                <c:pt idx="22">
                  <c:v>1.2230000000000001</c:v>
                </c:pt>
                <c:pt idx="23">
                  <c:v>1.274</c:v>
                </c:pt>
                <c:pt idx="24">
                  <c:v>1.325</c:v>
                </c:pt>
                <c:pt idx="25">
                  <c:v>1.375</c:v>
                </c:pt>
                <c:pt idx="26">
                  <c:v>1.4259999999999999</c:v>
                </c:pt>
                <c:pt idx="27">
                  <c:v>1.4770000000000001</c:v>
                </c:pt>
                <c:pt idx="28">
                  <c:v>1.528</c:v>
                </c:pt>
                <c:pt idx="29">
                  <c:v>1.579</c:v>
                </c:pt>
                <c:pt idx="30">
                  <c:v>1.63</c:v>
                </c:pt>
                <c:pt idx="31">
                  <c:v>1.681</c:v>
                </c:pt>
                <c:pt idx="32">
                  <c:v>1.732</c:v>
                </c:pt>
                <c:pt idx="33">
                  <c:v>1.7829999999999999</c:v>
                </c:pt>
                <c:pt idx="34">
                  <c:v>1.8340000000000001</c:v>
                </c:pt>
                <c:pt idx="35">
                  <c:v>1.885</c:v>
                </c:pt>
                <c:pt idx="36">
                  <c:v>1.9359999999999999</c:v>
                </c:pt>
                <c:pt idx="37">
                  <c:v>1.9870000000000001</c:v>
                </c:pt>
                <c:pt idx="38">
                  <c:v>2.0379999999999998</c:v>
                </c:pt>
                <c:pt idx="39">
                  <c:v>2.089</c:v>
                </c:pt>
                <c:pt idx="40">
                  <c:v>2.14</c:v>
                </c:pt>
                <c:pt idx="41">
                  <c:v>2.1909999999999998</c:v>
                </c:pt>
                <c:pt idx="42">
                  <c:v>2.2410000000000001</c:v>
                </c:pt>
                <c:pt idx="43">
                  <c:v>2.2919999999999998</c:v>
                </c:pt>
                <c:pt idx="44">
                  <c:v>2.343</c:v>
                </c:pt>
                <c:pt idx="45">
                  <c:v>2.3940000000000001</c:v>
                </c:pt>
                <c:pt idx="46">
                  <c:v>2.4449999999999998</c:v>
                </c:pt>
                <c:pt idx="47">
                  <c:v>2.496</c:v>
                </c:pt>
                <c:pt idx="48">
                  <c:v>2.5470000000000002</c:v>
                </c:pt>
                <c:pt idx="49">
                  <c:v>2.5979999999999999</c:v>
                </c:pt>
                <c:pt idx="50">
                  <c:v>2.649</c:v>
                </c:pt>
                <c:pt idx="51">
                  <c:v>2.7</c:v>
                </c:pt>
                <c:pt idx="52">
                  <c:v>2.7509999999999999</c:v>
                </c:pt>
                <c:pt idx="53">
                  <c:v>2.802</c:v>
                </c:pt>
                <c:pt idx="54">
                  <c:v>2.8530000000000002</c:v>
                </c:pt>
                <c:pt idx="55">
                  <c:v>2.9039999999999999</c:v>
                </c:pt>
                <c:pt idx="56">
                  <c:v>2.9550000000000001</c:v>
                </c:pt>
                <c:pt idx="57">
                  <c:v>3.0059999999999998</c:v>
                </c:pt>
                <c:pt idx="58">
                  <c:v>3.0569999999999999</c:v>
                </c:pt>
                <c:pt idx="59">
                  <c:v>3.1070000000000002</c:v>
                </c:pt>
                <c:pt idx="60">
                  <c:v>3.1579999999999999</c:v>
                </c:pt>
                <c:pt idx="61">
                  <c:v>3.2090000000000001</c:v>
                </c:pt>
                <c:pt idx="62">
                  <c:v>3.26</c:v>
                </c:pt>
                <c:pt idx="63">
                  <c:v>3.3109999999999999</c:v>
                </c:pt>
                <c:pt idx="64">
                  <c:v>3.3620000000000001</c:v>
                </c:pt>
                <c:pt idx="65">
                  <c:v>3.4129999999999998</c:v>
                </c:pt>
                <c:pt idx="66">
                  <c:v>3.464</c:v>
                </c:pt>
                <c:pt idx="67">
                  <c:v>3.5150000000000001</c:v>
                </c:pt>
                <c:pt idx="68">
                  <c:v>3.5659999999999998</c:v>
                </c:pt>
                <c:pt idx="69">
                  <c:v>3.617</c:v>
                </c:pt>
                <c:pt idx="70">
                  <c:v>3.6680000000000001</c:v>
                </c:pt>
                <c:pt idx="71">
                  <c:v>3.7189999999999999</c:v>
                </c:pt>
                <c:pt idx="72">
                  <c:v>3.77</c:v>
                </c:pt>
                <c:pt idx="73">
                  <c:v>3.8210000000000002</c:v>
                </c:pt>
                <c:pt idx="74">
                  <c:v>3.8719999999999999</c:v>
                </c:pt>
                <c:pt idx="75">
                  <c:v>3.923</c:v>
                </c:pt>
                <c:pt idx="76">
                  <c:v>3.9729999999999999</c:v>
                </c:pt>
                <c:pt idx="77">
                  <c:v>4.024</c:v>
                </c:pt>
                <c:pt idx="78">
                  <c:v>4.0750000000000002</c:v>
                </c:pt>
                <c:pt idx="79">
                  <c:v>4.1260000000000003</c:v>
                </c:pt>
                <c:pt idx="80">
                  <c:v>4.1769999999999996</c:v>
                </c:pt>
                <c:pt idx="81">
                  <c:v>4.2279999999999998</c:v>
                </c:pt>
                <c:pt idx="82">
                  <c:v>4.2789999999999999</c:v>
                </c:pt>
                <c:pt idx="83">
                  <c:v>4.33</c:v>
                </c:pt>
                <c:pt idx="84">
                  <c:v>4.3810000000000002</c:v>
                </c:pt>
                <c:pt idx="85">
                  <c:v>4.4320000000000004</c:v>
                </c:pt>
                <c:pt idx="86">
                  <c:v>4.4829999999999997</c:v>
                </c:pt>
                <c:pt idx="87">
                  <c:v>4.5339999999999998</c:v>
                </c:pt>
                <c:pt idx="88">
                  <c:v>4.585</c:v>
                </c:pt>
                <c:pt idx="89">
                  <c:v>4.6360000000000001</c:v>
                </c:pt>
                <c:pt idx="90">
                  <c:v>4.6870000000000003</c:v>
                </c:pt>
                <c:pt idx="91">
                  <c:v>4.7380000000000004</c:v>
                </c:pt>
                <c:pt idx="92">
                  <c:v>4.7889999999999997</c:v>
                </c:pt>
                <c:pt idx="93">
                  <c:v>4.8390000000000004</c:v>
                </c:pt>
                <c:pt idx="94">
                  <c:v>4.8899999999999997</c:v>
                </c:pt>
                <c:pt idx="95">
                  <c:v>4.9409999999999998</c:v>
                </c:pt>
                <c:pt idx="96">
                  <c:v>4.992</c:v>
                </c:pt>
                <c:pt idx="97">
                  <c:v>5.0430000000000001</c:v>
                </c:pt>
                <c:pt idx="98">
                  <c:v>5.0940000000000003</c:v>
                </c:pt>
                <c:pt idx="99">
                  <c:v>5.1449999999999996</c:v>
                </c:pt>
                <c:pt idx="100">
                  <c:v>5.1959999999999997</c:v>
                </c:pt>
                <c:pt idx="101">
                  <c:v>5.2469999999999999</c:v>
                </c:pt>
                <c:pt idx="102">
                  <c:v>5.298</c:v>
                </c:pt>
                <c:pt idx="103">
                  <c:v>5.3490000000000002</c:v>
                </c:pt>
                <c:pt idx="104">
                  <c:v>5.4</c:v>
                </c:pt>
                <c:pt idx="105">
                  <c:v>5.4509999999999996</c:v>
                </c:pt>
                <c:pt idx="106">
                  <c:v>5.5019999999999998</c:v>
                </c:pt>
                <c:pt idx="107">
                  <c:v>5.5529999999999999</c:v>
                </c:pt>
                <c:pt idx="108">
                  <c:v>5.6040000000000001</c:v>
                </c:pt>
                <c:pt idx="109">
                  <c:v>5.6550000000000002</c:v>
                </c:pt>
                <c:pt idx="110">
                  <c:v>5.7050000000000001</c:v>
                </c:pt>
                <c:pt idx="111">
                  <c:v>5.7560000000000002</c:v>
                </c:pt>
                <c:pt idx="112">
                  <c:v>5.8070000000000004</c:v>
                </c:pt>
                <c:pt idx="113">
                  <c:v>5.8579999999999997</c:v>
                </c:pt>
                <c:pt idx="114">
                  <c:v>5.9089999999999998</c:v>
                </c:pt>
                <c:pt idx="115">
                  <c:v>5.96</c:v>
                </c:pt>
                <c:pt idx="116">
                  <c:v>6.0110000000000001</c:v>
                </c:pt>
                <c:pt idx="117">
                  <c:v>6.0620000000000003</c:v>
                </c:pt>
                <c:pt idx="118">
                  <c:v>6.1130000000000004</c:v>
                </c:pt>
                <c:pt idx="119">
                  <c:v>6.1639999999999997</c:v>
                </c:pt>
                <c:pt idx="120">
                  <c:v>6.2149999999999999</c:v>
                </c:pt>
                <c:pt idx="121">
                  <c:v>6.266</c:v>
                </c:pt>
                <c:pt idx="122">
                  <c:v>6.3170000000000002</c:v>
                </c:pt>
                <c:pt idx="123">
                  <c:v>6.3680000000000003</c:v>
                </c:pt>
                <c:pt idx="124">
                  <c:v>6.4189999999999996</c:v>
                </c:pt>
                <c:pt idx="125">
                  <c:v>6.47</c:v>
                </c:pt>
                <c:pt idx="126">
                  <c:v>6.5209999999999999</c:v>
                </c:pt>
                <c:pt idx="127">
                  <c:v>6.5720000000000001</c:v>
                </c:pt>
                <c:pt idx="128">
                  <c:v>6.6219999999999999</c:v>
                </c:pt>
                <c:pt idx="129">
                  <c:v>6.673</c:v>
                </c:pt>
                <c:pt idx="130">
                  <c:v>6.7240000000000002</c:v>
                </c:pt>
                <c:pt idx="131">
                  <c:v>6.7750000000000004</c:v>
                </c:pt>
                <c:pt idx="132">
                  <c:v>6.8259999999999996</c:v>
                </c:pt>
                <c:pt idx="133">
                  <c:v>6.8769999999999998</c:v>
                </c:pt>
                <c:pt idx="134">
                  <c:v>6.9279999999999999</c:v>
                </c:pt>
                <c:pt idx="135">
                  <c:v>6.9790000000000001</c:v>
                </c:pt>
                <c:pt idx="136">
                  <c:v>7.03</c:v>
                </c:pt>
                <c:pt idx="137">
                  <c:v>7.0810000000000004</c:v>
                </c:pt>
                <c:pt idx="138">
                  <c:v>7.1319999999999997</c:v>
                </c:pt>
                <c:pt idx="139">
                  <c:v>7.1829999999999998</c:v>
                </c:pt>
                <c:pt idx="140">
                  <c:v>7.234</c:v>
                </c:pt>
                <c:pt idx="141">
                  <c:v>7.2850000000000001</c:v>
                </c:pt>
                <c:pt idx="142">
                  <c:v>7.3360000000000003</c:v>
                </c:pt>
                <c:pt idx="143">
                  <c:v>7.3869999999999996</c:v>
                </c:pt>
                <c:pt idx="144">
                  <c:v>7.4379999999999997</c:v>
                </c:pt>
                <c:pt idx="145">
                  <c:v>7.4880000000000004</c:v>
                </c:pt>
                <c:pt idx="146">
                  <c:v>7.5389999999999997</c:v>
                </c:pt>
                <c:pt idx="147">
                  <c:v>7.59</c:v>
                </c:pt>
                <c:pt idx="148">
                  <c:v>7.641</c:v>
                </c:pt>
                <c:pt idx="149">
                  <c:v>7.6920000000000002</c:v>
                </c:pt>
                <c:pt idx="150">
                  <c:v>7.7430000000000003</c:v>
                </c:pt>
                <c:pt idx="151">
                  <c:v>7.7939999999999996</c:v>
                </c:pt>
                <c:pt idx="152">
                  <c:v>7.8449999999999998</c:v>
                </c:pt>
                <c:pt idx="153">
                  <c:v>7.8959999999999999</c:v>
                </c:pt>
                <c:pt idx="154">
                  <c:v>7.9470000000000001</c:v>
                </c:pt>
                <c:pt idx="155">
                  <c:v>7.9980000000000002</c:v>
                </c:pt>
                <c:pt idx="156">
                  <c:v>8.0489999999999995</c:v>
                </c:pt>
                <c:pt idx="157">
                  <c:v>8.1</c:v>
                </c:pt>
                <c:pt idx="158">
                  <c:v>8.1509999999999998</c:v>
                </c:pt>
                <c:pt idx="159">
                  <c:v>8.202</c:v>
                </c:pt>
                <c:pt idx="160">
                  <c:v>8.2530000000000001</c:v>
                </c:pt>
                <c:pt idx="161">
                  <c:v>8.3040000000000003</c:v>
                </c:pt>
                <c:pt idx="162">
                  <c:v>8.3539999999999992</c:v>
                </c:pt>
                <c:pt idx="163">
                  <c:v>8.4049999999999994</c:v>
                </c:pt>
                <c:pt idx="164">
                  <c:v>8.4559999999999995</c:v>
                </c:pt>
                <c:pt idx="165">
                  <c:v>8.5069999999999997</c:v>
                </c:pt>
                <c:pt idx="166">
                  <c:v>8.5579999999999998</c:v>
                </c:pt>
                <c:pt idx="167">
                  <c:v>8.609</c:v>
                </c:pt>
                <c:pt idx="168">
                  <c:v>8.66</c:v>
                </c:pt>
                <c:pt idx="169">
                  <c:v>8.7110000000000003</c:v>
                </c:pt>
                <c:pt idx="170">
                  <c:v>8.7620000000000005</c:v>
                </c:pt>
                <c:pt idx="171">
                  <c:v>8.8130000000000006</c:v>
                </c:pt>
                <c:pt idx="172">
                  <c:v>8.8640000000000008</c:v>
                </c:pt>
                <c:pt idx="173">
                  <c:v>8.9149999999999991</c:v>
                </c:pt>
                <c:pt idx="174">
                  <c:v>8.9659999999999993</c:v>
                </c:pt>
                <c:pt idx="175">
                  <c:v>9.0169999999999995</c:v>
                </c:pt>
                <c:pt idx="176">
                  <c:v>9.0679999999999996</c:v>
                </c:pt>
                <c:pt idx="177">
                  <c:v>9.1189999999999998</c:v>
                </c:pt>
                <c:pt idx="178">
                  <c:v>9.17</c:v>
                </c:pt>
                <c:pt idx="179">
                  <c:v>9.2200000000000006</c:v>
                </c:pt>
                <c:pt idx="180">
                  <c:v>9.2710000000000008</c:v>
                </c:pt>
                <c:pt idx="181">
                  <c:v>9.3219999999999992</c:v>
                </c:pt>
                <c:pt idx="182">
                  <c:v>9.3729999999999993</c:v>
                </c:pt>
                <c:pt idx="183">
                  <c:v>9.4239999999999995</c:v>
                </c:pt>
                <c:pt idx="184">
                  <c:v>9.4749999999999996</c:v>
                </c:pt>
                <c:pt idx="185">
                  <c:v>9.5259999999999998</c:v>
                </c:pt>
                <c:pt idx="186">
                  <c:v>9.577</c:v>
                </c:pt>
                <c:pt idx="187">
                  <c:v>9.6280000000000001</c:v>
                </c:pt>
                <c:pt idx="188">
                  <c:v>9.6790000000000003</c:v>
                </c:pt>
                <c:pt idx="189">
                  <c:v>9.73</c:v>
                </c:pt>
                <c:pt idx="190">
                  <c:v>9.7810000000000006</c:v>
                </c:pt>
                <c:pt idx="191">
                  <c:v>9.8320000000000007</c:v>
                </c:pt>
                <c:pt idx="192">
                  <c:v>9.8829999999999991</c:v>
                </c:pt>
                <c:pt idx="193">
                  <c:v>9.9339999999999993</c:v>
                </c:pt>
                <c:pt idx="194">
                  <c:v>9.9849999999999994</c:v>
                </c:pt>
                <c:pt idx="195">
                  <c:v>10.036</c:v>
                </c:pt>
                <c:pt idx="196">
                  <c:v>10.086</c:v>
                </c:pt>
                <c:pt idx="197">
                  <c:v>10.137</c:v>
                </c:pt>
                <c:pt idx="198">
                  <c:v>10.188000000000001</c:v>
                </c:pt>
                <c:pt idx="199">
                  <c:v>10.239000000000001</c:v>
                </c:pt>
                <c:pt idx="200">
                  <c:v>10.29</c:v>
                </c:pt>
                <c:pt idx="201">
                  <c:v>10.340999999999999</c:v>
                </c:pt>
                <c:pt idx="202">
                  <c:v>10.391999999999999</c:v>
                </c:pt>
                <c:pt idx="203">
                  <c:v>10.443</c:v>
                </c:pt>
                <c:pt idx="204">
                  <c:v>10.494</c:v>
                </c:pt>
                <c:pt idx="205">
                  <c:v>10.545</c:v>
                </c:pt>
                <c:pt idx="206">
                  <c:v>10.596</c:v>
                </c:pt>
                <c:pt idx="207">
                  <c:v>10.647</c:v>
                </c:pt>
                <c:pt idx="208">
                  <c:v>10.698</c:v>
                </c:pt>
                <c:pt idx="209">
                  <c:v>10.749000000000001</c:v>
                </c:pt>
                <c:pt idx="210">
                  <c:v>10.8</c:v>
                </c:pt>
                <c:pt idx="211">
                  <c:v>10.851000000000001</c:v>
                </c:pt>
                <c:pt idx="212">
                  <c:v>10.901999999999999</c:v>
                </c:pt>
                <c:pt idx="213">
                  <c:v>10.952</c:v>
                </c:pt>
                <c:pt idx="214">
                  <c:v>11.003</c:v>
                </c:pt>
                <c:pt idx="215">
                  <c:v>11.054</c:v>
                </c:pt>
                <c:pt idx="216">
                  <c:v>11.105</c:v>
                </c:pt>
                <c:pt idx="217">
                  <c:v>11.156000000000001</c:v>
                </c:pt>
                <c:pt idx="218">
                  <c:v>11.207000000000001</c:v>
                </c:pt>
                <c:pt idx="219">
                  <c:v>11.257999999999999</c:v>
                </c:pt>
                <c:pt idx="220">
                  <c:v>11.308999999999999</c:v>
                </c:pt>
                <c:pt idx="221">
                  <c:v>11.36</c:v>
                </c:pt>
                <c:pt idx="222">
                  <c:v>11.411</c:v>
                </c:pt>
                <c:pt idx="223">
                  <c:v>11.462</c:v>
                </c:pt>
                <c:pt idx="224">
                  <c:v>11.513</c:v>
                </c:pt>
                <c:pt idx="225">
                  <c:v>11.564</c:v>
                </c:pt>
                <c:pt idx="226">
                  <c:v>11.615</c:v>
                </c:pt>
                <c:pt idx="227">
                  <c:v>11.666</c:v>
                </c:pt>
                <c:pt idx="228">
                  <c:v>11.717000000000001</c:v>
                </c:pt>
                <c:pt idx="229">
                  <c:v>11.768000000000001</c:v>
                </c:pt>
                <c:pt idx="230">
                  <c:v>11.818</c:v>
                </c:pt>
                <c:pt idx="231">
                  <c:v>11.869</c:v>
                </c:pt>
                <c:pt idx="232">
                  <c:v>11.92</c:v>
                </c:pt>
                <c:pt idx="233">
                  <c:v>11.971</c:v>
                </c:pt>
                <c:pt idx="234">
                  <c:v>12.022</c:v>
                </c:pt>
                <c:pt idx="235">
                  <c:v>12.073</c:v>
                </c:pt>
                <c:pt idx="236">
                  <c:v>12.124000000000001</c:v>
                </c:pt>
                <c:pt idx="237">
                  <c:v>12.175000000000001</c:v>
                </c:pt>
                <c:pt idx="238">
                  <c:v>12.226000000000001</c:v>
                </c:pt>
                <c:pt idx="239">
                  <c:v>12.276999999999999</c:v>
                </c:pt>
                <c:pt idx="240">
                  <c:v>12.327999999999999</c:v>
                </c:pt>
                <c:pt idx="241">
                  <c:v>12.379</c:v>
                </c:pt>
                <c:pt idx="242">
                  <c:v>12.43</c:v>
                </c:pt>
                <c:pt idx="243">
                  <c:v>12.481</c:v>
                </c:pt>
                <c:pt idx="244">
                  <c:v>12.532</c:v>
                </c:pt>
                <c:pt idx="245">
                  <c:v>12.583</c:v>
                </c:pt>
                <c:pt idx="246">
                  <c:v>12.634</c:v>
                </c:pt>
                <c:pt idx="247">
                  <c:v>12.683999999999999</c:v>
                </c:pt>
                <c:pt idx="248">
                  <c:v>12.734999999999999</c:v>
                </c:pt>
                <c:pt idx="249">
                  <c:v>12.786</c:v>
                </c:pt>
                <c:pt idx="250">
                  <c:v>12.837</c:v>
                </c:pt>
                <c:pt idx="251">
                  <c:v>12.888</c:v>
                </c:pt>
                <c:pt idx="252">
                  <c:v>12.939</c:v>
                </c:pt>
                <c:pt idx="253">
                  <c:v>12.99</c:v>
                </c:pt>
                <c:pt idx="254">
                  <c:v>13.041</c:v>
                </c:pt>
                <c:pt idx="255">
                  <c:v>13.092000000000001</c:v>
                </c:pt>
                <c:pt idx="256">
                  <c:v>13.143000000000001</c:v>
                </c:pt>
                <c:pt idx="257">
                  <c:v>13.194000000000001</c:v>
                </c:pt>
                <c:pt idx="258">
                  <c:v>13.244999999999999</c:v>
                </c:pt>
                <c:pt idx="259">
                  <c:v>13.295999999999999</c:v>
                </c:pt>
                <c:pt idx="260">
                  <c:v>13.347</c:v>
                </c:pt>
                <c:pt idx="261">
                  <c:v>13.398</c:v>
                </c:pt>
                <c:pt idx="262">
                  <c:v>13.449</c:v>
                </c:pt>
                <c:pt idx="263">
                  <c:v>13.5</c:v>
                </c:pt>
                <c:pt idx="264">
                  <c:v>13.55</c:v>
                </c:pt>
                <c:pt idx="265">
                  <c:v>13.601000000000001</c:v>
                </c:pt>
                <c:pt idx="266">
                  <c:v>13.651999999999999</c:v>
                </c:pt>
                <c:pt idx="267">
                  <c:v>13.702999999999999</c:v>
                </c:pt>
                <c:pt idx="268">
                  <c:v>13.754</c:v>
                </c:pt>
                <c:pt idx="269">
                  <c:v>13.805</c:v>
                </c:pt>
                <c:pt idx="270">
                  <c:v>13.856</c:v>
                </c:pt>
                <c:pt idx="271">
                  <c:v>13.907</c:v>
                </c:pt>
                <c:pt idx="272">
                  <c:v>13.958</c:v>
                </c:pt>
                <c:pt idx="273">
                  <c:v>14.009</c:v>
                </c:pt>
                <c:pt idx="274">
                  <c:v>14.06</c:v>
                </c:pt>
                <c:pt idx="275">
                  <c:v>14.111000000000001</c:v>
                </c:pt>
                <c:pt idx="276">
                  <c:v>14.162000000000001</c:v>
                </c:pt>
                <c:pt idx="277">
                  <c:v>14.212999999999999</c:v>
                </c:pt>
                <c:pt idx="278">
                  <c:v>14.263999999999999</c:v>
                </c:pt>
                <c:pt idx="279">
                  <c:v>14.315</c:v>
                </c:pt>
                <c:pt idx="280">
                  <c:v>14.366</c:v>
                </c:pt>
                <c:pt idx="281">
                  <c:v>14.416</c:v>
                </c:pt>
                <c:pt idx="282">
                  <c:v>14.467000000000001</c:v>
                </c:pt>
                <c:pt idx="283">
                  <c:v>14.518000000000001</c:v>
                </c:pt>
                <c:pt idx="284">
                  <c:v>14.569000000000001</c:v>
                </c:pt>
                <c:pt idx="285">
                  <c:v>14.62</c:v>
                </c:pt>
                <c:pt idx="286">
                  <c:v>14.670999999999999</c:v>
                </c:pt>
                <c:pt idx="287">
                  <c:v>14.722</c:v>
                </c:pt>
                <c:pt idx="288">
                  <c:v>14.773</c:v>
                </c:pt>
                <c:pt idx="289">
                  <c:v>14.824</c:v>
                </c:pt>
                <c:pt idx="290">
                  <c:v>14.875</c:v>
                </c:pt>
                <c:pt idx="291">
                  <c:v>14.926</c:v>
                </c:pt>
                <c:pt idx="292">
                  <c:v>14.977</c:v>
                </c:pt>
                <c:pt idx="293">
                  <c:v>15.028</c:v>
                </c:pt>
                <c:pt idx="294">
                  <c:v>15.079000000000001</c:v>
                </c:pt>
                <c:pt idx="295">
                  <c:v>15.13</c:v>
                </c:pt>
                <c:pt idx="296">
                  <c:v>15.180999999999999</c:v>
                </c:pt>
                <c:pt idx="297">
                  <c:v>15.231999999999999</c:v>
                </c:pt>
                <c:pt idx="298">
                  <c:v>15.282</c:v>
                </c:pt>
                <c:pt idx="299">
                  <c:v>15.333</c:v>
                </c:pt>
                <c:pt idx="300">
                  <c:v>15.384</c:v>
                </c:pt>
                <c:pt idx="301">
                  <c:v>15.435</c:v>
                </c:pt>
                <c:pt idx="302">
                  <c:v>15.486000000000001</c:v>
                </c:pt>
                <c:pt idx="303">
                  <c:v>15.537000000000001</c:v>
                </c:pt>
                <c:pt idx="304">
                  <c:v>15.587999999999999</c:v>
                </c:pt>
                <c:pt idx="305">
                  <c:v>15.638999999999999</c:v>
                </c:pt>
                <c:pt idx="306">
                  <c:v>15.69</c:v>
                </c:pt>
                <c:pt idx="307">
                  <c:v>15.741</c:v>
                </c:pt>
                <c:pt idx="308">
                  <c:v>15.792</c:v>
                </c:pt>
                <c:pt idx="309">
                  <c:v>15.843</c:v>
                </c:pt>
                <c:pt idx="310">
                  <c:v>15.894</c:v>
                </c:pt>
                <c:pt idx="311">
                  <c:v>15.945</c:v>
                </c:pt>
                <c:pt idx="312">
                  <c:v>15.996</c:v>
                </c:pt>
                <c:pt idx="313">
                  <c:v>16.047000000000001</c:v>
                </c:pt>
                <c:pt idx="314">
                  <c:v>16.097999999999999</c:v>
                </c:pt>
                <c:pt idx="315">
                  <c:v>16.148</c:v>
                </c:pt>
                <c:pt idx="316">
                  <c:v>16.199000000000002</c:v>
                </c:pt>
                <c:pt idx="317">
                  <c:v>16.25</c:v>
                </c:pt>
                <c:pt idx="318">
                  <c:v>16.300999999999998</c:v>
                </c:pt>
                <c:pt idx="319">
                  <c:v>16.352</c:v>
                </c:pt>
                <c:pt idx="320">
                  <c:v>16.402999999999999</c:v>
                </c:pt>
                <c:pt idx="321">
                  <c:v>16.454000000000001</c:v>
                </c:pt>
                <c:pt idx="322">
                  <c:v>16.504999999999999</c:v>
                </c:pt>
                <c:pt idx="323">
                  <c:v>16.556000000000001</c:v>
                </c:pt>
                <c:pt idx="324">
                  <c:v>16.606999999999999</c:v>
                </c:pt>
                <c:pt idx="325">
                  <c:v>16.658000000000001</c:v>
                </c:pt>
                <c:pt idx="326">
                  <c:v>16.709</c:v>
                </c:pt>
                <c:pt idx="327">
                  <c:v>16.760000000000002</c:v>
                </c:pt>
                <c:pt idx="328">
                  <c:v>16.811</c:v>
                </c:pt>
                <c:pt idx="329">
                  <c:v>16.861999999999998</c:v>
                </c:pt>
                <c:pt idx="330">
                  <c:v>16.913</c:v>
                </c:pt>
                <c:pt idx="331">
                  <c:v>16.963999999999999</c:v>
                </c:pt>
              </c:numCache>
            </c:numRef>
          </c:xVal>
          <c:yVal>
            <c:numRef>
              <c:f>Feuil1!$D$6:$D$339</c:f>
              <c:numCache>
                <c:formatCode>General</c:formatCode>
                <c:ptCount val="334"/>
                <c:pt idx="0">
                  <c:v>113361.2421875</c:v>
                </c:pt>
                <c:pt idx="1">
                  <c:v>100925.875</c:v>
                </c:pt>
                <c:pt idx="2">
                  <c:v>108585.2734375</c:v>
                </c:pt>
                <c:pt idx="3">
                  <c:v>97027.515625</c:v>
                </c:pt>
                <c:pt idx="4">
                  <c:v>102290.8046875</c:v>
                </c:pt>
                <c:pt idx="5">
                  <c:v>103584.4375</c:v>
                </c:pt>
                <c:pt idx="6">
                  <c:v>92595.2578125</c:v>
                </c:pt>
                <c:pt idx="7">
                  <c:v>95399.4296875</c:v>
                </c:pt>
                <c:pt idx="8">
                  <c:v>90539.328125</c:v>
                </c:pt>
                <c:pt idx="9">
                  <c:v>71776.859375</c:v>
                </c:pt>
                <c:pt idx="10">
                  <c:v>61782.484375</c:v>
                </c:pt>
                <c:pt idx="11">
                  <c:v>245275.5</c:v>
                </c:pt>
                <c:pt idx="12">
                  <c:v>1434095</c:v>
                </c:pt>
                <c:pt idx="13">
                  <c:v>2219084.25</c:v>
                </c:pt>
                <c:pt idx="14">
                  <c:v>965078.4375</c:v>
                </c:pt>
                <c:pt idx="15">
                  <c:v>593466.625</c:v>
                </c:pt>
                <c:pt idx="16">
                  <c:v>439510.90625</c:v>
                </c:pt>
                <c:pt idx="17">
                  <c:v>475645.1875</c:v>
                </c:pt>
                <c:pt idx="18">
                  <c:v>538901.4375</c:v>
                </c:pt>
                <c:pt idx="19">
                  <c:v>239077.921875</c:v>
                </c:pt>
                <c:pt idx="20">
                  <c:v>34746.87890625</c:v>
                </c:pt>
                <c:pt idx="21">
                  <c:v>25067.623046875</c:v>
                </c:pt>
                <c:pt idx="22">
                  <c:v>56994.90234375</c:v>
                </c:pt>
                <c:pt idx="23">
                  <c:v>90425.484375</c:v>
                </c:pt>
                <c:pt idx="24">
                  <c:v>90527.265625</c:v>
                </c:pt>
                <c:pt idx="25">
                  <c:v>84758.9296875</c:v>
                </c:pt>
                <c:pt idx="26">
                  <c:v>124849.921875</c:v>
                </c:pt>
                <c:pt idx="27">
                  <c:v>271309.71875</c:v>
                </c:pt>
                <c:pt idx="28">
                  <c:v>447695.03125</c:v>
                </c:pt>
                <c:pt idx="29">
                  <c:v>256121.453125</c:v>
                </c:pt>
                <c:pt idx="30">
                  <c:v>124953.2421875</c:v>
                </c:pt>
                <c:pt idx="31">
                  <c:v>111691.0078125</c:v>
                </c:pt>
                <c:pt idx="32">
                  <c:v>149535.546875</c:v>
                </c:pt>
                <c:pt idx="33">
                  <c:v>138888.21875</c:v>
                </c:pt>
                <c:pt idx="34">
                  <c:v>100870.3984375</c:v>
                </c:pt>
                <c:pt idx="35">
                  <c:v>82369.328125</c:v>
                </c:pt>
                <c:pt idx="36">
                  <c:v>144519.328125</c:v>
                </c:pt>
                <c:pt idx="37">
                  <c:v>214691.359375</c:v>
                </c:pt>
                <c:pt idx="38">
                  <c:v>95140.3671875</c:v>
                </c:pt>
                <c:pt idx="39">
                  <c:v>36727.37890625</c:v>
                </c:pt>
                <c:pt idx="40">
                  <c:v>33952.58203125</c:v>
                </c:pt>
                <c:pt idx="41">
                  <c:v>58075.140625</c:v>
                </c:pt>
                <c:pt idx="42">
                  <c:v>28847.322265625</c:v>
                </c:pt>
                <c:pt idx="43">
                  <c:v>17990.0625</c:v>
                </c:pt>
                <c:pt idx="44">
                  <c:v>45001.92578125</c:v>
                </c:pt>
                <c:pt idx="45">
                  <c:v>137963</c:v>
                </c:pt>
                <c:pt idx="46">
                  <c:v>172442.4375</c:v>
                </c:pt>
                <c:pt idx="47">
                  <c:v>125874.03125</c:v>
                </c:pt>
                <c:pt idx="48">
                  <c:v>72285.609375</c:v>
                </c:pt>
                <c:pt idx="49">
                  <c:v>75458.375</c:v>
                </c:pt>
                <c:pt idx="50">
                  <c:v>211984.3125</c:v>
                </c:pt>
                <c:pt idx="51">
                  <c:v>240639.46875</c:v>
                </c:pt>
                <c:pt idx="52">
                  <c:v>196387.421875</c:v>
                </c:pt>
                <c:pt idx="53">
                  <c:v>97158.3671875</c:v>
                </c:pt>
                <c:pt idx="54">
                  <c:v>99084.5625</c:v>
                </c:pt>
                <c:pt idx="55">
                  <c:v>87112.40625</c:v>
                </c:pt>
                <c:pt idx="56">
                  <c:v>11200.98046875</c:v>
                </c:pt>
                <c:pt idx="57">
                  <c:v>69647.046875</c:v>
                </c:pt>
                <c:pt idx="58">
                  <c:v>171265.078125</c:v>
                </c:pt>
                <c:pt idx="59">
                  <c:v>333736.5</c:v>
                </c:pt>
                <c:pt idx="60">
                  <c:v>685244.1875</c:v>
                </c:pt>
                <c:pt idx="61">
                  <c:v>1250469.5</c:v>
                </c:pt>
                <c:pt idx="62">
                  <c:v>976441.625</c:v>
                </c:pt>
                <c:pt idx="63">
                  <c:v>1294168.375</c:v>
                </c:pt>
                <c:pt idx="64">
                  <c:v>193818.609375</c:v>
                </c:pt>
                <c:pt idx="65">
                  <c:v>167983.6875</c:v>
                </c:pt>
                <c:pt idx="66">
                  <c:v>101209.6171875</c:v>
                </c:pt>
                <c:pt idx="67">
                  <c:v>65437.36328125</c:v>
                </c:pt>
                <c:pt idx="68">
                  <c:v>59745.51953125</c:v>
                </c:pt>
                <c:pt idx="69">
                  <c:v>81042.1640625</c:v>
                </c:pt>
                <c:pt idx="70">
                  <c:v>75106.0859375</c:v>
                </c:pt>
                <c:pt idx="71">
                  <c:v>71320.40625</c:v>
                </c:pt>
                <c:pt idx="72">
                  <c:v>77110.96875</c:v>
                </c:pt>
                <c:pt idx="73">
                  <c:v>73181.9296875</c:v>
                </c:pt>
                <c:pt idx="74">
                  <c:v>74397.1015625</c:v>
                </c:pt>
                <c:pt idx="75">
                  <c:v>84589.1484375</c:v>
                </c:pt>
                <c:pt idx="76">
                  <c:v>90656.6953125</c:v>
                </c:pt>
                <c:pt idx="77">
                  <c:v>84469.890625</c:v>
                </c:pt>
                <c:pt idx="78">
                  <c:v>67728.078125</c:v>
                </c:pt>
                <c:pt idx="79">
                  <c:v>70699.640625</c:v>
                </c:pt>
                <c:pt idx="80">
                  <c:v>68509.1953125</c:v>
                </c:pt>
                <c:pt idx="81">
                  <c:v>18941.203125</c:v>
                </c:pt>
                <c:pt idx="82">
                  <c:v>13023.0810546875</c:v>
                </c:pt>
                <c:pt idx="83">
                  <c:v>14731.9814453125</c:v>
                </c:pt>
                <c:pt idx="84">
                  <c:v>18668.521484375</c:v>
                </c:pt>
                <c:pt idx="85">
                  <c:v>28755.64453125</c:v>
                </c:pt>
                <c:pt idx="86">
                  <c:v>40267.4453125</c:v>
                </c:pt>
                <c:pt idx="87">
                  <c:v>58046.84375</c:v>
                </c:pt>
                <c:pt idx="88">
                  <c:v>58778.26171875</c:v>
                </c:pt>
                <c:pt idx="89">
                  <c:v>67777.7890625</c:v>
                </c:pt>
                <c:pt idx="90">
                  <c:v>71112.4296875</c:v>
                </c:pt>
                <c:pt idx="91">
                  <c:v>64742.921875</c:v>
                </c:pt>
                <c:pt idx="92">
                  <c:v>72419.0078125</c:v>
                </c:pt>
                <c:pt idx="93">
                  <c:v>54883.33984375</c:v>
                </c:pt>
                <c:pt idx="94">
                  <c:v>55970.91015625</c:v>
                </c:pt>
                <c:pt idx="95">
                  <c:v>55758.6484375</c:v>
                </c:pt>
                <c:pt idx="96">
                  <c:v>56894.9453125</c:v>
                </c:pt>
                <c:pt idx="97">
                  <c:v>71006.8828125</c:v>
                </c:pt>
                <c:pt idx="98">
                  <c:v>79147.125</c:v>
                </c:pt>
                <c:pt idx="99">
                  <c:v>78465.828125</c:v>
                </c:pt>
                <c:pt idx="100">
                  <c:v>81636.171875</c:v>
                </c:pt>
                <c:pt idx="101">
                  <c:v>83923.859375</c:v>
                </c:pt>
                <c:pt idx="102">
                  <c:v>72531.8828125</c:v>
                </c:pt>
                <c:pt idx="103">
                  <c:v>79069.0703125</c:v>
                </c:pt>
                <c:pt idx="104">
                  <c:v>69012.125</c:v>
                </c:pt>
                <c:pt idx="105">
                  <c:v>69198.96875</c:v>
                </c:pt>
                <c:pt idx="106">
                  <c:v>72546.7265625</c:v>
                </c:pt>
                <c:pt idx="107">
                  <c:v>85135.8046875</c:v>
                </c:pt>
                <c:pt idx="108">
                  <c:v>93961</c:v>
                </c:pt>
                <c:pt idx="109">
                  <c:v>141648.453125</c:v>
                </c:pt>
                <c:pt idx="110">
                  <c:v>138503.859375</c:v>
                </c:pt>
                <c:pt idx="111">
                  <c:v>102978.0859375</c:v>
                </c:pt>
                <c:pt idx="112">
                  <c:v>70954.90625</c:v>
                </c:pt>
                <c:pt idx="113">
                  <c:v>62750.60546875</c:v>
                </c:pt>
                <c:pt idx="114">
                  <c:v>56943.88671875</c:v>
                </c:pt>
                <c:pt idx="115">
                  <c:v>55013.4375</c:v>
                </c:pt>
                <c:pt idx="116">
                  <c:v>58861.56640625</c:v>
                </c:pt>
                <c:pt idx="117">
                  <c:v>58531.98828125</c:v>
                </c:pt>
                <c:pt idx="118">
                  <c:v>52082.8828125</c:v>
                </c:pt>
                <c:pt idx="119">
                  <c:v>51943.5078125</c:v>
                </c:pt>
                <c:pt idx="120">
                  <c:v>48498.37890625</c:v>
                </c:pt>
                <c:pt idx="121">
                  <c:v>45600.56640625</c:v>
                </c:pt>
                <c:pt idx="122">
                  <c:v>46366.01953125</c:v>
                </c:pt>
                <c:pt idx="123">
                  <c:v>40969.18359375</c:v>
                </c:pt>
                <c:pt idx="124">
                  <c:v>42228.8828125</c:v>
                </c:pt>
                <c:pt idx="125">
                  <c:v>41146.20703125</c:v>
                </c:pt>
                <c:pt idx="126">
                  <c:v>40134.02734375</c:v>
                </c:pt>
                <c:pt idx="127">
                  <c:v>40513.3046875</c:v>
                </c:pt>
                <c:pt idx="128">
                  <c:v>40561.140625</c:v>
                </c:pt>
                <c:pt idx="129">
                  <c:v>21761.123046875</c:v>
                </c:pt>
                <c:pt idx="130">
                  <c:v>16666.681640625</c:v>
                </c:pt>
                <c:pt idx="131">
                  <c:v>18098.642578125</c:v>
                </c:pt>
                <c:pt idx="132">
                  <c:v>28339.201171875</c:v>
                </c:pt>
                <c:pt idx="133">
                  <c:v>38797.7578125</c:v>
                </c:pt>
                <c:pt idx="134">
                  <c:v>45849.36328125</c:v>
                </c:pt>
                <c:pt idx="135">
                  <c:v>40523.04296875</c:v>
                </c:pt>
                <c:pt idx="136">
                  <c:v>47384.86328125</c:v>
                </c:pt>
                <c:pt idx="137">
                  <c:v>49834.33984375</c:v>
                </c:pt>
                <c:pt idx="138">
                  <c:v>50120.6484375</c:v>
                </c:pt>
                <c:pt idx="139">
                  <c:v>48808.02734375</c:v>
                </c:pt>
                <c:pt idx="140">
                  <c:v>46691.3046875</c:v>
                </c:pt>
                <c:pt idx="141">
                  <c:v>46174.22265625</c:v>
                </c:pt>
                <c:pt idx="142">
                  <c:v>47028.140625</c:v>
                </c:pt>
                <c:pt idx="143">
                  <c:v>44757.984375</c:v>
                </c:pt>
                <c:pt idx="144">
                  <c:v>43996.3828125</c:v>
                </c:pt>
                <c:pt idx="145">
                  <c:v>43380.0859375</c:v>
                </c:pt>
                <c:pt idx="146">
                  <c:v>44047.1015625</c:v>
                </c:pt>
                <c:pt idx="147">
                  <c:v>43651.9453125</c:v>
                </c:pt>
                <c:pt idx="148">
                  <c:v>44213.80078125</c:v>
                </c:pt>
                <c:pt idx="149">
                  <c:v>44999.6796875</c:v>
                </c:pt>
                <c:pt idx="150">
                  <c:v>43564.0859375</c:v>
                </c:pt>
                <c:pt idx="151">
                  <c:v>42730.5390625</c:v>
                </c:pt>
                <c:pt idx="152">
                  <c:v>45680.6875</c:v>
                </c:pt>
                <c:pt idx="153">
                  <c:v>46172.32421875</c:v>
                </c:pt>
                <c:pt idx="154">
                  <c:v>46499.74609375</c:v>
                </c:pt>
                <c:pt idx="155">
                  <c:v>45643.64453125</c:v>
                </c:pt>
                <c:pt idx="156">
                  <c:v>43641.140625</c:v>
                </c:pt>
                <c:pt idx="157">
                  <c:v>42615.18359375</c:v>
                </c:pt>
                <c:pt idx="158">
                  <c:v>42314.8046875</c:v>
                </c:pt>
                <c:pt idx="159">
                  <c:v>35307.36328125</c:v>
                </c:pt>
                <c:pt idx="160">
                  <c:v>37106.04296875</c:v>
                </c:pt>
                <c:pt idx="161">
                  <c:v>37199.90234375</c:v>
                </c:pt>
                <c:pt idx="162">
                  <c:v>38067.9453125</c:v>
                </c:pt>
                <c:pt idx="163">
                  <c:v>38040.90625</c:v>
                </c:pt>
                <c:pt idx="164">
                  <c:v>38229.14453125</c:v>
                </c:pt>
                <c:pt idx="165">
                  <c:v>39596.7421875</c:v>
                </c:pt>
                <c:pt idx="166">
                  <c:v>37604.3203125</c:v>
                </c:pt>
                <c:pt idx="167">
                  <c:v>38322.0859375</c:v>
                </c:pt>
                <c:pt idx="168">
                  <c:v>38197</c:v>
                </c:pt>
                <c:pt idx="169">
                  <c:v>38338.98046875</c:v>
                </c:pt>
                <c:pt idx="170">
                  <c:v>36677.6796875</c:v>
                </c:pt>
                <c:pt idx="171">
                  <c:v>35740.1796875</c:v>
                </c:pt>
                <c:pt idx="172">
                  <c:v>41928.86328125</c:v>
                </c:pt>
                <c:pt idx="173">
                  <c:v>40346.84375</c:v>
                </c:pt>
                <c:pt idx="174">
                  <c:v>38938.140625</c:v>
                </c:pt>
                <c:pt idx="175">
                  <c:v>38644.484375</c:v>
                </c:pt>
                <c:pt idx="176">
                  <c:v>37763.34375</c:v>
                </c:pt>
                <c:pt idx="177">
                  <c:v>37135.46484375</c:v>
                </c:pt>
                <c:pt idx="178">
                  <c:v>37863.6015625</c:v>
                </c:pt>
                <c:pt idx="179">
                  <c:v>38462.5859375</c:v>
                </c:pt>
                <c:pt idx="180">
                  <c:v>39093.1640625</c:v>
                </c:pt>
                <c:pt idx="181">
                  <c:v>50123.62109375</c:v>
                </c:pt>
                <c:pt idx="182">
                  <c:v>77820.734375</c:v>
                </c:pt>
                <c:pt idx="183">
                  <c:v>121939.7734375</c:v>
                </c:pt>
                <c:pt idx="184">
                  <c:v>150609.390625</c:v>
                </c:pt>
                <c:pt idx="185">
                  <c:v>184014.5625</c:v>
                </c:pt>
                <c:pt idx="186">
                  <c:v>193989.71875</c:v>
                </c:pt>
                <c:pt idx="187">
                  <c:v>170445.3125</c:v>
                </c:pt>
                <c:pt idx="188">
                  <c:v>97823.953125</c:v>
                </c:pt>
                <c:pt idx="189">
                  <c:v>73852.1796875</c:v>
                </c:pt>
                <c:pt idx="190">
                  <c:v>56738.34375</c:v>
                </c:pt>
                <c:pt idx="191">
                  <c:v>44886.578125</c:v>
                </c:pt>
                <c:pt idx="192">
                  <c:v>40098.14453125</c:v>
                </c:pt>
                <c:pt idx="193">
                  <c:v>40504.1875</c:v>
                </c:pt>
                <c:pt idx="194">
                  <c:v>35786.94140625</c:v>
                </c:pt>
                <c:pt idx="195">
                  <c:v>38238.50390625</c:v>
                </c:pt>
                <c:pt idx="196">
                  <c:v>36355.203125</c:v>
                </c:pt>
                <c:pt idx="197">
                  <c:v>32394.74609375</c:v>
                </c:pt>
                <c:pt idx="198">
                  <c:v>35931.40234375</c:v>
                </c:pt>
                <c:pt idx="199">
                  <c:v>31807.802734375</c:v>
                </c:pt>
                <c:pt idx="200">
                  <c:v>32747.181640625</c:v>
                </c:pt>
                <c:pt idx="201">
                  <c:v>25845.001953125</c:v>
                </c:pt>
                <c:pt idx="202">
                  <c:v>19462.599609375</c:v>
                </c:pt>
                <c:pt idx="203">
                  <c:v>19158.623046875</c:v>
                </c:pt>
                <c:pt idx="204">
                  <c:v>16673.94140625</c:v>
                </c:pt>
                <c:pt idx="205">
                  <c:v>20880.12109375</c:v>
                </c:pt>
                <c:pt idx="206">
                  <c:v>27930.443359375</c:v>
                </c:pt>
                <c:pt idx="207">
                  <c:v>28284.421875</c:v>
                </c:pt>
                <c:pt idx="208">
                  <c:v>31022.90234375</c:v>
                </c:pt>
                <c:pt idx="209">
                  <c:v>30020.341796875</c:v>
                </c:pt>
                <c:pt idx="210">
                  <c:v>28311.72265625</c:v>
                </c:pt>
                <c:pt idx="211">
                  <c:v>30840.263671875</c:v>
                </c:pt>
                <c:pt idx="212">
                  <c:v>31651.26171875</c:v>
                </c:pt>
                <c:pt idx="213">
                  <c:v>31430.244140625</c:v>
                </c:pt>
                <c:pt idx="214">
                  <c:v>29916.962890625</c:v>
                </c:pt>
                <c:pt idx="215">
                  <c:v>29294.521484375</c:v>
                </c:pt>
                <c:pt idx="216">
                  <c:v>29751.322265625</c:v>
                </c:pt>
                <c:pt idx="217">
                  <c:v>26624.384765625</c:v>
                </c:pt>
                <c:pt idx="218">
                  <c:v>28599.00390625</c:v>
                </c:pt>
                <c:pt idx="219">
                  <c:v>28809.9609375</c:v>
                </c:pt>
                <c:pt idx="220">
                  <c:v>28373.4609375</c:v>
                </c:pt>
                <c:pt idx="221">
                  <c:v>27674.259765625</c:v>
                </c:pt>
                <c:pt idx="222">
                  <c:v>26427.203125</c:v>
                </c:pt>
                <c:pt idx="223">
                  <c:v>26670.94140625</c:v>
                </c:pt>
                <c:pt idx="224">
                  <c:v>27432.90234375</c:v>
                </c:pt>
                <c:pt idx="225">
                  <c:v>26884.8203125</c:v>
                </c:pt>
                <c:pt idx="226">
                  <c:v>27604.279296875</c:v>
                </c:pt>
                <c:pt idx="227">
                  <c:v>21235.68359375</c:v>
                </c:pt>
                <c:pt idx="228">
                  <c:v>18466.802734375</c:v>
                </c:pt>
                <c:pt idx="229">
                  <c:v>10470.9404296875</c:v>
                </c:pt>
                <c:pt idx="230">
                  <c:v>6918.220703125</c:v>
                </c:pt>
                <c:pt idx="231">
                  <c:v>5011.18017578125</c:v>
                </c:pt>
                <c:pt idx="232">
                  <c:v>4479.33984375</c:v>
                </c:pt>
                <c:pt idx="233">
                  <c:v>5864.69970703125</c:v>
                </c:pt>
                <c:pt idx="234">
                  <c:v>11231.7607421875</c:v>
                </c:pt>
                <c:pt idx="235">
                  <c:v>22878.302734375</c:v>
                </c:pt>
                <c:pt idx="236">
                  <c:v>25251.62109375</c:v>
                </c:pt>
                <c:pt idx="237">
                  <c:v>24754.841796875</c:v>
                </c:pt>
                <c:pt idx="238">
                  <c:v>21196.322265625</c:v>
                </c:pt>
                <c:pt idx="239">
                  <c:v>18720.30078125</c:v>
                </c:pt>
                <c:pt idx="240">
                  <c:v>19443.841796875</c:v>
                </c:pt>
                <c:pt idx="241">
                  <c:v>21635.44140625</c:v>
                </c:pt>
                <c:pt idx="242">
                  <c:v>23020.48046875</c:v>
                </c:pt>
                <c:pt idx="243">
                  <c:v>23301.36328125</c:v>
                </c:pt>
                <c:pt idx="244">
                  <c:v>23450.361328125</c:v>
                </c:pt>
                <c:pt idx="245">
                  <c:v>24390.466796875</c:v>
                </c:pt>
                <c:pt idx="246">
                  <c:v>30059.08203125</c:v>
                </c:pt>
                <c:pt idx="247">
                  <c:v>31827.203125</c:v>
                </c:pt>
                <c:pt idx="248">
                  <c:v>43107.9609375</c:v>
                </c:pt>
                <c:pt idx="249">
                  <c:v>50298.44140625</c:v>
                </c:pt>
                <c:pt idx="250">
                  <c:v>36803.8828125</c:v>
                </c:pt>
                <c:pt idx="251">
                  <c:v>31881.4609375</c:v>
                </c:pt>
                <c:pt idx="252">
                  <c:v>23425.361328125</c:v>
                </c:pt>
                <c:pt idx="253">
                  <c:v>24461.322265625</c:v>
                </c:pt>
                <c:pt idx="254">
                  <c:v>21807.822265625</c:v>
                </c:pt>
                <c:pt idx="255">
                  <c:v>21847.84375</c:v>
                </c:pt>
                <c:pt idx="256">
                  <c:v>21400.923828125</c:v>
                </c:pt>
                <c:pt idx="257">
                  <c:v>20352.041015625</c:v>
                </c:pt>
                <c:pt idx="258">
                  <c:v>17294.181640625</c:v>
                </c:pt>
                <c:pt idx="259">
                  <c:v>19777.4375</c:v>
                </c:pt>
                <c:pt idx="260">
                  <c:v>18803.421875</c:v>
                </c:pt>
                <c:pt idx="261">
                  <c:v>19303.259765625</c:v>
                </c:pt>
                <c:pt idx="262">
                  <c:v>18645.501953125</c:v>
                </c:pt>
                <c:pt idx="263">
                  <c:v>12172.640625</c:v>
                </c:pt>
                <c:pt idx="264">
                  <c:v>7086.88037109375</c:v>
                </c:pt>
                <c:pt idx="265">
                  <c:v>3849.66040039063</c:v>
                </c:pt>
                <c:pt idx="266">
                  <c:v>2408.66015625</c:v>
                </c:pt>
                <c:pt idx="267">
                  <c:v>1785.52014160156</c:v>
                </c:pt>
                <c:pt idx="268">
                  <c:v>1471.68005371094</c:v>
                </c:pt>
                <c:pt idx="269">
                  <c:v>1290.72009277344</c:v>
                </c:pt>
                <c:pt idx="270">
                  <c:v>1396.16003417969</c:v>
                </c:pt>
                <c:pt idx="271">
                  <c:v>3699.72021484375</c:v>
                </c:pt>
                <c:pt idx="272">
                  <c:v>17277.181640625</c:v>
                </c:pt>
                <c:pt idx="273">
                  <c:v>19806.541015625</c:v>
                </c:pt>
                <c:pt idx="274">
                  <c:v>19698.5625</c:v>
                </c:pt>
                <c:pt idx="275">
                  <c:v>16785.720703125</c:v>
                </c:pt>
                <c:pt idx="276">
                  <c:v>18017.9609375</c:v>
                </c:pt>
                <c:pt idx="277">
                  <c:v>17724</c:v>
                </c:pt>
                <c:pt idx="278">
                  <c:v>15103.78125</c:v>
                </c:pt>
                <c:pt idx="279">
                  <c:v>17265.1015625</c:v>
                </c:pt>
                <c:pt idx="280">
                  <c:v>15607.80078125</c:v>
                </c:pt>
                <c:pt idx="281">
                  <c:v>11862.2822265625</c:v>
                </c:pt>
                <c:pt idx="282">
                  <c:v>8530.4208984375</c:v>
                </c:pt>
                <c:pt idx="283">
                  <c:v>6495.259765625</c:v>
                </c:pt>
                <c:pt idx="284">
                  <c:v>6034.4404296875</c:v>
                </c:pt>
                <c:pt idx="285">
                  <c:v>5868.46044921875</c:v>
                </c:pt>
                <c:pt idx="286">
                  <c:v>5680.8203125</c:v>
                </c:pt>
                <c:pt idx="287">
                  <c:v>7177.3603515625</c:v>
                </c:pt>
                <c:pt idx="288">
                  <c:v>10298.8798828125</c:v>
                </c:pt>
                <c:pt idx="289">
                  <c:v>13304.2216796875</c:v>
                </c:pt>
                <c:pt idx="290">
                  <c:v>14307.4814453125</c:v>
                </c:pt>
                <c:pt idx="291">
                  <c:v>13396.98046875</c:v>
                </c:pt>
                <c:pt idx="292">
                  <c:v>12928.30078125</c:v>
                </c:pt>
                <c:pt idx="293">
                  <c:v>15702.8818359375</c:v>
                </c:pt>
                <c:pt idx="294">
                  <c:v>15553.841796875</c:v>
                </c:pt>
                <c:pt idx="295">
                  <c:v>14314.8408203125</c:v>
                </c:pt>
                <c:pt idx="296">
                  <c:v>13629.1806640625</c:v>
                </c:pt>
                <c:pt idx="297">
                  <c:v>13508.48046875</c:v>
                </c:pt>
                <c:pt idx="298">
                  <c:v>12584.2607421875</c:v>
                </c:pt>
                <c:pt idx="299">
                  <c:v>12581.7802734375</c:v>
                </c:pt>
                <c:pt idx="300">
                  <c:v>13248.80078125</c:v>
                </c:pt>
                <c:pt idx="301">
                  <c:v>14950.12109375</c:v>
                </c:pt>
                <c:pt idx="302">
                  <c:v>15201.482421875</c:v>
                </c:pt>
                <c:pt idx="303">
                  <c:v>14559.560546875</c:v>
                </c:pt>
                <c:pt idx="304">
                  <c:v>14502.6416015625</c:v>
                </c:pt>
                <c:pt idx="305">
                  <c:v>13292.2822265625</c:v>
                </c:pt>
                <c:pt idx="306">
                  <c:v>13712.021484375</c:v>
                </c:pt>
                <c:pt idx="307">
                  <c:v>12978.0400390625</c:v>
                </c:pt>
                <c:pt idx="308">
                  <c:v>12018.501953125</c:v>
                </c:pt>
                <c:pt idx="309">
                  <c:v>12848.6015625</c:v>
                </c:pt>
                <c:pt idx="310">
                  <c:v>12538.6611328125</c:v>
                </c:pt>
                <c:pt idx="311">
                  <c:v>13663.5810546875</c:v>
                </c:pt>
                <c:pt idx="312">
                  <c:v>13227.580078125</c:v>
                </c:pt>
                <c:pt idx="313">
                  <c:v>14332.28125</c:v>
                </c:pt>
                <c:pt idx="314">
                  <c:v>13776.5009765625</c:v>
                </c:pt>
                <c:pt idx="315">
                  <c:v>13572.201171875</c:v>
                </c:pt>
                <c:pt idx="316">
                  <c:v>14006.041015625</c:v>
                </c:pt>
                <c:pt idx="317">
                  <c:v>13567.640625</c:v>
                </c:pt>
                <c:pt idx="318">
                  <c:v>13882.681640625</c:v>
                </c:pt>
                <c:pt idx="319">
                  <c:v>13342.4404296875</c:v>
                </c:pt>
                <c:pt idx="320">
                  <c:v>15790.26171875</c:v>
                </c:pt>
                <c:pt idx="321">
                  <c:v>15961.30078125</c:v>
                </c:pt>
                <c:pt idx="322">
                  <c:v>14929.041015625</c:v>
                </c:pt>
                <c:pt idx="323">
                  <c:v>16370.140625</c:v>
                </c:pt>
                <c:pt idx="324">
                  <c:v>17381.900390625</c:v>
                </c:pt>
                <c:pt idx="325">
                  <c:v>13799.2802734375</c:v>
                </c:pt>
                <c:pt idx="326">
                  <c:v>18536.72265625</c:v>
                </c:pt>
                <c:pt idx="327">
                  <c:v>16404.22265625</c:v>
                </c:pt>
                <c:pt idx="328">
                  <c:v>21380.978515625</c:v>
                </c:pt>
                <c:pt idx="329">
                  <c:v>19446.958984375</c:v>
                </c:pt>
                <c:pt idx="330">
                  <c:v>16651.220703125</c:v>
                </c:pt>
                <c:pt idx="331">
                  <c:v>15724.16015625</c:v>
                </c:pt>
              </c:numCache>
            </c:numRef>
          </c:yVal>
          <c:smooth val="1"/>
          <c:extLst>
            <c:ext xmlns:c16="http://schemas.microsoft.com/office/drawing/2014/chart" uri="{C3380CC4-5D6E-409C-BE32-E72D297353CC}">
              <c16:uniqueId val="{00000000-35B1-4180-B190-A9602FDF8916}"/>
            </c:ext>
          </c:extLst>
        </c:ser>
        <c:dLbls>
          <c:showLegendKey val="0"/>
          <c:showVal val="0"/>
          <c:showCatName val="0"/>
          <c:showSerName val="0"/>
          <c:showPercent val="0"/>
          <c:showBubbleSize val="0"/>
        </c:dLbls>
        <c:axId val="147555456"/>
        <c:axId val="147556992"/>
      </c:scatterChart>
      <c:valAx>
        <c:axId val="14755545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56992"/>
        <c:crosses val="autoZero"/>
        <c:crossBetween val="midCat"/>
      </c:valAx>
      <c:valAx>
        <c:axId val="147556992"/>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554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0.25764</cdr:x>
      <cdr:y>0.31572</cdr:y>
    </cdr:from>
    <cdr:to>
      <cdr:x>0.25797</cdr:x>
      <cdr:y>0.42104</cdr:y>
    </cdr:to>
    <cdr:cxnSp macro="">
      <cdr:nvCxnSpPr>
        <cdr:cNvPr id="2" name="Connecteur droit avec flèche 1"/>
        <cdr:cNvCxnSpPr/>
      </cdr:nvCxnSpPr>
      <cdr:spPr>
        <a:xfrm xmlns:a="http://schemas.openxmlformats.org/drawingml/2006/main">
          <a:off x="1566326" y="773858"/>
          <a:ext cx="2007" cy="258150"/>
        </a:xfrm>
        <a:prstGeom xmlns:a="http://schemas.openxmlformats.org/drawingml/2006/main" prst="straightConnector1">
          <a:avLst/>
        </a:prstGeom>
        <a:ln xmlns:a="http://schemas.openxmlformats.org/drawingml/2006/main">
          <a:solidFill>
            <a:schemeClr val="dk1"/>
          </a:solidFill>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0.53281</cdr:x>
      <cdr:y>0.54148</cdr:y>
    </cdr:from>
    <cdr:to>
      <cdr:x>0.56466</cdr:x>
      <cdr:y>0.63239</cdr:y>
    </cdr:to>
    <cdr:sp macro="" textlink="">
      <cdr:nvSpPr>
        <cdr:cNvPr id="3" name="Rectangle 2"/>
        <cdr:cNvSpPr/>
      </cdr:nvSpPr>
      <cdr:spPr>
        <a:xfrm xmlns:a="http://schemas.openxmlformats.org/drawingml/2006/main">
          <a:off x="4460914" y="1204464"/>
          <a:ext cx="266663" cy="202220"/>
        </a:xfrm>
        <a:prstGeom xmlns:a="http://schemas.openxmlformats.org/drawingml/2006/main" prst="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a:noAutofit/>
        </a:bodyPr>
        <a:lstStyle xmlns:a="http://schemas.openxmlformats.org/drawingml/2006/main"/>
        <a:p xmlns:a="http://schemas.openxmlformats.org/drawingml/2006/main">
          <a:pPr>
            <a:spcAft>
              <a:spcPts val="0"/>
            </a:spcAft>
          </a:pPr>
          <a:r>
            <a:rPr lang="fr-FR" sz="1200" b="1" u="sng">
              <a:effectLst/>
              <a:latin typeface="Times New Roman" panose="02020603050405020304" pitchFamily="18" charset="0"/>
              <a:ea typeface="Times New Roman" panose="02020603050405020304" pitchFamily="18" charset="0"/>
            </a:rPr>
            <a:t>4</a:t>
          </a:r>
        </a:p>
      </cdr:txBody>
    </cdr:sp>
  </cdr:relSizeAnchor>
  <cdr:relSizeAnchor xmlns:cdr="http://schemas.openxmlformats.org/drawingml/2006/chartDrawing">
    <cdr:from>
      <cdr:x>0.55762</cdr:x>
      <cdr:y>0.69212</cdr:y>
    </cdr:from>
    <cdr:to>
      <cdr:x>0.55795</cdr:x>
      <cdr:y>0.79744</cdr:y>
    </cdr:to>
    <cdr:cxnSp macro="">
      <cdr:nvCxnSpPr>
        <cdr:cNvPr id="4" name="Connecteur droit avec flèche 3"/>
        <cdr:cNvCxnSpPr/>
      </cdr:nvCxnSpPr>
      <cdr:spPr>
        <a:xfrm xmlns:a="http://schemas.openxmlformats.org/drawingml/2006/main">
          <a:off x="3390047" y="1696464"/>
          <a:ext cx="2007" cy="258149"/>
        </a:xfrm>
        <a:prstGeom xmlns:a="http://schemas.openxmlformats.org/drawingml/2006/main" prst="straightConnector1">
          <a:avLst/>
        </a:prstGeom>
        <a:ln xmlns:a="http://schemas.openxmlformats.org/drawingml/2006/main">
          <a:solidFill>
            <a:schemeClr val="dk1"/>
          </a:solidFill>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0.11171</cdr:x>
      <cdr:y>0.04366</cdr:y>
    </cdr:from>
    <cdr:to>
      <cdr:x>0.15506</cdr:x>
      <cdr:y>0.10319</cdr:y>
    </cdr:to>
    <cdr:sp macro="" textlink="">
      <cdr:nvSpPr>
        <cdr:cNvPr id="5" name="Rectangle 4"/>
        <cdr:cNvSpPr>
          <a:spLocks xmlns:a="http://schemas.openxmlformats.org/drawingml/2006/main"/>
        </cdr:cNvSpPr>
      </cdr:nvSpPr>
      <cdr:spPr>
        <a:xfrm xmlns:a="http://schemas.openxmlformats.org/drawingml/2006/main" flipH="1">
          <a:off x="679138" y="107004"/>
          <a:ext cx="263546" cy="145914"/>
        </a:xfrm>
        <a:prstGeom xmlns:a="http://schemas.openxmlformats.org/drawingml/2006/main" prst="rect">
          <a:avLst/>
        </a:prstGeom>
        <a:solidFill xmlns:a="http://schemas.openxmlformats.org/drawingml/2006/main">
          <a:srgbClr val="FFFFFF"/>
        </a:solidFill>
        <a:ln xmlns:a="http://schemas.openxmlformats.org/drawingml/2006/main" w="12700" cap="flat" cmpd="sng" algn="ctr">
          <a:solidFill>
            <a:srgbClr val="FFFFFF"/>
          </a:solidFill>
          <a:prstDash val="solid"/>
          <a:miter lim="800000"/>
        </a:ln>
        <a:effectLst xmlns:a="http://schemas.openxmlformats.org/drawingml/2006/main"/>
      </cdr:spPr>
      <cdr:txBody>
        <a:bodyPr xmlns:a="http://schemas.openxmlformats.org/drawingml/2006/main" wrap="square">
          <a:noAutofit/>
        </a:bodyPr>
        <a:lstStyle xmlns:a="http://schemas.openxmlformats.org/drawingml/2006/main"/>
        <a:p xmlns:a="http://schemas.openxmlformats.org/drawingml/2006/main">
          <a:pPr>
            <a:spcAft>
              <a:spcPts val="0"/>
            </a:spcAft>
          </a:pPr>
          <a:r>
            <a:rPr lang="fr-FR" sz="1200" b="1" u="sng">
              <a:solidFill>
                <a:srgbClr val="000000"/>
              </a:solidFill>
              <a:effectLst/>
              <a:latin typeface="Times New Roman" panose="02020603050405020304" pitchFamily="18" charset="0"/>
              <a:ea typeface="Times New Roman" panose="02020603050405020304" pitchFamily="18" charset="0"/>
            </a:rPr>
            <a:t>1</a:t>
          </a:r>
          <a:endParaRPr lang="fr-FR"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0.14241</cdr:x>
      <cdr:y>0.48541</cdr:y>
    </cdr:from>
    <cdr:to>
      <cdr:x>0.16321</cdr:x>
      <cdr:y>0.59927</cdr:y>
    </cdr:to>
    <cdr:sp macro="" textlink="">
      <cdr:nvSpPr>
        <cdr:cNvPr id="6" name="Rectangle 5"/>
        <cdr:cNvSpPr>
          <a:spLocks xmlns:a="http://schemas.openxmlformats.org/drawingml/2006/main"/>
        </cdr:cNvSpPr>
      </cdr:nvSpPr>
      <cdr:spPr>
        <a:xfrm xmlns:a="http://schemas.openxmlformats.org/drawingml/2006/main">
          <a:off x="865761" y="1189787"/>
          <a:ext cx="126459" cy="279090"/>
        </a:xfrm>
        <a:prstGeom xmlns:a="http://schemas.openxmlformats.org/drawingml/2006/main" prst="rect">
          <a:avLst/>
        </a:prstGeom>
        <a:solidFill xmlns:a="http://schemas.openxmlformats.org/drawingml/2006/main">
          <a:srgbClr val="FFFFFF"/>
        </a:solidFill>
        <a:ln xmlns:a="http://schemas.openxmlformats.org/drawingml/2006/main" w="12700" cap="flat" cmpd="sng" algn="ctr">
          <a:solidFill>
            <a:srgbClr val="FFFFFF"/>
          </a:solidFill>
          <a:prstDash val="solid"/>
          <a:miter lim="800000"/>
        </a:ln>
        <a:effectLst xmlns:a="http://schemas.openxmlformats.org/drawingml/2006/main"/>
      </cdr:spPr>
      <cdr:txBody>
        <a:bodyPr xmlns:a="http://schemas.openxmlformats.org/drawingml/2006/main" wrap="square">
          <a:noAutofit/>
        </a:bodyPr>
        <a:lstStyle xmlns:a="http://schemas.openxmlformats.org/drawingml/2006/main"/>
        <a:p xmlns:a="http://schemas.openxmlformats.org/drawingml/2006/main">
          <a:pPr>
            <a:spcAft>
              <a:spcPts val="0"/>
            </a:spcAft>
          </a:pPr>
          <a:r>
            <a:rPr lang="fr-FR" sz="1200" b="1" u="sng">
              <a:solidFill>
                <a:srgbClr val="000000"/>
              </a:solidFill>
              <a:effectLst/>
              <a:latin typeface="Times New Roman" panose="02020603050405020304" pitchFamily="18" charset="0"/>
              <a:ea typeface="Times New Roman" panose="02020603050405020304" pitchFamily="18" charset="0"/>
            </a:rPr>
            <a:t>2</a:t>
          </a:r>
          <a:endParaRPr lang="fr-FR"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0.24214</cdr:x>
      <cdr:y>0.19226</cdr:y>
    </cdr:from>
    <cdr:to>
      <cdr:x>0.27504</cdr:x>
      <cdr:y>0.26652</cdr:y>
    </cdr:to>
    <cdr:sp macro="" textlink="">
      <cdr:nvSpPr>
        <cdr:cNvPr id="7" name="Rectangle 6"/>
        <cdr:cNvSpPr>
          <a:spLocks xmlns:a="http://schemas.openxmlformats.org/drawingml/2006/main"/>
        </cdr:cNvSpPr>
      </cdr:nvSpPr>
      <cdr:spPr>
        <a:xfrm xmlns:a="http://schemas.openxmlformats.org/drawingml/2006/main">
          <a:off x="1472106" y="471251"/>
          <a:ext cx="200025" cy="182022"/>
        </a:xfrm>
        <a:prstGeom xmlns:a="http://schemas.openxmlformats.org/drawingml/2006/main" prst="rect">
          <a:avLst/>
        </a:prstGeom>
        <a:solidFill xmlns:a="http://schemas.openxmlformats.org/drawingml/2006/main">
          <a:srgbClr val="FFFFFF"/>
        </a:solidFill>
        <a:ln xmlns:a="http://schemas.openxmlformats.org/drawingml/2006/main" w="12700" cap="flat" cmpd="sng" algn="ctr">
          <a:solidFill>
            <a:srgbClr val="FFFFFF"/>
          </a:solidFill>
          <a:prstDash val="solid"/>
          <a:miter lim="800000"/>
        </a:ln>
        <a:effectLst xmlns:a="http://schemas.openxmlformats.org/drawingml/2006/main"/>
      </cdr:spPr>
      <cdr:txBody>
        <a:bodyPr xmlns:a="http://schemas.openxmlformats.org/drawingml/2006/main" wrap="square">
          <a:noAutofit/>
        </a:bodyPr>
        <a:lstStyle xmlns:a="http://schemas.openxmlformats.org/drawingml/2006/main"/>
        <a:p xmlns:a="http://schemas.openxmlformats.org/drawingml/2006/main">
          <a:pPr>
            <a:spcAft>
              <a:spcPts val="0"/>
            </a:spcAft>
          </a:pPr>
          <a:r>
            <a:rPr lang="fr-FR" sz="1200" b="1" u="sng">
              <a:solidFill>
                <a:srgbClr val="000000"/>
              </a:solidFill>
              <a:effectLst/>
              <a:latin typeface="Times New Roman" panose="02020603050405020304" pitchFamily="18" charset="0"/>
              <a:ea typeface="Times New Roman" panose="02020603050405020304" pitchFamily="18" charset="0"/>
            </a:rPr>
            <a:t>3</a:t>
          </a:r>
          <a:endParaRPr lang="fr-FR" sz="1200">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0.14952</cdr:x>
      <cdr:y>0.60721</cdr:y>
    </cdr:from>
    <cdr:to>
      <cdr:x>0.15681</cdr:x>
      <cdr:y>0.69973</cdr:y>
    </cdr:to>
    <cdr:cxnSp macro="">
      <cdr:nvCxnSpPr>
        <cdr:cNvPr id="8" name="Connecteur droit avec flèche 7"/>
        <cdr:cNvCxnSpPr/>
      </cdr:nvCxnSpPr>
      <cdr:spPr>
        <a:xfrm xmlns:a="http://schemas.openxmlformats.org/drawingml/2006/main" flipH="1">
          <a:off x="909014" y="1488332"/>
          <a:ext cx="44296" cy="226774"/>
        </a:xfrm>
        <a:prstGeom xmlns:a="http://schemas.openxmlformats.org/drawingml/2006/main" prst="straightConnector1">
          <a:avLst/>
        </a:prstGeom>
        <a:ln xmlns:a="http://schemas.openxmlformats.org/drawingml/2006/main">
          <a:solidFill>
            <a:schemeClr val="dk1"/>
          </a:solidFill>
          <a:tailEnd type="triangle"/>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Jee051</b:Tag>
    <b:SourceType>JournalArticle</b:SourceType>
    <b:Guid>{05A4DA41-C4D8-48D8-BDA8-08E82505D70A}</b:Guid>
    <b:Author>
      <b:Author>
        <b:NameList>
          <b:Person>
            <b:Last>Jeevan Kumar Prasain</b:Last>
            <b:First>Ray</b:First>
            <b:Middle>Moore,John S. Hurst,Stephen Barnes and Frederik J. G. M. van Kuijk</b:Middle>
          </b:Person>
        </b:NameList>
      </b:Author>
    </b:Author>
    <b:Title>Electrospray tandem mass spectrometric analysisof zeaxanthin and its oxidation products</b:Title>
    <b:JournalName>JOURNAL OF MASS SPECTROMETRY</b:JournalName>
    <b:Year> 2 June 2005</b:Year>
    <b:Pages> 916–923</b:Pages>
    <b:Volume>40</b:Volume>
    <b:Issue>2005</b:Issue>
    <b:RefOrder>2</b:RefOrder>
  </b:Source>
</b:Sources>
</file>

<file path=customXml/itemProps1.xml><?xml version="1.0" encoding="utf-8"?>
<ds:datastoreItem xmlns:ds="http://schemas.openxmlformats.org/officeDocument/2006/customXml" ds:itemID="{75A1F12D-B5EC-4387-9167-944FC398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10</Pages>
  <Words>3320</Words>
  <Characters>18927</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1089</cp:lastModifiedBy>
  <cp:revision>5</cp:revision>
  <dcterms:created xsi:type="dcterms:W3CDTF">2025-09-03T12:42:00Z</dcterms:created>
  <dcterms:modified xsi:type="dcterms:W3CDTF">2025-10-07T10:16:00Z</dcterms:modified>
</cp:coreProperties>
</file>