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ECDCE" w14:textId="77777777" w:rsidR="00194A19" w:rsidRPr="00194A19" w:rsidRDefault="00194A19" w:rsidP="00194A19">
      <w:pPr>
        <w:spacing w:line="480" w:lineRule="auto"/>
        <w:jc w:val="both"/>
        <w:rPr>
          <w:rFonts w:ascii="Times New Roman" w:eastAsia="Times New Roman" w:hAnsi="Times New Roman" w:cs="Times New Roman"/>
          <w:b/>
          <w:bCs/>
          <w:i/>
          <w:iCs/>
          <w:color w:val="000000" w:themeColor="text1"/>
          <w:u w:val="single"/>
          <w:lang w:val="en-US"/>
        </w:rPr>
      </w:pPr>
      <w:r w:rsidRPr="00194A19">
        <w:rPr>
          <w:rFonts w:ascii="Times New Roman" w:eastAsia="Times New Roman" w:hAnsi="Times New Roman" w:cs="Times New Roman"/>
          <w:b/>
          <w:bCs/>
          <w:i/>
          <w:iCs/>
          <w:color w:val="000000" w:themeColor="text1"/>
          <w:u w:val="single"/>
          <w:lang w:val="en-US"/>
        </w:rPr>
        <w:t>Review Article</w:t>
      </w:r>
    </w:p>
    <w:p w14:paraId="41423B97" w14:textId="4F925B0D" w:rsidR="00A572E3" w:rsidRPr="00A572E3" w:rsidRDefault="00A572E3" w:rsidP="00A572E3">
      <w:pPr>
        <w:spacing w:line="480" w:lineRule="auto"/>
        <w:jc w:val="both"/>
        <w:rPr>
          <w:rFonts w:ascii="Times New Roman" w:eastAsia="Times New Roman" w:hAnsi="Times New Roman" w:cs="Times New Roman"/>
          <w:b/>
          <w:bCs/>
          <w:color w:val="000000" w:themeColor="text1"/>
          <w:lang w:val="en-US"/>
        </w:rPr>
      </w:pPr>
      <w:r w:rsidRPr="00A572E3">
        <w:rPr>
          <w:rFonts w:ascii="Times New Roman" w:eastAsia="Times New Roman" w:hAnsi="Times New Roman" w:cs="Times New Roman"/>
          <w:b/>
          <w:bCs/>
          <w:color w:val="000000" w:themeColor="text1"/>
          <w:lang w:val="en-US"/>
        </w:rPr>
        <w:t>Benzo[</w:t>
      </w:r>
      <w:r w:rsidRPr="2E3070CE">
        <w:rPr>
          <w:rFonts w:ascii="Times New Roman" w:eastAsia="Times New Roman" w:hAnsi="Times New Roman" w:cs="Times New Roman"/>
          <w:b/>
          <w:i/>
          <w:color w:val="000000" w:themeColor="text1"/>
          <w:lang w:val="en-US"/>
        </w:rPr>
        <w:t>a</w:t>
      </w:r>
      <w:r w:rsidRPr="00A572E3">
        <w:rPr>
          <w:rFonts w:ascii="Times New Roman" w:eastAsia="Times New Roman" w:hAnsi="Times New Roman" w:cs="Times New Roman"/>
          <w:b/>
          <w:bCs/>
          <w:color w:val="000000" w:themeColor="text1"/>
          <w:lang w:val="en-US"/>
        </w:rPr>
        <w:t>]pyrene as a Model Toxicant from Coal Mining: Impacts on Freshwater Fish Physiology and Ecosystem Health</w:t>
      </w:r>
    </w:p>
    <w:p w14:paraId="31C44238" w14:textId="22F3245C" w:rsidR="0016399A" w:rsidRPr="000A1EE6" w:rsidRDefault="0016399A" w:rsidP="000A1EE6">
      <w:pPr>
        <w:spacing w:line="480" w:lineRule="auto"/>
        <w:jc w:val="both"/>
        <w:rPr>
          <w:rFonts w:ascii="Times New Roman" w:eastAsia="Times New Roman" w:hAnsi="Times New Roman" w:cs="Times New Roman"/>
          <w:b/>
          <w:bCs/>
          <w:color w:val="000000" w:themeColor="text1"/>
          <w:lang w:val="en-US"/>
        </w:rPr>
      </w:pPr>
    </w:p>
    <w:p w14:paraId="75325C34" w14:textId="77777777" w:rsidR="00B56621" w:rsidRDefault="00B56621" w:rsidP="00B56621">
      <w:pPr>
        <w:spacing w:line="480" w:lineRule="auto"/>
        <w:jc w:val="both"/>
        <w:rPr>
          <w:rFonts w:ascii="Times New Roman" w:eastAsia="Times New Roman" w:hAnsi="Times New Roman" w:cs="Times New Roman"/>
          <w:b/>
          <w:bCs/>
          <w:color w:val="000000" w:themeColor="text1"/>
          <w:lang w:val="en-US"/>
        </w:rPr>
      </w:pPr>
      <w:r w:rsidRPr="00B56621">
        <w:rPr>
          <w:rFonts w:ascii="Times New Roman" w:eastAsia="Times New Roman" w:hAnsi="Times New Roman" w:cs="Times New Roman"/>
          <w:b/>
          <w:bCs/>
          <w:color w:val="000000" w:themeColor="text1"/>
          <w:lang w:val="en-US"/>
        </w:rPr>
        <w:t>Abstract:</w:t>
      </w:r>
    </w:p>
    <w:p w14:paraId="28083D2A" w14:textId="18B4E4CA" w:rsidR="00B56621" w:rsidRPr="00363D63" w:rsidRDefault="47EE4892" w:rsidP="00B56621">
      <w:pPr>
        <w:spacing w:line="480" w:lineRule="auto"/>
        <w:jc w:val="both"/>
        <w:rPr>
          <w:rFonts w:ascii="Times New Roman" w:eastAsia="Times New Roman" w:hAnsi="Times New Roman" w:cs="Times New Roman"/>
          <w:color w:val="000000" w:themeColor="text1"/>
          <w:lang w:val="en-US"/>
        </w:rPr>
      </w:pPr>
      <w:r w:rsidRPr="47EE4892">
        <w:rPr>
          <w:rFonts w:ascii="Times New Roman" w:eastAsia="Times New Roman" w:hAnsi="Times New Roman" w:cs="Times New Roman"/>
          <w:color w:val="000000" w:themeColor="text1"/>
          <w:lang w:val="en-US"/>
        </w:rPr>
        <w:t>Coal mining activities release various contaminants into aquatic ecosystems, including polycyclic aromatic hydrocarbons (PAHs), such as benzo[</w:t>
      </w:r>
      <w:r w:rsidRPr="47EE4892">
        <w:rPr>
          <w:rFonts w:ascii="Times New Roman" w:eastAsia="Times New Roman" w:hAnsi="Times New Roman" w:cs="Times New Roman"/>
          <w:i/>
          <w:iCs/>
          <w:color w:val="000000" w:themeColor="text1"/>
          <w:lang w:val="en-US"/>
        </w:rPr>
        <w:t>a</w:t>
      </w:r>
      <w:r w:rsidRPr="47EE4892">
        <w:rPr>
          <w:rFonts w:ascii="Times New Roman" w:eastAsia="Times New Roman" w:hAnsi="Times New Roman" w:cs="Times New Roman"/>
          <w:color w:val="000000" w:themeColor="text1"/>
          <w:lang w:val="en-US"/>
        </w:rPr>
        <w:t>]pyrene (B[</w:t>
      </w:r>
      <w:r w:rsidRPr="47EE4892">
        <w:rPr>
          <w:rFonts w:ascii="Times New Roman" w:eastAsia="Times New Roman" w:hAnsi="Times New Roman" w:cs="Times New Roman"/>
          <w:i/>
          <w:iCs/>
          <w:color w:val="000000" w:themeColor="text1"/>
          <w:lang w:val="en-US"/>
        </w:rPr>
        <w:t>a</w:t>
      </w:r>
      <w:r w:rsidRPr="47EE4892">
        <w:rPr>
          <w:rFonts w:ascii="Times New Roman" w:eastAsia="Times New Roman" w:hAnsi="Times New Roman" w:cs="Times New Roman"/>
          <w:color w:val="000000" w:themeColor="text1"/>
          <w:lang w:val="en-US"/>
        </w:rPr>
        <w:t>]P), which are of particular concern because of their persistence and toxicity. This review examines B[</w:t>
      </w:r>
      <w:r w:rsidRPr="47EE4892">
        <w:rPr>
          <w:rFonts w:ascii="Times New Roman" w:eastAsia="Times New Roman" w:hAnsi="Times New Roman" w:cs="Times New Roman"/>
          <w:i/>
          <w:iCs/>
          <w:color w:val="000000" w:themeColor="text1"/>
          <w:lang w:val="en-US"/>
        </w:rPr>
        <w:t>a</w:t>
      </w:r>
      <w:r w:rsidRPr="47EE4892">
        <w:rPr>
          <w:rFonts w:ascii="Times New Roman" w:eastAsia="Times New Roman" w:hAnsi="Times New Roman" w:cs="Times New Roman"/>
          <w:color w:val="000000" w:themeColor="text1"/>
          <w:lang w:val="en-US"/>
        </w:rPr>
        <w:t>]P as a model toxicant, detailing its environmental entry routes and effects on freshwater fishes. We synthesized current knowledge on the molecular mechanisms of B[</w:t>
      </w:r>
      <w:r w:rsidRPr="47EE4892">
        <w:rPr>
          <w:rFonts w:ascii="Times New Roman" w:eastAsia="Times New Roman" w:hAnsi="Times New Roman" w:cs="Times New Roman"/>
          <w:i/>
          <w:iCs/>
          <w:color w:val="000000" w:themeColor="text1"/>
          <w:lang w:val="en-US"/>
        </w:rPr>
        <w:t>a</w:t>
      </w:r>
      <w:r w:rsidRPr="47EE4892">
        <w:rPr>
          <w:rFonts w:ascii="Times New Roman" w:eastAsia="Times New Roman" w:hAnsi="Times New Roman" w:cs="Times New Roman"/>
          <w:color w:val="000000" w:themeColor="text1"/>
          <w:lang w:val="en-US"/>
        </w:rPr>
        <w:t>]P-induced toxicity, focusing on oxidative stress, DNA damage, and histopathological alterations across multiple organ systems. Species- and tissue-specific responses are discussed, highlighting the complex interplay between the exposure conditions and biological outcomes. This review also explores the application of diverse biomarkers, including biochemical, histological, and molecular endpoints, for assessing fish health in coal-impacted ecosystems. Emerging technologies, such as omics approaches and non-invasive sampling methods, have been evaluated for their potential to enhance environmental monitoring capabilities. By integrating the findings from laboratory and field studies, this review provides a comprehensive overview of the sublethal physiological effects and ecological consequences of acute and chronic B[</w:t>
      </w:r>
      <w:r w:rsidRPr="47EE4892">
        <w:rPr>
          <w:rFonts w:ascii="Times New Roman" w:eastAsia="Times New Roman" w:hAnsi="Times New Roman" w:cs="Times New Roman"/>
          <w:i/>
          <w:iCs/>
          <w:color w:val="000000" w:themeColor="text1"/>
          <w:lang w:val="en-US"/>
        </w:rPr>
        <w:t>a</w:t>
      </w:r>
      <w:r w:rsidRPr="47EE4892">
        <w:rPr>
          <w:rFonts w:ascii="Times New Roman" w:eastAsia="Times New Roman" w:hAnsi="Times New Roman" w:cs="Times New Roman"/>
          <w:color w:val="000000" w:themeColor="text1"/>
          <w:lang w:val="en-US"/>
        </w:rPr>
        <w:t>]P exposure in aquatic ecosystems affected by mining.</w:t>
      </w:r>
      <w:r>
        <w:t xml:space="preserve"> </w:t>
      </w:r>
      <w:r w:rsidRPr="001A2894">
        <w:rPr>
          <w:rFonts w:ascii="Times New Roman" w:eastAsia="Times New Roman" w:hAnsi="Times New Roman" w:cs="Times New Roman"/>
          <w:color w:val="000000" w:themeColor="text1"/>
          <w:highlight w:val="yellow"/>
          <w:lang w:val="en-US"/>
        </w:rPr>
        <w:t>This analysis offers</w:t>
      </w:r>
      <w:r w:rsidRPr="47EE4892">
        <w:rPr>
          <w:rFonts w:ascii="Times New Roman" w:eastAsia="Times New Roman" w:hAnsi="Times New Roman" w:cs="Times New Roman"/>
          <w:color w:val="000000" w:themeColor="text1"/>
          <w:lang w:val="en-US"/>
        </w:rPr>
        <w:t xml:space="preserve"> insights into evidence-based management strategies and underscores the need for ongoing monitoring to protect freshwater biodiversity in coal mining regions worldwide.</w:t>
      </w:r>
    </w:p>
    <w:p w14:paraId="05C13240" w14:textId="449D2D21" w:rsidR="3077F18C" w:rsidRDefault="1777EB10" w:rsidP="3077F18C">
      <w:pPr>
        <w:spacing w:after="0" w:line="480" w:lineRule="auto"/>
        <w:jc w:val="both"/>
        <w:rPr>
          <w:rFonts w:ascii="Times New Roman" w:eastAsia="Times New Roman" w:hAnsi="Times New Roman" w:cs="Times New Roman"/>
          <w:color w:val="000000" w:themeColor="text1"/>
          <w:lang w:val="en-US"/>
        </w:rPr>
      </w:pPr>
      <w:r w:rsidRPr="000A1EE6">
        <w:rPr>
          <w:rFonts w:ascii="Times New Roman" w:eastAsia="Times New Roman" w:hAnsi="Times New Roman" w:cs="Times New Roman"/>
          <w:b/>
          <w:bCs/>
          <w:color w:val="000000" w:themeColor="text1"/>
          <w:lang w:val="en-US"/>
        </w:rPr>
        <w:lastRenderedPageBreak/>
        <w:t>Keywords:</w:t>
      </w:r>
      <w:r w:rsidRPr="000A1EE6">
        <w:rPr>
          <w:rFonts w:ascii="Times New Roman" w:eastAsia="Times New Roman" w:hAnsi="Times New Roman" w:cs="Times New Roman"/>
          <w:color w:val="000000" w:themeColor="text1"/>
          <w:lang w:val="en-US"/>
        </w:rPr>
        <w:t xml:space="preserve"> Benzo[</w:t>
      </w:r>
      <w:r w:rsidRPr="00DA38B3">
        <w:rPr>
          <w:rFonts w:ascii="Times New Roman" w:eastAsia="Times New Roman" w:hAnsi="Times New Roman" w:cs="Times New Roman"/>
          <w:i/>
          <w:color w:val="000000" w:themeColor="text1"/>
          <w:lang w:val="en-US"/>
        </w:rPr>
        <w:t>a</w:t>
      </w:r>
      <w:r w:rsidRPr="000A1EE6">
        <w:rPr>
          <w:rFonts w:ascii="Times New Roman" w:eastAsia="Times New Roman" w:hAnsi="Times New Roman" w:cs="Times New Roman"/>
          <w:color w:val="000000" w:themeColor="text1"/>
          <w:lang w:val="en-US"/>
        </w:rPr>
        <w:t>]pyrene</w:t>
      </w:r>
      <w:r w:rsidR="0BB98A9A"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Coal mining</w:t>
      </w:r>
      <w:r w:rsidR="32F7AA15"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Freshwater fish toxicology</w:t>
      </w:r>
      <w:r w:rsidR="76B8A537"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Polycyclic aromatic hydrocarbons</w:t>
      </w:r>
      <w:r w:rsidR="527B35C7"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Oxidative stress biomarkers</w:t>
      </w:r>
      <w:r w:rsidR="4E808A71"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Aquatic ecotoxicology</w:t>
      </w:r>
      <w:r w:rsidR="5D49A906"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Environmental biomonitoring</w:t>
      </w:r>
      <w:r w:rsidR="624AA1D4" w:rsidRPr="000A1EE6">
        <w:rPr>
          <w:rFonts w:ascii="Times New Roman" w:eastAsia="Times New Roman" w:hAnsi="Times New Roman" w:cs="Times New Roman"/>
          <w:color w:val="000000" w:themeColor="text1"/>
          <w:lang w:val="en-US"/>
        </w:rPr>
        <w:t>.</w:t>
      </w:r>
    </w:p>
    <w:p w14:paraId="4C7D26A0" w14:textId="77777777" w:rsidR="00121744" w:rsidRDefault="00121744" w:rsidP="3077F18C">
      <w:pPr>
        <w:spacing w:after="0" w:line="480" w:lineRule="auto"/>
        <w:jc w:val="both"/>
        <w:rPr>
          <w:rFonts w:ascii="Times New Roman" w:eastAsia="Times New Roman" w:hAnsi="Times New Roman" w:cs="Times New Roman"/>
          <w:color w:val="000000" w:themeColor="text1"/>
          <w:lang w:val="en-US"/>
        </w:rPr>
      </w:pPr>
    </w:p>
    <w:p w14:paraId="3E51BA17" w14:textId="77777777" w:rsidR="00121744" w:rsidRDefault="00121744" w:rsidP="3077F18C">
      <w:pPr>
        <w:spacing w:after="0" w:line="480" w:lineRule="auto"/>
        <w:jc w:val="both"/>
        <w:rPr>
          <w:rFonts w:ascii="Times New Roman" w:eastAsia="Times New Roman" w:hAnsi="Times New Roman" w:cs="Times New Roman"/>
          <w:color w:val="000000" w:themeColor="text1"/>
          <w:lang w:val="en-US"/>
        </w:rPr>
      </w:pPr>
    </w:p>
    <w:p w14:paraId="1494B389" w14:textId="77777777" w:rsidR="00121744" w:rsidRPr="00881339" w:rsidRDefault="00121744" w:rsidP="3077F18C">
      <w:pPr>
        <w:spacing w:after="0" w:line="480" w:lineRule="auto"/>
        <w:jc w:val="both"/>
        <w:rPr>
          <w:rFonts w:ascii="Times New Roman" w:eastAsia="Times New Roman" w:hAnsi="Times New Roman" w:cs="Times New Roman"/>
          <w:color w:val="000000" w:themeColor="text1"/>
        </w:rPr>
      </w:pPr>
    </w:p>
    <w:p w14:paraId="79E1AC88" w14:textId="077BBADE" w:rsidR="006C19EB" w:rsidRPr="00F57E78" w:rsidRDefault="00F57E78" w:rsidP="00F57E78">
      <w:pPr>
        <w:spacing w:after="0" w:line="480" w:lineRule="auto"/>
        <w:jc w:val="both"/>
        <w:rPr>
          <w:rFonts w:ascii="Times New Roman" w:hAnsi="Times New Roman" w:cs="Times New Roman"/>
          <w:b/>
          <w:bCs/>
        </w:rPr>
      </w:pPr>
      <w:r>
        <w:rPr>
          <w:rFonts w:ascii="Times New Roman" w:hAnsi="Times New Roman" w:cs="Times New Roman"/>
          <w:b/>
          <w:bCs/>
        </w:rPr>
        <w:t xml:space="preserve">1. </w:t>
      </w:r>
      <w:r w:rsidR="006C19EB" w:rsidRPr="00F57E78">
        <w:rPr>
          <w:rFonts w:ascii="Times New Roman" w:hAnsi="Times New Roman" w:cs="Times New Roman"/>
          <w:b/>
          <w:bCs/>
        </w:rPr>
        <w:t>Introduction</w:t>
      </w:r>
    </w:p>
    <w:p w14:paraId="3EBE1AFD" w14:textId="6A8B0E33" w:rsidR="006C19EB" w:rsidRPr="000A1EE6" w:rsidRDefault="6752DB7D" w:rsidP="000A1EE6">
      <w:pPr>
        <w:spacing w:line="480" w:lineRule="auto"/>
        <w:jc w:val="both"/>
        <w:rPr>
          <w:rFonts w:ascii="Times New Roman" w:hAnsi="Times New Roman" w:cs="Times New Roman"/>
        </w:rPr>
      </w:pPr>
      <w:r w:rsidRPr="2D8CF45F">
        <w:rPr>
          <w:rFonts w:ascii="Times New Roman" w:hAnsi="Times New Roman" w:cs="Times New Roman"/>
        </w:rPr>
        <w:t>Coal field mining is a significant contributor to the energy sector, primarily serving as a fuel source for electricity generation and various industrial processes</w:t>
      </w:r>
      <w:r w:rsidR="0DC2D600" w:rsidRPr="2D8CF45F">
        <w:rPr>
          <w:rFonts w:ascii="Times New Roman" w:hAnsi="Times New Roman" w:cs="Times New Roman"/>
        </w:rPr>
        <w:t xml:space="preserve"> </w:t>
      </w:r>
      <w:r w:rsidR="006C19EB"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{"citationID":"o8F3kaTy","properties":{"formattedCitation":"(Imasiku &amp; Thomas 2020)","plainCitation":"(Imasiku &amp; Thomas 2020)","noteIndex":0},"citationItems":[{"id":"r9E9mN5c/7jcILmp6","uris":["http://zotero.org/users/14468226/items/AD44NU42"],"itemData":{"id":6977,"type":"article-journal","abstract":"The potential for mining companies to contribute to sustainable energy development is characterized in terms of opportunities for energy efficiency and support of electricity access in mining-intensive developing countries. Through a case study of the Central African Copperbelt countries of Zambia and the Democratic Republic of Congo, energy efficiency opportunities in copper operations and environmental impact of metal extraction are evaluated qualitatively, characterized, and quantified using principles of industrial ecology, life cycle assessment, and engineering economics. In these countries the mining sector is the greatest consumer of electricity, accounting for about 53.6% in the region. Energy efficiency improvements in the refinery processes is shown to have a factor of two improvement potential. Further, four strategies are identified by which the mining and technology industries can enhance sustainable electricity generation capacity: energy efficiency; use of solar and other renewable resources; share expertise from the mining and technology industries within the region; and take advantage of the abundant cobalt and other raw materials to initiate value-added manufacturing.","container-title":"Sustainability","DOI":"10.3390/su122410410","ISSN":"2071-1050","issue":"24","language":"en","license":"http://creativecommons.org/licenses/by/3.0/","note":"publisher: Multidisciplinary Digital Publishing Institute","page":"10410","source":"www.mdpi.com","title":"The Mining and Technology Industries as Catalysts for Sustainable Energy Development","volume":"12","author":[{"family":"Imasiku","given":"Katundu"},{"family":"Thomas","given":"Valerie M."}],"issued":{"date-parts":[["2020",12,12]]}}}],"schema":"https://github.com/citation-style-language/schema/raw/master/csl-citation.json"} </w:instrText>
      </w:r>
      <w:r w:rsidR="006C19EB" w:rsidRPr="2D8CF45F">
        <w:rPr>
          <w:rFonts w:ascii="Times New Roman" w:hAnsi="Times New Roman" w:cs="Times New Roman"/>
        </w:rPr>
        <w:fldChar w:fldCharType="separate"/>
      </w:r>
      <w:r w:rsidR="00E5454F">
        <w:rPr>
          <w:rFonts w:ascii="Times New Roman" w:hAnsi="Times New Roman" w:cs="Times New Roman"/>
        </w:rPr>
        <w:t>(Imasiku &amp; Thomas 2020)</w:t>
      </w:r>
      <w:r w:rsidR="006C19EB" w:rsidRPr="2D8CF45F">
        <w:rPr>
          <w:rFonts w:ascii="Times New Roman" w:hAnsi="Times New Roman" w:cs="Times New Roman"/>
        </w:rPr>
        <w:fldChar w:fldCharType="end"/>
      </w:r>
      <w:r w:rsidRPr="2D8CF45F">
        <w:rPr>
          <w:rFonts w:ascii="Times New Roman" w:hAnsi="Times New Roman" w:cs="Times New Roman"/>
        </w:rPr>
        <w:t xml:space="preserve">. </w:t>
      </w:r>
      <w:r w:rsidR="4F156899" w:rsidRPr="2D8CF45F">
        <w:rPr>
          <w:rFonts w:ascii="Times New Roman" w:hAnsi="Times New Roman" w:cs="Times New Roman"/>
        </w:rPr>
        <w:t>Coal</w:t>
      </w:r>
      <w:r w:rsidRPr="2D8CF45F">
        <w:rPr>
          <w:rFonts w:ascii="Times New Roman" w:hAnsi="Times New Roman" w:cs="Times New Roman"/>
        </w:rPr>
        <w:t xml:space="preserve"> extraction involves complex operations, including surface and underground mining techniques, each with its own set of environmental and safety considerations </w:t>
      </w:r>
      <w:r w:rsidR="006C19EB"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{"citationID":"ygPwlw3U","properties":{"formattedCitation":"(Rouhani et al. 2023, Srivastava &amp; Jha 2025)","plainCitation":"(Rouhani et al. 2023, Srivastava &amp; Jha 2025)","noteIndex":0},"citationItems":[{"id":7905,"uris":["http://zotero.org/users/7192077/items/DCQX5FC5"],"itemData":{"id":7905,"type":"article-journal","abstract":"Coal remains a very important source of energy for the global economy. Surface and underground coal mining are the two major methods of coal extraction, and both have benefits and drawbacks. Surface coal mining can have a variety of environmental impacts including ecosystem losses, landscape alteration, soil destruction, and changes to surface and groundwater quality and quantity. In addition, toxic compounds such as heavy metals, radioactive elements, polycyclic aromatic hydrocarbons (PAHs), and other organic contaminants are released in the environment, ultimately affecting the health of ecosystems and the general population. Underground mining has large impacts on underground water supplies and water quality, but generally has less visual surface impacts such as leaving waste and tailings on the surface and subsidence problems. In response to the concern about these environmental issues, many strategies have been developed by scientists and practitioners to minimize land degradation and soil pollution due to mining. Reclamation laws passed in numerous countries during the past 50 years have instituted practices to reduce the impacts of soil pollution including burying toxic materials, saving and replacing topsoil, and vegetating the land surface. While modern mining practices have decreased the environmental impacts, many sites are inadequately reclaimed and present long-lasting soil pollution problems. The current review summarizes progress in comprehending (1) coal mining impacts on soil pollution, (2) the potential risks of soil pollution associated with coal mining, and (3) different types of strategies for remediating these contaminated soils. Research and prospective directions of soil pollution in coal mining regions include refinements in assessing pollutant levels, the use of biochars and other amendments, phytoremediation of contaminated soils, and the release of toxic elements such as mercury and thallium.","container-title":"Minerals","DOI":"10.3390/min13081064","ISSN":"2075-163X","issue":"8","journalAbbreviation":"Minerals","language":"en","license":"https://creativecommons.org/licenses/by/4.0/","page":"1064","source":"DOI.org (Crossref)","title":"An Overview of Soil Pollution and Remediation Strategies in Coal Mining Regions","URL":"https://www.mdpi.com/2075-163X/13/8/1064","volume":"13","author":[{"family":"Rouhani","given":"Abdulmannan"},{"family":"Skousen","given":"Jeff"},{"family":"Tack","given":"Filip M. G."}],"accessed":{"date-parts":[["2025",9,6]]},"issued":{"date-parts":[["2023",8,11]]}}},{"id":7915,"uris":["http://zotero.org/users/7192077/items/PXBW2WVR","http://zotero.org/users/7192077/items/ISKEXAY3"],"itemData":{"id":7915,"type":"article-journal","container-title":"Environmental Monitoring and Assessment","DOI":"10.1007/s10661-025-13939-1","ISSN":"1573-2959","issue":"5","journalAbbreviation":"Environ Monit Assess","language":"en","page":"545","source":"DOI.org (Crossref)","title":"Environmental impacts of coal mining and mitigation measures: a review","title-short":"Environmental impacts of coal mining and mitigation measures","URL":"https://link.springer.com/10.1007/s10661-025-13939-1","volume":"197","author":[{"family":"Srivastava","given":"Vaishali"},{"family":"Jha","given":"Pawan Kumar"}],"accessed":{"date-parts":[["2025",9,6]]},"issued":{"date-parts":[["2025",4,12]]}}}],"schema":"https://github.com/citation-style-language/schema/raw/master/csl-citation.json"} </w:instrText>
      </w:r>
      <w:r w:rsidR="006C19EB" w:rsidRPr="2D8CF45F">
        <w:rPr>
          <w:rFonts w:ascii="Times New Roman" w:hAnsi="Times New Roman" w:cs="Times New Roman"/>
        </w:rPr>
        <w:fldChar w:fldCharType="separate"/>
      </w:r>
      <w:r w:rsidR="00E5454F">
        <w:rPr>
          <w:rFonts w:ascii="Times New Roman" w:hAnsi="Times New Roman" w:cs="Times New Roman"/>
          <w:noProof/>
        </w:rPr>
        <w:t>(Rouhani et al. 2023, Srivastava &amp; Jha 2025)</w:t>
      </w:r>
      <w:r w:rsidR="006C19EB" w:rsidRPr="2D8CF45F">
        <w:rPr>
          <w:rFonts w:ascii="Times New Roman" w:hAnsi="Times New Roman" w:cs="Times New Roman"/>
        </w:rPr>
        <w:fldChar w:fldCharType="end"/>
      </w:r>
      <w:r w:rsidR="7E8DB22D" w:rsidRPr="2D8CF45F">
        <w:rPr>
          <w:rFonts w:ascii="Times New Roman" w:hAnsi="Times New Roman" w:cs="Times New Roman"/>
        </w:rPr>
        <w:t xml:space="preserve">. </w:t>
      </w:r>
      <w:r w:rsidR="005A0476" w:rsidRPr="005A0476">
        <w:rPr>
          <w:rFonts w:ascii="Times New Roman" w:hAnsi="Times New Roman" w:cs="Times New Roman"/>
        </w:rPr>
        <w:t>Despite its widespread use, coal mining has been increasingly scrutinized because of its environmental impact, particularly its contribution to water and air pollution</w:t>
      </w:r>
      <w:r w:rsidR="4F4C3DE8" w:rsidRPr="2D8CF45F">
        <w:rPr>
          <w:rFonts w:ascii="Times New Roman" w:hAnsi="Times New Roman" w:cs="Times New Roman"/>
        </w:rPr>
        <w:t xml:space="preserve"> </w:t>
      </w:r>
      <w:r w:rsidR="006C19EB"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{"citationID":"6Dfx53UE","properties":{"formattedCitation":"(Masood et al. 2020, Yang et al. 2021, Hasii &amp; Gasii 2024)","plainCitation":"(Masood et al. 2020, Yang et al. 2021, Hasii &amp; Gasii 2024)","noteIndex":0},"citationItems":[{"id":8036,"uris":["http://zotero.org/users/7192077/items/7U5LX267"],"itemData":{"id":8036,"type":"article-journal","abstract":"The intricate relationship between coal mining and water resources is discussed, as well as coal mining affects the quality and availability of water is highlighted. Coal deposits play a major role in energy production, and at the same time, coal mining causes adverse environmental effects. For this reason, the article is devoted to the study consequences of coal mining on water contamination and soil conditions. The investigation results show that coal mining causes dangerous and harmful particles to reach the surface of the water, degrades the soil, and causes chemical exposure. Hydrology and water quality throughout the mining lifecycle are influenced by such consequences, which can be observed across mining regions and under different extraction methods. In this regard, there exists a need for effective strategies and implementing best practices for mining operations, adopting preventive measures for acid mine drainage, and advanced water management techniques. Also, the experience of effective environmental management is discussed. Mining reclamation plans, adherence to specific standards, and the role of rocks selection in reclamation success are discussed. Considering the above balancing energy needs with sustainable environmental practices is crucial to ensuring the coexistence of mining and global water resources.","container-title":"IOP Conference Series: Earth and Environmental Science","DOI":"10.1088/1755-1315/1348/1/012017","ISSN":"1755-1315","issue":"1","journalAbbreviation":"IOP Conf. Ser.: Earth Environ. Sci.","language":"en","note":"publisher: IOP Publishing","page":"012017","source":"Institute of Physics","title":"Coal mining and water resources: impacts, challenges, and strategies for sustainable environmental management","title-short":"Coal mining and water resources","URL":"https://doi.org/10.1088/1755-1315/1348/1/012017","volume":"1348","author":[{"family":"Hasii","given":"Olena"},{"family":"Gasii","given":"Grygorii"}],"accessed":{"date-parts":[["2025",10,5]]},"issued":{"date-parts":[["2024",5]]}}},{"id":8038,"uris":["http://zotero.org/users/7192077/items/Z2EEMPJR"],"itemData":{"id":8038,"type":"article-journal","container-title":"Journal of Sustainable Mining","DOI":"10.46873/2300-3960.1012","ISSN":"2300-3960","issue":"3","source":"COinS","title":"True cost of coal: coal mining industry and its associated environmental impacts on water resource development","title-short":"True cost of coal","URL":"https://jsm.gig.eu/journal-of-sustainable-mining/vol19/iss3/1","volume":"19","author":[{"family":"Masood","given":"Noshin"},{"family":"Hudson-Edwards","given":"Karen"},{"family":"Farooqi","given":"Abida"}],"issued":{"date-parts":[["2020",10,14]]}}},{"id":8034,"uris":["http://zotero.org/users/7192077/items/IV2CTXB4"],"itemData":{"id":8034,"type":"article-journal","abstract":"Background: Though safer modern underground mining methods and automation have been introduced, mine accidents still cause loss of lives, time, and money. This paper aims to analyze in detail the causes of safety and environmental issues in the coal mining industry, as well as the impact of IoT on coal mining. Method: A systematic review was conducted. A comprehensive search involving Web of Science, Google Scholar, Scopus, and Science direct databases was conducted using a combination of the following keywords: mining accidents, coal mining injuries, human error in mining, intelligent mining, etc. The inclusion criteria: (1) the study was published between January 2000 and June 2020; (2) the participants were coal mining employees/ coal mining accidents and accidents were work-related; (3) the study focused on identifying causes of coal mining safety issues or accidents, factors that influence unsafe behaviors and accidents in coal mining, coal mining rescue management, coal mining rescue plan, coal mining environmental impact, mining information technology, intelligent mining; (4) the study was published in a refereed journal; (5) the study was written in English. In this paper, articles were retained if they were original studies. Results: A total of 51 papers were reviewed in detail. Safety issues in coal mining and the impact of IoT were identified and categorized into three main factors: general safety issues, environmental factors, and mining information technology. Recently, the coal mines had become mechanized and automated leading to improved safety, productivity, and cost. However, Human factors such as lack of appropriate skill, lack of experience, perceptual error, and unsafe behaviors, as well as lack of detailed emergency rescue plan were the leading causes of coal mining injuries. Furthermore, abandoned mining sites' carbon emission is greater than active sites.Conclusion: The study recommends further research to be conducted using different psychological models to understand human factors and design effective safety management systems. And the environmental impact of abandoned mining sites should be given due attention.","container-title":"Frontiers in Public Health","DOI":"10.3389/fpubh.2021.709987","ISSN":"2296-2565","journalAbbreviation":"Front. Public Health","language":"English","note":"publisher: Frontiers","source":"Frontiers","title":"Mining Employees Safety and the Application of Information Technology in Coal Mining: Review","title-short":"Mining Employees Safety and the Application of Information Technology in Coal Mining","URL":"https://www.frontiersin.org/journals/public-health/articles/10.3389/fpubh.2021.709987/full","volume":"9","author":[{"family":"Yang","given":"Li"},{"family":"Birhane","given":"Getnet Engeda"},{"family":"Zhu","given":"Junqi"},{"family":"Geng","given":"Jichao"}],"accessed":{"date-parts":[["2025",10,5]]},"issued":{"date-parts":[["2021",8,18]]}}}],"schema":"https://github.com/citation-style-language/schema/raw/master/csl-citation.json"} </w:instrText>
      </w:r>
      <w:r w:rsidR="006C19EB" w:rsidRPr="2D8CF45F">
        <w:rPr>
          <w:rFonts w:ascii="Times New Roman" w:hAnsi="Times New Roman" w:cs="Times New Roman"/>
        </w:rPr>
        <w:fldChar w:fldCharType="separate"/>
      </w:r>
      <w:r w:rsidR="00E5454F">
        <w:rPr>
          <w:rFonts w:ascii="Times New Roman" w:hAnsi="Times New Roman" w:cs="Times New Roman"/>
          <w:noProof/>
        </w:rPr>
        <w:t>(Masood et al. 2020, Yang et al. 2021, Hasii &amp; Gasii 2024)</w:t>
      </w:r>
      <w:r w:rsidR="006C19EB" w:rsidRPr="2D8CF45F">
        <w:rPr>
          <w:rFonts w:ascii="Times New Roman" w:hAnsi="Times New Roman" w:cs="Times New Roman"/>
        </w:rPr>
        <w:fldChar w:fldCharType="end"/>
      </w:r>
      <w:r w:rsidRPr="2D8CF45F">
        <w:rPr>
          <w:rFonts w:ascii="Times New Roman" w:hAnsi="Times New Roman" w:cs="Times New Roman"/>
        </w:rPr>
        <w:t>. In regions such as the Upper Silesian Coal Basin in Poland, extensive waste rock dumps contribute to groundwater contamination through</w:t>
      </w:r>
      <w:r w:rsidRPr="2D8CF45F" w:rsidDel="005A0476">
        <w:rPr>
          <w:rFonts w:ascii="Times New Roman" w:hAnsi="Times New Roman" w:cs="Times New Roman"/>
        </w:rPr>
        <w:t xml:space="preserve"> </w:t>
      </w:r>
      <w:r w:rsidRPr="2D8CF45F">
        <w:rPr>
          <w:rFonts w:ascii="Times New Roman" w:hAnsi="Times New Roman" w:cs="Times New Roman"/>
        </w:rPr>
        <w:t>leaching of saline, sulfurous, and acidic components</w:t>
      </w:r>
      <w:r w:rsidR="5E9512F4" w:rsidRPr="2D8CF45F">
        <w:rPr>
          <w:rFonts w:ascii="Times New Roman" w:hAnsi="Times New Roman" w:cs="Times New Roman"/>
        </w:rPr>
        <w:t xml:space="preserve"> </w:t>
      </w:r>
      <w:r w:rsidR="006C19EB"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{"citationID":"nlj4W9U2","properties":{"formattedCitation":"(Szczepanska &amp; Twardowska 1999)","plainCitation":"(Szczepanska &amp; Twardowska 1999)","noteIndex":0},"citationItems":[{"id":"r9E9mN5c/V2zJks5z","uris":["http://zotero.org/users/14468226/items/AAACKD7S"],"itemData":{"id":6962,"type":"article-journal","abstract":"About 50 million tonnes/year of waste rock from coal-mining is generated in the limited area of the thickly populated Upper Silesian Coal Basin (USCB) in Poland. There are 380 coal-mining waste dumps, including 76 active dump sites covering over 2,000 ha. About 15-16 million tonnes/year of waste rock is being reused for civil engineering purposes in the same area. This brings about a problem of ground water deterioration by constituents leached from waste rock exposed to atmospheric conditions. The major factors determining the ground water contamination potential from waste rock are chloride salinity, sulfur content and acid generation potential. The concept behind the presented studies was to provide data for correct evaluation and prediction of contaminant release from the waste rock, based on the characterization of coal-mining waste properties, as well as on long-term laboratory, lysimetric and field studies. The results show that coal-mining waste dumps can be a long-term source of ground water contamination, lasting for decades and increasing with time. Ground water down-gradient from the disused 15–30-years-old part of the studied dump displays high and increasing acidification, high TDS, SO4, and the highest, still increasing concentrations of Mn, Fe and Zn. Cost-effective and efficient pollution control measures, similar to the presented design and construction elements of the dump site, can mitigate the negative environmental impacts.","container-title":"Environmental Geology","DOI":"10.1007/s002540050422","ISSN":"1432-0495","issue":"3","language":"En","license":"1999 Springer-Verlag Berlin Heidelberg","note":"publisher: Springer","page":"249-258","source":"link.springer.com","title":"Distribution and environmental impact of coal-mining wastes in Upper Silesia, Poland","volume":"38","author":[{"family":"Szczepanska","given":"J."},{"family":"Twardowska","given":"I."}],"issued":{"date-parts":[["1999",9]]}}}],"schema":"https://github.com/citation-style-language/schema/raw/master/csl-citation.json"} </w:instrText>
      </w:r>
      <w:r w:rsidR="006C19EB" w:rsidRPr="2D8CF45F">
        <w:rPr>
          <w:rFonts w:ascii="Times New Roman" w:hAnsi="Times New Roman" w:cs="Times New Roman"/>
        </w:rPr>
        <w:fldChar w:fldCharType="separate"/>
      </w:r>
      <w:r w:rsidR="00E5454F">
        <w:rPr>
          <w:rFonts w:ascii="Times New Roman" w:hAnsi="Times New Roman" w:cs="Times New Roman"/>
        </w:rPr>
        <w:t>(Szczepanska &amp; Twardowska 1999)</w:t>
      </w:r>
      <w:r w:rsidR="006C19EB" w:rsidRPr="2D8CF45F">
        <w:rPr>
          <w:rFonts w:ascii="Times New Roman" w:hAnsi="Times New Roman" w:cs="Times New Roman"/>
        </w:rPr>
        <w:fldChar w:fldCharType="end"/>
      </w:r>
      <w:r w:rsidRPr="2D8CF45F">
        <w:rPr>
          <w:rFonts w:ascii="Times New Roman" w:hAnsi="Times New Roman" w:cs="Times New Roman"/>
        </w:rPr>
        <w:t>. Similarly, coal mining in China has been associated with pollutants that affect soil, surface water, and groundwater</w:t>
      </w:r>
      <w:r w:rsidR="578DB6D3" w:rsidRPr="2D8CF45F">
        <w:rPr>
          <w:rFonts w:ascii="Times New Roman" w:hAnsi="Times New Roman" w:cs="Times New Roman"/>
        </w:rPr>
        <w:t xml:space="preserve"> </w:t>
      </w:r>
      <w:r w:rsidRPr="2D8CF45F">
        <w:rPr>
          <w:rFonts w:ascii="Times New Roman" w:hAnsi="Times New Roman" w:cs="Times New Roman"/>
        </w:rPr>
        <w:t xml:space="preserve">due to the disposal and treatment of mining waste </w:t>
      </w:r>
      <w:r w:rsidR="006C19EB"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{"citationID":"X61V1GIx","properties":{"formattedCitation":"(Bian et al. 2008)","plainCitation":"(Bian et al. 2008)","noteIndex":0},"citationItems":[{"id":"r9E9mN5c/MtlWvpU8","uris":["http://zotero.org/users/14468226/items/4TKIURDC"],"itemData":{"id":6985,"type":"article-journal","abstract":"In China, coal mining wastes have traditionally been dumped in cone-shaped heaps that have the potential to pollute air, soil and water environments and landscapes through dust generation, leachate production, self-ignition and as a consequence of an absence of vegetation cover. Since 1980s, the disposal technique for coal mining wastes has been changing and in many instances the wastes are now transported directly to subsided land as a fill to enable the reuse of that land. Thus, today, both coal mining waste dumps from the past and filled subsided lands are in existence. However, the comparative impacts of these different disposal techniques on the environment and farmland productivity have not been studied in detail. Using Dongtan (DT), Nantun (NT) and Xinglongzhuang (XLZ) coal mines as examples, the components of coal mining wastes and their potential pollution contribution to soil, surface water and ground water are tested in-situ. The results show that contaminants are released after self-ignition and weathering of coal mining wastes, but they are not above the allowable environmental standards. However, despite these findings, more and closer attention needs to be paid to the mobility, transportation and accumulation of these contaminants in the environment over time.","container-title":"Environmental Geology","DOI":"10.1007/s00254-008-1537-0","ISSN":"1432-0495","issue":"3","language":"En","license":"2008 Springer-Verlag","note":"publisher: Springer","page":"625-634","source":"link.springer.com","title":"The impact of disposal and treatment of coal mining wastes on environment and farmland","volume":"58","author":[{"family":"Bian","given":"Zhengfu"},{"family":"Dong","given":"Jihong"},{"family":"Lei","given":"Shaogang"},{"family":"Leng","given":"Hailong"},{"family":"Mu","given":"Shouguo"},{"family":"Wang","given":"Hui"}],"issued":{"date-parts":[["2008",10,1]]}}}],"schema":"https://github.com/citation-style-language/schema/raw/master/csl-citation.json"} </w:instrText>
      </w:r>
      <w:r w:rsidR="006C19EB" w:rsidRPr="2D8CF45F">
        <w:rPr>
          <w:rFonts w:ascii="Times New Roman" w:hAnsi="Times New Roman" w:cs="Times New Roman"/>
        </w:rPr>
        <w:fldChar w:fldCharType="separate"/>
      </w:r>
      <w:r w:rsidR="00E5454F">
        <w:rPr>
          <w:rFonts w:ascii="Times New Roman" w:hAnsi="Times New Roman" w:cs="Times New Roman"/>
        </w:rPr>
        <w:t>(Bian et al. 2008)</w:t>
      </w:r>
      <w:r w:rsidR="006C19EB" w:rsidRPr="2D8CF45F">
        <w:rPr>
          <w:rFonts w:ascii="Times New Roman" w:hAnsi="Times New Roman" w:cs="Times New Roman"/>
        </w:rPr>
        <w:fldChar w:fldCharType="end"/>
      </w:r>
      <w:r w:rsidR="5B6F745F" w:rsidRPr="2D8CF45F">
        <w:rPr>
          <w:rFonts w:ascii="Times New Roman" w:hAnsi="Times New Roman" w:cs="Times New Roman"/>
        </w:rPr>
        <w:t>.</w:t>
      </w:r>
      <w:r w:rsidR="00650070">
        <w:rPr>
          <w:rFonts w:ascii="Times New Roman" w:hAnsi="Times New Roman" w:cs="Times New Roman"/>
        </w:rPr>
        <w:t xml:space="preserve"> </w:t>
      </w:r>
      <w:r w:rsidRPr="2D8CF45F">
        <w:rPr>
          <w:rFonts w:ascii="Times New Roman" w:hAnsi="Times New Roman" w:cs="Times New Roman"/>
        </w:rPr>
        <w:t>The impact extends to water resources, where mine water discharge can be acidic or neutral</w:t>
      </w:r>
      <w:r w:rsidR="009B2445">
        <w:rPr>
          <w:rFonts w:ascii="Times New Roman" w:hAnsi="Times New Roman" w:cs="Times New Roman"/>
        </w:rPr>
        <w:t>,</w:t>
      </w:r>
      <w:r w:rsidRPr="2D8CF45F">
        <w:rPr>
          <w:rFonts w:ascii="Times New Roman" w:hAnsi="Times New Roman" w:cs="Times New Roman"/>
        </w:rPr>
        <w:t xml:space="preserve"> depending on the pyrite content of the coal. Acid mine drainage is a particular concern as it lowers </w:t>
      </w:r>
      <w:r w:rsidR="007F0EF0">
        <w:rPr>
          <w:rFonts w:ascii="Times New Roman" w:hAnsi="Times New Roman" w:cs="Times New Roman"/>
        </w:rPr>
        <w:t xml:space="preserve">the </w:t>
      </w:r>
      <w:r w:rsidRPr="2D8CF45F">
        <w:rPr>
          <w:rFonts w:ascii="Times New Roman" w:hAnsi="Times New Roman" w:cs="Times New Roman"/>
        </w:rPr>
        <w:t xml:space="preserve">pH and increases </w:t>
      </w:r>
      <w:r w:rsidR="007F0EF0">
        <w:rPr>
          <w:rFonts w:ascii="Times New Roman" w:hAnsi="Times New Roman" w:cs="Times New Roman"/>
        </w:rPr>
        <w:t xml:space="preserve">the </w:t>
      </w:r>
      <w:r w:rsidRPr="2D8CF45F">
        <w:rPr>
          <w:rFonts w:ascii="Times New Roman" w:hAnsi="Times New Roman" w:cs="Times New Roman"/>
        </w:rPr>
        <w:t xml:space="preserve">concentrations of suspended solids and heavy metals, affecting water quality </w:t>
      </w:r>
      <w:r w:rsidR="006C19EB"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{"citationID":"wDWnjefF","properties":{"formattedCitation":"(Tiwary 2001)","plainCitation":"(Tiwary 2001)","noteIndex":0},"citationItems":[{"id":"r9E9mN5c/X5fxcDmH","uris":["http://zotero.org/users/14468226/items/P9JHT6DH"],"itemData":{"id":6959,"type":"article-journal","abstract":"Coal mining is one of the core industries that contribute to the economic development of a country but deteriorate theenvironment. Being the primary source of energy coal has becomeessential to meet the energy demand of a country. It isexcavated by both opencast and underground mining methods andaffects the environment, especially water resources, by discharginghuge amounts of mine water. The mine water may be acidic orneutral depending upon the pyrite content in the coal asinorganic impurities. Acid mine drainage occurs in those mines in which sulphur content is found in the range of 1–5% in the form of Pyrite (FeS2). It degrades the water qualityof the region in terms of lowering the pH of the surrounding water resources and increasing the level of total suspended solids, total dissolved solids and some heavy metals. In non acidic mines, water quality shows high hardness, TSS and bacterial contaminants. The leachate water from overburden dump are found enriched in metal concentration especially Fe, Cu, Mn and Ni except in one of the clayey dumps. High values ofhardness of mine water reduces it's utility in domestic purposes.The article illustrates the quality of acidic and non acidic minewater and leachate characteristics of opencast coal mining OBdumps. Pollutants such as TSS, TDS, oil and grease and heavy metalare found in the coal mining waste effluents. Management ofthese liquid waste at the primary level and secondary level havealso been suggested to control the pollution level at the source.","container-title":"Water, Air, and Soil Pollution","DOI":"10.1023/A:1012083519667","ISSN":"1573-2932","issue":"1","language":"En","license":"2001 Kluwer Academic Publishers","note":"publisher: Springer","page":"185-199","source":"link.springer.com","title":"Environmental Impact of Coal Mining on Water Regime and Its Management","volume":"132","author":[{"family":"Tiwary","given":"R. K."}],"issued":{"date-parts":[["2001",11]]}}}],"schema":"https://github.com/citation-style-language/schema/raw/master/csl-citation.json"} </w:instrText>
      </w:r>
      <w:r w:rsidR="006C19EB" w:rsidRPr="2D8CF45F">
        <w:rPr>
          <w:rFonts w:ascii="Times New Roman" w:hAnsi="Times New Roman" w:cs="Times New Roman"/>
        </w:rPr>
        <w:fldChar w:fldCharType="separate"/>
      </w:r>
      <w:r w:rsidR="00E5454F">
        <w:rPr>
          <w:rFonts w:ascii="Times New Roman" w:hAnsi="Times New Roman" w:cs="Times New Roman"/>
        </w:rPr>
        <w:t>(Tiwary 2001)</w:t>
      </w:r>
      <w:r w:rsidR="006C19EB" w:rsidRPr="2D8CF45F">
        <w:rPr>
          <w:rFonts w:ascii="Times New Roman" w:hAnsi="Times New Roman" w:cs="Times New Roman"/>
        </w:rPr>
        <w:fldChar w:fldCharType="end"/>
      </w:r>
      <w:r w:rsidR="3174F324" w:rsidRPr="2D8CF45F">
        <w:rPr>
          <w:rFonts w:ascii="Times New Roman" w:hAnsi="Times New Roman" w:cs="Times New Roman"/>
        </w:rPr>
        <w:t>.</w:t>
      </w:r>
      <w:r w:rsidRPr="2D8CF45F">
        <w:rPr>
          <w:rFonts w:ascii="Times New Roman" w:hAnsi="Times New Roman" w:cs="Times New Roman"/>
        </w:rPr>
        <w:t xml:space="preserve"> Surface mining releases toxic compounds including polycyclic aromatic hydrocarbons (PAHs), heavy metals, and radioactive elements, which can adverse</w:t>
      </w:r>
      <w:r w:rsidR="0B74ACCB" w:rsidRPr="2D8CF45F">
        <w:rPr>
          <w:rFonts w:ascii="Times New Roman" w:hAnsi="Times New Roman" w:cs="Times New Roman"/>
        </w:rPr>
        <w:t>ly</w:t>
      </w:r>
      <w:r w:rsidRPr="2D8CF45F">
        <w:rPr>
          <w:rFonts w:ascii="Times New Roman" w:hAnsi="Times New Roman" w:cs="Times New Roman"/>
        </w:rPr>
        <w:t xml:space="preserve"> </w:t>
      </w:r>
      <w:r w:rsidR="0B74ACCB" w:rsidRPr="2D8CF45F">
        <w:rPr>
          <w:rFonts w:ascii="Times New Roman" w:hAnsi="Times New Roman" w:cs="Times New Roman"/>
        </w:rPr>
        <w:t>a</w:t>
      </w:r>
      <w:r w:rsidRPr="2D8CF45F">
        <w:rPr>
          <w:rFonts w:ascii="Times New Roman" w:hAnsi="Times New Roman" w:cs="Times New Roman"/>
        </w:rPr>
        <w:t>ffect ecosystems and human health by disrupting soil and water habitats</w:t>
      </w:r>
      <w:r w:rsidR="3174F324" w:rsidRPr="2D8CF45F">
        <w:rPr>
          <w:rFonts w:ascii="Times New Roman" w:hAnsi="Times New Roman" w:cs="Times New Roman"/>
        </w:rPr>
        <w:t xml:space="preserve"> </w:t>
      </w:r>
      <w:r w:rsidR="006C19EB" w:rsidRPr="00E5454F">
        <w:rPr>
          <w:rFonts w:ascii="Times New Roman" w:hAnsi="Times New Roman" w:cs="Times New Roman"/>
          <w:highlight w:val="yellow"/>
        </w:rPr>
        <w:fldChar w:fldCharType="begin"/>
      </w:r>
      <w:r w:rsidR="00E5454F" w:rsidRPr="00E5454F">
        <w:rPr>
          <w:rFonts w:ascii="Times New Roman" w:hAnsi="Times New Roman" w:cs="Times New Roman"/>
          <w:highlight w:val="yellow"/>
        </w:rPr>
        <w:instrText xml:space="preserve"> ADDIN ZOTERO_ITEM CSL_CITATION {"citationID":"vHjRISvm","properties":{"formattedCitation":"(Rouhani et al. 2023, Jayasval et al. 2025)","plainCitation":"(Rouhani et al. 2023, Jayasval et al. 2025)","noteIndex":0},"citationItems":[{"id":7905,"uris":["http://zotero.org/users/7192077/items/DCQX5FC5"],"itemData":{"id":7905,"type":"article-journal","abstract":"Coal remains a very important source of energy for the global economy. Surface and underground coal mining are the two major methods of coal extraction, and both have benefits and drawbacks. Surface coal mining can have a variety of environmental impacts including ecosystem losses, landscape alteration, soil destruction, and changes to surface and groundwater quality and quantity. In addition, toxic compounds such as heavy metals, radioactive elements, polycyclic aromatic hydrocarbons (PAHs), and other organic contaminants are released in the environment, ultimately affecting the health of ecosystems and the general population. Underground mining has large impacts on underground water supplies and water quality, but generally has less visual surface impacts such as leaving waste and tailings on the surface and subsidence problems. In response to the concern about these environmental issues, many strategies have been developed by scientists and practitioners to minimize land degradation and soil pollution due to mining. Reclamation laws passed in numerous countries during the past 50 years have instituted practices to reduce the impacts of soil pollution including burying toxic materials, saving and replacing topsoil, and vegetating the land surface. While modern mining practices have decreased the environmental impacts, many sites are inadequately reclaimed and present long-lasting soil pollution problems. The current review summarizes progress in comprehending (1) coal mining impacts on soil pollution, (2) the potential risks of soil pollution associated with coal mining, and (3) different types of strategies for remediating these contaminated soils. Research and prospective directions of soil pollution in coal mining regions include refinements in assessing pollutant levels, the use of biochars and other amendments, phytoremediation of contaminated soils, and the release of toxic elements such as mercury and thallium.","container-title":"Minerals","DOI":"10.3390/min13081064","ISSN":"2075-163X","issue":"8","journalAbbreviation":"Minerals","language":"en","license":"https://creativecommons.org/licenses/by/4.0/","page":"1064","source":"DOI.org (Crossref)","title":"An Overview of Soil Pollution and Remediation Strategies in Coal Mining Regions","URL":"https://www.mdpi.com/2075-163X/13/8/1064","volume":"13","author":[{"family":"Rouhani","given":"Abdulmannan"},{"family":"Skousen","given":"Jeff"},{"family":"Tack","given":"Filip M. G."}],"accessed":{"date-parts":[["2025",9,6]]},"issued":{"date-parts":[["2023",8,11]]}}},{"id":8046,"uris":["http://zotero.org/users/7192077/items/2C8KALF2"],"itemData":{"id":8046,"type":"article-journal","container-title":"Asian Journal of Research in Zoology","DOI":"10.9734/ajriz/2025/v8i3210","ISSN":"2582-466X","issue":"3","language":"en","page":"97-121","source":"journalajriz.com","title":"A Comprehensive Review on Cadmium Toxicity in Freshwater Fish: Physiological, Ecological and Health Implications","title-short":"A Comprehensive Review on Cadmium Toxicity in Freshwater Fish","URL":"https://journalajriz.com/index.php/AJRIZ/article/view/210","volume":"8","author":[{"family":"Jayasval","given":"Akash"},{"family":"Pandey","given":"Tushar"},{"family":"Kumar","given":"Anand"}],"accessed":{"date-parts":[["2025",10,16]]},"issued":{"date-parts":[["2025",8,27]]}}}],"schema":"https://github.com/citation-style-language/schema/raw/master/csl-citation.json"} </w:instrText>
      </w:r>
      <w:r w:rsidR="006C19EB" w:rsidRPr="00E5454F">
        <w:rPr>
          <w:rFonts w:ascii="Times New Roman" w:hAnsi="Times New Roman" w:cs="Times New Roman"/>
          <w:highlight w:val="yellow"/>
        </w:rPr>
        <w:fldChar w:fldCharType="separate"/>
      </w:r>
      <w:r w:rsidR="00E5454F" w:rsidRPr="00E5454F">
        <w:rPr>
          <w:rFonts w:ascii="Times New Roman" w:hAnsi="Times New Roman" w:cs="Times New Roman"/>
          <w:highlight w:val="yellow"/>
        </w:rPr>
        <w:t>(Rouhani et al. 2023, Jayasval et al. 2025)</w:t>
      </w:r>
      <w:r w:rsidR="006C19EB" w:rsidRPr="00E5454F">
        <w:rPr>
          <w:rFonts w:ascii="Times New Roman" w:hAnsi="Times New Roman" w:cs="Times New Roman"/>
          <w:highlight w:val="yellow"/>
        </w:rPr>
        <w:fldChar w:fldCharType="end"/>
      </w:r>
      <w:r w:rsidRPr="00E5454F">
        <w:rPr>
          <w:rFonts w:ascii="Times New Roman" w:hAnsi="Times New Roman" w:cs="Times New Roman"/>
          <w:highlight w:val="yellow"/>
        </w:rPr>
        <w:t>.</w:t>
      </w:r>
    </w:p>
    <w:p w14:paraId="5212F694" w14:textId="15A5F5A5" w:rsidR="00645957" w:rsidRPr="000A1EE6" w:rsidRDefault="007D5212" w:rsidP="000A1EE6">
      <w:pPr>
        <w:spacing w:line="480" w:lineRule="auto"/>
        <w:jc w:val="both"/>
        <w:rPr>
          <w:rFonts w:ascii="Times New Roman" w:hAnsi="Times New Roman" w:cs="Times New Roman"/>
        </w:rPr>
      </w:pPr>
      <w:r w:rsidRPr="000A1EE6">
        <w:rPr>
          <w:rFonts w:ascii="Times New Roman" w:hAnsi="Times New Roman" w:cs="Times New Roman"/>
        </w:rPr>
        <w:lastRenderedPageBreak/>
        <w:t xml:space="preserve">Among </w:t>
      </w:r>
      <w:r w:rsidR="009B2445">
        <w:rPr>
          <w:rFonts w:ascii="Times New Roman" w:hAnsi="Times New Roman" w:cs="Times New Roman"/>
        </w:rPr>
        <w:t xml:space="preserve">the </w:t>
      </w:r>
      <w:r w:rsidRPr="000A1EE6">
        <w:rPr>
          <w:rFonts w:ascii="Times New Roman" w:hAnsi="Times New Roman" w:cs="Times New Roman"/>
        </w:rPr>
        <w:t xml:space="preserve">environmental contaminants, PAHs are known for their carcinogenic properties. PAHs are generated from coal combustion and present as unburned coal particulates, posing significant environmental and health risks in coal mining regions </w:t>
      </w:r>
      <w:r w:rsidR="009D4ADD">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{"citationID":"F3lyQXWN","properties":{"formattedCitation":"(Liu et al. 2006, Jeyavani et al. 2023)","plainCitation":"(Liu et al. 2006, Jeyavani et al. 2023)","noteIndex":0},"citationItems":[{"id":"r9E9mN5c/ByIYHdN3","uris":["http://zotero.org/users/14468226/items/L8E7I6QU"],"itemData":{"id":6975,"type":"chapter","abstract":"Coal is a complex heterogeneous mixture of organic and inorganic constituents of allothigenic or authigenic origin. Besides major (&amp;gt;1%) and minor (0.1%&amp;#8211;l%) elements in coal, elements such as As, Se, and Hg occur commonly as trace elements (&amp;lt;l,000ppm)...","language":"en","note":"DOI: 10.1007/978-0-387-71724-1_1","source":"link.springer.com","title":"Polycyclic Aromatic Hydrocarbons (PAHs) from Coal Combustion: Emissions, Analysis, and Toxicology","title-short":"Polycyclic Aromatic Hydrocarbons (PAHs) from Coal Combustion","URL":"https://link.springer.com/chapter/10.1007/978-0-387-71724-1_1","author":[{"family":"Liu","given":"Guijian"},{"family":"Niu","given":"Zhiyuan"},{"family":"Van Niekerk","given":"Daniel"},{"family":"Xue","given":"Jian"},{"family":"Zheng","given":"Liugen"}],"accessed":{"date-parts":[["2025",9,18]]},"issued":{"date-parts":[["2006",7,8]]}}},{"id":8048,"uris":["http://zotero.org/users/7192077/items/B2ZKUKXL"],"itemData":{"id":8048,"type":"article-journal","abstract":"In recent years, polypropylene microplastic has persisted in freshwater ecosystems and biota, forming ever-growing threats. This research aimed to prepare polypropylene microplastics and evaluate their toxicity to the filter feeder Oreochromis mossambicus. In this research, fish were given a dietary supplement of polypropylene microplastics at 100, 500, and 1000 mg/kg for acute (96 h) and sub-acute (14 days) durations to assess toxic effects on liver tissues. FTIR results revealed the presence of polypropylene microplastic in their digestion matter. The ingestion of microplastics in O. mossambicus led to fluctuations in homeostasis, an upsurge in reactive oxygen species (ROS) levels, an alteration in antioxidant parameters, including superoxide dismutase (SOD), catalase (CAT), glutathione-S-transferase (GST), and glutathione peroxidase (GPx); a promotion in the oxidation of lipid molecules; and a denaturation in the neurotransmitter enzyme acetylcholinesterase (AChE). Our data indicated that sustained exposure to microplastics (14 days) produced a more severe threat than acute exposure (96 h). In addition, higher apoptosis, DNA damage (genotoxicity), and histological changes were found in the liver tissues of the sub-acute (14 days) microplastics-treated groups. This research indicated that the constant ingestion of polypropylene microplastics is detrimental to freshwater environments and leads to ecological threats.","container-title":"Toxics","DOI":"10.3390/toxics11030282","ISSN":"2305-6304","issue":"3","journalAbbreviation":"Toxics","language":"eng","note":"PMID: 36977047\nPMCID: PMC10052786","page":"282","source":"PubMed","title":"Biochemical, Genotoxic and Histological Implications of Polypropylene Microplastics on Freshwater Fish Oreochromis mossambicus: An Aquatic Eco-Toxicological Assessment","title-short":"Biochemical, Genotoxic and Histological Implications of Polypropylene Microplastics on Freshwater Fish Oreochromis mossambicus","volume":"11","author":[{"family":"Jeyavani","given":"Jeyaraj"},{"family":"Sibiya","given":"Ashokkumar"},{"family":"Stalin","given":"Thambusamy"},{"family":"Vigneshkumar","given":"Ganesan"},{"family":"Al-Ghanim","given":"Khalid A."},{"family":"Riaz","given":"Mian Nadeem"},{"family":"Govindarajan","given":"Marimuthu"},{"family":"Vaseeharan","given":"Baskaralingam"}],"issued":{"date-parts":[["2023",3,19]]}}}],"schema":"https://github.com/citation-style-language/schema/raw/master/csl-citation.json"} </w:instrText>
      </w:r>
      <w:r w:rsidR="009D4ADD">
        <w:rPr>
          <w:rFonts w:ascii="Times New Roman" w:hAnsi="Times New Roman" w:cs="Times New Roman"/>
        </w:rPr>
        <w:fldChar w:fldCharType="separate"/>
      </w:r>
      <w:r w:rsidR="00E5454F">
        <w:rPr>
          <w:rFonts w:ascii="Times New Roman" w:hAnsi="Times New Roman" w:cs="Times New Roman"/>
          <w:highlight w:val="yellow"/>
        </w:rPr>
        <w:t>(Liu et al. 2006, Jeyavani et al. 2023)</w:t>
      </w:r>
      <w:r w:rsidR="009D4ADD">
        <w:rPr>
          <w:rFonts w:ascii="Times New Roman" w:hAnsi="Times New Roman" w:cs="Times New Roman"/>
        </w:rPr>
        <w:fldChar w:fldCharType="end"/>
      </w:r>
      <w:r w:rsidR="0047086C">
        <w:rPr>
          <w:rFonts w:ascii="Times New Roman" w:hAnsi="Times New Roman" w:cs="Times New Roman"/>
        </w:rPr>
        <w:t>.</w:t>
      </w:r>
      <w:r w:rsidR="00BF1971">
        <w:rPr>
          <w:rFonts w:ascii="Times New Roman" w:hAnsi="Times New Roman" w:cs="Times New Roman"/>
        </w:rPr>
        <w:t xml:space="preserve"> </w:t>
      </w:r>
      <w:r w:rsidR="00573D62" w:rsidRPr="000A1EE6">
        <w:rPr>
          <w:rFonts w:ascii="Times New Roman" w:hAnsi="Times New Roman" w:cs="Times New Roman"/>
        </w:rPr>
        <w:t>S</w:t>
      </w:r>
      <w:r w:rsidRPr="000A1EE6">
        <w:rPr>
          <w:rFonts w:ascii="Times New Roman" w:hAnsi="Times New Roman" w:cs="Times New Roman"/>
        </w:rPr>
        <w:t>tudies have shown high levels of PAH contamination in soil, water, and air</w:t>
      </w:r>
      <w:r w:rsidR="00EF4273" w:rsidRPr="000A1EE6">
        <w:rPr>
          <w:rFonts w:ascii="Times New Roman" w:hAnsi="Times New Roman" w:cs="Times New Roman"/>
        </w:rPr>
        <w:t xml:space="preserve"> in </w:t>
      </w:r>
      <w:r w:rsidR="00CC3159">
        <w:rPr>
          <w:rFonts w:ascii="Times New Roman" w:hAnsi="Times New Roman" w:cs="Times New Roman"/>
        </w:rPr>
        <w:t>coal-mining</w:t>
      </w:r>
      <w:r w:rsidR="00EF4273" w:rsidRPr="000A1EE6">
        <w:rPr>
          <w:rFonts w:ascii="Times New Roman" w:hAnsi="Times New Roman" w:cs="Times New Roman"/>
        </w:rPr>
        <w:t xml:space="preserve"> environments</w:t>
      </w:r>
      <w:r w:rsidRPr="000A1EE6">
        <w:rPr>
          <w:rFonts w:ascii="Times New Roman" w:hAnsi="Times New Roman" w:cs="Times New Roman"/>
        </w:rPr>
        <w:t>. For instance,</w:t>
      </w:r>
      <w:r w:rsidR="007F6FB3">
        <w:rPr>
          <w:rFonts w:ascii="Times New Roman" w:hAnsi="Times New Roman" w:cs="Times New Roman"/>
        </w:rPr>
        <w:t xml:space="preserve"> </w:t>
      </w:r>
      <w:r w:rsidRPr="000A1EE6">
        <w:rPr>
          <w:rFonts w:ascii="Times New Roman" w:hAnsi="Times New Roman" w:cs="Times New Roman"/>
        </w:rPr>
        <w:t xml:space="preserve">soil in coal mining zones tends to contain significantly higher concentrations of PAHs </w:t>
      </w:r>
      <w:r w:rsidR="006A6D77" w:rsidRPr="000A1EE6">
        <w:rPr>
          <w:rFonts w:ascii="Times New Roman" w:hAnsi="Times New Roman" w:cs="Times New Roman"/>
        </w:rPr>
        <w:t xml:space="preserve">than </w:t>
      </w:r>
      <w:r w:rsidRPr="000A1EE6">
        <w:rPr>
          <w:rFonts w:ascii="Times New Roman" w:hAnsi="Times New Roman" w:cs="Times New Roman"/>
        </w:rPr>
        <w:t>surrounding agricultural or lake bank soils. This</w:t>
      </w:r>
      <w:r w:rsidR="59F7B704" w:rsidRPr="000A1EE6">
        <w:rPr>
          <w:rFonts w:ascii="Times New Roman" w:hAnsi="Times New Roman" w:cs="Times New Roman"/>
        </w:rPr>
        <w:t xml:space="preserve"> </w:t>
      </w:r>
      <w:r w:rsidRPr="000A1EE6">
        <w:rPr>
          <w:rFonts w:ascii="Times New Roman" w:hAnsi="Times New Roman" w:cs="Times New Roman"/>
        </w:rPr>
        <w:t xml:space="preserve">contamination stems from </w:t>
      </w:r>
      <w:r w:rsidR="0090194A" w:rsidDel="00D722DE">
        <w:rPr>
          <w:rFonts w:ascii="Times New Roman" w:hAnsi="Times New Roman" w:cs="Times New Roman"/>
        </w:rPr>
        <w:t>a</w:t>
      </w:r>
      <w:r w:rsidRPr="000A1EE6">
        <w:rPr>
          <w:rFonts w:ascii="Times New Roman" w:hAnsi="Times New Roman" w:cs="Times New Roman"/>
        </w:rPr>
        <w:t xml:space="preserve"> combination of coal combustion and other anthropogenic activities associated with mining operations </w:t>
      </w:r>
      <w:r w:rsidR="128FC640" w:rsidRPr="2C8B12E0">
        <w:rPr>
          <w:rFonts w:ascii="Times New Roman" w:hAnsi="Times New Roman" w:cs="Times New Roman"/>
        </w:rPr>
        <w:t xml:space="preserve"> </w:t>
      </w:r>
      <w:r w:rsidRPr="2C8B12E0">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{"citationID":"NFUElgHH","properties":{"formattedCitation":"(Liu et al. 2006)","plainCitation":"(Liu et al. 2006)","noteIndex":0},"citationItems":[{"id":"r9E9mN5c/ByIYHdN3","uris":["http://zotero.org/users/14468226/items/L8E7I6QU"],"itemData":{"id":"Hz8wFqtM/bx2D9wJ1","type":"chapter","abstract":"Coal is a complex heterogeneous mixture of organic and inorganic constituents of allothigenic or authigenic origin. Besides major (&amp;gt;1%) and minor (0.1%&amp;#8211;l%) elements in coal, elements such as As, Se, and Hg occur commonly as trace elements (&amp;lt;l,000ppm)...","language":"en","note":"DOI: 10.1007/978-0-387-71724-1_1","source":"link.springer.com","title":"Polycyclic Aromatic Hydrocarbons (PAHs) from Coal Combustion: Emissions, Analysis, and Toxicology","title-short":"Polycyclic Aromatic Hydrocarbons (PAHs) from Coal Combustion","URL":"https://link.springer.com/chapter/10.1007/978-0-387-71724-1_1","author":[{"family":"Liu","given":"Guijian"},{"family":"Niu","given":"Zhiyuan"},{"family":"Van Niekerk","given":"Daniel"},{"family":"Xue","given":"Jian"},{"family":"Zheng","given":"Liugen"}],"accessed":{"date-parts":[["2025",9,18]]},"issued":{"date-parts":[["2006",7,8]]}}}],"schema":"https://github.com/citation-style-language/schema/raw/master/csl-citation.json"} </w:instrText>
      </w:r>
      <w:r w:rsidRPr="2C8B12E0">
        <w:rPr>
          <w:rFonts w:ascii="Times New Roman" w:hAnsi="Times New Roman" w:cs="Times New Roman"/>
        </w:rPr>
        <w:fldChar w:fldCharType="separate"/>
      </w:r>
      <w:r w:rsidR="00E5454F">
        <w:rPr>
          <w:rFonts w:ascii="Times New Roman" w:hAnsi="Times New Roman" w:cs="Times New Roman"/>
          <w:noProof/>
        </w:rPr>
        <w:t>(Liu et al. 2006)</w:t>
      </w:r>
      <w:r w:rsidRPr="2C8B12E0">
        <w:rPr>
          <w:rFonts w:ascii="Times New Roman" w:hAnsi="Times New Roman" w:cs="Times New Roman"/>
        </w:rPr>
        <w:fldChar w:fldCharType="end"/>
      </w:r>
      <w:r w:rsidR="128FC640" w:rsidRPr="2C8B12E0">
        <w:rPr>
          <w:rFonts w:ascii="Times New Roman" w:hAnsi="Times New Roman" w:cs="Times New Roman"/>
        </w:rPr>
        <w:t>.</w:t>
      </w:r>
      <w:r w:rsidRPr="000A1EE6">
        <w:rPr>
          <w:rFonts w:ascii="Times New Roman" w:hAnsi="Times New Roman" w:cs="Times New Roman"/>
        </w:rPr>
        <w:t xml:space="preserve"> </w:t>
      </w:r>
      <w:bookmarkStart w:id="0" w:name="OLE_LINK1"/>
      <w:r w:rsidRPr="00E42ABD">
        <w:rPr>
          <w:rFonts w:ascii="Times New Roman" w:hAnsi="Times New Roman" w:cs="Times New Roman"/>
          <w:highlight w:val="yellow"/>
        </w:rPr>
        <w:t xml:space="preserve">Similarly, underground mining environments </w:t>
      </w:r>
      <w:r w:rsidR="00E42ABD" w:rsidRPr="00E42ABD">
        <w:rPr>
          <w:rFonts w:ascii="Times New Roman" w:hAnsi="Times New Roman" w:cs="Times New Roman"/>
          <w:highlight w:val="yellow"/>
        </w:rPr>
        <w:t xml:space="preserve">often exhibit </w:t>
      </w:r>
      <w:r w:rsidRPr="00E42ABD">
        <w:rPr>
          <w:rFonts w:ascii="Times New Roman" w:hAnsi="Times New Roman" w:cs="Times New Roman"/>
          <w:highlight w:val="yellow"/>
        </w:rPr>
        <w:t>elevated levels of PAHs in water and</w:t>
      </w:r>
      <w:r w:rsidR="17D08662" w:rsidRPr="00E42ABD">
        <w:rPr>
          <w:rFonts w:ascii="Times New Roman" w:hAnsi="Times New Roman" w:cs="Times New Roman"/>
          <w:highlight w:val="yellow"/>
        </w:rPr>
        <w:t xml:space="preserve"> sludge,</w:t>
      </w:r>
      <w:r w:rsidR="00E42ABD" w:rsidRPr="00E42ABD">
        <w:rPr>
          <w:rFonts w:ascii="Times New Roman" w:hAnsi="Times New Roman" w:cs="Times New Roman"/>
          <w:highlight w:val="yellow"/>
        </w:rPr>
        <w:t xml:space="preserve"> posing </w:t>
      </w:r>
      <w:r w:rsidRPr="00E42ABD">
        <w:rPr>
          <w:rFonts w:ascii="Times New Roman" w:hAnsi="Times New Roman" w:cs="Times New Roman"/>
          <w:highlight w:val="yellow"/>
        </w:rPr>
        <w:t>ecological risks</w:t>
      </w:r>
      <w:r w:rsidR="00E42ABD" w:rsidRPr="00E42ABD">
        <w:rPr>
          <w:rFonts w:ascii="Times New Roman" w:hAnsi="Times New Roman" w:cs="Times New Roman"/>
          <w:highlight w:val="yellow"/>
        </w:rPr>
        <w:t xml:space="preserve"> and potential </w:t>
      </w:r>
      <w:r w:rsidRPr="00E42ABD">
        <w:rPr>
          <w:rFonts w:ascii="Times New Roman" w:hAnsi="Times New Roman" w:cs="Times New Roman"/>
          <w:highlight w:val="yellow"/>
        </w:rPr>
        <w:t xml:space="preserve">threats to </w:t>
      </w:r>
      <w:r w:rsidR="00E42ABD" w:rsidRPr="00E42ABD">
        <w:rPr>
          <w:rFonts w:ascii="Times New Roman" w:hAnsi="Times New Roman" w:cs="Times New Roman"/>
          <w:highlight w:val="yellow"/>
        </w:rPr>
        <w:t xml:space="preserve">both </w:t>
      </w:r>
      <w:r w:rsidRPr="00E42ABD">
        <w:rPr>
          <w:rFonts w:ascii="Times New Roman" w:hAnsi="Times New Roman" w:cs="Times New Roman"/>
          <w:highlight w:val="yellow"/>
        </w:rPr>
        <w:t xml:space="preserve">groundwater and surface </w:t>
      </w:r>
      <w:r w:rsidR="00DC4EDB" w:rsidRPr="00E42ABD">
        <w:rPr>
          <w:rFonts w:ascii="Times New Roman" w:hAnsi="Times New Roman" w:cs="Times New Roman"/>
          <w:highlight w:val="yellow"/>
        </w:rPr>
        <w:t>water</w:t>
      </w:r>
      <w:r w:rsidRPr="00E42ABD">
        <w:rPr>
          <w:rFonts w:ascii="Times New Roman" w:hAnsi="Times New Roman" w:cs="Times New Roman"/>
          <w:highlight w:val="yellow"/>
        </w:rPr>
        <w:t xml:space="preserve"> </w:t>
      </w:r>
      <w:bookmarkEnd w:id="0"/>
      <w:r w:rsidRPr="00DB1E46">
        <w:rPr>
          <w:rFonts w:ascii="Times New Roman" w:hAnsi="Times New Roman" w:cs="Times New Roman"/>
        </w:rPr>
        <w:fldChar w:fldCharType="begin"/>
      </w:r>
      <w:r w:rsidR="00E5454F" w:rsidRPr="00DB1E46">
        <w:rPr>
          <w:rFonts w:ascii="Times New Roman" w:hAnsi="Times New Roman" w:cs="Times New Roman"/>
        </w:rPr>
        <w:instrText xml:space="preserve"> ADDIN ZOTERO_ITEM CSL_CITATION {"citationID":"aQJKterc","properties":{"formattedCitation":"(Chen et al. 2019)","plainCitation":"(Chen et al. 2019)","noteIndex":0},"citationItems":[{"id":"r9E9mN5c/94FBGxVZ","uris":["http://zotero.org/users/14468226/items/GJYD9EGT"],"itemData":{"id":6556,"type":"article-journal","abstract":"Polycyclic aromatic hydrocarbons (PAHs) in underground mining environment pose serious threats to groundwater and surface ecological environment with the migration and flow of mine water. We collected 26 underground samples from six mines of Xuzhou, including coal, mine water, and underground sludge, to measure the 16 PAHs, aiming to investigate the contamination level, distribution, and possible sources and to estimate the ecological risks of PAHs. Results showed that the concentrations of 16-PAHs (mean value) in the coal, mine water, and underground sludge were 15.87 μg/g, 0.82 μg/L, and 10.63 μg/g, respectively. There was a significant difference in the number of rings between different coals, and 2-3 ring PAHs occupied the majority of PAHs in mine water, which was determined by the Kow of PAHs. Coal and underground sludge contained more carcinogenic PAHs than mine water. And the main carcinogenic PAHs in coal were BaA, BbF, and InP, and for underground sludge were BbF, CHr, and BaP. Risk quotient (RQ) was used to evaluate the ecological risk of mine drainage, showing that PAHs in mine water were generally at medium-high risk levels. This study highlights the PAHs pollution problems in underground mining environment, particularly the potential ecological risks of mine drainage in Xuzhou.","container-title":"Human and Ecological Risk Assessment: An International Journal","DOI":"10.1080/10807039.2018.1489715","ISSN":"1080-7039","issue":"6","note":"publisher: Taylor &amp; Francis\n_eprint: https://doi.org/10.1080/10807039.2018.1489715","page":"1564-1578","source":"Taylor and Francis+NEJM","title":"Distribution characteristics and ecological risk assessment of polycyclic aromatic hydrocarbons (PAHs) in underground coal mining environment of Xuzhou","volume":"25","author":[{"family":"Chen","given":"Di"},{"family":"Feng","given":"Qiyan"},{"family":"Liang","given":"Haoqian"},{"family":"Gao","given":"Bo"},{"family":"Alam","given":"Easar"}],"issued":{"date-parts":[["2019",8,18]]}}}],"schema":"https://github.com/citation-style-language/schema/raw/master/csl-citation.json"} </w:instrText>
      </w:r>
      <w:r w:rsidRPr="00DB1E46">
        <w:rPr>
          <w:rFonts w:ascii="Times New Roman" w:hAnsi="Times New Roman" w:cs="Times New Roman"/>
        </w:rPr>
        <w:fldChar w:fldCharType="separate"/>
      </w:r>
      <w:r w:rsidR="00E5454F" w:rsidRPr="00DB1E46">
        <w:rPr>
          <w:rFonts w:ascii="Times New Roman" w:hAnsi="Times New Roman" w:cs="Times New Roman"/>
        </w:rPr>
        <w:t>(Chen et al. 2019)</w:t>
      </w:r>
      <w:r w:rsidRPr="00DB1E46">
        <w:rPr>
          <w:rFonts w:ascii="Times New Roman" w:hAnsi="Times New Roman" w:cs="Times New Roman"/>
        </w:rPr>
        <w:fldChar w:fldCharType="end"/>
      </w:r>
      <w:r w:rsidRPr="00DB1E46">
        <w:rPr>
          <w:rFonts w:ascii="Times New Roman" w:hAnsi="Times New Roman" w:cs="Times New Roman"/>
        </w:rPr>
        <w:t>.</w:t>
      </w:r>
      <w:r w:rsidRPr="000A1EE6">
        <w:rPr>
          <w:rFonts w:ascii="Times New Roman" w:hAnsi="Times New Roman" w:cs="Times New Roman"/>
        </w:rPr>
        <w:t xml:space="preserve"> Among the diverse array of PAH contaminants, benzo[</w:t>
      </w:r>
      <w:r w:rsidRPr="668D1914">
        <w:rPr>
          <w:rFonts w:ascii="Times New Roman" w:hAnsi="Times New Roman" w:cs="Times New Roman"/>
          <w:i/>
        </w:rPr>
        <w:t>a</w:t>
      </w:r>
      <w:r w:rsidRPr="000A1EE6">
        <w:rPr>
          <w:rFonts w:ascii="Times New Roman" w:hAnsi="Times New Roman" w:cs="Times New Roman"/>
        </w:rPr>
        <w:t>]pyrene (B</w:t>
      </w:r>
      <w:r w:rsidR="06CEDCD7" w:rsidRPr="000A1EE6">
        <w:rPr>
          <w:rFonts w:ascii="Times New Roman" w:hAnsi="Times New Roman" w:cs="Times New Roman"/>
        </w:rPr>
        <w:t>[</w:t>
      </w:r>
      <w:r w:rsidRPr="668D1914">
        <w:rPr>
          <w:rFonts w:ascii="Times New Roman" w:hAnsi="Times New Roman" w:cs="Times New Roman"/>
          <w:i/>
        </w:rPr>
        <w:t>a</w:t>
      </w:r>
      <w:r w:rsidR="162B685C" w:rsidRPr="000A1EE6">
        <w:rPr>
          <w:rFonts w:ascii="Times New Roman" w:hAnsi="Times New Roman" w:cs="Times New Roman"/>
        </w:rPr>
        <w:t>]</w:t>
      </w:r>
      <w:r w:rsidRPr="000A1EE6">
        <w:rPr>
          <w:rFonts w:ascii="Times New Roman" w:hAnsi="Times New Roman" w:cs="Times New Roman"/>
        </w:rPr>
        <w:t xml:space="preserve">P) is </w:t>
      </w:r>
      <w:r w:rsidR="00731DC7" w:rsidRPr="000A1EE6">
        <w:rPr>
          <w:rFonts w:ascii="Times New Roman" w:hAnsi="Times New Roman" w:cs="Times New Roman"/>
        </w:rPr>
        <w:t xml:space="preserve">often used as a model toxicant </w:t>
      </w:r>
      <w:r w:rsidR="002138E9">
        <w:rPr>
          <w:rFonts w:ascii="Times New Roman" w:hAnsi="Times New Roman" w:cs="Times New Roman"/>
        </w:rPr>
        <w:t>because of</w:t>
      </w:r>
      <w:r w:rsidR="00731DC7" w:rsidRPr="000A1EE6">
        <w:rPr>
          <w:rFonts w:ascii="Times New Roman" w:hAnsi="Times New Roman" w:cs="Times New Roman"/>
        </w:rPr>
        <w:t xml:space="preserve"> its well-documented carcinogenicity and prevalence in the environment </w:t>
      </w:r>
      <w:r w:rsidRPr="000A1EE6">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{"citationID":"OeLPZZy3","properties":{"formattedCitation":"(Negi &amp; Chaudhary 2024)","plainCitation":"(Negi &amp; Chaudhary 2024)","noteIndex":0},"citationItems":[{"id":"r9E9mN5c/cRXzvZhM","uris":["http://zotero.org/users/14468226/items/N9B2NKBG"],"itemData":{"id":6914,"type":"article-journal","abstract":"A polycyclic aromatic hydrocarbon called benzo[a]pyrene (B[a]P) is produced during incomplete burning of fuels. The most common way humans consume B[a]P is through food products, particularly grilled or smoked foods. B[a]P is also frequently detected in the sediments, soil, surface water, and air. Once bioactivated, it produces a highly reactive epoxide monomer that can create adducts by chemically reacting with biological molecules, such as DNA. B[a]P is implicated in various cancers due to its interaction with the aromatic hydrocarbon receptor (AhR). Apart from its detrimental impacts on development and reproduction, this substance also suppresses the immune system. Microbes, however, are critical to cleaning up the B[a]P-contaminated environment. This review focuses on forming B[a]P in different compartments of the environment and human surroundings, and the mechanisms responsible for its harmful effects and carcinogenic risk. This review also discusses the strategies for the deterioration of B[a]P.","container-title":"The Applied Biology &amp; Chemistry Journal","DOI":"10.52679/tabcj.2024.0007","ISSN":"2582-8789","issue":"3","language":"en","license":"Copyright (c) 2024 Karan Negi, Priya Chaudhary","page":"44-56","source":"theabcjournal.com","title":"Benzo[a]pyrene: A carcinogen, its sources, adverse effects, and preventions","title-short":"Benzo[a]pyrene","volume":"5","author":[{"family":"Negi","given":"Karan"},{"family":"Chaudhary","given":"Priya"}],"issued":{"date-parts":[["2024",9,30]]}}}],"schema":"https://github.com/citation-style-language/schema/raw/master/csl-citation.json"} </w:instrText>
      </w:r>
      <w:r w:rsidRPr="000A1EE6">
        <w:rPr>
          <w:rFonts w:ascii="Times New Roman" w:hAnsi="Times New Roman" w:cs="Times New Roman"/>
        </w:rPr>
        <w:fldChar w:fldCharType="separate"/>
      </w:r>
      <w:r w:rsidR="00E5454F">
        <w:rPr>
          <w:rFonts w:ascii="Times New Roman" w:hAnsi="Times New Roman" w:cs="Times New Roman"/>
        </w:rPr>
        <w:t>(Negi &amp; Chaudhary 2024)</w:t>
      </w:r>
      <w:r w:rsidRPr="000A1EE6">
        <w:rPr>
          <w:rFonts w:ascii="Times New Roman" w:hAnsi="Times New Roman" w:cs="Times New Roman"/>
        </w:rPr>
        <w:fldChar w:fldCharType="end"/>
      </w:r>
      <w:r w:rsidRPr="000A1EE6">
        <w:rPr>
          <w:rFonts w:ascii="Times New Roman" w:hAnsi="Times New Roman" w:cs="Times New Roman"/>
        </w:rPr>
        <w:t xml:space="preserve">. </w:t>
      </w:r>
      <w:r w:rsidR="0052212A" w:rsidRPr="000A1EE6">
        <w:rPr>
          <w:rFonts w:ascii="Times New Roman" w:hAnsi="Times New Roman" w:cs="Times New Roman"/>
        </w:rPr>
        <w:t xml:space="preserve"> </w:t>
      </w:r>
      <w:r w:rsidR="00DE6A64" w:rsidRPr="000A1EE6">
        <w:rPr>
          <w:rFonts w:ascii="Times New Roman" w:hAnsi="Times New Roman" w:cs="Times New Roman"/>
        </w:rPr>
        <w:t xml:space="preserve">As a </w:t>
      </w:r>
      <w:r w:rsidR="00A06A94">
        <w:rPr>
          <w:rFonts w:ascii="Times New Roman" w:hAnsi="Times New Roman" w:cs="Times New Roman"/>
        </w:rPr>
        <w:t>high-molecular-weight</w:t>
      </w:r>
      <w:r w:rsidR="00DE6A64" w:rsidRPr="000A1EE6">
        <w:rPr>
          <w:rFonts w:ascii="Times New Roman" w:hAnsi="Times New Roman" w:cs="Times New Roman"/>
        </w:rPr>
        <w:t xml:space="preserve"> PAH, B[</w:t>
      </w:r>
      <w:r w:rsidR="00DE6A64" w:rsidRPr="668D1914">
        <w:rPr>
          <w:rFonts w:ascii="Times New Roman" w:hAnsi="Times New Roman" w:cs="Times New Roman"/>
          <w:i/>
        </w:rPr>
        <w:t>a</w:t>
      </w:r>
      <w:r w:rsidR="00DE6A64" w:rsidRPr="000A1EE6">
        <w:rPr>
          <w:rFonts w:ascii="Times New Roman" w:hAnsi="Times New Roman" w:cs="Times New Roman"/>
        </w:rPr>
        <w:t>]P is a representative compound in toxicity studies</w:t>
      </w:r>
      <w:r w:rsidR="00344DE0">
        <w:rPr>
          <w:rFonts w:ascii="Times New Roman" w:hAnsi="Times New Roman" w:cs="Times New Roman"/>
        </w:rPr>
        <w:t xml:space="preserve"> </w:t>
      </w:r>
      <w:r w:rsidR="00254583">
        <w:rPr>
          <w:rFonts w:ascii="Times New Roman" w:hAnsi="Times New Roman" w:cs="Times New Roman"/>
        </w:rPr>
        <w:t>and serves</w:t>
      </w:r>
      <w:r w:rsidR="00DE6A64" w:rsidRPr="000A1EE6">
        <w:rPr>
          <w:rFonts w:ascii="Times New Roman" w:hAnsi="Times New Roman" w:cs="Times New Roman"/>
        </w:rPr>
        <w:t xml:space="preserve"> as a proxy for understanding the </w:t>
      </w:r>
      <w:r w:rsidR="58CF5E0B" w:rsidRPr="398FFFD7">
        <w:rPr>
          <w:rFonts w:ascii="Times New Roman" w:hAnsi="Times New Roman" w:cs="Times New Roman"/>
        </w:rPr>
        <w:t>behaviour</w:t>
      </w:r>
      <w:r w:rsidR="00DE6A64" w:rsidRPr="000A1EE6">
        <w:rPr>
          <w:rFonts w:ascii="Times New Roman" w:hAnsi="Times New Roman" w:cs="Times New Roman"/>
        </w:rPr>
        <w:t xml:space="preserve"> and impact of other, </w:t>
      </w:r>
      <w:r w:rsidR="00A06A94">
        <w:rPr>
          <w:rFonts w:ascii="Times New Roman" w:hAnsi="Times New Roman" w:cs="Times New Roman"/>
        </w:rPr>
        <w:t>less-researched</w:t>
      </w:r>
      <w:r w:rsidR="00DE6A64" w:rsidRPr="000A1EE6">
        <w:rPr>
          <w:rFonts w:ascii="Times New Roman" w:hAnsi="Times New Roman" w:cs="Times New Roman"/>
        </w:rPr>
        <w:t xml:space="preserve"> PAHs </w:t>
      </w:r>
      <w:r w:rsidR="004A1C28" w:rsidRPr="000A1EE6">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{"citationID":"A2zy3shJ","properties":{"formattedCitation":"(Takam et al. 2024)","plainCitation":"(Takam et al. 2024)","noteIndex":0},"citationItems":[{"id":8022,"uris":["http://zotero.org/users/7192077/items/YMYB9ZDU"],"itemData":{"id":8022,"type":"article-journal","abstract":"Polycyclic aromatic hydrocarbons (PAHs) are particulate matter bound environmental contaminants known to cause adverse effects on human health. The toxicity of carcinogenic PAH such as benzo[a]pyrene (BaP) has been extensively investigated, whereas other PAHs have received less attention. The present work investigated the toxic effects of three less investigated PAHs with distinct molecular weights in comparison to BaP on co-culture model of human epithelial lung cells (A549) and macrophages (THP-1). Due to the involvement of more than one cell type in the response to PAH exposure, the new co-culture model is considered to be suitable for the prediction of undesired toxicological effects of PAHs. To do so, the co-culture was established and exposed to 0–400 µM of phenanthrene (PHE), fluoranthene (FLA), and, benzo [ghi] perylene (BghiP) for 24 h. Subsequently, cytotoxicity, micronucleus formation, and cytokine excretion were analyzed. The results revealed that the viability of A549 cells decreased after being exposed to increasing concentrations of PAHs. The formation of micronuclei in binucleated cells (BNC) was found more frequently in cells treated with PAHs in comparison to the untreated group, indicating the genotoxic effect of these compounds. Moreover, an exposure to PAHs enhanced the pro-inflammatory cytokine, i.e., interleukin-6 secretion, while diminished the anti-inflammatory cytokine, i.e., interleukin-10. In summary, PAHs possess negative effects on A549 and THP-1 co-culture model, implying an adverse effect on human health when coming into contact with these chemicals via respiration.","container-title":"Environmental Sciences Europe","DOI":"10.1186/s12302-024-01003-7","ISSN":"2190-4715","issue":"1","journalAbbreviation":"Environmental Sciences Europe","page":"176","source":"BioMed Central","title":"Toxic effect of polycyclic aromatic hydrocarbons (PAHs) on co-culture model of human alveolar epithelial cells (A549) and macrophages (THP-1)","URL":"https://doi.org/10.1186/s12302-024-01003-7","volume":"36","author":[{"family":"Takam","given":"Pennapa"},{"family":"Schäffer","given":"Andreas"},{"family":"Laovitthayanggoon","given":"Sarunya"},{"family":"Charerntantanakul","given":"Wasin"},{"family":"Sillapawattana","given":"Panwad"}],"accessed":{"date-parts":[["2025",10,5]]},"issued":{"date-parts":[["2024",10,3]]}}}],"schema":"https://github.com/citation-style-language/schema/raw/master/csl-citation.json"} </w:instrText>
      </w:r>
      <w:r w:rsidR="004A1C28" w:rsidRPr="000A1EE6">
        <w:rPr>
          <w:rFonts w:ascii="Times New Roman" w:hAnsi="Times New Roman" w:cs="Times New Roman"/>
        </w:rPr>
        <w:fldChar w:fldCharType="separate"/>
      </w:r>
      <w:r w:rsidR="00E5454F">
        <w:rPr>
          <w:rFonts w:ascii="Times New Roman" w:hAnsi="Times New Roman" w:cs="Times New Roman"/>
          <w:noProof/>
        </w:rPr>
        <w:t>(Takam et al. 2024)</w:t>
      </w:r>
      <w:r w:rsidR="004A1C28" w:rsidRPr="000A1EE6">
        <w:rPr>
          <w:rFonts w:ascii="Times New Roman" w:hAnsi="Times New Roman" w:cs="Times New Roman"/>
        </w:rPr>
        <w:fldChar w:fldCharType="end"/>
      </w:r>
      <w:r w:rsidR="00DE6A64" w:rsidRPr="000A1EE6">
        <w:rPr>
          <w:rFonts w:ascii="Times New Roman" w:hAnsi="Times New Roman" w:cs="Times New Roman"/>
        </w:rPr>
        <w:t>. It is metabolized by cytochrome P450 into carcinogenic metabolites</w:t>
      </w:r>
      <w:r w:rsidR="00806D74">
        <w:rPr>
          <w:rFonts w:ascii="Times New Roman" w:hAnsi="Times New Roman" w:cs="Times New Roman"/>
        </w:rPr>
        <w:t xml:space="preserve"> </w:t>
      </w:r>
      <w:r w:rsidR="00A06A94">
        <w:rPr>
          <w:rFonts w:ascii="Times New Roman" w:hAnsi="Times New Roman" w:cs="Times New Roman"/>
        </w:rPr>
        <w:t>such as</w:t>
      </w:r>
      <w:r w:rsidR="00DE6A64" w:rsidRPr="000A1EE6" w:rsidDel="00BB1590">
        <w:rPr>
          <w:rFonts w:ascii="Times New Roman" w:hAnsi="Times New Roman" w:cs="Times New Roman"/>
        </w:rPr>
        <w:t xml:space="preserve"> </w:t>
      </w:r>
      <w:r w:rsidR="00B25641" w:rsidRPr="000A1EE6" w:rsidDel="00674917">
        <w:rPr>
          <w:rFonts w:ascii="Times New Roman" w:hAnsi="Times New Roman" w:cs="Times New Roman"/>
        </w:rPr>
        <w:t>7</w:t>
      </w:r>
      <w:r w:rsidR="00674917">
        <w:rPr>
          <w:rFonts w:ascii="Symbol" w:eastAsia="Symbol" w:hAnsi="Symbol" w:cs="Symbol"/>
        </w:rPr>
        <w:t></w:t>
      </w:r>
      <w:r w:rsidR="00002A6F">
        <w:rPr>
          <w:rFonts w:ascii="Times New Roman" w:hAnsi="Times New Roman" w:cs="Times New Roman"/>
        </w:rPr>
        <w:t>,8α-dihydroxy-9α,10α-epoxy</w:t>
      </w:r>
      <w:r w:rsidR="00CB135C">
        <w:rPr>
          <w:rFonts w:ascii="Times New Roman" w:hAnsi="Times New Roman" w:cs="Times New Roman"/>
        </w:rPr>
        <w:t>-7,8,9,10-tetrahydrobenzo[</w:t>
      </w:r>
      <w:r w:rsidR="00CB135C" w:rsidRPr="668D1914">
        <w:rPr>
          <w:rFonts w:ascii="Times New Roman" w:hAnsi="Times New Roman" w:cs="Times New Roman"/>
          <w:i/>
        </w:rPr>
        <w:t>a</w:t>
      </w:r>
      <w:r w:rsidR="00CB135C">
        <w:rPr>
          <w:rFonts w:ascii="Times New Roman" w:hAnsi="Times New Roman" w:cs="Times New Roman"/>
        </w:rPr>
        <w:t>]pyrene</w:t>
      </w:r>
      <w:r w:rsidR="00B25641" w:rsidRPr="000A1EE6">
        <w:rPr>
          <w:rFonts w:ascii="Times New Roman" w:hAnsi="Times New Roman" w:cs="Times New Roman"/>
        </w:rPr>
        <w:t xml:space="preserve"> (BPDE)</w:t>
      </w:r>
      <w:r w:rsidR="00DE6A64" w:rsidRPr="000A1EE6">
        <w:rPr>
          <w:rFonts w:ascii="Times New Roman" w:hAnsi="Times New Roman" w:cs="Times New Roman"/>
        </w:rPr>
        <w:t xml:space="preserve">, which can </w:t>
      </w:r>
      <w:r w:rsidR="00453240">
        <w:rPr>
          <w:rFonts w:ascii="Times New Roman" w:hAnsi="Times New Roman" w:cs="Times New Roman"/>
        </w:rPr>
        <w:t>form</w:t>
      </w:r>
      <w:r w:rsidR="00453240" w:rsidRPr="000A1EE6">
        <w:rPr>
          <w:rFonts w:ascii="Times New Roman" w:hAnsi="Times New Roman" w:cs="Times New Roman"/>
        </w:rPr>
        <w:t xml:space="preserve"> </w:t>
      </w:r>
      <w:r w:rsidR="00DE6A64" w:rsidRPr="000A1EE6">
        <w:rPr>
          <w:rFonts w:ascii="Times New Roman" w:hAnsi="Times New Roman" w:cs="Times New Roman"/>
        </w:rPr>
        <w:t>DNA adducts</w:t>
      </w:r>
      <w:r w:rsidR="00A06A94">
        <w:rPr>
          <w:rFonts w:ascii="Times New Roman" w:hAnsi="Times New Roman" w:cs="Times New Roman"/>
        </w:rPr>
        <w:t>,</w:t>
      </w:r>
      <w:r w:rsidR="00DE6A64" w:rsidRPr="000A1EE6">
        <w:rPr>
          <w:rFonts w:ascii="Times New Roman" w:hAnsi="Times New Roman" w:cs="Times New Roman"/>
        </w:rPr>
        <w:t xml:space="preserve"> leading to mutations and cancer</w:t>
      </w:r>
      <w:r w:rsidR="008A67BC" w:rsidRPr="000A1EE6">
        <w:rPr>
          <w:rFonts w:ascii="Times New Roman" w:hAnsi="Times New Roman" w:cs="Times New Roman"/>
        </w:rPr>
        <w:t xml:space="preserve"> </w:t>
      </w:r>
      <w:r w:rsidR="008A67BC" w:rsidRPr="000A1EE6">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{"citationID":"aWnhsKBt","properties":{"formattedCitation":"(Bukowska et al. 2022)","plainCitation":"(Bukowska et al. 2022)","noteIndex":0},"citationItems":[{"id":7665,"uris":["http://zotero.org/users/7192077/items/M64SCLBZ"],"itemData":{"id":7665,"type":"article-journal","abstract":"Benzo[a]pyrene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URL":"https://www.mdpi.com/1422-0067/23/11/6348","volume":"23","author":[{"family":"Bukowska","given":"Bożena"},{"family":"Mokra","given":"Katarzyna"},{"family":"Michałowicz","given":"Jaromir"}],"accessed":{"date-parts":[["2025",7,23]]},"issued":{"date-parts":[["2022",1]]}}}],"schema":"https://github.com/citation-style-language/schema/raw/master/csl-citation.json"} </w:instrText>
      </w:r>
      <w:r w:rsidR="008A67BC" w:rsidRPr="000A1EE6">
        <w:rPr>
          <w:rFonts w:ascii="Times New Roman" w:hAnsi="Times New Roman" w:cs="Times New Roman"/>
        </w:rPr>
        <w:fldChar w:fldCharType="separate"/>
      </w:r>
      <w:r w:rsidR="00E5454F">
        <w:rPr>
          <w:rFonts w:ascii="Times New Roman" w:hAnsi="Times New Roman" w:cs="Times New Roman"/>
        </w:rPr>
        <w:t>(Bukowska et al. 2022)</w:t>
      </w:r>
      <w:r w:rsidR="008A67BC" w:rsidRPr="000A1EE6">
        <w:rPr>
          <w:rFonts w:ascii="Times New Roman" w:hAnsi="Times New Roman" w:cs="Times New Roman"/>
        </w:rPr>
        <w:fldChar w:fldCharType="end"/>
      </w:r>
      <w:r w:rsidR="00DE6A64" w:rsidRPr="000A1EE6">
        <w:rPr>
          <w:rFonts w:ascii="Times New Roman" w:hAnsi="Times New Roman" w:cs="Times New Roman"/>
        </w:rPr>
        <w:t xml:space="preserve">. Although other PAHs contribute more significantly to overall cancer risk, </w:t>
      </w:r>
      <w:r w:rsidR="00326AC8">
        <w:rPr>
          <w:rFonts w:ascii="Times New Roman" w:hAnsi="Times New Roman" w:cs="Times New Roman"/>
        </w:rPr>
        <w:t>the established role of B[</w:t>
      </w:r>
      <w:r w:rsidR="00326AC8" w:rsidRPr="668D1914">
        <w:rPr>
          <w:rFonts w:ascii="Times New Roman" w:hAnsi="Times New Roman" w:cs="Times New Roman"/>
          <w:i/>
        </w:rPr>
        <w:t>a</w:t>
      </w:r>
      <w:r w:rsidR="00326AC8">
        <w:rPr>
          <w:rFonts w:ascii="Times New Roman" w:hAnsi="Times New Roman" w:cs="Times New Roman"/>
        </w:rPr>
        <w:t>]P</w:t>
      </w:r>
      <w:r w:rsidR="00DE6A64" w:rsidRPr="000A1EE6">
        <w:rPr>
          <w:rFonts w:ascii="Times New Roman" w:hAnsi="Times New Roman" w:cs="Times New Roman"/>
        </w:rPr>
        <w:t xml:space="preserve"> in carcinogenesis makes it a frequent choice for risk </w:t>
      </w:r>
      <w:r w:rsidR="00286041">
        <w:rPr>
          <w:rFonts w:ascii="Times New Roman" w:hAnsi="Times New Roman" w:cs="Times New Roman"/>
        </w:rPr>
        <w:t>assessment</w:t>
      </w:r>
      <w:r w:rsidR="00DE6A64" w:rsidRPr="000A1EE6">
        <w:rPr>
          <w:rFonts w:ascii="Times New Roman" w:hAnsi="Times New Roman" w:cs="Times New Roman"/>
        </w:rPr>
        <w:t xml:space="preserve"> </w:t>
      </w:r>
      <w:r w:rsidR="00450D63" w:rsidRPr="000A1EE6">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{"citationID":"S5Yzl5by","properties":{"formattedCitation":"(Kelly et al. 2021)","plainCitation":"(Kelly et al. 2021)","noteIndex":0},"citationItems":[{"id":8025,"uris":["http://zotero.org/users/7192077/items/MI4XHTVV"],"itemData":{"id":8025,"type":"article-journal","abstract":"In assessments of cancer risk from atmospheric polycyclic aromatic hydrocarbons (PAHs), scientists and regulators rarely consider the complex mixture of emitted compounds and degradation products, and they often represent the entire mixture using a single emitted compound—benzo[a]pyrene. Here, we show that benzo[a]pyrene is a poor indicator of PAH risk distribution and management: nearly 90% of cancer risk worldwide results from other PAHs, including unregulated degradation products of emitted PAHs. We develop and apply a global-scale atmospheric model and conduct health impact analyses to estimate human cancer risk from 16 PAHs and several of their N-PAH degradation products. We find that benzo[a]pyrene is a minor contributor to the total cancer risks of PAHs (11%); the remaining risk comes from other directly emitted PAHs (72%) and N-PAHs (17%). We show that assessment and policy-making that relies solely on benzo[a]pyrene exposure provides misleading estimates of risk distribution, the importance of chemical processes, and the prospects for risk mitigation. We conclude that researchers and decision-makers should consider additional PAHs as well as degradation products.","container-title":"GeoHealth","DOI":"10.1029/2021GH000401","ISSN":"2471-1403","issue":"9","language":"en","license":"© 2021 The Authors. GeoHealth published by Wiley Periodicals LLC on behalf of American Geophysical Union.","note":"_eprint: https://agupubs.onlinelibrary.wiley.com/doi/pdf/10.1029/2021GH000401","page":"e2021GH000401","source":"Wiley Online Library","title":"Global Cancer Risk From Unregulated Polycyclic Aromatic Hydrocarbons","URL":"https://onlinelibrary.wiley.com/doi/abs/10.1029/2021GH000401","volume":"5","author":[{"family":"Kelly","given":"Jamie M."},{"family":"Ivatt","given":"Peter D."},{"family":"Evans","given":"Mathew J."},{"family":"Kroll","given":"Jesse H."},{"family":"Hrdina","given":"Amy I. H."},{"family":"Kohale","given":"Ishwar N."},{"family":"White","given":"Forest M."},{"family":"Engelward","given":"Bevin P."},{"family":"Selin","given":"Noelle E."}],"accessed":{"date-parts":[["2025",10,5]]},"issued":{"date-parts":[["2021"]]}}}],"schema":"https://github.com/citation-style-language/schema/raw/master/csl-citation.json"} </w:instrText>
      </w:r>
      <w:r w:rsidR="00450D63" w:rsidRPr="000A1EE6">
        <w:rPr>
          <w:rFonts w:ascii="Times New Roman" w:hAnsi="Times New Roman" w:cs="Times New Roman"/>
        </w:rPr>
        <w:fldChar w:fldCharType="separate"/>
      </w:r>
      <w:r w:rsidR="00E5454F">
        <w:rPr>
          <w:rFonts w:ascii="Times New Roman" w:hAnsi="Times New Roman" w:cs="Times New Roman"/>
          <w:noProof/>
        </w:rPr>
        <w:t>(Kelly et al. 2021)</w:t>
      </w:r>
      <w:r w:rsidR="00450D63" w:rsidRPr="000A1EE6">
        <w:rPr>
          <w:rFonts w:ascii="Times New Roman" w:hAnsi="Times New Roman" w:cs="Times New Roman"/>
        </w:rPr>
        <w:fldChar w:fldCharType="end"/>
      </w:r>
      <w:r w:rsidR="00DE6A64" w:rsidRPr="000A1EE6">
        <w:rPr>
          <w:rFonts w:ascii="Times New Roman" w:hAnsi="Times New Roman" w:cs="Times New Roman"/>
        </w:rPr>
        <w:t>. It is readily detected in environmental samples</w:t>
      </w:r>
      <w:r w:rsidR="003B0FC0">
        <w:rPr>
          <w:rFonts w:ascii="Times New Roman" w:hAnsi="Times New Roman" w:cs="Times New Roman"/>
        </w:rPr>
        <w:t>,</w:t>
      </w:r>
      <w:r w:rsidR="00DE6A64" w:rsidRPr="000A1EE6">
        <w:rPr>
          <w:rFonts w:ascii="Times New Roman" w:hAnsi="Times New Roman" w:cs="Times New Roman"/>
        </w:rPr>
        <w:t xml:space="preserve"> such as air, water, and soil, as well as in human surroundings</w:t>
      </w:r>
      <w:r w:rsidR="00AF0DD0">
        <w:rPr>
          <w:rFonts w:ascii="Times New Roman" w:hAnsi="Times New Roman" w:cs="Times New Roman"/>
        </w:rPr>
        <w:t>, such as</w:t>
      </w:r>
      <w:r w:rsidR="00DE6A64" w:rsidRPr="000A1EE6">
        <w:rPr>
          <w:rFonts w:ascii="Times New Roman" w:hAnsi="Times New Roman" w:cs="Times New Roman"/>
        </w:rPr>
        <w:t xml:space="preserve"> food, especially smoked or grilled items </w:t>
      </w:r>
      <w:r w:rsidR="0035596E" w:rsidRPr="000A1EE6">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{"citationID":"lLsEmKAm","properties":{"formattedCitation":"(Bukowska et al. 2022)","plainCitation":"(Bukowska et al. 2022)","noteIndex":0},"citationItems":[{"id":7665,"uris":["http://zotero.org/users/7192077/items/M64SCLBZ"],"itemData":{"id":7665,"type":"article-journal","abstract":"Benzo[a]pyrene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URL":"https://www.mdpi.com/1422-0067/23/11/6348","volume":"23","author":[{"family":"Bukowska","given":"Bożena"},{"family":"Mokra","given":"Katarzyna"},{"family":"Michałowicz","given":"Jaromir"}],"accessed":{"date-parts":[["2025",7,23]]},"issued":{"date-parts":[["2022",1]]}}}],"schema":"https://github.com/citation-style-language/schema/raw/master/csl-citation.json"} </w:instrText>
      </w:r>
      <w:r w:rsidR="0035596E" w:rsidRPr="000A1EE6">
        <w:rPr>
          <w:rFonts w:ascii="Times New Roman" w:hAnsi="Times New Roman" w:cs="Times New Roman"/>
        </w:rPr>
        <w:fldChar w:fldCharType="separate"/>
      </w:r>
      <w:r w:rsidR="00E5454F">
        <w:rPr>
          <w:rFonts w:ascii="Times New Roman" w:hAnsi="Times New Roman" w:cs="Times New Roman"/>
        </w:rPr>
        <w:t>(Bukowska et al. 2022)</w:t>
      </w:r>
      <w:r w:rsidR="0035596E" w:rsidRPr="000A1EE6">
        <w:rPr>
          <w:rFonts w:ascii="Times New Roman" w:hAnsi="Times New Roman" w:cs="Times New Roman"/>
        </w:rPr>
        <w:fldChar w:fldCharType="end"/>
      </w:r>
      <w:r w:rsidR="00DE6A64" w:rsidRPr="000A1EE6">
        <w:rPr>
          <w:rFonts w:ascii="Times New Roman" w:hAnsi="Times New Roman" w:cs="Times New Roman"/>
        </w:rPr>
        <w:t xml:space="preserve">. </w:t>
      </w:r>
      <w:r w:rsidR="00BD632D" w:rsidDel="00A328C7">
        <w:rPr>
          <w:rFonts w:ascii="Times New Roman" w:hAnsi="Times New Roman" w:cs="Times New Roman"/>
        </w:rPr>
        <w:t>Because</w:t>
      </w:r>
      <w:r w:rsidR="003B0FC0">
        <w:rPr>
          <w:rFonts w:ascii="Times New Roman" w:hAnsi="Times New Roman" w:cs="Times New Roman"/>
        </w:rPr>
        <w:t xml:space="preserve"> of</w:t>
      </w:r>
      <w:r w:rsidR="00DE6A64" w:rsidRPr="000A1EE6">
        <w:rPr>
          <w:rFonts w:ascii="Times New Roman" w:hAnsi="Times New Roman" w:cs="Times New Roman"/>
        </w:rPr>
        <w:t xml:space="preserve"> its prevalence and toxicological significance, B[</w:t>
      </w:r>
      <w:r w:rsidR="00DE6A64" w:rsidRPr="668D1914">
        <w:rPr>
          <w:rFonts w:ascii="Times New Roman" w:hAnsi="Times New Roman" w:cs="Times New Roman"/>
          <w:i/>
        </w:rPr>
        <w:t>a</w:t>
      </w:r>
      <w:r w:rsidR="00DE6A64" w:rsidRPr="000A1EE6">
        <w:rPr>
          <w:rFonts w:ascii="Times New Roman" w:hAnsi="Times New Roman" w:cs="Times New Roman"/>
        </w:rPr>
        <w:t xml:space="preserve">]P is often used as a benchmark compound to establish toxic equivalency factors for PAH mixtures, aiding in the assessment of chemical risk in urban settings </w:t>
      </w:r>
      <w:r w:rsidR="002D04A1" w:rsidRPr="000A1EE6">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{"citationID":"tJEt6n99","properties":{"formattedCitation":"(Halek et al. 2008)","plainCitation":"(Halek et al. 2008)","noteIndex":0},"citationItems":[{"id":8029,"uris":["http://zotero.org/users/7192077/items/E5P3PLTP"],"itemData":{"id":8029,"type":"article-journal","abstract":"Polycyclic aromatic hydrocarbons (PAHs) are toxic pollutants released by various urban combustion sources. Benzo[a]pyrene (BaP) is a representative member of the class of PAHs. Health risk assessment associated with inhalatory PAHs uptake is often estimated on the basis of the BaP concentrations in air. Atmospheric particulate PAHs concentrations were measured at five locations in Tehran, Iran. Sixteen PAHs were extracted from the airborne particles and analyzed by HPLC. Total PAHs concentrations (16 compounds) at five station Arjanteen, Enghelab, Azadi, Bahman, Haft Houz were respectively, 70.2, 96.5, 130, 79.1, 44.1 ng/m3. The information obtain from the present study indicated that mean of human carcinogens are: benzo[a]antheracene (0.17–4.76 ng/m3), chrysene (1.74–3.62 ng/m3), benzo[b]fluoranthene (0–5.25 ng/m3), benzo[k]fluoranthene (0.32–1.72 ng/m3), benzo[a]pyrene (1.41–3.82 ng/m3), dibenzo[a,h]anthracene (0.33–2.13 ng/m3), and indeno[1,2,3-cd]pyrene (0.25–11.08 ng/m3). The development and the establishment of a toxicity equivalency factor (TEF) are used in the assessment of mixtures containing PAHs. The contribution of the carcinogenic potency of BaP alone is in the range of 49.6–76.3% of the total carcinogenic activity. The annual number of lung cancer cases (persons per million) among Tehran residents (population = 10 millions) attributable to these carcinogenic PAHs compounds in 2005 was estimated at 58 persons per million. In Tehran urban areas vehicular emission are the primary contributor to PAHs concentrations, with additional local contributors like industrials emissions.","container-title":"Environmental Monitoring and Assessment","DOI":"10.1007/s10661-007-9983-9","ISSN":"1573-2959","issue":"1","journalAbbreviation":"Environ Monit Assess","language":"en","page":"303-311","source":"Springer Link","title":"Polycyclic aromatic hydrocarbons study and toxic equivalency factor (TEFs) in Tehran, IRAN","URL":"https://doi.org/10.1007/s10661-007-9983-9","volume":"143","author":[{"family":"Halek","given":"F."},{"family":"Nabi","given":"Gh."},{"family":"Kavousi","given":"A."}],"accessed":{"date-parts":[["2025",10,5]]},"issued":{"date-parts":[["2008",8,1]]}}}],"schema":"https://github.com/citation-style-language/schema/raw/master/csl-citation.json"} </w:instrText>
      </w:r>
      <w:r w:rsidR="002D04A1" w:rsidRPr="000A1EE6">
        <w:rPr>
          <w:rFonts w:ascii="Times New Roman" w:hAnsi="Times New Roman" w:cs="Times New Roman"/>
        </w:rPr>
        <w:fldChar w:fldCharType="separate"/>
      </w:r>
      <w:r w:rsidR="00E5454F">
        <w:rPr>
          <w:rFonts w:ascii="Times New Roman" w:hAnsi="Times New Roman" w:cs="Times New Roman"/>
          <w:noProof/>
        </w:rPr>
        <w:t>(Halek et al. 2008)</w:t>
      </w:r>
      <w:r w:rsidR="002D04A1" w:rsidRPr="000A1EE6">
        <w:rPr>
          <w:rFonts w:ascii="Times New Roman" w:hAnsi="Times New Roman" w:cs="Times New Roman"/>
        </w:rPr>
        <w:fldChar w:fldCharType="end"/>
      </w:r>
      <w:r w:rsidR="00103AD9" w:rsidRPr="000A1EE6">
        <w:rPr>
          <w:rFonts w:ascii="Times New Roman" w:hAnsi="Times New Roman" w:cs="Times New Roman"/>
        </w:rPr>
        <w:t>.</w:t>
      </w:r>
    </w:p>
    <w:p w14:paraId="3D7AB171" w14:textId="531B43B4" w:rsidR="002D7EEA" w:rsidRPr="000A1EE6" w:rsidRDefault="47EE4892" w:rsidP="000A1EE6">
      <w:pPr>
        <w:spacing w:line="480" w:lineRule="auto"/>
        <w:jc w:val="both"/>
        <w:rPr>
          <w:rFonts w:ascii="Times New Roman" w:hAnsi="Times New Roman" w:cs="Times New Roman"/>
          <w:lang w:val="en-US"/>
        </w:rPr>
      </w:pPr>
      <w:r w:rsidRPr="47EE4892">
        <w:rPr>
          <w:rFonts w:ascii="Times New Roman" w:hAnsi="Times New Roman" w:cs="Times New Roman"/>
        </w:rPr>
        <w:lastRenderedPageBreak/>
        <w:t>Therefore, this review examines B[</w:t>
      </w:r>
      <w:r w:rsidRPr="47EE4892">
        <w:rPr>
          <w:rFonts w:ascii="Times New Roman" w:hAnsi="Times New Roman" w:cs="Times New Roman"/>
          <w:i/>
          <w:iCs/>
        </w:rPr>
        <w:t>a</w:t>
      </w:r>
      <w:r w:rsidRPr="47EE4892">
        <w:rPr>
          <w:rFonts w:ascii="Times New Roman" w:hAnsi="Times New Roman" w:cs="Times New Roman"/>
        </w:rPr>
        <w:t>]P as a model toxicant released from coal mining, detailing its environmental entry routes, metabolic activation, and oxidative stress, which cause DNA damage in freshwater fish populations. This study further explored the sublethal physiological effects and population-level ecological consequences of acute and chronic B[</w:t>
      </w:r>
      <w:r w:rsidRPr="47EE4892">
        <w:rPr>
          <w:rFonts w:ascii="Times New Roman" w:hAnsi="Times New Roman" w:cs="Times New Roman"/>
          <w:i/>
          <w:iCs/>
        </w:rPr>
        <w:t>a</w:t>
      </w:r>
      <w:r w:rsidRPr="47EE4892">
        <w:rPr>
          <w:rFonts w:ascii="Times New Roman" w:hAnsi="Times New Roman" w:cs="Times New Roman"/>
        </w:rPr>
        <w:t>]P exposure in aquatic ecosystems impacted by mining.</w:t>
      </w:r>
    </w:p>
    <w:p w14:paraId="56E2ACA3" w14:textId="299B68F9" w:rsidR="47EE4892" w:rsidRDefault="47EE4892" w:rsidP="47EE4892">
      <w:pPr>
        <w:spacing w:line="480" w:lineRule="auto"/>
        <w:jc w:val="both"/>
        <w:rPr>
          <w:rFonts w:ascii="Times New Roman" w:hAnsi="Times New Roman" w:cs="Times New Roman"/>
        </w:rPr>
      </w:pPr>
    </w:p>
    <w:p w14:paraId="0646E1E9" w14:textId="4C351627" w:rsidR="0096581B" w:rsidRPr="000A1EE6" w:rsidRDefault="27EDEDFA" w:rsidP="000A1EE6">
      <w:pPr>
        <w:spacing w:line="480" w:lineRule="auto"/>
        <w:jc w:val="both"/>
        <w:rPr>
          <w:rFonts w:ascii="Times New Roman" w:hAnsi="Times New Roman" w:cs="Times New Roman"/>
        </w:rPr>
      </w:pPr>
      <w:r w:rsidRPr="2D8CF45F">
        <w:rPr>
          <w:rFonts w:ascii="Times New Roman" w:eastAsia="Times New Roman" w:hAnsi="Times New Roman" w:cs="Times New Roman"/>
          <w:b/>
          <w:bCs/>
          <w:lang w:val="en-US"/>
        </w:rPr>
        <w:t xml:space="preserve">2. </w:t>
      </w:r>
      <w:r w:rsidR="010F6C82" w:rsidRPr="2D8CF45F">
        <w:rPr>
          <w:rFonts w:ascii="Times New Roman" w:eastAsia="Times New Roman" w:hAnsi="Times New Roman" w:cs="Times New Roman"/>
          <w:b/>
          <w:bCs/>
          <w:lang w:val="en-US"/>
        </w:rPr>
        <w:t>Environmental Entry Routes of B[</w:t>
      </w:r>
      <w:r w:rsidR="010F6C82" w:rsidRPr="4089DE7F">
        <w:rPr>
          <w:rFonts w:ascii="Times New Roman" w:eastAsia="Times New Roman" w:hAnsi="Times New Roman" w:cs="Times New Roman"/>
          <w:b/>
          <w:i/>
          <w:lang w:val="en-US"/>
        </w:rPr>
        <w:t>a</w:t>
      </w:r>
      <w:r w:rsidR="010F6C82" w:rsidRPr="2D8CF45F">
        <w:rPr>
          <w:rFonts w:ascii="Times New Roman" w:eastAsia="Times New Roman" w:hAnsi="Times New Roman" w:cs="Times New Roman"/>
          <w:b/>
          <w:bCs/>
          <w:lang w:val="en-US"/>
        </w:rPr>
        <w:t xml:space="preserve">]P </w:t>
      </w:r>
    </w:p>
    <w:p w14:paraId="336FCE7F" w14:textId="0F88AF8B" w:rsidR="00B24EFD" w:rsidRDefault="55B19889" w:rsidP="00407B28">
      <w:pPr>
        <w:spacing w:line="480" w:lineRule="auto"/>
        <w:jc w:val="both"/>
        <w:rPr>
          <w:rFonts w:ascii="Times New Roman" w:hAnsi="Times New Roman" w:cs="Times New Roman"/>
        </w:rPr>
      </w:pPr>
      <w:r w:rsidRPr="2D8CF45F">
        <w:rPr>
          <w:rFonts w:ascii="Times New Roman" w:hAnsi="Times New Roman" w:cs="Times New Roman"/>
        </w:rPr>
        <w:t>Structurally, B</w:t>
      </w:r>
      <w:r w:rsidR="04A23B0D" w:rsidRPr="2D8CF45F">
        <w:rPr>
          <w:rFonts w:ascii="Times New Roman" w:hAnsi="Times New Roman" w:cs="Times New Roman"/>
        </w:rPr>
        <w:t>[</w:t>
      </w:r>
      <w:r w:rsidRPr="4089DE7F">
        <w:rPr>
          <w:rFonts w:ascii="Times New Roman" w:hAnsi="Times New Roman" w:cs="Times New Roman"/>
          <w:i/>
        </w:rPr>
        <w:t>a</w:t>
      </w:r>
      <w:r w:rsidR="46A13B42" w:rsidRPr="2D8CF45F">
        <w:rPr>
          <w:rFonts w:ascii="Times New Roman" w:hAnsi="Times New Roman" w:cs="Times New Roman"/>
        </w:rPr>
        <w:t>]</w:t>
      </w:r>
      <w:r w:rsidRPr="2D8CF45F">
        <w:rPr>
          <w:rFonts w:ascii="Times New Roman" w:hAnsi="Times New Roman" w:cs="Times New Roman"/>
        </w:rPr>
        <w:t xml:space="preserve">P contains five benzene rings </w:t>
      </w:r>
      <w:r w:rsidR="2C0C8AED" w:rsidRPr="2D8CF45F">
        <w:rPr>
          <w:rFonts w:ascii="Times New Roman" w:hAnsi="Times New Roman" w:cs="Times New Roman"/>
        </w:rPr>
        <w:t>and</w:t>
      </w:r>
      <w:r w:rsidR="6C17FBDF" w:rsidRPr="2D8CF45F">
        <w:rPr>
          <w:rFonts w:ascii="Times New Roman" w:hAnsi="Times New Roman" w:cs="Times New Roman"/>
        </w:rPr>
        <w:t xml:space="preserve"> </w:t>
      </w:r>
      <w:r w:rsidRPr="2D8CF45F">
        <w:rPr>
          <w:rFonts w:ascii="Times New Roman" w:hAnsi="Times New Roman" w:cs="Times New Roman"/>
        </w:rPr>
        <w:t xml:space="preserve">belongs to </w:t>
      </w:r>
      <w:r w:rsidR="008B4D8B" w:rsidDel="00A328C7">
        <w:rPr>
          <w:rFonts w:ascii="Times New Roman" w:hAnsi="Times New Roman" w:cs="Times New Roman"/>
        </w:rPr>
        <w:t>a</w:t>
      </w:r>
      <w:r w:rsidR="00286041">
        <w:rPr>
          <w:rFonts w:ascii="Times New Roman" w:hAnsi="Times New Roman" w:cs="Times New Roman"/>
        </w:rPr>
        <w:t xml:space="preserve"> </w:t>
      </w:r>
      <w:r w:rsidRPr="2D8CF45F">
        <w:rPr>
          <w:rFonts w:ascii="Times New Roman" w:hAnsi="Times New Roman" w:cs="Times New Roman"/>
        </w:rPr>
        <w:t xml:space="preserve">group </w:t>
      </w:r>
      <w:r w:rsidR="00286041">
        <w:rPr>
          <w:rFonts w:ascii="Times New Roman" w:hAnsi="Times New Roman" w:cs="Times New Roman"/>
        </w:rPr>
        <w:t xml:space="preserve">of </w:t>
      </w:r>
      <w:r w:rsidRPr="2D8CF45F">
        <w:rPr>
          <w:rFonts w:ascii="Times New Roman" w:hAnsi="Times New Roman" w:cs="Times New Roman"/>
        </w:rPr>
        <w:t>PAHs</w:t>
      </w:r>
      <w:r w:rsidR="01CFFFFD" w:rsidRPr="2D8CF45F">
        <w:rPr>
          <w:rFonts w:ascii="Times New Roman" w:hAnsi="Times New Roman" w:cs="Times New Roman"/>
        </w:rPr>
        <w:t xml:space="preserve"> </w:t>
      </w:r>
      <w:r w:rsidR="007D5212"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{"citationID":"hzM5hCYm","properties":{"formattedCitation":"(Bukowska et al. 2022)","plainCitation":"(Bukowska et al. 2022)","noteIndex":0},"citationItems":[{"id":7665,"uris":["http://zotero.org/users/7192077/items/M64SCLBZ"],"itemData":{"id":7665,"type":"article-journal","abstract":"Benzo[a]pyrene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URL":"https://www.mdpi.com/1422-0067/23/11/6348","volume":"23","author":[{"family":"Bukowska","given":"Bożena"},{"family":"Mokra","given":"Katarzyna"},{"family":"Michałowicz","given":"Jaromir"}],"accessed":{"date-parts":[["2025",7,23]]},"issued":{"date-parts":[["2022",1]]}}}],"schema":"https://github.com/citation-style-language/schema/raw/master/csl-citation.json"} </w:instrText>
      </w:r>
      <w:r w:rsidR="007D5212" w:rsidRPr="2D8CF45F">
        <w:rPr>
          <w:rFonts w:ascii="Times New Roman" w:hAnsi="Times New Roman" w:cs="Times New Roman"/>
        </w:rPr>
        <w:fldChar w:fldCharType="separate"/>
      </w:r>
      <w:r w:rsidR="00E5454F">
        <w:rPr>
          <w:rFonts w:ascii="Times New Roman" w:hAnsi="Times New Roman" w:cs="Times New Roman"/>
        </w:rPr>
        <w:t>(Bukowska et al. 2022)</w:t>
      </w:r>
      <w:r w:rsidR="007D5212" w:rsidRPr="2D8CF45F">
        <w:rPr>
          <w:rFonts w:ascii="Times New Roman" w:hAnsi="Times New Roman" w:cs="Times New Roman"/>
        </w:rPr>
        <w:fldChar w:fldCharType="end"/>
      </w:r>
      <w:r w:rsidRPr="2D8CF45F">
        <w:rPr>
          <w:rFonts w:ascii="Times New Roman" w:hAnsi="Times New Roman" w:cs="Times New Roman"/>
        </w:rPr>
        <w:t xml:space="preserve">. Studies from coal mining regions worldwide have documented elevated concentrations of PAHs in surface water, with </w:t>
      </w:r>
      <w:r w:rsidR="0884A030" w:rsidRPr="2D8CF45F">
        <w:rPr>
          <w:rFonts w:ascii="Times New Roman" w:hAnsi="Times New Roman" w:cs="Times New Roman"/>
        </w:rPr>
        <w:t>B</w:t>
      </w:r>
      <w:r w:rsidRPr="2D8CF45F">
        <w:rPr>
          <w:rFonts w:ascii="Times New Roman" w:hAnsi="Times New Roman" w:cs="Times New Roman"/>
        </w:rPr>
        <w:t>[</w:t>
      </w:r>
      <w:r w:rsidRPr="4089DE7F">
        <w:rPr>
          <w:rFonts w:ascii="Times New Roman" w:hAnsi="Times New Roman" w:cs="Times New Roman"/>
          <w:i/>
        </w:rPr>
        <w:t>a</w:t>
      </w:r>
      <w:r w:rsidRPr="2D8CF45F">
        <w:rPr>
          <w:rFonts w:ascii="Times New Roman" w:hAnsi="Times New Roman" w:cs="Times New Roman"/>
        </w:rPr>
        <w:t>]</w:t>
      </w:r>
      <w:r w:rsidR="79269CF1" w:rsidRPr="2D8CF45F">
        <w:rPr>
          <w:rFonts w:ascii="Times New Roman" w:hAnsi="Times New Roman" w:cs="Times New Roman"/>
        </w:rPr>
        <w:t>P</w:t>
      </w:r>
      <w:r w:rsidRPr="2D8CF45F">
        <w:rPr>
          <w:rFonts w:ascii="Times New Roman" w:hAnsi="Times New Roman" w:cs="Times New Roman"/>
        </w:rPr>
        <w:t xml:space="preserve"> concentrations frequently exceeding</w:t>
      </w:r>
      <w:r w:rsidR="008B4D8B">
        <w:rPr>
          <w:rFonts w:ascii="Times New Roman" w:hAnsi="Times New Roman" w:cs="Times New Roman"/>
        </w:rPr>
        <w:t xml:space="preserve"> the</w:t>
      </w:r>
      <w:r w:rsidRPr="2D8CF45F">
        <w:rPr>
          <w:rFonts w:ascii="Times New Roman" w:hAnsi="Times New Roman" w:cs="Times New Roman"/>
        </w:rPr>
        <w:t xml:space="preserve"> background levels by several orders of magnitude </w:t>
      </w:r>
      <w:r w:rsidR="007D5212"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{"citationID":"5s8T37jK","properties":{"formattedCitation":"(Liu et al. 2012, Batchamen Mougnol et al. 2022, Deng et al. 2023)","plainCitation":"(Liu et al. 2012, Batchamen Mougnol et al. 2022, Deng et al. 2023)","noteIndex":0},"citationItems":[{"id":"r9E9mN5c/rMoXH7RK","uris":["http://zotero.org/users/14468226/items/PIWBT4B4"],"itemData":{"id":6790,"type":"article-journal","abstract":"Polycyclic aromatic hydrocarbons (PAHs) have been a problem in the environment for an extended period. They are mostly derived from petroleum, coal tar and oil spills that travel and are immobilized in wastewater/water sources. Their presence in the environment causes a hazard to humans due to their toxicity and carcinogenic properties. In the study, coal tar was analyzed using Gas Chromatography-Mass Spectrometry (GC-MS) and a concentration of 787.97 mg/L of naphthalene, followed by 632.15 mg/L of phenanthrene were found to be in the highest concentrations in the various water sources such as sewage, alkaline and acid mine drainage. A design column was used to investigate the leaching process and assessments were conducted on 300 mL of the various water sources mentioned, with 5 g of coal tar added and with monitoring for 4 weeks. The influence of the physiochemical properties of the receiving water sources, such as sewage, and acid and alkaline mine drainage, on the release of PAHs from the coal tar was assessed. The acidic media was proven to have the highest release of PAHs, with a total concentration of 7.1 mg/L of released PAHs, followed by 1.2 mg/L for the sewage, and lastly, 0.32 mg/L for the alkaline mine drainage at room temperature.","container-title":"International Journal of Environmental Research and Public Health","DOI":"10.3390/ijerph19084791","ISSN":"1660-4601","issue":"8","journalAbbreviation":"Int J Environ Res Public Health","language":"eng","note":"PMID: 35457657\nPMCID: PMC9025033","page":"4791","source":"PubMed","title":"Leaching of Polycyclic Aromatic Hydrocarbons from the Coal Tar in Sewage Wastewater, Acidic and Alkaline Mine Drainage","volume":"19","author":[{"family":"Batchamen Mougnol","given":"Jean Bedel"},{"family":"Waanders","given":"Frans"},{"family":"Fosso-Kankeu","given":"Elvis"},{"family":"Al Alili","given":"Ali Rashed"}],"issued":{"date-parts":[["2022",4,15]]}}},{"id":"r9E9mN5c/Sg3gxZmS","uris":["http://zotero.org/users/14468226/items/9LEEK348"],"itemData":{"id":6793,"type":"article-journal","abstract":"As a class of persistent organic pollutants (POPs), polycyclic aromatic hydrocarbons (PAHs) have mutagenic, teratogenic, and carcinogenic effects, so they can pose a greater threat to the natural environment and human health. Most of the PAHs in coal mining areas originate from the mining and utilization process of coal resources, which has a variety of carriers in the environment: atmosphere, water bodies, soil, sediments, etc. To study their pollution status in the subsidence waters of the Huainan coal mining area, sixteen priority control PAHs of sixteen surface water samples from seven subsidence water bodies were tested using gas chromatography–mass spectrometry (GC–MS), and their pollution characteristics were analyzed. Overall, the concentration of PAHs ranged from 212 to 283 ng·L−1, and benzo[b]fluoranthene (BbF) had the highest average concentration. In addition, the concentration of PAHs above four rings was relatively high. After statistical analysis, the Pearson correlation coefficient calculation showed a highly significant positive correlation between PAHs with the same number of rings. Three principal factors were selected using factor analysis, which could explain 88.37% of the total variance, to conduct the source identification. Coal combustion was found to be the main source of PAH pollution in the area. Then, ecological risk using the risk quotient (RQ) method was carried out. The results showed that PAH contamination was medium risk, among which, benzo[a]anthracene (BaA) and BbF had a high ecological risk. In addition, the results of biological toxicity evaluation using the species sensitivity distribution model (SSD) showed that benzo[a]pyrene (BaP) had a high proportion of potential effects on aquatic organisms. By using the response addition model, the evaluation results showed that the ecological risk of the subsidence water bodies in the Panyi mine was the highest. Finally, human health risks were evaluated from two pathways: dermal contact and ingestion. The carcinogenic health risks from the dermal contact exceeded the permissible limits, while the hazard entropy of non-carcinogenic risks from the above two pathways were less than 1.","container-title":"Sustainability","DOI":"10.3390/su151814003","ISSN":"2071-1050","issue":"18","language":"en","license":"http://creativecommons.org/licenses/by/3.0/","note":"number: 18\npublisher: Multidisciplinary Digital Publishing Institute","page":"14003","source":"www.mdpi.com","title":"Pollution Characteristics and Risk Evaluation of PAHs in Subsidence Water Bodies in Huainan Coal Mining Area, China","volume":"15","author":[{"family":"Deng","given":"Xinyue"},{"family":"Chen","given":"Guangzhou"},{"family":"Wang","given":"Hua"},{"family":"Sun","given":"Hui"}],"issued":{"date-parts":[["2023",1]]}}},{"id":"r9E9mN5c/2BhE9NGM","uris":["http://zotero.org/users/14468226/items/7GP4G3LN"],"itemData":{"id":4519,"type":"article-journal","abstract":"We investigated the occurrence and removal of four benzotriazoles (BTs) (benzotriazole: BT; 5-methyl-benzotriazole: 5-TTri; 5-chloro-benzotriazole: CBT;  5,6-dimethyl-benzotriazole: XTri) and six UV filters (benzophenone-3: BP-3;  3-(4-methylbenzylidene)camphor: 4-MBC; octyl 4-methoxycinnamate: OMC;  2-(3-t-butyl-2-hydroxy-5-methylphenyl)-5-chloro benzotriazole: UV-326;  2-(2'-Hydroxy-5'-octylphenyl)-benzotriazole: UV-329; octocrylene: OC) in a full  scale municipal wastewater treatment in South Australia. BT, 5-TTri and BP-3 were  found as the dominant compounds detected in the wastewater samples with average  concentrations up to 5706 ± 928 ng/L, 6758 ± 1438 ng/L and 2086 ± 1027 ng/L in  influent, and up to 2439 ± 233 ng/L, 610 ± 237 ng/L and 153 ± 121 ng/L in  effluent, respectively. In the biosolid, 4-MBC and OC were found with the highest  concentrations of 962 ± 135 ng/g and 465 ± 65 ng/g, respectively. Sorption onto  sludge played a dominant role in the removal for UV filters, especially for  4-MBC, UV-326 and OC, which accounted for 54%-92% of influent loads, while  biological degradation played a significant role for the other compounds.","container-title":"Environmental pollution (Barking, Essex : 1987)","DOI":"10.1016/j.envpol.2011.10.009","ISSN":"1873-6424 0269-7491","journalAbbreviation":"Environ Pollut","language":"eng","license":"Copyright © 2011 Elsevier Ltd. All rights reserved.","note":"publisher-place: England\nPMID: 22019204","page":"225-232","title":"Occurrence and removal of benzotriazoles and ultraviolet filters in a municipal wastewater treatment plant.","volume":"165","author":[{"family":"Liu","given":"You-Sheng"},{"family":"Ying","given":"Guang-Guo"},{"family":"Shareef","given":"Ali"},{"family":"Kookana","given":"Rai S."}],"issued":{"date-parts":[["2012",6]]}}}],"schema":"https://github.com/citation-style-language/schema/raw/master/csl-citation.json"} </w:instrText>
      </w:r>
      <w:r w:rsidR="007D5212" w:rsidRPr="2D8CF45F">
        <w:rPr>
          <w:rFonts w:ascii="Times New Roman" w:hAnsi="Times New Roman" w:cs="Times New Roman"/>
        </w:rPr>
        <w:fldChar w:fldCharType="separate"/>
      </w:r>
      <w:r w:rsidR="00E5454F">
        <w:rPr>
          <w:rFonts w:ascii="Times New Roman" w:hAnsi="Times New Roman" w:cs="Times New Roman"/>
        </w:rPr>
        <w:t>(Liu et al. 2012, Batchamen Mougnol et al. 2022, Deng et al. 2023)</w:t>
      </w:r>
      <w:r w:rsidR="007D5212" w:rsidRPr="2D8CF45F">
        <w:rPr>
          <w:rFonts w:ascii="Times New Roman" w:hAnsi="Times New Roman" w:cs="Times New Roman"/>
        </w:rPr>
        <w:fldChar w:fldCharType="end"/>
      </w:r>
      <w:r w:rsidR="46DF9502" w:rsidRPr="2D8CF45F">
        <w:rPr>
          <w:rFonts w:ascii="Times New Roman" w:hAnsi="Times New Roman" w:cs="Times New Roman"/>
        </w:rPr>
        <w:t xml:space="preserve">. </w:t>
      </w:r>
      <w:r w:rsidRPr="2D8CF45F">
        <w:rPr>
          <w:rFonts w:ascii="Times New Roman" w:hAnsi="Times New Roman" w:cs="Times New Roman"/>
        </w:rPr>
        <w:t>The average daily intake of B</w:t>
      </w:r>
      <w:r w:rsidR="24641BFC" w:rsidRPr="2D8CF45F">
        <w:rPr>
          <w:rFonts w:ascii="Times New Roman" w:hAnsi="Times New Roman" w:cs="Times New Roman"/>
        </w:rPr>
        <w:t>[</w:t>
      </w:r>
      <w:r w:rsidRPr="4089DE7F">
        <w:rPr>
          <w:rFonts w:ascii="Times New Roman" w:hAnsi="Times New Roman" w:cs="Times New Roman"/>
          <w:i/>
        </w:rPr>
        <w:t>a</w:t>
      </w:r>
      <w:r w:rsidR="50B0FC17" w:rsidRPr="2D8CF45F">
        <w:rPr>
          <w:rFonts w:ascii="Times New Roman" w:hAnsi="Times New Roman" w:cs="Times New Roman"/>
        </w:rPr>
        <w:t>]</w:t>
      </w:r>
      <w:r w:rsidRPr="2D8CF45F">
        <w:rPr>
          <w:rFonts w:ascii="Times New Roman" w:hAnsi="Times New Roman" w:cs="Times New Roman"/>
        </w:rPr>
        <w:t xml:space="preserve">P </w:t>
      </w:r>
      <w:r w:rsidR="00DB4ACA">
        <w:rPr>
          <w:rFonts w:ascii="Times New Roman" w:hAnsi="Times New Roman" w:cs="Times New Roman"/>
        </w:rPr>
        <w:t xml:space="preserve">from bread </w:t>
      </w:r>
      <w:r w:rsidR="00DB4ACA" w:rsidRPr="00DB4ACA">
        <w:rPr>
          <w:rFonts w:ascii="Times New Roman" w:hAnsi="Times New Roman" w:cs="Times New Roman"/>
        </w:rPr>
        <w:t>grain, cereal,</w:t>
      </w:r>
      <w:r w:rsidR="00DB4ACA">
        <w:rPr>
          <w:rFonts w:ascii="Times New Roman" w:hAnsi="Times New Roman" w:cs="Times New Roman"/>
        </w:rPr>
        <w:t xml:space="preserve"> </w:t>
      </w:r>
      <w:r w:rsidR="00DB4ACA" w:rsidRPr="00DB4ACA">
        <w:rPr>
          <w:rFonts w:ascii="Times New Roman" w:hAnsi="Times New Roman" w:cs="Times New Roman"/>
        </w:rPr>
        <w:t>barbecued or grilled meat</w:t>
      </w:r>
      <w:r w:rsidR="00DB4ACA">
        <w:rPr>
          <w:rFonts w:ascii="Times New Roman" w:hAnsi="Times New Roman" w:cs="Times New Roman"/>
        </w:rPr>
        <w:t xml:space="preserve"> </w:t>
      </w:r>
      <w:r w:rsidR="5187313B" w:rsidRPr="21C82E5A">
        <w:rPr>
          <w:rFonts w:ascii="Times New Roman" w:hAnsi="Times New Roman" w:cs="Times New Roman"/>
        </w:rPr>
        <w:t>by the</w:t>
      </w:r>
      <w:r w:rsidRPr="2D8CF45F">
        <w:rPr>
          <w:rFonts w:ascii="Times New Roman" w:hAnsi="Times New Roman" w:cs="Times New Roman"/>
        </w:rPr>
        <w:t xml:space="preserve"> general U.S. population is approximately</w:t>
      </w:r>
      <w:r w:rsidR="00D23C56">
        <w:rPr>
          <w:rFonts w:ascii="Times New Roman" w:hAnsi="Times New Roman" w:cs="Times New Roman"/>
        </w:rPr>
        <w:t xml:space="preserve"> </w:t>
      </w:r>
      <w:r w:rsidR="00D23C56" w:rsidRPr="00D23C56">
        <w:rPr>
          <w:rFonts w:ascii="Times New Roman" w:hAnsi="Times New Roman" w:cs="Times New Roman"/>
        </w:rPr>
        <w:t xml:space="preserve">21% and 29%, </w:t>
      </w:r>
      <w:bookmarkStart w:id="1" w:name="_Hlk210900560"/>
      <w:r w:rsidR="000A6CC0">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{"citationID":"ucssaehn","properties":{"formattedCitation":"(Negi &amp; Chaudhary 2024)","plainCitation":"(Negi &amp; Chaudhary 2024)","noteIndex":0},"citationItems":[{"id":"r9E9mN5c/cRXzvZhM","uris":["http://zotero.org/users/14468226/items/N9B2NKBG"],"itemData":{"id":6914,"type":"article-journal","abstract":"A polycyclic aromatic hydrocarbon called benzo[a]pyrene (B[a]P) is produced during incomplete burning of fuels. The most common way humans consume B[a]P is through food products, particularly grilled or smoked foods. B[a]P is also frequently detected in the sediments, soil, surface water, and air. Once bioactivated, it produces a highly reactive epoxide monomer that can create adducts by chemically reacting with biological molecules, such as DNA. B[a]P is implicated in various cancers due to its interaction with the aromatic hydrocarbon receptor (AhR). Apart from its detrimental impacts on development and reproduction, this substance also suppresses the immune system. Microbes, however, are critical to cleaning up the B[a]P-contaminated environment. This review focuses on forming B[a]P in different compartments of the environment and human surroundings, and the mechanisms responsible for its harmful effects and carcinogenic risk. This review also discusses the strategies for the deterioration of B[a]P.","container-title":"The Applied Biology &amp; Chemistry Journal","DOI":"10.52679/tabcj.2024.0007","ISSN":"2582-8789","issue":"3","language":"en","license":"Copyright (c) 2024 Karan Negi, Priya Chaudhary","page":"44-56","source":"theabcjournal.com","title":"Benzo[a]pyrene: A carcinogen, its sources, adverse effects, and preventions","title-short":"Benzo[a]pyrene","volume":"5","author":[{"family":"Negi","given":"Karan"},{"family":"Chaudhary","given":"Priya"}],"issued":{"date-parts":[["2024",9,30]]}}}],"schema":"https://github.com/citation-style-language/schema/raw/master/csl-citation.json"} </w:instrText>
      </w:r>
      <w:r w:rsidR="000A6CC0">
        <w:rPr>
          <w:rFonts w:ascii="Times New Roman" w:hAnsi="Times New Roman" w:cs="Times New Roman"/>
        </w:rPr>
        <w:fldChar w:fldCharType="separate"/>
      </w:r>
      <w:r w:rsidR="00E5454F">
        <w:rPr>
          <w:rFonts w:ascii="Times New Roman" w:hAnsi="Times New Roman" w:cs="Times New Roman"/>
        </w:rPr>
        <w:t>(Negi &amp; Chaudhary 2024)</w:t>
      </w:r>
      <w:r w:rsidR="000A6CC0">
        <w:rPr>
          <w:rFonts w:ascii="Times New Roman" w:hAnsi="Times New Roman" w:cs="Times New Roman"/>
        </w:rPr>
        <w:fldChar w:fldCharType="end"/>
      </w:r>
      <w:r w:rsidR="00E62D57">
        <w:rPr>
          <w:rFonts w:ascii="Times New Roman" w:hAnsi="Times New Roman" w:cs="Times New Roman"/>
        </w:rPr>
        <w:t>.</w:t>
      </w:r>
      <w:bookmarkEnd w:id="1"/>
      <w:r w:rsidR="4B588C34" w:rsidRPr="065DB05F">
        <w:rPr>
          <w:rFonts w:ascii="Times New Roman" w:hAnsi="Times New Roman" w:cs="Times New Roman"/>
        </w:rPr>
        <w:t xml:space="preserve"> H</w:t>
      </w:r>
      <w:r w:rsidR="00AD0437" w:rsidRPr="065DB05F">
        <w:rPr>
          <w:rFonts w:ascii="Times New Roman" w:hAnsi="Times New Roman" w:cs="Times New Roman"/>
        </w:rPr>
        <w:t>owever</w:t>
      </w:r>
      <w:r w:rsidRPr="2D8CF45F">
        <w:rPr>
          <w:rFonts w:ascii="Times New Roman" w:hAnsi="Times New Roman" w:cs="Times New Roman"/>
        </w:rPr>
        <w:t xml:space="preserve">, the distribution patterns of </w:t>
      </w:r>
      <w:r w:rsidR="6DF9356B" w:rsidRPr="2D8CF45F">
        <w:rPr>
          <w:rFonts w:ascii="Times New Roman" w:hAnsi="Times New Roman" w:cs="Times New Roman"/>
        </w:rPr>
        <w:t>B</w:t>
      </w:r>
      <w:r w:rsidRPr="2D8CF45F">
        <w:rPr>
          <w:rFonts w:ascii="Times New Roman" w:hAnsi="Times New Roman" w:cs="Times New Roman"/>
        </w:rPr>
        <w:t>[</w:t>
      </w:r>
      <w:r w:rsidRPr="4089DE7F">
        <w:rPr>
          <w:rFonts w:ascii="Times New Roman" w:hAnsi="Times New Roman" w:cs="Times New Roman"/>
          <w:i/>
        </w:rPr>
        <w:t>a</w:t>
      </w:r>
      <w:r w:rsidRPr="2D8CF45F">
        <w:rPr>
          <w:rFonts w:ascii="Times New Roman" w:hAnsi="Times New Roman" w:cs="Times New Roman"/>
        </w:rPr>
        <w:t>]</w:t>
      </w:r>
      <w:r w:rsidR="5F6E21C6" w:rsidRPr="2D8CF45F">
        <w:rPr>
          <w:rFonts w:ascii="Times New Roman" w:hAnsi="Times New Roman" w:cs="Times New Roman"/>
        </w:rPr>
        <w:t>P</w:t>
      </w:r>
      <w:r w:rsidRPr="2D8CF45F">
        <w:rPr>
          <w:rFonts w:ascii="Times New Roman" w:hAnsi="Times New Roman" w:cs="Times New Roman"/>
        </w:rPr>
        <w:t xml:space="preserve"> show significant spatial variability, with underground mining environments displaying concentrations of 15.87 μg/g in coal, 0.82 μg/L in mine water, and 10.63 μg/g in underground sludge </w:t>
      </w:r>
      <w:r w:rsidR="007D5212"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{"citationID":"awbU8D9b","properties":{"formattedCitation":"(Chen et al. 2019)","plainCitation":"(Chen et al. 2019)","noteIndex":0},"citationItems":[{"id":"r9E9mN5c/94FBGxVZ","uris":["http://zotero.org/users/14468226/items/GJYD9EGT"],"itemData":{"id":6556,"type":"article-journal","abstract":"Polycyclic aromatic hydrocarbons (PAHs) in underground mining environment pose serious threats to groundwater and surface ecological environment with the migration and flow of mine water. We collected 26 underground samples from six mines of Xuzhou, including coal, mine water, and underground sludge, to measure the 16 PAHs, aiming to investigate the contamination level, distribution, and possible sources and to estimate the ecological risks of PAHs. Results showed that the concentrations of 16-PAHs (mean value) in the coal, mine water, and underground sludge were 15.87 μg/g, 0.82 μg/L, and 10.63 μg/g, respectively. There was a significant difference in the number of rings between different coals, and 2-3 ring PAHs occupied the majority of PAHs in mine water, which was determined by the Kow of PAHs. Coal and underground sludge contained more carcinogenic PAHs than mine water. And the main carcinogenic PAHs in coal were BaA, BbF, and InP, and for underground sludge were BbF, CHr, and BaP. Risk quotient (RQ) was used to evaluate the ecological risk of mine drainage, showing that PAHs in mine water were generally at medium-high risk levels. This study highlights the PAHs pollution problems in underground mining environment, particularly the potential ecological risks of mine drainage in Xuzhou.","container-title":"Human and Ecological Risk Assessment: An International Journal","DOI":"10.1080/10807039.2018.1489715","ISSN":"1080-7039","issue":"6","note":"publisher: Taylor &amp; Francis\n_eprint: https://doi.org/10.1080/10807039.2018.1489715","page":"1564-1578","source":"Taylor and Francis+NEJM","title":"Distribution characteristics and ecological risk assessment of polycyclic aromatic hydrocarbons (PAHs) in underground coal mining environment of Xuzhou","volume":"25","author":[{"family":"Chen","given":"Di"},{"family":"Feng","given":"Qiyan"},{"family":"Liang","given":"Haoqian"},{"family":"Gao","given":"Bo"},{"family":"Alam","given":"Easar"}],"issued":{"date-parts":[["2019",8,18]]}}}],"schema":"https://github.com/citation-style-language/schema/raw/master/csl-citation.json"} </w:instrText>
      </w:r>
      <w:r w:rsidR="007D5212" w:rsidRPr="2D8CF45F">
        <w:rPr>
          <w:rFonts w:ascii="Times New Roman" w:hAnsi="Times New Roman" w:cs="Times New Roman"/>
        </w:rPr>
        <w:fldChar w:fldCharType="separate"/>
      </w:r>
      <w:r w:rsidR="00E5454F">
        <w:rPr>
          <w:rFonts w:ascii="Times New Roman" w:hAnsi="Times New Roman" w:cs="Times New Roman"/>
        </w:rPr>
        <w:t>(Chen et al. 2019)</w:t>
      </w:r>
      <w:r w:rsidR="007D5212" w:rsidRPr="2D8CF45F">
        <w:rPr>
          <w:rFonts w:ascii="Times New Roman" w:hAnsi="Times New Roman" w:cs="Times New Roman"/>
        </w:rPr>
        <w:fldChar w:fldCharType="end"/>
      </w:r>
      <w:r w:rsidRPr="2D8CF45F">
        <w:rPr>
          <w:rFonts w:ascii="Times New Roman" w:hAnsi="Times New Roman" w:cs="Times New Roman"/>
        </w:rPr>
        <w:t xml:space="preserve">. </w:t>
      </w:r>
      <w:r w:rsidR="00E74FF1">
        <w:rPr>
          <w:rFonts w:ascii="Times New Roman" w:hAnsi="Times New Roman" w:cs="Times New Roman"/>
        </w:rPr>
        <w:t xml:space="preserve">According to </w:t>
      </w:r>
      <w:r w:rsidR="004D17EB">
        <w:rPr>
          <w:rFonts w:ascii="Times New Roman" w:hAnsi="Times New Roman" w:cs="Times New Roman"/>
        </w:rPr>
        <w:t>the</w:t>
      </w:r>
      <w:r w:rsidR="00E74FF1">
        <w:rPr>
          <w:rFonts w:ascii="Times New Roman" w:hAnsi="Times New Roman" w:cs="Times New Roman"/>
        </w:rPr>
        <w:t xml:space="preserve"> </w:t>
      </w:r>
      <w:r w:rsidR="00E74FF1" w:rsidRPr="00E74FF1">
        <w:rPr>
          <w:rFonts w:ascii="Times New Roman" w:hAnsi="Times New Roman" w:cs="Times New Roman"/>
        </w:rPr>
        <w:t>European Union (EU)</w:t>
      </w:r>
      <w:r w:rsidRPr="2D8CF45F">
        <w:rPr>
          <w:rFonts w:ascii="Times New Roman" w:hAnsi="Times New Roman" w:cs="Times New Roman"/>
        </w:rPr>
        <w:t xml:space="preserve"> </w:t>
      </w:r>
      <w:r w:rsidR="540996A6" w:rsidRPr="065DB05F">
        <w:rPr>
          <w:rFonts w:ascii="Times New Roman" w:hAnsi="Times New Roman" w:cs="Times New Roman"/>
        </w:rPr>
        <w:t>i</w:t>
      </w:r>
      <w:r w:rsidR="1B6FCE51" w:rsidRPr="065DB05F">
        <w:rPr>
          <w:rFonts w:ascii="Times New Roman" w:hAnsi="Times New Roman" w:cs="Times New Roman"/>
        </w:rPr>
        <w:t>n</w:t>
      </w:r>
      <w:r w:rsidR="00383D97">
        <w:rPr>
          <w:rFonts w:ascii="Times New Roman" w:hAnsi="Times New Roman" w:cs="Times New Roman"/>
        </w:rPr>
        <w:t xml:space="preserve"> Ind</w:t>
      </w:r>
      <w:r w:rsidR="00FA09DB">
        <w:rPr>
          <w:rFonts w:ascii="Times New Roman" w:hAnsi="Times New Roman" w:cs="Times New Roman"/>
        </w:rPr>
        <w:t>ia</w:t>
      </w:r>
      <w:r w:rsidR="004A1361">
        <w:rPr>
          <w:rFonts w:ascii="Times New Roman" w:hAnsi="Times New Roman" w:cs="Times New Roman"/>
        </w:rPr>
        <w:t>,</w:t>
      </w:r>
      <w:r w:rsidR="1D96517B" w:rsidRPr="21C82E5A">
        <w:rPr>
          <w:rFonts w:ascii="Times New Roman" w:hAnsi="Times New Roman" w:cs="Times New Roman"/>
        </w:rPr>
        <w:t xml:space="preserve"> </w:t>
      </w:r>
      <w:r w:rsidR="007B2404">
        <w:rPr>
          <w:rFonts w:ascii="Times New Roman" w:hAnsi="Times New Roman" w:cs="Times New Roman"/>
        </w:rPr>
        <w:t>various</w:t>
      </w:r>
      <w:r w:rsidRPr="2D8CF45F">
        <w:rPr>
          <w:rFonts w:ascii="Times New Roman" w:hAnsi="Times New Roman" w:cs="Times New Roman"/>
        </w:rPr>
        <w:t xml:space="preserve"> concentrations of </w:t>
      </w:r>
      <w:r w:rsidR="299BC845" w:rsidRPr="2D8CF45F">
        <w:rPr>
          <w:rFonts w:ascii="Times New Roman" w:hAnsi="Times New Roman" w:cs="Times New Roman"/>
        </w:rPr>
        <w:t>B[</w:t>
      </w:r>
      <w:r w:rsidR="299BC845" w:rsidRPr="065DB05F">
        <w:rPr>
          <w:rFonts w:ascii="Times New Roman" w:hAnsi="Times New Roman" w:cs="Times New Roman"/>
          <w:i/>
        </w:rPr>
        <w:t>a</w:t>
      </w:r>
      <w:r w:rsidR="299BC845" w:rsidRPr="2D8CF45F">
        <w:rPr>
          <w:rFonts w:ascii="Times New Roman" w:hAnsi="Times New Roman" w:cs="Times New Roman"/>
        </w:rPr>
        <w:t xml:space="preserve">]P </w:t>
      </w:r>
      <w:r w:rsidRPr="2D8CF45F">
        <w:rPr>
          <w:rFonts w:ascii="Times New Roman" w:hAnsi="Times New Roman" w:cs="Times New Roman"/>
        </w:rPr>
        <w:t xml:space="preserve">have been detected in different waterbodies, </w:t>
      </w:r>
      <w:r w:rsidR="29895911" w:rsidRPr="2D8CF45F">
        <w:rPr>
          <w:rFonts w:ascii="Times New Roman" w:hAnsi="Times New Roman" w:cs="Times New Roman"/>
        </w:rPr>
        <w:t>such</w:t>
      </w:r>
      <w:r w:rsidRPr="2D8CF45F">
        <w:rPr>
          <w:rFonts w:ascii="Times New Roman" w:hAnsi="Times New Roman" w:cs="Times New Roman"/>
        </w:rPr>
        <w:t xml:space="preserve"> as surface water, </w:t>
      </w:r>
      <w:r w:rsidR="00F548F6">
        <w:rPr>
          <w:rFonts w:ascii="Times New Roman" w:hAnsi="Times New Roman" w:cs="Times New Roman"/>
        </w:rPr>
        <w:t>ranging</w:t>
      </w:r>
      <w:r w:rsidRPr="2D8CF45F">
        <w:rPr>
          <w:rFonts w:ascii="Times New Roman" w:hAnsi="Times New Roman" w:cs="Times New Roman"/>
        </w:rPr>
        <w:t xml:space="preserve"> </w:t>
      </w:r>
      <w:r w:rsidR="007B2404" w:rsidRPr="007B2404">
        <w:rPr>
          <w:rFonts w:ascii="Times New Roman" w:hAnsi="Times New Roman" w:cs="Times New Roman"/>
        </w:rPr>
        <w:t>8.61 ng/L</w:t>
      </w:r>
      <w:r w:rsidR="77EDD8A9" w:rsidRPr="065DB05F">
        <w:rPr>
          <w:rFonts w:ascii="Times New Roman" w:hAnsi="Times New Roman" w:cs="Times New Roman"/>
        </w:rPr>
        <w:t>.</w:t>
      </w:r>
      <w:r w:rsidR="007B2404" w:rsidRPr="001C653B">
        <w:rPr>
          <w:rFonts w:ascii="Times New Roman" w:hAnsi="Times New Roman" w:cs="Times New Roman"/>
        </w:rPr>
        <w:t xml:space="preserve"> </w:t>
      </w:r>
      <w:r w:rsidRPr="000B473D">
        <w:rPr>
          <w:rFonts w:ascii="Times New Roman" w:hAnsi="Times New Roman" w:cs="Times New Roman"/>
        </w:rPr>
        <w:t xml:space="preserve"> </w:t>
      </w:r>
      <w:r w:rsidR="00DD001D" w:rsidRPr="000B473D">
        <w:rPr>
          <w:rFonts w:ascii="Times New Roman" w:hAnsi="Times New Roman" w:cs="Times New Roman"/>
        </w:rPr>
        <w:t>In</w:t>
      </w:r>
      <w:r w:rsidRPr="000B473D">
        <w:rPr>
          <w:rFonts w:ascii="Times New Roman" w:hAnsi="Times New Roman" w:cs="Times New Roman"/>
        </w:rPr>
        <w:t xml:space="preserve"> </w:t>
      </w:r>
      <w:r w:rsidR="004F6C3F" w:rsidRPr="001C653B">
        <w:rPr>
          <w:rFonts w:ascii="Times New Roman" w:hAnsi="Times New Roman" w:cs="Times New Roman"/>
        </w:rPr>
        <w:t>drinking</w:t>
      </w:r>
      <w:r w:rsidRPr="000B473D">
        <w:rPr>
          <w:rFonts w:ascii="Times New Roman" w:hAnsi="Times New Roman" w:cs="Times New Roman"/>
        </w:rPr>
        <w:t xml:space="preserve"> water</w:t>
      </w:r>
      <w:r w:rsidR="0FBEB262" w:rsidRPr="000B473D">
        <w:rPr>
          <w:rFonts w:ascii="Times New Roman" w:hAnsi="Times New Roman" w:cs="Times New Roman"/>
        </w:rPr>
        <w:t>,</w:t>
      </w:r>
      <w:r w:rsidRPr="000B473D">
        <w:rPr>
          <w:rFonts w:ascii="Times New Roman" w:hAnsi="Times New Roman" w:cs="Times New Roman"/>
        </w:rPr>
        <w:t xml:space="preserve"> it usually ranges </w:t>
      </w:r>
      <w:r w:rsidR="00162ADC" w:rsidRPr="00162ADC">
        <w:rPr>
          <w:rFonts w:ascii="Times New Roman" w:hAnsi="Times New Roman" w:cs="Times New Roman"/>
        </w:rPr>
        <w:t>10 ng/L</w:t>
      </w:r>
      <w:r w:rsidRPr="2D8CF45F">
        <w:rPr>
          <w:rFonts w:ascii="Times New Roman" w:hAnsi="Times New Roman" w:cs="Times New Roman"/>
        </w:rPr>
        <w:t xml:space="preserve"> which </w:t>
      </w:r>
      <w:r w:rsidR="4A6E46E8" w:rsidRPr="0705859E">
        <w:rPr>
          <w:rFonts w:ascii="Times New Roman" w:hAnsi="Times New Roman" w:cs="Times New Roman"/>
        </w:rPr>
        <w:t>directly</w:t>
      </w:r>
      <w:r w:rsidRPr="2D8CF45F">
        <w:rPr>
          <w:rFonts w:ascii="Times New Roman" w:hAnsi="Times New Roman" w:cs="Times New Roman"/>
        </w:rPr>
        <w:t xml:space="preserve"> affects human health</w:t>
      </w:r>
      <w:r w:rsidR="00A41475">
        <w:rPr>
          <w:rFonts w:ascii="Times New Roman" w:hAnsi="Times New Roman" w:cs="Times New Roman"/>
        </w:rPr>
        <w:t xml:space="preserve"> </w:t>
      </w:r>
      <w:r w:rsidR="003475DA">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{"citationID":"Pc2x2wNI","properties":{"formattedCitation":"(Negi &amp; Chaudhary 2024)","plainCitation":"(Negi &amp; Chaudhary 2024)","noteIndex":0},"citationItems":[{"id":"r9E9mN5c/cRXzvZhM","uris":["http://zotero.org/users/14468226/items/N9B2NKBG"],"itemData":{"id":6914,"type":"article-journal","abstract":"A polycyclic aromatic hydrocarbon called benzo[a]pyrene (B[a]P) is produced during incomplete burning of fuels. The most common way humans consume B[a]P is through food products, particularly grilled or smoked foods. B[a]P is also frequently detected in the sediments, soil, surface water, and air. Once bioactivated, it produces a highly reactive epoxide monomer that can create adducts by chemically reacting with biological molecules, such as DNA. B[a]P is implicated in various cancers due to its interaction with the aromatic hydrocarbon receptor (AhR). Apart from its detrimental impacts on development and reproduction, this substance also suppresses the immune system. Microbes, however, are critical to cleaning up the B[a]P-contaminated environment. This review focuses on forming B[a]P in different compartments of the environment and human surroundings, and the mechanisms responsible for its harmful effects and carcinogenic risk. This review also discusses the strategies for the deterioration of B[a]P.","container-title":"The Applied Biology &amp; Chemistry Journal","DOI":"10.52679/tabcj.2024.0007","ISSN":"2582-8789","issue":"3","language":"en","license":"Copyright (c) 2024 Karan Negi, Priya Chaudhary","page":"44-56","source":"theabcjournal.com","title":"Benzo[a]pyrene: A carcinogen, its sources, adverse effects, and preventions","title-short":"Benzo[a]pyrene","volume":"5","author":[{"family":"Negi","given":"Karan"},{"family":"Chaudhary","given":"Priya"}],"issued":{"date-parts":[["2024",9,30]]}}}],"schema":"https://github.com/citation-style-language/schema/raw/master/csl-citation.json"} </w:instrText>
      </w:r>
      <w:r w:rsidR="003475DA">
        <w:rPr>
          <w:rFonts w:ascii="Times New Roman" w:hAnsi="Times New Roman" w:cs="Times New Roman"/>
        </w:rPr>
        <w:fldChar w:fldCharType="separate"/>
      </w:r>
      <w:r w:rsidR="00E5454F">
        <w:rPr>
          <w:rFonts w:ascii="Times New Roman" w:hAnsi="Times New Roman" w:cs="Times New Roman"/>
        </w:rPr>
        <w:t>(Negi &amp; Chaudhary 2024)</w:t>
      </w:r>
      <w:r w:rsidR="003475DA">
        <w:rPr>
          <w:rFonts w:ascii="Times New Roman" w:hAnsi="Times New Roman" w:cs="Times New Roman"/>
        </w:rPr>
        <w:fldChar w:fldCharType="end"/>
      </w:r>
      <w:r w:rsidR="00190415">
        <w:rPr>
          <w:rFonts w:ascii="Times New Roman" w:hAnsi="Times New Roman" w:cs="Times New Roman"/>
        </w:rPr>
        <w:t xml:space="preserve"> </w:t>
      </w:r>
      <w:r w:rsidRPr="2D8CF45F">
        <w:rPr>
          <w:rFonts w:ascii="Times New Roman" w:hAnsi="Times New Roman" w:cs="Times New Roman"/>
        </w:rPr>
        <w:t>. B</w:t>
      </w:r>
      <w:r w:rsidR="7442B804" w:rsidRPr="2D8CF45F">
        <w:rPr>
          <w:rFonts w:ascii="Times New Roman" w:hAnsi="Times New Roman" w:cs="Times New Roman"/>
        </w:rPr>
        <w:t>[</w:t>
      </w:r>
      <w:r w:rsidRPr="065DB05F">
        <w:rPr>
          <w:rFonts w:ascii="Times New Roman" w:hAnsi="Times New Roman" w:cs="Times New Roman"/>
          <w:i/>
        </w:rPr>
        <w:t>a</w:t>
      </w:r>
      <w:r w:rsidR="7A46E993" w:rsidRPr="2D8CF45F">
        <w:rPr>
          <w:rFonts w:ascii="Times New Roman" w:hAnsi="Times New Roman" w:cs="Times New Roman"/>
        </w:rPr>
        <w:t>]</w:t>
      </w:r>
      <w:r w:rsidRPr="2D8CF45F">
        <w:rPr>
          <w:rFonts w:ascii="Times New Roman" w:hAnsi="Times New Roman" w:cs="Times New Roman"/>
        </w:rPr>
        <w:t xml:space="preserve">P </w:t>
      </w:r>
      <w:r w:rsidR="3E919B36" w:rsidRPr="2D8CF45F">
        <w:rPr>
          <w:rFonts w:ascii="Times New Roman" w:hAnsi="Times New Roman" w:cs="Times New Roman"/>
        </w:rPr>
        <w:t>h</w:t>
      </w:r>
      <w:r w:rsidRPr="2D8CF45F">
        <w:rPr>
          <w:rFonts w:ascii="Times New Roman" w:hAnsi="Times New Roman" w:cs="Times New Roman"/>
        </w:rPr>
        <w:t>as also</w:t>
      </w:r>
      <w:r w:rsidR="3E919B36" w:rsidRPr="2D8CF45F">
        <w:rPr>
          <w:rFonts w:ascii="Times New Roman" w:hAnsi="Times New Roman" w:cs="Times New Roman"/>
        </w:rPr>
        <w:t xml:space="preserve"> been</w:t>
      </w:r>
      <w:r w:rsidRPr="2D8CF45F">
        <w:rPr>
          <w:rFonts w:ascii="Times New Roman" w:hAnsi="Times New Roman" w:cs="Times New Roman"/>
        </w:rPr>
        <w:t xml:space="preserve"> detected in</w:t>
      </w:r>
      <w:r w:rsidRPr="2D8CF45F" w:rsidDel="008A2842">
        <w:rPr>
          <w:rFonts w:ascii="Times New Roman" w:hAnsi="Times New Roman" w:cs="Times New Roman"/>
        </w:rPr>
        <w:t xml:space="preserve"> </w:t>
      </w:r>
      <w:r w:rsidRPr="2D8CF45F">
        <w:rPr>
          <w:rFonts w:ascii="Times New Roman" w:hAnsi="Times New Roman" w:cs="Times New Roman"/>
        </w:rPr>
        <w:t xml:space="preserve">Indian river at a concentration of approximately 8.61 </w:t>
      </w:r>
      <w:r w:rsidR="6ECE7964" w:rsidRPr="18035B2F">
        <w:rPr>
          <w:rFonts w:ascii="Times New Roman" w:hAnsi="Times New Roman" w:cs="Times New Roman"/>
        </w:rPr>
        <w:t>µ</w:t>
      </w:r>
      <w:r w:rsidR="5EA42D45" w:rsidRPr="18035B2F">
        <w:rPr>
          <w:rFonts w:ascii="Times New Roman" w:hAnsi="Times New Roman" w:cs="Times New Roman"/>
        </w:rPr>
        <w:t>g</w:t>
      </w:r>
      <w:r w:rsidRPr="2D8CF45F">
        <w:rPr>
          <w:rFonts w:ascii="Times New Roman" w:hAnsi="Times New Roman" w:cs="Times New Roman"/>
        </w:rPr>
        <w:t>/L</w:t>
      </w:r>
      <w:r w:rsidR="6EFE614E" w:rsidRPr="2D8CF45F">
        <w:rPr>
          <w:rFonts w:ascii="Times New Roman" w:hAnsi="Times New Roman" w:cs="Times New Roman"/>
        </w:rPr>
        <w:t xml:space="preserve"> </w:t>
      </w:r>
      <w:r w:rsidR="007D5212"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{"citationID":"6FhVPRM0","properties":{"formattedCitation":"(Zeb et al. 2024)","plainCitation":"(Zeb et al. 2024)","noteIndex":0},"citationItems":[{"id":"r9E9mN5c/EjVMwJJ9","uris":["http://zotero.org/users/14468226/items/4JK6DJ67"],"itemData":{"id":6551,"type":"article-journal","abstract":"Polycyclic aromatic hydrocarbons (PAHs) accumulate and integrate into aquatic environments, raising concerns about the well-being and safety of aquatic ecosystems. Benzo[a]pyrene (BaP), a persistent PAH commonly detected in the environment, has been extensively studied. However, the broader multifaceted toxicity potential of BaP on the early life stages of marine fish during chronic exposure to environmentally relevant concentrations needs further exploration. To fill these knowledge gaps, this study assessed the in vivo biotoxicity of BaP (1, 4, and 8 μg/L) in marine medaka (Oryzias melastigma) during early development over a 30-day exposure period. The investigation included morphological, biochemical, and molecular-level analyses to capture the broader potential of BaP toxicity. Morphological analyses showed that exposure to BaP resulted in skeletal curvatures, heart anomalies, growth retardation, elevated mortality, delayed and reduced hatching rates. Biochemical analyses revealed that BaP exposure not only created oxidative stress but also disrupted the activities of antioxidant enzymes. This disturbance in redox balance was further explored by molecular level investigation. The transcriptional profiles revealed impaired oxidative phosphorylation (OXPHOS) and tricarboxylic acid (TCA) cycle pathways, which potentially inhibited the oxidative respiratory chain in fish following exposure to BaP, and reduced the production of adenosine triphosphate (ATP) and succinate dehydrogenase (SDH). Furthermore, this investigation indicated a potential connection to apoptosis, as demonstrated by fluorescence microscopy and histological analyses, and supported by an increase in the expression levels of related genes via real-time quantitative PCR. This study enhances our understanding of the molecular-level impacts of BaP’s multifaceted toxicity in the early life stages of marine medaka, and the associated risks.","container-title":"Aquatic Toxicology","DOI":"10.1016/j.aquatox.2024.107016","ISSN":"0166445X","journalAbbreviation":"Aquatic Toxicology","language":"en","page":"107016","source":"DOI.org (Crossref)","title":"Chronic exposure to environmental concentrations of benzo[a]pyrene causes multifaceted toxic effects of developmental compromise, redox imbalance, and modulated transcriptional profiles in the early life stages of marine medaka (Oryzias melastigma)","volume":"273","author":[{"family":"Zeb","given":"Rabia"},{"family":"Yin","given":"Xiaohan"},{"family":"Chen","given":"Fangyi"},{"family":"Wang","given":"Ke-Jian"}],"issued":{"date-parts":[["2024",8]]}}}],"schema":"https://github.com/citation-style-language/schema/raw/master/csl-citation.json"} </w:instrText>
      </w:r>
      <w:r w:rsidR="007D5212" w:rsidRPr="2D8CF45F">
        <w:rPr>
          <w:rFonts w:ascii="Times New Roman" w:hAnsi="Times New Roman" w:cs="Times New Roman"/>
        </w:rPr>
        <w:fldChar w:fldCharType="separate"/>
      </w:r>
      <w:r w:rsidR="00E5454F">
        <w:rPr>
          <w:rFonts w:ascii="Times New Roman" w:hAnsi="Times New Roman" w:cs="Times New Roman"/>
        </w:rPr>
        <w:t>(Zeb et al. 2024)</w:t>
      </w:r>
      <w:r w:rsidR="007D5212" w:rsidRPr="2D8CF45F">
        <w:rPr>
          <w:rFonts w:ascii="Times New Roman" w:hAnsi="Times New Roman" w:cs="Times New Roman"/>
        </w:rPr>
        <w:fldChar w:fldCharType="end"/>
      </w:r>
      <w:r w:rsidR="6EFE614E" w:rsidRPr="2D8CF45F">
        <w:rPr>
          <w:rFonts w:ascii="Times New Roman" w:hAnsi="Times New Roman" w:cs="Times New Roman"/>
        </w:rPr>
        <w:t xml:space="preserve">. </w:t>
      </w:r>
      <w:r w:rsidRPr="2D8CF45F">
        <w:rPr>
          <w:rFonts w:ascii="Times New Roman" w:hAnsi="Times New Roman" w:cs="Times New Roman"/>
        </w:rPr>
        <w:t>At higher concentrations, B[</w:t>
      </w:r>
      <w:r w:rsidRPr="065DB05F">
        <w:rPr>
          <w:rFonts w:ascii="Times New Roman" w:hAnsi="Times New Roman" w:cs="Times New Roman"/>
          <w:i/>
        </w:rPr>
        <w:t>a</w:t>
      </w:r>
      <w:r w:rsidRPr="2D8CF45F">
        <w:rPr>
          <w:rFonts w:ascii="Times New Roman" w:hAnsi="Times New Roman" w:cs="Times New Roman"/>
        </w:rPr>
        <w:t>]P and its metabolites, including benzo[</w:t>
      </w:r>
      <w:r w:rsidRPr="065DB05F">
        <w:rPr>
          <w:rFonts w:ascii="Times New Roman" w:hAnsi="Times New Roman" w:cs="Times New Roman"/>
          <w:i/>
        </w:rPr>
        <w:t>a</w:t>
      </w:r>
      <w:r w:rsidRPr="2D8CF45F">
        <w:rPr>
          <w:rFonts w:ascii="Times New Roman" w:hAnsi="Times New Roman" w:cs="Times New Roman"/>
        </w:rPr>
        <w:t>]pyrene-7,8-dihydrodiol, benzo[</w:t>
      </w:r>
      <w:r w:rsidRPr="065DB05F">
        <w:rPr>
          <w:rFonts w:ascii="Times New Roman" w:hAnsi="Times New Roman" w:cs="Times New Roman"/>
          <w:i/>
        </w:rPr>
        <w:t>a</w:t>
      </w:r>
      <w:r w:rsidRPr="2D8CF45F">
        <w:rPr>
          <w:rFonts w:ascii="Times New Roman" w:hAnsi="Times New Roman" w:cs="Times New Roman"/>
        </w:rPr>
        <w:t xml:space="preserve">]pyrene-9,10-oxide, and the ultimate carcinogen </w:t>
      </w:r>
      <w:r w:rsidR="004E7C07" w:rsidRPr="2D8CF45F">
        <w:rPr>
          <w:rFonts w:ascii="Times New Roman" w:hAnsi="Times New Roman" w:cs="Times New Roman"/>
        </w:rPr>
        <w:t>BPDE</w:t>
      </w:r>
      <w:r w:rsidR="7BD11E22" w:rsidRPr="2D8CF45F">
        <w:rPr>
          <w:rFonts w:ascii="Times New Roman" w:hAnsi="Times New Roman" w:cs="Times New Roman"/>
        </w:rPr>
        <w:t xml:space="preserve"> </w:t>
      </w:r>
      <w:r w:rsidR="007D5212"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{"citationID":"3CDbmlVi","properties":{"formattedCitation":"(Bukowska et al. 2022)","plainCitation":"(Bukowska et al. 2022)","noteIndex":0},"citationItems":[{"id":7665,"uris":["http://zotero.org/users/7192077/items/M64SCLBZ"],"itemData":{"id":7665,"type":"article-journal","abstract":"Benzo[a]pyrene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URL":"https://www.mdpi.com/1422-0067/23/11/6348","volume":"23","author":[{"family":"Bukowska","given":"Bożena"},{"family":"Mokra","given":"Katarzyna"},{"family":"Michałowicz","given":"Jaromir"}],"accessed":{"date-parts":[["2025",7,23]]},"issued":{"date-parts":[["2022",1]]}}}],"schema":"https://github.com/citation-style-language/schema/raw/master/csl-citation.json"} </w:instrText>
      </w:r>
      <w:r w:rsidR="007D5212" w:rsidRPr="2D8CF45F">
        <w:rPr>
          <w:rFonts w:ascii="Times New Roman" w:hAnsi="Times New Roman" w:cs="Times New Roman"/>
        </w:rPr>
        <w:fldChar w:fldCharType="separate"/>
      </w:r>
      <w:r w:rsidR="00E5454F">
        <w:rPr>
          <w:rFonts w:ascii="Times New Roman" w:hAnsi="Times New Roman" w:cs="Times New Roman"/>
        </w:rPr>
        <w:t>(Bukowska et al. 2022)</w:t>
      </w:r>
      <w:r w:rsidR="007D5212" w:rsidRPr="2D8CF45F">
        <w:rPr>
          <w:rFonts w:ascii="Times New Roman" w:hAnsi="Times New Roman" w:cs="Times New Roman"/>
        </w:rPr>
        <w:fldChar w:fldCharType="end"/>
      </w:r>
      <w:r w:rsidR="6EFE614E" w:rsidRPr="2D8CF45F">
        <w:rPr>
          <w:rFonts w:ascii="Times New Roman" w:hAnsi="Times New Roman" w:cs="Times New Roman"/>
        </w:rPr>
        <w:t xml:space="preserve">. </w:t>
      </w:r>
      <w:r w:rsidRPr="2D8CF45F">
        <w:rPr>
          <w:rFonts w:ascii="Times New Roman" w:hAnsi="Times New Roman" w:cs="Times New Roman"/>
        </w:rPr>
        <w:t>These metabolites possess strong electrophilic properties and readily form covalent adducts with DNA, primarily at</w:t>
      </w:r>
      <w:r w:rsidR="3E919B36" w:rsidRPr="2D8CF45F">
        <w:rPr>
          <w:rFonts w:ascii="Times New Roman" w:hAnsi="Times New Roman" w:cs="Times New Roman"/>
        </w:rPr>
        <w:t xml:space="preserve"> </w:t>
      </w:r>
      <w:r w:rsidR="00C323D2">
        <w:rPr>
          <w:rFonts w:ascii="Times New Roman" w:hAnsi="Times New Roman" w:cs="Times New Roman"/>
        </w:rPr>
        <w:t xml:space="preserve">the </w:t>
      </w:r>
      <w:r w:rsidRPr="2D8CF45F">
        <w:rPr>
          <w:rFonts w:ascii="Times New Roman" w:hAnsi="Times New Roman" w:cs="Times New Roman"/>
        </w:rPr>
        <w:t xml:space="preserve">guanine residues, resulting in mutagenic lesions. </w:t>
      </w:r>
      <w:r w:rsidR="59245522" w:rsidRPr="2D8CF45F">
        <w:rPr>
          <w:rFonts w:ascii="Times New Roman" w:hAnsi="Times New Roman" w:cs="Times New Roman"/>
        </w:rPr>
        <w:lastRenderedPageBreak/>
        <w:t>Additionally</w:t>
      </w:r>
      <w:r w:rsidRPr="2D8CF45F">
        <w:rPr>
          <w:rFonts w:ascii="Times New Roman" w:hAnsi="Times New Roman" w:cs="Times New Roman"/>
        </w:rPr>
        <w:t xml:space="preserve">, excessive metabolic turnover enhances the production of reactive oxygen species (ROS) and reactive nitrogen species (RNS), which contribute to oxidative DNA damage, lipid peroxidation and protein oxidation </w:t>
      </w:r>
      <w:r w:rsidRPr="2D8CF45F">
        <w:rPr>
          <w:rFonts w:ascii="Times New Roman" w:hAnsi="Times New Roman" w:cs="Times New Roman"/>
          <w:b/>
          <w:bCs/>
        </w:rPr>
        <w:t>(</w:t>
      </w:r>
      <w:r w:rsidRPr="2D8CF45F" w:rsidDel="002F5021">
        <w:rPr>
          <w:rFonts w:ascii="Times New Roman" w:hAnsi="Times New Roman" w:cs="Times New Roman"/>
          <w:b/>
          <w:bCs/>
        </w:rPr>
        <w:t>Fig</w:t>
      </w:r>
      <w:r w:rsidR="0EC11DC7" w:rsidRPr="2D8CF45F" w:rsidDel="002F5021">
        <w:rPr>
          <w:rFonts w:ascii="Times New Roman" w:hAnsi="Times New Roman" w:cs="Times New Roman"/>
          <w:b/>
          <w:bCs/>
        </w:rPr>
        <w:t>ure</w:t>
      </w:r>
      <w:r w:rsidR="3437BAA9" w:rsidRPr="486A91AC">
        <w:rPr>
          <w:rFonts w:ascii="Times New Roman" w:hAnsi="Times New Roman" w:cs="Times New Roman"/>
          <w:b/>
          <w:bCs/>
        </w:rPr>
        <w:t xml:space="preserve"> 1)</w:t>
      </w:r>
      <w:r w:rsidRPr="486A91AC">
        <w:rPr>
          <w:rFonts w:ascii="Times New Roman" w:hAnsi="Times New Roman" w:cs="Times New Roman"/>
        </w:rPr>
        <w:t>.</w:t>
      </w:r>
      <w:r w:rsidRPr="2D8CF45F">
        <w:rPr>
          <w:rFonts w:ascii="Times New Roman" w:hAnsi="Times New Roman" w:cs="Times New Roman"/>
        </w:rPr>
        <w:t xml:space="preserve"> The combined burden of direct DNA adduct formation and oxidative stress at elevated B[</w:t>
      </w:r>
      <w:r w:rsidRPr="065DB05F">
        <w:rPr>
          <w:rFonts w:ascii="Times New Roman" w:hAnsi="Times New Roman" w:cs="Times New Roman"/>
          <w:i/>
        </w:rPr>
        <w:t>a</w:t>
      </w:r>
      <w:r w:rsidRPr="2D8CF45F">
        <w:rPr>
          <w:rFonts w:ascii="Times New Roman" w:hAnsi="Times New Roman" w:cs="Times New Roman"/>
        </w:rPr>
        <w:t xml:space="preserve">]P exposure levels significantly increases genomic instability, disrupts signalling networks, and </w:t>
      </w:r>
      <w:r w:rsidR="00B41CBA">
        <w:rPr>
          <w:rFonts w:ascii="Times New Roman" w:hAnsi="Times New Roman" w:cs="Times New Roman"/>
        </w:rPr>
        <w:t>favors</w:t>
      </w:r>
      <w:r w:rsidRPr="2D8CF45F">
        <w:rPr>
          <w:rFonts w:ascii="Times New Roman" w:hAnsi="Times New Roman" w:cs="Times New Roman"/>
        </w:rPr>
        <w:t xml:space="preserve"> malignant transformation </w:t>
      </w:r>
      <w:r w:rsidR="007D5212" w:rsidRPr="2D8CF45F">
        <w:rPr>
          <w:rFonts w:ascii="Times New Roman" w:hAnsi="Times New Roman" w:cs="Times New Roman"/>
        </w:rPr>
        <w:fldChar w:fldCharType="begin"/>
      </w:r>
      <w:r w:rsidR="00E5454F">
        <w:rPr>
          <w:rFonts w:ascii="Times New Roman" w:hAnsi="Times New Roman" w:cs="Times New Roman"/>
        </w:rPr>
        <w:instrText xml:space="preserve"> ADDIN ZOTERO_ITEM CSL_CITATION {"citationID":"bs9SwrD7","properties":{"formattedCitation":"(Das &amp; Bhutia 2018)","plainCitation":"(Das &amp; Bhutia 2018)","noteIndex":0},"citationItems":[{"id":"r9E9mN5c/twKRCo9d","uris":["http://zotero.org/users/14468226/items/A29MIXR2"],"itemData":{"id":6911,"type":"article-journal","abstract":"Food-borne Benzo[a]pyrene (B[a]P), a polycyclic aromatic hydrocarbon, exposure is one of the major concerns associated with a risk of cancer development. The aggregative environmental pollution has increased B[a]P contamination in grilled and barbecued meat, vegetables, oils, grain and cereals, fruits, smoked fish, and seafood leading to a high dietary intake in the worldwide human population. B[a]P activation through cytochrome P450 leads to generate active metabolites that directly react with DNA and form adducts causing mutations to initiate carcinogenesis. Moreover, B[a]P-dependent reactive oxygen species production and mitochondrial damage cause apoptosis and induce autophagy, which results in the disruption of cellular homeostasis and neoplastic transformation. Further, B[a]P alters cell signals regulating proliferative and survival pathways that drive cancer cell migration and metastasis; however, the precise mechanisms underlying its carcinogenic properties remain yet to be thoroughly defined. The elevated levels of exposure of B[a]P result in the alteration of immune cell function and immunosuppression making suitable conditions for tumor development. This review presents the details of B[a]P occurrence in food, total daily intake of B[a]P, and the level of B[a]P associated with a cancer risk. In conclusion, we have focused on the role of B[a]P contamination in food for cancer risk and the possible molecular mechanism of cancer development, which could provide a way to reduce cancer incidence either by regulatory efforts or modifying food processed technology.","collection-title":"Food Toxicology * Food Safety","container-title":"Current Opinion in Food Science","DOI":"10.1016/j.cofs.2018.10.008","ISSN":"2214-7993","journalAbbreviation":"Current Opinion in Food Science","page":"16-25","source":"ScienceDirect","title":"Inevitable dietary exposure of Benzo[a]pyrene: carcinogenic risk assessment an emerging issues and concerns","title-short":"Inevitable dietary exposure of Benzo[a]pyrene","volume":"24","author":[{"family":"Das","given":"Durgesh Nandini"},{"family":"Bhutia","given":"Sujit K"}],"issued":{"date-parts":[["2018",12,1]]}}}],"schema":"https://github.com/citation-style-language/schema/raw/master/csl-citation.json"} </w:instrText>
      </w:r>
      <w:r w:rsidR="007D5212" w:rsidRPr="2D8CF45F">
        <w:rPr>
          <w:rFonts w:ascii="Times New Roman" w:hAnsi="Times New Roman" w:cs="Times New Roman"/>
        </w:rPr>
        <w:fldChar w:fldCharType="separate"/>
      </w:r>
      <w:r w:rsidR="00E5454F">
        <w:rPr>
          <w:rFonts w:ascii="Times New Roman" w:hAnsi="Times New Roman" w:cs="Times New Roman"/>
        </w:rPr>
        <w:t>(Das &amp; Bhutia 2018)</w:t>
      </w:r>
      <w:r w:rsidR="007D5212" w:rsidRPr="2D8CF45F">
        <w:rPr>
          <w:rFonts w:ascii="Times New Roman" w:hAnsi="Times New Roman" w:cs="Times New Roman"/>
        </w:rPr>
        <w:fldChar w:fldCharType="end"/>
      </w:r>
      <w:r w:rsidR="6EFE614E" w:rsidRPr="2D8CF45F">
        <w:rPr>
          <w:rFonts w:ascii="Times New Roman" w:hAnsi="Times New Roman" w:cs="Times New Roman"/>
        </w:rPr>
        <w:t xml:space="preserve">. </w:t>
      </w:r>
    </w:p>
    <w:p w14:paraId="0CD50A3D" w14:textId="52E66D71" w:rsidR="00B24EFD" w:rsidRPr="000A1EE6" w:rsidRDefault="00C305A3" w:rsidP="00826180">
      <w:pPr>
        <w:spacing w:line="480" w:lineRule="auto"/>
        <w:rPr>
          <w:rFonts w:ascii="Times New Roman" w:hAnsi="Times New Roman" w:cs="Times New Roman"/>
        </w:rPr>
      </w:pPr>
      <w:r>
        <w:rPr>
          <w:rFonts w:ascii="Times New Roman" w:hAnsi="Times New Roman" w:cs="Times New Roman"/>
          <w:noProof/>
        </w:rPr>
        <w:drawing>
          <wp:inline distT="0" distB="0" distL="0" distR="0" wp14:anchorId="7DA77826" wp14:editId="061A26E4">
            <wp:extent cx="2606842" cy="3689030"/>
            <wp:effectExtent l="0" t="0" r="0" b="0"/>
            <wp:docPr id="200600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00081" name="Picture 2006000081"/>
                    <pic:cNvPicPr/>
                  </pic:nvPicPr>
                  <pic:blipFill>
                    <a:blip r:embed="rId8"/>
                    <a:stretch>
                      <a:fillRect/>
                    </a:stretch>
                  </pic:blipFill>
                  <pic:spPr>
                    <a:xfrm>
                      <a:off x="0" y="0"/>
                      <a:ext cx="2692566" cy="3810340"/>
                    </a:xfrm>
                    <a:prstGeom prst="rect">
                      <a:avLst/>
                    </a:prstGeom>
                  </pic:spPr>
                </pic:pic>
              </a:graphicData>
            </a:graphic>
          </wp:inline>
        </w:drawing>
      </w:r>
    </w:p>
    <w:p w14:paraId="7112237C" w14:textId="0DE73732" w:rsidR="7E224EFC" w:rsidRPr="000A1EE6" w:rsidRDefault="6D7C5415" w:rsidP="000A1EE6">
      <w:pPr>
        <w:spacing w:line="480" w:lineRule="auto"/>
        <w:jc w:val="both"/>
        <w:rPr>
          <w:rFonts w:ascii="Times New Roman" w:eastAsia="Times New Roman" w:hAnsi="Times New Roman" w:cs="Times New Roman"/>
          <w:lang w:val="en-US"/>
        </w:rPr>
      </w:pPr>
      <w:r w:rsidRPr="09F4516F">
        <w:rPr>
          <w:rFonts w:ascii="Times New Roman" w:eastAsia="Times New Roman" w:hAnsi="Times New Roman" w:cs="Times New Roman"/>
          <w:b/>
          <w:bCs/>
          <w:lang w:val="en-US"/>
        </w:rPr>
        <w:t>F</w:t>
      </w:r>
      <w:r w:rsidR="23C01CE3" w:rsidRPr="09F4516F">
        <w:rPr>
          <w:rFonts w:ascii="Times New Roman" w:eastAsia="Times New Roman" w:hAnsi="Times New Roman" w:cs="Times New Roman"/>
          <w:b/>
          <w:bCs/>
          <w:lang w:val="en-US"/>
        </w:rPr>
        <w:t>i</w:t>
      </w:r>
      <w:r w:rsidRPr="09F4516F">
        <w:rPr>
          <w:rFonts w:ascii="Times New Roman" w:eastAsia="Times New Roman" w:hAnsi="Times New Roman" w:cs="Times New Roman"/>
          <w:b/>
          <w:bCs/>
          <w:lang w:val="en-US"/>
        </w:rPr>
        <w:t>gure 1</w:t>
      </w:r>
      <w:r w:rsidRPr="09F4516F">
        <w:rPr>
          <w:rFonts w:ascii="Times New Roman" w:eastAsia="Times New Roman" w:hAnsi="Times New Roman" w:cs="Times New Roman"/>
          <w:lang w:val="en-US"/>
        </w:rPr>
        <w:t xml:space="preserve">.  </w:t>
      </w:r>
      <w:r w:rsidR="001970B0" w:rsidRPr="001970B0">
        <w:rPr>
          <w:rFonts w:ascii="Times New Roman" w:eastAsia="Times New Roman" w:hAnsi="Times New Roman" w:cs="Times New Roman"/>
          <w:highlight w:val="yellow"/>
          <w:lang w:val="en-US"/>
        </w:rPr>
        <w:t>Bioaccumulation and biological impacts of B[</w:t>
      </w:r>
      <w:r w:rsidR="001970B0" w:rsidRPr="001970B0">
        <w:rPr>
          <w:rFonts w:ascii="Times New Roman" w:eastAsia="Times New Roman" w:hAnsi="Times New Roman" w:cs="Times New Roman"/>
          <w:i/>
          <w:iCs/>
          <w:highlight w:val="yellow"/>
          <w:lang w:val="en-US"/>
        </w:rPr>
        <w:t>a</w:t>
      </w:r>
      <w:r w:rsidR="001970B0" w:rsidRPr="001970B0">
        <w:rPr>
          <w:rFonts w:ascii="Times New Roman" w:eastAsia="Times New Roman" w:hAnsi="Times New Roman" w:cs="Times New Roman"/>
          <w:highlight w:val="yellow"/>
          <w:lang w:val="en-US"/>
        </w:rPr>
        <w:t>]P in aquatic biota subjected to coal mining effluents.</w:t>
      </w:r>
      <w:r w:rsidR="001970B0">
        <w:rPr>
          <w:rFonts w:ascii="Times New Roman" w:eastAsia="Times New Roman" w:hAnsi="Times New Roman" w:cs="Times New Roman"/>
          <w:lang w:val="en-US"/>
        </w:rPr>
        <w:t xml:space="preserve"> </w:t>
      </w:r>
      <w:r w:rsidR="2D12E8B0" w:rsidRPr="09F4516F">
        <w:rPr>
          <w:rFonts w:ascii="Times New Roman" w:eastAsia="Times New Roman" w:hAnsi="Times New Roman" w:cs="Times New Roman"/>
          <w:highlight w:val="yellow"/>
          <w:lang w:val="en-US"/>
        </w:rPr>
        <w:t>Exposure to B[</w:t>
      </w:r>
      <w:r w:rsidR="2D12E8B0" w:rsidRPr="09F4516F">
        <w:rPr>
          <w:rFonts w:ascii="Times New Roman" w:eastAsia="Times New Roman" w:hAnsi="Times New Roman" w:cs="Times New Roman"/>
          <w:i/>
          <w:iCs/>
          <w:highlight w:val="yellow"/>
          <w:lang w:val="en-US"/>
        </w:rPr>
        <w:t>a</w:t>
      </w:r>
      <w:r w:rsidR="2D12E8B0" w:rsidRPr="09F4516F">
        <w:rPr>
          <w:rFonts w:ascii="Times New Roman" w:eastAsia="Times New Roman" w:hAnsi="Times New Roman" w:cs="Times New Roman"/>
          <w:highlight w:val="yellow"/>
          <w:lang w:val="en-US"/>
        </w:rPr>
        <w:t>]P induces the production of ROS and RNS within these organisms. These reactive species inflict oxidative damage on DNA, lipids, and proteins. The consequent cellular disruption and genomic instability can adversely affect the health and survival of aquatic organisms within impacted ecosystems.</w:t>
      </w:r>
      <w:r w:rsidRPr="09F4516F">
        <w:rPr>
          <w:rFonts w:ascii="Times New Roman" w:eastAsia="Times New Roman" w:hAnsi="Times New Roman" w:cs="Times New Roman"/>
          <w:lang w:val="en-US"/>
        </w:rPr>
        <w:t xml:space="preserve">  Created with </w:t>
      </w:r>
      <w:r w:rsidRPr="09F4516F">
        <w:rPr>
          <w:rFonts w:ascii="Times New Roman" w:eastAsia="Times New Roman" w:hAnsi="Times New Roman" w:cs="Times New Roman"/>
          <w:color w:val="00B0F0"/>
          <w:lang w:val="en-US"/>
        </w:rPr>
        <w:t>mindthegraph.com</w:t>
      </w:r>
      <w:r w:rsidR="27923540" w:rsidRPr="09F4516F">
        <w:rPr>
          <w:rFonts w:ascii="Times New Roman" w:eastAsia="Times New Roman" w:hAnsi="Times New Roman" w:cs="Times New Roman"/>
          <w:color w:val="00B0F0"/>
          <w:lang w:val="en-US"/>
        </w:rPr>
        <w:t>.</w:t>
      </w:r>
    </w:p>
    <w:p w14:paraId="30CEA8BE" w14:textId="410BE144" w:rsidR="00163FA6" w:rsidRDefault="00B77F43" w:rsidP="00163FA6">
      <w:pPr>
        <w:spacing w:after="0" w:line="480" w:lineRule="auto"/>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 xml:space="preserve">3. </w:t>
      </w:r>
      <w:r w:rsidR="00163FA6" w:rsidRPr="00163FA6">
        <w:rPr>
          <w:rFonts w:ascii="Times New Roman" w:eastAsia="Times New Roman" w:hAnsi="Times New Roman" w:cs="Times New Roman"/>
          <w:b/>
          <w:bCs/>
          <w:lang w:val="en-US"/>
        </w:rPr>
        <w:t>Molecular Mechanisms of Toxicity</w:t>
      </w:r>
    </w:p>
    <w:p w14:paraId="52642E6A" w14:textId="2248FAF6" w:rsidR="00BE7F72" w:rsidRPr="000A1EE6" w:rsidRDefault="33F34E68" w:rsidP="00407B28">
      <w:pPr>
        <w:spacing w:after="0" w:line="480" w:lineRule="auto"/>
        <w:jc w:val="both"/>
        <w:rPr>
          <w:rFonts w:ascii="Times New Roman" w:hAnsi="Times New Roman" w:cs="Times New Roman"/>
        </w:rPr>
      </w:pPr>
      <w:r w:rsidRPr="33F34E68">
        <w:rPr>
          <w:rFonts w:ascii="Times New Roman" w:eastAsia="Times New Roman" w:hAnsi="Times New Roman" w:cs="Times New Roman"/>
          <w:lang w:val="en-US"/>
        </w:rPr>
        <w:lastRenderedPageBreak/>
        <w:t>B[</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]P induces oxidative stress in fish through a multifaceted mechanism primarily mediated by ligand-activated aryl hydrocarbon receptor (AhR) signalling (</w:t>
      </w:r>
      <w:r w:rsidRPr="33F34E68">
        <w:rPr>
          <w:rFonts w:ascii="Times New Roman" w:eastAsia="Times New Roman" w:hAnsi="Times New Roman" w:cs="Times New Roman"/>
          <w:b/>
          <w:bCs/>
          <w:lang w:val="en-US"/>
        </w:rPr>
        <w:t>Figure 2</w:t>
      </w:r>
      <w:r w:rsidRPr="33F34E68">
        <w:rPr>
          <w:rFonts w:ascii="Times New Roman" w:eastAsia="Times New Roman" w:hAnsi="Times New Roman" w:cs="Times New Roman"/>
          <w:lang w:val="en-US"/>
        </w:rPr>
        <w:t xml:space="preserve">). The metabolic fate of these compounds involves complex phase I and II detoxification pathways </w:t>
      </w:r>
      <w:r w:rsidR="796C2205" w:rsidRPr="33F34E68">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{"citationID":"x8BlVybG","properties":{"formattedCitation":"(Soltani et al. 2019, Kang et al. 2022)","plainCitation":"(Soltani et al. 2019, Kang et al. 2022)","noteIndex":0},"citationItems":[{"id":"r9E9mN5c/JENIcNdp","uris":["http://zotero.org/users/14468226/items/GI8RUWQJ"],"itemData":{"id":6609,"type":"article-journal","abstract":"Phenanthrene (PHE) is a typical compound biomagnified in the food chain which endangers human health and generally accumulates from marine life. It has been listed as one of the 16 priority PAHs evaluated in toxicology. In order to evaluate the changes of CYP1A GST mRNA expression and EROD GST enzyme activity in carp exposed to lower than safe concentrations of PHE. Long-term exposure of carp to PHE at lower than safe concentrations for up to 25 days. The mRNA expression level and cytochrome P450 (CYP1A/EROD (7-Ethoxylesorufin O-deethylase)) and glutathione S-transferase (GST) activity were measured in carp liver and brain tissue. The results showed that PHE stress induced low-concentration induction and high-concentration inhibition of CYP1A expression and EROD enzyme activity in the liver and brain of carp. In both two organs, GST enzyme activity was also induced. However, the expression of GST mRNA was first induced and then inhibited, after the 15th day. These results indicate that long-term exposure to PHE at lower than safe concentrations still poses a potential threat to carp's oxidase system and gene expression.","container-title":"International Journal of Environmental Research and Public Health","DOI":"10.3390/ijerph19042129","ISSN":"1660-4601","issue":"4","journalAbbreviation":"Int J Environ Res Public Health","language":"eng","note":"PMID: 35206316\nPMCID: PMC8872569","page":"2129","source":"PubMed","title":"Long-Term Exposure to Phenanthrene Induced Gene Expressions and Enzyme Activities of Cyprinus carpio below the Safe Concentration","volume":"19","author":[{"family":"Kang","given":"Xin"},{"family":"Li","given":"Dongpeng"},{"family":"Zhao","given":"Xiaoxiang"},{"family":"Lv","given":"Yanfeng"},{"family":"Chen","given":"Xi"},{"family":"Song","given":"Xinshan"},{"family":"Liu","given":"Xiangyu"},{"family":"Chen","given":"Chengrong"},{"family":"Cao","given":"Xin"}],"issued":{"date-parts":[["2022",2,14]]}}},{"id":"r9E9mN5c/goQck2qB","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796C2205" w:rsidRPr="33F34E68">
        <w:rPr>
          <w:rFonts w:ascii="Times New Roman" w:eastAsia="Times New Roman" w:hAnsi="Times New Roman" w:cs="Times New Roman"/>
          <w:lang w:val="en-US"/>
        </w:rPr>
        <w:fldChar w:fldCharType="separate"/>
      </w:r>
      <w:r w:rsidR="00E5454F">
        <w:rPr>
          <w:rFonts w:ascii="Times New Roman" w:hAnsi="Times New Roman" w:cs="Times New Roman"/>
        </w:rPr>
        <w:t>(Soltani et al. 2019, Kang et al. 2022)</w:t>
      </w:r>
      <w:r w:rsidR="796C2205" w:rsidRPr="33F34E68">
        <w:rPr>
          <w:rFonts w:ascii="Times New Roman" w:eastAsia="Times New Roman" w:hAnsi="Times New Roman" w:cs="Times New Roman"/>
          <w:lang w:val="en-US"/>
        </w:rPr>
        <w:fldChar w:fldCharType="end"/>
      </w:r>
      <w:r w:rsidRPr="33F34E68">
        <w:rPr>
          <w:rFonts w:ascii="Times New Roman" w:eastAsia="Times New Roman" w:hAnsi="Times New Roman" w:cs="Times New Roman"/>
          <w:lang w:val="en-US"/>
        </w:rPr>
        <w:t>. B[</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]P is absorbed into tissues such as the gills, liver, brain, and gastrointestinal tract, and binds to the cytosolic AhR domain, forming a ligand-receptor complex. The complex then translocates to the nucleus, where it dimerizes with Aryl hydrocarbon receptor nuclear translocator (ARNT) to activate phase I enzymes CYP1A1 and CYP1B1, enhancing the epoxidation of B[</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]P (</w:t>
      </w:r>
      <w:r w:rsidRPr="33F34E68">
        <w:rPr>
          <w:rFonts w:ascii="Times New Roman" w:eastAsia="Times New Roman" w:hAnsi="Times New Roman" w:cs="Times New Roman"/>
          <w:b/>
          <w:bCs/>
          <w:lang w:val="en-US"/>
        </w:rPr>
        <w:t>Figure 2</w:t>
      </w:r>
      <w:r w:rsidRPr="33F34E68">
        <w:rPr>
          <w:rFonts w:ascii="Times New Roman" w:eastAsia="Times New Roman" w:hAnsi="Times New Roman" w:cs="Times New Roman"/>
          <w:lang w:val="en-US"/>
        </w:rPr>
        <w:t>). These enzymes initiate phase I metabolism, mainly through oxidation, which converts B[</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]P into multiple metabolites, including quinones and dihydrodiols, many of which are more toxic than their parent compounds. Phase II detoxification reactions, involving glutathione S-transferases (GSTs) and UDP-glucuronosyltransferases, promote the elimination of B[</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 xml:space="preserve">]P metabolites but can be overwhelmed under chronic exposure conditions </w:t>
      </w:r>
      <w:r w:rsidR="796C2205" w:rsidRPr="33F34E68">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{"citationID":"vLSkhQOS","properties":{"formattedCitation":"(Silva et al. 2017, Alharthy et al. 2017, Soltani et al. 2019, Bukowska et al. 2022)","plainCitation":"(Silva et al. 2017, Alharthy et al. 2017, Soltani et al. 2019, Bukowska et al. 2022)","noteIndex":0},"citationItems":[{"id":"r9E9mN5c/ClsmF7h3","uris":["http://zotero.org/users/14468226/items/F53CSZ3E"],"itemData":{"id":6591,"type":"article-journal","abstract":"Benzo[a]pyrene (BaP) is a ubiquitous environmental contaminant that is both an endocrine disruptor and a carcinogen. Aromatase (CYP19) is a key enzyme in steroidogenesis that is responsible for conversion of androgens to estrogens and thus plays a key role in steroid homeostasis. We hypothesized that some of the adverse outcomes of early developmental exposure to BaP are the result of reduced Cyp19a1b activity. Our goal was to investigate the role of estrogen homeostasis during early development and determine the role of aromatase inhibition as a relevant mechanism in BaP’s developmental toxicities. One-cell zebrafish embryos were injected with a Cyp19a1b-morpholino (MO) or control-MO. Other non-injected embryos were exposed to waterborne BaP, fadrozole (a Cyp19 inhibitor), estradiol (E2), BaP + E2, Cyp19a1b MO + E2, or fadrozole + E2 for 96 hours post-fertilization (hpf). Adverse outcomes were compared between treatments, and the ability of E2 co-exposure to rescue each observed dysmorphology was assessed. BaP significantly decreased cyp19a1b gene expression in 96 hpf zebrafish larvae homogenates. Concentrations of E2 in 48 hpf larvae were significantly decreased by BaP, fadrozole and Cyp19a1b-MO. Cumulative mortality of zebrafish larvae was significantly increased following BaP or fadrozole exposure or Cyp19a1b knockdown compared to controls. E2 co-treatment rescued mortality caused by 10 μg/L BaP, 10 μg/L fadrozole, or Cyp19a1b-MO. In a treatment-blinded morphological assessment of larvae at 96 hpf, several phenotypes were negatively impacted by BaP, fadrozole, or Cyp19a1b knockdown and rescued by exogenous E2 co-treatment; these included body length, optic vesicle size, swim bladder inflation, pericardial and abdominal edema, and incidence of normal larval tail shape. Abnormal pectoral fins were caused by BaP exposure only. Uninflated swim bladders were caused by all treatments including E2 alone. Our results indicate that certain BaP-mediated adverse developmental outcomes were mechanistically in accordance with BaP-mediated Cyp19a1b inhibition.","container-title":"Toxicological Sciences","DOI":"10.1093/toxsci/kfw182","ISSN":"1096-6080","issue":"1","journalAbbreviation":"Toxicol Sci","note":"PMID: 27633980\nPMCID: PMC5216649","page":"135-147","source":"PubMed Central","title":"Mechanistic Evaluation of Benzo[a]pyrene’s Developmental Toxicities Mediated by Reduced Cyp19a1b Activity","volume":"155","author":[{"family":"Alharthy","given":"Khalid M."},{"family":"Albaqami","given":"Faisal F."},{"family":"Thornton","given":"Cammi"},{"family":"Corrales","given":"Jone"},{"family":"Willett","given":"Kristine L."}],"issued":{"date-parts":[["2017",1]]}}},{"id":7665,"uris":["http://zotero.org/users/7192077/items/M64SCLBZ"],"itemData":{"id":7665,"type":"article-journal","abstract":"Benzo[a]pyrene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URL":"https://www.mdpi.com/1422-0067/23/11/6348","volume":"23","author":[{"family":"Bukowska","given":"Bożena"},{"family":"Mokra","given":"Katarzyna"},{"family":"Michałowicz","given":"Jaromir"}],"accessed":{"date-parts":[["2025",7,23]]},"issued":{"date-parts":[["2022",1]]}}},{"id":"r9E9mN5c/nkEjLJ3e","uris":["http://zotero.org/users/14468226/items/C84WHB4Q"],"itemData":{"id":6724,"type":"article-journal","abstract":"Benzo[a]pyrene (B[a]P) is a petroleum derivative capable of inducing cancer in human and animals. In this work, under laboratory conditions, we analyzed the responses of Colossoma macropomum to B[a]P acute exposure through intraperitoneal injection of four different B[a]P concentrations (4, 8, 16 and 32 μmol/kg) or corn oil (control group). We analyzed expression of the ras oncogene and the Hypoxia-inducible factor-1 alpha (hif-1α) gene using quantitative real-time PCR. Additionally, liver histopathological changes and genotoxic effects were evaluated through the comet assay. Ras oncogene was overexpressed in fish exposed to 4, 8 of 16 μmol/kg B[a]P, showing 4.96, 7.10 and 6.78-fold increases, respectively. Overexpression also occurred in hif-1α in fish injected with 4 and 8 μmol/kg B[a]P, showing 8.82 and 4.64-fold increases, respectively. Histopathological damage in fish liver was classified as irreparable in fish exposed to 8, 16 and 32 μmol/kg μM B[a]P. The genotoxic damage increased in fish injected with 8 and 16 μmol/kg in comparison with the control group. Acute exposure of B[a]P was capable to interrupt the expression of ras oncogene and hif-1α, and increase DNA breaks due to tissue damage.","container-title":"Genetics and Molecular Biology","DOI":"10.1590/1678-4685-GMB-2016-0066","ISSN":"1415-4757","issue":"2","journalAbbreviation":"Genet Mol Biol","language":"eng","note":"PMID: 28486571\nPMCID: PMC5488454","page":"491-501","source":"PubMed","title":"Ras oncogene and Hypoxia-inducible factor-1 alpha (hif-1α) expression in the Amazon fish Colossoma macropomum (Cuvier, 1818) exposed to benzo[a]pyrene","volume":"40","author":[{"family":"Silva","given":"Grazyelle Sebrenski","dropping-particle":"da"},{"family":"Fé","given":"Luciana Mara Lopes"},{"family":"Silva","given":"Maria de Nazaré Paula","dropping-particle":"da"},{"family":"Val","given":"Vera Maria Fonseca de Almeida E."}],"issued":{"date-parts":[["2017"]]}}},{"id":"r9E9mN5c/goQck2qB","uris":["http://zotero.org/users/14468226/items/UU6UWX4P"],"itemData":{"id":6594,"type":"article-journal","abstract":"Benzo[a]pyrene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796C2205" w:rsidRPr="33F34E68">
        <w:rPr>
          <w:rFonts w:ascii="Times New Roman" w:eastAsia="Times New Roman" w:hAnsi="Times New Roman" w:cs="Times New Roman"/>
          <w:lang w:val="en-US"/>
        </w:rPr>
        <w:fldChar w:fldCharType="separate"/>
      </w:r>
      <w:r w:rsidR="00E5454F">
        <w:rPr>
          <w:rFonts w:ascii="Times New Roman" w:hAnsi="Times New Roman" w:cs="Times New Roman"/>
        </w:rPr>
        <w:t>(Silva et al. 2017, Alharthy et al. 2017, Soltani et al. 2019, Bukowska et al. 2022)</w:t>
      </w:r>
      <w:r w:rsidR="796C2205" w:rsidRPr="33F34E68">
        <w:rPr>
          <w:rFonts w:ascii="Times New Roman" w:eastAsia="Times New Roman" w:hAnsi="Times New Roman" w:cs="Times New Roman"/>
          <w:lang w:val="en-US"/>
        </w:rPr>
        <w:fldChar w:fldCharType="end"/>
      </w:r>
      <w:r w:rsidRPr="33F34E68">
        <w:rPr>
          <w:rFonts w:ascii="Times New Roman" w:eastAsia="Times New Roman" w:hAnsi="Times New Roman" w:cs="Times New Roman"/>
          <w:lang w:val="en-US"/>
        </w:rPr>
        <w:t xml:space="preserve">. Epoxide hydrolase then converts these epoxides to trans-7,8-dihydrodiol (DHD), which undergoes a second P450-mediated oxidation to form the diol-epoxide BPDE-I. </w:t>
      </w:r>
      <w:bookmarkStart w:id="2" w:name="OLE_LINK3"/>
      <w:r w:rsidRPr="33F34E68">
        <w:rPr>
          <w:rFonts w:ascii="Times New Roman" w:eastAsia="Times New Roman" w:hAnsi="Times New Roman" w:cs="Times New Roman"/>
          <w:lang w:val="en-US"/>
        </w:rPr>
        <w:t xml:space="preserve">Alternatively, aldo-keto reductases </w:t>
      </w:r>
      <w:r w:rsidR="00D26FB2" w:rsidRPr="00D26FB2">
        <w:rPr>
          <w:rFonts w:ascii="Times New Roman" w:eastAsia="Times New Roman" w:hAnsi="Times New Roman" w:cs="Times New Roman"/>
          <w:highlight w:val="yellow"/>
          <w:lang w:val="en-US"/>
        </w:rPr>
        <w:t xml:space="preserve">catalyze the </w:t>
      </w:r>
      <w:r w:rsidRPr="00D26FB2">
        <w:rPr>
          <w:rFonts w:ascii="Times New Roman" w:eastAsia="Times New Roman" w:hAnsi="Times New Roman" w:cs="Times New Roman"/>
          <w:highlight w:val="yellow"/>
          <w:lang w:val="en-US"/>
        </w:rPr>
        <w:t>oxid</w:t>
      </w:r>
      <w:r w:rsidR="00D26FB2" w:rsidRPr="00D26FB2">
        <w:rPr>
          <w:rFonts w:ascii="Times New Roman" w:eastAsia="Times New Roman" w:hAnsi="Times New Roman" w:cs="Times New Roman"/>
          <w:highlight w:val="yellow"/>
          <w:lang w:val="en-US"/>
        </w:rPr>
        <w:t>ation</w:t>
      </w:r>
      <w:r w:rsidR="00D26FB2">
        <w:rPr>
          <w:rFonts w:ascii="Times New Roman" w:eastAsia="Times New Roman" w:hAnsi="Times New Roman" w:cs="Times New Roman"/>
          <w:lang w:val="en-US"/>
        </w:rPr>
        <w:t xml:space="preserve"> of</w:t>
      </w:r>
      <w:r w:rsidRPr="33F34E68">
        <w:rPr>
          <w:rFonts w:ascii="Times New Roman" w:eastAsia="Times New Roman" w:hAnsi="Times New Roman" w:cs="Times New Roman"/>
          <w:lang w:val="en-US"/>
        </w:rPr>
        <w:t xml:space="preserve"> DHD to benzo[</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 xml:space="preserve">]pyrene-7,8-quinone </w:t>
      </w:r>
      <w:bookmarkEnd w:id="2"/>
      <w:r w:rsidR="796C2205" w:rsidRPr="33F34E68">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{"citationID":"jodl0wGQ","properties":{"formattedCitation":"(Soltani et al. 2019, Bukowska et al. 2022, Negi &amp; Chaudhary 2024)","plainCitation":"(Soltani et al. 2019, Bukowska et al. 2022, Negi &amp; Chaudhary 2024)","noteIndex":0},"citationItems":[{"id":7665,"uris":["http://zotero.org/users/7192077/items/M64SCLBZ"],"itemData":{"id":7665,"type":"article-journal","abstract":"Benzo[a]pyrene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URL":"https://www.mdpi.com/1422-0067/23/11/6348","volume":"23","author":[{"family":"Bukowska","given":"Bożena"},{"family":"Mokra","given":"Katarzyna"},{"family":"Michałowicz","given":"Jaromir"}],"accessed":{"date-parts":[["2025",7,23]]},"issued":{"date-parts":[["2022",1]]}}},{"id":"r9E9mN5c/cRXzvZhM","uris":["http://zotero.org/users/14468226/items/N9B2NKBG"],"itemData":{"id":6914,"type":"article-journal","abstract":"A polycyclic aromatic hydrocarbon called benzo[a]pyrene (B[a]P) is produced during incomplete burning of fuels. The most common way humans consume B[a]P is through food products, particularly grilled or smoked foods. B[a]P is also frequently detected in the sediments, soil, surface water, and air. Once bioactivated, it produces a highly reactive epoxide monomer that can create adducts by chemically reacting with biological molecules, such as DNA. B[a]P is implicated in various cancers due to its interaction with the aromatic hydrocarbon receptor (AhR). Apart from its detrimental impacts on development and reproduction, this substance also suppresses the immune system. Microbes, however, are critical to cleaning up the B[a]P-contaminated environment. This review focuses on forming B[a]P in different compartments of the environment and human surroundings, and the mechanisms responsible for its harmful effects and carcinogenic risk. This review also discusses the strategies for the deterioration of B[a]P.","container-title":"The Applied Biology &amp; Chemistry Journal","DOI":"10.52679/tabcj.2024.0007","ISSN":"2582-8789","issue":"3","language":"en","license":"Copyright (c) 2024 Karan Negi, Priya Chaudhary","page":"44-56","source":"theabcjournal.com","title":"Benzo[a]pyrene: A carcinogen, its sources, adverse effects, and preventions","title-short":"Benzo[a]pyrene","volume":"5","author":[{"family":"Negi","given":"Karan"},{"family":"Chaudhary","given":"Priya"}],"issued":{"date-parts":[["2024",9,30]]}}},{"id":"r9E9mN5c/goQck2qB","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796C2205" w:rsidRPr="33F34E68">
        <w:rPr>
          <w:rFonts w:ascii="Times New Roman" w:eastAsia="Times New Roman" w:hAnsi="Times New Roman" w:cs="Times New Roman"/>
          <w:lang w:val="en-US"/>
        </w:rPr>
        <w:fldChar w:fldCharType="separate"/>
      </w:r>
      <w:r w:rsidR="00E5454F">
        <w:rPr>
          <w:rFonts w:ascii="Times New Roman" w:hAnsi="Times New Roman" w:cs="Times New Roman"/>
        </w:rPr>
        <w:t>(Soltani et al. 2019, Bukowska et al. 2022, Negi &amp; Chaudhary 2024)</w:t>
      </w:r>
      <w:r w:rsidR="796C2205" w:rsidRPr="33F34E68">
        <w:rPr>
          <w:rFonts w:ascii="Times New Roman" w:eastAsia="Times New Roman" w:hAnsi="Times New Roman" w:cs="Times New Roman"/>
          <w:lang w:val="en-US"/>
        </w:rPr>
        <w:fldChar w:fldCharType="end"/>
      </w:r>
      <w:r w:rsidRPr="33F34E68">
        <w:rPr>
          <w:rFonts w:ascii="Times New Roman" w:eastAsia="Times New Roman" w:hAnsi="Times New Roman" w:cs="Times New Roman"/>
          <w:lang w:val="en-US"/>
        </w:rPr>
        <w:t>. These quinones undergo NADPH-dependent redox cycling between quinone and semiquinone radicals to generate superoxide and hydrogen peroxide (</w:t>
      </w:r>
      <w:r w:rsidRPr="33F34E68">
        <w:rPr>
          <w:rFonts w:ascii="Times New Roman" w:eastAsia="Times New Roman" w:hAnsi="Times New Roman" w:cs="Times New Roman"/>
          <w:b/>
          <w:bCs/>
          <w:lang w:val="en-US"/>
        </w:rPr>
        <w:t>Figure 2</w:t>
      </w:r>
      <w:r w:rsidRPr="33F34E68">
        <w:rPr>
          <w:rFonts w:ascii="Times New Roman" w:eastAsia="Times New Roman" w:hAnsi="Times New Roman" w:cs="Times New Roman"/>
          <w:lang w:val="en-US"/>
        </w:rPr>
        <w:t xml:space="preserve">). </w:t>
      </w:r>
    </w:p>
    <w:p w14:paraId="5146562C" w14:textId="78B2411A" w:rsidR="00CE54FF" w:rsidRPr="00CE54FF" w:rsidRDefault="00177932" w:rsidP="003D31AA">
      <w:pPr>
        <w:spacing w:line="480" w:lineRule="auto"/>
        <w:rPr>
          <w:rFonts w:ascii="Times New Roman" w:eastAsia="Times New Roman" w:hAnsi="Times New Roman" w:cs="Times New Roman"/>
          <w:lang w:val="en-US"/>
        </w:rPr>
      </w:pPr>
      <w:r w:rsidRPr="000A1EE6">
        <w:rPr>
          <w:rFonts w:ascii="Times New Roman" w:eastAsia="Times New Roman" w:hAnsi="Times New Roman" w:cs="Times New Roman"/>
          <w:lang w:val="en-US"/>
        </w:rPr>
        <w:lastRenderedPageBreak/>
        <w:t xml:space="preserve">  </w:t>
      </w:r>
      <w:r w:rsidR="003D31AA">
        <w:rPr>
          <w:rFonts w:ascii="Times New Roman" w:eastAsia="Times New Roman" w:hAnsi="Times New Roman" w:cs="Times New Roman"/>
          <w:noProof/>
          <w:lang w:val="en-US"/>
        </w:rPr>
        <w:drawing>
          <wp:inline distT="0" distB="0" distL="0" distR="0" wp14:anchorId="05FF7A0A" wp14:editId="28563F94">
            <wp:extent cx="2887578" cy="4275569"/>
            <wp:effectExtent l="0" t="0" r="0" b="4445"/>
            <wp:docPr id="844678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78335" name="Picture 844678335"/>
                    <pic:cNvPicPr/>
                  </pic:nvPicPr>
                  <pic:blipFill rotWithShape="1">
                    <a:blip r:embed="rId9"/>
                    <a:srcRect l="3262" t="3994" r="4983"/>
                    <a:stretch>
                      <a:fillRect/>
                    </a:stretch>
                  </pic:blipFill>
                  <pic:spPr bwMode="auto">
                    <a:xfrm>
                      <a:off x="0" y="0"/>
                      <a:ext cx="2973052" cy="4402128"/>
                    </a:xfrm>
                    <a:prstGeom prst="rect">
                      <a:avLst/>
                    </a:prstGeom>
                    <a:ln>
                      <a:noFill/>
                    </a:ln>
                    <a:extLst>
                      <a:ext uri="{53640926-AAD7-44D8-BBD7-CCE9431645EC}">
                        <a14:shadowObscured xmlns:a14="http://schemas.microsoft.com/office/drawing/2010/main"/>
                      </a:ext>
                    </a:extLst>
                  </pic:spPr>
                </pic:pic>
              </a:graphicData>
            </a:graphic>
          </wp:inline>
        </w:drawing>
      </w:r>
      <w:r w:rsidR="003D31AA">
        <w:rPr>
          <w:rFonts w:ascii="Times New Roman" w:eastAsia="Times New Roman" w:hAnsi="Times New Roman" w:cs="Times New Roman"/>
          <w:noProof/>
          <w:lang w:val="en-US"/>
        </w:rPr>
        <w:drawing>
          <wp:inline distT="0" distB="0" distL="0" distR="0" wp14:anchorId="5E9A11D9" wp14:editId="2A2E216D">
            <wp:extent cx="1610436" cy="3297922"/>
            <wp:effectExtent l="0" t="0" r="2540" b="4445"/>
            <wp:docPr id="1002172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2935" name="Picture 1002172935"/>
                    <pic:cNvPicPr/>
                  </pic:nvPicPr>
                  <pic:blipFill rotWithShape="1">
                    <a:blip r:embed="rId10"/>
                    <a:srcRect l="30896"/>
                    <a:stretch>
                      <a:fillRect/>
                    </a:stretch>
                  </pic:blipFill>
                  <pic:spPr bwMode="auto">
                    <a:xfrm>
                      <a:off x="0" y="0"/>
                      <a:ext cx="1630598" cy="3339212"/>
                    </a:xfrm>
                    <a:prstGeom prst="rect">
                      <a:avLst/>
                    </a:prstGeom>
                    <a:ln>
                      <a:noFill/>
                    </a:ln>
                    <a:extLst>
                      <a:ext uri="{53640926-AAD7-44D8-BBD7-CCE9431645EC}">
                        <a14:shadowObscured xmlns:a14="http://schemas.microsoft.com/office/drawing/2010/main"/>
                      </a:ext>
                    </a:extLst>
                  </pic:spPr>
                </pic:pic>
              </a:graphicData>
            </a:graphic>
          </wp:inline>
        </w:drawing>
      </w:r>
    </w:p>
    <w:p w14:paraId="5D0EF432" w14:textId="2A62C629" w:rsidR="00265D89" w:rsidRPr="003A19AA" w:rsidRDefault="61E8D66F" w:rsidP="0036112C">
      <w:pPr>
        <w:spacing w:line="480" w:lineRule="auto"/>
        <w:jc w:val="both"/>
      </w:pPr>
      <w:r w:rsidRPr="3FC9239D">
        <w:rPr>
          <w:rFonts w:ascii="Times New Roman" w:eastAsia="Times New Roman" w:hAnsi="Times New Roman" w:cs="Times New Roman"/>
          <w:b/>
          <w:bCs/>
          <w:lang w:val="en-US"/>
        </w:rPr>
        <w:t>Figure 2</w:t>
      </w:r>
      <w:r w:rsidRPr="3FC9239D">
        <w:rPr>
          <w:rFonts w:ascii="Times New Roman" w:eastAsia="Times New Roman" w:hAnsi="Times New Roman" w:cs="Times New Roman"/>
          <w:lang w:val="en-US"/>
        </w:rPr>
        <w:t>.</w:t>
      </w:r>
      <w:r w:rsidR="0036112C">
        <w:t xml:space="preserve"> </w:t>
      </w:r>
      <w:r w:rsidR="003A19AA" w:rsidRPr="003A19AA">
        <w:rPr>
          <w:rFonts w:ascii="Times New Roman" w:hAnsi="Times New Roman" w:cs="Times New Roman"/>
          <w:highlight w:val="yellow"/>
        </w:rPr>
        <w:t>Aryl hydrocarbon receptor-mediated activation of phase I and II detoxification pathways of B[</w:t>
      </w:r>
      <w:r w:rsidR="003A19AA" w:rsidRPr="003A19AA">
        <w:rPr>
          <w:rFonts w:ascii="Times New Roman" w:hAnsi="Times New Roman" w:cs="Times New Roman"/>
          <w:i/>
          <w:iCs/>
          <w:highlight w:val="yellow"/>
        </w:rPr>
        <w:t>a</w:t>
      </w:r>
      <w:r w:rsidR="003A19AA" w:rsidRPr="003A19AA">
        <w:rPr>
          <w:rFonts w:ascii="Times New Roman" w:hAnsi="Times New Roman" w:cs="Times New Roman"/>
          <w:highlight w:val="yellow"/>
        </w:rPr>
        <w:t>]P in fish: Enzymatic biotransformation and ROS generation.</w:t>
      </w:r>
      <w:r w:rsidR="003A19AA">
        <w:rPr>
          <w:rFonts w:ascii="Times New Roman" w:hAnsi="Times New Roman" w:cs="Times New Roman"/>
        </w:rPr>
        <w:t xml:space="preserve"> </w:t>
      </w:r>
      <w:r w:rsidR="0036112C" w:rsidRPr="3FC9239D">
        <w:rPr>
          <w:rFonts w:ascii="Times New Roman" w:eastAsia="Times New Roman" w:hAnsi="Times New Roman" w:cs="Times New Roman"/>
          <w:highlight w:val="yellow"/>
          <w:lang w:val="en-US"/>
        </w:rPr>
        <w:t>The process initiates with the dimerization of the Ahr and ARNT. This complex subsequently activates cytochrome P450</w:t>
      </w:r>
      <w:r w:rsidR="001F412C">
        <w:rPr>
          <w:rFonts w:ascii="Times New Roman" w:eastAsia="Times New Roman" w:hAnsi="Times New Roman" w:cs="Times New Roman"/>
          <w:highlight w:val="yellow"/>
          <w:lang w:val="en-US"/>
        </w:rPr>
        <w:t xml:space="preserve"> </w:t>
      </w:r>
      <w:r w:rsidR="0036112C" w:rsidRPr="3FC9239D">
        <w:rPr>
          <w:rFonts w:ascii="Times New Roman" w:eastAsia="Times New Roman" w:hAnsi="Times New Roman" w:cs="Times New Roman"/>
          <w:highlight w:val="yellow"/>
          <w:lang w:val="en-US"/>
        </w:rPr>
        <w:t xml:space="preserve">enzymes, which are essential for </w:t>
      </w:r>
      <w:r w:rsidR="003A19AA">
        <w:rPr>
          <w:rFonts w:ascii="Times New Roman" w:eastAsia="Times New Roman" w:hAnsi="Times New Roman" w:cs="Times New Roman"/>
          <w:highlight w:val="yellow"/>
          <w:lang w:val="en-US"/>
        </w:rPr>
        <w:t>p</w:t>
      </w:r>
      <w:r w:rsidR="0036112C" w:rsidRPr="3FC9239D">
        <w:rPr>
          <w:rFonts w:ascii="Times New Roman" w:eastAsia="Times New Roman" w:hAnsi="Times New Roman" w:cs="Times New Roman"/>
          <w:highlight w:val="yellow"/>
          <w:lang w:val="en-US"/>
        </w:rPr>
        <w:t xml:space="preserve">hase I metabolism. Additionally, the NADPH-dependent redox cycling pathway mediated by AKR during </w:t>
      </w:r>
      <w:r w:rsidR="003A19AA">
        <w:rPr>
          <w:rFonts w:ascii="Times New Roman" w:eastAsia="Times New Roman" w:hAnsi="Times New Roman" w:cs="Times New Roman"/>
          <w:highlight w:val="yellow"/>
          <w:lang w:val="en-US"/>
        </w:rPr>
        <w:t>p</w:t>
      </w:r>
      <w:r w:rsidR="0036112C" w:rsidRPr="3FC9239D">
        <w:rPr>
          <w:rFonts w:ascii="Times New Roman" w:eastAsia="Times New Roman" w:hAnsi="Times New Roman" w:cs="Times New Roman"/>
          <w:highlight w:val="yellow"/>
          <w:lang w:val="en-US"/>
        </w:rPr>
        <w:t xml:space="preserve">hase I metabolism culminates in the formation of quinones and their radicals. This process ultimately leads to the generation of </w:t>
      </w:r>
      <w:r w:rsidR="7A7E37E1" w:rsidRPr="3FC9239D">
        <w:rPr>
          <w:rFonts w:ascii="Times New Roman" w:eastAsia="Times New Roman" w:hAnsi="Times New Roman" w:cs="Times New Roman"/>
          <w:highlight w:val="yellow"/>
          <w:lang w:val="en-US"/>
        </w:rPr>
        <w:t xml:space="preserve">reactive </w:t>
      </w:r>
      <w:r w:rsidR="0036112C" w:rsidRPr="3FC9239D">
        <w:rPr>
          <w:rFonts w:ascii="Times New Roman" w:eastAsia="Times New Roman" w:hAnsi="Times New Roman" w:cs="Times New Roman"/>
          <w:highlight w:val="yellow"/>
          <w:lang w:val="en-US"/>
        </w:rPr>
        <w:t>ROS</w:t>
      </w:r>
      <w:r w:rsidR="00CE54FF" w:rsidRPr="3FC9239D">
        <w:rPr>
          <w:rFonts w:ascii="Times New Roman" w:eastAsia="Times New Roman" w:hAnsi="Times New Roman" w:cs="Times New Roman"/>
          <w:highlight w:val="yellow"/>
          <w:lang w:val="en-US"/>
        </w:rPr>
        <w:t>.</w:t>
      </w:r>
      <w:r w:rsidR="00CE54FF" w:rsidRPr="3FC9239D">
        <w:rPr>
          <w:rFonts w:ascii="Times New Roman" w:eastAsia="Times New Roman" w:hAnsi="Times New Roman" w:cs="Times New Roman"/>
          <w:lang w:val="en-US"/>
        </w:rPr>
        <w:t xml:space="preserve"> </w:t>
      </w:r>
      <w:r w:rsidRPr="3FC9239D">
        <w:rPr>
          <w:rFonts w:ascii="Times New Roman" w:eastAsia="Times New Roman" w:hAnsi="Times New Roman" w:cs="Times New Roman"/>
          <w:lang w:val="en-US"/>
        </w:rPr>
        <w:t xml:space="preserve">Created with </w:t>
      </w:r>
      <w:r w:rsidRPr="3FC9239D">
        <w:rPr>
          <w:rFonts w:ascii="Times New Roman" w:eastAsia="Times New Roman" w:hAnsi="Times New Roman" w:cs="Times New Roman"/>
          <w:color w:val="00B0F0"/>
          <w:lang w:val="en-US"/>
        </w:rPr>
        <w:t>mindthegraph.com</w:t>
      </w:r>
    </w:p>
    <w:p w14:paraId="47B2BFF0" w14:textId="46798F3A" w:rsidR="00DB0243" w:rsidRPr="000A1EE6" w:rsidRDefault="52F718BC" w:rsidP="000A1EE6">
      <w:pPr>
        <w:spacing w:line="480" w:lineRule="auto"/>
        <w:jc w:val="both"/>
        <w:rPr>
          <w:rFonts w:ascii="Times New Roman" w:eastAsia="Times New Roman" w:hAnsi="Times New Roman" w:cs="Times New Roman"/>
          <w:lang w:val="en-US"/>
        </w:rPr>
      </w:pPr>
      <w:r w:rsidRPr="2D8CF45F">
        <w:rPr>
          <w:rFonts w:ascii="Times New Roman" w:eastAsia="Times New Roman" w:hAnsi="Times New Roman" w:cs="Times New Roman"/>
          <w:lang w:val="en-US"/>
        </w:rPr>
        <w:t xml:space="preserve">The resultant ROS initially provokes </w:t>
      </w:r>
      <w:r w:rsidR="357924F4" w:rsidRPr="2D8CF45F">
        <w:rPr>
          <w:rFonts w:ascii="Times New Roman" w:eastAsia="Times New Roman" w:hAnsi="Times New Roman" w:cs="Times New Roman"/>
          <w:lang w:val="en-US"/>
        </w:rPr>
        <w:t xml:space="preserve">the </w:t>
      </w:r>
      <w:r w:rsidRPr="2D8CF45F">
        <w:rPr>
          <w:rFonts w:ascii="Times New Roman" w:eastAsia="Times New Roman" w:hAnsi="Times New Roman" w:cs="Times New Roman"/>
          <w:lang w:val="en-US"/>
        </w:rPr>
        <w:t xml:space="preserve">upregulation of antioxidant </w:t>
      </w:r>
      <w:r w:rsidR="006C26A9">
        <w:rPr>
          <w:rFonts w:ascii="Times New Roman" w:eastAsia="Times New Roman" w:hAnsi="Times New Roman" w:cs="Times New Roman"/>
          <w:lang w:val="en-US"/>
        </w:rPr>
        <w:t>defenses, including</w:t>
      </w:r>
      <w:r w:rsidRPr="2D8CF45F">
        <w:rPr>
          <w:rFonts w:ascii="Times New Roman" w:eastAsia="Times New Roman" w:hAnsi="Times New Roman" w:cs="Times New Roman"/>
          <w:lang w:val="en-US"/>
        </w:rPr>
        <w:t xml:space="preserve"> superoxide dismutase</w:t>
      </w:r>
      <w:r w:rsidR="00783EDF">
        <w:rPr>
          <w:rFonts w:ascii="Times New Roman" w:eastAsia="Times New Roman" w:hAnsi="Times New Roman" w:cs="Times New Roman"/>
          <w:lang w:val="en-US"/>
        </w:rPr>
        <w:t xml:space="preserve"> </w:t>
      </w:r>
      <w:r w:rsidR="00783EDF" w:rsidRPr="00783EDF">
        <w:rPr>
          <w:rFonts w:ascii="Times New Roman" w:eastAsia="Times New Roman" w:hAnsi="Times New Roman" w:cs="Times New Roman"/>
          <w:highlight w:val="yellow"/>
          <w:lang w:val="en-US"/>
        </w:rPr>
        <w:t>(SOD)</w:t>
      </w:r>
      <w:r w:rsidRPr="00783EDF">
        <w:rPr>
          <w:rFonts w:ascii="Times New Roman" w:eastAsia="Times New Roman" w:hAnsi="Times New Roman" w:cs="Times New Roman"/>
          <w:highlight w:val="yellow"/>
          <w:lang w:val="en-US"/>
        </w:rPr>
        <w:t>,</w:t>
      </w:r>
      <w:r w:rsidRPr="2D8CF45F">
        <w:rPr>
          <w:rFonts w:ascii="Times New Roman" w:eastAsia="Times New Roman" w:hAnsi="Times New Roman" w:cs="Times New Roman"/>
          <w:lang w:val="en-US"/>
        </w:rPr>
        <w:t xml:space="preserve"> catalase</w:t>
      </w:r>
      <w:r w:rsidR="00783EDF">
        <w:rPr>
          <w:rFonts w:ascii="Times New Roman" w:eastAsia="Times New Roman" w:hAnsi="Times New Roman" w:cs="Times New Roman"/>
          <w:lang w:val="en-US"/>
        </w:rPr>
        <w:t xml:space="preserve"> </w:t>
      </w:r>
      <w:r w:rsidR="00783EDF" w:rsidRPr="00783EDF">
        <w:rPr>
          <w:rFonts w:ascii="Times New Roman" w:eastAsia="Times New Roman" w:hAnsi="Times New Roman" w:cs="Times New Roman"/>
          <w:highlight w:val="yellow"/>
          <w:lang w:val="en-US"/>
        </w:rPr>
        <w:t>(CAT)</w:t>
      </w:r>
      <w:r w:rsidRPr="00783EDF">
        <w:rPr>
          <w:rFonts w:ascii="Times New Roman" w:eastAsia="Times New Roman" w:hAnsi="Times New Roman" w:cs="Times New Roman"/>
          <w:highlight w:val="yellow"/>
          <w:lang w:val="en-US"/>
        </w:rPr>
        <w:t>,</w:t>
      </w:r>
      <w:r w:rsidR="00DB1E46">
        <w:rPr>
          <w:rFonts w:ascii="Times New Roman" w:eastAsia="Times New Roman" w:hAnsi="Times New Roman" w:cs="Times New Roman"/>
          <w:lang w:val="en-US"/>
        </w:rPr>
        <w:t xml:space="preserve"> </w:t>
      </w:r>
      <w:r w:rsidRPr="2D8CF45F">
        <w:rPr>
          <w:rFonts w:ascii="Times New Roman" w:eastAsia="Times New Roman" w:hAnsi="Times New Roman" w:cs="Times New Roman"/>
          <w:lang w:val="en-US"/>
        </w:rPr>
        <w:t>glutathione peroxidase</w:t>
      </w:r>
      <w:r w:rsidR="00783EDF">
        <w:rPr>
          <w:rFonts w:ascii="Times New Roman" w:eastAsia="Times New Roman" w:hAnsi="Times New Roman" w:cs="Times New Roman"/>
          <w:lang w:val="en-US"/>
        </w:rPr>
        <w:t xml:space="preserve"> </w:t>
      </w:r>
      <w:r w:rsidR="00783EDF" w:rsidRPr="00C146F8">
        <w:rPr>
          <w:rFonts w:ascii="Times New Roman" w:eastAsia="Times New Roman" w:hAnsi="Times New Roman" w:cs="Times New Roman"/>
          <w:highlight w:val="yellow"/>
          <w:lang w:val="en-US"/>
        </w:rPr>
        <w:t>(GPx)</w:t>
      </w:r>
      <w:r w:rsidR="00DB1E46">
        <w:rPr>
          <w:rFonts w:ascii="Times New Roman" w:eastAsia="Times New Roman" w:hAnsi="Times New Roman" w:cs="Times New Roman"/>
          <w:lang w:val="en-US"/>
        </w:rPr>
        <w:t xml:space="preserve"> and </w:t>
      </w:r>
      <w:r w:rsidR="00DB1E46" w:rsidRPr="00DB1E46">
        <w:rPr>
          <w:rFonts w:ascii="Times New Roman" w:eastAsia="Times New Roman" w:hAnsi="Times New Roman" w:cs="Times New Roman"/>
          <w:highlight w:val="yellow"/>
          <w:lang w:val="en-US"/>
        </w:rPr>
        <w:t>glutathione reductase (GR)</w:t>
      </w:r>
      <w:r w:rsidR="005758F6" w:rsidRPr="775665B7">
        <w:rPr>
          <w:rFonts w:ascii="Times New Roman" w:eastAsia="Times New Roman" w:hAnsi="Times New Roman" w:cs="Times New Roman"/>
          <w:lang w:val="en-US"/>
        </w:rPr>
        <w:t>.</w:t>
      </w:r>
      <w:r w:rsidR="12BC37F1" w:rsidRPr="775665B7">
        <w:rPr>
          <w:rFonts w:ascii="Times New Roman" w:eastAsia="Times New Roman" w:hAnsi="Times New Roman" w:cs="Times New Roman"/>
          <w:lang w:val="en-US"/>
        </w:rPr>
        <w:t xml:space="preserve"> </w:t>
      </w:r>
      <w:r w:rsidR="005758F6" w:rsidRPr="775665B7">
        <w:rPr>
          <w:rFonts w:ascii="Times New Roman" w:eastAsia="Times New Roman" w:hAnsi="Times New Roman" w:cs="Times New Roman"/>
          <w:lang w:val="en-US"/>
        </w:rPr>
        <w:t>H</w:t>
      </w:r>
      <w:r w:rsidR="357924F4" w:rsidRPr="775665B7">
        <w:rPr>
          <w:rFonts w:ascii="Times New Roman" w:eastAsia="Times New Roman" w:hAnsi="Times New Roman" w:cs="Times New Roman"/>
          <w:lang w:val="en-US"/>
        </w:rPr>
        <w:t>owever</w:t>
      </w:r>
      <w:r w:rsidR="1637F6B8" w:rsidRPr="2D8CF45F">
        <w:rPr>
          <w:rFonts w:ascii="Times New Roman" w:eastAsia="Times New Roman" w:hAnsi="Times New Roman" w:cs="Times New Roman"/>
          <w:lang w:val="en-US"/>
        </w:rPr>
        <w:t>,</w:t>
      </w:r>
      <w:r w:rsidRPr="2D8CF45F">
        <w:rPr>
          <w:rFonts w:ascii="Times New Roman" w:eastAsia="Times New Roman" w:hAnsi="Times New Roman" w:cs="Times New Roman"/>
          <w:lang w:val="en-US"/>
        </w:rPr>
        <w:t xml:space="preserve"> prolonged exposure depletes reduced glutathione and impairs these enzymes, precipitating lipid peroxidation, protein carbonylation, and oxidative DNA lesions </w:t>
      </w:r>
      <w:r w:rsidR="00BA1F8F" w:rsidRPr="2D8CF45F">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{"citationID":"amTpPvat","properties":{"formattedCitation":"(Jung et al. 2009)","plainCitation":"(Jung et al. 2009)","noteIndex":0},"citationItems":[{"id":"r9E9mN5c/b89uZtYb","uris":["http://zotero.org/users/14468226/items/8M44QJDN"],"itemData":{"id":6615,"type":"article-journal","abstract":"Benzo[a]pyrene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BA1F8F" w:rsidRPr="2D8CF45F">
        <w:rPr>
          <w:rFonts w:ascii="Times New Roman" w:eastAsia="Times New Roman" w:hAnsi="Times New Roman" w:cs="Times New Roman"/>
          <w:lang w:val="en-US"/>
        </w:rPr>
        <w:fldChar w:fldCharType="separate"/>
      </w:r>
      <w:r w:rsidR="00E5454F">
        <w:rPr>
          <w:rFonts w:ascii="Times New Roman" w:hAnsi="Times New Roman" w:cs="Times New Roman"/>
        </w:rPr>
        <w:t>(Jung et al. 2009)</w:t>
      </w:r>
      <w:r w:rsidR="00BA1F8F" w:rsidRPr="2D8CF45F">
        <w:rPr>
          <w:rFonts w:ascii="Times New Roman" w:eastAsia="Times New Roman" w:hAnsi="Times New Roman" w:cs="Times New Roman"/>
          <w:lang w:val="en-US"/>
        </w:rPr>
        <w:fldChar w:fldCharType="end"/>
      </w:r>
      <w:r w:rsidRPr="2D8CF45F">
        <w:rPr>
          <w:rFonts w:ascii="Times New Roman" w:eastAsia="Times New Roman" w:hAnsi="Times New Roman" w:cs="Times New Roman"/>
          <w:lang w:val="en-US"/>
        </w:rPr>
        <w:t xml:space="preserve">. </w:t>
      </w:r>
      <w:r w:rsidR="33E1CCFE" w:rsidRPr="2D8CF45F">
        <w:rPr>
          <w:rFonts w:ascii="Times New Roman" w:eastAsia="Times New Roman" w:hAnsi="Times New Roman" w:cs="Times New Roman"/>
          <w:lang w:val="en-US"/>
        </w:rPr>
        <w:t>Mitochondria</w:t>
      </w:r>
      <w:r w:rsidR="1B467FC3" w:rsidRPr="2D8CF45F">
        <w:rPr>
          <w:rFonts w:ascii="Times New Roman" w:eastAsia="Times New Roman" w:hAnsi="Times New Roman" w:cs="Times New Roman"/>
          <w:lang w:val="en-US"/>
        </w:rPr>
        <w:t xml:space="preserve"> are</w:t>
      </w:r>
      <w:r w:rsidRPr="2D8CF45F">
        <w:rPr>
          <w:rFonts w:ascii="Times New Roman" w:eastAsia="Times New Roman" w:hAnsi="Times New Roman" w:cs="Times New Roman"/>
          <w:lang w:val="en-US"/>
        </w:rPr>
        <w:t xml:space="preserve"> located near the </w:t>
      </w:r>
      <w:r w:rsidR="0019263F">
        <w:rPr>
          <w:rFonts w:ascii="Times New Roman" w:eastAsia="Times New Roman" w:hAnsi="Times New Roman" w:cs="Times New Roman"/>
          <w:lang w:val="en-US"/>
        </w:rPr>
        <w:t>electron transport</w:t>
      </w:r>
      <w:r w:rsidRPr="2D8CF45F">
        <w:rPr>
          <w:rFonts w:ascii="Times New Roman" w:eastAsia="Times New Roman" w:hAnsi="Times New Roman" w:cs="Times New Roman"/>
          <w:lang w:val="en-US"/>
        </w:rPr>
        <w:t xml:space="preserve"> </w:t>
      </w:r>
      <w:r w:rsidR="5518FB84" w:rsidRPr="2D8CF45F">
        <w:rPr>
          <w:rFonts w:ascii="Times New Roman" w:eastAsia="Times New Roman" w:hAnsi="Times New Roman" w:cs="Times New Roman"/>
          <w:lang w:val="en-US"/>
        </w:rPr>
        <w:t>chain and</w:t>
      </w:r>
      <w:r w:rsidRPr="2D8CF45F">
        <w:rPr>
          <w:rFonts w:ascii="Times New Roman" w:eastAsia="Times New Roman" w:hAnsi="Times New Roman" w:cs="Times New Roman"/>
          <w:lang w:val="en-US"/>
        </w:rPr>
        <w:t xml:space="preserve"> sustain </w:t>
      </w:r>
      <w:r w:rsidRPr="2D8CF45F">
        <w:rPr>
          <w:rFonts w:ascii="Times New Roman" w:eastAsia="Times New Roman" w:hAnsi="Times New Roman" w:cs="Times New Roman"/>
          <w:lang w:val="en-US"/>
        </w:rPr>
        <w:lastRenderedPageBreak/>
        <w:t xml:space="preserve">mitochondrial DNA damage, respiratory enzyme inhibition, loss of membrane potential, and ATP depletion, </w:t>
      </w:r>
      <w:r w:rsidR="00964941">
        <w:rPr>
          <w:rFonts w:ascii="Times New Roman" w:eastAsia="Times New Roman" w:hAnsi="Times New Roman" w:cs="Times New Roman"/>
          <w:lang w:val="en-US"/>
        </w:rPr>
        <w:t xml:space="preserve">thereby </w:t>
      </w:r>
      <w:r w:rsidRPr="2D8CF45F">
        <w:rPr>
          <w:rFonts w:ascii="Times New Roman" w:eastAsia="Times New Roman" w:hAnsi="Times New Roman" w:cs="Times New Roman"/>
          <w:lang w:val="en-US"/>
        </w:rPr>
        <w:t>triggering apoptotic pathways and energ</w:t>
      </w:r>
      <w:r w:rsidR="56DBF721" w:rsidRPr="2D8CF45F">
        <w:rPr>
          <w:rFonts w:ascii="Times New Roman" w:eastAsia="Times New Roman" w:hAnsi="Times New Roman" w:cs="Times New Roman"/>
          <w:lang w:val="en-US"/>
        </w:rPr>
        <w:t>y</w:t>
      </w:r>
      <w:r w:rsidRPr="2D8CF45F">
        <w:rPr>
          <w:rFonts w:ascii="Times New Roman" w:eastAsia="Times New Roman" w:hAnsi="Times New Roman" w:cs="Times New Roman"/>
          <w:lang w:val="en-US"/>
        </w:rPr>
        <w:t xml:space="preserve"> collapse </w:t>
      </w:r>
      <w:r w:rsidR="00BA1F8F" w:rsidRPr="2D8CF45F">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{"citationID":"gAoGtLCd","properties":{"formattedCitation":"(Soltani et al. 2019, Kozal et al. 2023)","plainCitation":"(Soltani et al. 2019, Kozal et al. 2023)","noteIndex":0},"citationItems":[{"id":"r9E9mN5c/jh3GsLbC","uris":["http://zotero.org/users/14468226/items/TIXH22B3"],"itemData":{"id":6893,"type":"article-journal","abstract":"The potential for polycyclic aromatic hydrocarbons (PAHs) to have adverse effects that persist across generations is an emerging concern for human and wildlife health. This study evaluated the role of mitochondria, which are maternally inherited, in the cross-generational toxicity of benzo(a)pyrene (BaP), a model PAH and known mitochondrial toxicant. Mature female zebrafish (F0) were fed diets containing 0, 12.5, 125, or 1250 μg BaP/g at a feed rate of 1% body weight twice/day for 21 days. These females were bred with unexposed males, and the embryos (F1) were collected for subsequent analyses. Maternally-exposed embryos exhibited altered mitochondrial function and metabolic partitioning (i.e. the portion of respiration attributable to different cellular processes), as evidenced by in vivo oxygen consumption rates (OCRs). F1 embryos had lower basal and mitochondrial respiration and ATP turnover-mediated OCR, and increased proton leak and reserve capacity. Reductions in mitochondrial DNA (mtDNA) copy number, increases in mtDNA damage, and alterations in biomarkers of oxidative stress were also found in maternally-exposed embryos. Notably, the mitochondrial effects in offspring occurred largely in the absence of effects in maternal ovaries, suggesting that PAH-induced mitochondrial dysfunction may manifest in subsequent generations. Maternally-exposed larvae also displayed swimming hypoactivity. The lowest observed effect level (LOEL) for maternal BaP exposure causing mitochondrial effects in offspring was 12.5 µg BaP/g diet (nominally equivalent to 250 ng BaP/g fish). It was concluded that maternal BaP exposure can cause significant mitochondrial impairments in offspring.","container-title":"Aquatic Toxicology (Amsterdam, Netherlands)","DOI":"10.1016/j.aquatox.2023.106658","ISSN":"1879-1514","journalAbbreviation":"Aquat Toxicol","language":"eng","note":"PMID: 37722151\nPMCID: PMC10591944","page":"106658","source":"PubMed","title":"Mitochondrial dysfunction and oxidative stress contribute to cross-generational toxicity of benzo(a)pyrene in Danio rerio","volume":"263","author":[{"family":"Kozal","given":"Jordan S."},{"family":"Jayasundara","given":"Nishad"},{"family":"Massarsky","given":"Andrey"},{"family":"Lindberg","given":"Casey D."},{"family":"Oliveri","given":"Anthony N."},{"family":"Cooper","given":"Ellen M."},{"family":"Levin","given":"Edward D."},{"family":"Meyer","given":"Joel N."},{"family":"Giulio","given":"Richard T. Di"}],"issued":{"date-parts":[["2023",10]]}}},{"id":"r9E9mN5c/goQck2qB","uris":["http://zotero.org/users/14468226/items/UU6UWX4P"],"itemData":{"id":6594,"type":"article-journal","abstract":"Benzo[a]pyrene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00BA1F8F" w:rsidRPr="2D8CF45F">
        <w:rPr>
          <w:rFonts w:ascii="Times New Roman" w:eastAsia="Times New Roman" w:hAnsi="Times New Roman" w:cs="Times New Roman"/>
          <w:lang w:val="en-US"/>
        </w:rPr>
        <w:fldChar w:fldCharType="separate"/>
      </w:r>
      <w:r w:rsidR="00E5454F">
        <w:rPr>
          <w:rFonts w:ascii="Times New Roman" w:hAnsi="Times New Roman" w:cs="Times New Roman"/>
        </w:rPr>
        <w:t>(Soltani et al. 2019, Kozal et al. 2023)</w:t>
      </w:r>
      <w:r w:rsidR="00BA1F8F" w:rsidRPr="2D8CF45F">
        <w:rPr>
          <w:rFonts w:ascii="Times New Roman" w:eastAsia="Times New Roman" w:hAnsi="Times New Roman" w:cs="Times New Roman"/>
          <w:lang w:val="en-US"/>
        </w:rPr>
        <w:fldChar w:fldCharType="end"/>
      </w:r>
      <w:r w:rsidR="2CBF8936" w:rsidRPr="2D8CF45F">
        <w:rPr>
          <w:rFonts w:ascii="Times New Roman" w:eastAsia="Times New Roman" w:hAnsi="Times New Roman" w:cs="Times New Roman"/>
          <w:lang w:val="en-US"/>
        </w:rPr>
        <w:t xml:space="preserve">. </w:t>
      </w:r>
      <w:r w:rsidR="00C146F8" w:rsidRPr="00C146F8">
        <w:rPr>
          <w:rFonts w:ascii="Times New Roman" w:eastAsia="Times New Roman" w:hAnsi="Times New Roman" w:cs="Times New Roman"/>
          <w:highlight w:val="yellow"/>
          <w:lang w:val="en-US"/>
        </w:rPr>
        <w:t xml:space="preserve">Histopathological manifestations of macromolecular and organelle damage include gill lamellar fusion, hepatocyte vacuolation, inflammatory responses, DNA strand breaks, and mutagenesis, ultimately leading to impaired growth, neurotoxicity, and diminished reproductive fitness in fish </w:t>
      </w:r>
      <w:r w:rsidR="00BA1F8F" w:rsidRPr="00841711">
        <w:rPr>
          <w:rFonts w:ascii="Times New Roman" w:eastAsia="Times New Roman" w:hAnsi="Times New Roman" w:cs="Times New Roman"/>
          <w:lang w:val="en-US"/>
        </w:rPr>
        <w:fldChar w:fldCharType="begin"/>
      </w:r>
      <w:r w:rsidR="00E5454F" w:rsidRPr="00841711">
        <w:rPr>
          <w:rFonts w:ascii="Times New Roman" w:eastAsia="Times New Roman" w:hAnsi="Times New Roman" w:cs="Times New Roman"/>
          <w:lang w:val="en-US"/>
        </w:rPr>
        <w:instrText xml:space="preserve"> ADDIN ZOTERO_ITEM CSL_CITATION {"citationID":"2liKT7Dt","properties":{"formattedCitation":"(Soltani et al. 2019)","plainCitation":"(Soltani et al. 2019)","noteIndex":0},"citationItems":[{"id":"r9E9mN5c/goQck2qB","uris":["http://zotero.org/users/14468226/items/UU6UWX4P"],"itemData":{"id":6594,"type":"article-journal","abstract":"Benzo[a]pyrene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00BA1F8F" w:rsidRPr="00841711">
        <w:rPr>
          <w:rFonts w:ascii="Times New Roman" w:eastAsia="Times New Roman" w:hAnsi="Times New Roman" w:cs="Times New Roman"/>
          <w:lang w:val="en-US"/>
        </w:rPr>
        <w:fldChar w:fldCharType="separate"/>
      </w:r>
      <w:r w:rsidR="00E5454F" w:rsidRPr="00841711">
        <w:rPr>
          <w:rFonts w:ascii="Times New Roman" w:hAnsi="Times New Roman" w:cs="Times New Roman"/>
        </w:rPr>
        <w:t>(Soltani et al. 2019)</w:t>
      </w:r>
      <w:r w:rsidR="00BA1F8F" w:rsidRPr="00841711">
        <w:rPr>
          <w:rFonts w:ascii="Times New Roman" w:eastAsia="Times New Roman" w:hAnsi="Times New Roman" w:cs="Times New Roman"/>
          <w:lang w:val="en-US"/>
        </w:rPr>
        <w:fldChar w:fldCharType="end"/>
      </w:r>
      <w:r w:rsidRPr="00C146F8">
        <w:rPr>
          <w:rFonts w:ascii="Times New Roman" w:eastAsia="Times New Roman" w:hAnsi="Times New Roman" w:cs="Times New Roman"/>
          <w:highlight w:val="yellow"/>
          <w:lang w:val="en-US"/>
        </w:rPr>
        <w:t>.</w:t>
      </w:r>
      <w:r w:rsidRPr="2D8CF45F">
        <w:rPr>
          <w:rFonts w:ascii="Times New Roman" w:eastAsia="Times New Roman" w:hAnsi="Times New Roman" w:cs="Times New Roman"/>
          <w:lang w:val="en-US"/>
        </w:rPr>
        <w:t xml:space="preserve"> </w:t>
      </w:r>
      <w:r w:rsidR="00BA1F8F" w:rsidRPr="000A1EE6">
        <w:rPr>
          <w:rFonts w:ascii="Times New Roman" w:eastAsia="Times New Roman" w:hAnsi="Times New Roman" w:cs="Times New Roman"/>
          <w:lang w:val="en-US"/>
        </w:rPr>
        <w:t xml:space="preserve">Studies </w:t>
      </w:r>
      <w:r w:rsidR="2EABE9F3" w:rsidRPr="000A1EE6">
        <w:rPr>
          <w:rFonts w:ascii="Times New Roman" w:eastAsia="Times New Roman" w:hAnsi="Times New Roman" w:cs="Times New Roman"/>
          <w:lang w:val="en-US"/>
        </w:rPr>
        <w:t>on</w:t>
      </w:r>
      <w:r w:rsidR="00BA1F8F" w:rsidRPr="000A1EE6">
        <w:rPr>
          <w:rFonts w:ascii="Times New Roman" w:eastAsia="Times New Roman" w:hAnsi="Times New Roman" w:cs="Times New Roman"/>
          <w:lang w:val="en-US"/>
        </w:rPr>
        <w:t xml:space="preserve"> Atlantic killifish (</w:t>
      </w:r>
      <w:r w:rsidR="00BA1F8F" w:rsidRPr="000A1EE6">
        <w:rPr>
          <w:rFonts w:ascii="Times New Roman" w:eastAsia="Times New Roman" w:hAnsi="Times New Roman" w:cs="Times New Roman"/>
          <w:i/>
          <w:lang w:val="en-US"/>
        </w:rPr>
        <w:t>Fundulus heteroclitus</w:t>
      </w:r>
      <w:r w:rsidR="00BA1F8F" w:rsidRPr="000A1EE6">
        <w:rPr>
          <w:rFonts w:ascii="Times New Roman" w:eastAsia="Times New Roman" w:hAnsi="Times New Roman" w:cs="Times New Roman"/>
          <w:lang w:val="en-US"/>
        </w:rPr>
        <w:t>) have demonstrated that B</w:t>
      </w:r>
      <w:r w:rsidR="4FCB3DF4" w:rsidRPr="000A1EE6">
        <w:rPr>
          <w:rFonts w:ascii="Times New Roman" w:eastAsia="Times New Roman" w:hAnsi="Times New Roman" w:cs="Times New Roman"/>
          <w:lang w:val="en-US"/>
        </w:rPr>
        <w:t>[</w:t>
      </w:r>
      <w:r w:rsidR="00BA1F8F" w:rsidRPr="00A63BAF">
        <w:rPr>
          <w:rFonts w:ascii="Times New Roman" w:eastAsia="Times New Roman" w:hAnsi="Times New Roman" w:cs="Times New Roman"/>
          <w:i/>
          <w:iCs/>
          <w:lang w:val="en-US"/>
        </w:rPr>
        <w:t>a</w:t>
      </w:r>
      <w:r w:rsidR="67520111" w:rsidRPr="000A1EE6">
        <w:rPr>
          <w:rFonts w:ascii="Times New Roman" w:eastAsia="Times New Roman" w:hAnsi="Times New Roman" w:cs="Times New Roman"/>
          <w:lang w:val="en-US"/>
        </w:rPr>
        <w:t>]</w:t>
      </w:r>
      <w:r w:rsidR="00BA1F8F" w:rsidRPr="000A1EE6">
        <w:rPr>
          <w:rFonts w:ascii="Times New Roman" w:eastAsia="Times New Roman" w:hAnsi="Times New Roman" w:cs="Times New Roman"/>
          <w:lang w:val="en-US"/>
        </w:rPr>
        <w:t xml:space="preserve">P exposure </w:t>
      </w:r>
      <w:r w:rsidR="00685ECE" w:rsidRPr="000A1EE6">
        <w:rPr>
          <w:rFonts w:ascii="Times New Roman" w:eastAsia="Times New Roman" w:hAnsi="Times New Roman" w:cs="Times New Roman"/>
          <w:lang w:val="en-US"/>
        </w:rPr>
        <w:t xml:space="preserve">directly </w:t>
      </w:r>
      <w:r w:rsidR="00BA1F8F" w:rsidRPr="000A1EE6">
        <w:rPr>
          <w:rFonts w:ascii="Times New Roman" w:eastAsia="Times New Roman" w:hAnsi="Times New Roman" w:cs="Times New Roman"/>
          <w:lang w:val="en-US"/>
        </w:rPr>
        <w:t xml:space="preserve">targets </w:t>
      </w:r>
      <w:r w:rsidR="00EB44CF">
        <w:rPr>
          <w:rFonts w:ascii="Times New Roman" w:eastAsia="Times New Roman" w:hAnsi="Times New Roman" w:cs="Times New Roman"/>
          <w:lang w:val="en-US"/>
        </w:rPr>
        <w:t xml:space="preserve">the </w:t>
      </w:r>
      <w:r w:rsidR="00BA1F8F" w:rsidRPr="000A1EE6">
        <w:rPr>
          <w:rFonts w:ascii="Times New Roman" w:eastAsia="Times New Roman" w:hAnsi="Times New Roman" w:cs="Times New Roman"/>
          <w:lang w:val="en-US"/>
        </w:rPr>
        <w:t xml:space="preserve">mitochondria, leading to decreased ATP production, loss of mitochondrial membrane potential, and increased </w:t>
      </w:r>
      <w:r w:rsidR="0019263F">
        <w:rPr>
          <w:rFonts w:ascii="Times New Roman" w:eastAsia="Times New Roman" w:hAnsi="Times New Roman" w:cs="Times New Roman"/>
          <w:lang w:val="en-US"/>
        </w:rPr>
        <w:t xml:space="preserve">ROS production </w:t>
      </w:r>
      <w:r w:rsidR="002B1FC1"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{"citationID":"UF5DohZE","properties":{"formattedCitation":"(Jung et al. 2009)","plainCitation":"(Jung et al. 2009)","noteIndex":0},"citationItems":[{"id":"r9E9mN5c/b89uZtYb","uris":["http://zotero.org/users/14468226/items/8M44QJDN"],"itemData":{"id":6615,"type":"article-journal","abstract":"Benzo[a]pyrene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2B1FC1" w:rsidRPr="000A1EE6">
        <w:rPr>
          <w:rFonts w:ascii="Times New Roman" w:eastAsia="Times New Roman" w:hAnsi="Times New Roman" w:cs="Times New Roman"/>
          <w:lang w:val="en-US"/>
        </w:rPr>
        <w:fldChar w:fldCharType="separate"/>
      </w:r>
      <w:r w:rsidR="00E5454F">
        <w:rPr>
          <w:rFonts w:ascii="Times New Roman" w:hAnsi="Times New Roman" w:cs="Times New Roman"/>
        </w:rPr>
        <w:t>(Jung et al. 2009)</w:t>
      </w:r>
      <w:r w:rsidR="002B1FC1" w:rsidRPr="000A1EE6">
        <w:rPr>
          <w:rFonts w:ascii="Times New Roman" w:eastAsia="Times New Roman" w:hAnsi="Times New Roman" w:cs="Times New Roman"/>
          <w:lang w:val="en-US"/>
        </w:rPr>
        <w:fldChar w:fldCharType="end"/>
      </w:r>
      <w:r w:rsidR="00BA1F8F" w:rsidRPr="000A1EE6">
        <w:rPr>
          <w:rFonts w:ascii="Times New Roman" w:eastAsia="Times New Roman" w:hAnsi="Times New Roman" w:cs="Times New Roman"/>
          <w:lang w:val="en-US"/>
        </w:rPr>
        <w:t xml:space="preserve">. </w:t>
      </w:r>
      <w:r w:rsidR="005A0433">
        <w:rPr>
          <w:rFonts w:ascii="Times New Roman" w:eastAsia="Times New Roman" w:hAnsi="Times New Roman" w:cs="Times New Roman"/>
          <w:lang w:val="en-US"/>
        </w:rPr>
        <w:t>Mitochondrial</w:t>
      </w:r>
      <w:r w:rsidR="00BA1F8F" w:rsidRPr="000A1EE6">
        <w:rPr>
          <w:rFonts w:ascii="Times New Roman" w:eastAsia="Times New Roman" w:hAnsi="Times New Roman" w:cs="Times New Roman"/>
          <w:lang w:val="en-US"/>
        </w:rPr>
        <w:t xml:space="preserve"> targeting represents a critical mechanism linking B</w:t>
      </w:r>
      <w:r w:rsidR="681DBDDA" w:rsidRPr="000A1EE6">
        <w:rPr>
          <w:rFonts w:ascii="Times New Roman" w:eastAsia="Times New Roman" w:hAnsi="Times New Roman" w:cs="Times New Roman"/>
          <w:lang w:val="en-US"/>
        </w:rPr>
        <w:t>[</w:t>
      </w:r>
      <w:r w:rsidR="00BA1F8F" w:rsidRPr="00A63BAF">
        <w:rPr>
          <w:rFonts w:ascii="Times New Roman" w:eastAsia="Times New Roman" w:hAnsi="Times New Roman" w:cs="Times New Roman"/>
          <w:i/>
          <w:iCs/>
          <w:lang w:val="en-US"/>
        </w:rPr>
        <w:t>a</w:t>
      </w:r>
      <w:r w:rsidR="087517E0" w:rsidRPr="000A1EE6">
        <w:rPr>
          <w:rFonts w:ascii="Times New Roman" w:eastAsia="Times New Roman" w:hAnsi="Times New Roman" w:cs="Times New Roman"/>
          <w:lang w:val="en-US"/>
        </w:rPr>
        <w:t>]</w:t>
      </w:r>
      <w:r w:rsidR="00BA1F8F" w:rsidRPr="000A1EE6">
        <w:rPr>
          <w:rFonts w:ascii="Times New Roman" w:eastAsia="Times New Roman" w:hAnsi="Times New Roman" w:cs="Times New Roman"/>
          <w:lang w:val="en-US"/>
        </w:rPr>
        <w:t xml:space="preserve">P exposure to long-term metabolic dysfunction and cellular damage in </w:t>
      </w:r>
      <w:r w:rsidR="00EB44CF">
        <w:rPr>
          <w:rFonts w:ascii="Times New Roman" w:eastAsia="Times New Roman" w:hAnsi="Times New Roman" w:cs="Times New Roman"/>
          <w:lang w:val="en-US"/>
        </w:rPr>
        <w:t xml:space="preserve">the </w:t>
      </w:r>
      <w:r w:rsidR="00BA1F8F" w:rsidRPr="000A1EE6">
        <w:rPr>
          <w:rFonts w:ascii="Times New Roman" w:eastAsia="Times New Roman" w:hAnsi="Times New Roman" w:cs="Times New Roman"/>
          <w:lang w:val="en-US"/>
        </w:rPr>
        <w:t xml:space="preserve">exposed fish populations </w:t>
      </w:r>
      <w:r w:rsidR="00DB0243"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{"citationID":"EsGHZpe7","properties":{"formattedCitation":"(Hawkey et al. 2022)","plainCitation":"(Hawkey et al. 2022)","noteIndex":0},"citationItems":[{"id":"r9E9mN5c/23rgRN89","uris":["http://zotero.org/users/14468226/items/Q6FBQH6V"],"itemData":{"id":6618,"type":"article-journal","abstract":"Polycyclic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D."}],"issued":{"date-parts":[["2022"]]}}}],"schema":"https://github.com/citation-style-language/schema/raw/master/csl-citation.json"} </w:instrText>
      </w:r>
      <w:r w:rsidR="00DB0243" w:rsidRPr="000A1EE6">
        <w:rPr>
          <w:rFonts w:ascii="Times New Roman" w:eastAsia="Times New Roman" w:hAnsi="Times New Roman" w:cs="Times New Roman"/>
          <w:lang w:val="en-US"/>
        </w:rPr>
        <w:fldChar w:fldCharType="separate"/>
      </w:r>
      <w:r w:rsidR="00E5454F">
        <w:rPr>
          <w:rFonts w:ascii="Times New Roman" w:hAnsi="Times New Roman" w:cs="Times New Roman"/>
        </w:rPr>
        <w:t>(Hawkey et al. 2022)</w:t>
      </w:r>
      <w:r w:rsidR="00DB0243" w:rsidRPr="000A1EE6">
        <w:rPr>
          <w:rFonts w:ascii="Times New Roman" w:eastAsia="Times New Roman" w:hAnsi="Times New Roman" w:cs="Times New Roman"/>
          <w:lang w:val="en-US"/>
        </w:rPr>
        <w:fldChar w:fldCharType="end"/>
      </w:r>
      <w:r w:rsidR="00DB0243" w:rsidRPr="000A1EE6">
        <w:rPr>
          <w:rFonts w:ascii="Times New Roman" w:eastAsia="Times New Roman" w:hAnsi="Times New Roman" w:cs="Times New Roman"/>
          <w:lang w:val="en-US"/>
        </w:rPr>
        <w:t>.</w:t>
      </w:r>
    </w:p>
    <w:p w14:paraId="54B61CF0" w14:textId="78B88D51" w:rsidR="00DC7EB4" w:rsidRPr="000A1EE6" w:rsidRDefault="00B77F43" w:rsidP="000A1EE6">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b/>
          <w:bCs/>
          <w:lang w:val="en-US"/>
        </w:rPr>
        <w:t xml:space="preserve">3.1 </w:t>
      </w:r>
      <w:r w:rsidR="00DC7EB4" w:rsidRPr="000A1EE6">
        <w:rPr>
          <w:rFonts w:ascii="Times New Roman" w:eastAsia="Times New Roman" w:hAnsi="Times New Roman" w:cs="Times New Roman"/>
          <w:b/>
          <w:bCs/>
          <w:lang w:val="en-US"/>
        </w:rPr>
        <w:t xml:space="preserve">Species and </w:t>
      </w:r>
      <w:r w:rsidR="60557A34" w:rsidRPr="000A1EE6">
        <w:rPr>
          <w:rFonts w:ascii="Times New Roman" w:eastAsia="Times New Roman" w:hAnsi="Times New Roman" w:cs="Times New Roman"/>
          <w:b/>
          <w:bCs/>
          <w:lang w:val="en-US"/>
        </w:rPr>
        <w:t>T</w:t>
      </w:r>
      <w:r w:rsidR="00DC7EB4" w:rsidRPr="000A1EE6">
        <w:rPr>
          <w:rFonts w:ascii="Times New Roman" w:eastAsia="Times New Roman" w:hAnsi="Times New Roman" w:cs="Times New Roman"/>
          <w:b/>
          <w:bCs/>
          <w:lang w:val="en-US"/>
        </w:rPr>
        <w:t xml:space="preserve">issue-Specific Responses </w:t>
      </w:r>
    </w:p>
    <w:p w14:paraId="67B212F2" w14:textId="3DF1DCA3" w:rsidR="0034223B" w:rsidRPr="000A1EE6" w:rsidRDefault="00FF4AC7"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B</w:t>
      </w:r>
      <w:r w:rsidR="00DC7EB4" w:rsidRPr="000A1EE6">
        <w:rPr>
          <w:rFonts w:ascii="Times New Roman" w:eastAsia="Times New Roman" w:hAnsi="Times New Roman" w:cs="Times New Roman"/>
          <w:lang w:val="en-US"/>
        </w:rPr>
        <w:t>iological responses to B</w:t>
      </w:r>
      <w:r w:rsidR="2D49F829" w:rsidRPr="000A1EE6">
        <w:rPr>
          <w:rFonts w:ascii="Times New Roman" w:eastAsia="Times New Roman" w:hAnsi="Times New Roman" w:cs="Times New Roman"/>
          <w:lang w:val="en-US"/>
        </w:rPr>
        <w:t>[</w:t>
      </w:r>
      <w:r w:rsidR="00DC7EB4" w:rsidRPr="47EE4892">
        <w:rPr>
          <w:rFonts w:ascii="Times New Roman" w:eastAsia="Times New Roman" w:hAnsi="Times New Roman" w:cs="Times New Roman"/>
          <w:i/>
          <w:iCs/>
          <w:lang w:val="en-US"/>
        </w:rPr>
        <w:t>a</w:t>
      </w:r>
      <w:r w:rsidR="6105F7C5" w:rsidRPr="000A1EE6">
        <w:rPr>
          <w:rFonts w:ascii="Times New Roman" w:eastAsia="Times New Roman" w:hAnsi="Times New Roman" w:cs="Times New Roman"/>
          <w:lang w:val="en-US"/>
        </w:rPr>
        <w:t>]</w:t>
      </w:r>
      <w:r w:rsidR="00DC7EB4" w:rsidRPr="000A1EE6">
        <w:rPr>
          <w:rFonts w:ascii="Times New Roman" w:eastAsia="Times New Roman" w:hAnsi="Times New Roman" w:cs="Times New Roman"/>
          <w:lang w:val="en-US"/>
        </w:rPr>
        <w:t xml:space="preserve">P and coal-derived contaminants exhibit strong species- and tissue-specific variability, largely reflecting differences in ecological adaptations, physiology, and detoxification capacity </w:t>
      </w:r>
      <w:r w:rsidRPr="000A1EE6">
        <w:rPr>
          <w:rFonts w:ascii="Times New Roman" w:eastAsia="Times New Roman" w:hAnsi="Times New Roman" w:cs="Times New Roman"/>
          <w:lang w:val="en-US"/>
        </w:rPr>
        <w:t>between</w:t>
      </w:r>
      <w:r w:rsidR="00A62F40" w:rsidRPr="000A1EE6">
        <w:rPr>
          <w:rFonts w:ascii="Times New Roman" w:eastAsia="Times New Roman" w:hAnsi="Times New Roman" w:cs="Times New Roman"/>
          <w:lang w:val="en-US"/>
        </w:rPr>
        <w:t xml:space="preserve"> </w:t>
      </w:r>
      <w:r w:rsidR="00DC7EB4" w:rsidRPr="000A1EE6">
        <w:rPr>
          <w:rFonts w:ascii="Times New Roman" w:eastAsia="Times New Roman" w:hAnsi="Times New Roman" w:cs="Times New Roman"/>
          <w:lang w:val="en-US"/>
        </w:rPr>
        <w:t>freshwater and estuarine organisms</w:t>
      </w:r>
      <w:r w:rsidR="004867C1" w:rsidRPr="000A1EE6">
        <w:rPr>
          <w:rFonts w:ascii="Times New Roman" w:eastAsia="Times New Roman" w:hAnsi="Times New Roman" w:cs="Times New Roman"/>
          <w:lang w:val="en-US"/>
        </w:rPr>
        <w:t xml:space="preserve"> </w:t>
      </w:r>
      <w:r w:rsidR="004867C1"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{"citationID":"eZqp0wQF","properties":{"formattedCitation":"(Kortei et al. 2020, Chan et al. 2021, Villa-Villase\\uc0\\u241{}or et al. 2022)","plainCitation":"(Kortei et al. 2020, Chan et al. 2021, Villa-Villaseñor et al. 2022)","noteIndex":0},"citationItems":[{"id":"r9E9mN5c/PmrlHUru","uris":["http://zotero.org/users/14468226/items/HARQJCPS"],"itemData":{"id":6663,"type":"article-journal","abstract":"Metal contamination from base metal sulphide mines is a major environmental challenge that poses many ecological and health risks. We examined the metal concentrations in the Dabaoshan mine in South China in water, sediments, and aquatic organisms and their specific characteristics (i.e. size, body tissue, species, and habitat) along the Hengshi and Wengjiang River courses to assess acid mine drainage remediation efforts. Metal concentrations of arsenic, cadmium, chromium, copper, lead, nickel, thallium, and zinc were examined in tissues (i.e. gills, intestines, and muscles) of 17 freshwater species of fish, shrimps, and crabs. Metals in tissues followed the trend: intestines &gt; gills &gt; muscles; nearly all intestine samples exceeded the safe limits of metals analysed in this study. There is a positive correlation between distance from the mine and metal concentrations related to the flow of surface water and the habitat of aquatic organisms. The concentrations of arsenic, copper, and zinc were the highest in aquatic organisms, and the distribution was influenced by physical (distance from mine, currents, and seasonality), chemical (pH and competing ions), and biological (species, habitat, and predator–prey relation) factors. Large demersal fish and benthic fauna had higher concentrations of metals. Bioaccumulation and biomagnification of metals, as well as the high metal pollution index and target hazard quotient (arsenic, cadmium, copper, lead, thallium, and zinc), occurred in bottom feeders (C. aumtus, X. argentea) and fish belonging to higher trophic levels (P. fulvidraco, O. mossambicus). Lead and cadmium indicated the highest level of biomagnification from prey to predator. Health risks exist from the dietary intake of common aquatic species such as tilapia and carp besides crustaceans due to high arsenic, cadmium, lead, and thallium levels. Further reduction of metals is necessary to improve the effects of acid mine drainage in the catchment.","container-title":"Environmental Geochemistry and Health","DOI":"10.1007/s10653-021-00923-0","ISSN":"1573-2983","issue":"11","journalAbbreviation":"Environ Geochem Health","language":"en","page":"4415-4440","source":"Springer Link","title":"Metal accumulations in aquatic organisms and health risks in an acid mine-affected site in South China","volume":"43","author":[{"family":"Chan","given":"Wing Sze"},{"family":"Routh","given":"Joyanto"},{"family":"Luo","given":"Chen"},{"family":"Dario","given":"Mårten"},{"family":"Miao","given":"Yuqing"},{"family":"Luo","given":"Dinggui"},{"family":"Wei","given":"Lezhang"}],"issued":{"date-parts":[["2021",11,1]]}}},{"id":"r9E9mN5c/xWnCOAy4","uris":["http://zotero.org/users/14468226/items/V2QS3WDQ"],"itemData":{"id":6660,"type":"article-journal","abstract":"Arsenic (As), mercury (Hg), Cadmium (Cd) and lead (Pb) are toxic heavy metals that naturally occur in the ecosystem. Their levels are on the rise due to anthropogenic activities posing threat to aquatic wildlife and humans. In Ghana, pollution of some water bodies has led to unsafe consumption of riverine fishes as well as a shortage of treated potable water principally because the cost of treating polluted water has become expensive across the country. This study aimed to assess the As, Hg, Pb and Cd concentrations in water and fishes from rivers Pra and Ankobrah where activities of artisanal gold mining were carried out resulting in gross pollution of the water bodies. An experimental study was performed to ascertain the levels of As, Hg, Pb and Cd in fish species of Nile tilapia (Oreochromis noliticus) and mudfish (Clarias anguillaris) and aquatic media (water) from the Pra and River Ankobrah basins using the Atomic Absorption Spectrophotometer (AAS) (Varian AA240FS). Both river water samples recorded ranges of 0- 0.0040, 0.0060- 0.0387, 0 - 0.0020, 0.006-0.0093 mg/l for Cadmium, Lead, Arsenic and Mercury respectively. For Cadmium and Arsenic, their levels were comparable (p &gt; 0.05). However, detected values for Lead and Mercury were no comparable (p &lt; 0.05). Toxic metals concentrations in the rivers decreased in the order of Hg &gt; Pb &gt; Cd &gt; As. For the fish samples, values ranged 0-0.08, 0.04-0.42, 0-0.04, and 0.40- 0.60 mg/kg for Cadmium, Lead, Arsenic and Mercury respectively. Generally, appreciably high values were obtained for Mercury. Toxic metals concentrations in the rivers decreased in the order of Hg &gt; Pb &gt; Cd &gt; As. Human health risk assessment from heavy metal exposure through fish consumption from the Rivers for both children and adults showed no significant non-carcinogenic adverse health risk to humans since all calculated values for Hazard Quotient (HQ) were &lt;1. Nonetheless, Target Hazard Quotient (THQ) values calculated for children and adult exposure to Cadmium and Mercury were&gt;1 which implied a likely cause of adverse effects during a person's lifetime.","container-title":"Toxicology Reports","DOI":"10.1016/j.toxrep.2020.02.011","ISSN":"2214-7500","journalAbbreviation":"Toxicology Reports","page":"360-369","source":"ScienceDirect","title":"Health risk assessment and levels of toxic metals in fishes (&lt;i&gt;Oreochromis noliticus&lt;/i&gt; and &lt;i&gt;Clarias anguillaris&lt;/i&gt;) from Ankobrah and Pra basins: Impact of illegal mining activities on food safety","title-short":"Health risk assessment and levels of toxic metals in fishes (&lt;i&gt;Oreochromis noliticus&lt;/i&gt; and &lt;i&gt;Clarias anguillaris&lt;/i&gt;) from Ankobrah and Pra basins","volume":"7","author":[{"family":"Kortei","given":"Nii Korley"},{"family":"Heymann","given":"Marcus Ekow"},{"family":"Essuman","given":"Edward Ken"},{"family":"Kpodo","given":"Fidelis Mawunyo"},{"family":"Akonor","given":"Papa Toah"},{"family":"Lokpo","given":"Sylvester Yao"},{"family":"Boadi","given":"Nathaniel Owusu"},{"family":"Ayim-Akonor","given":"Matilda"},{"family":"Tettey","given":"Clement"}],"issued":{"date-parts":[["2020",1,1]]}}},{"id":"r9E9mN5c/JSBSLF2P","uris":["http://zotero.org/users/14468226/items/RYMMRUDA"],"itemData":{"id":6807,"type":"article-journal","abstract":"Nitrate-nitrogen (NO3-N) pollution related to anthropogenic activities is increasing in freshwater ecosystems. Knowledge about NO3-N sensitivity in freshwater wild fish is needed to understand the differential tolerance between species. Goodeinae is a subfamily of 41 endemic fishes that inhabit central Mexico, with 33 species in the IUCN red list and three extinct. Distributional patterns suggest tolerant and sensitive goodeines related to the conservation gradient of freshwater ecosystems. Four species with a differential distribution and tolerance were selected to evaluate their physiological responses to NO3-N. Fish were exposed to different NO3-N concentrations for 96 h and the median lethal concentration (LC50) was determined. Swimming disorders plus gill and liver histopathological indexes were estimated and incorporated into an Integrated Biomarker Response for each species. Skiffia lermae (LC50= 474.332 mg/L) and Xenotoca variata (LC50= 520.273 mg/L) were more sensitive than Goodea atripinnis (LC50= 953.049 mg/L) and Alloophorus robustus (LC50= 1537.13 mg/L). The typical histological damage produced by NaNO3-N exposure was fusion of secondary lamellae in gills. This was present in all species and cellular degeneration was observed at the highest concentrations. Secondary lamellae aneurysms were only observed in G. atripinnis. Liver alterations included vascular dilation in hepatic sinusoids, hyperemia and nuclear hypertrophy; higher concentrations produced hepatocyte cytoplasmic vacuolation and reduced frequency of cell nuclei. Behavioral and histopathological alterations could explain the differential species sensitivity. The results suggest that species which preserve gill function and transfer the task of detoxification to the liver might have the best chance of surviving in polluted environments. Moreover, species previously considered as tolerant may be highly susceptible to NaNO3-N exposure. Therefore, it is necessary to closely monitor NaNO3-N concentrations in freshwater ecosystems and, if possible, reduce their levels to avoid the loss of wild populations.","container-title":"Frontiers in Ecology and Evolution","DOI":"10.3389/fevo.2022.1014814","ISSN":"2296-701X","journalAbbreviation":"Front. Ecol. Evol.","language":"English","note":"publisher: Frontiers","source":"Frontiers","title":"Differential sensitivity of offspring from four species of goodeine freshwater fish to acute exposure to nitrates","URL":"https://www.frontiersin.org/journals/ecology-and-evolution/articles/10.3389/fevo.2022.1014814/full","volume":"10","author":[{"family":"Villa-Villaseñor","given":"Ivette Marai"},{"family":"Yáñez-Rivera","given":"Beatriz"},{"family":"Rueda-Jasso","given":"Rebeca Aneli"},{"family":"Herrera-Vargas","given":"Ma Antonia"},{"family":"Hernández-Morales","given":"Rubén"},{"family":"Meléndez-Herrera","given":"Esperanza"},{"family":"Domínguez-Domínguez","given":"Omar"}],"accessed":{"date-parts":[["2025",7,30]]},"issued":{"date-parts":[["2022",9,29]]}}}],"schema":"https://github.com/citation-style-language/schema/raw/master/csl-citation.json"} </w:instrText>
      </w:r>
      <w:r w:rsidR="004867C1" w:rsidRPr="000A1EE6">
        <w:rPr>
          <w:rFonts w:ascii="Times New Roman" w:eastAsia="Times New Roman" w:hAnsi="Times New Roman" w:cs="Times New Roman"/>
          <w:lang w:val="en-US"/>
        </w:rPr>
        <w:fldChar w:fldCharType="separate"/>
      </w:r>
      <w:r w:rsidR="00E5454F" w:rsidRPr="00E5454F">
        <w:rPr>
          <w:rFonts w:ascii="Times New Roman" w:hAnsi="Times New Roman" w:cs="Times New Roman"/>
          <w:kern w:val="0"/>
          <w:lang w:val="en-US"/>
        </w:rPr>
        <w:t>(Kortei et al. 2020, Chan et al. 2021, Villa-Villaseñor et al. 2022)</w:t>
      </w:r>
      <w:r w:rsidR="004867C1" w:rsidRPr="000A1EE6">
        <w:rPr>
          <w:rFonts w:ascii="Times New Roman" w:eastAsia="Times New Roman" w:hAnsi="Times New Roman" w:cs="Times New Roman"/>
          <w:lang w:val="en-US"/>
        </w:rPr>
        <w:fldChar w:fldCharType="end"/>
      </w:r>
      <w:r w:rsidR="004867C1" w:rsidRPr="000A1EE6">
        <w:rPr>
          <w:rFonts w:ascii="Times New Roman" w:eastAsia="Times New Roman" w:hAnsi="Times New Roman" w:cs="Times New Roman"/>
          <w:lang w:val="en-US"/>
        </w:rPr>
        <w:t>.</w:t>
      </w:r>
      <w:r w:rsidR="00DC7EB4" w:rsidRPr="000A1EE6">
        <w:rPr>
          <w:rFonts w:ascii="Times New Roman" w:eastAsia="Times New Roman" w:hAnsi="Times New Roman" w:cs="Times New Roman"/>
          <w:lang w:val="en-US"/>
        </w:rPr>
        <w:t xml:space="preserve"> In general</w:t>
      </w:r>
      <w:r w:rsidR="005A0433">
        <w:rPr>
          <w:rFonts w:ascii="Times New Roman" w:eastAsia="Times New Roman" w:hAnsi="Times New Roman" w:cs="Times New Roman"/>
          <w:lang w:val="en-US"/>
        </w:rPr>
        <w:t xml:space="preserve">, upon exposure to </w:t>
      </w:r>
      <w:r w:rsidR="00F451F5" w:rsidRPr="1624CE57">
        <w:rPr>
          <w:rFonts w:ascii="Times New Roman" w:eastAsia="Times New Roman" w:hAnsi="Times New Roman" w:cs="Times New Roman"/>
          <w:lang w:val="en-US"/>
        </w:rPr>
        <w:t xml:space="preserve">zebrafish </w:t>
      </w:r>
      <w:r w:rsidR="00B12CED" w:rsidRPr="1624CE57">
        <w:rPr>
          <w:rFonts w:ascii="Times New Roman" w:eastAsia="Times New Roman" w:hAnsi="Times New Roman" w:cs="Times New Roman"/>
          <w:lang w:val="en-US"/>
        </w:rPr>
        <w:t>(</w:t>
      </w:r>
      <w:r w:rsidR="00C25171" w:rsidRPr="47EE4892">
        <w:rPr>
          <w:rFonts w:ascii="Times New Roman" w:eastAsia="Times New Roman" w:hAnsi="Times New Roman" w:cs="Times New Roman"/>
          <w:i/>
          <w:iCs/>
          <w:lang w:val="en-US"/>
        </w:rPr>
        <w:t>Danio rerio</w:t>
      </w:r>
      <w:r w:rsidR="00B12CED" w:rsidRPr="47EE4892">
        <w:rPr>
          <w:rFonts w:ascii="Times New Roman" w:eastAsia="Times New Roman" w:hAnsi="Times New Roman" w:cs="Times New Roman"/>
          <w:i/>
          <w:iCs/>
          <w:lang w:val="en-US"/>
        </w:rPr>
        <w:t>)</w:t>
      </w:r>
      <w:r w:rsidR="005A0433">
        <w:rPr>
          <w:rFonts w:ascii="Times New Roman" w:eastAsia="Times New Roman" w:hAnsi="Times New Roman" w:cs="Times New Roman"/>
          <w:lang w:val="en-US"/>
        </w:rPr>
        <w:t xml:space="preserve">, </w:t>
      </w:r>
      <w:r w:rsidRPr="1624CE57" w:rsidDel="005A0433">
        <w:rPr>
          <w:rFonts w:ascii="Times New Roman" w:eastAsia="Times New Roman" w:hAnsi="Times New Roman" w:cs="Times New Roman"/>
          <w:lang w:val="en-US"/>
        </w:rPr>
        <w:t>B</w:t>
      </w:r>
      <w:r w:rsidR="005214A0" w:rsidRPr="1624CE57">
        <w:rPr>
          <w:rFonts w:ascii="Times New Roman" w:eastAsia="Times New Roman" w:hAnsi="Times New Roman" w:cs="Times New Roman"/>
          <w:lang w:val="en-US"/>
        </w:rPr>
        <w:t>[</w:t>
      </w:r>
      <w:r w:rsidR="005214A0" w:rsidRPr="47EE4892">
        <w:rPr>
          <w:rFonts w:ascii="Times New Roman" w:eastAsia="Times New Roman" w:hAnsi="Times New Roman" w:cs="Times New Roman"/>
          <w:i/>
          <w:iCs/>
          <w:lang w:val="en-US"/>
        </w:rPr>
        <w:t>a</w:t>
      </w:r>
      <w:r w:rsidR="005214A0" w:rsidRPr="1624CE57">
        <w:rPr>
          <w:rFonts w:ascii="Times New Roman" w:eastAsia="Times New Roman" w:hAnsi="Times New Roman" w:cs="Times New Roman"/>
          <w:lang w:val="en-US"/>
        </w:rPr>
        <w:t>]P</w:t>
      </w:r>
      <w:r w:rsidR="00EF606A" w:rsidRPr="000A1EE6">
        <w:rPr>
          <w:rFonts w:ascii="Times New Roman" w:eastAsia="Times New Roman" w:hAnsi="Times New Roman" w:cs="Times New Roman"/>
          <w:lang w:val="en-US"/>
        </w:rPr>
        <w:t xml:space="preserve"> </w:t>
      </w:r>
      <w:r w:rsidR="00DC7EB4" w:rsidRPr="000A1EE6">
        <w:rPr>
          <w:rFonts w:ascii="Times New Roman" w:eastAsia="Times New Roman" w:hAnsi="Times New Roman" w:cs="Times New Roman"/>
          <w:lang w:val="en-US"/>
        </w:rPr>
        <w:t>induces oxidative stress and modulates several key biomarkers, including acetylcholinesterase (AChE)</w:t>
      </w:r>
      <w:r w:rsidR="005A0433">
        <w:rPr>
          <w:rFonts w:ascii="Times New Roman" w:eastAsia="Times New Roman" w:hAnsi="Times New Roman" w:cs="Times New Roman"/>
          <w:lang w:val="en-US"/>
        </w:rPr>
        <w:t xml:space="preserve"> and</w:t>
      </w:r>
      <w:r w:rsidR="00DC7EB4" w:rsidRPr="000A1EE6">
        <w:rPr>
          <w:rFonts w:ascii="Times New Roman" w:eastAsia="Times New Roman" w:hAnsi="Times New Roman" w:cs="Times New Roman"/>
          <w:lang w:val="en-US"/>
        </w:rPr>
        <w:t xml:space="preserve"> glutathione-S-transferase (GST), </w:t>
      </w:r>
      <w:r w:rsidR="00052921" w:rsidRPr="000A1EE6">
        <w:rPr>
          <w:rFonts w:ascii="Times New Roman" w:eastAsia="Times New Roman" w:hAnsi="Times New Roman" w:cs="Times New Roman"/>
          <w:lang w:val="en-US"/>
        </w:rPr>
        <w:t xml:space="preserve"> </w:t>
      </w:r>
      <w:r w:rsidR="005A0433">
        <w:rPr>
          <w:rFonts w:ascii="Times New Roman" w:eastAsia="Times New Roman" w:hAnsi="Times New Roman" w:cs="Times New Roman"/>
          <w:lang w:val="en-US"/>
        </w:rPr>
        <w:t>which increase</w:t>
      </w:r>
      <w:r w:rsidR="00A62F40" w:rsidRPr="000A1EE6">
        <w:rPr>
          <w:rFonts w:ascii="Times New Roman" w:eastAsia="Times New Roman" w:hAnsi="Times New Roman" w:cs="Times New Roman"/>
          <w:lang w:val="en-US"/>
        </w:rPr>
        <w:t xml:space="preserve"> </w:t>
      </w:r>
      <w:r w:rsidR="00AB209B" w:rsidRPr="000A1EE6">
        <w:rPr>
          <w:rFonts w:ascii="Times New Roman" w:eastAsia="Times New Roman" w:hAnsi="Times New Roman" w:cs="Times New Roman"/>
          <w:lang w:val="en-US"/>
        </w:rPr>
        <w:t xml:space="preserve">0.96-fold relative to </w:t>
      </w:r>
      <w:r w:rsidR="005A0433">
        <w:rPr>
          <w:rFonts w:ascii="Times New Roman" w:eastAsia="Times New Roman" w:hAnsi="Times New Roman" w:cs="Times New Roman"/>
          <w:lang w:val="en-US"/>
        </w:rPr>
        <w:t xml:space="preserve">the </w:t>
      </w:r>
      <w:r w:rsidR="00AB209B" w:rsidRPr="000A1EE6">
        <w:rPr>
          <w:rFonts w:ascii="Times New Roman" w:eastAsia="Times New Roman" w:hAnsi="Times New Roman" w:cs="Times New Roman"/>
          <w:lang w:val="en-US"/>
        </w:rPr>
        <w:t xml:space="preserve">control groups in </w:t>
      </w:r>
      <w:r w:rsidR="005A0433">
        <w:rPr>
          <w:rFonts w:ascii="Times New Roman" w:eastAsia="Times New Roman" w:hAnsi="Times New Roman" w:cs="Times New Roman"/>
          <w:lang w:val="en-US"/>
        </w:rPr>
        <w:t xml:space="preserve">a </w:t>
      </w:r>
      <w:r w:rsidR="00AB209B" w:rsidRPr="000A1EE6">
        <w:rPr>
          <w:rFonts w:ascii="Times New Roman" w:eastAsia="Times New Roman" w:hAnsi="Times New Roman" w:cs="Times New Roman"/>
          <w:lang w:val="en-US"/>
        </w:rPr>
        <w:t xml:space="preserve">concentration and time-dependent manner </w:t>
      </w:r>
      <w:r w:rsidR="00003A7A"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{"citationID":"8f6t7IvZ","properties":{"formattedCitation":"(Zhou et al. 2021)","plainCitation":"(Zhou et al. 2021)","noteIndex":0},"citationItems":[{"id":"r9E9mN5c/4cRprbov","uris":["http://zotero.org/users/14468226/items/KMDLCB75"],"itemData":{"id":6547,"type":"article-journal","abstract":"Waterborne Benzo[a]pyrene (B[a]P) pollution is a global threat to aquatic organisms. The exposure to waterborne B[a]P can disrupt the normal locomotor behavior of zebrafish (Danio rerio), however, how it affect the locomotor behavior of adult zebrafish remains unclear. Herein, B[a]P at two concentrations (0.8 μg/L and 2.0 μg/L) were selected to investigate the molecular mechanisms of the affected locomotor behavior of zebrafish by B [a]P based on transcriptome profiling. Adverse effects of B[a]P exposure affecting locomotor behavior in zebrafish were studied by RNA sequencing, and the locomotion phenotype was acquired. The gene enrichment results showed that the differentially highly expressed genes (atp2a1, cdh2, aurka, fxyd1, clstn1, apoc1, mt-co1, tnnt3b, and fads2) of zebrafish are mainly enriched in adrenergic signaling in cardiomyocytes (dre04261) and locomotory behavior (GO:0007626). The movement trajectory plots showed an increase in the locomotor distance and velocity of zebrafish in the 0.8 μg/L group and the opposite in the 2.0 μg/L group. The results showed that B[a]P affects the variety of genes in zebrafish, including motor nerves, muscles, and energy supply, and ultimately leads to altered locomotor behavior.","container-title":"Ecotoxicology and Environmental Safety","DOI":"10.1016/j.ecoenv.2021.112928","ISSN":"01476513","journalAbbreviation":"Ecotoxicology and Environmental Safety","language":"en","page":"112928","source":"DOI.org (Crossref)","title":"Transcriptome aberration associated with altered locomotor behavior of zebrafish (Danio rerio) caused by Waterborne Benzo[a]pyrene","volume":"227","author":[{"family":"Zhou","given":"Yumiao"},{"family":"Kong","given":"Qiang"},{"family":"Lin","given":"Zhihao"},{"family":"Ma","given":"Jinyue"},{"family":"Zhang","given":"Huanxin"}],"issued":{"date-parts":[["2021",12]]}}}],"schema":"https://github.com/citation-style-language/schema/raw/master/csl-citation.json"} </w:instrText>
      </w:r>
      <w:r w:rsidR="00003A7A" w:rsidRPr="000A1EE6">
        <w:rPr>
          <w:rFonts w:ascii="Times New Roman" w:eastAsia="Times New Roman" w:hAnsi="Times New Roman" w:cs="Times New Roman"/>
          <w:lang w:val="en-US"/>
        </w:rPr>
        <w:fldChar w:fldCharType="separate"/>
      </w:r>
      <w:r w:rsidR="00E5454F">
        <w:rPr>
          <w:rFonts w:ascii="Times New Roman" w:hAnsi="Times New Roman" w:cs="Times New Roman"/>
        </w:rPr>
        <w:t>(Zhou et al. 2021)</w:t>
      </w:r>
      <w:r w:rsidR="00003A7A" w:rsidRPr="000A1EE6">
        <w:rPr>
          <w:rFonts w:ascii="Times New Roman" w:eastAsia="Times New Roman" w:hAnsi="Times New Roman" w:cs="Times New Roman"/>
          <w:lang w:val="en-US"/>
        </w:rPr>
        <w:fldChar w:fldCharType="end"/>
      </w:r>
      <w:r w:rsidR="007061B3" w:rsidRPr="000A1EE6">
        <w:rPr>
          <w:rFonts w:ascii="Times New Roman" w:eastAsia="Times New Roman" w:hAnsi="Times New Roman" w:cs="Times New Roman"/>
          <w:lang w:val="en-US"/>
        </w:rPr>
        <w:t xml:space="preserve">. </w:t>
      </w:r>
      <w:r w:rsidR="00CE7BD2" w:rsidRPr="000A1EE6">
        <w:rPr>
          <w:rFonts w:ascii="Times New Roman" w:eastAsia="Times New Roman" w:hAnsi="Times New Roman" w:cs="Times New Roman"/>
          <w:lang w:val="en-US"/>
        </w:rPr>
        <w:t xml:space="preserve">Species-specific responses are particularly evident among sentinel organisms and are widely distributed and frequently used in ecotoxicological assessments </w:t>
      </w:r>
      <w:r w:rsidR="007061B3"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{"citationID":"Qtj6Inz0","properties":{"formattedCitation":"(Perveen et al. 2024)","plainCitation":"(Perveen et al. 2024)","noteIndex":0},"citationItems":[{"id":"r9E9mN5c/Olfd9TuM","uris":["http://zotero.org/users/14468226/items/RQ3XAWVL"],"itemData":{"id":6646,"type":"article-journal","abstract":"The present research work entitled “oxidative stress biomarkers in the fish samples collected from Taunsa Barrage” was done to measure the activity of antioxidants enzymes in major carps (Labeo rohita, Channa marulius and Cirrhinus mrigala). A condition known as oxidative stress arises when the body produces too many free radicals, which are unstable chemicals, and not enough antioxidants to eliminate them. Numerous pollutants, such as insecticides and pesticides, have an adverse effect on fish, impairing their metabolism. Samples of fish obtained using the nets and immediately frozen. Fish were dissected to retrieve the liver, kidney, gills, and muscles for study. Antioxidants enzymes (Superoxidase dismutase (SOD), peroxidase (POD) and catalase (CAT)) activity was measured. The extent of oxidative stress in the tissues of various fish species was evaluated using POD, SOD, and CAT levels. C. marulius (fourth sampling) has the significantly (P&amp;lt;0.05) greatest \"SOD\" activity of the group, afterwards C. mrigala and L. rohita.CAT activity was greater in the C. mrigala. L. rohita has the highest (P&amp;lt;0.05) peroxidase activity. The livers of all three fish species showed increased 'Superoxidase dismutase', catalase and peroxidase activity in comparison with various fish organs.","container-title":"Journal of Agriculture and Veterinary Science","DOI":"10.55627/agrivet.003.03.0501","ISSN":"2959-1201","issue":"3","language":"en","license":"Copyright (c) 2024 fariha latif","note":"number: 3","page":"457-465","source":"rootspress.org","title":"Oxidative Stress Biomarkers in the Fish Samples Collected from Taunsa Barrage","volume":"3","author":[{"family":"Perveen","given":"Shahena"},{"family":"Latif","given":"Fariha"},{"family":"Aziz","given":"Sana"},{"family":"Iram","given":"Saman"}],"issued":{"date-parts":[["2024",12,4]]}}}],"schema":"https://github.com/citation-style-language/schema/raw/master/csl-citation.json"} </w:instrText>
      </w:r>
      <w:r w:rsidR="007061B3" w:rsidRPr="000A1EE6">
        <w:rPr>
          <w:rFonts w:ascii="Times New Roman" w:eastAsia="Times New Roman" w:hAnsi="Times New Roman" w:cs="Times New Roman"/>
          <w:lang w:val="en-US"/>
        </w:rPr>
        <w:fldChar w:fldCharType="separate"/>
      </w:r>
      <w:r w:rsidR="00E5454F">
        <w:rPr>
          <w:rFonts w:ascii="Times New Roman" w:hAnsi="Times New Roman" w:cs="Times New Roman"/>
        </w:rPr>
        <w:t>(Perveen et al. 2024)</w:t>
      </w:r>
      <w:r w:rsidR="007061B3" w:rsidRPr="000A1EE6">
        <w:rPr>
          <w:rFonts w:ascii="Times New Roman" w:eastAsia="Times New Roman" w:hAnsi="Times New Roman" w:cs="Times New Roman"/>
          <w:lang w:val="en-US"/>
        </w:rPr>
        <w:fldChar w:fldCharType="end"/>
      </w:r>
      <w:r w:rsidR="007061B3" w:rsidRPr="000A1EE6">
        <w:rPr>
          <w:rFonts w:ascii="Times New Roman" w:eastAsia="Times New Roman" w:hAnsi="Times New Roman" w:cs="Times New Roman"/>
          <w:lang w:val="en-US"/>
        </w:rPr>
        <w:t xml:space="preserve">. </w:t>
      </w:r>
      <w:r w:rsidR="00CE7BD2" w:rsidRPr="000A1EE6">
        <w:rPr>
          <w:rFonts w:ascii="Times New Roman" w:eastAsia="Times New Roman" w:hAnsi="Times New Roman" w:cs="Times New Roman"/>
          <w:lang w:val="en-US"/>
        </w:rPr>
        <w:t>In</w:t>
      </w:r>
      <w:r w:rsidRPr="1624CE57" w:rsidDel="00CE7BD2">
        <w:rPr>
          <w:rFonts w:ascii="Times New Roman" w:eastAsia="Times New Roman" w:hAnsi="Times New Roman" w:cs="Times New Roman"/>
          <w:lang w:val="en-US"/>
        </w:rPr>
        <w:t xml:space="preserve"> </w:t>
      </w:r>
      <w:r w:rsidR="0081108A" w:rsidRPr="1624CE57">
        <w:rPr>
          <w:rFonts w:ascii="Times New Roman" w:eastAsia="Times New Roman" w:hAnsi="Times New Roman" w:cs="Times New Roman"/>
          <w:lang w:val="en-US"/>
        </w:rPr>
        <w:t xml:space="preserve">common </w:t>
      </w:r>
      <w:r w:rsidRPr="1624CE57" w:rsidDel="00CE7BD2">
        <w:rPr>
          <w:rFonts w:ascii="Times New Roman" w:eastAsia="Times New Roman" w:hAnsi="Times New Roman" w:cs="Times New Roman"/>
          <w:lang w:val="en-US"/>
        </w:rPr>
        <w:t xml:space="preserve">goby </w:t>
      </w:r>
      <w:r w:rsidR="00B12CED" w:rsidRPr="1624CE57">
        <w:rPr>
          <w:rFonts w:ascii="Times New Roman" w:eastAsia="Times New Roman" w:hAnsi="Times New Roman" w:cs="Times New Roman"/>
          <w:lang w:val="en-US"/>
        </w:rPr>
        <w:t>(</w:t>
      </w:r>
      <w:r w:rsidR="00CE7BD2" w:rsidRPr="47EE4892">
        <w:rPr>
          <w:rFonts w:ascii="Times New Roman" w:eastAsia="Times New Roman" w:hAnsi="Times New Roman" w:cs="Times New Roman"/>
          <w:i/>
          <w:iCs/>
          <w:lang w:val="en-US"/>
        </w:rPr>
        <w:t>Pomatoschistus microps</w:t>
      </w:r>
      <w:r w:rsidR="00B12CED" w:rsidRPr="1624CE57">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w:t>
      </w:r>
      <w:r w:rsidRPr="1624CE57" w:rsidDel="00CE7BD2">
        <w:rPr>
          <w:rFonts w:ascii="Times New Roman" w:eastAsia="Times New Roman" w:hAnsi="Times New Roman" w:cs="Times New Roman"/>
          <w:lang w:val="en-US"/>
        </w:rPr>
        <w:t xml:space="preserve"> </w:t>
      </w:r>
      <w:r w:rsidR="00CE7BD2" w:rsidRPr="000A1EE6">
        <w:rPr>
          <w:rFonts w:ascii="Times New Roman" w:eastAsia="Times New Roman" w:hAnsi="Times New Roman" w:cs="Times New Roman"/>
          <w:lang w:val="en-US"/>
        </w:rPr>
        <w:t>B</w:t>
      </w:r>
      <w:r w:rsidR="17B250DD" w:rsidRPr="000A1EE6">
        <w:rPr>
          <w:rFonts w:ascii="Times New Roman" w:eastAsia="Times New Roman" w:hAnsi="Times New Roman" w:cs="Times New Roman"/>
          <w:lang w:val="en-US"/>
        </w:rPr>
        <w:t>[</w:t>
      </w:r>
      <w:r w:rsidR="00CE7BD2" w:rsidRPr="47EE4892">
        <w:rPr>
          <w:rFonts w:ascii="Times New Roman" w:eastAsia="Times New Roman" w:hAnsi="Times New Roman" w:cs="Times New Roman"/>
          <w:i/>
          <w:iCs/>
          <w:lang w:val="en-US"/>
        </w:rPr>
        <w:t>a</w:t>
      </w:r>
      <w:r w:rsidR="3C87102E" w:rsidRPr="000A1EE6">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P exposure triggers the upregulation of antioxidant enzymes, such as SOD, CAT, GPx, and GR</w:t>
      </w:r>
      <w:r w:rsidR="00052921" w:rsidRPr="000A1EE6">
        <w:rPr>
          <w:rFonts w:ascii="Times New Roman" w:eastAsia="Times New Roman" w:hAnsi="Times New Roman" w:cs="Times New Roman"/>
          <w:lang w:val="en-US"/>
        </w:rPr>
        <w:t>,</w:t>
      </w:r>
      <w:r w:rsidR="007217AB" w:rsidRPr="000A1EE6">
        <w:rPr>
          <w:rFonts w:ascii="Times New Roman" w:eastAsia="Times New Roman" w:hAnsi="Times New Roman" w:cs="Times New Roman"/>
          <w:lang w:val="en-US"/>
        </w:rPr>
        <w:t xml:space="preserve"> along with</w:t>
      </w:r>
      <w:r w:rsidR="00052921" w:rsidRPr="000A1EE6">
        <w:rPr>
          <w:rFonts w:ascii="Times New Roman" w:eastAsia="Times New Roman" w:hAnsi="Times New Roman" w:cs="Times New Roman"/>
          <w:lang w:val="en-US"/>
        </w:rPr>
        <w:t xml:space="preserve"> </w:t>
      </w:r>
      <w:r w:rsidR="00E37E87">
        <w:rPr>
          <w:rFonts w:ascii="Times New Roman" w:eastAsia="Times New Roman" w:hAnsi="Times New Roman" w:cs="Times New Roman"/>
          <w:lang w:val="en-US"/>
        </w:rPr>
        <w:t>an</w:t>
      </w:r>
      <w:r w:rsidR="00CE7BD2" w:rsidRPr="000A1EE6">
        <w:rPr>
          <w:rFonts w:ascii="Times New Roman" w:eastAsia="Times New Roman" w:hAnsi="Times New Roman" w:cs="Times New Roman"/>
          <w:lang w:val="en-US"/>
        </w:rPr>
        <w:t xml:space="preserve"> elevated lactate dehydrogenase</w:t>
      </w:r>
      <w:r w:rsidR="00841711">
        <w:rPr>
          <w:rFonts w:ascii="Times New Roman" w:eastAsia="Times New Roman" w:hAnsi="Times New Roman" w:cs="Times New Roman"/>
          <w:lang w:val="en-US"/>
        </w:rPr>
        <w:t xml:space="preserve"> </w:t>
      </w:r>
      <w:r w:rsidR="00841711" w:rsidRPr="00841711">
        <w:rPr>
          <w:rFonts w:ascii="Times New Roman" w:eastAsia="Times New Roman" w:hAnsi="Times New Roman" w:cs="Times New Roman"/>
          <w:highlight w:val="yellow"/>
          <w:lang w:val="en-US"/>
        </w:rPr>
        <w:t>(LDH)</w:t>
      </w:r>
      <w:r w:rsidR="00CE7BD2" w:rsidRPr="000A1EE6">
        <w:rPr>
          <w:rFonts w:ascii="Times New Roman" w:eastAsia="Times New Roman" w:hAnsi="Times New Roman" w:cs="Times New Roman"/>
          <w:lang w:val="en-US"/>
        </w:rPr>
        <w:t xml:space="preserve"> activity, suggesting both enhanced ROS production and a metabolic shift toward</w:t>
      </w:r>
      <w:r w:rsidR="000073BA" w:rsidRPr="1624CE57">
        <w:rPr>
          <w:rFonts w:ascii="Times New Roman" w:eastAsia="Times New Roman" w:hAnsi="Times New Roman" w:cs="Times New Roman"/>
          <w:lang w:val="en-US"/>
        </w:rPr>
        <w:t>s</w:t>
      </w:r>
      <w:r w:rsidR="00CE7BD2" w:rsidRPr="000A1EE6">
        <w:rPr>
          <w:rFonts w:ascii="Times New Roman" w:eastAsia="Times New Roman" w:hAnsi="Times New Roman" w:cs="Times New Roman"/>
          <w:lang w:val="en-US"/>
        </w:rPr>
        <w:t xml:space="preserve"> anaerobic pathways</w:t>
      </w:r>
      <w:r w:rsidR="00A56390" w:rsidRPr="000A1EE6">
        <w:rPr>
          <w:rFonts w:ascii="Times New Roman" w:eastAsia="Times New Roman" w:hAnsi="Times New Roman" w:cs="Times New Roman"/>
          <w:lang w:val="en-US"/>
        </w:rPr>
        <w:t xml:space="preserve">. In contrast, </w:t>
      </w:r>
      <w:r w:rsidR="006B6F35">
        <w:rPr>
          <w:rFonts w:ascii="Times New Roman" w:eastAsia="Times New Roman" w:hAnsi="Times New Roman" w:cs="Times New Roman"/>
          <w:lang w:val="en-US"/>
        </w:rPr>
        <w:t xml:space="preserve">the </w:t>
      </w:r>
      <w:r w:rsidR="00A56390" w:rsidRPr="000A1EE6">
        <w:rPr>
          <w:rFonts w:ascii="Times New Roman" w:eastAsia="Times New Roman" w:hAnsi="Times New Roman" w:cs="Times New Roman"/>
          <w:lang w:val="en-US"/>
        </w:rPr>
        <w:t>concurrent</w:t>
      </w:r>
      <w:r w:rsidR="00CE7BD2" w:rsidRPr="000A1EE6">
        <w:rPr>
          <w:rFonts w:ascii="Times New Roman" w:eastAsia="Times New Roman" w:hAnsi="Times New Roman" w:cs="Times New Roman"/>
          <w:lang w:val="en-US"/>
        </w:rPr>
        <w:t xml:space="preserve"> inhibition of </w:t>
      </w:r>
      <w:r w:rsidR="00CE7BD2" w:rsidRPr="00D071C3">
        <w:rPr>
          <w:rFonts w:ascii="Times New Roman" w:eastAsia="Times New Roman" w:hAnsi="Times New Roman" w:cs="Times New Roman"/>
          <w:lang w:val="en-US"/>
        </w:rPr>
        <w:t>AChE activity</w:t>
      </w:r>
      <w:r w:rsidR="00CE7BD2" w:rsidRPr="000A1EE6">
        <w:rPr>
          <w:rFonts w:ascii="Times New Roman" w:eastAsia="Times New Roman" w:hAnsi="Times New Roman" w:cs="Times New Roman"/>
          <w:lang w:val="en-US"/>
        </w:rPr>
        <w:t xml:space="preserve"> and </w:t>
      </w:r>
      <w:r w:rsidR="00CE7BD2" w:rsidRPr="000A1EE6">
        <w:rPr>
          <w:rFonts w:ascii="Times New Roman" w:eastAsia="Times New Roman" w:hAnsi="Times New Roman" w:cs="Times New Roman"/>
          <w:lang w:val="en-US"/>
        </w:rPr>
        <w:lastRenderedPageBreak/>
        <w:t>induction of GST detoxification pathways result</w:t>
      </w:r>
      <w:r w:rsidR="007217AB" w:rsidRPr="000A1EE6">
        <w:rPr>
          <w:rFonts w:ascii="Times New Roman" w:eastAsia="Times New Roman" w:hAnsi="Times New Roman" w:cs="Times New Roman"/>
          <w:lang w:val="en-US"/>
        </w:rPr>
        <w:t>s</w:t>
      </w:r>
      <w:r w:rsidR="00CE7BD2" w:rsidRPr="000A1EE6">
        <w:rPr>
          <w:rFonts w:ascii="Times New Roman" w:eastAsia="Times New Roman" w:hAnsi="Times New Roman" w:cs="Times New Roman"/>
          <w:lang w:val="en-US"/>
        </w:rPr>
        <w:t xml:space="preserve"> in both neurotoxic and adaptive metabolic effects of exposure </w:t>
      </w:r>
      <w:r w:rsidR="00BD7C95"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{"citationID":"SHlsCaLO","properties":{"formattedCitation":"(Vieira et al. 2008)","plainCitation":"(Vieira et al. 2008)","noteIndex":0},"citationItems":[{"id":"r9E9mN5c/w2HnIBIk","uris":["http://zotero.org/users/14468226/items/D8HGSCFB"],"itemData":{"id":6916,"type":"article-journal","abstract":"The objective of this study was to investigate the effects of two different PAHs and a complex petrochemical mixture on the common goby, Pomatoschistus microps, using selected biomarkers as effect criteria. Benzo[a]pyrene (BaP) and anthracene were used as reference substances, while the water accommodated fraction of #4 fuel-oil (#4 WAF) was used as an example of a petrochemical mixture. P. microps was used since it is both a suitable bioindicator and a good test organism. Groups of fish were exposed to different concentrations of each of the test substances for 96 h and the activities of several enzymes commonly used as biomarkers were determined at the end of the bioassays. All the substances inhibited P. microps acetylcholinesterase (AChE) indicating that they have at least one mechanism of neurotoxicity in common: the disruption of cholinergic transmission by inhibition of AChE. An induction of lactate dehydrogenase (LDH) activity was found in fish exposed to BaP or to anthracene, suggesting an increase of the anaerobic pathway of energy production. On the contrary, inhibition of LDH was found in fish exposed to #4 WAF, suggesting a distinct effect of the mixture. An induction of P. microps glutathione S-transferase (GST) activity was found in fish exposed to BaP or to #4 WAF, while an inhibition was observed after exposure to anthracene. These results suggest that GST is involved in the detoxification of BaP and #4 WAF, but not of anthracene. All the substances increased catalase activity and isolated PAHs also increased superoxide dismutase, glutathione reductase and glutathione peroxidase activities, while #4 WAF did not cause significant alterations on these enzymes. These results suggest that all the substances may induce oxidative stress on P. microps, with BaP and anthracene apparently having more oxidative stress potential than #4 WAF.","container-title":"Science of The Total Environment","DOI":"10.1016/j.scitotenv.2008.01.052","ISSN":"0048-9697","issue":"2","journalAbbreviation":"Science of The Total Environment","page":"87-100","source":"ScienceDirect","title":"Acute effects of Benzo[a]pyrene, anthracene and a fuel oil on biomarkers of the common goby &lt;i&gt;Pomatoschistus microps&lt;/i&gt; (Teleostei, Gobiidae)","volume":"395","author":[{"family":"Vieira","given":"L. R."},{"family":"Sousa","given":"A."},{"family":"Frasco","given":"M. F."},{"family":"Lima","given":"I."},{"family":"Morgado","given":"F."},{"family":"Guilhermino","given":"L."}],"issued":{"date-parts":[["2008",6,1]]}}}],"schema":"https://github.com/citation-style-language/schema/raw/master/csl-citation.json"} </w:instrText>
      </w:r>
      <w:r w:rsidR="00BD7C95" w:rsidRPr="000A1EE6">
        <w:rPr>
          <w:rFonts w:ascii="Times New Roman" w:eastAsia="Times New Roman" w:hAnsi="Times New Roman" w:cs="Times New Roman"/>
          <w:lang w:val="en-US"/>
        </w:rPr>
        <w:fldChar w:fldCharType="separate"/>
      </w:r>
      <w:r w:rsidR="00E5454F">
        <w:rPr>
          <w:rFonts w:ascii="Times New Roman" w:hAnsi="Times New Roman" w:cs="Times New Roman"/>
        </w:rPr>
        <w:t>(Vieira et al. 2008)</w:t>
      </w:r>
      <w:r w:rsidR="00BD7C95" w:rsidRPr="000A1EE6">
        <w:rPr>
          <w:rFonts w:ascii="Times New Roman" w:eastAsia="Times New Roman" w:hAnsi="Times New Roman" w:cs="Times New Roman"/>
          <w:lang w:val="en-US"/>
        </w:rPr>
        <w:fldChar w:fldCharType="end"/>
      </w:r>
      <w:r w:rsidR="00CE7BD2" w:rsidRPr="000A1EE6">
        <w:rPr>
          <w:rFonts w:ascii="Times New Roman" w:eastAsia="Times New Roman" w:hAnsi="Times New Roman" w:cs="Times New Roman"/>
          <w:lang w:val="en-US"/>
        </w:rPr>
        <w:t xml:space="preserve">. Similarly, zebrafish respond to oxidative stress and apoptosis in developing skeletal tissues, accompanied by the downregulation of critical </w:t>
      </w:r>
      <w:r w:rsidR="006B6F35">
        <w:rPr>
          <w:rFonts w:ascii="Times New Roman" w:eastAsia="Times New Roman" w:hAnsi="Times New Roman" w:cs="Times New Roman"/>
          <w:lang w:val="en-US"/>
        </w:rPr>
        <w:t>bone synthesis</w:t>
      </w:r>
      <w:r w:rsidR="00CE7BD2" w:rsidRPr="000A1EE6">
        <w:rPr>
          <w:rFonts w:ascii="Times New Roman" w:eastAsia="Times New Roman" w:hAnsi="Times New Roman" w:cs="Times New Roman"/>
          <w:lang w:val="en-US"/>
        </w:rPr>
        <w:t xml:space="preserve"> genes (</w:t>
      </w:r>
      <w:r w:rsidR="00CE7BD2" w:rsidRPr="00653FCA">
        <w:rPr>
          <w:rFonts w:ascii="Times New Roman" w:eastAsia="Times New Roman" w:hAnsi="Times New Roman" w:cs="Times New Roman"/>
          <w:i/>
          <w:iCs/>
          <w:highlight w:val="yellow"/>
          <w:lang w:val="en-US"/>
        </w:rPr>
        <w:t>S</w:t>
      </w:r>
      <w:r w:rsidR="5E89EAA7" w:rsidRPr="00653FCA">
        <w:rPr>
          <w:rFonts w:ascii="Times New Roman" w:eastAsia="Times New Roman" w:hAnsi="Times New Roman" w:cs="Times New Roman"/>
          <w:i/>
          <w:iCs/>
          <w:highlight w:val="yellow"/>
          <w:lang w:val="en-US"/>
        </w:rPr>
        <w:t>OX</w:t>
      </w:r>
      <w:r w:rsidR="00CE7BD2" w:rsidRPr="00653FCA">
        <w:rPr>
          <w:rFonts w:ascii="Times New Roman" w:eastAsia="Times New Roman" w:hAnsi="Times New Roman" w:cs="Times New Roman"/>
          <w:i/>
          <w:iCs/>
          <w:highlight w:val="yellow"/>
          <w:lang w:val="en-US"/>
        </w:rPr>
        <w:t>9a, SPP1/OPN</w:t>
      </w:r>
      <w:r w:rsidR="00086FB9" w:rsidRPr="00653FCA">
        <w:rPr>
          <w:rFonts w:ascii="Times New Roman" w:eastAsia="Times New Roman" w:hAnsi="Times New Roman" w:cs="Times New Roman"/>
          <w:highlight w:val="yellow"/>
          <w:lang w:val="en-US"/>
        </w:rPr>
        <w:t xml:space="preserve"> </w:t>
      </w:r>
      <w:r w:rsidR="0037175A" w:rsidRPr="00653FCA">
        <w:rPr>
          <w:rFonts w:ascii="Times New Roman" w:eastAsia="Times New Roman" w:hAnsi="Times New Roman" w:cs="Times New Roman"/>
          <w:highlight w:val="yellow"/>
          <w:lang w:val="en-US"/>
        </w:rPr>
        <w:t>and</w:t>
      </w:r>
      <w:r w:rsidR="00CE7BD2" w:rsidRPr="00653FCA">
        <w:rPr>
          <w:rFonts w:ascii="Times New Roman" w:eastAsia="Times New Roman" w:hAnsi="Times New Roman" w:cs="Times New Roman"/>
          <w:highlight w:val="yellow"/>
          <w:lang w:val="en-US"/>
        </w:rPr>
        <w:t xml:space="preserve"> </w:t>
      </w:r>
      <w:r w:rsidR="00CE7BD2" w:rsidRPr="00653FCA">
        <w:rPr>
          <w:rFonts w:ascii="Times New Roman" w:eastAsia="Times New Roman" w:hAnsi="Times New Roman" w:cs="Times New Roman"/>
          <w:i/>
          <w:iCs/>
          <w:highlight w:val="yellow"/>
          <w:lang w:val="en-US"/>
        </w:rPr>
        <w:t>C</w:t>
      </w:r>
      <w:r w:rsidR="47B17B33" w:rsidRPr="00653FCA">
        <w:rPr>
          <w:rFonts w:ascii="Times New Roman" w:eastAsia="Times New Roman" w:hAnsi="Times New Roman" w:cs="Times New Roman"/>
          <w:i/>
          <w:iCs/>
          <w:highlight w:val="yellow"/>
          <w:lang w:val="en-US"/>
        </w:rPr>
        <w:t>OLLA</w:t>
      </w:r>
      <w:r w:rsidR="00CE7BD2" w:rsidRPr="00653FCA">
        <w:rPr>
          <w:rFonts w:ascii="Times New Roman" w:eastAsia="Times New Roman" w:hAnsi="Times New Roman" w:cs="Times New Roman"/>
          <w:i/>
          <w:iCs/>
          <w:highlight w:val="yellow"/>
          <w:lang w:val="en-US"/>
        </w:rPr>
        <w:t>1</w:t>
      </w:r>
      <w:r w:rsidR="00CE7BD2" w:rsidRPr="000A1EE6">
        <w:rPr>
          <w:rFonts w:ascii="Times New Roman" w:eastAsia="Times New Roman" w:hAnsi="Times New Roman" w:cs="Times New Roman"/>
          <w:lang w:val="en-US"/>
        </w:rPr>
        <w:t xml:space="preserve">), suggesting impaired </w:t>
      </w:r>
      <w:r w:rsidR="003C63CA" w:rsidRPr="000A1EE6">
        <w:rPr>
          <w:rFonts w:ascii="Times New Roman" w:eastAsia="Times New Roman" w:hAnsi="Times New Roman" w:cs="Times New Roman"/>
          <w:lang w:val="en-US"/>
        </w:rPr>
        <w:t>osteogenesis</w:t>
      </w:r>
      <w:r w:rsidR="1463BACA" w:rsidRPr="000A1EE6">
        <w:rPr>
          <w:rFonts w:ascii="Times New Roman" w:eastAsia="Times New Roman" w:hAnsi="Times New Roman" w:cs="Times New Roman"/>
          <w:lang w:val="en-US"/>
        </w:rPr>
        <w:t xml:space="preserve"> </w:t>
      </w:r>
      <w:r w:rsidR="00A56390"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{"citationID":"uI5B3n91","properties":{"formattedCitation":"(Elfawy et al. 2021)","plainCitation":"(Elfawy et al. 2021)","noteIndex":0},"citationItems":[{"id":"r9E9mN5c/cHf5f6Of","uris":["http://zotero.org/users/14468226/items/952TJHPN"],"itemData":{"id":6919,"type":"article-journal","abstract":"Benzo(a)pyrene (BaP) has become an integral component of disposed of plastic waste, organic pollutants, and remnants of combustible materials in the aquatic environment due to their persistent nature. The accumulation and integration of these polycyclic aromatic hydrocarbons (PAHs) have raised concern to human health and ecological safety. This study assessed the BaP-induced in vivo molecular toxicity with embryonic zebrafish inferred by oxidative stress and apoptosis. BaP was found to induce morphological and physiological abnormalities like delayed hatching (p &lt; 0.05). Computational analysis demonstrated the high-affinity interaction of BaP with the zebrafish hatching enzyme (ZHE1) with Arg, Cys, Ala, Tyr, and Phe located at the active site revealing the influence of BaP on delayed hatching due to alteration of the enzyme structure. RT-PCR analysis revealed significant down-regulation of the skeletal genes Sox9a, SPP1/OPN, and Col1a1 (p &lt; 0.05) genes. The cellular investigations unraveled that the toxicity of BaP extends to the skeletal regions of zebrafish (head, backbone, and tail) because of the elicited oxidative stress leading to apoptosis. The study extended the horizon of understanding of BaP toxicity at the molecular level which will enhance the indulgent and designing of techniques for better ecological sustainability.","container-title":"Science of The Total Environment","DOI":"10.1016/j.scitotenv.2021.147989","ISSN":"0048-9697","journalAbbreviation":"Science of The Total Environment","page":"147989","source":"ScienceDirect","title":"Molecular toxicity of Benzo(&lt;i&gt;a&lt;/i&gt;)pyrene mediated by elicited oxidative stress infer skeletal deformities and apoptosis in embryonic zebrafish","volume":"789","author":[{"family":"Elfawy","given":"Hasnaa A."},{"family":"Anupriya","given":"S"},{"family":"Mohanty","given":"Swabhiman"},{"family":"Patel","given":"Paritosh"},{"family":"Ghosal","given":"Sayam"},{"family":"Panda","given":"Pritam Kumar"},{"family":"Das","given":"Biswadeep"},{"family":"Verma","given":"Suresh K."},{"family":"Patnaik","given":"Srinivas"}],"issued":{"date-parts":[["2021",10,1]]}}}],"schema":"https://github.com/citation-style-language/schema/raw/master/csl-citation.json"} </w:instrText>
      </w:r>
      <w:r w:rsidR="00A56390" w:rsidRPr="000A1EE6">
        <w:rPr>
          <w:rFonts w:ascii="Times New Roman" w:eastAsia="Times New Roman" w:hAnsi="Times New Roman" w:cs="Times New Roman"/>
          <w:lang w:val="en-US"/>
        </w:rPr>
        <w:fldChar w:fldCharType="separate"/>
      </w:r>
      <w:r w:rsidR="00E5454F">
        <w:rPr>
          <w:rFonts w:ascii="Times New Roman" w:hAnsi="Times New Roman" w:cs="Times New Roman"/>
        </w:rPr>
        <w:t>(Elfawy et al. 2021)</w:t>
      </w:r>
      <w:r w:rsidR="00A56390" w:rsidRPr="000A1EE6">
        <w:rPr>
          <w:rFonts w:ascii="Times New Roman" w:eastAsia="Times New Roman" w:hAnsi="Times New Roman" w:cs="Times New Roman"/>
          <w:lang w:val="en-US"/>
        </w:rPr>
        <w:fldChar w:fldCharType="end"/>
      </w:r>
      <w:r w:rsidR="00A56390" w:rsidRPr="000A1EE6">
        <w:rPr>
          <w:rFonts w:ascii="Times New Roman" w:eastAsia="Times New Roman" w:hAnsi="Times New Roman" w:cs="Times New Roman"/>
          <w:lang w:val="en-US"/>
        </w:rPr>
        <w:t xml:space="preserve">. </w:t>
      </w:r>
      <w:r w:rsidR="00CE7BD2" w:rsidRPr="000A1EE6">
        <w:rPr>
          <w:rFonts w:ascii="Times New Roman" w:eastAsia="Times New Roman" w:hAnsi="Times New Roman" w:cs="Times New Roman"/>
          <w:lang w:val="en-US"/>
        </w:rPr>
        <w:t>Similarly, in marine medaka (</w:t>
      </w:r>
      <w:r w:rsidR="00CE7BD2" w:rsidRPr="47EE4892">
        <w:rPr>
          <w:rFonts w:ascii="Times New Roman" w:eastAsia="Times New Roman" w:hAnsi="Times New Roman" w:cs="Times New Roman"/>
          <w:i/>
          <w:iCs/>
          <w:lang w:val="en-US"/>
        </w:rPr>
        <w:t>Oryzias javanicus</w:t>
      </w:r>
      <w:r w:rsidR="00CE7BD2" w:rsidRPr="000A1EE6">
        <w:rPr>
          <w:rFonts w:ascii="Times New Roman" w:eastAsia="Times New Roman" w:hAnsi="Times New Roman" w:cs="Times New Roman"/>
          <w:lang w:val="en-US"/>
        </w:rPr>
        <w:t>), elevated ROS and malondialdehyde (MDA) levels indicate</w:t>
      </w:r>
      <w:r w:rsidR="00E43B0E" w:rsidRPr="1624CE57">
        <w:rPr>
          <w:rFonts w:ascii="Times New Roman" w:eastAsia="Times New Roman" w:hAnsi="Times New Roman" w:cs="Times New Roman"/>
          <w:lang w:val="en-US"/>
        </w:rPr>
        <w:t>d</w:t>
      </w:r>
      <w:r w:rsidR="00CE7BD2" w:rsidRPr="000A1EE6">
        <w:rPr>
          <w:rFonts w:ascii="Times New Roman" w:eastAsia="Times New Roman" w:hAnsi="Times New Roman" w:cs="Times New Roman"/>
          <w:lang w:val="en-US"/>
        </w:rPr>
        <w:t xml:space="preserve"> oxidative stress and lipid peroxidation in embryos exposed to high B</w:t>
      </w:r>
      <w:r w:rsidR="181AFB9C" w:rsidRPr="000A1EE6">
        <w:rPr>
          <w:rFonts w:ascii="Times New Roman" w:eastAsia="Times New Roman" w:hAnsi="Times New Roman" w:cs="Times New Roman"/>
          <w:lang w:val="en-US"/>
        </w:rPr>
        <w:t>[</w:t>
      </w:r>
      <w:r w:rsidR="00CE7BD2" w:rsidRPr="47EE4892">
        <w:rPr>
          <w:rFonts w:ascii="Times New Roman" w:eastAsia="Times New Roman" w:hAnsi="Times New Roman" w:cs="Times New Roman"/>
          <w:i/>
          <w:iCs/>
          <w:lang w:val="en-US"/>
        </w:rPr>
        <w:t>a</w:t>
      </w:r>
      <w:r w:rsidR="258B459E" w:rsidRPr="005A38B9">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 xml:space="preserve">P concentrations </w:t>
      </w:r>
      <w:r w:rsidR="00A56390"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{"citationID":"2V3hTPUI","properties":{"formattedCitation":"(Nam et al., 2020)","plainCitation":"(Nam et al., 2020)","dontUpdate":true,"noteIndex":0},"citationItems":[{"id":"r9E9mN5c/kEowpbfx","uris":["http://zotero.org/users/14468226/items/YSIRM4NV"],"itemData":{"id":6928,"type":"article-journal","abstract":"Embryos from the marine medaka fish Oryzias javanicus were treated with eight concentrations of benzo[a]pyrene (BaP) (0.001, 0.01, 0.1, 1, 2, 5, 10, or 20 μg L-–1) after they had been fertilized. Significant mortality and hatching delays were detected in embryos that had been exposed to 10 and 20 μg L−1 BaP for 4 weeks. The mortality rate after hatching was higher in the medaka that had been previously exposed to &gt; 2 μg L−1 BaP. Significant elevations in intracellular reactive oxygen species and malondialdehyde contents were measured and the mRNA expressions of the antioxidant defense system genes (gst, sod, cat, and gpx) increased in the embryos exposed to 10 and 20 μg L−1 BaP for 1 week. The hsp70, ahr, and cyp1a transcriptional responses were also significantly upregulated in the exposed groups after 1 week. The alterations to the in vivo parameters and molecular components suggested that waterborne BaP had a toxic effect on marine medaka embryos. Finally, fin defects, spinal curvature, and cardiac edema were highly induced when the embryos were exposed to &gt; 5 μg L−1 BaP.","container-title":"Journal of Environmental Science and Health, Part A","DOI":"10.1080/10934529.2020.1767452","ISSN":"1093-4529","issue":"9","note":"publisher: Taylor &amp; Francis\n_eprint: https://doi.org/10.1080/10934529.2020.1767452\nPMID: 32427057","page":"1050-1058","source":"Taylor and Francis+NEJM","title":"Benzo[a]pyrene constrains embryo development via oxidative stress induction and modulates the transcriptional responses of molecular biomarkers in the marine medaka Oryzias javanicus","volume":"55","author":[{"family":"Nam","given":"Sang-Eun"},{"family":"Saravanan","given":"Manoharan"},{"family":"Rhee","given":"Jae-Sung"}],"issued":{"date-parts":[["2020",7,28]]}}}],"schema":"https://github.com/citation-style-language/schema/raw/master/csl-citation.json"} </w:instrText>
      </w:r>
      <w:r w:rsidR="00A56390" w:rsidRPr="000A1EE6">
        <w:rPr>
          <w:rFonts w:ascii="Times New Roman" w:eastAsia="Times New Roman" w:hAnsi="Times New Roman" w:cs="Times New Roman"/>
          <w:lang w:val="en-US"/>
        </w:rPr>
        <w:fldChar w:fldCharType="separate"/>
      </w:r>
      <w:r w:rsidR="00A56390" w:rsidRPr="000A1EE6">
        <w:rPr>
          <w:rFonts w:ascii="Times New Roman" w:hAnsi="Times New Roman" w:cs="Times New Roman"/>
        </w:rPr>
        <w:t>(Nam et al., 2020)</w:t>
      </w:r>
      <w:r w:rsidR="00FD676D">
        <w:rPr>
          <w:rFonts w:ascii="Times New Roman" w:hAnsi="Times New Roman" w:cs="Times New Roman"/>
        </w:rPr>
        <w:t xml:space="preserve"> </w:t>
      </w:r>
      <w:r w:rsidR="00A56390" w:rsidRPr="000A1EE6">
        <w:rPr>
          <w:rFonts w:ascii="Times New Roman" w:eastAsia="Times New Roman" w:hAnsi="Times New Roman" w:cs="Times New Roman"/>
          <w:lang w:val="en-US"/>
        </w:rPr>
        <w:fldChar w:fldCharType="end"/>
      </w:r>
      <w:r w:rsidR="00CE7BD2" w:rsidRPr="000A1EE6">
        <w:rPr>
          <w:rFonts w:ascii="Times New Roman" w:eastAsia="Times New Roman" w:hAnsi="Times New Roman" w:cs="Times New Roman"/>
          <w:lang w:val="en-US"/>
        </w:rPr>
        <w:t>. B</w:t>
      </w:r>
      <w:r w:rsidR="6A7ECADF" w:rsidRPr="000A1EE6">
        <w:rPr>
          <w:rFonts w:ascii="Times New Roman" w:eastAsia="Times New Roman" w:hAnsi="Times New Roman" w:cs="Times New Roman"/>
          <w:lang w:val="en-US"/>
        </w:rPr>
        <w:t>[</w:t>
      </w:r>
      <w:r w:rsidR="00CE7BD2" w:rsidRPr="47EE4892">
        <w:rPr>
          <w:rFonts w:ascii="Times New Roman" w:eastAsia="Times New Roman" w:hAnsi="Times New Roman" w:cs="Times New Roman"/>
          <w:i/>
          <w:iCs/>
          <w:lang w:val="en-US"/>
        </w:rPr>
        <w:t>a</w:t>
      </w:r>
      <w:r w:rsidR="7D95FC69" w:rsidRPr="000A1EE6">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P metabolism in bivalve gills further exemplifies interspecies sensitivity, where reactive intermediates</w:t>
      </w:r>
      <w:r w:rsidR="003D7EB5" w:rsidRPr="1624CE57">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 xml:space="preserve"> such as BPDE</w:t>
      </w:r>
      <w:r w:rsidR="003D7EB5" w:rsidRPr="1624CE57">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 xml:space="preserve"> lead to oxidative DNA lesions, notably 8-oxo-dG</w:t>
      </w:r>
      <w:r w:rsidR="00A56390" w:rsidRPr="000A1EE6">
        <w:rPr>
          <w:rFonts w:ascii="Times New Roman" w:eastAsia="Times New Roman" w:hAnsi="Times New Roman" w:cs="Times New Roman"/>
          <w:lang w:val="en-US"/>
        </w:rPr>
        <w:t xml:space="preserve"> </w:t>
      </w:r>
      <w:r w:rsidR="00A56390"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{"citationID":"qjH7SDyF","properties":{"formattedCitation":"(Michel &amp; Vincent-Hubert 2015)","plainCitation":"(Michel &amp; Vincent-Hubert 2015)","noteIndex":0},"citationItems":[{"id":"r9E9mN5c/NlrEGSms","uris":["http://zotero.org/users/14468226/items/KCHLSUK2"],"itemData":{"id":6932,"type":"article-journal","abstract":"Freshwater bivalve molluscs are considered as effective indicators of environmental pollution. The comet assay allows the detection of DNA damage such as DNA strand breaks and alkali-labile sites. The main oxidative lesion, 8-oxo-7,8-dihydro-2′-deoxyguanosine (8-oxodG), which is a pre-mutagenic lesion, can be detected by the comet assay coupled with the hOGG1 DNA repair enzyme. With this modified assay we recently observed that BaP induced 8-oxodG lesions and with the modified comet-Fpg assay we observed that Cd induced oxidative DNA damage. The aim of this study was to determine the stability of DNA lesions in Cd and BaP exposed zebra mussels using the comet-hOGG1 assay. Mussels were exposed for 24 h to these two chemicals and then placed in clean water for 6 days. We observed that BaP (7, 12 and 18 µg/L) induced an increase of DNA strand break levels as soon as 6 h of exposure and that the two highest concentrations of BaP induced a low level of hOGG1-sensitive sites. After 2 days of depuration, BaP induced DNA lesions returned to the basal level, indicating an effective DNA repair. Cd (3, 32 and 81 µg/L) induced an increase of the DNA strand break levels and a low level of hOGG1-sensitive sites. This study revealed that BaP-induced DNA lesions are repaired more efficiently than Cd-induced DNA lesions. As the level of hOGG1 sensitive sites was increased in Cd and BaP exposed mussels, it seems that these chemicals induce 8-oxo-dG.","container-title":"Ecotoxicology","DOI":"10.1007/s10646-015-1536-3","ISSN":"1573-3017","issue":"9","journalAbbreviation":"Ecotoxicology","language":"en","page":"2009-2016","source":"Springer Link","title":"DNA oxidation and DNA repair in gills of zebra mussels exposed to cadmium and benzo(a)pyrene","volume":"24","author":[{"family":"Michel","given":"Cécile"},{"family":"Vincent-Hubert","given":"Françoise"}],"issued":{"date-parts":[["2015",11,1]]}}}],"schema":"https://github.com/citation-style-language/schema/raw/master/csl-citation.json"} </w:instrText>
      </w:r>
      <w:r w:rsidR="00A56390" w:rsidRPr="000A1EE6">
        <w:rPr>
          <w:rFonts w:ascii="Times New Roman" w:eastAsia="Times New Roman" w:hAnsi="Times New Roman" w:cs="Times New Roman"/>
          <w:lang w:val="en-US"/>
        </w:rPr>
        <w:fldChar w:fldCharType="separate"/>
      </w:r>
      <w:r w:rsidR="00E5454F">
        <w:rPr>
          <w:rFonts w:ascii="Times New Roman" w:hAnsi="Times New Roman" w:cs="Times New Roman"/>
        </w:rPr>
        <w:t>(Michel &amp; Vincent-Hubert 2015)</w:t>
      </w:r>
      <w:r w:rsidR="00A56390" w:rsidRPr="000A1EE6">
        <w:rPr>
          <w:rFonts w:ascii="Times New Roman" w:eastAsia="Times New Roman" w:hAnsi="Times New Roman" w:cs="Times New Roman"/>
          <w:lang w:val="en-US"/>
        </w:rPr>
        <w:fldChar w:fldCharType="end"/>
      </w:r>
      <w:r w:rsidR="009A4668" w:rsidRPr="000A1EE6">
        <w:rPr>
          <w:rFonts w:ascii="Times New Roman" w:eastAsia="Times New Roman" w:hAnsi="Times New Roman" w:cs="Times New Roman"/>
          <w:lang w:val="en-US"/>
        </w:rPr>
        <w:t xml:space="preserve">. </w:t>
      </w:r>
      <w:r w:rsidR="00CE7BD2" w:rsidRPr="000A1EE6">
        <w:rPr>
          <w:rFonts w:ascii="Times New Roman" w:eastAsia="Times New Roman" w:hAnsi="Times New Roman" w:cs="Times New Roman"/>
          <w:lang w:val="en-US"/>
        </w:rPr>
        <w:t xml:space="preserve">The antioxidant </w:t>
      </w:r>
      <w:r w:rsidR="00763687" w:rsidRPr="000A1EE6">
        <w:rPr>
          <w:rFonts w:ascii="Times New Roman" w:eastAsia="Times New Roman" w:hAnsi="Times New Roman" w:cs="Times New Roman"/>
          <w:lang w:val="en-US"/>
        </w:rPr>
        <w:t>defen</w:t>
      </w:r>
      <w:r w:rsidR="005B58CF" w:rsidRPr="000A1EE6">
        <w:rPr>
          <w:rFonts w:ascii="Times New Roman" w:eastAsia="Times New Roman" w:hAnsi="Times New Roman" w:cs="Times New Roman"/>
          <w:lang w:val="en-US"/>
        </w:rPr>
        <w:t>s</w:t>
      </w:r>
      <w:r w:rsidR="00763687" w:rsidRPr="000A1EE6">
        <w:rPr>
          <w:rFonts w:ascii="Times New Roman" w:eastAsia="Times New Roman" w:hAnsi="Times New Roman" w:cs="Times New Roman"/>
          <w:lang w:val="en-US"/>
        </w:rPr>
        <w:t>e</w:t>
      </w:r>
      <w:r w:rsidR="00CE7BD2" w:rsidRPr="000A1EE6">
        <w:rPr>
          <w:rFonts w:ascii="Times New Roman" w:eastAsia="Times New Roman" w:hAnsi="Times New Roman" w:cs="Times New Roman"/>
          <w:lang w:val="en-US"/>
        </w:rPr>
        <w:t xml:space="preserve"> genes </w:t>
      </w:r>
      <w:r w:rsidR="00CE7BD2" w:rsidRPr="00653FCA">
        <w:rPr>
          <w:rFonts w:ascii="Times New Roman" w:eastAsia="Times New Roman" w:hAnsi="Times New Roman" w:cs="Times New Roman"/>
          <w:highlight w:val="yellow"/>
          <w:lang w:val="en-US"/>
        </w:rPr>
        <w:t>(</w:t>
      </w:r>
      <w:r w:rsidR="00CE7BD2" w:rsidRPr="00653FCA">
        <w:rPr>
          <w:rFonts w:ascii="Times New Roman" w:eastAsia="Times New Roman" w:hAnsi="Times New Roman" w:cs="Times New Roman"/>
          <w:i/>
          <w:iCs/>
          <w:highlight w:val="yellow"/>
          <w:lang w:val="en-US"/>
        </w:rPr>
        <w:t>GST, SOD</w:t>
      </w:r>
      <w:r w:rsidR="00E669F0" w:rsidRPr="00653FCA">
        <w:rPr>
          <w:rFonts w:ascii="Times New Roman" w:eastAsia="Times New Roman" w:hAnsi="Times New Roman" w:cs="Times New Roman"/>
          <w:highlight w:val="yellow"/>
          <w:lang w:val="en-US"/>
        </w:rPr>
        <w:t>,</w:t>
      </w:r>
      <w:r w:rsidR="00CE7BD2" w:rsidRPr="00653FCA">
        <w:rPr>
          <w:rFonts w:ascii="Times New Roman" w:eastAsia="Times New Roman" w:hAnsi="Times New Roman" w:cs="Times New Roman"/>
          <w:highlight w:val="yellow"/>
          <w:lang w:val="en-US"/>
        </w:rPr>
        <w:t xml:space="preserve"> </w:t>
      </w:r>
      <w:r w:rsidR="00E669F0" w:rsidRPr="00653FCA">
        <w:rPr>
          <w:rFonts w:ascii="Times New Roman" w:eastAsia="Times New Roman" w:hAnsi="Times New Roman" w:cs="Times New Roman"/>
          <w:highlight w:val="yellow"/>
          <w:lang w:val="en-US"/>
        </w:rPr>
        <w:t xml:space="preserve">and </w:t>
      </w:r>
      <w:r w:rsidR="00CE7BD2" w:rsidRPr="00653FCA">
        <w:rPr>
          <w:rFonts w:ascii="Times New Roman" w:eastAsia="Times New Roman" w:hAnsi="Times New Roman" w:cs="Times New Roman"/>
          <w:i/>
          <w:iCs/>
          <w:highlight w:val="yellow"/>
          <w:lang w:val="en-US"/>
        </w:rPr>
        <w:t>CAT</w:t>
      </w:r>
      <w:r w:rsidR="00CE7BD2" w:rsidRPr="00653FCA">
        <w:rPr>
          <w:rFonts w:ascii="Times New Roman" w:eastAsia="Times New Roman" w:hAnsi="Times New Roman" w:cs="Times New Roman"/>
          <w:highlight w:val="yellow"/>
          <w:lang w:val="en-US"/>
        </w:rPr>
        <w:t>)</w:t>
      </w:r>
      <w:r w:rsidR="00CE7BD2" w:rsidRPr="000A1EE6">
        <w:rPr>
          <w:rFonts w:ascii="Times New Roman" w:eastAsia="Times New Roman" w:hAnsi="Times New Roman" w:cs="Times New Roman"/>
          <w:lang w:val="en-US"/>
        </w:rPr>
        <w:t xml:space="preserve"> and antioxidant enzyme activities increase</w:t>
      </w:r>
      <w:r w:rsidR="00F041C0" w:rsidRPr="000A1EE6">
        <w:rPr>
          <w:rFonts w:ascii="Times New Roman" w:eastAsia="Times New Roman" w:hAnsi="Times New Roman" w:cs="Times New Roman"/>
          <w:lang w:val="en-US"/>
        </w:rPr>
        <w:t>d</w:t>
      </w:r>
      <w:r w:rsidR="00CE7BD2" w:rsidRPr="000A1EE6">
        <w:rPr>
          <w:rFonts w:ascii="Times New Roman" w:eastAsia="Times New Roman" w:hAnsi="Times New Roman" w:cs="Times New Roman"/>
          <w:lang w:val="en-US"/>
        </w:rPr>
        <w:t xml:space="preserve"> at moderate B</w:t>
      </w:r>
      <w:r w:rsidR="789881D0" w:rsidRPr="000A1EE6">
        <w:rPr>
          <w:rFonts w:ascii="Times New Roman" w:eastAsia="Times New Roman" w:hAnsi="Times New Roman" w:cs="Times New Roman"/>
          <w:lang w:val="en-US"/>
        </w:rPr>
        <w:t>[</w:t>
      </w:r>
      <w:r w:rsidR="00CE7BD2" w:rsidRPr="47EE4892">
        <w:rPr>
          <w:rFonts w:ascii="Times New Roman" w:eastAsia="Times New Roman" w:hAnsi="Times New Roman" w:cs="Times New Roman"/>
          <w:i/>
          <w:iCs/>
          <w:lang w:val="en-US"/>
        </w:rPr>
        <w:t>a</w:t>
      </w:r>
      <w:r w:rsidR="5E371871" w:rsidRPr="000A1EE6">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P levels but decline</w:t>
      </w:r>
      <w:r w:rsidR="00F041C0" w:rsidRPr="000A1EE6">
        <w:rPr>
          <w:rFonts w:ascii="Times New Roman" w:eastAsia="Times New Roman" w:hAnsi="Times New Roman" w:cs="Times New Roman"/>
          <w:lang w:val="en-US"/>
        </w:rPr>
        <w:t>d</w:t>
      </w:r>
      <w:r w:rsidR="00CE7BD2" w:rsidRPr="000A1EE6">
        <w:rPr>
          <w:rFonts w:ascii="Times New Roman" w:eastAsia="Times New Roman" w:hAnsi="Times New Roman" w:cs="Times New Roman"/>
          <w:lang w:val="en-US"/>
        </w:rPr>
        <w:t xml:space="preserve"> at higher concentrations, </w:t>
      </w:r>
      <w:r w:rsidR="00D31CB6" w:rsidRPr="000A1EE6">
        <w:rPr>
          <w:rFonts w:ascii="Times New Roman" w:eastAsia="Times New Roman" w:hAnsi="Times New Roman" w:cs="Times New Roman"/>
          <w:lang w:val="en-US"/>
        </w:rPr>
        <w:t xml:space="preserve">indicating an overwhelmed </w:t>
      </w:r>
      <w:r w:rsidR="00E669F0">
        <w:rPr>
          <w:rFonts w:ascii="Times New Roman" w:eastAsia="Times New Roman" w:hAnsi="Times New Roman" w:cs="Times New Roman"/>
          <w:lang w:val="en-US"/>
        </w:rPr>
        <w:t>defense</w:t>
      </w:r>
      <w:r w:rsidR="00D31CB6" w:rsidRPr="000A1EE6">
        <w:rPr>
          <w:rFonts w:ascii="Times New Roman" w:eastAsia="Times New Roman" w:hAnsi="Times New Roman" w:cs="Times New Roman"/>
          <w:lang w:val="en-US"/>
        </w:rPr>
        <w:t xml:space="preserve"> system</w:t>
      </w:r>
      <w:r w:rsidR="00164346" w:rsidRPr="000A1EE6">
        <w:rPr>
          <w:rFonts w:ascii="Times New Roman" w:eastAsia="Times New Roman" w:hAnsi="Times New Roman" w:cs="Times New Roman"/>
          <w:lang w:val="en-US"/>
        </w:rPr>
        <w:t xml:space="preserve"> </w:t>
      </w:r>
      <w:r w:rsidR="00164346"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{"citationID":"MJNccKyJ","properties":{"formattedCitation":"(Nam et al. 2020)","plainCitation":"(Nam et al. 2020)","noteIndex":0},"citationItems":[{"id":"r9E9mN5c/kEowpbfx","uris":["http://zotero.org/users/14468226/items/YSIRM4NV"],"itemData":{"id":6928,"type":"article-journal","abstract":"Embryos from the marine medaka fish Oryzias javanicus were treated with eight concentrations of benzo[a]pyrene (BaP) (0.001, 0.01, 0.1, 1, 2, 5, 10, or 20 μg L-–1) after they had been fertilized. Significant mortality and hatching delays were detected in embryos that had been exposed to 10 and 20 μg L−1 BaP for 4 weeks. The mortality rate after hatching was higher in the medaka that had been previously exposed to &gt; 2 μg L−1 BaP. Significant elevations in intracellular reactive oxygen species and malondialdehyde contents were measured and the mRNA expressions of the antioxidant defense system genes (gst, sod, cat, and gpx) increased in the embryos exposed to 10 and 20 μg L−1 BaP for 1 week. The hsp70, ahr, and cyp1a transcriptional responses were also significantly upregulated in the exposed groups after 1 week. The alterations to the in vivo parameters and molecular components suggested that waterborne BaP had a toxic effect on marine medaka embryos. Finally, fin defects, spinal curvature, and cardiac edema were highly induced when the embryos were exposed to &gt; 5 μg L−1 BaP.","container-title":"Journal of Environmental Science and Health, Part A","DOI":"10.1080/10934529.2020.1767452","ISSN":"1093-4529","issue":"9","note":"publisher: Taylor &amp; Francis\n_eprint: https://doi.org/10.1080/10934529.2020.1767452\nPMID: 32427057","page":"1050-1058","source":"Taylor and Francis+NEJM","title":"Benzo[a]pyrene constrains embryo development via oxidative stress induction and modulates the transcriptional responses of molecular biomarkers in the marine medaka Oryzias javanicus","volume":"55","author":[{"family":"Nam","given":"Sang-Eun"},{"family":"Saravanan","given":"Manoharan"},{"family":"Rhee","given":"Jae-Sung"}],"issued":{"date-parts":[["2020",7,28]]}}}],"schema":"https://github.com/citation-style-language/schema/raw/master/csl-citation.json"} </w:instrText>
      </w:r>
      <w:r w:rsidR="00164346" w:rsidRPr="000A1EE6">
        <w:rPr>
          <w:rFonts w:ascii="Times New Roman" w:eastAsia="Times New Roman" w:hAnsi="Times New Roman" w:cs="Times New Roman"/>
          <w:lang w:val="en-US"/>
        </w:rPr>
        <w:fldChar w:fldCharType="separate"/>
      </w:r>
      <w:r w:rsidR="00E5454F">
        <w:rPr>
          <w:rFonts w:ascii="Times New Roman" w:hAnsi="Times New Roman" w:cs="Times New Roman"/>
        </w:rPr>
        <w:t>(Nam et al. 2020)</w:t>
      </w:r>
      <w:r w:rsidR="00164346" w:rsidRPr="000A1EE6">
        <w:rPr>
          <w:rFonts w:ascii="Times New Roman" w:eastAsia="Times New Roman" w:hAnsi="Times New Roman" w:cs="Times New Roman"/>
          <w:lang w:val="en-US"/>
        </w:rPr>
        <w:fldChar w:fldCharType="end"/>
      </w:r>
      <w:r w:rsidR="00164346" w:rsidRPr="000A1EE6">
        <w:rPr>
          <w:rFonts w:ascii="Times New Roman" w:eastAsia="Times New Roman" w:hAnsi="Times New Roman" w:cs="Times New Roman"/>
          <w:lang w:val="en-US"/>
        </w:rPr>
        <w:t xml:space="preserve">. </w:t>
      </w:r>
      <w:r w:rsidR="00E669F0">
        <w:rPr>
          <w:rFonts w:ascii="Times New Roman" w:eastAsia="Times New Roman" w:hAnsi="Times New Roman" w:cs="Times New Roman"/>
          <w:lang w:val="en-US"/>
        </w:rPr>
        <w:t>Transcriptomic</w:t>
      </w:r>
      <w:r w:rsidR="00CE7BD2" w:rsidRPr="000A1EE6">
        <w:rPr>
          <w:rFonts w:ascii="Times New Roman" w:eastAsia="Times New Roman" w:hAnsi="Times New Roman" w:cs="Times New Roman"/>
          <w:lang w:val="en-US"/>
        </w:rPr>
        <w:t xml:space="preserve"> studies </w:t>
      </w:r>
      <w:r w:rsidR="00F9349E" w:rsidRPr="000A1EE6">
        <w:rPr>
          <w:rFonts w:ascii="Times New Roman" w:eastAsia="Times New Roman" w:hAnsi="Times New Roman" w:cs="Times New Roman"/>
          <w:lang w:val="en-US"/>
        </w:rPr>
        <w:t xml:space="preserve">have </w:t>
      </w:r>
      <w:r w:rsidR="00CE7BD2" w:rsidRPr="000A1EE6">
        <w:rPr>
          <w:rFonts w:ascii="Times New Roman" w:eastAsia="Times New Roman" w:hAnsi="Times New Roman" w:cs="Times New Roman"/>
          <w:lang w:val="en-US"/>
        </w:rPr>
        <w:t>reveal</w:t>
      </w:r>
      <w:r w:rsidR="00F9349E" w:rsidRPr="000A1EE6">
        <w:rPr>
          <w:rFonts w:ascii="Times New Roman" w:eastAsia="Times New Roman" w:hAnsi="Times New Roman" w:cs="Times New Roman"/>
          <w:lang w:val="en-US"/>
        </w:rPr>
        <w:t>ed</w:t>
      </w:r>
      <w:r w:rsidR="00CE7BD2" w:rsidRPr="000A1EE6">
        <w:rPr>
          <w:rFonts w:ascii="Times New Roman" w:eastAsia="Times New Roman" w:hAnsi="Times New Roman" w:cs="Times New Roman"/>
          <w:lang w:val="en-US"/>
        </w:rPr>
        <w:t xml:space="preserve"> complex gene expression patterns, including consistent upregulation of oxidative stress pathways and suppression of bone development markers, reinforcing the value of multi-omic approaches in ecotoxicology </w:t>
      </w:r>
      <w:r w:rsidR="00164346"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{"citationID":"xKbgKURt","properties":{"formattedCitation":"(Elfawy et al. 2021)","plainCitation":"(Elfawy et al. 2021)","noteIndex":0},"citationItems":[{"id":"r9E9mN5c/cHf5f6Of","uris":["http://zotero.org/users/14468226/items/952TJHPN"],"itemData":{"id":6919,"type":"article-journal","abstract":"Benzo(a)pyrene (BaP) has become an integral component of disposed of plastic waste, organic pollutants, and remnants of combustible materials in the aquatic environment due to their persistent nature. The accumulation and integration of these polycyclic aromatic hydrocarbons (PAHs) have raised concern to human health and ecological safety. This study assessed the BaP-induced in vivo molecular toxicity with embryonic zebrafish inferred by oxidative stress and apoptosis. BaP was found to induce morphological and physiological abnormalities like delayed hatching (p &lt; 0.05). Computational analysis demonstrated the high-affinity interaction of BaP with the zebrafish hatching enzyme (ZHE1) with Arg, Cys, Ala, Tyr, and Phe located at the active site revealing the influence of BaP on delayed hatching due to alteration of the enzyme structure. RT-PCR analysis revealed significant down-regulation of the skeletal genes Sox9a, SPP1/OPN, and Col1a1 (p &lt; 0.05) genes. The cellular investigations unraveled that the toxicity of BaP extends to the skeletal regions of zebrafish (head, backbone, and tail) because of the elicited oxidative stress leading to apoptosis. The study extended the horizon of understanding of BaP toxicity at the molecular level which will enhance the indulgent and designing of techniques for better ecological sustainability.","container-title":"Science of The Total Environment","DOI":"10.1016/j.scitotenv.2021.147989","ISSN":"0048-9697","journalAbbreviation":"Science of The Total Environment","page":"147989","source":"ScienceDirect","title":"Molecular toxicity of Benzo(&lt;i&gt;a&lt;/i&gt;)pyrene mediated by elicited oxidative stress infer skeletal deformities and apoptosis in embryonic zebrafish","volume":"789","author":[{"family":"Elfawy","given":"Hasnaa A."},{"family":"Anupriya","given":"S"},{"family":"Mohanty","given":"Swabhiman"},{"family":"Patel","given":"Paritosh"},{"family":"Ghosal","given":"Sayam"},{"family":"Panda","given":"Pritam Kumar"},{"family":"Das","given":"Biswadeep"},{"family":"Verma","given":"Suresh K."},{"family":"Patnaik","given":"Srinivas"}],"issued":{"date-parts":[["2021",10,1]]}}}],"schema":"https://github.com/citation-style-language/schema/raw/master/csl-citation.json"} </w:instrText>
      </w:r>
      <w:r w:rsidR="00164346" w:rsidRPr="000A1EE6">
        <w:rPr>
          <w:rFonts w:ascii="Times New Roman" w:eastAsia="Times New Roman" w:hAnsi="Times New Roman" w:cs="Times New Roman"/>
          <w:lang w:val="en-US"/>
        </w:rPr>
        <w:fldChar w:fldCharType="separate"/>
      </w:r>
      <w:r w:rsidR="00E5454F">
        <w:rPr>
          <w:rFonts w:ascii="Times New Roman" w:hAnsi="Times New Roman" w:cs="Times New Roman"/>
        </w:rPr>
        <w:t>(Elfawy et al. 2021)</w:t>
      </w:r>
      <w:r w:rsidR="00164346" w:rsidRPr="000A1EE6">
        <w:rPr>
          <w:rFonts w:ascii="Times New Roman" w:eastAsia="Times New Roman" w:hAnsi="Times New Roman" w:cs="Times New Roman"/>
          <w:lang w:val="en-US"/>
        </w:rPr>
        <w:fldChar w:fldCharType="end"/>
      </w:r>
      <w:r w:rsidR="00CE7BD2" w:rsidRPr="000A1EE6">
        <w:rPr>
          <w:rFonts w:ascii="Times New Roman" w:eastAsia="Times New Roman" w:hAnsi="Times New Roman" w:cs="Times New Roman"/>
          <w:lang w:val="en-US"/>
        </w:rPr>
        <w:t xml:space="preserve">. </w:t>
      </w:r>
      <w:r w:rsidR="6356F420" w:rsidRPr="000A1EE6">
        <w:rPr>
          <w:rFonts w:ascii="Times New Roman" w:eastAsia="Times New Roman" w:hAnsi="Times New Roman" w:cs="Times New Roman"/>
          <w:lang w:val="en-US"/>
        </w:rPr>
        <w:t>Generally</w:t>
      </w:r>
      <w:r w:rsidR="00CE7BD2" w:rsidRPr="000A1EE6">
        <w:rPr>
          <w:rFonts w:ascii="Times New Roman" w:eastAsia="Times New Roman" w:hAnsi="Times New Roman" w:cs="Times New Roman"/>
          <w:lang w:val="en-US"/>
        </w:rPr>
        <w:t xml:space="preserve">, oxidative stress response genes show consistent upregulation across multiple species and exposure scenarios </w:t>
      </w:r>
      <w:r w:rsidR="007C77E3"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{"citationID":"YCzepgyf","properties":{"formattedCitation":"(Agrawal et al. 2024)","plainCitation":"(Agrawal et al. 2024)","noteIndex":0},"citationItems":[{"id":"r9E9mN5c/b3SCipRj","uris":["http://zotero.org/users/14468226/items/D2Y2QGZY"],"itemData":{"id":6691,"type":"article-journal","abstract":"Water pollution remains a major environmental concern, with increased toxic by-products being released into water bodies. Many of these chemical contaminants persist in the environment and bio-accumulate in aquatic organisms. At present, toxicological tests are mostly based on laboratory tests, and effective methods for monitoring wild aquatic environments remain lacking. In the present study, we used a well-characterized toxic chemical, 3,3',4,4',5-polychlorinated biphenyl (PCB126), as an example to try to identify common biomarker genes to be used for predictive toxicity of this toxic substance. First, we used two laboratory fish models, the zebrafish (Danio rerio) and medaka (Oryzias latipes), to expose PCB126 to obtain liver transcriptomic data by RNA-seq. Comparative transcriptomic analyses indicated generally conserved and concerted changes from the two species, thus validating the transcriptomic data for biomarker gene selection. Based on the common up- and downregulated genes in the two species, we selected nine biomarker genes to further test in other fish species. The first validation experiment was carried out using the third fish species, Mozambique tilapia (Oreochromis mossambicus), and essentially, all these biomarker genes were validated for consistent responses with the two laboratory fish models. Finally, to develop universal PCR primers suitable for potentially all teleost fish species, we designed degenerate primers and tested them in the three fish species as well as in another fish species without a genomic sequence available: guppy (Poecilia reticulata). We found all the biomarker genes showed consistent response to PCB126 exposure in at least 50% of the species. Thus, our study provides a promising strategy to identify common biomarker genes to be used for teleost fish analyses. By using degenerate PCR primers and analyzing multiple biomarker genes, it is possible to develop diagnostic PCR arrays to predict water contamination from any wild fish species sampled in different water bodies.","container-title":"Current Issues in Molecular Biology","DOI":"10.3390/cimb46080466","ISSN":"1467-3045","issue":"8","journalAbbreviation":"Curr Issues Mol Biol","language":"eng","note":"PMID: 39194683\nPMCID: PMC11352907","page":"7862-7876","source":"PubMed","title":"Identifying Universal Fish Biomarker Genes in Response to PCB126 Exposure by Comparative Transcriptomic Analyses","volume":"46","author":[{"family":"Agrawal","given":"Ira"},{"family":"Lee","given":"Ai Qi"},{"family":"Gong","given":"Zhiyuan"}],"issued":{"date-parts":[["2024",7,23]]}}}],"schema":"https://github.com/citation-style-language/schema/raw/master/csl-citation.json"} </w:instrText>
      </w:r>
      <w:r w:rsidR="007C77E3" w:rsidRPr="000A1EE6">
        <w:rPr>
          <w:rFonts w:ascii="Times New Roman" w:eastAsia="Times New Roman" w:hAnsi="Times New Roman" w:cs="Times New Roman"/>
          <w:lang w:val="en-US"/>
        </w:rPr>
        <w:fldChar w:fldCharType="separate"/>
      </w:r>
      <w:r w:rsidR="00E5454F">
        <w:rPr>
          <w:rFonts w:ascii="Times New Roman" w:hAnsi="Times New Roman" w:cs="Times New Roman"/>
        </w:rPr>
        <w:t>(Agrawal et al. 2024)</w:t>
      </w:r>
      <w:r w:rsidR="007C77E3" w:rsidRPr="000A1EE6">
        <w:rPr>
          <w:rFonts w:ascii="Times New Roman" w:eastAsia="Times New Roman" w:hAnsi="Times New Roman" w:cs="Times New Roman"/>
          <w:lang w:val="en-US"/>
        </w:rPr>
        <w:fldChar w:fldCharType="end"/>
      </w:r>
      <w:r w:rsidR="47EE4892" w:rsidRPr="47EE4892">
        <w:rPr>
          <w:rFonts w:ascii="Times New Roman" w:eastAsia="Times New Roman" w:hAnsi="Times New Roman" w:cs="Times New Roman"/>
          <w:lang w:val="en-US"/>
        </w:rPr>
        <w:t>.</w:t>
      </w:r>
    </w:p>
    <w:p w14:paraId="4BEE5877" w14:textId="52C6667F" w:rsidR="0074030B" w:rsidRPr="000A1EE6" w:rsidRDefault="0EF8A443" w:rsidP="000A1EE6">
      <w:pPr>
        <w:spacing w:line="480" w:lineRule="auto"/>
        <w:jc w:val="both"/>
        <w:rPr>
          <w:rFonts w:ascii="Times New Roman" w:eastAsia="Times New Roman" w:hAnsi="Times New Roman" w:cs="Times New Roman"/>
          <w:lang w:val="en-US"/>
        </w:rPr>
      </w:pPr>
      <w:r w:rsidRPr="1624CE57">
        <w:rPr>
          <w:rFonts w:ascii="Times New Roman" w:eastAsia="Times New Roman" w:hAnsi="Times New Roman" w:cs="Times New Roman"/>
          <w:lang w:val="en-US"/>
        </w:rPr>
        <w:t>Furthermore, t</w:t>
      </w:r>
      <w:r w:rsidR="02CF8141" w:rsidRPr="1624CE57">
        <w:rPr>
          <w:rFonts w:ascii="Times New Roman" w:eastAsia="Times New Roman" w:hAnsi="Times New Roman" w:cs="Times New Roman"/>
          <w:lang w:val="en-US"/>
        </w:rPr>
        <w:t>issue-specific patterns provide</w:t>
      </w:r>
      <w:r w:rsidR="00F9349E" w:rsidRPr="1624CE57">
        <w:rPr>
          <w:rFonts w:ascii="Times New Roman" w:eastAsia="Times New Roman" w:hAnsi="Times New Roman" w:cs="Times New Roman"/>
          <w:lang w:val="en-US"/>
        </w:rPr>
        <w:t xml:space="preserve"> a</w:t>
      </w:r>
      <w:r w:rsidR="02CF8141" w:rsidRPr="1624CE57">
        <w:rPr>
          <w:rFonts w:ascii="Times New Roman" w:eastAsia="Times New Roman" w:hAnsi="Times New Roman" w:cs="Times New Roman"/>
          <w:lang w:val="en-US"/>
        </w:rPr>
        <w:t xml:space="preserve"> resolution </w:t>
      </w:r>
      <w:r w:rsidR="00C8039B" w:rsidRPr="1624CE57">
        <w:rPr>
          <w:rFonts w:ascii="Times New Roman" w:eastAsia="Times New Roman" w:hAnsi="Times New Roman" w:cs="Times New Roman"/>
          <w:lang w:val="en-US"/>
        </w:rPr>
        <w:t xml:space="preserve">to </w:t>
      </w:r>
      <w:r w:rsidR="00E669F0" w:rsidRPr="1624CE57">
        <w:rPr>
          <w:rFonts w:ascii="Times New Roman" w:eastAsia="Times New Roman" w:hAnsi="Times New Roman" w:cs="Times New Roman"/>
          <w:lang w:val="en-US"/>
        </w:rPr>
        <w:t>the impact of contaminants</w:t>
      </w:r>
      <w:r w:rsidR="02CF8141" w:rsidRPr="1624CE57">
        <w:rPr>
          <w:rFonts w:ascii="Times New Roman" w:eastAsia="Times New Roman" w:hAnsi="Times New Roman" w:cs="Times New Roman"/>
          <w:lang w:val="en-US"/>
        </w:rPr>
        <w:t xml:space="preserve">. </w:t>
      </w:r>
      <w:r w:rsidR="5268DC5F" w:rsidRPr="1624CE57">
        <w:rPr>
          <w:rFonts w:ascii="Times New Roman" w:eastAsia="Times New Roman" w:hAnsi="Times New Roman" w:cs="Times New Roman"/>
          <w:lang w:val="en-US"/>
        </w:rPr>
        <w:t>These biomarker changes are detected early in metabolically active tissues</w:t>
      </w:r>
      <w:r w:rsidR="00910155" w:rsidRPr="1624CE57">
        <w:rPr>
          <w:rFonts w:ascii="Times New Roman" w:eastAsia="Times New Roman" w:hAnsi="Times New Roman" w:cs="Times New Roman"/>
          <w:lang w:val="en-US"/>
        </w:rPr>
        <w:t>,</w:t>
      </w:r>
      <w:r w:rsidR="5268DC5F" w:rsidRPr="1624CE57">
        <w:rPr>
          <w:rFonts w:ascii="Times New Roman" w:eastAsia="Times New Roman" w:hAnsi="Times New Roman" w:cs="Times New Roman"/>
          <w:lang w:val="en-US"/>
        </w:rPr>
        <w:t xml:space="preserve"> such as the liver and brain, indicating their sensitivity to toxic exposure </w:t>
      </w:r>
      <w:r w:rsidRPr="1624CE57">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{"citationID":"La2A4nLk","properties":{"formattedCitation":"(Kang et al. 2022)","plainCitation":"(Kang et al. 2022)","noteIndex":0},"citationItems":[{"id":"r9E9mN5c/JENIcNdp","uris":["http://zotero.org/users/14468226/items/GI8RUWQJ"],"itemData":{"id":6609,"type":"article-journal","abstract":"Phenanthrene (PHE) is a typical compound biomagnified in the food chain which endangers human health and generally accumulates from marine life. It has been listed as one of the 16 priority PAHs evaluated in toxicology. In order to evaluate the changes of CYP1A GST mRNA expression and EROD GST enzyme activity in carp exposed to lower than safe concentrations of PHE. Long-term exposure of carp to PHE at lower than safe concentrations for up to 25 days. The mRNA expression level and cytochrome P450 (CYP1A/EROD (7-Ethoxylesorufin O-deethylase)) and glutathione S-transferase (GST) activity were measured in carp liver and brain tissue. The results showed that PHE stress induced low-concentration induction and high-concentration inhibition of CYP1A expression and EROD enzyme activity in the liver and brain of carp. In both two organs, GST enzyme activity was also induced. However, the expression of GST mRNA was first induced and then inhibited, after the 15th day. These results indicate that long-term exposure to PHE at lower than safe concentrations still poses a potential threat to carp's oxidase system and gene expression.","container-title":"International Journal of Environmental Research and Public Health","DOI":"10.3390/ijerph19042129","ISSN":"1660-4601","issue":"4","journalAbbreviation":"Int J Environ Res Public Health","language":"eng","note":"PMID: 35206316\nPMCID: PMC8872569","page":"2129","source":"PubMed","title":"Long-Term Exposure to Phenanthrene Induced Gene Expressions and Enzyme Activities of Cyprinus carpio below the Safe Concentration","volume":"19","author":[{"family":"Kang","given":"Xin"},{"family":"Li","given":"Dongpeng"},{"family":"Zhao","given":"Xiaoxiang"},{"family":"Lv","given":"Yanfeng"},{"family":"Chen","given":"Xi"},{"family":"Song","given":"Xinshan"},{"family":"Liu","given":"Xiangyu"},{"family":"Chen","given":"Chengrong"},{"family":"Cao","given":"Xin"}],"issued":{"date-parts":[["2022",2,14]]}}}],"schema":"https://github.com/citation-style-language/schema/raw/master/csl-citation.json"} </w:instrText>
      </w:r>
      <w:r w:rsidRPr="1624CE57">
        <w:rPr>
          <w:rFonts w:ascii="Times New Roman" w:eastAsia="Times New Roman" w:hAnsi="Times New Roman" w:cs="Times New Roman"/>
          <w:lang w:val="en-US"/>
        </w:rPr>
        <w:fldChar w:fldCharType="separate"/>
      </w:r>
      <w:r w:rsidR="00E5454F">
        <w:rPr>
          <w:rFonts w:ascii="Times New Roman" w:hAnsi="Times New Roman" w:cs="Times New Roman"/>
        </w:rPr>
        <w:t>(Kang et al. 2022)</w:t>
      </w:r>
      <w:r w:rsidRPr="1624CE57">
        <w:rPr>
          <w:rFonts w:ascii="Times New Roman" w:eastAsia="Times New Roman" w:hAnsi="Times New Roman" w:cs="Times New Roman"/>
          <w:lang w:val="en-US"/>
        </w:rPr>
        <w:fldChar w:fldCharType="end"/>
      </w:r>
      <w:r w:rsidR="00695807" w:rsidRPr="1624CE57">
        <w:rPr>
          <w:rFonts w:ascii="Times New Roman" w:eastAsia="Times New Roman" w:hAnsi="Times New Roman" w:cs="Times New Roman"/>
          <w:lang w:val="en-US"/>
        </w:rPr>
        <w:t xml:space="preserve">. </w:t>
      </w:r>
      <w:r w:rsidR="00910155" w:rsidRPr="1624CE57">
        <w:rPr>
          <w:rFonts w:ascii="Times New Roman" w:eastAsia="Times New Roman" w:hAnsi="Times New Roman" w:cs="Times New Roman"/>
          <w:lang w:val="en-US"/>
        </w:rPr>
        <w:t>The</w:t>
      </w:r>
      <w:r w:rsidR="385253A2" w:rsidRPr="1624CE57">
        <w:rPr>
          <w:rFonts w:ascii="Times New Roman" w:eastAsia="Times New Roman" w:hAnsi="Times New Roman" w:cs="Times New Roman"/>
          <w:lang w:val="en-US"/>
        </w:rPr>
        <w:t xml:space="preserve"> liver serves as</w:t>
      </w:r>
      <w:r w:rsidR="02CF8141" w:rsidRPr="1624CE57">
        <w:rPr>
          <w:rFonts w:ascii="Times New Roman" w:eastAsia="Times New Roman" w:hAnsi="Times New Roman" w:cs="Times New Roman"/>
          <w:lang w:val="en-US"/>
        </w:rPr>
        <w:t xml:space="preserve"> the principal </w:t>
      </w:r>
      <w:r w:rsidR="45C555AE" w:rsidRPr="1624CE57">
        <w:rPr>
          <w:rFonts w:ascii="Times New Roman" w:eastAsia="Times New Roman" w:hAnsi="Times New Roman" w:cs="Times New Roman"/>
          <w:lang w:val="en-US"/>
        </w:rPr>
        <w:t xml:space="preserve">site </w:t>
      </w:r>
      <w:r w:rsidR="02CF8141" w:rsidRPr="1624CE57">
        <w:rPr>
          <w:rFonts w:ascii="Times New Roman" w:eastAsia="Times New Roman" w:hAnsi="Times New Roman" w:cs="Times New Roman"/>
          <w:lang w:val="en-US"/>
        </w:rPr>
        <w:t>of xenobiotic biotransformation</w:t>
      </w:r>
      <w:r w:rsidR="741105D9" w:rsidRPr="1624CE57">
        <w:rPr>
          <w:rFonts w:ascii="Times New Roman" w:eastAsia="Times New Roman" w:hAnsi="Times New Roman" w:cs="Times New Roman"/>
          <w:lang w:val="en-US"/>
        </w:rPr>
        <w:t xml:space="preserve"> </w:t>
      </w:r>
      <w:r w:rsidR="00910155" w:rsidRPr="1624CE57">
        <w:rPr>
          <w:rFonts w:ascii="Times New Roman" w:eastAsia="Times New Roman" w:hAnsi="Times New Roman" w:cs="Times New Roman"/>
          <w:lang w:val="en-US"/>
        </w:rPr>
        <w:t>and</w:t>
      </w:r>
      <w:r w:rsidR="00F9349E" w:rsidRPr="1624CE57">
        <w:rPr>
          <w:rFonts w:ascii="Times New Roman" w:eastAsia="Times New Roman" w:hAnsi="Times New Roman" w:cs="Times New Roman"/>
          <w:lang w:val="en-US"/>
        </w:rPr>
        <w:t xml:space="preserve"> </w:t>
      </w:r>
      <w:r w:rsidR="02CF8141" w:rsidRPr="1624CE57">
        <w:rPr>
          <w:rFonts w:ascii="Times New Roman" w:eastAsia="Times New Roman" w:hAnsi="Times New Roman" w:cs="Times New Roman"/>
          <w:lang w:val="en-US"/>
        </w:rPr>
        <w:t xml:space="preserve">consistently exhibits the highest contaminant </w:t>
      </w:r>
      <w:r w:rsidR="00C828BC" w:rsidRPr="1624CE57">
        <w:rPr>
          <w:rFonts w:ascii="Times New Roman" w:eastAsia="Times New Roman" w:hAnsi="Times New Roman" w:cs="Times New Roman"/>
          <w:lang w:val="en-US"/>
        </w:rPr>
        <w:t>burden</w:t>
      </w:r>
      <w:r w:rsidR="02CF8141" w:rsidRPr="1624CE57">
        <w:rPr>
          <w:rFonts w:ascii="Times New Roman" w:eastAsia="Times New Roman" w:hAnsi="Times New Roman" w:cs="Times New Roman"/>
          <w:lang w:val="en-US"/>
        </w:rPr>
        <w:t xml:space="preserve"> and</w:t>
      </w:r>
      <w:r w:rsidR="006B0A92" w:rsidRPr="1624CE57">
        <w:rPr>
          <w:rFonts w:ascii="Times New Roman" w:eastAsia="Times New Roman" w:hAnsi="Times New Roman" w:cs="Times New Roman"/>
          <w:lang w:val="en-US"/>
        </w:rPr>
        <w:t xml:space="preserve"> the</w:t>
      </w:r>
      <w:r w:rsidR="02CF8141" w:rsidRPr="1624CE57">
        <w:rPr>
          <w:rFonts w:ascii="Times New Roman" w:eastAsia="Times New Roman" w:hAnsi="Times New Roman" w:cs="Times New Roman"/>
          <w:lang w:val="en-US"/>
        </w:rPr>
        <w:t xml:space="preserve"> most pronounced pathological changes</w:t>
      </w:r>
      <w:r w:rsidR="00910155" w:rsidRPr="1624CE57">
        <w:rPr>
          <w:rFonts w:ascii="Times New Roman" w:eastAsia="Times New Roman" w:hAnsi="Times New Roman" w:cs="Times New Roman"/>
          <w:lang w:val="en-US"/>
        </w:rPr>
        <w:t>.</w:t>
      </w:r>
      <w:r w:rsidR="7FC9AE01" w:rsidRPr="1624CE57">
        <w:rPr>
          <w:rFonts w:ascii="Times New Roman" w:eastAsia="Times New Roman" w:hAnsi="Times New Roman" w:cs="Times New Roman"/>
          <w:lang w:val="en-US"/>
        </w:rPr>
        <w:t xml:space="preserve"> </w:t>
      </w:r>
      <w:r w:rsidR="00910155" w:rsidRPr="1624CE57">
        <w:rPr>
          <w:rFonts w:ascii="Times New Roman" w:eastAsia="Times New Roman" w:hAnsi="Times New Roman" w:cs="Times New Roman"/>
          <w:lang w:val="en-US"/>
        </w:rPr>
        <w:t>The</w:t>
      </w:r>
      <w:r w:rsidR="2822A35C" w:rsidRPr="1624CE57">
        <w:rPr>
          <w:rFonts w:ascii="Times New Roman" w:eastAsia="Times New Roman" w:hAnsi="Times New Roman" w:cs="Times New Roman"/>
          <w:lang w:val="en-US"/>
        </w:rPr>
        <w:t xml:space="preserve"> brain </w:t>
      </w:r>
      <w:r w:rsidR="00FF4BB5" w:rsidRPr="1624CE57">
        <w:rPr>
          <w:rFonts w:ascii="Times New Roman" w:eastAsia="Times New Roman" w:hAnsi="Times New Roman" w:cs="Times New Roman"/>
          <w:lang w:val="en-US"/>
        </w:rPr>
        <w:t xml:space="preserve">is </w:t>
      </w:r>
      <w:r w:rsidR="3579F02F" w:rsidRPr="1624CE57">
        <w:rPr>
          <w:rFonts w:ascii="Times New Roman" w:eastAsia="Times New Roman" w:hAnsi="Times New Roman" w:cs="Times New Roman"/>
          <w:lang w:val="en-US"/>
        </w:rPr>
        <w:t>sensitiv</w:t>
      </w:r>
      <w:r w:rsidR="00FF4BB5" w:rsidRPr="1624CE57">
        <w:rPr>
          <w:rFonts w:ascii="Times New Roman" w:eastAsia="Times New Roman" w:hAnsi="Times New Roman" w:cs="Times New Roman"/>
          <w:lang w:val="en-US"/>
        </w:rPr>
        <w:t>e</w:t>
      </w:r>
      <w:r w:rsidR="2822A35C" w:rsidRPr="1624CE57">
        <w:rPr>
          <w:rFonts w:ascii="Times New Roman" w:eastAsia="Times New Roman" w:hAnsi="Times New Roman" w:cs="Times New Roman"/>
          <w:lang w:val="en-US"/>
        </w:rPr>
        <w:t xml:space="preserve"> to lipophilic PAHs, which readily cross the blood-brain barrier, leading to bioaccumulation, neurotransmitter disturbances, </w:t>
      </w:r>
      <w:r w:rsidR="00D01C0C" w:rsidRPr="1624CE57">
        <w:rPr>
          <w:rFonts w:ascii="Times New Roman" w:eastAsia="Times New Roman" w:hAnsi="Times New Roman" w:cs="Times New Roman"/>
          <w:lang w:val="en-US"/>
        </w:rPr>
        <w:t>behavioral</w:t>
      </w:r>
      <w:r w:rsidR="2822A35C" w:rsidRPr="1624CE57">
        <w:rPr>
          <w:rFonts w:ascii="Times New Roman" w:eastAsia="Times New Roman" w:hAnsi="Times New Roman" w:cs="Times New Roman"/>
          <w:lang w:val="en-US"/>
        </w:rPr>
        <w:t xml:space="preserve"> impairments, and histopathological damage</w:t>
      </w:r>
      <w:r w:rsidR="00695807" w:rsidRPr="1624CE57">
        <w:rPr>
          <w:rFonts w:ascii="Times New Roman" w:eastAsia="Times New Roman" w:hAnsi="Times New Roman" w:cs="Times New Roman"/>
          <w:lang w:val="en-US"/>
        </w:rPr>
        <w:t xml:space="preserve"> </w:t>
      </w:r>
      <w:r w:rsidRPr="1624CE57">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{"citationID":"ziRGy7l3","properties":{"formattedCitation":"(Sathikumaran et al. 2022, Gentile et al. 2023, Alexiev et al. 2024)","plainCitation":"(Sathikumaran et al. 2022, Gentile et al. 2023, Alexiev et al. 2024)","noteIndex":0},"citationItems":[{"id":"r9E9mN5c/gfvPjrOI","uris":["http://zotero.org/users/14468226/items/QLD698BF"],"itemData":{"id":6600,"type":"article-journal","abstract":"Developmental exposure to benzo[a]pyrene (BaP), a ubiquitous environmental pollutant, has been linked to various toxic effects, including multigenerational behavioral impairment. While the specific mechanisms driving BaP neurotoxicity are not fully understood, recent work highlights two important determinants of developmental BaP neurotoxicity: (1) the aryl hydrocarbon receptor (AHR), which induces host metabolism of BaP, and (2) the gut microbiome, which may interact with BaP to affect its metabolism, or be perturbed by BaP to disrupt the gut-brain axis. We utilized the zebrafish model to explore the role of AHR, the gut microbiome, and their interaction, on BaP-induced neurotoxicity. We tested (1) how developmental BaP exposure and AHR2 perturbation in zebrafish link to adult behavior, (2) how these variables associate with the structure and function of the adult zebrafish gut metagenome, and (3) whether these associations are multigenerational. Our findings reveal a reticulated axis of association between BaP exposure, developmental AHR2 expression, the zebrafish gut metagenome, and behavior. Results indicate that AHR2 is a key modulator of how BaP elicits neurotoxicity and microbiome dysbiosis. Additionally, this axis of association manifests generationally. These findings demonstrate the importance of studying pollutant-microbiome interactions and elucidate the role of specific host genes in neurotoxicity and dysbiosis.","container-title":"Toxics","DOI":"10.3390/toxics13010010","ISSN":"2305-6304","issue":"1","journalAbbreviation":"Toxics","language":"eng","note":"PMID: 39853010\nPMCID: PMC11768907","page":"10","source":"PubMed","title":"Clearing the Air on Pollutant Disruptions of the Gut-Brain Axis: Developmental Exposure to Benzo[a]pyrene Disturbs Zebrafish Behavior and the Gut Microbiome in Adults and Subsequent Generations","title-short":"Clearing the Air on Pollutant Disruptions of the Gut-Brain Axis","volume":"13","author":[{"family":"Alexiev","given":"Alexandra"},{"family":"Stretch","given":"Ebony"},{"family":"Kasschau","given":"Kristin D."},{"family":"Wilson","given":"Lindsay B."},{"family":"Truong","given":"Lisa"},{"family":"Tanguay","given":"Robyn L."},{"family":"Sharpton","given":"Thomas J."}],"issued":{"date-parts":[["2024",12,25]]}}},{"id":"r9E9mN5c/eDP3r7Xi","uris":["http://zotero.org/users/14468226/items/JKK59ZP4"],"itemData":{"id":6748,"type":"article-journal","abstract":"Benzo(a)pyrene (BaP), a polycyclic aromatic hydrocarbon, is considered a common endocrine disrupting chemical (EDC) with mutagenic and carcinogenic effects. In this work, we evaluated the effects of BaP on the hypothalamo-pituitary-gonadal axis (HPG) of zebrafish embryos. The embryos were treated with 5 and 50 nM BaP from 2.5 to 72 hours post-fertilization (hpf) and obtained data were compared with those from controls. We followed the entire development of gonadotropin releasing hormone (GnRH3) neurons that start to proliferate from the olfactory region at 36 hpf, migrate at 48 hpf and then reach the pre-optic area and the hypothalamus at 72 hpf. Interestingly, we observed a compromised neuronal architecture of the GnRH3 network after the administration of 5 and 50 nM BaP. Given the toxicity of this compound, we evaluated the expression of genes involved in antioxidant activity, oxidative DNA damage and apoptosis and we found an upregulation of these pathways. Consequently, we performed a TUNEL assay and we confirmed an increment of cell death in brain of embryos treated with BaP. In conclusion our data reveal that short-term exposure of zebrafish embryos to BaP affects GnRH3 development likely through a neurotoxic mechanism.","container-title":"International Journal of Molecular Sciences","DOI":"10.3390/ijms24086913","ISSN":"1422-0067","issue":"8","journalAbbreviation":"Int J Mol Sci","language":"eng","note":"PMID: 37108076\nPMCID: PMC10138490","page":"6913","source":"PubMed","title":"Short-Term Exposure to Benzo(a)Pyrene Causes Disruption of GnRH Network in Zebrafish Embryos","volume":"24","author":[{"family":"Gentile","given":"Ilaria"},{"family":"Vezzoli","given":"Valeria"},{"family":"Martone","given":"Sara"},{"family":"Totaro","given":"Maria Grazia"},{"family":"Bonomi","given":"Marco"},{"family":"Persani","given":"Luca"},{"family":"Marelli","given":"Federica"}],"issued":{"date-parts":[["2023",4,7]]}}},{"id":"r9E9mN5c/Di04HDJv","uris":["http://zotero.org/users/14468226/items/VNMYM674"],"itemData":{"id":6739,"type":"article-journal","abstract":"Our previous study reported that chronic exposure to sublethal levels of estrogen induces DNA damage and endocrine dysfunction in sea bass. In this study, we extended our hypothesis to test changes in genotoxicity and biotransformation induced by Benzo[a]pyrene (BaP) that may regulate endocrine disorders in the estuarine fish. Therapon jarbua an euryhaline fish was exposed to BaP at two different ambient concentrations for 21 days. Biomarkers such as ethoxyresorufin-O-deethlylase (EROD) and DNA damages were assessed in the gill and liver, while neuroendocrine markers such as serotonin (5-HT) and acetyl cholinesterase (AChE) were studied in the brain. The findings showed that longer the exposure, higher the levels of biotransformation enzymes and DNA damage were produced. In both gill and the liver, BaP exposure generated dose-dependent EROD induction and DNA damages, with such a response being more linear in the case of liver than gill. BaP toxicity exacerbated the neurotoxicity by inhibiting acetylcholinesterase (AChE) activity and serotonin levels in the brain and this response was dose-dependent. Neuroendocrine system and biotransformation enzyme have a negative correlation. Results of the correlation and regression data suggest the reduction of endocrine marker might be attributed to the activation of biotransformation enzymes. These findings showed that BaP exposure can harm the gills and liver by inducing the biotransfomation enzyme and causing DNA damage, and so inhibiting neurotransmitters in the brain. These findings are predicted to give fresh insight on the research of the ecotoxicology effect of PAHs on estuarine fish.","container-title":"Toxicology Reports","DOI":"10.1016/j.toxrep.2022.03.051","ISSN":"2214-7500","journalAbbreviation":"Toxicol Rep","language":"eng","note":"PMID: 36518429\nPMCID: PMC9742828","page":"720-727","source":"PubMed","title":"Evaluation of benzo[a]pyrene-induced toxicity in the estuarine thornfish Therapon jarbua","volume":"9","author":[{"family":"Sathikumaran","given":"R."},{"family":"Madhuvandhi","given":"J."},{"family":"Priya","given":"K. K."},{"family":"Sridevi","given":"A."},{"family":"Krishnamurthy","given":"R."},{"family":"Thilagam","given":"H."}],"issued":{"date-parts":[["2022"]]}}}],"schema":"https://github.com/citation-style-language/schema/raw/master/csl-citation.json"} </w:instrText>
      </w:r>
      <w:r w:rsidRPr="1624CE57">
        <w:rPr>
          <w:rFonts w:ascii="Times New Roman" w:eastAsia="Times New Roman" w:hAnsi="Times New Roman" w:cs="Times New Roman"/>
          <w:lang w:val="en-US"/>
        </w:rPr>
        <w:fldChar w:fldCharType="separate"/>
      </w:r>
      <w:r w:rsidR="00E5454F">
        <w:rPr>
          <w:rFonts w:ascii="Times New Roman" w:hAnsi="Times New Roman" w:cs="Times New Roman"/>
        </w:rPr>
        <w:t>(Sathikumaran et al. 2022, Gentile et al. 2023, Alexiev et al. 2024)</w:t>
      </w:r>
      <w:r w:rsidRPr="1624CE57">
        <w:rPr>
          <w:rFonts w:ascii="Times New Roman" w:eastAsia="Times New Roman" w:hAnsi="Times New Roman" w:cs="Times New Roman"/>
          <w:lang w:val="en-US"/>
        </w:rPr>
        <w:fldChar w:fldCharType="end"/>
      </w:r>
      <w:r w:rsidR="00695807" w:rsidRPr="1624CE57">
        <w:rPr>
          <w:rFonts w:ascii="Times New Roman" w:eastAsia="Times New Roman" w:hAnsi="Times New Roman" w:cs="Times New Roman"/>
          <w:lang w:val="en-US"/>
        </w:rPr>
        <w:t xml:space="preserve">. </w:t>
      </w:r>
      <w:r w:rsidR="00DA27D3" w:rsidRPr="1624CE57">
        <w:rPr>
          <w:rFonts w:ascii="Times New Roman" w:eastAsia="Times New Roman" w:hAnsi="Times New Roman" w:cs="Times New Roman"/>
          <w:lang w:val="en-US"/>
        </w:rPr>
        <w:t>In contrast</w:t>
      </w:r>
      <w:r w:rsidR="00B666AE" w:rsidRPr="1624CE57">
        <w:rPr>
          <w:rFonts w:ascii="Times New Roman" w:eastAsia="Times New Roman" w:hAnsi="Times New Roman" w:cs="Times New Roman"/>
          <w:lang w:val="en-US"/>
        </w:rPr>
        <w:t xml:space="preserve">, </w:t>
      </w:r>
      <w:r w:rsidR="00DA27D3" w:rsidRPr="1624CE57">
        <w:rPr>
          <w:rFonts w:ascii="Times New Roman" w:eastAsia="Times New Roman" w:hAnsi="Times New Roman" w:cs="Times New Roman"/>
          <w:lang w:val="en-US"/>
        </w:rPr>
        <w:t>B[</w:t>
      </w:r>
      <w:r w:rsidR="00DA27D3" w:rsidRPr="00A00819">
        <w:rPr>
          <w:rFonts w:ascii="Times New Roman" w:eastAsia="Times New Roman" w:hAnsi="Times New Roman" w:cs="Times New Roman"/>
          <w:i/>
          <w:iCs/>
          <w:lang w:val="en-US"/>
        </w:rPr>
        <w:t>a</w:t>
      </w:r>
      <w:r w:rsidR="00DA27D3" w:rsidRPr="1624CE57">
        <w:rPr>
          <w:rFonts w:ascii="Times New Roman" w:eastAsia="Times New Roman" w:hAnsi="Times New Roman" w:cs="Times New Roman"/>
          <w:lang w:val="en-US"/>
        </w:rPr>
        <w:t>]P in</w:t>
      </w:r>
      <w:r w:rsidR="006B1B78" w:rsidRPr="1624CE57">
        <w:rPr>
          <w:rFonts w:ascii="Times New Roman" w:eastAsia="Times New Roman" w:hAnsi="Times New Roman" w:cs="Times New Roman"/>
          <w:lang w:val="en-US"/>
        </w:rPr>
        <w:t xml:space="preserve"> Klunzinger's mullet (</w:t>
      </w:r>
      <w:r w:rsidR="006B1B78" w:rsidRPr="1624CE57">
        <w:rPr>
          <w:rFonts w:ascii="Times New Roman" w:eastAsia="Times New Roman" w:hAnsi="Times New Roman" w:cs="Times New Roman"/>
          <w:i/>
          <w:iCs/>
          <w:lang w:val="en-US"/>
        </w:rPr>
        <w:t>Liza klunzingeri</w:t>
      </w:r>
      <w:r w:rsidR="006B1B78" w:rsidRPr="1624CE57">
        <w:rPr>
          <w:rFonts w:ascii="Times New Roman" w:eastAsia="Times New Roman" w:hAnsi="Times New Roman" w:cs="Times New Roman"/>
          <w:lang w:val="en-US"/>
        </w:rPr>
        <w:t>)</w:t>
      </w:r>
      <w:r w:rsidR="00DA27D3" w:rsidRPr="1624CE57">
        <w:rPr>
          <w:rFonts w:ascii="Times New Roman" w:eastAsia="Times New Roman" w:hAnsi="Times New Roman" w:cs="Times New Roman"/>
          <w:lang w:val="en-US"/>
        </w:rPr>
        <w:t xml:space="preserve"> triggers a significant oxidative stress response; CAT activity is regulated in </w:t>
      </w:r>
      <w:r w:rsidR="008B7AB9" w:rsidRPr="5E084888">
        <w:rPr>
          <w:rFonts w:ascii="Times New Roman" w:eastAsia="Times New Roman" w:hAnsi="Times New Roman" w:cs="Times New Roman"/>
          <w:lang w:val="en-US"/>
        </w:rPr>
        <w:t>a</w:t>
      </w:r>
      <w:r w:rsidR="002E0211" w:rsidRPr="1624CE57">
        <w:rPr>
          <w:rFonts w:ascii="Times New Roman" w:eastAsia="Times New Roman" w:hAnsi="Times New Roman" w:cs="Times New Roman"/>
          <w:lang w:val="en-US"/>
        </w:rPr>
        <w:t xml:space="preserve"> time</w:t>
      </w:r>
      <w:r w:rsidR="00C828BC" w:rsidRPr="1624CE57">
        <w:rPr>
          <w:rFonts w:ascii="Times New Roman" w:eastAsia="Times New Roman" w:hAnsi="Times New Roman" w:cs="Times New Roman"/>
          <w:lang w:val="en-US"/>
        </w:rPr>
        <w:t>-</w:t>
      </w:r>
      <w:r w:rsidR="002E0211" w:rsidRPr="1624CE57">
        <w:rPr>
          <w:rFonts w:ascii="Times New Roman" w:eastAsia="Times New Roman" w:hAnsi="Times New Roman" w:cs="Times New Roman"/>
          <w:lang w:val="en-US"/>
        </w:rPr>
        <w:t xml:space="preserve"> </w:t>
      </w:r>
      <w:r w:rsidR="002E0211" w:rsidRPr="1624CE57">
        <w:rPr>
          <w:rFonts w:ascii="Times New Roman" w:eastAsia="Times New Roman" w:hAnsi="Times New Roman" w:cs="Times New Roman"/>
          <w:lang w:val="en-US"/>
        </w:rPr>
        <w:lastRenderedPageBreak/>
        <w:t xml:space="preserve">and </w:t>
      </w:r>
      <w:r w:rsidR="00C828BC" w:rsidRPr="1624CE57">
        <w:rPr>
          <w:rFonts w:ascii="Times New Roman" w:eastAsia="Times New Roman" w:hAnsi="Times New Roman" w:cs="Times New Roman"/>
          <w:lang w:val="en-US"/>
        </w:rPr>
        <w:t>dose-dependent</w:t>
      </w:r>
      <w:r w:rsidR="002E0211" w:rsidRPr="1624CE57">
        <w:rPr>
          <w:rFonts w:ascii="Times New Roman" w:eastAsia="Times New Roman" w:hAnsi="Times New Roman" w:cs="Times New Roman"/>
          <w:lang w:val="en-US"/>
        </w:rPr>
        <w:t xml:space="preserve"> </w:t>
      </w:r>
      <w:r w:rsidR="00C828BC" w:rsidRPr="6B41701C">
        <w:rPr>
          <w:rFonts w:ascii="Times New Roman" w:eastAsia="Times New Roman" w:hAnsi="Times New Roman" w:cs="Times New Roman"/>
          <w:lang w:val="en-US"/>
        </w:rPr>
        <w:t>manner</w:t>
      </w:r>
      <w:r w:rsidR="00415513" w:rsidRPr="1624CE57">
        <w:rPr>
          <w:rFonts w:ascii="Times New Roman" w:eastAsia="Times New Roman" w:hAnsi="Times New Roman" w:cs="Times New Roman"/>
          <w:lang w:val="en-US"/>
        </w:rPr>
        <w:t>,</w:t>
      </w:r>
      <w:r w:rsidR="002E0211" w:rsidRPr="1624CE57">
        <w:rPr>
          <w:rFonts w:ascii="Times New Roman" w:eastAsia="Times New Roman" w:hAnsi="Times New Roman" w:cs="Times New Roman"/>
          <w:lang w:val="en-US"/>
        </w:rPr>
        <w:t xml:space="preserve"> and SOD </w:t>
      </w:r>
      <w:r w:rsidR="008B7AB9" w:rsidRPr="1624CE57">
        <w:rPr>
          <w:rFonts w:ascii="Times New Roman" w:eastAsia="Times New Roman" w:hAnsi="Times New Roman" w:cs="Times New Roman"/>
          <w:lang w:val="en-US"/>
        </w:rPr>
        <w:t xml:space="preserve">activity </w:t>
      </w:r>
      <w:r w:rsidR="00C828BC" w:rsidRPr="1624CE57">
        <w:rPr>
          <w:rFonts w:ascii="Times New Roman" w:eastAsia="Times New Roman" w:hAnsi="Times New Roman" w:cs="Times New Roman"/>
          <w:lang w:val="en-US"/>
        </w:rPr>
        <w:t>is</w:t>
      </w:r>
      <w:r w:rsidR="00415513" w:rsidRPr="1624CE57">
        <w:rPr>
          <w:rFonts w:ascii="Times New Roman" w:eastAsia="Times New Roman" w:hAnsi="Times New Roman" w:cs="Times New Roman"/>
          <w:lang w:val="en-US"/>
        </w:rPr>
        <w:t xml:space="preserve"> </w:t>
      </w:r>
      <w:r w:rsidR="002E0211" w:rsidRPr="1624CE57">
        <w:rPr>
          <w:rFonts w:ascii="Times New Roman" w:eastAsia="Times New Roman" w:hAnsi="Times New Roman" w:cs="Times New Roman"/>
          <w:lang w:val="en-US"/>
        </w:rPr>
        <w:t xml:space="preserve">regulated only in </w:t>
      </w:r>
      <w:r w:rsidR="00415513" w:rsidRPr="1624CE57">
        <w:rPr>
          <w:rFonts w:ascii="Times New Roman" w:eastAsia="Times New Roman" w:hAnsi="Times New Roman" w:cs="Times New Roman"/>
          <w:lang w:val="en-US"/>
        </w:rPr>
        <w:t xml:space="preserve">a </w:t>
      </w:r>
      <w:r w:rsidR="00C828BC" w:rsidRPr="1624CE57">
        <w:rPr>
          <w:rFonts w:ascii="Times New Roman" w:eastAsia="Times New Roman" w:hAnsi="Times New Roman" w:cs="Times New Roman"/>
          <w:lang w:val="en-US"/>
        </w:rPr>
        <w:t>time-dependent</w:t>
      </w:r>
      <w:r w:rsidR="002E0211" w:rsidRPr="1624CE57">
        <w:rPr>
          <w:rFonts w:ascii="Times New Roman" w:eastAsia="Times New Roman" w:hAnsi="Times New Roman" w:cs="Times New Roman"/>
          <w:lang w:val="en-US"/>
        </w:rPr>
        <w:t xml:space="preserve"> manner</w:t>
      </w:r>
      <w:r w:rsidR="00415513" w:rsidRPr="1624CE57">
        <w:rPr>
          <w:rFonts w:ascii="Times New Roman" w:eastAsia="Times New Roman" w:hAnsi="Times New Roman" w:cs="Times New Roman"/>
          <w:lang w:val="en-US"/>
        </w:rPr>
        <w:t>,</w:t>
      </w:r>
      <w:r w:rsidR="002E0211" w:rsidRPr="1624CE57">
        <w:rPr>
          <w:rFonts w:ascii="Times New Roman" w:eastAsia="Times New Roman" w:hAnsi="Times New Roman" w:cs="Times New Roman"/>
          <w:lang w:val="en-US"/>
        </w:rPr>
        <w:t xml:space="preserve"> leading to liver damage</w:t>
      </w:r>
      <w:r w:rsidR="00415513" w:rsidRPr="1624CE57">
        <w:rPr>
          <w:rFonts w:ascii="Times New Roman" w:eastAsia="Times New Roman" w:hAnsi="Times New Roman" w:cs="Times New Roman"/>
          <w:lang w:val="en-US"/>
        </w:rPr>
        <w:t xml:space="preserve"> by an increase in hepatic enzyme</w:t>
      </w:r>
      <w:r w:rsidR="00E22884" w:rsidRPr="1624CE57">
        <w:rPr>
          <w:rFonts w:ascii="Times New Roman" w:eastAsia="Times New Roman" w:hAnsi="Times New Roman" w:cs="Times New Roman"/>
          <w:lang w:val="en-US"/>
        </w:rPr>
        <w:t xml:space="preserve"> activity</w:t>
      </w:r>
      <w:r w:rsidR="00841711">
        <w:rPr>
          <w:rFonts w:ascii="Times New Roman" w:eastAsia="Times New Roman" w:hAnsi="Times New Roman" w:cs="Times New Roman"/>
          <w:lang w:val="en-US"/>
        </w:rPr>
        <w:t xml:space="preserve"> </w:t>
      </w:r>
      <w:r w:rsidR="00841711" w:rsidRPr="00841711">
        <w:rPr>
          <w:rFonts w:ascii="Times New Roman" w:eastAsia="Times New Roman" w:hAnsi="Times New Roman" w:cs="Times New Roman"/>
          <w:highlight w:val="yellow"/>
          <w:lang w:val="en-US"/>
        </w:rPr>
        <w:t>such as alkaline phosphatase (ALP), alanine transferase (ALT), and aspartate aminotransferase (AST)</w:t>
      </w:r>
      <w:r w:rsidR="00697CD4" w:rsidRPr="1624CE57">
        <w:rPr>
          <w:rFonts w:ascii="Times New Roman" w:eastAsia="Times New Roman" w:hAnsi="Times New Roman" w:cs="Times New Roman"/>
          <w:lang w:val="en-US"/>
        </w:rPr>
        <w:t xml:space="preserve"> </w:t>
      </w:r>
      <w:r w:rsidRPr="1624CE57">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{"citationID":"E8RnopCP","properties":{"formattedCitation":"(Soltani et al. 2019)","plainCitation":"(Soltani et al. 2019)","noteIndex":0},"citationItems":[{"id":"r9E9mN5c/goQck2qB","uris":["http://zotero.org/users/14468226/items/UU6UWX4P"],"itemData":{"id":6594,"type":"article-journal","abstract":"Benzo[a]pyrene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Pr="1624CE57">
        <w:rPr>
          <w:rFonts w:ascii="Times New Roman" w:eastAsia="Times New Roman" w:hAnsi="Times New Roman" w:cs="Times New Roman"/>
          <w:lang w:val="en-US"/>
        </w:rPr>
        <w:fldChar w:fldCharType="separate"/>
      </w:r>
      <w:r w:rsidR="00E5454F">
        <w:rPr>
          <w:rFonts w:ascii="Times New Roman" w:hAnsi="Times New Roman" w:cs="Times New Roman"/>
        </w:rPr>
        <w:t>(Soltani et al. 2019)</w:t>
      </w:r>
      <w:r w:rsidRPr="1624CE57">
        <w:rPr>
          <w:rFonts w:ascii="Times New Roman" w:eastAsia="Times New Roman" w:hAnsi="Times New Roman" w:cs="Times New Roman"/>
          <w:lang w:val="en-US"/>
        </w:rPr>
        <w:fldChar w:fldCharType="end"/>
      </w:r>
      <w:r w:rsidR="00697CD4" w:rsidRPr="1624CE57">
        <w:rPr>
          <w:rFonts w:ascii="Times New Roman" w:eastAsia="Times New Roman" w:hAnsi="Times New Roman" w:cs="Times New Roman"/>
          <w:lang w:val="en-US"/>
        </w:rPr>
        <w:t>.</w:t>
      </w:r>
    </w:p>
    <w:p w14:paraId="0830B06F" w14:textId="382E1094" w:rsidR="00826180" w:rsidRDefault="00DA27D3" w:rsidP="2D8CF45F">
      <w:pPr>
        <w:spacing w:line="480" w:lineRule="auto"/>
        <w:jc w:val="both"/>
        <w:rPr>
          <w:rFonts w:ascii="Times New Roman" w:eastAsia="Times New Roman" w:hAnsi="Times New Roman" w:cs="Times New Roman"/>
          <w:b/>
          <w:bCs/>
          <w:lang w:val="en-US"/>
        </w:rPr>
      </w:pPr>
      <w:r w:rsidRPr="201D2205">
        <w:rPr>
          <w:rFonts w:ascii="Times New Roman" w:eastAsia="Times New Roman" w:hAnsi="Times New Roman" w:cs="Times New Roman"/>
          <w:lang w:val="en-US"/>
        </w:rPr>
        <w:t>The</w:t>
      </w:r>
      <w:r w:rsidR="74267F98" w:rsidRPr="201D2205">
        <w:rPr>
          <w:rFonts w:ascii="Times New Roman" w:eastAsia="Times New Roman" w:hAnsi="Times New Roman" w:cs="Times New Roman"/>
          <w:lang w:val="en-US"/>
        </w:rPr>
        <w:t xml:space="preserve"> g</w:t>
      </w:r>
      <w:r w:rsidR="3D98A4E6" w:rsidRPr="201D2205">
        <w:rPr>
          <w:rFonts w:ascii="Times New Roman" w:eastAsia="Times New Roman" w:hAnsi="Times New Roman" w:cs="Times New Roman"/>
          <w:lang w:val="en-US"/>
        </w:rPr>
        <w:t>ills</w:t>
      </w:r>
      <w:r w:rsidR="00FC14F4" w:rsidRPr="201D2205">
        <w:rPr>
          <w:rFonts w:ascii="Times New Roman" w:eastAsia="Times New Roman" w:hAnsi="Times New Roman" w:cs="Times New Roman"/>
          <w:lang w:val="en-US"/>
        </w:rPr>
        <w:t>,</w:t>
      </w:r>
      <w:r w:rsidR="3D98A4E6" w:rsidRPr="201D2205">
        <w:rPr>
          <w:rFonts w:ascii="Times New Roman" w:eastAsia="Times New Roman" w:hAnsi="Times New Roman" w:cs="Times New Roman"/>
          <w:lang w:val="en-US"/>
        </w:rPr>
        <w:t xml:space="preserve"> </w:t>
      </w:r>
      <w:r w:rsidR="00E16FCB" w:rsidRPr="201D2205">
        <w:rPr>
          <w:rFonts w:ascii="Times New Roman" w:eastAsia="Times New Roman" w:hAnsi="Times New Roman" w:cs="Times New Roman"/>
          <w:lang w:val="en-US"/>
        </w:rPr>
        <w:t>which function as the primary interface with the aquatic environment, respond rapidly through fluctuations in biomarkers</w:t>
      </w:r>
      <w:r w:rsidR="3D98A4E6" w:rsidRPr="201D2205">
        <w:rPr>
          <w:rFonts w:ascii="Times New Roman" w:eastAsia="Times New Roman" w:hAnsi="Times New Roman" w:cs="Times New Roman"/>
          <w:lang w:val="en-US"/>
        </w:rPr>
        <w:t xml:space="preserve">, including metallothionein induction, altered antioxidant enzyme activity, and structural damage </w:t>
      </w:r>
      <w:r w:rsidR="3D98A4E6" w:rsidRPr="6B41701C">
        <w:rPr>
          <w:rFonts w:ascii="Times New Roman" w:eastAsia="Times New Roman" w:hAnsi="Times New Roman" w:cs="Times New Roman"/>
          <w:lang w:val="en-US"/>
        </w:rPr>
        <w:t>to</w:t>
      </w:r>
      <w:r w:rsidR="00A00819">
        <w:rPr>
          <w:rFonts w:ascii="Times New Roman" w:eastAsia="Times New Roman" w:hAnsi="Times New Roman" w:cs="Times New Roman"/>
          <w:lang w:val="en-US"/>
        </w:rPr>
        <w:t xml:space="preserve"> </w:t>
      </w:r>
      <w:r w:rsidR="3D98A4E6" w:rsidRPr="6B41701C">
        <w:rPr>
          <w:rFonts w:ascii="Times New Roman" w:eastAsia="Times New Roman" w:hAnsi="Times New Roman" w:cs="Times New Roman"/>
          <w:lang w:val="en-US"/>
        </w:rPr>
        <w:t>respiratory</w:t>
      </w:r>
      <w:r w:rsidR="3D98A4E6" w:rsidRPr="201D2205">
        <w:rPr>
          <w:rFonts w:ascii="Times New Roman" w:eastAsia="Times New Roman" w:hAnsi="Times New Roman" w:cs="Times New Roman"/>
          <w:lang w:val="en-US"/>
        </w:rPr>
        <w:t xml:space="preserve"> lamellae </w:t>
      </w:r>
      <w:r w:rsidRPr="201D2205">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{"citationID":"3oIlzofh","properties":{"formattedCitation":"(Rehman et al. 2021, Mohamed et al. 2023)","plainCitation":"(Rehman et al. 2021, Mohamed et al. 2023)","noteIndex":0},"citationItems":[{"id":"r9E9mN5c/GNA3ZyeX","uris":["http://zotero.org/users/14468226/items/NRMNI8CA"],"itemData":{"id":6667,"type":"article-journal","abstract":"Clarias gariepinus is one of the widespread culturable freshwater fish species in Africa, which is prevalent in various natural...","container-title":"Hellenic Plant Protection Journal","DOI":"10.2478/hppj-2023-0009","issue":"2","language":"en","page":"67-78","source":"sciendo.com","title":"Behavioral and histopathological changes of Clarias gariepinus as a predatory fish against Culex pipiens larvae following exposure to sublethal concentration of quinclorac and bensulfuron-methyl based herbicide","volume":"16","author":[{"family":"Mohamed","given":"I. A."},{"family":"Fathy","given":"M."},{"family":"Farghal","given":"A. I. A."},{"family":"Temerak","given":"S. a. H."},{"family":"Abd El-Ghaffar","given":"S. Kh"},{"family":"Idriss","given":"S. K. A."}],"issued":{"date-parts":[["2023",7,16]]}}},{"id":"r9E9mN5c/wi6qFNCV","uris":["http://zotero.org/users/14468226/items/CHQK43J8"],"itemData":{"id":6083,"type":"article-journal","abstract":"Expansion in technology, development in industries and extensive applications of synthetic chemical have become major regulatory issues toward the public health, wildlife and aquatic ecosystems. Therefore, the monitoring and investigation of environmental contaminants in order to mitigate the adverse impacts is crucial to safe the public health and aquatic wildlife. The present study describes the deleterious effects of heavy metals at low levels in fresh water fish. A total of 120 fish of same age and body mass were arbitrarily distributed and allocated into eight groups (A-H). Group A was run parallel to other groups and maintained as control group. Collected data was analyzed by using Tukey’s Test. Results indicated various clinical ailments including erratic swimming and jerking movement. Microscopic observation of gills, liver and brain tissues showed different histopathological changes in fish exposed to various heavy metals. The antioxidant enzymes activities were increased or decreased in a concentration and enzyme dependent manner. Exposure of treatments showed significant increase in peroxidase and glutathione-s-transferase but decreased catalase and superoxide dismutase activity at higher exposure to heavy metals. Regarding overall toxicity, nickel was least sensitive towards the fish, but tertiary metal mixture was more toxic to fish (Oreochromis niloticus)&amp;nbsp;followed by binary mixture. In conclusion, results of our study suggested that the exposure to different heavy metals even at low concentrations poses serious concern towards their potential danger to the survival and growth of fish and induces deleterious effects in gills, brain and liver tissues.","container-title":"Asian Journal of Agriculture and Biology","ISSN":"2307-8553","issue":"01","language":"en","note":"number: 01","source":"asianjab.com","title":"Exposure to heavy metals causes histopathological changes and alters antioxidant enzymes in fresh water fish (Oreochromis niloticus)","URL":"https://asianjab.com/journal/index.php/ajab/article/view/233","volume":"2021","author":[{"family":"Rehman","given":"Tuba"},{"family":"Naz","given":"Saima"},{"family":"Hussain","given":"Riaz"},{"family":"Chatha","given":"Ahmad Manan Mustafa"},{"family":"Ahmad","given":"Fayyaz"},{"family":"Yamin","given":"Asma"},{"family":"Akram","given":"Rabia"},{"family":"Naz","given":"Huma"},{"family":"Shaheen","given":"Ansar"}],"accessed":{"date-parts":[["2025",7,30]]},"issued":{"date-parts":[["2021",3,31]]}}}],"schema":"https://github.com/citation-style-language/schema/raw/master/csl-citation.json"} </w:instrText>
      </w:r>
      <w:r w:rsidRPr="201D2205">
        <w:rPr>
          <w:rFonts w:ascii="Times New Roman" w:eastAsia="Times New Roman" w:hAnsi="Times New Roman" w:cs="Times New Roman"/>
          <w:lang w:val="en-US"/>
        </w:rPr>
        <w:fldChar w:fldCharType="separate"/>
      </w:r>
      <w:r w:rsidR="00E5454F">
        <w:rPr>
          <w:rFonts w:ascii="Times New Roman" w:hAnsi="Times New Roman" w:cs="Times New Roman"/>
        </w:rPr>
        <w:t>(Rehman et al. 2021, Mohamed et al. 2023)</w:t>
      </w:r>
      <w:r w:rsidRPr="201D2205">
        <w:rPr>
          <w:rFonts w:ascii="Times New Roman" w:eastAsia="Times New Roman" w:hAnsi="Times New Roman" w:cs="Times New Roman"/>
          <w:lang w:val="en-US"/>
        </w:rPr>
        <w:fldChar w:fldCharType="end"/>
      </w:r>
      <w:r w:rsidR="00122A62" w:rsidRPr="201D2205">
        <w:rPr>
          <w:rFonts w:ascii="Times New Roman" w:eastAsia="Times New Roman" w:hAnsi="Times New Roman" w:cs="Times New Roman"/>
          <w:lang w:val="en-US"/>
        </w:rPr>
        <w:t xml:space="preserve">. </w:t>
      </w:r>
      <w:r w:rsidRPr="201D2205">
        <w:rPr>
          <w:rFonts w:ascii="Times New Roman" w:eastAsia="Times New Roman" w:hAnsi="Times New Roman" w:cs="Times New Roman"/>
          <w:lang w:val="en-US"/>
        </w:rPr>
        <w:t>Kidney</w:t>
      </w:r>
      <w:r w:rsidR="3D98A4E6" w:rsidRPr="201D2205">
        <w:rPr>
          <w:rFonts w:ascii="Times New Roman" w:eastAsia="Times New Roman" w:hAnsi="Times New Roman" w:cs="Times New Roman"/>
          <w:lang w:val="en-US"/>
        </w:rPr>
        <w:t xml:space="preserve"> tissues, which are critical for osmoregulation and excretion, show oxidative stress responses, enzymatic alterations, and glomerular or tubular damage, with renal dysfunction posing </w:t>
      </w:r>
      <w:r w:rsidRPr="201D2205">
        <w:rPr>
          <w:rFonts w:ascii="Times New Roman" w:eastAsia="Times New Roman" w:hAnsi="Times New Roman" w:cs="Times New Roman"/>
          <w:lang w:val="en-US"/>
        </w:rPr>
        <w:t xml:space="preserve">a </w:t>
      </w:r>
      <w:r w:rsidR="3D98A4E6" w:rsidRPr="201D2205">
        <w:rPr>
          <w:rFonts w:ascii="Times New Roman" w:eastAsia="Times New Roman" w:hAnsi="Times New Roman" w:cs="Times New Roman"/>
          <w:lang w:val="en-US"/>
        </w:rPr>
        <w:t xml:space="preserve">significant </w:t>
      </w:r>
      <w:r w:rsidRPr="201D2205">
        <w:rPr>
          <w:rFonts w:ascii="Times New Roman" w:eastAsia="Times New Roman" w:hAnsi="Times New Roman" w:cs="Times New Roman"/>
          <w:lang w:val="en-US"/>
        </w:rPr>
        <w:t>threat</w:t>
      </w:r>
      <w:r w:rsidR="3D98A4E6" w:rsidRPr="201D2205">
        <w:rPr>
          <w:rFonts w:ascii="Times New Roman" w:eastAsia="Times New Roman" w:hAnsi="Times New Roman" w:cs="Times New Roman"/>
          <w:lang w:val="en-US"/>
        </w:rPr>
        <w:t xml:space="preserve"> to fish survival in polluted habitats </w:t>
      </w:r>
      <w:r w:rsidRPr="201D2205">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{"citationID":"I8id1Dad","properties":{"formattedCitation":"(Barangi et al. 2023, Pramanik &amp; Biswas 2024)","plainCitation":"(Barangi et al. 2023, Pramanik &amp; Biswas 2024)","noteIndex":0},"citationItems":[{"id":"r9E9mN5c/q4ujHsTk","uris":["http://zotero.org/users/14468226/items/FQF6L7RN"],"itemData":{"id":6656,"type":"article-journal","abstract":"Benzo(a)pyrene is a ubiquitous environmental contaminant, which could induce renal injury. It is reported that melatonin has a protective effect against multiple organ injuries by regulating oxidative stress, apoptosis, and autophagy. The aim of this study was to estimate the melatonin effects on benzo(a)pyrene renal toxicity in mice and the possible molecular mechanisms involved in this model. Thirty male mice were allocated to five groups and treated with benzo(a)pyrene (75 mg/kg, oral gavage) and/or melatonin (10 and 20 mg/kg, intraperitoneally). The oxidative stress factors were evaluated in renal tissue. The levels of apoptotic (the Bax/Bcl-2 ratio and caspase-3) and autophagic (the LC3 II/I, Beclin-1, and Sirt1) proteins were examined using Western blot. Following the administration of benzo(a)pyrene, malondialdehyde, caspase-3 and the Bax/Bcl-2 ratio increased in renal tissue, while Sirt1, Beclin-1, and the LC3 II/I ratio diminished. Interestingly, the co-administration of 20 mg/kg melatonin along with benzo(a)pyrene reduced the oxidative stress markers, apoptotic and autophagic proteins. Collectively, melatonin exhibited a protective effect against benzo(a)pyrene-induced renal injury through the suppression of oxidative stress and apoptosis and the inhibition of Sirt1/autophagy pathway.","container-title":"Toxicology and Industrial Health","DOI":"10.1177/07482337231166491","ISSN":"1477-0393","issue":"5","journalAbbreviation":"Toxicol Ind Health","language":"eng","note":"PMID: 37022282","page":"248-257","source":"PubMed","title":"The effect of melatonin on benzo(a)pyrene-induced renal toxicity in mice","volume":"39","author":[{"family":"Barangi","given":"Samira"},{"family":"Asadi","given":"Rouzchehr"},{"family":"Mehri","given":"Soghra"},{"family":"Karimi","given":"Gholamreza"}],"issued":{"date-parts":[["2023",5]]}}},{"id":"r9E9mN5c/n04IheIR","uris":["http://zotero.org/users/14468226/items/RZHTBMHA"],"itemData":{"id":6669,"type":"article-journal","abstract":"The current investigation examined histopathological and serum biochemical profiles to assess the interactive effects of river Saraswati’s impaired physicochemical regime and parasite infection by ectoparasites (Trichodina sp., Gyrodactylus sp.) and endoparasites (Eustrongylides sp.) on health of fish (Channa punctatus). This study aimed at assessing the synergistic effects of the degraded water quality and parasitization on fish health looking through the lens of histopathology and serum biochemistry. Low dissolved O2, high free CO2, biochemical oxygen demand (BOD), and chemical oxygen demand (COD) indicate deteriorating water quality due to organic loading. The histopathological investigations revealed distinctive histopathological changes in gill, liver, and kidney of the fish as “signature” impairments inflicted by chronic (co)exposure to pollution and/or parasitization. Stress enzymes and altered serum biochemistry furnish excellent indicators of fish health because of their correlation with pollution and parasitization. Destined in a vicious cycle, fish health becomes adversely affected by degrading water qualities and parasitic infection in solo or combo.","container-title":"iScience","DOI":"10.1016/j.isci.2024.111432","ISSN":"2589-0042","issue":"12","journalAbbreviation":"iScience","page":"111432","source":"ScienceDirect","title":"Histopathological fingerprints and biochemical changes as multi-stress biomarkers in fish confronting concurrent pollution and parasitization","volume":"27","author":[{"family":"Pramanik","given":"Sasanka"},{"family":"Biswas","given":"Jayanta Kumar"}],"issued":{"date-parts":[["2024",12,20]]}}}],"schema":"https://github.com/citation-style-language/schema/raw/master/csl-citation.json"} </w:instrText>
      </w:r>
      <w:r w:rsidRPr="201D2205">
        <w:rPr>
          <w:rFonts w:ascii="Times New Roman" w:eastAsia="Times New Roman" w:hAnsi="Times New Roman" w:cs="Times New Roman"/>
          <w:lang w:val="en-US"/>
        </w:rPr>
        <w:fldChar w:fldCharType="separate"/>
      </w:r>
      <w:r w:rsidR="00E5454F">
        <w:rPr>
          <w:rFonts w:ascii="Times New Roman" w:hAnsi="Times New Roman" w:cs="Times New Roman"/>
        </w:rPr>
        <w:t>(Barangi et al. 2023, Pramanik &amp; Biswas 2024)</w:t>
      </w:r>
      <w:r w:rsidRPr="201D2205">
        <w:rPr>
          <w:rFonts w:ascii="Times New Roman" w:eastAsia="Times New Roman" w:hAnsi="Times New Roman" w:cs="Times New Roman"/>
          <w:lang w:val="en-US"/>
        </w:rPr>
        <w:fldChar w:fldCharType="end"/>
      </w:r>
      <w:r w:rsidR="00504FF2" w:rsidRPr="201D2205">
        <w:rPr>
          <w:rFonts w:ascii="Times New Roman" w:eastAsia="Times New Roman" w:hAnsi="Times New Roman" w:cs="Times New Roman"/>
          <w:lang w:val="en-US"/>
        </w:rPr>
        <w:t xml:space="preserve">. </w:t>
      </w:r>
      <w:r w:rsidR="2962F184" w:rsidRPr="201D2205">
        <w:rPr>
          <w:rFonts w:ascii="Times New Roman" w:eastAsia="Times New Roman" w:hAnsi="Times New Roman" w:cs="Times New Roman"/>
          <w:lang w:val="en-US"/>
        </w:rPr>
        <w:t>Generally</w:t>
      </w:r>
      <w:r w:rsidR="00C46A03" w:rsidRPr="201D2205">
        <w:rPr>
          <w:rFonts w:ascii="Times New Roman" w:eastAsia="Times New Roman" w:hAnsi="Times New Roman" w:cs="Times New Roman"/>
          <w:lang w:val="en-US"/>
        </w:rPr>
        <w:t xml:space="preserve">, the accumulation of </w:t>
      </w:r>
      <w:r w:rsidR="2962F184" w:rsidRPr="201D2205">
        <w:rPr>
          <w:rFonts w:ascii="Times New Roman" w:eastAsia="Times New Roman" w:hAnsi="Times New Roman" w:cs="Times New Roman"/>
          <w:lang w:val="en-US"/>
        </w:rPr>
        <w:t xml:space="preserve">lower contaminant concentrations </w:t>
      </w:r>
      <w:r w:rsidR="00B16B5C" w:rsidRPr="201D2205">
        <w:rPr>
          <w:rFonts w:ascii="Times New Roman" w:eastAsia="Times New Roman" w:hAnsi="Times New Roman" w:cs="Times New Roman"/>
          <w:lang w:val="en-US"/>
        </w:rPr>
        <w:t>in</w:t>
      </w:r>
      <w:r w:rsidR="148FE466" w:rsidRPr="201D2205">
        <w:rPr>
          <w:rFonts w:ascii="Times New Roman" w:eastAsia="Times New Roman" w:hAnsi="Times New Roman" w:cs="Times New Roman"/>
          <w:lang w:val="en-US"/>
        </w:rPr>
        <w:t xml:space="preserve"> m</w:t>
      </w:r>
      <w:r w:rsidR="3D98A4E6" w:rsidRPr="201D2205">
        <w:rPr>
          <w:rFonts w:ascii="Times New Roman" w:eastAsia="Times New Roman" w:hAnsi="Times New Roman" w:cs="Times New Roman"/>
          <w:lang w:val="en-US"/>
        </w:rPr>
        <w:t xml:space="preserve">uscle tissues </w:t>
      </w:r>
      <w:r w:rsidR="00B16B5C" w:rsidRPr="201D2205">
        <w:rPr>
          <w:rFonts w:ascii="Times New Roman" w:eastAsia="Times New Roman" w:hAnsi="Times New Roman" w:cs="Times New Roman"/>
          <w:lang w:val="en-US"/>
        </w:rPr>
        <w:t>is</w:t>
      </w:r>
      <w:r w:rsidR="3D98A4E6" w:rsidRPr="201D2205">
        <w:rPr>
          <w:rFonts w:ascii="Times New Roman" w:eastAsia="Times New Roman" w:hAnsi="Times New Roman" w:cs="Times New Roman"/>
          <w:lang w:val="en-US"/>
        </w:rPr>
        <w:t xml:space="preserve"> high</w:t>
      </w:r>
      <w:r w:rsidR="77CFC004" w:rsidRPr="201D2205">
        <w:rPr>
          <w:rFonts w:ascii="Times New Roman" w:eastAsia="Times New Roman" w:hAnsi="Times New Roman" w:cs="Times New Roman"/>
          <w:lang w:val="en-US"/>
        </w:rPr>
        <w:t>ly</w:t>
      </w:r>
      <w:r w:rsidR="3D98A4E6" w:rsidRPr="201D2205">
        <w:rPr>
          <w:rFonts w:ascii="Times New Roman" w:eastAsia="Times New Roman" w:hAnsi="Times New Roman" w:cs="Times New Roman"/>
          <w:lang w:val="en-US"/>
        </w:rPr>
        <w:t xml:space="preserve"> </w:t>
      </w:r>
      <w:r w:rsidR="00F51739" w:rsidRPr="201D2205">
        <w:rPr>
          <w:rFonts w:ascii="Times New Roman" w:eastAsia="Times New Roman" w:hAnsi="Times New Roman" w:cs="Times New Roman"/>
          <w:lang w:val="en-US"/>
        </w:rPr>
        <w:t>relevant</w:t>
      </w:r>
      <w:r w:rsidR="3D98A4E6" w:rsidRPr="201D2205">
        <w:rPr>
          <w:rFonts w:ascii="Times New Roman" w:eastAsia="Times New Roman" w:hAnsi="Times New Roman" w:cs="Times New Roman"/>
          <w:lang w:val="en-US"/>
        </w:rPr>
        <w:t xml:space="preserve"> for human health risk </w:t>
      </w:r>
      <w:r w:rsidR="00B8327A" w:rsidRPr="201D2205">
        <w:rPr>
          <w:rFonts w:ascii="Times New Roman" w:eastAsia="Times New Roman" w:hAnsi="Times New Roman" w:cs="Times New Roman"/>
          <w:lang w:val="en-US"/>
        </w:rPr>
        <w:t>assessments because</w:t>
      </w:r>
      <w:r w:rsidR="008D02E6" w:rsidRPr="201D2205">
        <w:rPr>
          <w:rFonts w:ascii="Times New Roman" w:eastAsia="Times New Roman" w:hAnsi="Times New Roman" w:cs="Times New Roman"/>
          <w:lang w:val="en-US"/>
        </w:rPr>
        <w:t xml:space="preserve"> of</w:t>
      </w:r>
      <w:r w:rsidR="3D98A4E6" w:rsidRPr="201D2205">
        <w:rPr>
          <w:rFonts w:ascii="Times New Roman" w:eastAsia="Times New Roman" w:hAnsi="Times New Roman" w:cs="Times New Roman"/>
          <w:lang w:val="en-US"/>
        </w:rPr>
        <w:t xml:space="preserve"> their role in fish consumption</w:t>
      </w:r>
      <w:r w:rsidR="00263B8D">
        <w:rPr>
          <w:rFonts w:ascii="Times New Roman" w:eastAsia="Times New Roman" w:hAnsi="Times New Roman" w:cs="Times New Roman"/>
          <w:lang w:val="en-US"/>
        </w:rPr>
        <w:t>,</w:t>
      </w:r>
      <w:r w:rsidR="3D98A4E6" w:rsidRPr="201D2205">
        <w:rPr>
          <w:rFonts w:ascii="Times New Roman" w:eastAsia="Times New Roman" w:hAnsi="Times New Roman" w:cs="Times New Roman"/>
          <w:lang w:val="en-US"/>
        </w:rPr>
        <w:t xml:space="preserve"> </w:t>
      </w:r>
      <w:r w:rsidR="00320F56" w:rsidRPr="6B41701C">
        <w:rPr>
          <w:rFonts w:ascii="Times New Roman" w:eastAsia="Times New Roman" w:hAnsi="Times New Roman" w:cs="Times New Roman"/>
          <w:lang w:val="en-US"/>
        </w:rPr>
        <w:t>which</w:t>
      </w:r>
      <w:r w:rsidR="3D98A4E6" w:rsidRPr="201D2205">
        <w:rPr>
          <w:rFonts w:ascii="Times New Roman" w:eastAsia="Times New Roman" w:hAnsi="Times New Roman" w:cs="Times New Roman"/>
          <w:lang w:val="en-US"/>
        </w:rPr>
        <w:t xml:space="preserve"> </w:t>
      </w:r>
      <w:r w:rsidR="00C46A03" w:rsidRPr="201D2205">
        <w:rPr>
          <w:rFonts w:ascii="Times New Roman" w:eastAsia="Times New Roman" w:hAnsi="Times New Roman" w:cs="Times New Roman"/>
          <w:lang w:val="en-US"/>
        </w:rPr>
        <w:t>favors</w:t>
      </w:r>
      <w:r w:rsidR="3D98A4E6" w:rsidRPr="201D2205">
        <w:rPr>
          <w:rFonts w:ascii="Times New Roman" w:eastAsia="Times New Roman" w:hAnsi="Times New Roman" w:cs="Times New Roman"/>
          <w:lang w:val="en-US"/>
        </w:rPr>
        <w:t xml:space="preserve"> the accumulation of parent compounds rather than metabolites, thereby providing an integrative measure of long-term environmental exposure </w:t>
      </w:r>
      <w:r w:rsidRPr="201D2205">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{"citationID":"uUgbQ20V","properties":{"formattedCitation":"(Lebepe et al. 2020, Aib et al. 2025)","plainCitation":"(Lebepe et al. 2020, Aib et al. 2025)","noteIndex":0},"citationItems":[{"id":"r9E9mN5c/b62oFjmj","uris":["http://zotero.org/users/14468226/items/KTXC3JUR"],"itemData":{"id":6746,"type":"article-journal","abstract":"Increasing pollution of aquatic ecosystems due to anthropogenic activities underscores the urgent need for effective water quality monitoring. This study evaluates the use of fish scales from chub (Squalius cephalus) and nase (Chondrostoma nasus) as non-invasive bioindicators of trace and macroelement pollution in the Maros/Mureș River. We conducted qualitative and quantitative elemental analyses using X-ray fluorescence (XRF) and inductively coupled plasma optical emission spectrometry (ICP-OES). Scanning electron microscopy (SEM) revealed distinct scale structures among the species studied. Concentrations of Ca, K, Mg, Na, P, S, Al, Ba, Cu, Cr, Fe, Mn, Sr, and Zn were measured by ICP-OES. Our findings indicate significant variability in elemental accumulation in fish scales, supporting their potential use as bioindicators of environmental pollution, with variability depending on the ecological characteristics of the species. This methodology offers promising applications for modern interdisciplinary monitoring programs.","container-title":"Biology","DOI":"10.3390/biology14040344","ISSN":"2079-7737","issue":"4","language":"en","license":"http://creativecommons.org/licenses/by/3.0/","note":"number: 4\npublisher: Multidisciplinary Digital Publishing Institute","page":"344","source":"www.mdpi.com","title":"Fish Scales as a Non-Invasive Method for Monitoring Trace and Macroelement Pollution","volume":"14","author":[{"family":"Aib","given":"Haithem"},{"family":"Czédli","given":"Herta"},{"family":"Baranyai","given":"Edina"},{"family":"Sajtos","given":"Zsófi"},{"family":"Döncző","given":"Boglárka"},{"family":"Parvez","given":"Md Sohel"},{"family":"Berta","given":"Csaba"},{"family":"Varga","given":"Zsolt"},{"family":"Benhizia","given":"Ramzi"},{"family":"Nyeste","given":"Krisztián"}],"issued":{"date-parts":[["2025",4]]}}},{"id":"r9E9mN5c/Sa0nds8c","uris":["http://zotero.org/users/14468226/items/2BA258BK"],"itemData":{"id":6743,"type":"article-journal","abstract":"The Loskop Dam in South Africa is the most contaminated waterbody in the Olifants River which is a transboundary river that flows into Mozambique. The present study measured selected metal concentrations in the muscle of Labeo rosae and Oreochromis mossambicus from Loskop Dam, and assessed the human health risks associated with consumption of these fish species. Trace metals were below detection level in the surface water whereas bottom sediment exhibited relatively higher concentrations. A significant seasonal variations (p &lt; 0.05) as well as inter-species difference (p &lt; 0.05) of metal concentrations were observed in the fish muscle. Selenium concentration showed to have increase over the recent few years. Concentrations exceeding permissible level for human consumption was recorded for As, Se and Sb in both species. Other metals which THQ &gt; 1 was Cr for L. rosae and Co for O. mossambicus. The current study shows that there could be some serious health and environmental implications for rural communities making use of Loskop Dam fish as food source. These findings add to knowledge in Africa, particularly South Africa, where other fish species have been identified as being potentially dangerous for human consumption in terms of Se, Sb, As, Co and Cr levels.","container-title":"Journal of Environmental Science and Health. Part A, Toxic/Hazardous Substances &amp; Environmental Engineering","DOI":"10.1080/10934529.2019.1704604","ISSN":"1532-4117","issue":"4","journalAbbreviation":"J Environ Sci Health A Tox Hazard Subst Environ Eng","language":"eng","note":"PMID: 31868083","page":"421-432","source":"PubMed","title":"Metal levels in two fish species from a waterbody impacted by metallurgic industries and acid mine drainage from coal mining in South Africa","volume":"55","author":[{"family":"Lebepe","given":"Jeffrey"},{"family":"Oberholster","given":"Paul J."},{"family":"Ncube","given":"Ignatious"},{"family":"Smit","given":"Willem"},{"family":"Luus-Powell","given":"Wilmien J."}],"issued":{"date-parts":[["2020"]]}}}],"schema":"https://github.com/citation-style-language/schema/raw/master/csl-citation.json"} </w:instrText>
      </w:r>
      <w:r w:rsidRPr="201D2205">
        <w:rPr>
          <w:rFonts w:ascii="Times New Roman" w:eastAsia="Times New Roman" w:hAnsi="Times New Roman" w:cs="Times New Roman"/>
          <w:lang w:val="en-US"/>
        </w:rPr>
        <w:fldChar w:fldCharType="separate"/>
      </w:r>
      <w:r w:rsidR="00E5454F">
        <w:rPr>
          <w:rFonts w:ascii="Times New Roman" w:hAnsi="Times New Roman" w:cs="Times New Roman"/>
        </w:rPr>
        <w:t>(Lebepe et al. 2020, Aib et al. 2025)</w:t>
      </w:r>
      <w:r w:rsidRPr="201D2205">
        <w:rPr>
          <w:rFonts w:ascii="Times New Roman" w:eastAsia="Times New Roman" w:hAnsi="Times New Roman" w:cs="Times New Roman"/>
          <w:lang w:val="en-US"/>
        </w:rPr>
        <w:fldChar w:fldCharType="end"/>
      </w:r>
      <w:r w:rsidR="000870B3" w:rsidRPr="201D2205">
        <w:rPr>
          <w:rFonts w:ascii="Times New Roman" w:eastAsia="Times New Roman" w:hAnsi="Times New Roman" w:cs="Times New Roman"/>
          <w:lang w:val="en-US"/>
        </w:rPr>
        <w:t xml:space="preserve">. </w:t>
      </w:r>
      <w:r w:rsidR="00062088" w:rsidRPr="201D2205">
        <w:rPr>
          <w:rFonts w:ascii="Times New Roman" w:eastAsia="Times New Roman" w:hAnsi="Times New Roman" w:cs="Times New Roman"/>
          <w:lang w:val="en-US"/>
        </w:rPr>
        <w:t>Overall</w:t>
      </w:r>
      <w:r w:rsidR="477A5AEA" w:rsidRPr="201D2205">
        <w:rPr>
          <w:rFonts w:ascii="Times New Roman" w:eastAsia="Times New Roman" w:hAnsi="Times New Roman" w:cs="Times New Roman"/>
          <w:lang w:val="en-US"/>
        </w:rPr>
        <w:t>, B</w:t>
      </w:r>
      <w:r w:rsidR="778F2BC8" w:rsidRPr="201D2205">
        <w:rPr>
          <w:rFonts w:ascii="Times New Roman" w:eastAsia="Times New Roman" w:hAnsi="Times New Roman" w:cs="Times New Roman"/>
          <w:lang w:val="en-US"/>
        </w:rPr>
        <w:t>[</w:t>
      </w:r>
      <w:r w:rsidR="477A5AEA" w:rsidRPr="0033252E">
        <w:rPr>
          <w:rFonts w:ascii="Times New Roman" w:eastAsia="Times New Roman" w:hAnsi="Times New Roman" w:cs="Times New Roman"/>
          <w:i/>
          <w:iCs/>
          <w:lang w:val="en-US"/>
        </w:rPr>
        <w:t>a</w:t>
      </w:r>
      <w:r w:rsidR="3EB9E8AC" w:rsidRPr="201D2205">
        <w:rPr>
          <w:rFonts w:ascii="Times New Roman" w:eastAsia="Times New Roman" w:hAnsi="Times New Roman" w:cs="Times New Roman"/>
          <w:lang w:val="en-US"/>
        </w:rPr>
        <w:t>]</w:t>
      </w:r>
      <w:r w:rsidR="477A5AEA" w:rsidRPr="201D2205">
        <w:rPr>
          <w:rFonts w:ascii="Times New Roman" w:eastAsia="Times New Roman" w:hAnsi="Times New Roman" w:cs="Times New Roman"/>
          <w:lang w:val="en-US"/>
        </w:rPr>
        <w:t xml:space="preserve">P exposure </w:t>
      </w:r>
      <w:r w:rsidR="477A5AEA" w:rsidRPr="30C44857">
        <w:rPr>
          <w:rFonts w:ascii="Times New Roman" w:eastAsia="Times New Roman" w:hAnsi="Times New Roman" w:cs="Times New Roman"/>
          <w:lang w:val="en-US"/>
        </w:rPr>
        <w:t>induce</w:t>
      </w:r>
      <w:r w:rsidR="00B3074A" w:rsidRPr="30C44857">
        <w:rPr>
          <w:rFonts w:ascii="Times New Roman" w:eastAsia="Times New Roman" w:hAnsi="Times New Roman" w:cs="Times New Roman"/>
          <w:lang w:val="en-US"/>
        </w:rPr>
        <w:t>d</w:t>
      </w:r>
      <w:r w:rsidR="477A5AEA" w:rsidRPr="201D2205">
        <w:rPr>
          <w:rFonts w:ascii="Times New Roman" w:eastAsia="Times New Roman" w:hAnsi="Times New Roman" w:cs="Times New Roman"/>
          <w:lang w:val="en-US"/>
        </w:rPr>
        <w:t xml:space="preserve"> CYP1A expression and EROD activity, leading to </w:t>
      </w:r>
      <w:r w:rsidR="00545F31" w:rsidRPr="201D2205">
        <w:rPr>
          <w:rFonts w:ascii="Times New Roman" w:eastAsia="Times New Roman" w:hAnsi="Times New Roman" w:cs="Times New Roman"/>
          <w:lang w:val="en-US"/>
        </w:rPr>
        <w:t>ROS</w:t>
      </w:r>
      <w:r w:rsidR="477A5AEA" w:rsidRPr="201D2205">
        <w:rPr>
          <w:rFonts w:ascii="Times New Roman" w:eastAsia="Times New Roman" w:hAnsi="Times New Roman" w:cs="Times New Roman"/>
          <w:lang w:val="en-US"/>
        </w:rPr>
        <w:t xml:space="preserve"> production, oxidative stress, and histopathological lesions</w:t>
      </w:r>
      <w:r w:rsidR="00042A52" w:rsidRPr="201D2205">
        <w:rPr>
          <w:rFonts w:ascii="Times New Roman" w:eastAsia="Times New Roman" w:hAnsi="Times New Roman" w:cs="Times New Roman"/>
          <w:lang w:val="en-US"/>
        </w:rPr>
        <w:t xml:space="preserve"> </w:t>
      </w:r>
      <w:r w:rsidRPr="201D2205">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{"citationID":"6hvQPbEs","properties":{"formattedCitation":"(Santos et al. 2018, Soltani et al. 2019, Kang et al. 2022)","plainCitation":"(Santos et al. 2018, Soltani et al. 2019, Kang et al. 2022)","noteIndex":0},"citationItems":[{"id":"r9E9mN5c/JENIcNdp","uris":["http://zotero.org/users/14468226/items/GI8RUWQJ"],"itemData":{"id":6609,"type":"article-journal","abstract":"Phenanthrene (PHE) is a typical compound biomagnified in the food chain which endangers human health and generally accumulates from marine life. It has been listed as one of the 16 priority PAHs evaluated in toxicology. In order to evaluate the changes of CYP1A GST mRNA expression and EROD GST enzyme activity in carp exposed to lower than safe concentrations of PHE. Long-term exposure of carp to PHE at lower than safe concentrations for up to 25 days. The mRNA expression level and cytochrome P450 (CYP1A/EROD (7-Ethoxylesorufin O-deethylase)) and glutathione S-transferase (GST) activity were measured in carp liver and brain tissue. The results showed that PHE stress induced low-concentration induction and high-concentration inhibition of CYP1A expression and EROD enzyme activity in the liver and brain of carp. In both two organs, GST enzyme activity was also induced. However, the expression of GST mRNA was first induced and then inhibited, after the 15th day. These results indicate that long-term exposure to PHE at lower than safe concentrations still poses a potential threat to carp's oxidase system and gene expression.","container-title":"International Journal of Environmental Research and Public Health","DOI":"10.3390/ijerph19042129","ISSN":"1660-4601","issue":"4","journalAbbreviation":"Int J Environ Res Public Health","language":"eng","note":"PMID: 35206316\nPMCID: PMC8872569","page":"2129","source":"PubMed","title":"Long-Term Exposure to Phenanthrene Induced Gene Expressions and Enzyme Activities of Cyprinus carpio below the Safe Concentration","volume":"19","author":[{"family":"Kang","given":"Xin"},{"family":"Li","given":"Dongpeng"},{"family":"Zhao","given":"Xiaoxiang"},{"family":"Lv","given":"Yanfeng"},{"family":"Chen","given":"Xi"},{"family":"Song","given":"Xinshan"},{"family":"Liu","given":"Xiangyu"},{"family":"Chen","given":"Chengrong"},{"family":"Cao","given":"Xin"}],"issued":{"date-parts":[["2022",2,14]]}}},{"id":"r9E9mN5c/NHqseIjS","uris":["http://zotero.org/users/14468226/items/5KVU6Z22"],"itemData":{"id":6948,"type":"article-journal","abstract":"The goal of this work was to design specific cyp1a primers for the fish Prochilodus lineatus to study the expression of this gene and its relation to the activity of biotransformation phase I enzyme (ethoxyresorufin O-deethylase - EROD) and genotoxic damage after 6 and 24 h of benzo(a)pyrene (B(a)P) intraperitoneal injection. In comparison to fish injected only with canola oil (vehicle), the expression of cyp1a and EROD activity both in the liver and gills were significantly higher after 6 and 24 h of B(a)P injection. A significant increase in DNA damage was detected in liver and blood cells after 6 h of B(a)P injection and in the gill cells after both times, probably caused by intermediate metabolites of B(a)P. Thus, the expression of cyp1a and its relationship with the corresponding enzyme activity is a potential biomarker for evaluation P. lineatus exposure to organic compounds.","container-title":"Environmental Toxicology and Pharmacology","DOI":"10.1016/j.etap.2018.05.008","ISSN":"1382-6689","journalAbbreviation":"Environmental Toxicology and Pharmacology","page":"30-37","source":"ScienceDirect","title":"Expression of &lt;i&gt;cyp1a&lt;/i&gt; induced by benzo(A)pyrene and related biochemical and genotoxic biomarkers in the neotropical freshwater fish &lt;i&gt;Prochilodus lineatus&lt;/i&gt;","volume":"61","author":[{"family":"Santos","given":"Caroline"},{"family":"Oliveira","given":"Marcelo Tempesta","non-dropping-particle":"de"},{"family":"Cólus","given":"Ilce Mara de Syllos"},{"family":"Sofia","given":"Silvia Helena"},{"family":"Martinez","given":"Claudia Bueno dos Reis"}],"issued":{"date-parts":[["2018",7,1]]}}},{"id":"r9E9mN5c/goQck2qB","uris":["http://zotero.org/users/14468226/items/UU6UWX4P"],"itemData":{"id":6594,"type":"article-journal","abstract":"Benzo[a]pyrene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Pr="201D2205">
        <w:rPr>
          <w:rFonts w:ascii="Times New Roman" w:eastAsia="Times New Roman" w:hAnsi="Times New Roman" w:cs="Times New Roman"/>
          <w:lang w:val="en-US"/>
        </w:rPr>
        <w:fldChar w:fldCharType="separate"/>
      </w:r>
      <w:r w:rsidR="00E5454F">
        <w:rPr>
          <w:rFonts w:ascii="Times New Roman" w:hAnsi="Times New Roman" w:cs="Times New Roman"/>
        </w:rPr>
        <w:t>(Santos et al. 2018, Soltani et al. 2019, Kang et al. 2022)</w:t>
      </w:r>
      <w:r w:rsidRPr="201D2205">
        <w:rPr>
          <w:rFonts w:ascii="Times New Roman" w:eastAsia="Times New Roman" w:hAnsi="Times New Roman" w:cs="Times New Roman"/>
          <w:lang w:val="en-US"/>
        </w:rPr>
        <w:fldChar w:fldCharType="end"/>
      </w:r>
      <w:r w:rsidR="0090381A" w:rsidRPr="201D2205">
        <w:rPr>
          <w:rFonts w:ascii="Times New Roman" w:eastAsia="Times New Roman" w:hAnsi="Times New Roman" w:cs="Times New Roman"/>
          <w:lang w:val="en-US"/>
        </w:rPr>
        <w:t xml:space="preserve">. </w:t>
      </w:r>
      <w:r w:rsidR="00CC28B9" w:rsidRPr="201D2205">
        <w:rPr>
          <w:rFonts w:ascii="Times New Roman" w:eastAsia="Times New Roman" w:hAnsi="Times New Roman" w:cs="Times New Roman"/>
          <w:lang w:val="en-US"/>
        </w:rPr>
        <w:t>Together, these species</w:t>
      </w:r>
      <w:r w:rsidR="00C46A03" w:rsidRPr="201D2205">
        <w:rPr>
          <w:rFonts w:ascii="Times New Roman" w:eastAsia="Times New Roman" w:hAnsi="Times New Roman" w:cs="Times New Roman"/>
          <w:lang w:val="en-US"/>
        </w:rPr>
        <w:t>-</w:t>
      </w:r>
      <w:r w:rsidR="00CC28B9" w:rsidRPr="201D2205">
        <w:rPr>
          <w:rFonts w:ascii="Times New Roman" w:eastAsia="Times New Roman" w:hAnsi="Times New Roman" w:cs="Times New Roman"/>
          <w:lang w:val="en-US"/>
        </w:rPr>
        <w:t xml:space="preserve"> and tissue-specific responses underscore the importance of adopting multi-biomarker and molecular approaches </w:t>
      </w:r>
      <w:r w:rsidR="00545F31" w:rsidRPr="201D2205">
        <w:rPr>
          <w:rFonts w:ascii="Times New Roman" w:eastAsia="Times New Roman" w:hAnsi="Times New Roman" w:cs="Times New Roman"/>
          <w:lang w:val="en-US"/>
        </w:rPr>
        <w:t>for</w:t>
      </w:r>
      <w:r w:rsidR="00C46A03" w:rsidRPr="201D2205">
        <w:rPr>
          <w:rFonts w:ascii="Times New Roman" w:eastAsia="Times New Roman" w:hAnsi="Times New Roman" w:cs="Times New Roman"/>
          <w:lang w:val="en-US"/>
        </w:rPr>
        <w:t xml:space="preserve"> </w:t>
      </w:r>
      <w:r w:rsidR="00CC28B9" w:rsidRPr="201D2205">
        <w:rPr>
          <w:rFonts w:ascii="Times New Roman" w:eastAsia="Times New Roman" w:hAnsi="Times New Roman" w:cs="Times New Roman"/>
          <w:lang w:val="en-US"/>
        </w:rPr>
        <w:t xml:space="preserve">ecotoxicological monitoring of </w:t>
      </w:r>
      <w:r w:rsidR="00C23D00" w:rsidRPr="201D2205">
        <w:rPr>
          <w:rFonts w:ascii="Times New Roman" w:eastAsia="Times New Roman" w:hAnsi="Times New Roman" w:cs="Times New Roman"/>
          <w:lang w:val="en-US"/>
        </w:rPr>
        <w:t xml:space="preserve">ecosystems impacted by </w:t>
      </w:r>
      <w:r w:rsidR="00CC28B9" w:rsidRPr="201D2205">
        <w:rPr>
          <w:rFonts w:ascii="Times New Roman" w:eastAsia="Times New Roman" w:hAnsi="Times New Roman" w:cs="Times New Roman"/>
          <w:lang w:val="en-US"/>
        </w:rPr>
        <w:t>coal mining</w:t>
      </w:r>
      <w:r w:rsidR="00CC28B9" w:rsidRPr="7115C17C">
        <w:rPr>
          <w:rFonts w:ascii="Times New Roman" w:eastAsia="Times New Roman" w:hAnsi="Times New Roman" w:cs="Times New Roman"/>
          <w:lang w:val="en-US"/>
        </w:rPr>
        <w:t>.</w:t>
      </w:r>
      <w:r w:rsidR="00CC28B9" w:rsidRPr="201D2205">
        <w:rPr>
          <w:rFonts w:ascii="Times New Roman" w:eastAsia="Times New Roman" w:hAnsi="Times New Roman" w:cs="Times New Roman"/>
          <w:lang w:val="en-US"/>
        </w:rPr>
        <w:t xml:space="preserve"> They highlight not only the mechanistic underpinnings of contaminant toxicity but also the practical value of sentinel species in providing </w:t>
      </w:r>
      <w:r w:rsidR="00C46A03" w:rsidRPr="201D2205">
        <w:rPr>
          <w:rFonts w:ascii="Times New Roman" w:eastAsia="Times New Roman" w:hAnsi="Times New Roman" w:cs="Times New Roman"/>
          <w:lang w:val="en-US"/>
        </w:rPr>
        <w:t>early warning</w:t>
      </w:r>
      <w:r w:rsidR="00CC28B9" w:rsidRPr="201D2205">
        <w:rPr>
          <w:rFonts w:ascii="Times New Roman" w:eastAsia="Times New Roman" w:hAnsi="Times New Roman" w:cs="Times New Roman"/>
          <w:lang w:val="en-US"/>
        </w:rPr>
        <w:t xml:space="preserve"> indicators of ecosystem health deterioration.</w:t>
      </w:r>
      <w:r w:rsidR="00E20884" w:rsidRPr="201D2205">
        <w:rPr>
          <w:rFonts w:ascii="Times New Roman" w:eastAsia="Times New Roman" w:hAnsi="Times New Roman" w:cs="Times New Roman"/>
          <w:lang w:val="en-US"/>
        </w:rPr>
        <w:t xml:space="preserve">  </w:t>
      </w:r>
      <w:bookmarkStart w:id="3" w:name="_Hlk209858353"/>
      <w:r w:rsidR="006A78B9" w:rsidRPr="201D2205">
        <w:rPr>
          <w:rFonts w:ascii="Times New Roman" w:eastAsia="Times New Roman" w:hAnsi="Times New Roman" w:cs="Times New Roman"/>
          <w:lang w:val="en-US"/>
        </w:rPr>
        <w:t xml:space="preserve">Extensive research has </w:t>
      </w:r>
      <w:r w:rsidR="001F718E" w:rsidRPr="201D2205">
        <w:rPr>
          <w:rFonts w:ascii="Times New Roman" w:eastAsia="Times New Roman" w:hAnsi="Times New Roman" w:cs="Times New Roman"/>
          <w:lang w:val="en-US"/>
        </w:rPr>
        <w:t>documented</w:t>
      </w:r>
      <w:r w:rsidR="006A78B9" w:rsidRPr="201D2205">
        <w:rPr>
          <w:rFonts w:ascii="Times New Roman" w:eastAsia="Times New Roman" w:hAnsi="Times New Roman" w:cs="Times New Roman"/>
          <w:lang w:val="en-US"/>
        </w:rPr>
        <w:t xml:space="preserve"> that exposure to B[</w:t>
      </w:r>
      <w:r w:rsidR="006A78B9" w:rsidRPr="201D2205">
        <w:rPr>
          <w:rFonts w:ascii="Times New Roman" w:eastAsia="Times New Roman" w:hAnsi="Times New Roman" w:cs="Times New Roman"/>
          <w:i/>
          <w:iCs/>
          <w:lang w:val="en-US"/>
        </w:rPr>
        <w:t>a</w:t>
      </w:r>
      <w:r w:rsidR="006A78B9" w:rsidRPr="201D2205">
        <w:rPr>
          <w:rFonts w:ascii="Times New Roman" w:eastAsia="Times New Roman" w:hAnsi="Times New Roman" w:cs="Times New Roman"/>
          <w:lang w:val="en-US"/>
        </w:rPr>
        <w:t xml:space="preserve">]P induces reactive oxygen species generation, disrupts cellular redox homeostasis, and </w:t>
      </w:r>
      <w:r w:rsidR="00586D0D" w:rsidRPr="201D2205">
        <w:rPr>
          <w:rFonts w:ascii="Times New Roman" w:eastAsia="Times New Roman" w:hAnsi="Times New Roman" w:cs="Times New Roman"/>
          <w:lang w:val="en-US"/>
        </w:rPr>
        <w:t>damages</w:t>
      </w:r>
      <w:r w:rsidR="006A78B9" w:rsidRPr="201D2205">
        <w:rPr>
          <w:rFonts w:ascii="Times New Roman" w:eastAsia="Times New Roman" w:hAnsi="Times New Roman" w:cs="Times New Roman"/>
          <w:lang w:val="en-US"/>
        </w:rPr>
        <w:t xml:space="preserve"> essential cellular components</w:t>
      </w:r>
      <w:r w:rsidR="001F718E" w:rsidRPr="201D2205">
        <w:rPr>
          <w:rFonts w:ascii="Times New Roman" w:eastAsia="Times New Roman" w:hAnsi="Times New Roman" w:cs="Times New Roman"/>
          <w:lang w:val="en-US"/>
        </w:rPr>
        <w:t xml:space="preserve"> </w:t>
      </w:r>
      <w:bookmarkEnd w:id="3"/>
      <w:r w:rsidR="001F718E" w:rsidRPr="201D2205">
        <w:rPr>
          <w:rFonts w:ascii="Times New Roman" w:eastAsia="Times New Roman" w:hAnsi="Times New Roman" w:cs="Times New Roman"/>
          <w:lang w:val="en-US"/>
        </w:rPr>
        <w:t>(</w:t>
      </w:r>
      <w:r w:rsidR="001F718E" w:rsidRPr="0F703D6B">
        <w:rPr>
          <w:rFonts w:ascii="Times New Roman" w:eastAsia="Times New Roman" w:hAnsi="Times New Roman" w:cs="Times New Roman"/>
          <w:b/>
          <w:lang w:val="en-US"/>
        </w:rPr>
        <w:t>Table 1</w:t>
      </w:r>
      <w:r w:rsidR="001F718E" w:rsidRPr="201D2205">
        <w:rPr>
          <w:rFonts w:ascii="Times New Roman" w:eastAsia="Times New Roman" w:hAnsi="Times New Roman" w:cs="Times New Roman"/>
          <w:lang w:val="en-US"/>
        </w:rPr>
        <w:t>)</w:t>
      </w:r>
      <w:r w:rsidR="00D679A0">
        <w:rPr>
          <w:rFonts w:ascii="Times New Roman" w:eastAsia="Times New Roman" w:hAnsi="Times New Roman" w:cs="Times New Roman"/>
          <w:b/>
          <w:bCs/>
          <w:lang w:val="en-US"/>
        </w:rPr>
        <w:t>.</w:t>
      </w:r>
    </w:p>
    <w:p w14:paraId="3A91B810" w14:textId="77777777" w:rsidR="00C1661B" w:rsidRDefault="00C1661B" w:rsidP="2D8CF45F">
      <w:pPr>
        <w:spacing w:line="480" w:lineRule="auto"/>
        <w:jc w:val="both"/>
        <w:rPr>
          <w:rFonts w:ascii="Times New Roman" w:eastAsia="Times New Roman" w:hAnsi="Times New Roman" w:cs="Times New Roman"/>
          <w:b/>
          <w:bCs/>
          <w:lang w:val="en-US"/>
        </w:rPr>
      </w:pPr>
    </w:p>
    <w:p w14:paraId="7A97DB2E" w14:textId="4DE3E33F" w:rsidR="00B777C4" w:rsidRPr="000A1EE6" w:rsidRDefault="7C7009CC" w:rsidP="2D8CF45F">
      <w:pPr>
        <w:spacing w:line="480" w:lineRule="auto"/>
        <w:jc w:val="both"/>
        <w:rPr>
          <w:rFonts w:ascii="Times New Roman" w:eastAsia="Times New Roman" w:hAnsi="Times New Roman" w:cs="Times New Roman"/>
          <w:lang w:val="en-US"/>
        </w:rPr>
      </w:pPr>
      <w:r w:rsidRPr="2D8CF45F">
        <w:rPr>
          <w:rFonts w:ascii="Times New Roman" w:eastAsia="Times New Roman" w:hAnsi="Times New Roman" w:cs="Times New Roman"/>
          <w:b/>
          <w:bCs/>
          <w:lang w:val="en-US"/>
        </w:rPr>
        <w:lastRenderedPageBreak/>
        <w:t xml:space="preserve">Table 1. </w:t>
      </w:r>
      <w:bookmarkStart w:id="4" w:name="OLE_LINK2"/>
      <w:r w:rsidR="00C1661B" w:rsidRPr="00C1661B">
        <w:rPr>
          <w:rFonts w:ascii="Times New Roman" w:eastAsia="Times New Roman" w:hAnsi="Times New Roman" w:cs="Times New Roman"/>
          <w:highlight w:val="yellow"/>
          <w:lang w:val="en-US"/>
        </w:rPr>
        <w:t>O</w:t>
      </w:r>
      <w:r w:rsidRPr="00C1661B">
        <w:rPr>
          <w:rFonts w:ascii="Times New Roman" w:eastAsia="Times New Roman" w:hAnsi="Times New Roman" w:cs="Times New Roman"/>
          <w:highlight w:val="yellow"/>
          <w:lang w:val="en-US"/>
        </w:rPr>
        <w:t>xidative stress</w:t>
      </w:r>
      <w:r w:rsidR="00C1661B" w:rsidRPr="00C1661B">
        <w:rPr>
          <w:rFonts w:ascii="Times New Roman" w:eastAsia="Times New Roman" w:hAnsi="Times New Roman" w:cs="Times New Roman"/>
          <w:highlight w:val="yellow"/>
          <w:lang w:val="en-US"/>
        </w:rPr>
        <w:t xml:space="preserve"> levels </w:t>
      </w:r>
      <w:r w:rsidRPr="00C1661B">
        <w:rPr>
          <w:rFonts w:ascii="Times New Roman" w:eastAsia="Times New Roman" w:hAnsi="Times New Roman" w:cs="Times New Roman"/>
          <w:highlight w:val="yellow"/>
          <w:lang w:val="en-US"/>
        </w:rPr>
        <w:t>and</w:t>
      </w:r>
      <w:r w:rsidR="00272EBB" w:rsidRPr="00C1661B">
        <w:rPr>
          <w:rFonts w:ascii="Times New Roman" w:eastAsia="Times New Roman" w:hAnsi="Times New Roman" w:cs="Times New Roman"/>
          <w:highlight w:val="yellow"/>
          <w:lang w:val="en-US"/>
        </w:rPr>
        <w:t xml:space="preserve"> </w:t>
      </w:r>
      <w:r w:rsidRPr="00C1661B">
        <w:rPr>
          <w:rFonts w:ascii="Times New Roman" w:eastAsia="Times New Roman" w:hAnsi="Times New Roman" w:cs="Times New Roman"/>
          <w:highlight w:val="yellow"/>
          <w:lang w:val="en-US"/>
        </w:rPr>
        <w:t xml:space="preserve">antioxidant enzyme responses </w:t>
      </w:r>
      <w:r w:rsidR="00586D0D" w:rsidRPr="00C1661B">
        <w:rPr>
          <w:rFonts w:ascii="Times New Roman" w:eastAsia="Times New Roman" w:hAnsi="Times New Roman" w:cs="Times New Roman"/>
          <w:highlight w:val="yellow"/>
          <w:lang w:val="en-US"/>
        </w:rPr>
        <w:t>in</w:t>
      </w:r>
      <w:r w:rsidRPr="00C1661B">
        <w:rPr>
          <w:rFonts w:ascii="Times New Roman" w:eastAsia="Times New Roman" w:hAnsi="Times New Roman" w:cs="Times New Roman"/>
          <w:highlight w:val="yellow"/>
          <w:lang w:val="en-US"/>
        </w:rPr>
        <w:t xml:space="preserve"> </w:t>
      </w:r>
      <w:r w:rsidR="00C1661B" w:rsidRPr="00C1661B">
        <w:rPr>
          <w:rFonts w:ascii="Times New Roman" w:eastAsia="Times New Roman" w:hAnsi="Times New Roman" w:cs="Times New Roman"/>
          <w:highlight w:val="yellow"/>
          <w:lang w:val="en-US"/>
        </w:rPr>
        <w:t xml:space="preserve">different </w:t>
      </w:r>
      <w:r w:rsidRPr="00C1661B">
        <w:rPr>
          <w:rFonts w:ascii="Times New Roman" w:eastAsia="Times New Roman" w:hAnsi="Times New Roman" w:cs="Times New Roman"/>
          <w:highlight w:val="yellow"/>
          <w:lang w:val="en-US"/>
        </w:rPr>
        <w:t xml:space="preserve">fish </w:t>
      </w:r>
      <w:r w:rsidR="00C1661B" w:rsidRPr="00C1661B">
        <w:rPr>
          <w:rFonts w:ascii="Times New Roman" w:eastAsia="Times New Roman" w:hAnsi="Times New Roman" w:cs="Times New Roman"/>
          <w:highlight w:val="yellow"/>
          <w:lang w:val="en-US"/>
        </w:rPr>
        <w:t xml:space="preserve">species </w:t>
      </w:r>
      <w:r w:rsidR="00BB03E1" w:rsidRPr="00C1661B">
        <w:rPr>
          <w:rFonts w:ascii="Times New Roman" w:eastAsia="Times New Roman" w:hAnsi="Times New Roman" w:cs="Times New Roman"/>
          <w:highlight w:val="yellow"/>
          <w:lang w:val="en-US"/>
        </w:rPr>
        <w:t xml:space="preserve">exposed to </w:t>
      </w:r>
      <w:r w:rsidR="00C1661B" w:rsidRPr="00C1661B">
        <w:rPr>
          <w:rFonts w:ascii="Times New Roman" w:eastAsia="Times New Roman" w:hAnsi="Times New Roman" w:cs="Times New Roman"/>
          <w:highlight w:val="yellow"/>
          <w:lang w:val="en-US"/>
        </w:rPr>
        <w:t>varying concentrations of B[</w:t>
      </w:r>
      <w:r w:rsidR="00C1661B" w:rsidRPr="00C1661B">
        <w:rPr>
          <w:rFonts w:ascii="Times New Roman" w:eastAsia="Times New Roman" w:hAnsi="Times New Roman" w:cs="Times New Roman"/>
          <w:i/>
          <w:highlight w:val="yellow"/>
          <w:lang w:val="en-US"/>
        </w:rPr>
        <w:t>a</w:t>
      </w:r>
      <w:r w:rsidR="00C1661B" w:rsidRPr="00C1661B">
        <w:rPr>
          <w:rFonts w:ascii="Times New Roman" w:eastAsia="Times New Roman" w:hAnsi="Times New Roman" w:cs="Times New Roman"/>
          <w:highlight w:val="yellow"/>
          <w:lang w:val="en-US"/>
        </w:rPr>
        <w:t>]P.</w:t>
      </w:r>
      <w:r w:rsidRPr="00C1661B">
        <w:rPr>
          <w:rFonts w:ascii="Times New Roman" w:eastAsia="Times New Roman" w:hAnsi="Times New Roman" w:cs="Times New Roman"/>
          <w:highlight w:val="yellow"/>
          <w:lang w:val="en-US"/>
        </w:rPr>
        <w:t xml:space="preserve"> </w:t>
      </w:r>
      <w:bookmarkEnd w:id="4"/>
    </w:p>
    <w:tbl>
      <w:tblPr>
        <w:tblStyle w:val="TableGrid"/>
        <w:tblW w:w="0" w:type="auto"/>
        <w:tblLook w:val="04A0" w:firstRow="1" w:lastRow="0" w:firstColumn="1" w:lastColumn="0" w:noHBand="0" w:noVBand="1"/>
      </w:tblPr>
      <w:tblGrid>
        <w:gridCol w:w="1980"/>
        <w:gridCol w:w="2528"/>
        <w:gridCol w:w="2957"/>
        <w:gridCol w:w="1551"/>
      </w:tblGrid>
      <w:tr w:rsidR="009C0CC0" w:rsidRPr="00D679A0" w14:paraId="2C7D3F64" w14:textId="77777777" w:rsidTr="00433211">
        <w:tc>
          <w:tcPr>
            <w:tcW w:w="1980" w:type="dxa"/>
          </w:tcPr>
          <w:p w14:paraId="26D22FB6" w14:textId="29EDD10E" w:rsidR="009C0CC0" w:rsidRPr="00407B28" w:rsidRDefault="009C0CC0" w:rsidP="000A1EE6">
            <w:pPr>
              <w:spacing w:line="480" w:lineRule="auto"/>
              <w:jc w:val="both"/>
              <w:rPr>
                <w:rFonts w:ascii="Times New Roman" w:eastAsia="Times New Roman" w:hAnsi="Times New Roman" w:cs="Times New Roman"/>
                <w:b/>
                <w:bCs/>
                <w:sz w:val="20"/>
                <w:szCs w:val="20"/>
                <w:lang w:val="en-US"/>
              </w:rPr>
            </w:pPr>
            <w:r w:rsidRPr="00407B28">
              <w:rPr>
                <w:rFonts w:ascii="Times New Roman" w:eastAsia="Times New Roman" w:hAnsi="Times New Roman" w:cs="Times New Roman"/>
                <w:b/>
                <w:bCs/>
                <w:sz w:val="20"/>
                <w:szCs w:val="20"/>
                <w:lang w:val="en-US"/>
              </w:rPr>
              <w:t xml:space="preserve"> </w:t>
            </w:r>
            <w:r w:rsidR="005032A9" w:rsidRPr="005032A9">
              <w:rPr>
                <w:rFonts w:ascii="Times New Roman" w:eastAsia="Times New Roman" w:hAnsi="Times New Roman" w:cs="Times New Roman"/>
                <w:b/>
                <w:bCs/>
                <w:sz w:val="20"/>
                <w:szCs w:val="20"/>
                <w:highlight w:val="yellow"/>
                <w:lang w:val="en-US"/>
              </w:rPr>
              <w:t>Fish Species</w:t>
            </w:r>
          </w:p>
        </w:tc>
        <w:tc>
          <w:tcPr>
            <w:tcW w:w="2528" w:type="dxa"/>
          </w:tcPr>
          <w:p w14:paraId="687D2B50" w14:textId="088A5A9B" w:rsidR="009C0CC0" w:rsidRPr="00407B28" w:rsidRDefault="47EE4892" w:rsidP="00826180">
            <w:pPr>
              <w:jc w:val="both"/>
              <w:rPr>
                <w:rFonts w:ascii="Times New Roman" w:eastAsia="Times New Roman" w:hAnsi="Times New Roman" w:cs="Times New Roman"/>
                <w:b/>
                <w:bCs/>
                <w:sz w:val="20"/>
                <w:szCs w:val="20"/>
                <w:lang w:val="en-US"/>
              </w:rPr>
            </w:pPr>
            <w:r w:rsidRPr="00407B28">
              <w:rPr>
                <w:rFonts w:ascii="Times New Roman" w:eastAsia="Times New Roman" w:hAnsi="Times New Roman" w:cs="Times New Roman"/>
                <w:b/>
                <w:bCs/>
                <w:sz w:val="20"/>
                <w:szCs w:val="20"/>
                <w:lang w:val="en-US"/>
              </w:rPr>
              <w:t xml:space="preserve">Experimental </w:t>
            </w:r>
            <w:r w:rsidR="00826180" w:rsidRPr="00407B28">
              <w:rPr>
                <w:rFonts w:ascii="Times New Roman" w:eastAsia="Times New Roman" w:hAnsi="Times New Roman" w:cs="Times New Roman"/>
                <w:b/>
                <w:bCs/>
                <w:sz w:val="20"/>
                <w:szCs w:val="20"/>
                <w:lang w:val="en-US"/>
              </w:rPr>
              <w:t>c</w:t>
            </w:r>
            <w:r w:rsidRPr="00407B28">
              <w:rPr>
                <w:rFonts w:ascii="Times New Roman" w:eastAsia="Times New Roman" w:hAnsi="Times New Roman" w:cs="Times New Roman"/>
                <w:b/>
                <w:bCs/>
                <w:sz w:val="20"/>
                <w:szCs w:val="20"/>
                <w:lang w:val="en-US"/>
              </w:rPr>
              <w:t>ondition</w:t>
            </w:r>
            <w:r w:rsidR="00826180" w:rsidRPr="00407B28">
              <w:rPr>
                <w:rFonts w:ascii="Times New Roman" w:eastAsia="Times New Roman" w:hAnsi="Times New Roman" w:cs="Times New Roman"/>
                <w:b/>
                <w:bCs/>
                <w:sz w:val="20"/>
                <w:szCs w:val="20"/>
                <w:lang w:val="en-US"/>
              </w:rPr>
              <w:t>s</w:t>
            </w:r>
            <w:r w:rsidRPr="00407B28">
              <w:rPr>
                <w:rFonts w:ascii="Times New Roman" w:eastAsia="Times New Roman" w:hAnsi="Times New Roman" w:cs="Times New Roman"/>
                <w:b/>
                <w:bCs/>
                <w:sz w:val="20"/>
                <w:szCs w:val="20"/>
                <w:lang w:val="en-US"/>
              </w:rPr>
              <w:t xml:space="preserve"> </w:t>
            </w:r>
          </w:p>
        </w:tc>
        <w:tc>
          <w:tcPr>
            <w:tcW w:w="2957" w:type="dxa"/>
          </w:tcPr>
          <w:p w14:paraId="55B35AC5" w14:textId="28A77889" w:rsidR="009C0CC0" w:rsidRPr="00407B28" w:rsidRDefault="00C10B53" w:rsidP="000A1EE6">
            <w:pPr>
              <w:spacing w:line="480" w:lineRule="auto"/>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 </w:t>
            </w:r>
            <w:r w:rsidRPr="00E30110">
              <w:rPr>
                <w:rFonts w:ascii="Times New Roman" w:eastAsia="Times New Roman" w:hAnsi="Times New Roman" w:cs="Times New Roman"/>
                <w:b/>
                <w:bCs/>
                <w:sz w:val="20"/>
                <w:szCs w:val="20"/>
                <w:highlight w:val="yellow"/>
                <w:lang w:val="en-US"/>
              </w:rPr>
              <w:t>Effect</w:t>
            </w:r>
          </w:p>
        </w:tc>
        <w:tc>
          <w:tcPr>
            <w:tcW w:w="1551" w:type="dxa"/>
          </w:tcPr>
          <w:p w14:paraId="24F37FDE" w14:textId="09BCB077" w:rsidR="009C0CC0" w:rsidRPr="00407B28" w:rsidRDefault="7091CD51" w:rsidP="000A1EE6">
            <w:pPr>
              <w:spacing w:line="480" w:lineRule="auto"/>
              <w:jc w:val="both"/>
              <w:rPr>
                <w:rFonts w:ascii="Times New Roman" w:eastAsia="Times New Roman" w:hAnsi="Times New Roman" w:cs="Times New Roman"/>
                <w:b/>
                <w:bCs/>
                <w:sz w:val="20"/>
                <w:szCs w:val="20"/>
                <w:lang w:val="en-US"/>
              </w:rPr>
            </w:pPr>
            <w:r w:rsidRPr="00407B28">
              <w:rPr>
                <w:rFonts w:ascii="Times New Roman" w:eastAsia="Times New Roman" w:hAnsi="Times New Roman" w:cs="Times New Roman"/>
                <w:b/>
                <w:bCs/>
                <w:sz w:val="20"/>
                <w:szCs w:val="20"/>
                <w:lang w:val="en-US"/>
              </w:rPr>
              <w:t>Refer</w:t>
            </w:r>
            <w:r w:rsidR="3B538FC4" w:rsidRPr="00407B28">
              <w:rPr>
                <w:rFonts w:ascii="Times New Roman" w:eastAsia="Times New Roman" w:hAnsi="Times New Roman" w:cs="Times New Roman"/>
                <w:b/>
                <w:bCs/>
                <w:sz w:val="20"/>
                <w:szCs w:val="20"/>
                <w:lang w:val="en-US"/>
              </w:rPr>
              <w:t>e</w:t>
            </w:r>
            <w:r w:rsidRPr="00407B28">
              <w:rPr>
                <w:rFonts w:ascii="Times New Roman" w:eastAsia="Times New Roman" w:hAnsi="Times New Roman" w:cs="Times New Roman"/>
                <w:b/>
                <w:bCs/>
                <w:sz w:val="20"/>
                <w:szCs w:val="20"/>
                <w:lang w:val="en-US"/>
              </w:rPr>
              <w:t>nce</w:t>
            </w:r>
            <w:r w:rsidR="608DB237" w:rsidRPr="00407B28">
              <w:rPr>
                <w:rFonts w:ascii="Times New Roman" w:eastAsia="Times New Roman" w:hAnsi="Times New Roman" w:cs="Times New Roman"/>
                <w:b/>
                <w:bCs/>
                <w:sz w:val="20"/>
                <w:szCs w:val="20"/>
                <w:lang w:val="en-US"/>
              </w:rPr>
              <w:t>s</w:t>
            </w:r>
          </w:p>
        </w:tc>
      </w:tr>
      <w:tr w:rsidR="009C0CC0" w:rsidRPr="00D679A0" w14:paraId="4478826B" w14:textId="77777777" w:rsidTr="00433211">
        <w:tc>
          <w:tcPr>
            <w:tcW w:w="1980" w:type="dxa"/>
          </w:tcPr>
          <w:p w14:paraId="5BF5ADB4" w14:textId="7C830904" w:rsidR="009C0CC0" w:rsidRPr="00407B28" w:rsidRDefault="00A01A3A" w:rsidP="00AC323E">
            <w:pPr>
              <w:rPr>
                <w:rFonts w:ascii="Times New Roman" w:hAnsi="Times New Roman" w:cs="Times New Roman"/>
                <w:i/>
                <w:iCs/>
                <w:sz w:val="20"/>
                <w:szCs w:val="20"/>
              </w:rPr>
            </w:pPr>
            <w:r w:rsidRPr="00407B28">
              <w:rPr>
                <w:rFonts w:ascii="Times New Roman" w:hAnsi="Times New Roman" w:cs="Times New Roman"/>
                <w:i/>
                <w:iCs/>
                <w:sz w:val="20"/>
                <w:szCs w:val="20"/>
              </w:rPr>
              <w:t xml:space="preserve">Pomatoschistus microps </w:t>
            </w:r>
          </w:p>
        </w:tc>
        <w:tc>
          <w:tcPr>
            <w:tcW w:w="2528" w:type="dxa"/>
          </w:tcPr>
          <w:p w14:paraId="7B15AC14" w14:textId="1DA7B252" w:rsidR="009C0CC0" w:rsidRPr="00407B28" w:rsidRDefault="47EE4892" w:rsidP="33F34E68">
            <w:pPr>
              <w:rPr>
                <w:rFonts w:ascii="Times New Roman" w:hAnsi="Times New Roman" w:cs="Times New Roman"/>
                <w:sz w:val="20"/>
                <w:szCs w:val="20"/>
              </w:rPr>
            </w:pPr>
            <w:r w:rsidRPr="00407B28">
              <w:rPr>
                <w:rFonts w:ascii="Times New Roman" w:hAnsi="Times New Roman" w:cs="Times New Roman"/>
                <w:sz w:val="20"/>
                <w:szCs w:val="20"/>
              </w:rPr>
              <w:t xml:space="preserve">1, 2, 4, 8, and 16 μg/L for </w:t>
            </w:r>
            <w:r w:rsidR="00C95D1D">
              <w:rPr>
                <w:rFonts w:ascii="Times New Roman" w:hAnsi="Times New Roman" w:cs="Times New Roman"/>
                <w:sz w:val="20"/>
                <w:szCs w:val="20"/>
              </w:rPr>
              <w:t>4 days</w:t>
            </w:r>
          </w:p>
        </w:tc>
        <w:tc>
          <w:tcPr>
            <w:tcW w:w="2957" w:type="dxa"/>
          </w:tcPr>
          <w:p w14:paraId="2E37DB13" w14:textId="57548C1A" w:rsidR="009C0CC0" w:rsidRPr="00407B28" w:rsidRDefault="00F43462" w:rsidP="00AC323E">
            <w:pPr>
              <w:rPr>
                <w:rFonts w:ascii="Times New Roman" w:hAnsi="Times New Roman" w:cs="Times New Roman"/>
                <w:sz w:val="20"/>
                <w:szCs w:val="20"/>
              </w:rPr>
            </w:pPr>
            <w:r w:rsidRPr="00E30110">
              <w:rPr>
                <w:rFonts w:ascii="Times New Roman" w:hAnsi="Times New Roman" w:cs="Times New Roman"/>
                <w:sz w:val="20"/>
                <w:szCs w:val="20"/>
                <w:highlight w:val="yellow"/>
              </w:rPr>
              <w:t>Increased activities of antioxidant enzymes (CAT, SOD, GR, GPx) indicate enhanced ROS generation, LDH activity suggests a metabolic shift toward anaerobiosis</w:t>
            </w:r>
            <w:r w:rsidR="001C5B03" w:rsidRPr="00E30110">
              <w:rPr>
                <w:rFonts w:ascii="Times New Roman" w:hAnsi="Times New Roman" w:cs="Times New Roman"/>
                <w:sz w:val="20"/>
                <w:szCs w:val="20"/>
                <w:highlight w:val="yellow"/>
              </w:rPr>
              <w:t>.</w:t>
            </w:r>
          </w:p>
        </w:tc>
        <w:tc>
          <w:tcPr>
            <w:tcW w:w="1551" w:type="dxa"/>
          </w:tcPr>
          <w:p w14:paraId="0977655E" w14:textId="60CEDB40" w:rsidR="009C0CC0" w:rsidRPr="00407B28" w:rsidRDefault="00A46CEC" w:rsidP="00AC323E">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{"citationID":"IoByw3KF","properties":{"formattedCitation":"(Vieira et al. 2008)","plainCitation":"(Vieira et al. 2008)","noteIndex":0},"citationItems":[{"id":"r9E9mN5c/w2HnIBIk","uris":["http://zotero.org/users/14468226/items/D8HGSCFB"],"itemData":{"id":6916,"type":"article-journal","abstract":"The objective of this study was to investigate the effects of two different PAHs and a complex petrochemical mixture on the common goby, Pomatoschistus microps, using selected biomarkers as effect criteria. Benzo[a]pyrene (BaP) and anthracene were used as reference substances, while the water accommodated fraction of #4 fuel-oil (#4 WAF) was used as an example of a petrochemical mixture. P. microps was used since it is both a suitable bioindicator and a good test organism. Groups of fish were exposed to different concentrations of each of the test substances for 96 h and the activities of several enzymes commonly used as biomarkers were determined at the end of the bioassays. All the substances inhibited P. microps acetylcholinesterase (AChE) indicating that they have at least one mechanism of neurotoxicity in common: the disruption of cholinergic transmission by inhibition of AChE. An induction of lactate dehydrogenase (LDH) activity was found in fish exposed to BaP or to anthracene, suggesting an increase of the anaerobic pathway of energy production. On the contrary, inhibition of LDH was found in fish exposed to #4 WAF, suggesting a distinct effect of the mixture. An induction of P. microps glutathione S-transferase (GST) activity was found in fish exposed to BaP or to #4 WAF, while an inhibition was observed after exposure to anthracene. These results suggest that GST is involved in the detoxification of BaP and #4 WAF, but not of anthracene. All the substances increased catalase activity and isolated PAHs also increased superoxide dismutase, glutathione reductase and glutathione peroxidase activities, while #4 WAF did not cause significant alterations on these enzymes. These results suggest that all the substances may induce oxidative stress on P. microps, with BaP and anthracene apparently having more oxidative stress potential than #4 WAF.","container-title":"Science of The Total Environment","DOI":"10.1016/j.scitotenv.2008.01.052","ISSN":"0048-9697","issue":"2","journalAbbreviation":"Science of The Total Environment","page":"87-100","source":"ScienceDirect","title":"Acute effects of Benzo[a]pyrene, anthracene and a fuel oil on biomarkers of the common goby &lt;i&gt;Pomatoschistus microps&lt;/i&gt; (Teleostei, Gobiidae)","volume":"395","author":[{"family":"Vieira","given":"L. R."},{"family":"Sousa","given":"A."},{"family":"Frasco","given":"M. F."},{"family":"Lima","given":"I."},{"family":"Morgado","given":"F."},{"family":"Guilhermino","given":"L."}],"issued":{"date-parts":[["2008",6,1]]}}}],"schema":"https://github.com/citation-style-language/schema/raw/master/csl-citation.json"}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(Vieira et al. 2008)</w:t>
            </w:r>
            <w:r w:rsidRPr="00407B28">
              <w:rPr>
                <w:rFonts w:ascii="Times New Roman" w:eastAsia="Times New Roman" w:hAnsi="Times New Roman" w:cs="Times New Roman"/>
                <w:sz w:val="20"/>
                <w:szCs w:val="20"/>
                <w:lang w:val="en-US"/>
              </w:rPr>
              <w:fldChar w:fldCharType="end"/>
            </w:r>
          </w:p>
        </w:tc>
      </w:tr>
      <w:tr w:rsidR="009C0CC0" w:rsidRPr="00D679A0" w14:paraId="555E49B3" w14:textId="77777777" w:rsidTr="00433211">
        <w:tc>
          <w:tcPr>
            <w:tcW w:w="1980" w:type="dxa"/>
          </w:tcPr>
          <w:p w14:paraId="5E301058" w14:textId="42E2DD6D" w:rsidR="009C0CC0" w:rsidRPr="00407B28" w:rsidRDefault="00CF3AEA" w:rsidP="00AC323E">
            <w:pPr>
              <w:rPr>
                <w:rFonts w:ascii="Times New Roman" w:hAnsi="Times New Roman" w:cs="Times New Roman"/>
                <w:i/>
                <w:iCs/>
                <w:sz w:val="20"/>
                <w:szCs w:val="20"/>
              </w:rPr>
            </w:pPr>
            <w:r w:rsidRPr="00407B28">
              <w:rPr>
                <w:rFonts w:ascii="Times New Roman" w:hAnsi="Times New Roman" w:cs="Times New Roman"/>
                <w:i/>
                <w:iCs/>
                <w:sz w:val="20"/>
                <w:szCs w:val="20"/>
              </w:rPr>
              <w:t xml:space="preserve">Oryzias javanicus </w:t>
            </w:r>
          </w:p>
        </w:tc>
        <w:tc>
          <w:tcPr>
            <w:tcW w:w="2528" w:type="dxa"/>
          </w:tcPr>
          <w:p w14:paraId="74EFF920" w14:textId="585F6750" w:rsidR="009C0CC0" w:rsidRPr="00407B28" w:rsidRDefault="33F34E68" w:rsidP="00AC323E">
            <w:pPr>
              <w:rPr>
                <w:rFonts w:ascii="Times New Roman" w:hAnsi="Times New Roman" w:cs="Times New Roman"/>
                <w:sz w:val="20"/>
                <w:szCs w:val="20"/>
              </w:rPr>
            </w:pPr>
            <w:r w:rsidRPr="00407B28">
              <w:rPr>
                <w:rFonts w:ascii="Times New Roman" w:hAnsi="Times New Roman" w:cs="Times New Roman"/>
                <w:sz w:val="20"/>
                <w:szCs w:val="20"/>
              </w:rPr>
              <w:t>0.001, 0.01, 0.1, 1, 2, 5, 10</w:t>
            </w:r>
            <w:r w:rsidR="00191D2F">
              <w:rPr>
                <w:rFonts w:ascii="Times New Roman" w:hAnsi="Times New Roman" w:cs="Times New Roman"/>
                <w:sz w:val="20"/>
                <w:szCs w:val="20"/>
              </w:rPr>
              <w:t xml:space="preserve"> and </w:t>
            </w:r>
            <w:r w:rsidRPr="00407B28">
              <w:rPr>
                <w:rFonts w:ascii="Times New Roman" w:hAnsi="Times New Roman" w:cs="Times New Roman"/>
                <w:sz w:val="20"/>
                <w:szCs w:val="20"/>
              </w:rPr>
              <w:t xml:space="preserve">20 μg/L for </w:t>
            </w:r>
            <w:r w:rsidR="00C95D1D">
              <w:rPr>
                <w:rFonts w:ascii="Times New Roman" w:hAnsi="Times New Roman" w:cs="Times New Roman"/>
                <w:sz w:val="20"/>
                <w:szCs w:val="20"/>
              </w:rPr>
              <w:t>7 days</w:t>
            </w:r>
            <w:r w:rsidRPr="00407B28">
              <w:rPr>
                <w:rFonts w:ascii="Times New Roman" w:hAnsi="Times New Roman" w:cs="Times New Roman"/>
                <w:sz w:val="20"/>
                <w:szCs w:val="20"/>
              </w:rPr>
              <w:t> </w:t>
            </w:r>
          </w:p>
        </w:tc>
        <w:tc>
          <w:tcPr>
            <w:tcW w:w="2957" w:type="dxa"/>
          </w:tcPr>
          <w:p w14:paraId="7A0C1E56" w14:textId="34C9C0D4" w:rsidR="009C0CC0" w:rsidRPr="00407B28" w:rsidRDefault="002044B2" w:rsidP="00AC323E">
            <w:pPr>
              <w:rPr>
                <w:rFonts w:ascii="Times New Roman" w:hAnsi="Times New Roman" w:cs="Times New Roman"/>
                <w:sz w:val="20"/>
                <w:szCs w:val="20"/>
              </w:rPr>
            </w:pPr>
            <w:r w:rsidRPr="00E30110">
              <w:rPr>
                <w:rFonts w:ascii="Times New Roman" w:hAnsi="Times New Roman" w:cs="Times New Roman"/>
                <w:sz w:val="20"/>
                <w:szCs w:val="20"/>
                <w:highlight w:val="yellow"/>
              </w:rPr>
              <w:t>Induction of oxidative stress markers, including elevated ROS and MDA levels, serves as key indicators of cellular and lipid damage.</w:t>
            </w:r>
          </w:p>
        </w:tc>
        <w:tc>
          <w:tcPr>
            <w:tcW w:w="1551" w:type="dxa"/>
          </w:tcPr>
          <w:p w14:paraId="353535D0" w14:textId="62FFC9CC" w:rsidR="009C0CC0" w:rsidRPr="00407B28" w:rsidRDefault="00B038DA" w:rsidP="00AC323E">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{"citationID":"IcPeVJxM","properties":{"formattedCitation":"(Nam et al. 2020)","plainCitation":"(Nam et al. 2020)","noteIndex":0},"citationItems":[{"id":"r9E9mN5c/kEowpbfx","uris":["http://zotero.org/users/14468226/items/YSIRM4NV"],"itemData":{"id":6928,"type":"article-journal","abstract":"Embryos from the marine medaka fish Oryzias javanicus were treated with eight concentrations of benzo[a]pyrene (BaP) (0.001, 0.01, 0.1, 1, 2, 5, 10, or 20 μg L-–1) after they had been fertilized. Significant mortality and hatching delays were detected in embryos that had been exposed to 10 and 20 μg L−1 BaP for 4 weeks. The mortality rate after hatching was higher in the medaka that had been previously exposed to &gt; 2 μg L−1 BaP. Significant elevations in intracellular reactive oxygen species and malondialdehyde contents were measured and the mRNA expressions of the antioxidant defense system genes (gst, sod, cat, and gpx) increased in the embryos exposed to 10 and 20 μg L−1 BaP for 1 week. The hsp70, ahr, and cyp1a transcriptional responses were also significantly upregulated in the exposed groups after 1 week. The alterations to the in vivo parameters and molecular components suggested that waterborne BaP had a toxic effect on marine medaka embryos. Finally, fin defects, spinal curvature, and cardiac edema were highly induced when the embryos were exposed to &gt; 5 μg L−1 BaP.","container-title":"Journal of Environmental Science and Health, Part A","DOI":"10.1080/10934529.2020.1767452","ISSN":"1093-4529","issue":"9","note":"publisher: Taylor &amp; Francis\n_eprint: https://doi.org/10.1080/10934529.2020.1767452\nPMID: 32427057","page":"1050-1058","source":"Taylor and Francis+NEJM","title":"Benzo[a]pyrene constrains embryo development via oxidative stress induction and modulates the transcriptional responses of molecular biomarkers in the marine medaka Oryzias javanicus","volume":"55","author":[{"family":"Nam","given":"Sang-Eun"},{"family":"Saravanan","given":"Manoharan"},{"family":"Rhee","given":"Jae-Sung"}],"issued":{"date-parts":[["2020",7,28]]}}}],"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(Nam et al. 2020)</w:t>
            </w:r>
            <w:r w:rsidRPr="00407B28">
              <w:rPr>
                <w:rFonts w:ascii="Times New Roman" w:eastAsia="Times New Roman" w:hAnsi="Times New Roman" w:cs="Times New Roman"/>
                <w:sz w:val="20"/>
                <w:szCs w:val="20"/>
                <w:lang w:val="en-US"/>
              </w:rPr>
              <w:fldChar w:fldCharType="end"/>
            </w:r>
          </w:p>
        </w:tc>
      </w:tr>
      <w:tr w:rsidR="009C0CC0" w:rsidRPr="00D679A0" w14:paraId="0CA43E07" w14:textId="77777777" w:rsidTr="00433211">
        <w:tc>
          <w:tcPr>
            <w:tcW w:w="1980" w:type="dxa"/>
          </w:tcPr>
          <w:p w14:paraId="1D3E2967" w14:textId="3F888C25" w:rsidR="009C0CC0" w:rsidRPr="00407B28" w:rsidRDefault="00AC323E" w:rsidP="00AC323E">
            <w:pPr>
              <w:rPr>
                <w:rFonts w:ascii="Times New Roman" w:hAnsi="Times New Roman" w:cs="Times New Roman"/>
                <w:sz w:val="20"/>
                <w:szCs w:val="20"/>
              </w:rPr>
            </w:pPr>
            <w:r w:rsidRPr="00407B28">
              <w:rPr>
                <w:rFonts w:ascii="Times New Roman" w:hAnsi="Times New Roman" w:cs="Times New Roman"/>
                <w:i/>
                <w:iCs/>
                <w:sz w:val="20"/>
                <w:szCs w:val="20"/>
              </w:rPr>
              <w:t>Danio rerio</w:t>
            </w:r>
          </w:p>
        </w:tc>
        <w:tc>
          <w:tcPr>
            <w:tcW w:w="2528" w:type="dxa"/>
          </w:tcPr>
          <w:p w14:paraId="74C711EE" w14:textId="694D9CE4" w:rsidR="009C0CC0" w:rsidRPr="00407B28" w:rsidRDefault="001F4E94" w:rsidP="00AC323E">
            <w:pPr>
              <w:rPr>
                <w:rFonts w:ascii="Times New Roman" w:hAnsi="Times New Roman" w:cs="Times New Roman"/>
                <w:sz w:val="20"/>
                <w:szCs w:val="20"/>
              </w:rPr>
            </w:pPr>
            <w:r>
              <w:rPr>
                <w:rFonts w:ascii="Times New Roman" w:hAnsi="Times New Roman" w:cs="Times New Roman"/>
                <w:sz w:val="20"/>
                <w:szCs w:val="20"/>
              </w:rPr>
              <w:t>0</w:t>
            </w:r>
            <w:r w:rsidR="33F34E68" w:rsidRPr="00407B28">
              <w:rPr>
                <w:rFonts w:ascii="Times New Roman" w:hAnsi="Times New Roman" w:cs="Times New Roman"/>
                <w:sz w:val="20"/>
                <w:szCs w:val="20"/>
              </w:rPr>
              <w:t xml:space="preserve">.25, 0.5, 0.6, and 0.8 μM for </w:t>
            </w:r>
            <w:r w:rsidR="003F174C">
              <w:rPr>
                <w:rFonts w:ascii="Times New Roman" w:hAnsi="Times New Roman" w:cs="Times New Roman"/>
                <w:sz w:val="20"/>
                <w:szCs w:val="20"/>
              </w:rPr>
              <w:t>3</w:t>
            </w:r>
            <w:r w:rsidR="00E30110">
              <w:rPr>
                <w:rFonts w:ascii="Times New Roman" w:hAnsi="Times New Roman" w:cs="Times New Roman"/>
                <w:sz w:val="20"/>
                <w:szCs w:val="20"/>
              </w:rPr>
              <w:t xml:space="preserve"> </w:t>
            </w:r>
            <w:r w:rsidR="003F174C">
              <w:rPr>
                <w:rFonts w:ascii="Times New Roman" w:hAnsi="Times New Roman" w:cs="Times New Roman"/>
                <w:sz w:val="20"/>
                <w:szCs w:val="20"/>
              </w:rPr>
              <w:t>days</w:t>
            </w:r>
          </w:p>
        </w:tc>
        <w:tc>
          <w:tcPr>
            <w:tcW w:w="2957" w:type="dxa"/>
          </w:tcPr>
          <w:p w14:paraId="289B36A3" w14:textId="185D75F4" w:rsidR="009C0CC0" w:rsidRPr="00407B28" w:rsidRDefault="00206ED0" w:rsidP="00AC323E">
            <w:pPr>
              <w:rPr>
                <w:rFonts w:ascii="Times New Roman" w:hAnsi="Times New Roman" w:cs="Times New Roman"/>
                <w:sz w:val="20"/>
                <w:szCs w:val="20"/>
              </w:rPr>
            </w:pPr>
            <w:r w:rsidRPr="00E30110">
              <w:rPr>
                <w:rFonts w:ascii="Times New Roman" w:hAnsi="Times New Roman" w:cs="Times New Roman"/>
                <w:sz w:val="20"/>
                <w:szCs w:val="20"/>
                <w:highlight w:val="yellow"/>
              </w:rPr>
              <w:t>ROS levels exhibited a dose-dependent elevation, leading to upregulation of GST activity, resulting in increased oxidative stress.</w:t>
            </w:r>
          </w:p>
        </w:tc>
        <w:tc>
          <w:tcPr>
            <w:tcW w:w="1551" w:type="dxa"/>
          </w:tcPr>
          <w:p w14:paraId="1407DC89" w14:textId="032FD3D0" w:rsidR="009C0CC0" w:rsidRPr="00407B28" w:rsidRDefault="000F560D" w:rsidP="00AC323E">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{"citationID":"WJqfPRXU","properties":{"formattedCitation":"(Elfawy et al. 2021)","plainCitation":"(Elfawy et al. 2021)","noteIndex":0},"citationItems":[{"id":"r9E9mN5c/cHf5f6Of","uris":["http://zotero.org/users/14468226/items/952TJHPN"],"itemData":{"id":6919,"type":"article-journal","abstract":"Benzo(a)pyrene (BaP) has become an integral component of disposed of plastic waste, organic pollutants, and remnants of combustible materials in the aquatic environment due to their persistent nature. The accumulation and integration of these polycyclic aromatic hydrocarbons (PAHs) have raised concern to human health and ecological safety. This study assessed the BaP-induced in vivo molecular toxicity with embryonic zebrafish inferred by oxidative stress and apoptosis. BaP was found to induce morphological and physiological abnormalities like delayed hatching (p &lt; 0.05). Computational analysis demonstrated the high-affinity interaction of BaP with the zebrafish hatching enzyme (ZHE1) with Arg, Cys, Ala, Tyr, and Phe located at the active site revealing the influence of BaP on delayed hatching due to alteration of the enzyme structure. RT-PCR analysis revealed significant down-regulation of the skeletal genes Sox9a, SPP1/OPN, and Col1a1 (p &lt; 0.05) genes. The cellular investigations unraveled that the toxicity of BaP extends to the skeletal regions of zebrafish (head, backbone, and tail) because of the elicited oxidative stress leading to apoptosis. The study extended the horizon of understanding of BaP toxicity at the molecular level which will enhance the indulgent and designing of techniques for better ecological sustainability.","container-title":"Science of The Total Environment","DOI":"10.1016/j.scitotenv.2021.147989","ISSN":"0048-9697","journalAbbreviation":"Science of The Total Environment","page":"147989","source":"ScienceDirect","title":"Molecular toxicity of Benzo(&lt;i&gt;a&lt;/i&gt;)pyrene mediated by elicited oxidative stress infer skeletal deformities and apoptosis in embryonic zebrafish","volume":"789","author":[{"family":"Elfawy","given":"Hasnaa A."},{"family":"Anupriya","given":"S"},{"family":"Mohanty","given":"Swabhiman"},{"family":"Patel","given":"Paritosh"},{"family":"Ghosal","given":"Sayam"},{"family":"Panda","given":"Pritam Kumar"},{"family":"Das","given":"Biswadeep"},{"family":"Verma","given":"Suresh K."},{"family":"Patnaik","given":"Srinivas"}],"issued":{"date-parts":[["2021",10,1]]}}}],"schema":"https://github.com/citation-style-language/schema/raw/master/csl-citation.json"}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(Elfawy et al. 2021)</w:t>
            </w:r>
            <w:r w:rsidRPr="00407B28">
              <w:rPr>
                <w:rFonts w:ascii="Times New Roman" w:eastAsia="Times New Roman" w:hAnsi="Times New Roman" w:cs="Times New Roman"/>
                <w:sz w:val="20"/>
                <w:szCs w:val="20"/>
                <w:lang w:val="en-US"/>
              </w:rPr>
              <w:fldChar w:fldCharType="end"/>
            </w:r>
          </w:p>
        </w:tc>
      </w:tr>
      <w:tr w:rsidR="009C0CC0" w:rsidRPr="00D679A0" w14:paraId="4C82724E" w14:textId="77777777" w:rsidTr="00433211">
        <w:tc>
          <w:tcPr>
            <w:tcW w:w="1980" w:type="dxa"/>
          </w:tcPr>
          <w:p w14:paraId="13EC463F" w14:textId="74753CDB" w:rsidR="009C0CC0" w:rsidRPr="00407B28" w:rsidRDefault="006C6446" w:rsidP="00AC323E">
            <w:pPr>
              <w:rPr>
                <w:rFonts w:ascii="Times New Roman" w:hAnsi="Times New Roman" w:cs="Times New Roman"/>
                <w:i/>
                <w:iCs/>
                <w:sz w:val="20"/>
                <w:szCs w:val="20"/>
              </w:rPr>
            </w:pPr>
            <w:r w:rsidRPr="00407B28">
              <w:rPr>
                <w:rFonts w:ascii="Times New Roman" w:hAnsi="Times New Roman" w:cs="Times New Roman"/>
                <w:sz w:val="20"/>
                <w:szCs w:val="20"/>
              </w:rPr>
              <w:t xml:space="preserve"> </w:t>
            </w:r>
            <w:r w:rsidR="00AC323E" w:rsidRPr="00407B28">
              <w:rPr>
                <w:rFonts w:ascii="Times New Roman" w:hAnsi="Times New Roman" w:cs="Times New Roman"/>
                <w:i/>
                <w:iCs/>
                <w:sz w:val="20"/>
                <w:szCs w:val="20"/>
              </w:rPr>
              <w:t>Danio rerio</w:t>
            </w:r>
          </w:p>
        </w:tc>
        <w:tc>
          <w:tcPr>
            <w:tcW w:w="2528" w:type="dxa"/>
          </w:tcPr>
          <w:p w14:paraId="6A4F9F19" w14:textId="6188B743" w:rsidR="009C0CC0" w:rsidRPr="00407B28" w:rsidRDefault="33F34E68" w:rsidP="00AC323E">
            <w:pPr>
              <w:rPr>
                <w:rFonts w:ascii="Times New Roman" w:hAnsi="Times New Roman" w:cs="Times New Roman"/>
                <w:sz w:val="20"/>
                <w:szCs w:val="20"/>
              </w:rPr>
            </w:pPr>
            <w:r w:rsidRPr="00407B28">
              <w:rPr>
                <w:rFonts w:ascii="Times New Roman" w:hAnsi="Times New Roman" w:cs="Times New Roman"/>
                <w:sz w:val="20"/>
                <w:szCs w:val="20"/>
              </w:rPr>
              <w:t>0.8 µg/L &amp; 2.0 µg/L</w:t>
            </w:r>
            <w:r w:rsidR="003F174C">
              <w:rPr>
                <w:rFonts w:ascii="Times New Roman" w:hAnsi="Times New Roman" w:cs="Times New Roman"/>
                <w:sz w:val="20"/>
                <w:szCs w:val="20"/>
              </w:rPr>
              <w:t xml:space="preserve"> </w:t>
            </w:r>
            <w:r w:rsidRPr="00407B28">
              <w:rPr>
                <w:rFonts w:ascii="Times New Roman" w:hAnsi="Times New Roman" w:cs="Times New Roman"/>
                <w:sz w:val="20"/>
                <w:szCs w:val="20"/>
              </w:rPr>
              <w:t>for</w:t>
            </w:r>
            <w:r w:rsidR="00804FEB">
              <w:rPr>
                <w:rFonts w:ascii="Times New Roman" w:hAnsi="Times New Roman" w:cs="Times New Roman"/>
                <w:sz w:val="20"/>
                <w:szCs w:val="20"/>
              </w:rPr>
              <w:t xml:space="preserve"> 4</w:t>
            </w:r>
            <w:r w:rsidR="00E30110">
              <w:rPr>
                <w:rFonts w:ascii="Times New Roman" w:hAnsi="Times New Roman" w:cs="Times New Roman"/>
                <w:sz w:val="20"/>
                <w:szCs w:val="20"/>
              </w:rPr>
              <w:t xml:space="preserve"> </w:t>
            </w:r>
            <w:r w:rsidR="00804FEB">
              <w:rPr>
                <w:rFonts w:ascii="Times New Roman" w:hAnsi="Times New Roman" w:cs="Times New Roman"/>
                <w:sz w:val="20"/>
                <w:szCs w:val="20"/>
              </w:rPr>
              <w:t>days</w:t>
            </w:r>
          </w:p>
        </w:tc>
        <w:tc>
          <w:tcPr>
            <w:tcW w:w="2957" w:type="dxa"/>
          </w:tcPr>
          <w:p w14:paraId="61004A9D" w14:textId="4F0B0FB0" w:rsidR="009C0CC0" w:rsidRPr="00407B28" w:rsidRDefault="0072270D" w:rsidP="00AC323E">
            <w:pPr>
              <w:rPr>
                <w:rFonts w:ascii="Times New Roman" w:hAnsi="Times New Roman" w:cs="Times New Roman"/>
                <w:sz w:val="20"/>
                <w:szCs w:val="20"/>
              </w:rPr>
            </w:pPr>
            <w:r w:rsidRPr="00E30110">
              <w:rPr>
                <w:rFonts w:ascii="Times New Roman" w:hAnsi="Times New Roman" w:cs="Times New Roman"/>
                <w:sz w:val="20"/>
                <w:szCs w:val="20"/>
                <w:highlight w:val="yellow"/>
              </w:rPr>
              <w:t>Oxidative stress biomarkers increased dose-dependently</w:t>
            </w:r>
            <w:r w:rsidR="00CE61A1" w:rsidRPr="00E30110">
              <w:rPr>
                <w:rFonts w:ascii="Times New Roman" w:hAnsi="Times New Roman" w:cs="Times New Roman"/>
                <w:sz w:val="20"/>
                <w:szCs w:val="20"/>
                <w:highlight w:val="yellow"/>
              </w:rPr>
              <w:t xml:space="preserve">, </w:t>
            </w:r>
            <w:r w:rsidRPr="00E30110">
              <w:rPr>
                <w:rFonts w:ascii="Times New Roman" w:hAnsi="Times New Roman" w:cs="Times New Roman"/>
                <w:sz w:val="20"/>
                <w:szCs w:val="20"/>
                <w:highlight w:val="yellow"/>
              </w:rPr>
              <w:t>B[</w:t>
            </w:r>
            <w:r w:rsidRPr="00E30110">
              <w:rPr>
                <w:rFonts w:ascii="Times New Roman" w:hAnsi="Times New Roman" w:cs="Times New Roman"/>
                <w:i/>
                <w:iCs/>
                <w:sz w:val="20"/>
                <w:szCs w:val="20"/>
                <w:highlight w:val="yellow"/>
              </w:rPr>
              <w:t>a</w:t>
            </w:r>
            <w:r w:rsidRPr="00E30110">
              <w:rPr>
                <w:rFonts w:ascii="Times New Roman" w:hAnsi="Times New Roman" w:cs="Times New Roman"/>
                <w:sz w:val="20"/>
                <w:szCs w:val="20"/>
                <w:highlight w:val="yellow"/>
              </w:rPr>
              <w:t>]P mainly inhibited GST and AchE activities, except SOD.</w:t>
            </w:r>
          </w:p>
        </w:tc>
        <w:tc>
          <w:tcPr>
            <w:tcW w:w="1551" w:type="dxa"/>
          </w:tcPr>
          <w:p w14:paraId="0B97757A" w14:textId="7F83D757" w:rsidR="009C0CC0" w:rsidRPr="00407B28" w:rsidRDefault="00EF606A" w:rsidP="00AC323E">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{"citationID":"GgMGqWp7","properties":{"formattedCitation":"(Zhou et al. 2021)","plainCitation":"(Zhou et al. 2021)","noteIndex":0},"citationItems":[{"id":"r9E9mN5c/4cRprbov","uris":["http://zotero.org/users/14468226/items/KMDLCB75"],"itemData":{"id":6547,"type":"article-journal","abstract":"Waterborne Benzo[a]pyrene (B[a]P) pollution is a global threat to aquatic organisms. The exposure to waterborne B[a]P can disrupt the normal locomotor behavior of zebrafish (Danio rerio), however, how it affect the locomotor behavior of adult zebrafish remains unclear. Herein, B[a]P at two concentrations (0.8 μg/L and 2.0 μg/L) were selected to investigate the molecular mechanisms of the affected locomotor behavior of zebrafish by B [a]P based on transcriptome profiling. Adverse effects of B[a]P exposure affecting locomotor behavior in zebrafish were studied by RNA sequencing, and the locomotion phenotype was acquired. The gene enrichment results showed that the differentially highly expressed genes (atp2a1, cdh2, aurka, fxyd1, clstn1, apoc1, mt-co1, tnnt3b, and fads2) of zebrafish are mainly enriched in adrenergic signaling in cardiomyocytes (dre04261) and locomotory behavior (GO:0007626). The movement trajectory plots showed an increase in the locomotor distance and velocity of zebrafish in the 0.8 μg/L group and the opposite in the 2.0 μg/L group. The results showed that B[a]P affects the variety of genes in zebrafish, including motor nerves, muscles, and energy supply, and ultimately leads to altered locomotor behavior.","container-title":"Ecotoxicology and Environmental Safety","DOI":"10.1016/j.ecoenv.2021.112928","ISSN":"01476513","journalAbbreviation":"Ecotoxicology and Environmental Safety","language":"en","page":"112928","source":"DOI.org (Crossref)","title":"Transcriptome aberration associated with altered locomotor behavior of zebrafish (Danio rerio) caused by Waterborne Benzo[a]pyrene","volume":"227","author":[{"family":"Zhou","given":"Yumiao"},{"family":"Kong","given":"Qiang"},{"family":"Lin","given":"Zhihao"},{"family":"Ma","given":"Jinyue"},{"family":"Zhang","given":"Huanxin"}],"issued":{"date-parts":[["2021",12]]}}}],"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(Zhou et al. 2021)</w:t>
            </w:r>
            <w:r w:rsidRPr="00407B28">
              <w:rPr>
                <w:rFonts w:ascii="Times New Roman" w:eastAsia="Times New Roman" w:hAnsi="Times New Roman" w:cs="Times New Roman"/>
                <w:sz w:val="20"/>
                <w:szCs w:val="20"/>
                <w:lang w:val="en-US"/>
              </w:rPr>
              <w:fldChar w:fldCharType="end"/>
            </w:r>
          </w:p>
        </w:tc>
      </w:tr>
      <w:tr w:rsidR="009C0CC0" w:rsidRPr="00D679A0" w14:paraId="169C7D97" w14:textId="77777777" w:rsidTr="00433211">
        <w:tc>
          <w:tcPr>
            <w:tcW w:w="1980" w:type="dxa"/>
          </w:tcPr>
          <w:p w14:paraId="58F8F306" w14:textId="324A258A" w:rsidR="006F7CE0" w:rsidRPr="00407B28" w:rsidRDefault="3A85380C" w:rsidP="00AC323E">
            <w:pPr>
              <w:rPr>
                <w:rFonts w:ascii="Times New Roman" w:hAnsi="Times New Roman" w:cs="Times New Roman"/>
                <w:sz w:val="20"/>
                <w:szCs w:val="20"/>
              </w:rPr>
            </w:pPr>
            <w:r w:rsidRPr="00407B28">
              <w:rPr>
                <w:rFonts w:ascii="Times New Roman" w:hAnsi="Times New Roman" w:cs="Times New Roman"/>
                <w:sz w:val="20"/>
                <w:szCs w:val="20"/>
              </w:rPr>
              <w:t xml:space="preserve"> </w:t>
            </w:r>
          </w:p>
          <w:p w14:paraId="436801E3" w14:textId="298FCB0A" w:rsidR="009C0CC0" w:rsidRPr="00407B28" w:rsidRDefault="00794794" w:rsidP="00AC323E">
            <w:pPr>
              <w:rPr>
                <w:rFonts w:ascii="Times New Roman" w:hAnsi="Times New Roman" w:cs="Times New Roman"/>
                <w:i/>
                <w:iCs/>
                <w:sz w:val="20"/>
                <w:szCs w:val="20"/>
              </w:rPr>
            </w:pPr>
            <w:r w:rsidRPr="00407B28">
              <w:rPr>
                <w:rFonts w:ascii="Times New Roman" w:hAnsi="Times New Roman" w:cs="Times New Roman"/>
                <w:i/>
                <w:iCs/>
                <w:sz w:val="20"/>
                <w:szCs w:val="20"/>
              </w:rPr>
              <w:t>Liza klunzingeri</w:t>
            </w:r>
          </w:p>
        </w:tc>
        <w:tc>
          <w:tcPr>
            <w:tcW w:w="2528" w:type="dxa"/>
          </w:tcPr>
          <w:p w14:paraId="081D3C5B" w14:textId="790125A3" w:rsidR="009C0CC0" w:rsidRPr="00407B28" w:rsidRDefault="47EE4892" w:rsidP="00AC323E">
            <w:pPr>
              <w:rPr>
                <w:rFonts w:ascii="Times New Roman" w:hAnsi="Times New Roman" w:cs="Times New Roman"/>
                <w:sz w:val="20"/>
                <w:szCs w:val="20"/>
              </w:rPr>
            </w:pPr>
            <w:r w:rsidRPr="00407B28">
              <w:rPr>
                <w:rFonts w:ascii="Times New Roman" w:hAnsi="Times New Roman" w:cs="Times New Roman"/>
                <w:sz w:val="20"/>
                <w:szCs w:val="20"/>
              </w:rPr>
              <w:t>5, 10, and 50 mg/kg</w:t>
            </w:r>
            <w:r w:rsidR="000C6F1E">
              <w:rPr>
                <w:rFonts w:ascii="Times New Roman" w:hAnsi="Times New Roman" w:cs="Times New Roman"/>
                <w:sz w:val="20"/>
                <w:szCs w:val="20"/>
              </w:rPr>
              <w:t xml:space="preserve"> </w:t>
            </w:r>
            <w:r w:rsidRPr="00407B28">
              <w:rPr>
                <w:rFonts w:ascii="Times New Roman" w:hAnsi="Times New Roman" w:cs="Times New Roman"/>
                <w:sz w:val="20"/>
                <w:szCs w:val="20"/>
              </w:rPr>
              <w:t>for 14</w:t>
            </w:r>
            <w:r w:rsidR="00826180" w:rsidRPr="00407B28">
              <w:rPr>
                <w:rFonts w:ascii="Times New Roman" w:hAnsi="Times New Roman" w:cs="Times New Roman"/>
                <w:sz w:val="20"/>
                <w:szCs w:val="20"/>
              </w:rPr>
              <w:t xml:space="preserve"> </w:t>
            </w:r>
            <w:r w:rsidRPr="00407B28">
              <w:rPr>
                <w:rFonts w:ascii="Times New Roman" w:hAnsi="Times New Roman" w:cs="Times New Roman"/>
                <w:sz w:val="20"/>
                <w:szCs w:val="20"/>
              </w:rPr>
              <w:t>days</w:t>
            </w:r>
          </w:p>
        </w:tc>
        <w:tc>
          <w:tcPr>
            <w:tcW w:w="2957" w:type="dxa"/>
          </w:tcPr>
          <w:p w14:paraId="0BF66E97" w14:textId="618F9F68" w:rsidR="009C0CC0" w:rsidRPr="00C10B53" w:rsidRDefault="00375ECC" w:rsidP="00AC323E">
            <w:pPr>
              <w:rPr>
                <w:rFonts w:ascii="Times New Roman" w:hAnsi="Times New Roman" w:cs="Times New Roman"/>
                <w:sz w:val="20"/>
                <w:szCs w:val="20"/>
                <w:highlight w:val="green"/>
              </w:rPr>
            </w:pPr>
            <w:r w:rsidRPr="00E30110">
              <w:rPr>
                <w:rFonts w:ascii="Times New Roman" w:hAnsi="Times New Roman" w:cs="Times New Roman"/>
                <w:sz w:val="20"/>
                <w:szCs w:val="20"/>
                <w:highlight w:val="yellow"/>
              </w:rPr>
              <w:t xml:space="preserve">Increased </w:t>
            </w:r>
            <w:r w:rsidR="00B914F6" w:rsidRPr="00E30110">
              <w:rPr>
                <w:rFonts w:ascii="Times New Roman" w:hAnsi="Times New Roman" w:cs="Times New Roman"/>
                <w:sz w:val="20"/>
                <w:szCs w:val="20"/>
                <w:highlight w:val="yellow"/>
              </w:rPr>
              <w:t>SOD</w:t>
            </w:r>
            <w:r w:rsidR="0083013F" w:rsidRPr="00E30110">
              <w:rPr>
                <w:rFonts w:ascii="Times New Roman" w:hAnsi="Times New Roman" w:cs="Times New Roman"/>
                <w:sz w:val="20"/>
                <w:szCs w:val="20"/>
                <w:highlight w:val="yellow"/>
              </w:rPr>
              <w:t xml:space="preserve"> &amp;</w:t>
            </w:r>
            <w:r w:rsidR="00B914F6" w:rsidRPr="00E30110">
              <w:rPr>
                <w:rFonts w:ascii="Times New Roman" w:hAnsi="Times New Roman" w:cs="Times New Roman"/>
                <w:sz w:val="20"/>
                <w:szCs w:val="20"/>
                <w:highlight w:val="yellow"/>
              </w:rPr>
              <w:t xml:space="preserve"> CAT</w:t>
            </w:r>
            <w:r w:rsidR="00B13778" w:rsidRPr="00E30110">
              <w:rPr>
                <w:rFonts w:ascii="Times New Roman" w:hAnsi="Times New Roman" w:cs="Times New Roman"/>
                <w:sz w:val="20"/>
                <w:szCs w:val="20"/>
                <w:highlight w:val="yellow"/>
              </w:rPr>
              <w:t xml:space="preserve"> </w:t>
            </w:r>
            <w:r w:rsidR="00C10B53" w:rsidRPr="00E30110">
              <w:rPr>
                <w:rFonts w:ascii="Times New Roman" w:hAnsi="Times New Roman" w:cs="Times New Roman"/>
                <w:sz w:val="20"/>
                <w:szCs w:val="20"/>
                <w:highlight w:val="yellow"/>
              </w:rPr>
              <w:t xml:space="preserve">activities </w:t>
            </w:r>
            <w:r w:rsidR="00B914F6" w:rsidRPr="00E30110">
              <w:rPr>
                <w:rFonts w:ascii="Times New Roman" w:hAnsi="Times New Roman" w:cs="Times New Roman"/>
                <w:sz w:val="20"/>
                <w:szCs w:val="20"/>
                <w:highlight w:val="yellow"/>
              </w:rPr>
              <w:t>indicates a direct response to excess ROS production</w:t>
            </w:r>
            <w:r w:rsidR="00794794" w:rsidRPr="00E30110">
              <w:rPr>
                <w:rFonts w:ascii="Times New Roman" w:hAnsi="Times New Roman" w:cs="Times New Roman"/>
                <w:sz w:val="20"/>
                <w:szCs w:val="20"/>
                <w:highlight w:val="yellow"/>
              </w:rPr>
              <w:t>,</w:t>
            </w:r>
            <w:r w:rsidR="00B914F6" w:rsidRPr="00E30110">
              <w:rPr>
                <w:rFonts w:ascii="Times New Roman" w:hAnsi="Times New Roman" w:cs="Times New Roman"/>
                <w:sz w:val="20"/>
                <w:szCs w:val="20"/>
                <w:highlight w:val="yellow"/>
              </w:rPr>
              <w:t xml:space="preserve"> while elevated AST, ALT</w:t>
            </w:r>
            <w:r w:rsidR="00D4594A" w:rsidRPr="00E30110">
              <w:rPr>
                <w:rFonts w:ascii="Times New Roman" w:hAnsi="Times New Roman" w:cs="Times New Roman"/>
                <w:sz w:val="20"/>
                <w:szCs w:val="20"/>
                <w:highlight w:val="yellow"/>
              </w:rPr>
              <w:t xml:space="preserve"> and </w:t>
            </w:r>
            <w:r w:rsidR="00B914F6" w:rsidRPr="00E30110">
              <w:rPr>
                <w:rFonts w:ascii="Times New Roman" w:hAnsi="Times New Roman" w:cs="Times New Roman"/>
                <w:sz w:val="20"/>
                <w:szCs w:val="20"/>
                <w:highlight w:val="yellow"/>
              </w:rPr>
              <w:t xml:space="preserve">ALP confirm oxidative </w:t>
            </w:r>
            <w:r w:rsidR="00C10B53" w:rsidRPr="00E30110">
              <w:rPr>
                <w:rFonts w:ascii="Times New Roman" w:hAnsi="Times New Roman" w:cs="Times New Roman"/>
                <w:sz w:val="20"/>
                <w:szCs w:val="20"/>
                <w:highlight w:val="yellow"/>
              </w:rPr>
              <w:t>stress-induced</w:t>
            </w:r>
            <w:r w:rsidR="00C068FE" w:rsidRPr="00E30110">
              <w:rPr>
                <w:rFonts w:ascii="Times New Roman" w:hAnsi="Times New Roman" w:cs="Times New Roman"/>
                <w:sz w:val="20"/>
                <w:szCs w:val="20"/>
                <w:highlight w:val="yellow"/>
              </w:rPr>
              <w:t xml:space="preserve"> hepatoce</w:t>
            </w:r>
            <w:r w:rsidR="00C10B53" w:rsidRPr="00E30110">
              <w:rPr>
                <w:rFonts w:ascii="Times New Roman" w:hAnsi="Times New Roman" w:cs="Times New Roman"/>
                <w:sz w:val="20"/>
                <w:szCs w:val="20"/>
                <w:highlight w:val="yellow"/>
              </w:rPr>
              <w:t>llular damage</w:t>
            </w:r>
            <w:r w:rsidR="001C5B03" w:rsidRPr="00E30110">
              <w:rPr>
                <w:rFonts w:ascii="Times New Roman" w:hAnsi="Times New Roman" w:cs="Times New Roman"/>
                <w:sz w:val="20"/>
                <w:szCs w:val="20"/>
                <w:highlight w:val="yellow"/>
              </w:rPr>
              <w:t>.</w:t>
            </w:r>
          </w:p>
        </w:tc>
        <w:tc>
          <w:tcPr>
            <w:tcW w:w="1551" w:type="dxa"/>
          </w:tcPr>
          <w:p w14:paraId="64A12F32" w14:textId="5300CEFC" w:rsidR="009C0CC0" w:rsidRPr="00407B28" w:rsidRDefault="00AE39CF" w:rsidP="00AC323E">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{"citationID":"JEt8tnrP","properties":{"formattedCitation":"(Soltani et al. 2019)","plainCitation":"(Soltani et al. 2019)","noteIndex":0},"citationItems":[{"id":"r9E9mN5c/goQck2qB","uris":["http://zotero.org/users/14468226/items/UU6UWX4P"],"itemData":{"id":6594,"type":"article-journal","abstract":"Benzo[a]pyrene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(Soltani et al. 2019)</w:t>
            </w:r>
            <w:r w:rsidRPr="00407B28">
              <w:rPr>
                <w:rFonts w:ascii="Times New Roman" w:eastAsia="Times New Roman" w:hAnsi="Times New Roman" w:cs="Times New Roman"/>
                <w:sz w:val="20"/>
                <w:szCs w:val="20"/>
                <w:lang w:val="en-US"/>
              </w:rPr>
              <w:fldChar w:fldCharType="end"/>
            </w:r>
          </w:p>
        </w:tc>
      </w:tr>
    </w:tbl>
    <w:p w14:paraId="15B74863" w14:textId="77777777" w:rsidR="006A3E5C" w:rsidRDefault="006A3E5C" w:rsidP="000A1EE6">
      <w:pPr>
        <w:spacing w:after="0" w:line="480" w:lineRule="auto"/>
        <w:jc w:val="both"/>
        <w:rPr>
          <w:rFonts w:ascii="Times New Roman" w:eastAsia="Times New Roman" w:hAnsi="Times New Roman" w:cs="Times New Roman"/>
          <w:b/>
          <w:bCs/>
          <w:lang w:val="en-US"/>
        </w:rPr>
      </w:pPr>
    </w:p>
    <w:p w14:paraId="00D5BD38" w14:textId="544FD550" w:rsidR="00A91A54" w:rsidRPr="000A1EE6" w:rsidRDefault="00F91762" w:rsidP="000A1EE6">
      <w:pPr>
        <w:spacing w:after="0" w:line="480" w:lineRule="auto"/>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 xml:space="preserve">3.2 </w:t>
      </w:r>
      <w:r w:rsidR="00A91A54" w:rsidRPr="000A1EE6">
        <w:rPr>
          <w:rFonts w:ascii="Times New Roman" w:eastAsia="Times New Roman" w:hAnsi="Times New Roman" w:cs="Times New Roman"/>
          <w:b/>
          <w:bCs/>
          <w:lang w:val="en-US"/>
        </w:rPr>
        <w:t>Histopathological Manifestations of Coal Exposure</w:t>
      </w:r>
    </w:p>
    <w:p w14:paraId="5176180F" w14:textId="61940A13" w:rsidR="00AD627C" w:rsidRPr="000A1EE6" w:rsidRDefault="00586D0D" w:rsidP="000A1EE6">
      <w:pPr>
        <w:spacing w:line="48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lang w:val="en-US"/>
        </w:rPr>
        <w:t>Chronic</w:t>
      </w:r>
      <w:r w:rsidR="00A91A54" w:rsidRPr="000A1EE6">
        <w:rPr>
          <w:rFonts w:ascii="Times New Roman" w:eastAsia="Times New Roman" w:hAnsi="Times New Roman" w:cs="Times New Roman"/>
          <w:lang w:val="en-US"/>
        </w:rPr>
        <w:t xml:space="preserve"> exposure of fish to coal mining contaminants </w:t>
      </w:r>
      <w:r w:rsidR="00A91A54" w:rsidRPr="72B80849">
        <w:rPr>
          <w:rFonts w:ascii="Times New Roman" w:eastAsia="Times New Roman" w:hAnsi="Times New Roman" w:cs="Times New Roman"/>
          <w:lang w:val="en-US"/>
        </w:rPr>
        <w:t>result</w:t>
      </w:r>
      <w:r w:rsidR="00E17975" w:rsidRPr="72B80849">
        <w:rPr>
          <w:rFonts w:ascii="Times New Roman" w:eastAsia="Times New Roman" w:hAnsi="Times New Roman" w:cs="Times New Roman"/>
          <w:lang w:val="en-US"/>
        </w:rPr>
        <w:t>ed</w:t>
      </w:r>
      <w:r w:rsidR="00A91A54" w:rsidRPr="000A1EE6">
        <w:rPr>
          <w:rFonts w:ascii="Times New Roman" w:eastAsia="Times New Roman" w:hAnsi="Times New Roman" w:cs="Times New Roman"/>
          <w:lang w:val="en-US"/>
        </w:rPr>
        <w:t xml:space="preserve"> in characteristic histopathological changes across multiple organ systems</w:t>
      </w:r>
      <w:r w:rsidR="0067365F" w:rsidRPr="000A1EE6">
        <w:rPr>
          <w:rFonts w:ascii="Times New Roman" w:eastAsia="Times New Roman" w:hAnsi="Times New Roman" w:cs="Times New Roman"/>
          <w:lang w:val="en-US"/>
        </w:rPr>
        <w:t xml:space="preserve"> </w:t>
      </w:r>
      <w:r w:rsidR="0067365F" w:rsidRPr="0033252E" w:rsidDel="00B72ADB">
        <w:rPr>
          <w:rFonts w:ascii="Times New Roman" w:eastAsia="Times New Roman" w:hAnsi="Times New Roman" w:cs="Times New Roman"/>
          <w:lang w:val="en-US"/>
        </w:rPr>
        <w:t>(</w:t>
      </w:r>
      <w:r w:rsidR="0067365F" w:rsidRPr="72B80849">
        <w:rPr>
          <w:rFonts w:ascii="Times New Roman" w:eastAsia="Times New Roman" w:hAnsi="Times New Roman" w:cs="Times New Roman"/>
          <w:b/>
          <w:lang w:val="en-US"/>
        </w:rPr>
        <w:t>Table 2</w:t>
      </w:r>
      <w:r w:rsidR="0067365F" w:rsidRPr="0033252E" w:rsidDel="00B72ADB">
        <w:rPr>
          <w:rFonts w:ascii="Times New Roman" w:eastAsia="Times New Roman" w:hAnsi="Times New Roman" w:cs="Times New Roman"/>
          <w:lang w:val="en-US"/>
        </w:rPr>
        <w:t>)</w:t>
      </w:r>
      <w:r w:rsidR="0090381A" w:rsidRPr="000A1EE6">
        <w:rPr>
          <w:rFonts w:ascii="Times New Roman" w:eastAsia="Times New Roman" w:hAnsi="Times New Roman" w:cs="Times New Roman"/>
          <w:lang w:val="en-US"/>
        </w:rPr>
        <w:t xml:space="preserve">. </w:t>
      </w:r>
      <w:r w:rsidR="006734BB" w:rsidRPr="000A1EE6">
        <w:rPr>
          <w:rFonts w:ascii="Times New Roman" w:eastAsia="Times New Roman" w:hAnsi="Times New Roman" w:cs="Times New Roman"/>
          <w:lang w:val="en-US"/>
        </w:rPr>
        <w:t>The liver</w:t>
      </w:r>
      <w:r w:rsidR="00942E91" w:rsidRPr="000A1EE6">
        <w:rPr>
          <w:rFonts w:ascii="Times New Roman" w:eastAsia="Times New Roman" w:hAnsi="Times New Roman" w:cs="Times New Roman"/>
          <w:lang w:val="en-US"/>
        </w:rPr>
        <w:t xml:space="preserve"> </w:t>
      </w:r>
      <w:r w:rsidR="00942E91" w:rsidRPr="2E3070CE">
        <w:rPr>
          <w:rFonts w:ascii="Times New Roman" w:eastAsia="Times New Roman" w:hAnsi="Times New Roman" w:cs="Times New Roman"/>
          <w:lang w:val="en-US"/>
        </w:rPr>
        <w:t>show</w:t>
      </w:r>
      <w:r w:rsidR="00D173E8" w:rsidRPr="2E3070CE">
        <w:rPr>
          <w:rFonts w:ascii="Times New Roman" w:eastAsia="Times New Roman" w:hAnsi="Times New Roman" w:cs="Times New Roman"/>
          <w:lang w:val="en-US"/>
        </w:rPr>
        <w:t>ed</w:t>
      </w:r>
      <w:r w:rsidR="006734BB" w:rsidRPr="000A1EE6">
        <w:rPr>
          <w:rFonts w:ascii="Times New Roman" w:eastAsia="Times New Roman" w:hAnsi="Times New Roman" w:cs="Times New Roman"/>
          <w:lang w:val="en-US"/>
        </w:rPr>
        <w:t xml:space="preserve"> pronounced pathological alterations in coal-contaminated fish. </w:t>
      </w:r>
      <w:r w:rsidR="00D173E8" w:rsidRPr="2E3070CE">
        <w:rPr>
          <w:rFonts w:ascii="Times New Roman" w:eastAsia="Times New Roman" w:hAnsi="Times New Roman" w:cs="Times New Roman"/>
          <w:lang w:val="en-US"/>
        </w:rPr>
        <w:t>Key</w:t>
      </w:r>
      <w:r w:rsidR="006734BB" w:rsidRPr="000A1EE6">
        <w:rPr>
          <w:rFonts w:ascii="Times New Roman" w:eastAsia="Times New Roman" w:hAnsi="Times New Roman" w:cs="Times New Roman"/>
          <w:lang w:val="en-US"/>
        </w:rPr>
        <w:t xml:space="preserve"> histological changes </w:t>
      </w:r>
      <w:r w:rsidR="001F7967">
        <w:rPr>
          <w:rFonts w:ascii="Times New Roman" w:eastAsia="Times New Roman" w:hAnsi="Times New Roman" w:cs="Times New Roman"/>
          <w:lang w:val="en-US"/>
        </w:rPr>
        <w:t>include</w:t>
      </w:r>
      <w:r w:rsidR="006734BB" w:rsidRPr="000A1EE6">
        <w:rPr>
          <w:rFonts w:ascii="Times New Roman" w:eastAsia="Times New Roman" w:hAnsi="Times New Roman" w:cs="Times New Roman"/>
          <w:lang w:val="en-US"/>
        </w:rPr>
        <w:t xml:space="preserve"> hepatocyte hypertrophy, cytoplasmic vacuolization, necrosis, and infiltration of inflammatory cells</w:t>
      </w:r>
      <w:r w:rsidR="00F01E31" w:rsidRPr="000A1EE6">
        <w:rPr>
          <w:rFonts w:ascii="Times New Roman" w:eastAsia="Times New Roman" w:hAnsi="Times New Roman" w:cs="Times New Roman"/>
          <w:lang w:val="en-US"/>
        </w:rPr>
        <w:t xml:space="preserve"> </w:t>
      </w:r>
      <w:r w:rsidR="00F01E31"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{"citationID":"ePStPtBE","properties":{"formattedCitation":"(Soltani et al. 2019)","plainCitation":"(Soltani et al. 2019)","noteIndex":0},"citationItems":[{"id":"r9E9mN5c/goQck2qB","uris":["http://zotero.org/users/14468226/items/UU6UWX4P"],"itemData":{"id":6594,"type":"article-journal","abstract":"Benzo[a]pyrene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00F01E31" w:rsidRPr="000A1EE6">
        <w:rPr>
          <w:rFonts w:ascii="Times New Roman" w:eastAsia="Times New Roman" w:hAnsi="Times New Roman" w:cs="Times New Roman"/>
          <w:lang w:val="en-US"/>
        </w:rPr>
        <w:fldChar w:fldCharType="separate"/>
      </w:r>
      <w:r w:rsidR="00E5454F">
        <w:rPr>
          <w:rFonts w:ascii="Times New Roman" w:hAnsi="Times New Roman" w:cs="Times New Roman"/>
        </w:rPr>
        <w:t>(Soltani et al. 2019)</w:t>
      </w:r>
      <w:r w:rsidR="00F01E31" w:rsidRPr="000A1EE6">
        <w:rPr>
          <w:rFonts w:ascii="Times New Roman" w:eastAsia="Times New Roman" w:hAnsi="Times New Roman" w:cs="Times New Roman"/>
          <w:lang w:val="en-US"/>
        </w:rPr>
        <w:fldChar w:fldCharType="end"/>
      </w:r>
      <w:r w:rsidR="00520A1F" w:rsidRPr="000A1EE6">
        <w:rPr>
          <w:rFonts w:ascii="Times New Roman" w:eastAsia="Times New Roman" w:hAnsi="Times New Roman" w:cs="Times New Roman"/>
          <w:lang w:val="en-US"/>
        </w:rPr>
        <w:t>.</w:t>
      </w:r>
      <w:r w:rsidR="006734BB" w:rsidRPr="000A1EE6">
        <w:rPr>
          <w:rFonts w:ascii="Times New Roman" w:eastAsia="Times New Roman" w:hAnsi="Times New Roman" w:cs="Times New Roman"/>
          <w:lang w:val="en-US"/>
        </w:rPr>
        <w:t xml:space="preserve"> These alterations reflect both the direct toxic effects of contaminant accumulation </w:t>
      </w:r>
      <w:r w:rsidR="006734BB" w:rsidRPr="2E3070CE">
        <w:rPr>
          <w:rFonts w:ascii="Times New Roman" w:eastAsia="Times New Roman" w:hAnsi="Times New Roman" w:cs="Times New Roman"/>
          <w:lang w:val="en-US"/>
        </w:rPr>
        <w:t>an</w:t>
      </w:r>
      <w:r w:rsidR="002830BD" w:rsidRPr="2E3070CE">
        <w:rPr>
          <w:rFonts w:ascii="Times New Roman" w:eastAsia="Times New Roman" w:hAnsi="Times New Roman" w:cs="Times New Roman"/>
          <w:lang w:val="en-US"/>
        </w:rPr>
        <w:t>d</w:t>
      </w:r>
      <w:r w:rsidR="0033252E">
        <w:rPr>
          <w:rFonts w:ascii="Times New Roman" w:eastAsia="Times New Roman" w:hAnsi="Times New Roman" w:cs="Times New Roman"/>
          <w:lang w:val="en-US"/>
        </w:rPr>
        <w:t xml:space="preserve"> </w:t>
      </w:r>
      <w:r w:rsidR="006734BB" w:rsidRPr="2E3070CE">
        <w:rPr>
          <w:rFonts w:ascii="Times New Roman" w:eastAsia="Times New Roman" w:hAnsi="Times New Roman" w:cs="Times New Roman"/>
          <w:lang w:val="en-US"/>
        </w:rPr>
        <w:t>secondary</w:t>
      </w:r>
      <w:r w:rsidR="006734BB" w:rsidRPr="000A1EE6">
        <w:rPr>
          <w:rFonts w:ascii="Times New Roman" w:eastAsia="Times New Roman" w:hAnsi="Times New Roman" w:cs="Times New Roman"/>
          <w:lang w:val="en-US"/>
        </w:rPr>
        <w:t xml:space="preserve"> consequences of oxidative stress and metabolic disruption</w:t>
      </w:r>
      <w:r w:rsidR="00A91A54" w:rsidRPr="000A1EE6">
        <w:rPr>
          <w:rFonts w:ascii="Times New Roman" w:eastAsia="Times New Roman" w:hAnsi="Times New Roman" w:cs="Times New Roman"/>
          <w:color w:val="000000" w:themeColor="text1"/>
          <w:lang w:val="en-US"/>
        </w:rPr>
        <w:t xml:space="preserve">. </w:t>
      </w:r>
      <w:r w:rsidR="00AD627C" w:rsidRPr="000A1EE6">
        <w:rPr>
          <w:rFonts w:ascii="Times New Roman" w:eastAsia="Times New Roman" w:hAnsi="Times New Roman" w:cs="Times New Roman"/>
          <w:color w:val="000000" w:themeColor="text1"/>
          <w:lang w:val="en-US"/>
        </w:rPr>
        <w:t xml:space="preserve">Gill pathology </w:t>
      </w:r>
      <w:r w:rsidR="001F7967">
        <w:rPr>
          <w:rFonts w:ascii="Times New Roman" w:eastAsia="Times New Roman" w:hAnsi="Times New Roman" w:cs="Times New Roman"/>
          <w:color w:val="000000" w:themeColor="text1"/>
          <w:lang w:val="en-US"/>
        </w:rPr>
        <w:t>is</w:t>
      </w:r>
      <w:r w:rsidR="00AD627C" w:rsidRPr="000A1EE6">
        <w:rPr>
          <w:rFonts w:ascii="Times New Roman" w:eastAsia="Times New Roman" w:hAnsi="Times New Roman" w:cs="Times New Roman"/>
          <w:color w:val="000000" w:themeColor="text1"/>
          <w:lang w:val="en-US"/>
        </w:rPr>
        <w:t xml:space="preserve"> another consistent finding in coal-contaminated fish populations. The observed alterations </w:t>
      </w:r>
      <w:r w:rsidR="00605C43">
        <w:rPr>
          <w:rFonts w:ascii="Times New Roman" w:eastAsia="Times New Roman" w:hAnsi="Times New Roman" w:cs="Times New Roman"/>
          <w:color w:val="000000" w:themeColor="text1"/>
          <w:lang w:val="en-US"/>
        </w:rPr>
        <w:t>encompassed</w:t>
      </w:r>
      <w:r w:rsidR="00AD627C" w:rsidRPr="000A1EE6">
        <w:rPr>
          <w:rFonts w:ascii="Times New Roman" w:eastAsia="Times New Roman" w:hAnsi="Times New Roman" w:cs="Times New Roman"/>
          <w:color w:val="000000" w:themeColor="text1"/>
          <w:lang w:val="en-US"/>
        </w:rPr>
        <w:t xml:space="preserve"> multiple structural </w:t>
      </w:r>
      <w:r w:rsidR="00AD627C" w:rsidRPr="2E3070CE">
        <w:rPr>
          <w:rFonts w:ascii="Times New Roman" w:eastAsia="Times New Roman" w:hAnsi="Times New Roman" w:cs="Times New Roman"/>
          <w:color w:val="000000" w:themeColor="text1"/>
          <w:lang w:val="en-US"/>
        </w:rPr>
        <w:t>component</w:t>
      </w:r>
      <w:r w:rsidR="0033252E">
        <w:rPr>
          <w:rFonts w:ascii="Times New Roman" w:eastAsia="Times New Roman" w:hAnsi="Times New Roman" w:cs="Times New Roman"/>
          <w:color w:val="000000" w:themeColor="text1"/>
          <w:lang w:val="en-US"/>
        </w:rPr>
        <w:t>s</w:t>
      </w:r>
      <w:r w:rsidR="00F44FD0" w:rsidRPr="000A1EE6">
        <w:rPr>
          <w:rFonts w:ascii="Times New Roman" w:eastAsia="Times New Roman" w:hAnsi="Times New Roman" w:cs="Times New Roman"/>
          <w:color w:val="000000" w:themeColor="text1"/>
          <w:lang w:val="en-US"/>
        </w:rPr>
        <w:t xml:space="preserve"> </w:t>
      </w:r>
      <w:r w:rsidR="00605C43">
        <w:rPr>
          <w:rFonts w:ascii="Times New Roman" w:eastAsia="Times New Roman" w:hAnsi="Times New Roman" w:cs="Times New Roman"/>
          <w:color w:val="000000" w:themeColor="text1"/>
          <w:lang w:val="en-US"/>
        </w:rPr>
        <w:t>including</w:t>
      </w:r>
      <w:r w:rsidR="00F44FD0" w:rsidRPr="000A1EE6">
        <w:rPr>
          <w:rFonts w:ascii="Times New Roman" w:eastAsia="Times New Roman" w:hAnsi="Times New Roman" w:cs="Times New Roman"/>
          <w:color w:val="000000" w:themeColor="text1"/>
          <w:lang w:val="en-US"/>
        </w:rPr>
        <w:t xml:space="preserve"> lamellar hyperplasia, epithelial lifting, chloride cell hypertrophy, filament distortion, lamellar </w:t>
      </w:r>
      <w:r w:rsidR="00F44FD0" w:rsidRPr="000A1EE6">
        <w:rPr>
          <w:rFonts w:ascii="Times New Roman" w:eastAsia="Times New Roman" w:hAnsi="Times New Roman" w:cs="Times New Roman"/>
          <w:color w:val="000000" w:themeColor="text1"/>
          <w:lang w:val="en-US"/>
        </w:rPr>
        <w:lastRenderedPageBreak/>
        <w:t>destruction</w:t>
      </w:r>
      <w:r w:rsidR="00605C43">
        <w:rPr>
          <w:rFonts w:ascii="Times New Roman" w:eastAsia="Times New Roman" w:hAnsi="Times New Roman" w:cs="Times New Roman"/>
          <w:color w:val="000000" w:themeColor="text1"/>
          <w:lang w:val="en-US"/>
        </w:rPr>
        <w:t>,</w:t>
      </w:r>
      <w:r w:rsidR="00F44FD0" w:rsidRPr="000A1EE6">
        <w:rPr>
          <w:rFonts w:ascii="Times New Roman" w:eastAsia="Times New Roman" w:hAnsi="Times New Roman" w:cs="Times New Roman"/>
          <w:color w:val="000000" w:themeColor="text1"/>
          <w:lang w:val="en-US"/>
        </w:rPr>
        <w:t xml:space="preserve"> and inflammatory </w:t>
      </w:r>
      <w:r w:rsidR="00605C43">
        <w:rPr>
          <w:rFonts w:ascii="Times New Roman" w:eastAsia="Times New Roman" w:hAnsi="Times New Roman" w:cs="Times New Roman"/>
          <w:color w:val="000000" w:themeColor="text1"/>
          <w:lang w:val="en-US"/>
        </w:rPr>
        <w:t>responses. Such</w:t>
      </w:r>
      <w:r w:rsidR="006B7851" w:rsidRPr="000A1EE6">
        <w:rPr>
          <w:rFonts w:ascii="Times New Roman" w:eastAsia="Times New Roman" w:hAnsi="Times New Roman" w:cs="Times New Roman"/>
          <w:color w:val="000000" w:themeColor="text1"/>
          <w:lang w:val="en-US"/>
        </w:rPr>
        <w:t xml:space="preserve"> lesions impair respiratory efficiency and osmoregulatory balance, thereby elevating physiological stress, reducing overall fitness, and predisposing fish to secondary infections (Masud and Cable, 2023; Pramanik and Biswas, 2024</w:t>
      </w:r>
      <w:r w:rsidR="006B7851" w:rsidRPr="2E3070CE">
        <w:rPr>
          <w:rFonts w:ascii="Times New Roman" w:eastAsia="Times New Roman" w:hAnsi="Times New Roman" w:cs="Times New Roman"/>
          <w:color w:val="000000" w:themeColor="text1"/>
          <w:lang w:val="en-US"/>
        </w:rPr>
        <w:t>)</w:t>
      </w:r>
      <w:r w:rsidR="00606714" w:rsidRPr="2E3070CE">
        <w:rPr>
          <w:rFonts w:ascii="Times New Roman" w:eastAsia="Times New Roman" w:hAnsi="Times New Roman" w:cs="Times New Roman"/>
          <w:color w:val="000000" w:themeColor="text1"/>
          <w:lang w:val="en-US"/>
        </w:rPr>
        <w:t>.</w:t>
      </w:r>
      <w:r w:rsidR="00AA6709">
        <w:rPr>
          <w:rFonts w:ascii="Times New Roman" w:eastAsia="Times New Roman" w:hAnsi="Times New Roman" w:cs="Times New Roman"/>
          <w:color w:val="000000" w:themeColor="text1"/>
          <w:lang w:val="en-US"/>
        </w:rPr>
        <w:t xml:space="preserve"> </w:t>
      </w:r>
      <w:r w:rsidR="00A6227A" w:rsidRPr="000A1EE6">
        <w:rPr>
          <w:rFonts w:ascii="Times New Roman" w:eastAsia="Times New Roman" w:hAnsi="Times New Roman" w:cs="Times New Roman"/>
          <w:color w:val="000000" w:themeColor="text1"/>
          <w:lang w:val="en-US"/>
        </w:rPr>
        <w:t xml:space="preserve">Kidney tissues </w:t>
      </w:r>
      <w:r w:rsidR="00605C43">
        <w:rPr>
          <w:rFonts w:ascii="Times New Roman" w:eastAsia="Times New Roman" w:hAnsi="Times New Roman" w:cs="Times New Roman"/>
          <w:color w:val="000000" w:themeColor="text1"/>
          <w:lang w:val="en-US"/>
        </w:rPr>
        <w:t>exhibit</w:t>
      </w:r>
      <w:r w:rsidR="00A6227A" w:rsidRPr="000A1EE6">
        <w:rPr>
          <w:rFonts w:ascii="Times New Roman" w:eastAsia="Times New Roman" w:hAnsi="Times New Roman" w:cs="Times New Roman"/>
          <w:color w:val="000000" w:themeColor="text1"/>
          <w:lang w:val="en-US"/>
        </w:rPr>
        <w:t xml:space="preserve"> significant pathological responses to B[</w:t>
      </w:r>
      <w:r w:rsidR="00A6227A" w:rsidRPr="005D38D8">
        <w:rPr>
          <w:rFonts w:ascii="Times New Roman" w:eastAsia="Times New Roman" w:hAnsi="Times New Roman" w:cs="Times New Roman"/>
          <w:i/>
          <w:color w:val="000000" w:themeColor="text1"/>
          <w:lang w:val="en-US"/>
        </w:rPr>
        <w:t>a</w:t>
      </w:r>
      <w:r w:rsidR="00A6227A" w:rsidRPr="000A1EE6">
        <w:rPr>
          <w:rFonts w:ascii="Times New Roman" w:eastAsia="Times New Roman" w:hAnsi="Times New Roman" w:cs="Times New Roman"/>
          <w:color w:val="000000" w:themeColor="text1"/>
          <w:lang w:val="en-US"/>
        </w:rPr>
        <w:t>]P exposure,</w:t>
      </w:r>
      <w:r w:rsidR="00383233">
        <w:rPr>
          <w:rFonts w:ascii="Times New Roman" w:eastAsia="Times New Roman" w:hAnsi="Times New Roman" w:cs="Times New Roman"/>
          <w:color w:val="000000" w:themeColor="text1"/>
          <w:lang w:val="en-US"/>
        </w:rPr>
        <w:t xml:space="preserve"> which are</w:t>
      </w:r>
      <w:r w:rsidR="00A6227A" w:rsidRPr="000A1EE6">
        <w:rPr>
          <w:rFonts w:ascii="Times New Roman" w:eastAsia="Times New Roman" w:hAnsi="Times New Roman" w:cs="Times New Roman"/>
          <w:color w:val="000000" w:themeColor="text1"/>
          <w:lang w:val="en-US"/>
        </w:rPr>
        <w:t xml:space="preserve"> characterized by glomerular damage, tubular degeneration, and interstitial inflammation </w:t>
      </w:r>
      <w:r w:rsidR="00DA78C4" w:rsidRPr="000A1EE6">
        <w:rPr>
          <w:rFonts w:ascii="Times New Roman" w:eastAsia="Times New Roman" w:hAnsi="Times New Roman" w:cs="Times New Roman"/>
          <w:color w:val="000000" w:themeColor="text1"/>
          <w:lang w:val="en-US"/>
        </w:rPr>
        <w:fldChar w:fldCharType="begin"/>
      </w:r>
      <w:r w:rsidR="00E5454F">
        <w:rPr>
          <w:rFonts w:ascii="Times New Roman" w:eastAsia="Times New Roman" w:hAnsi="Times New Roman" w:cs="Times New Roman"/>
          <w:color w:val="000000" w:themeColor="text1"/>
          <w:lang w:val="en-US"/>
        </w:rPr>
        <w:instrText xml:space="preserve"> ADDIN ZOTERO_ITEM CSL_CITATION {"citationID":"boHQtJg9","properties":{"formattedCitation":"(Soulivongsa et al. 2020, Chandra 2024)","plainCitation":"(Soulivongsa et al. 2020, Chandra 2024)","noteIndex":0},"citationItems":[{"id":"r9E9mN5c/NfpkdRlN","uris":["http://zotero.org/users/14468226/items/TH4E8RVL"],"itemData":{"id":6696,"type":"article-journal","abstract":"The present study examines the implications of acute and sub-acute exposure to cadmium chloride (CdCl2) on tissue specific glucose metabolism in muscle, gill, liver, heart, and kidney, after 30 and 60 days. Data represent significant increase in tissue glucose levels, corresponding to the metabolic response caused by cadmium-induced stress. We found out the glucose level after that 24 hour in the liver where the liver had the highest glucose levels, that the liver was going through its detox phase. Our results support a model in which there are systemic metabolic adaptations to cadmium toxicity having broader implications for how the metabolic response to exposure of an environmental toxicant is seen.","container-title":"Knowledgeable Research A Multidisciplinary Journal","ISSN":"2583-6633","issue":"10","language":"en","page":"106-111","source":"knowledgeableresearch.com","title":"Impact of Cadmium Chloride (CdCl2) Exposure on Glucose Levels in Various Tissues of Heteropneustes fossilis","volume":"2","author":[{"family":"Chandra","given":"Ramesh"}],"issued":{"date-parts":[["2024",5,28]]}}},{"id":"r9E9mN5c/ckudpsVe","uris":["http://zotero.org/users/14468226/items/XADAF9P8"],"itemData":{"id":6700,"type":"article-journal","abstract":"The objectives of the present study were to determine the concentrations of heavy metals and metalloids in water, sediment and Osteochilus vittatus fish, and to assess chromosome aberrations, serum biochemical changes and histopathological alterations in O. vittatus from the Nam Kok river near the Sepon gold-copper mine, Lao People's Democratic Republic compared with the reference area. The results showed that Fe, Mn and Ni in water, As and Cd in sediment as well as As, Cd, Cr, Mn and Ni in O. vittatus muscle samples near the gold-copper mine exceeded standard values. Furthermore, the chromosome assessment in O. vittatus revealed seven types of chromosome aberrations, and the highest total number of chromosome aberrations was a centromere gap. The total number of chromosome aberrations, cell number with chromosome aberrations and percentage of chromosome aberrations in O. vittatus as well as serum liver enzymes between the studied areas were significantly different (p &lt; 0.05). The liver histopathological alterations of the fish near the gold-copper mine revealed atypical cellular structures as nuclear membrane degeneration, rough endoplasmic reticulum disintegration and abnormal cytoplasmic mitochondria. The results of this study suggested that heavy metal and metalloid contaminations from the Sepon gold-copper mine area negatively affect O. vittatus fish in terms of chromosomal defects, serum biochemical changes and liver histopathological appearances.","container-title":"International Journal of Environmental Research and Public Health","DOI":"10.3390/ijerph17249492","ISSN":"1660-4601","issue":"24","journalAbbreviation":"Int J Environ Res Public Health","language":"eng","note":"PMID: 33352927\nPMCID: PMC7766976","page":"9492","source":"PubMed","title":"Effects of Contamination by Heavy Metals and Metalloids on Chromosomes, Serum Biochemistry and Histopathology of the Bonylip Barb Fish Near Sepon Gold-Copper Mine, Lao PDR","volume":"17","author":[{"family":"Soulivongsa","given":"Latsamy"},{"family":"Tengjaroenkul","given":"Bundit"},{"family":"Neeratanaphan","given":"Lamyai"}],"issued":{"date-parts":[["2020",12,18]]}}}],"schema":"https://github.com/citation-style-language/schema/raw/master/csl-citation.json"} </w:instrText>
      </w:r>
      <w:r w:rsidR="00DA78C4" w:rsidRPr="000A1EE6">
        <w:rPr>
          <w:rFonts w:ascii="Times New Roman" w:eastAsia="Times New Roman" w:hAnsi="Times New Roman" w:cs="Times New Roman"/>
          <w:color w:val="000000" w:themeColor="text1"/>
          <w:lang w:val="en-US"/>
        </w:rPr>
        <w:fldChar w:fldCharType="separate"/>
      </w:r>
      <w:r w:rsidR="00E5454F">
        <w:rPr>
          <w:rFonts w:ascii="Times New Roman" w:hAnsi="Times New Roman" w:cs="Times New Roman"/>
        </w:rPr>
        <w:t>(Soulivongsa et al. 2020, Chandra 2024)</w:t>
      </w:r>
      <w:r w:rsidR="00DA78C4" w:rsidRPr="000A1EE6">
        <w:rPr>
          <w:rFonts w:ascii="Times New Roman" w:eastAsia="Times New Roman" w:hAnsi="Times New Roman" w:cs="Times New Roman"/>
          <w:color w:val="000000" w:themeColor="text1"/>
          <w:lang w:val="en-US"/>
        </w:rPr>
        <w:fldChar w:fldCharType="end"/>
      </w:r>
      <w:r w:rsidR="00A6227A" w:rsidRPr="000A1EE6">
        <w:rPr>
          <w:rFonts w:ascii="Times New Roman" w:eastAsia="Times New Roman" w:hAnsi="Times New Roman" w:cs="Times New Roman"/>
          <w:color w:val="000000" w:themeColor="text1"/>
          <w:lang w:val="en-US"/>
        </w:rPr>
        <w:t>. These changes reflect both the direct nephrotoxic effects of accumulated metals and PAHs</w:t>
      </w:r>
      <w:r w:rsidR="002C778E">
        <w:rPr>
          <w:rFonts w:ascii="Times New Roman" w:eastAsia="Times New Roman" w:hAnsi="Times New Roman" w:cs="Times New Roman"/>
          <w:color w:val="000000" w:themeColor="text1"/>
          <w:lang w:val="en-US"/>
        </w:rPr>
        <w:t>,</w:t>
      </w:r>
      <w:r w:rsidR="00A6227A" w:rsidRPr="000A1EE6">
        <w:rPr>
          <w:rFonts w:ascii="Times New Roman" w:eastAsia="Times New Roman" w:hAnsi="Times New Roman" w:cs="Times New Roman"/>
          <w:color w:val="000000" w:themeColor="text1"/>
          <w:lang w:val="en-US"/>
        </w:rPr>
        <w:t xml:space="preserve"> and the secondary consequences of systemic oxidative stress. The role</w:t>
      </w:r>
      <w:r w:rsidR="00004662" w:rsidRPr="000A1EE6">
        <w:rPr>
          <w:rFonts w:ascii="Times New Roman" w:eastAsia="Times New Roman" w:hAnsi="Times New Roman" w:cs="Times New Roman"/>
          <w:color w:val="000000" w:themeColor="text1"/>
          <w:lang w:val="en-US"/>
        </w:rPr>
        <w:t xml:space="preserve"> of the</w:t>
      </w:r>
      <w:r w:rsidR="0046069C" w:rsidRPr="000A1EE6">
        <w:rPr>
          <w:rFonts w:ascii="Times New Roman" w:eastAsia="Times New Roman" w:hAnsi="Times New Roman" w:cs="Times New Roman"/>
          <w:color w:val="000000" w:themeColor="text1"/>
          <w:lang w:val="en-US"/>
        </w:rPr>
        <w:t xml:space="preserve"> kidney</w:t>
      </w:r>
      <w:r w:rsidR="00A6227A" w:rsidRPr="000A1EE6">
        <w:rPr>
          <w:rFonts w:ascii="Times New Roman" w:eastAsia="Times New Roman" w:hAnsi="Times New Roman" w:cs="Times New Roman"/>
          <w:color w:val="000000" w:themeColor="text1"/>
          <w:lang w:val="en-US"/>
        </w:rPr>
        <w:t xml:space="preserve"> in maintaining ionic and osmotic homeostasis makes these pathological changes particularly significant for overall health and survival</w:t>
      </w:r>
      <w:r w:rsidR="00360046" w:rsidRPr="000A1EE6">
        <w:rPr>
          <w:rFonts w:ascii="Times New Roman" w:eastAsia="Times New Roman" w:hAnsi="Times New Roman" w:cs="Times New Roman"/>
          <w:color w:val="000000" w:themeColor="text1"/>
          <w:lang w:val="en-US"/>
        </w:rPr>
        <w:t xml:space="preserve"> </w:t>
      </w:r>
      <w:r w:rsidR="006D2320">
        <w:rPr>
          <w:rFonts w:ascii="Times New Roman" w:eastAsia="Times New Roman" w:hAnsi="Times New Roman" w:cs="Times New Roman"/>
          <w:lang w:val="en-US"/>
        </w:rPr>
        <w:t>(</w:t>
      </w:r>
      <w:r w:rsidR="003F5C70">
        <w:rPr>
          <w:rFonts w:ascii="Times New Roman" w:eastAsia="Times New Roman" w:hAnsi="Times New Roman" w:cs="Times New Roman"/>
          <w:b/>
          <w:bCs/>
          <w:lang w:val="en-US"/>
        </w:rPr>
        <w:t>Fig</w:t>
      </w:r>
      <w:r w:rsidR="00AD01EE">
        <w:rPr>
          <w:rFonts w:ascii="Times New Roman" w:eastAsia="Times New Roman" w:hAnsi="Times New Roman" w:cs="Times New Roman"/>
          <w:b/>
          <w:bCs/>
          <w:lang w:val="en-US"/>
        </w:rPr>
        <w:t>ure</w:t>
      </w:r>
      <w:r w:rsidR="003F5C70" w:rsidRPr="2E3070CE">
        <w:rPr>
          <w:rFonts w:ascii="Times New Roman" w:eastAsia="Times New Roman" w:hAnsi="Times New Roman" w:cs="Times New Roman"/>
          <w:b/>
          <w:lang w:val="en-US"/>
        </w:rPr>
        <w:t xml:space="preserve"> </w:t>
      </w:r>
      <w:r w:rsidR="0035357C">
        <w:rPr>
          <w:rFonts w:ascii="Times New Roman" w:eastAsia="Times New Roman" w:hAnsi="Times New Roman" w:cs="Times New Roman"/>
          <w:b/>
          <w:lang w:val="en-US"/>
        </w:rPr>
        <w:t>3</w:t>
      </w:r>
      <w:r w:rsidR="00360046" w:rsidRPr="2E3070CE">
        <w:rPr>
          <w:rFonts w:ascii="Times New Roman" w:eastAsia="Times New Roman" w:hAnsi="Times New Roman" w:cs="Times New Roman"/>
          <w:lang w:val="en-US"/>
        </w:rPr>
        <w:t>).</w:t>
      </w:r>
    </w:p>
    <w:p w14:paraId="2D621F0F" w14:textId="4D60C486" w:rsidR="00826180" w:rsidRPr="000A1EE6" w:rsidRDefault="002D3B54" w:rsidP="000A1EE6">
      <w:pPr>
        <w:spacing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In Caspian</w:t>
      </w:r>
      <w:r w:rsidR="2A879900" w:rsidRPr="2D8CF45F">
        <w:rPr>
          <w:rFonts w:ascii="Times New Roman" w:eastAsia="Times New Roman" w:hAnsi="Times New Roman" w:cs="Times New Roman"/>
          <w:lang w:val="en-US"/>
        </w:rPr>
        <w:t xml:space="preserve"> </w:t>
      </w:r>
      <w:r w:rsidR="45974B04" w:rsidRPr="2D8CF45F">
        <w:rPr>
          <w:rFonts w:ascii="Times New Roman" w:eastAsia="Times New Roman" w:hAnsi="Times New Roman" w:cs="Times New Roman"/>
          <w:lang w:val="en-US"/>
        </w:rPr>
        <w:t>w</w:t>
      </w:r>
      <w:r w:rsidR="2A879900" w:rsidRPr="2D8CF45F">
        <w:rPr>
          <w:rFonts w:ascii="Times New Roman" w:eastAsia="Times New Roman" w:hAnsi="Times New Roman" w:cs="Times New Roman"/>
          <w:lang w:val="en-US"/>
        </w:rPr>
        <w:t>hite fish</w:t>
      </w:r>
      <w:r w:rsidR="00216FD9">
        <w:rPr>
          <w:rFonts w:ascii="Times New Roman" w:eastAsia="Times New Roman" w:hAnsi="Times New Roman" w:cs="Times New Roman"/>
          <w:lang w:val="en-US"/>
        </w:rPr>
        <w:t xml:space="preserve"> (</w:t>
      </w:r>
      <w:r w:rsidR="00216FD9" w:rsidRPr="2E3070CE">
        <w:rPr>
          <w:rFonts w:ascii="Times New Roman" w:eastAsia="Times New Roman" w:hAnsi="Times New Roman" w:cs="Times New Roman"/>
          <w:i/>
          <w:lang w:val="en-US"/>
        </w:rPr>
        <w:t>Rutilus frissi kutum</w:t>
      </w:r>
      <w:r w:rsidR="0036504D">
        <w:rPr>
          <w:rFonts w:ascii="Times New Roman" w:eastAsia="Times New Roman" w:hAnsi="Times New Roman" w:cs="Times New Roman"/>
          <w:lang w:val="en-US"/>
        </w:rPr>
        <w:t>)</w:t>
      </w:r>
      <w:r w:rsidR="2A879900" w:rsidRPr="2D8CF45F">
        <w:rPr>
          <w:rFonts w:ascii="Times New Roman" w:eastAsia="Times New Roman" w:hAnsi="Times New Roman" w:cs="Times New Roman"/>
          <w:lang w:val="en-US"/>
        </w:rPr>
        <w:t>, the liver reflects impaired detoxification and circulatory disturbances upon exposure to B</w:t>
      </w:r>
      <w:r w:rsidR="665EDAB6" w:rsidRPr="2D8CF45F">
        <w:rPr>
          <w:rFonts w:ascii="Times New Roman" w:eastAsia="Times New Roman" w:hAnsi="Times New Roman" w:cs="Times New Roman"/>
          <w:lang w:val="en-US"/>
        </w:rPr>
        <w:t>[</w:t>
      </w:r>
      <w:r w:rsidR="2A879900" w:rsidRPr="005D38D8">
        <w:rPr>
          <w:rFonts w:ascii="Times New Roman" w:eastAsia="Times New Roman" w:hAnsi="Times New Roman" w:cs="Times New Roman"/>
          <w:i/>
          <w:lang w:val="en-US"/>
        </w:rPr>
        <w:t>a</w:t>
      </w:r>
      <w:r w:rsidR="556B52AE" w:rsidRPr="2D8CF45F">
        <w:rPr>
          <w:rFonts w:ascii="Times New Roman" w:eastAsia="Times New Roman" w:hAnsi="Times New Roman" w:cs="Times New Roman"/>
          <w:lang w:val="en-US"/>
        </w:rPr>
        <w:t>]</w:t>
      </w:r>
      <w:r w:rsidR="2A879900" w:rsidRPr="2D8CF45F">
        <w:rPr>
          <w:rFonts w:ascii="Times New Roman" w:eastAsia="Times New Roman" w:hAnsi="Times New Roman" w:cs="Times New Roman"/>
          <w:lang w:val="en-US"/>
        </w:rPr>
        <w:t>P</w:t>
      </w:r>
      <w:r w:rsidR="3194F3FE" w:rsidRPr="2D8CF45F">
        <w:rPr>
          <w:rFonts w:ascii="Times New Roman" w:eastAsia="Times New Roman" w:hAnsi="Times New Roman" w:cs="Times New Roman"/>
          <w:lang w:val="en-US"/>
        </w:rPr>
        <w:t xml:space="preserve"> </w:t>
      </w:r>
      <w:r w:rsidR="005F74ED" w:rsidRPr="2D8CF45F">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{"citationID":"zDKPZJPc","properties":{"formattedCitation":"(Esmaeilbeigi et al. 2021)","plainCitation":"(Esmaeilbeigi et al. 2021)","noteIndex":0},"citationItems":[{"id":"r9E9mN5c/YrAY4dC0","uris":["http://zotero.org/users/14468226/items/ECAT7CVQ"],"itemData":{"id":6945,"type":"article-journal","abstract":"Southern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00E5454F">
        <w:rPr>
          <w:rFonts w:ascii="Times New Roman" w:hAnsi="Times New Roman" w:cs="Times New Roman"/>
        </w:rPr>
        <w:t>(Esmaeilbeigi et al. 2021)</w:t>
      </w:r>
      <w:r w:rsidR="005F74ED" w:rsidRPr="2D8CF45F">
        <w:rPr>
          <w:rFonts w:ascii="Times New Roman" w:eastAsia="Times New Roman" w:hAnsi="Times New Roman" w:cs="Times New Roman"/>
          <w:lang w:val="en-US"/>
        </w:rPr>
        <w:fldChar w:fldCharType="end"/>
      </w:r>
      <w:r w:rsidR="3194F3FE" w:rsidRPr="2D8CF45F">
        <w:rPr>
          <w:rFonts w:ascii="Times New Roman" w:eastAsia="Times New Roman" w:hAnsi="Times New Roman" w:cs="Times New Roman"/>
          <w:lang w:val="en-US"/>
        </w:rPr>
        <w:t xml:space="preserve">. </w:t>
      </w:r>
      <w:r w:rsidR="2A879900" w:rsidRPr="2D8CF45F">
        <w:rPr>
          <w:rFonts w:ascii="Times New Roman" w:eastAsia="Times New Roman" w:hAnsi="Times New Roman" w:cs="Times New Roman"/>
          <w:lang w:val="en-US"/>
        </w:rPr>
        <w:t xml:space="preserve"> </w:t>
      </w:r>
      <w:r w:rsidR="2A879900" w:rsidRPr="2D8CF45F">
        <w:rPr>
          <w:rFonts w:ascii="Times New Roman" w:eastAsia="Times New Roman" w:hAnsi="Times New Roman" w:cs="Times New Roman"/>
          <w:i/>
          <w:iCs/>
          <w:lang w:val="en-US"/>
        </w:rPr>
        <w:t xml:space="preserve">Cyprinus </w:t>
      </w:r>
      <w:r w:rsidR="2A879900" w:rsidRPr="2E3070CE">
        <w:rPr>
          <w:rFonts w:ascii="Times New Roman" w:eastAsia="Times New Roman" w:hAnsi="Times New Roman" w:cs="Times New Roman"/>
          <w:i/>
          <w:iCs/>
          <w:lang w:val="en-US"/>
        </w:rPr>
        <w:t>carpio</w:t>
      </w:r>
      <w:r w:rsidR="00520126">
        <w:rPr>
          <w:rFonts w:ascii="Times New Roman" w:eastAsia="Times New Roman" w:hAnsi="Times New Roman" w:cs="Times New Roman"/>
          <w:i/>
          <w:iCs/>
          <w:lang w:val="en-US"/>
        </w:rPr>
        <w:t xml:space="preserve"> </w:t>
      </w:r>
      <w:r w:rsidR="2A879900" w:rsidRPr="2E3070CE">
        <w:rPr>
          <w:rFonts w:ascii="Times New Roman" w:eastAsia="Times New Roman" w:hAnsi="Times New Roman" w:cs="Times New Roman"/>
          <w:lang w:val="en-US"/>
        </w:rPr>
        <w:t>specifically induce</w:t>
      </w:r>
      <w:r w:rsidR="0030737E" w:rsidRPr="2E3070CE">
        <w:rPr>
          <w:rFonts w:ascii="Times New Roman" w:eastAsia="Times New Roman" w:hAnsi="Times New Roman" w:cs="Times New Roman"/>
          <w:lang w:val="en-US"/>
        </w:rPr>
        <w:t>s</w:t>
      </w:r>
      <w:r w:rsidR="71837D12" w:rsidRPr="2E3070CE">
        <w:rPr>
          <w:rFonts w:ascii="Times New Roman" w:eastAsia="Times New Roman" w:hAnsi="Times New Roman" w:cs="Times New Roman"/>
          <w:lang w:val="en-US"/>
        </w:rPr>
        <w:t xml:space="preserve">, </w:t>
      </w:r>
      <w:r w:rsidR="71837D12" w:rsidRPr="2D8CF45F">
        <w:rPr>
          <w:rFonts w:ascii="Times New Roman" w:eastAsia="Times New Roman" w:hAnsi="Times New Roman" w:cs="Times New Roman"/>
          <w:lang w:val="en-US"/>
        </w:rPr>
        <w:t xml:space="preserve"> swelling, necrosis, and cavitation in the gills,</w:t>
      </w:r>
      <w:r w:rsidR="71837D12" w:rsidRPr="2D8CF45F" w:rsidDel="003319E4">
        <w:rPr>
          <w:rFonts w:ascii="Times New Roman" w:eastAsia="Times New Roman" w:hAnsi="Times New Roman" w:cs="Times New Roman"/>
          <w:lang w:val="en-US"/>
        </w:rPr>
        <w:t xml:space="preserve"> </w:t>
      </w:r>
      <w:r w:rsidR="003319E4" w:rsidRPr="2D8CF45F">
        <w:rPr>
          <w:rFonts w:ascii="Times New Roman" w:eastAsia="Times New Roman" w:hAnsi="Times New Roman" w:cs="Times New Roman"/>
          <w:lang w:val="en-US"/>
        </w:rPr>
        <w:t>result</w:t>
      </w:r>
      <w:r w:rsidR="003319E4">
        <w:rPr>
          <w:rFonts w:ascii="Times New Roman" w:eastAsia="Times New Roman" w:hAnsi="Times New Roman" w:cs="Times New Roman"/>
          <w:lang w:val="en-US"/>
        </w:rPr>
        <w:t>ing</w:t>
      </w:r>
      <w:r w:rsidR="003319E4" w:rsidRPr="2D8CF45F">
        <w:rPr>
          <w:rFonts w:ascii="Times New Roman" w:eastAsia="Times New Roman" w:hAnsi="Times New Roman" w:cs="Times New Roman"/>
          <w:lang w:val="en-US"/>
        </w:rPr>
        <w:t xml:space="preserve"> </w:t>
      </w:r>
      <w:r w:rsidR="71837D12" w:rsidRPr="2D8CF45F">
        <w:rPr>
          <w:rFonts w:ascii="Times New Roman" w:eastAsia="Times New Roman" w:hAnsi="Times New Roman" w:cs="Times New Roman"/>
          <w:lang w:val="en-US"/>
        </w:rPr>
        <w:t xml:space="preserve">in swollen ootids with condensed or broken nuclei in the gonads </w:t>
      </w:r>
      <w:r w:rsidR="005F74ED" w:rsidRPr="2D8CF45F">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{"citationID":"WnaKLkl1","properties":{"formattedCitation":"(Sha et al. 2021)","plainCitation":"(Sha et al. 2021)","noteIndex":0},"citationItems":[{"id":"r9E9mN5c/ZbANypg5","uris":["http://zotero.org/users/14468226/items/GBICASCI"],"itemData":{"id":6937,"type":"article-journal","abstract":"The risk of polycyclic aromatic hydrocarbon exposure in aquatic organisms is a global concern. In this study, we investigated the toxic effects of different doses of benzo(a)pyrene (BaP) on Cyprinus carpio in microcosms from the following aspects: superoxide dismutase (SOD) and peroxidase (POD) activity, malondialdehyde (MDA) content in the gill, liver, and gonad; glutathione s-transferase (GST), aromatic hydroxylase (AHH), and 7-ethoxyresorufin-O-deethylase (EROD) activity in the liver; and altered tissue and cellular structures of the gill, liver,and gonad. SOD and POD activity in the gill, liver, and gonad increased in low-dose BaP groups and significantly decreased with an increase in BaP. MDA content increased continuously with an increase in BaP in the gill, liver, and gonad. The activity of enzymes related to detoxification, specifically GST, AHH, and EROD, gradually increased in the liver with an increase in BaP. Upon exposure to BaP, gill hypertrophy, bulging, necrosis, and cavitation occurred, gonadal cells became larger, with an increase in pyknotic or vacuolar nuclei, bulging and cavitation of organelles, and cytoplasm leakage, and nuclear membrane lysis was observed in the liver. Collectively, BaP exposure changed the SOD and POD activity in the gill, liver, and gonad of carp with increases in MDA content, increased GST, AHH, and EROD activity in liver, and damaged the tissue and cellular structures of the gill, liver, and gonad, revealing the toxic effects of BaP exposure on carp.","container-title":"Environmental Science and Pollution Research","DOI":"10.1007/s11356-021-15065-0","ISSN":"1614-7499","issue":"43","journalAbbreviation":"Environ Sci Pollut Res","language":"en","page":"61290-61301","source":"Springer Link","title":"Biomarker responses and histological damage in the gill, liver, and gonad of Cyprinus carpio with benzo(a)pyrene exposure","volume":"28","author":[{"family":"Sha","given":"Weilai"},{"family":"Cai","given":"Fengsen"},{"family":"Li","given":"Yu"},{"family":"Wang","given":"Ying"},{"family":"Liu","given":"Chunchen"},{"family":"Wang","given":"Renjun"},{"family":"Gao","given":"Peike"}],"issued":{"date-parts":[["2021",11,1]]}}}],"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00E5454F">
        <w:rPr>
          <w:rFonts w:ascii="Times New Roman" w:hAnsi="Times New Roman" w:cs="Times New Roman"/>
        </w:rPr>
        <w:t>(Sha et al. 2021)</w:t>
      </w:r>
      <w:r w:rsidR="005F74ED" w:rsidRPr="2D8CF45F">
        <w:rPr>
          <w:rFonts w:ascii="Times New Roman" w:eastAsia="Times New Roman" w:hAnsi="Times New Roman" w:cs="Times New Roman"/>
          <w:lang w:val="en-US"/>
        </w:rPr>
        <w:fldChar w:fldCharType="end"/>
      </w:r>
      <w:r w:rsidR="2A879900" w:rsidRPr="2D8CF45F">
        <w:rPr>
          <w:rFonts w:ascii="Times New Roman" w:eastAsia="Times New Roman" w:hAnsi="Times New Roman" w:cs="Times New Roman"/>
          <w:lang w:val="en-US"/>
        </w:rPr>
        <w:t>.</w:t>
      </w:r>
      <w:r w:rsidR="304B3F9D" w:rsidRPr="2D8CF45F">
        <w:rPr>
          <w:rFonts w:ascii="Times New Roman" w:eastAsia="Times New Roman" w:hAnsi="Times New Roman" w:cs="Times New Roman"/>
          <w:lang w:val="en-US"/>
        </w:rPr>
        <w:t xml:space="preserve"> </w:t>
      </w:r>
      <w:r w:rsidR="52704505" w:rsidRPr="2D8CF45F">
        <w:rPr>
          <w:rFonts w:ascii="Times New Roman" w:eastAsia="Times New Roman" w:hAnsi="Times New Roman" w:cs="Times New Roman"/>
          <w:lang w:val="en-US"/>
        </w:rPr>
        <w:t xml:space="preserve">Studies </w:t>
      </w:r>
      <w:r w:rsidR="00F34E0A">
        <w:rPr>
          <w:rFonts w:ascii="Times New Roman" w:eastAsia="Times New Roman" w:hAnsi="Times New Roman" w:cs="Times New Roman"/>
          <w:lang w:val="en-US"/>
        </w:rPr>
        <w:t>on</w:t>
      </w:r>
      <w:r w:rsidR="52704505" w:rsidRPr="2D8CF45F">
        <w:rPr>
          <w:rFonts w:ascii="Times New Roman" w:eastAsia="Times New Roman" w:hAnsi="Times New Roman" w:cs="Times New Roman"/>
          <w:lang w:val="en-US"/>
        </w:rPr>
        <w:t xml:space="preserve"> fish populations from the Sepon gold-copper mine area have provided detailed documentation of mining</w:t>
      </w:r>
      <w:r w:rsidR="00735B9E">
        <w:rPr>
          <w:rFonts w:ascii="Times New Roman" w:eastAsia="Times New Roman" w:hAnsi="Times New Roman" w:cs="Times New Roman"/>
          <w:lang w:val="en-US"/>
        </w:rPr>
        <w:t>-</w:t>
      </w:r>
      <w:r w:rsidR="30CC423C" w:rsidRPr="2D8CF45F">
        <w:rPr>
          <w:rFonts w:ascii="Times New Roman" w:eastAsia="Times New Roman" w:hAnsi="Times New Roman" w:cs="Times New Roman"/>
          <w:lang w:val="en-US"/>
        </w:rPr>
        <w:t xml:space="preserve"> contamination-associated</w:t>
      </w:r>
      <w:r w:rsidR="52704505" w:rsidRPr="2D8CF45F">
        <w:rPr>
          <w:rFonts w:ascii="Times New Roman" w:eastAsia="Times New Roman" w:hAnsi="Times New Roman" w:cs="Times New Roman"/>
          <w:lang w:val="en-US"/>
        </w:rPr>
        <w:t xml:space="preserve"> histopathology </w:t>
      </w:r>
      <w:r w:rsidR="005F74ED" w:rsidRPr="2D8CF45F">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{"citationID":"YVUOBCkk","properties":{"formattedCitation":"(Soulivongsa et al. 2020)","plainCitation":"(Soulivongsa et al. 2020)","noteIndex":0},"citationItems":[{"id":"r9E9mN5c/ckudpsVe","uris":["http://zotero.org/users/14468226/items/XADAF9P8"],"itemData":{"id":6700,"type":"article-journal","abstract":"The objectives of the present study were to determine the concentrations of heavy metals and metalloids in water, sediment and Osteochilus vittatus fish, and to assess chromosome aberrations, serum biochemical changes and histopathological alterations in O. vittatus from the Nam Kok river near the Sepon gold-copper mine, Lao People's Democratic Republic compared with the reference area. The results showed that Fe, Mn and Ni in water, As and Cd in sediment as well as As, Cd, Cr, Mn and Ni in O. vittatus muscle samples near the gold-copper mine exceeded standard values. Furthermore, the chromosome assessment in O. vittatus revealed seven types of chromosome aberrations, and the highest total number of chromosome aberrations was a centromere gap. The total number of chromosome aberrations, cell number with chromosome aberrations and percentage of chromosome aberrations in O. vittatus as well as serum liver enzymes between the studied areas were significantly different (p &lt; 0.05). The liver histopathological alterations of the fish near the gold-copper mine revealed atypical cellular structures as nuclear membrane degeneration, rough endoplasmic reticulum disintegration and abnormal cytoplasmic mitochondria. The results of this study suggested that heavy metal and metalloid contaminations from the Sepon gold-copper mine area negatively affect O. vittatus fish in terms of chromosomal defects, serum biochemical changes and liver histopathological appearances.","container-title":"International Journal of Environmental Research and Public Health","DOI":"10.3390/ijerph17249492","ISSN":"1660-4601","issue":"24","journalAbbreviation":"Int J Environ Res Public Health","language":"eng","note":"PMID: 33352927\nPMCID: PMC7766976","page":"9492","source":"PubMed","title":"Effects of Contamination by Heavy Metals and Metalloids on Chromosomes, Serum Biochemistry and Histopathology of the Bonylip Barb Fish Near Sepon Gold-Copper Mine, Lao PDR","volume":"17","author":[{"family":"Soulivongsa","given":"Latsamy"},{"family":"Tengjaroenkul","given":"Bundit"},{"family":"Neeratanaphan","given":"Lamyai"}],"issued":{"date-parts":[["2020",12,18]]}}}],"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00E5454F">
        <w:rPr>
          <w:rFonts w:ascii="Times New Roman" w:hAnsi="Times New Roman" w:cs="Times New Roman"/>
        </w:rPr>
        <w:t>(Soulivongsa et al. 2020)</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 xml:space="preserve">. </w:t>
      </w:r>
      <w:r w:rsidR="00076E80" w:rsidRPr="00076E80">
        <w:rPr>
          <w:rFonts w:ascii="Times New Roman" w:eastAsia="Times New Roman" w:hAnsi="Times New Roman" w:cs="Times New Roman"/>
          <w:lang w:val="en-US"/>
        </w:rPr>
        <w:t>Hampala Barb Fish</w:t>
      </w:r>
      <w:r w:rsidR="00076E80">
        <w:rPr>
          <w:rFonts w:ascii="Times New Roman" w:eastAsia="Times New Roman" w:hAnsi="Times New Roman" w:cs="Times New Roman"/>
          <w:lang w:val="en-US"/>
        </w:rPr>
        <w:t xml:space="preserve"> (</w:t>
      </w:r>
      <w:r w:rsidR="52704505" w:rsidRPr="2D8CF45F">
        <w:rPr>
          <w:rFonts w:ascii="Times New Roman" w:eastAsia="Times New Roman" w:hAnsi="Times New Roman" w:cs="Times New Roman"/>
          <w:i/>
          <w:iCs/>
          <w:lang w:val="en-US"/>
        </w:rPr>
        <w:t>Hampala macrolepidota</w:t>
      </w:r>
      <w:r w:rsidR="00076E80">
        <w:rPr>
          <w:rFonts w:ascii="Times New Roman" w:eastAsia="Times New Roman" w:hAnsi="Times New Roman" w:cs="Times New Roman"/>
          <w:i/>
          <w:iCs/>
          <w:lang w:val="en-US"/>
        </w:rPr>
        <w:t>)</w:t>
      </w:r>
      <w:r w:rsidR="52704505" w:rsidRPr="2E3070CE">
        <w:rPr>
          <w:rFonts w:ascii="Times New Roman" w:eastAsia="Times New Roman" w:hAnsi="Times New Roman" w:cs="Times New Roman"/>
          <w:lang w:val="en-US"/>
        </w:rPr>
        <w:t xml:space="preserve"> and</w:t>
      </w:r>
      <w:r w:rsidR="52704505" w:rsidRPr="2D8CF45F">
        <w:rPr>
          <w:rFonts w:ascii="Times New Roman" w:eastAsia="Times New Roman" w:hAnsi="Times New Roman" w:cs="Times New Roman"/>
          <w:lang w:val="en-US"/>
        </w:rPr>
        <w:t xml:space="preserve"> </w:t>
      </w:r>
      <w:r w:rsidR="52704505" w:rsidRPr="2D8CF45F">
        <w:rPr>
          <w:rFonts w:ascii="Times New Roman" w:eastAsia="Times New Roman" w:hAnsi="Times New Roman" w:cs="Times New Roman"/>
          <w:i/>
          <w:iCs/>
          <w:lang w:val="en-US"/>
        </w:rPr>
        <w:t>Osteochilus</w:t>
      </w:r>
      <w:r w:rsidR="52704505" w:rsidRPr="2D8CF45F">
        <w:rPr>
          <w:rFonts w:ascii="Times New Roman" w:eastAsia="Times New Roman" w:hAnsi="Times New Roman" w:cs="Times New Roman"/>
          <w:lang w:val="en-US"/>
        </w:rPr>
        <w:t xml:space="preserve"> </w:t>
      </w:r>
      <w:r w:rsidR="52704505" w:rsidRPr="2D8CF45F">
        <w:rPr>
          <w:rFonts w:ascii="Times New Roman" w:eastAsia="Times New Roman" w:hAnsi="Times New Roman" w:cs="Times New Roman"/>
          <w:i/>
          <w:iCs/>
          <w:lang w:val="en-US"/>
        </w:rPr>
        <w:t>vittatus</w:t>
      </w:r>
      <w:r w:rsidR="52704505" w:rsidRPr="2D8CF45F">
        <w:rPr>
          <w:rFonts w:ascii="Times New Roman" w:eastAsia="Times New Roman" w:hAnsi="Times New Roman" w:cs="Times New Roman"/>
          <w:lang w:val="en-US"/>
        </w:rPr>
        <w:t xml:space="preserve"> from contaminated sites showed significant liver damage, including hepatocyte degeneration, nuclear abnormalities, and increased melanomacrophage </w:t>
      </w:r>
      <w:r w:rsidR="20849F78" w:rsidRPr="2D8CF45F">
        <w:rPr>
          <w:rFonts w:ascii="Times New Roman" w:eastAsia="Times New Roman" w:hAnsi="Times New Roman" w:cs="Times New Roman"/>
          <w:lang w:val="en-US"/>
        </w:rPr>
        <w:t>cen</w:t>
      </w:r>
      <w:r w:rsidR="564F2817" w:rsidRPr="2D8CF45F">
        <w:rPr>
          <w:rFonts w:ascii="Times New Roman" w:eastAsia="Times New Roman" w:hAnsi="Times New Roman" w:cs="Times New Roman"/>
          <w:lang w:val="en-US"/>
        </w:rPr>
        <w:t>ters</w:t>
      </w:r>
      <w:r w:rsidR="00F34E0A">
        <w:rPr>
          <w:rFonts w:ascii="Times New Roman" w:eastAsia="Times New Roman" w:hAnsi="Times New Roman" w:cs="Times New Roman"/>
          <w:lang w:val="en-US"/>
        </w:rPr>
        <w:t>,</w:t>
      </w:r>
      <w:r w:rsidR="52704505" w:rsidRPr="2D8CF45F">
        <w:rPr>
          <w:rFonts w:ascii="Times New Roman" w:eastAsia="Times New Roman" w:hAnsi="Times New Roman" w:cs="Times New Roman"/>
          <w:lang w:val="en-US"/>
        </w:rPr>
        <w:t xml:space="preserve"> compared </w:t>
      </w:r>
      <w:r w:rsidR="00061FCE">
        <w:rPr>
          <w:rFonts w:ascii="Times New Roman" w:eastAsia="Times New Roman" w:hAnsi="Times New Roman" w:cs="Times New Roman"/>
          <w:lang w:val="en-US"/>
        </w:rPr>
        <w:t>with</w:t>
      </w:r>
      <w:r w:rsidR="00061FCE" w:rsidRPr="2D8CF45F">
        <w:rPr>
          <w:rFonts w:ascii="Times New Roman" w:eastAsia="Times New Roman" w:hAnsi="Times New Roman" w:cs="Times New Roman"/>
          <w:lang w:val="en-US"/>
        </w:rPr>
        <w:t xml:space="preserve"> </w:t>
      </w:r>
      <w:r w:rsidR="00F34E0A">
        <w:rPr>
          <w:rFonts w:ascii="Times New Roman" w:eastAsia="Times New Roman" w:hAnsi="Times New Roman" w:cs="Times New Roman"/>
          <w:lang w:val="en-US"/>
        </w:rPr>
        <w:t xml:space="preserve">those in </w:t>
      </w:r>
      <w:r w:rsidR="52704505" w:rsidRPr="2D8CF45F">
        <w:rPr>
          <w:rFonts w:ascii="Times New Roman" w:eastAsia="Times New Roman" w:hAnsi="Times New Roman" w:cs="Times New Roman"/>
          <w:lang w:val="en-US"/>
        </w:rPr>
        <w:t xml:space="preserve">reference populations </w:t>
      </w:r>
      <w:r w:rsidR="005F74ED" w:rsidRPr="2D8CF45F">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{"citationID":"RNwMgnvg","properties":{"formattedCitation":"(Soulivongsa et al. 2021)","plainCitation":"(Soulivongsa et al. 2021)","noteIndex":0},"citationItems":[{"id":"r9E9mN5c/T5jg1SAz","uris":["http://zotero.org/users/14468226/items/UDZMH9M5"],"itemData":{"id":6697,"type":"article-journal","abstract":"This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00E5454F">
        <w:rPr>
          <w:rFonts w:ascii="Times New Roman" w:hAnsi="Times New Roman" w:cs="Times New Roman"/>
        </w:rPr>
        <w:t>(Soulivongsa et al. 2021)</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 Specifically, B</w:t>
      </w:r>
      <w:r w:rsidR="32F4462D" w:rsidRPr="2D8CF45F">
        <w:rPr>
          <w:rFonts w:ascii="Times New Roman" w:eastAsia="Times New Roman" w:hAnsi="Times New Roman" w:cs="Times New Roman"/>
          <w:lang w:val="en-US"/>
        </w:rPr>
        <w:t>[</w:t>
      </w:r>
      <w:r w:rsidR="52704505" w:rsidRPr="00590933">
        <w:rPr>
          <w:rFonts w:ascii="Times New Roman" w:eastAsia="Times New Roman" w:hAnsi="Times New Roman" w:cs="Times New Roman"/>
          <w:i/>
          <w:lang w:val="en-US"/>
        </w:rPr>
        <w:t>a</w:t>
      </w:r>
      <w:r w:rsidR="70C47F80" w:rsidRPr="2D8CF45F">
        <w:rPr>
          <w:rFonts w:ascii="Times New Roman" w:eastAsia="Times New Roman" w:hAnsi="Times New Roman" w:cs="Times New Roman"/>
          <w:lang w:val="en-US"/>
        </w:rPr>
        <w:t>]</w:t>
      </w:r>
      <w:r w:rsidR="52704505" w:rsidRPr="2D8CF45F">
        <w:rPr>
          <w:rFonts w:ascii="Times New Roman" w:eastAsia="Times New Roman" w:hAnsi="Times New Roman" w:cs="Times New Roman"/>
          <w:lang w:val="en-US"/>
        </w:rPr>
        <w:t>P exposure in Caspian White fish (</w:t>
      </w:r>
      <w:r w:rsidR="52704505" w:rsidRPr="2D8CF45F">
        <w:rPr>
          <w:rFonts w:ascii="Times New Roman" w:eastAsia="Times New Roman" w:hAnsi="Times New Roman" w:cs="Times New Roman"/>
          <w:i/>
          <w:iCs/>
          <w:lang w:val="en-US"/>
        </w:rPr>
        <w:t>Rutilus frissi kutum</w:t>
      </w:r>
      <w:r w:rsidR="52704505" w:rsidRPr="2D8CF45F">
        <w:rPr>
          <w:rFonts w:ascii="Times New Roman" w:eastAsia="Times New Roman" w:hAnsi="Times New Roman" w:cs="Times New Roman"/>
          <w:lang w:val="en-US"/>
        </w:rPr>
        <w:t>) causes gill disruption, impair</w:t>
      </w:r>
      <w:r w:rsidR="564F2817" w:rsidRPr="2D8CF45F">
        <w:rPr>
          <w:rFonts w:ascii="Times New Roman" w:eastAsia="Times New Roman" w:hAnsi="Times New Roman" w:cs="Times New Roman"/>
          <w:lang w:val="en-US"/>
        </w:rPr>
        <w:t>ed</w:t>
      </w:r>
      <w:r w:rsidR="52704505" w:rsidRPr="2D8CF45F">
        <w:rPr>
          <w:rFonts w:ascii="Times New Roman" w:eastAsia="Times New Roman" w:hAnsi="Times New Roman" w:cs="Times New Roman"/>
          <w:lang w:val="en-US"/>
        </w:rPr>
        <w:t xml:space="preserve"> respiration, </w:t>
      </w:r>
      <w:r w:rsidR="564F2817" w:rsidRPr="2D8CF45F">
        <w:rPr>
          <w:rFonts w:ascii="Times New Roman" w:eastAsia="Times New Roman" w:hAnsi="Times New Roman" w:cs="Times New Roman"/>
          <w:lang w:val="en-US"/>
        </w:rPr>
        <w:t>and</w:t>
      </w:r>
      <w:r w:rsidR="52704505" w:rsidRPr="2D8CF45F">
        <w:rPr>
          <w:rFonts w:ascii="Times New Roman" w:eastAsia="Times New Roman" w:hAnsi="Times New Roman" w:cs="Times New Roman"/>
          <w:lang w:val="en-US"/>
        </w:rPr>
        <w:t xml:space="preserve"> hepatic lesions</w:t>
      </w:r>
      <w:r w:rsidR="00AA1CA5">
        <w:rPr>
          <w:rFonts w:ascii="Times New Roman" w:eastAsia="Times New Roman" w:hAnsi="Times New Roman" w:cs="Times New Roman"/>
          <w:lang w:val="en-US"/>
        </w:rPr>
        <w:t>, which are</w:t>
      </w:r>
      <w:r w:rsidR="52704505" w:rsidRPr="2D8CF45F">
        <w:rPr>
          <w:rFonts w:ascii="Times New Roman" w:eastAsia="Times New Roman" w:hAnsi="Times New Roman" w:cs="Times New Roman"/>
          <w:lang w:val="en-US"/>
        </w:rPr>
        <w:t xml:space="preserve"> indicative of detoxification failure and circulatory disturbances</w:t>
      </w:r>
      <w:r w:rsidR="63C3BB36" w:rsidRPr="2D8CF45F">
        <w:rPr>
          <w:rFonts w:ascii="Times New Roman" w:eastAsia="Times New Roman" w:hAnsi="Times New Roman" w:cs="Times New Roman"/>
          <w:lang w:val="en-US"/>
        </w:rPr>
        <w:t xml:space="preserve"> </w:t>
      </w:r>
      <w:r w:rsidR="005F74ED" w:rsidRPr="2D8CF45F">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{"citationID":"uz1B6X4I","properties":{"formattedCitation":"(Esmaeilbeigi et al. 2021)","plainCitation":"(Esmaeilbeigi et al. 2021)","noteIndex":0},"citationItems":[{"id":"r9E9mN5c/YrAY4dC0","uris":["http://zotero.org/users/14468226/items/ECAT7CVQ"],"itemData":{"id":6945,"type":"article-journal","abstract":"Southern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00E5454F">
        <w:rPr>
          <w:rFonts w:ascii="Times New Roman" w:hAnsi="Times New Roman" w:cs="Times New Roman"/>
        </w:rPr>
        <w:t>(Esmaeilbeigi et al. 2021)</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 xml:space="preserve">. Catfish exposed to PAH mixtures exhibit </w:t>
      </w:r>
      <w:r w:rsidR="42334326" w:rsidRPr="2D8CF45F">
        <w:rPr>
          <w:rFonts w:ascii="Times New Roman" w:eastAsia="Times New Roman" w:hAnsi="Times New Roman" w:cs="Times New Roman"/>
          <w:lang w:val="en-US"/>
        </w:rPr>
        <w:t>disorganized</w:t>
      </w:r>
      <w:r w:rsidR="52704505" w:rsidRPr="2D8CF45F">
        <w:rPr>
          <w:rFonts w:ascii="Times New Roman" w:eastAsia="Times New Roman" w:hAnsi="Times New Roman" w:cs="Times New Roman"/>
          <w:lang w:val="en-US"/>
        </w:rPr>
        <w:t xml:space="preserve"> gill lamellae and dense immune cell </w:t>
      </w:r>
      <w:r w:rsidR="00F34E0A">
        <w:rPr>
          <w:rFonts w:ascii="Times New Roman" w:eastAsia="Times New Roman" w:hAnsi="Times New Roman" w:cs="Times New Roman"/>
          <w:lang w:val="en-US"/>
        </w:rPr>
        <w:t>infiltration</w:t>
      </w:r>
      <w:r w:rsidR="52704505" w:rsidRPr="2D8CF45F">
        <w:rPr>
          <w:rFonts w:ascii="Times New Roman" w:eastAsia="Times New Roman" w:hAnsi="Times New Roman" w:cs="Times New Roman"/>
          <w:lang w:val="en-US"/>
        </w:rPr>
        <w:t xml:space="preserve"> in the liver, indicating structural damage</w:t>
      </w:r>
      <w:r w:rsidR="0740676F" w:rsidRPr="2D8CF45F">
        <w:rPr>
          <w:rFonts w:ascii="Times New Roman" w:eastAsia="Times New Roman" w:hAnsi="Times New Roman" w:cs="Times New Roman"/>
          <w:lang w:val="en-US"/>
        </w:rPr>
        <w:t xml:space="preserve"> </w:t>
      </w:r>
      <w:r w:rsidR="005F74ED" w:rsidRPr="2D8CF45F">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{"citationID":"QkCwMkME","properties":{"formattedCitation":"(Osuagwu et al. 2023)","plainCitation":"(Osuagwu et al. 2023)","noteIndex":0},"citationItems":[{"id":"r9E9mN5c/N27nJF7D","uris":["http://zotero.org/users/14468226/items/FNTBFLSY"],"itemData":{"id":6940,"type":"article-journal","abstract":"The effect of joint mixtures of phenanthrene and benzo[a]pyrene on selected hematological and histopathological parameters of the Clarias gariepinus was investigated. Healthy juvenile C. gariepinus (n = 90) weighing 19.7 ± 1.8 g were exposed to sublethal concentrations of joint mixtures of phenanthrene and benzo[a]pyrene for a subchronic period of 35 days. Acute toxicity studies showed that phenanthrene and benzo[a]pyrene had LC50 values of 1400 and 16 μg/L respectively while the safe limits of the chemicals varied in the ranges of 0.00016 to 1.6 μg/L and 0.014 to 140 μg/L for benzo[a]pyrene and phenanthrene respectively. The joint mixture significantly (p &amp;lt; 0.05) reduced growth rate in exposed fish. The joint mixtures also led to significant (p &amp;lt; 0.05) declines in the studied hematological parameters including blood cell count (RBC), hemoglobin (Hb), and hematocrit (Hct). The erythrocyte indices including mean corpuscular volume (MCV), mean corpuscular hemoglobin (MCH) and mean corpuscular hemoglobin concentration (MCHC) all showed significant (p &amp;lt; 0.05) declines in the presence of the joint toxicants. There were significant (p &amp;lt; 0.05) increases in white blood cell (WBC) count and platelet (PLT) count. Histopathological examination showed alterations in the liver and gill sections of exposed fish.","container-title":"Biological Sciences","DOI":"10.55006/biolsciences.2023.3202","ISSN":"2583-1399","issue":"2","language":"en","license":"Copyright (c) 2023 IR Research Publication","page":"399-405","source":"www.irrespub.com","title":"Assessment of haematological and histopathological effects of mixture toxicity of phenanthrene and benzo[a]pyrene in catfish","volume":"3","author":[{"family":"Osuagwu","given":"Uchechukwu O."},{"family":"Ujowundu","given":"Cosmas O."},{"family":"Nwaogu","given":"Linus A."},{"family":"Nwaoguikpe","given":"Reginald N."}],"issued":{"date-parts":[["2023",5,13]]}}}],"schema":"https://github.com/citation-style-language/schema/raw/master/csl-citation.json"}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00E5454F">
        <w:rPr>
          <w:rFonts w:ascii="Times New Roman" w:hAnsi="Times New Roman" w:cs="Times New Roman"/>
        </w:rPr>
        <w:t>(Osuagwu et al. 2023)</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 xml:space="preserve">. In </w:t>
      </w:r>
      <w:r w:rsidR="52704505" w:rsidRPr="2D8CF45F">
        <w:rPr>
          <w:rFonts w:ascii="Times New Roman" w:eastAsia="Times New Roman" w:hAnsi="Times New Roman" w:cs="Times New Roman"/>
          <w:i/>
          <w:iCs/>
          <w:lang w:val="en-US"/>
        </w:rPr>
        <w:t>Cyprinus carpio</w:t>
      </w:r>
      <w:r w:rsidR="52704505" w:rsidRPr="2D8CF45F">
        <w:rPr>
          <w:rFonts w:ascii="Times New Roman" w:eastAsia="Times New Roman" w:hAnsi="Times New Roman" w:cs="Times New Roman"/>
          <w:lang w:val="en-US"/>
        </w:rPr>
        <w:t>, B</w:t>
      </w:r>
      <w:r w:rsidR="3658D150" w:rsidRPr="2D8CF45F">
        <w:rPr>
          <w:rFonts w:ascii="Times New Roman" w:eastAsia="Times New Roman" w:hAnsi="Times New Roman" w:cs="Times New Roman"/>
          <w:lang w:val="en-US"/>
        </w:rPr>
        <w:t>[</w:t>
      </w:r>
      <w:r w:rsidR="52704505" w:rsidRPr="007C4E46">
        <w:rPr>
          <w:rFonts w:ascii="Times New Roman" w:eastAsia="Times New Roman" w:hAnsi="Times New Roman" w:cs="Times New Roman"/>
          <w:i/>
          <w:iCs/>
          <w:lang w:val="en-US"/>
        </w:rPr>
        <w:t>a</w:t>
      </w:r>
      <w:r w:rsidR="5B424229" w:rsidRPr="2D8CF45F">
        <w:rPr>
          <w:rFonts w:ascii="Times New Roman" w:eastAsia="Times New Roman" w:hAnsi="Times New Roman" w:cs="Times New Roman"/>
          <w:lang w:val="en-US"/>
        </w:rPr>
        <w:t>]</w:t>
      </w:r>
      <w:r w:rsidR="52704505" w:rsidRPr="2D8CF45F">
        <w:rPr>
          <w:rFonts w:ascii="Times New Roman" w:eastAsia="Times New Roman" w:hAnsi="Times New Roman" w:cs="Times New Roman"/>
          <w:lang w:val="en-US"/>
        </w:rPr>
        <w:t xml:space="preserve">P </w:t>
      </w:r>
      <w:r w:rsidR="00F34E0A">
        <w:rPr>
          <w:rFonts w:ascii="Times New Roman" w:eastAsia="Times New Roman" w:hAnsi="Times New Roman" w:cs="Times New Roman"/>
          <w:lang w:val="en-US"/>
        </w:rPr>
        <w:t>causes</w:t>
      </w:r>
      <w:r w:rsidR="52704505" w:rsidRPr="2D8CF45F">
        <w:rPr>
          <w:rFonts w:ascii="Times New Roman" w:eastAsia="Times New Roman" w:hAnsi="Times New Roman" w:cs="Times New Roman"/>
          <w:lang w:val="en-US"/>
        </w:rPr>
        <w:t xml:space="preserve"> gonadal damage</w:t>
      </w:r>
      <w:r w:rsidR="63BE8A26" w:rsidRPr="2D8CF45F">
        <w:rPr>
          <w:rFonts w:ascii="Times New Roman" w:eastAsia="Times New Roman" w:hAnsi="Times New Roman" w:cs="Times New Roman"/>
          <w:lang w:val="en-US"/>
        </w:rPr>
        <w:t xml:space="preserve"> </w:t>
      </w:r>
      <w:r w:rsidR="24A62940" w:rsidRPr="2D8CF45F">
        <w:rPr>
          <w:rFonts w:ascii="Times New Roman" w:eastAsia="Times New Roman" w:hAnsi="Times New Roman" w:cs="Times New Roman"/>
          <w:lang w:val="en-US"/>
        </w:rPr>
        <w:t>characteri</w:t>
      </w:r>
      <w:r w:rsidR="63BE8A26" w:rsidRPr="2D8CF45F">
        <w:rPr>
          <w:rFonts w:ascii="Times New Roman" w:eastAsia="Times New Roman" w:hAnsi="Times New Roman" w:cs="Times New Roman"/>
          <w:lang w:val="en-US"/>
        </w:rPr>
        <w:t>z</w:t>
      </w:r>
      <w:r w:rsidR="24A62940" w:rsidRPr="2D8CF45F">
        <w:rPr>
          <w:rFonts w:ascii="Times New Roman" w:eastAsia="Times New Roman" w:hAnsi="Times New Roman" w:cs="Times New Roman"/>
          <w:lang w:val="en-US"/>
        </w:rPr>
        <w:t>ed</w:t>
      </w:r>
      <w:r w:rsidR="52704505" w:rsidRPr="2D8CF45F">
        <w:rPr>
          <w:rFonts w:ascii="Times New Roman" w:eastAsia="Times New Roman" w:hAnsi="Times New Roman" w:cs="Times New Roman"/>
          <w:lang w:val="en-US"/>
        </w:rPr>
        <w:t xml:space="preserve"> by nuclear fragmentation and vacuolization of oocytes </w:t>
      </w:r>
      <w:r w:rsidR="005F74ED" w:rsidRPr="2D8CF45F">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{"citationID":"anL5jthQ","properties":{"formattedCitation":"(Sha et al. 2021)","plainCitation":"(Sha et al. 2021)","noteIndex":0},"citationItems":[{"id":"r9E9mN5c/ZbANypg5","uris":["http://zotero.org/users/14468226/items/GBICASCI"],"itemData":{"id":6937,"type":"article-journal","abstract":"The risk of polycyclic aromatic hydrocarbon exposure in aquatic organisms is a global concern. In this study, we investigated the toxic effects of different doses of benzo(a)pyrene (BaP) on Cyprinus carpio in microcosms from the following aspects: superoxide dismutase (SOD) and peroxidase (POD) activity, malondialdehyde (MDA) content in the gill, liver, and gonad; glutathione s-transferase (GST), aromatic hydroxylase (AHH), and 7-ethoxyresorufin-O-deethylase (EROD) activity in the liver; and altered tissue and cellular structures of the gill, liver,and gonad. SOD and POD activity in the gill, liver, and gonad increased in low-dose BaP groups and significantly decreased with an increase in BaP. MDA content increased continuously with an increase in BaP in the gill, liver, and gonad. The activity of enzymes related to detoxification, specifically GST, AHH, and EROD, gradually increased in the liver with an increase in BaP. Upon exposure to BaP, gill hypertrophy, bulging, necrosis, and cavitation occurred, gonadal cells became larger, with an increase in pyknotic or vacuolar nuclei, bulging and cavitation of organelles, and cytoplasm leakage, and nuclear membrane lysis was observed in the liver. Collectively, BaP exposure changed the SOD and POD activity in the gill, liver, and gonad of carp with increases in MDA content, increased GST, AHH, and EROD activity in liver, and damaged the tissue and cellular structures of the gill, liver, and gonad, revealing the toxic effects of BaP exposure on carp.","container-title":"Environmental Science and Pollution Research","DOI":"10.1007/s11356-021-15065-0","ISSN":"1614-7499","issue":"43","journalAbbreviation":"Environ Sci Pollut Res","language":"en","page":"61290-61301","source":"Springer Link","title":"Biomarker responses and histological damage in the gill, liver, and gonad of Cyprinus carpio with benzo(a)pyrene exposure","volume":"28","author":[{"family":"Sha","given":"Weilai"},{"family":"Cai","given":"Fengsen"},{"family":"Li","given":"Yu"},{"family":"Wang","given":"Ying"},{"family":"Liu","given":"Chunchen"},{"family":"Wang","given":"Renjun"},{"family":"Gao","given":"Peike"}],"issued":{"date-parts":[["2021",11,1]]}}}],"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00E5454F">
        <w:rPr>
          <w:rFonts w:ascii="Times New Roman" w:hAnsi="Times New Roman" w:cs="Times New Roman"/>
        </w:rPr>
        <w:t>(Sha et al. 2021)</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 xml:space="preserve">. Histopathological changes often persist longer than acute biochemical responses, providing </w:t>
      </w:r>
      <w:r w:rsidR="52704505" w:rsidRPr="2D8CF45F">
        <w:rPr>
          <w:rFonts w:ascii="Times New Roman" w:eastAsia="Times New Roman" w:hAnsi="Times New Roman" w:cs="Times New Roman"/>
          <w:lang w:val="en-US"/>
        </w:rPr>
        <w:lastRenderedPageBreak/>
        <w:t xml:space="preserve">evidence of chronic exposure effects even when contaminant concentrations </w:t>
      </w:r>
      <w:r w:rsidR="00226587">
        <w:rPr>
          <w:rFonts w:ascii="Times New Roman" w:eastAsia="Times New Roman" w:hAnsi="Times New Roman" w:cs="Times New Roman"/>
          <w:lang w:val="en-US"/>
        </w:rPr>
        <w:t>decrease</w:t>
      </w:r>
      <w:r w:rsidR="52704505" w:rsidRPr="2D8CF45F">
        <w:rPr>
          <w:rFonts w:ascii="Times New Roman" w:eastAsia="Times New Roman" w:hAnsi="Times New Roman" w:cs="Times New Roman"/>
          <w:lang w:val="en-US"/>
        </w:rPr>
        <w:t xml:space="preserve"> </w:t>
      </w:r>
      <w:r w:rsidR="005F74ED" w:rsidRPr="2D8CF45F">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{"citationID":"4vwOg9Zl","properties":{"formattedCitation":"(David &amp; Kartheek 2015, Pramanik &amp; Biswas 2024)","plainCitation":"(David &amp; Kartheek 2015, Pramanik &amp; Biswas 2024)","noteIndex":0},"citationItems":[{"id":"r9E9mN5c/QuAQD8IS","uris":["http://zotero.org/users/14468226/items/3AH74SLN"],"itemData":{"id":6713,"type":"article-journal","abstract":"Aquatic ecosystems in areas with intense mining activity are often subject to cyanide contamination; the present study was aimed to evaluate the harmful effects of sodium cyanide on histoarchitechtural aspect of spleen of freshwater fish Cyprinus carpio using an in vivo approach. The fishes were exposed to a sublethal concentration of 0.2 mg/L of sodium cyanide for duration of 10 and 20 days and were further allowed to undergo recovery for 14 days in a toxicant free medium. From the present investigation findings like occurrence of haemosiderin pigment, melanomacrophage centers, vacuolation and necrotic eosinophils were evident in all the fishes exposed to sodium cyanide. However, changes were more pronounced in fish subjected to 10 days of exposure, which was followed by 20 days of exposure and 14 days of recovery. The study revealed that there seemed to be the presence of homeostatic mechanism in fish that allows them to stabilize and overcome stress, which in present case is caused by sublethal concentration of sodium cyanide. Since the recovery phenomenon may be adaptive and even strategic, the present investigation also throws a light on adaptive behaviour of fish under stressful environments.","container-title":"Open Veterinary Journal","ISSN":"2226-4485","issue":"1","journalAbbreviation":"Open Vet J","language":"eng","note":"PMID: 26623354\nPMCID: PMC4629564","page":"1-5","source":"PubMed","title":"Histopathological alterations in spleen of freshwater fish Cyprinus carpio exposed to sublethal concentration of sodium cyanide","volume":"5","author":[{"family":"David","given":"M."},{"family":"Kartheek","given":"R. M."}],"issued":{"date-parts":[["2015"]]}}},{"id":"r9E9mN5c/n04IheIR","uris":["http://zotero.org/users/14468226/items/RZHTBMHA"],"itemData":{"id":6669,"type":"article-journal","abstract":"The current investigation examined histopathological and serum biochemical profiles to assess the interactive effects of river Saraswati’s impaired physicochemical regime and parasite infection by ectoparasites (Trichodina sp., Gyrodactylus sp.) and endoparasites (Eustrongylides sp.) on health of fish (Channa punctatus). This study aimed at assessing the synergistic effects of the degraded water quality and parasitization on fish health looking through the lens of histopathology and serum biochemistry. Low dissolved O2, high free CO2, biochemical oxygen demand (BOD), and chemical oxygen demand (COD) indicate deteriorating water quality due to organic loading. The histopathological investigations revealed distinctive histopathological changes in gill, liver, and kidney of the fish as “signature” impairments inflicted by chronic (co)exposure to pollution and/or parasitization. Stress enzymes and altered serum biochemistry furnish excellent indicators of fish health because of their correlation with pollution and parasitization. Destined in a vicious cycle, fish health becomes adversely affected by degrading water qualities and parasitic infection in solo or combo.","container-title":"iScience","DOI":"10.1016/j.isci.2024.111432","ISSN":"2589-0042","issue":"12","journalAbbreviation":"iScience","page":"111432","source":"ScienceDirect","title":"Histopathological fingerprints and biochemical changes as multi-stress biomarkers in fish confronting concurrent pollution and parasitization","volume":"27","author":[{"family":"Pramanik","given":"Sasanka"},{"family":"Biswas","given":"Jayanta Kumar"}],"issued":{"date-parts":[["2024",12,20]]}}}],"schema":"https://github.com/citation-style-language/schema/raw/master/csl-citation.json"}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00E5454F">
        <w:rPr>
          <w:rFonts w:ascii="Times New Roman" w:hAnsi="Times New Roman" w:cs="Times New Roman"/>
        </w:rPr>
        <w:t>(David &amp; Kartheek 2015, Pramanik &amp; Biswas 2024)</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w:t>
      </w:r>
      <w:r w:rsidR="52704505" w:rsidRPr="2D8CF45F">
        <w:rPr>
          <w:rFonts w:ascii="Times New Roman" w:eastAsia="Aptos" w:hAnsi="Times New Roman" w:cs="Times New Roman"/>
          <w:lang w:val="en-US"/>
        </w:rPr>
        <w:t xml:space="preserve"> </w:t>
      </w:r>
      <w:r w:rsidR="4A5E9E8A" w:rsidRPr="2D8CF45F">
        <w:rPr>
          <w:rFonts w:ascii="Times New Roman" w:eastAsia="Times New Roman" w:hAnsi="Times New Roman" w:cs="Times New Roman"/>
          <w:lang w:val="en-US"/>
        </w:rPr>
        <w:t xml:space="preserve">Collectively, these findings </w:t>
      </w:r>
      <w:r w:rsidR="4FF72AEA" w:rsidRPr="2D8CF45F">
        <w:rPr>
          <w:rFonts w:ascii="Times New Roman" w:eastAsia="Times New Roman" w:hAnsi="Times New Roman" w:cs="Times New Roman"/>
          <w:lang w:val="en-US"/>
        </w:rPr>
        <w:t>highlight</w:t>
      </w:r>
      <w:r w:rsidR="4A5E9E8A" w:rsidRPr="2D8CF45F">
        <w:rPr>
          <w:rFonts w:ascii="Times New Roman" w:eastAsia="Times New Roman" w:hAnsi="Times New Roman" w:cs="Times New Roman"/>
          <w:lang w:val="en-US"/>
        </w:rPr>
        <w:t xml:space="preserve"> the value of histopathological assessment as a complementary tool along</w:t>
      </w:r>
      <w:r w:rsidR="007D0A32">
        <w:rPr>
          <w:rFonts w:ascii="Times New Roman" w:eastAsia="Times New Roman" w:hAnsi="Times New Roman" w:cs="Times New Roman"/>
          <w:lang w:val="en-US"/>
        </w:rPr>
        <w:t xml:space="preserve"> with </w:t>
      </w:r>
      <w:r w:rsidR="4A5E9E8A" w:rsidRPr="2D8CF45F">
        <w:rPr>
          <w:rFonts w:ascii="Times New Roman" w:eastAsia="Times New Roman" w:hAnsi="Times New Roman" w:cs="Times New Roman"/>
          <w:lang w:val="en-US"/>
        </w:rPr>
        <w:t>biochemical biomarkers</w:t>
      </w:r>
      <w:r w:rsidR="50199EF5" w:rsidRPr="2D8CF45F">
        <w:rPr>
          <w:rFonts w:ascii="Times New Roman" w:eastAsia="Times New Roman" w:hAnsi="Times New Roman" w:cs="Times New Roman"/>
          <w:lang w:val="en-US"/>
        </w:rPr>
        <w:t xml:space="preserve"> (</w:t>
      </w:r>
      <w:r w:rsidR="50199EF5" w:rsidRPr="2E3070CE">
        <w:rPr>
          <w:rFonts w:ascii="Times New Roman" w:eastAsia="Times New Roman" w:hAnsi="Times New Roman" w:cs="Times New Roman"/>
          <w:b/>
          <w:lang w:val="en-US"/>
        </w:rPr>
        <w:t>Fig</w:t>
      </w:r>
      <w:r w:rsidR="00D62029">
        <w:rPr>
          <w:rFonts w:ascii="Times New Roman" w:eastAsia="Times New Roman" w:hAnsi="Times New Roman" w:cs="Times New Roman"/>
          <w:b/>
          <w:lang w:val="en-US"/>
        </w:rPr>
        <w:t>ure</w:t>
      </w:r>
      <w:r w:rsidR="50199EF5" w:rsidRPr="2E3070CE">
        <w:rPr>
          <w:rFonts w:ascii="Times New Roman" w:eastAsia="Times New Roman" w:hAnsi="Times New Roman" w:cs="Times New Roman"/>
          <w:b/>
          <w:lang w:val="en-US"/>
        </w:rPr>
        <w:t xml:space="preserve"> </w:t>
      </w:r>
      <w:r w:rsidR="0035357C">
        <w:rPr>
          <w:rFonts w:ascii="Times New Roman" w:eastAsia="Times New Roman" w:hAnsi="Times New Roman" w:cs="Times New Roman"/>
          <w:b/>
          <w:lang w:val="en-US"/>
        </w:rPr>
        <w:t>3</w:t>
      </w:r>
      <w:r w:rsidR="50199EF5" w:rsidRPr="2D8CF45F">
        <w:rPr>
          <w:rFonts w:ascii="Times New Roman" w:eastAsia="Times New Roman" w:hAnsi="Times New Roman" w:cs="Times New Roman"/>
          <w:lang w:val="en-US"/>
        </w:rPr>
        <w:t>)</w:t>
      </w:r>
      <w:r w:rsidR="4A5E9E8A" w:rsidRPr="2D8CF45F">
        <w:rPr>
          <w:rFonts w:ascii="Times New Roman" w:eastAsia="Times New Roman" w:hAnsi="Times New Roman" w:cs="Times New Roman"/>
          <w:lang w:val="en-US"/>
        </w:rPr>
        <w:t xml:space="preserve">, with the integration of these endpoints </w:t>
      </w:r>
      <w:r w:rsidR="00226587">
        <w:rPr>
          <w:rFonts w:ascii="Times New Roman" w:eastAsia="Times New Roman" w:hAnsi="Times New Roman" w:cs="Times New Roman"/>
          <w:lang w:val="en-US"/>
        </w:rPr>
        <w:t>enhancing</w:t>
      </w:r>
      <w:r w:rsidR="4A5E9E8A" w:rsidRPr="2D8CF45F">
        <w:rPr>
          <w:rFonts w:ascii="Times New Roman" w:eastAsia="Times New Roman" w:hAnsi="Times New Roman" w:cs="Times New Roman"/>
          <w:lang w:val="en-US"/>
        </w:rPr>
        <w:t xml:space="preserve"> diagnostic precision and </w:t>
      </w:r>
      <w:r w:rsidR="00226587">
        <w:rPr>
          <w:rFonts w:ascii="Times New Roman" w:eastAsia="Times New Roman" w:hAnsi="Times New Roman" w:cs="Times New Roman"/>
          <w:lang w:val="en-US"/>
        </w:rPr>
        <w:t>evaluating</w:t>
      </w:r>
      <w:r w:rsidR="63BE8A26" w:rsidRPr="2D8CF45F">
        <w:rPr>
          <w:rFonts w:ascii="Times New Roman" w:eastAsia="Times New Roman" w:hAnsi="Times New Roman" w:cs="Times New Roman"/>
          <w:lang w:val="en-US"/>
        </w:rPr>
        <w:t xml:space="preserve"> </w:t>
      </w:r>
      <w:r w:rsidR="4A5E9E8A" w:rsidRPr="2D8CF45F">
        <w:rPr>
          <w:rFonts w:ascii="Times New Roman" w:eastAsia="Times New Roman" w:hAnsi="Times New Roman" w:cs="Times New Roman"/>
          <w:lang w:val="en-US"/>
        </w:rPr>
        <w:t>the long-term ecological consequences of coal mining on fish</w:t>
      </w:r>
      <w:r w:rsidR="1A38EB17" w:rsidRPr="2D8CF45F">
        <w:rPr>
          <w:rFonts w:ascii="Times New Roman" w:eastAsia="Times New Roman" w:hAnsi="Times New Roman" w:cs="Times New Roman"/>
          <w:lang w:val="en-US"/>
        </w:rPr>
        <w:t>.</w:t>
      </w:r>
      <w:r w:rsidR="3D0ECA64" w:rsidRPr="2D8CF45F">
        <w:rPr>
          <w:rFonts w:ascii="Times New Roman" w:eastAsia="Times New Roman" w:hAnsi="Times New Roman" w:cs="Times New Roman"/>
          <w:lang w:val="en-US"/>
        </w:rPr>
        <w:t xml:space="preserve"> </w:t>
      </w:r>
    </w:p>
    <w:p w14:paraId="2BCE5E39" w14:textId="71BF3DBF" w:rsidR="2D8CF45F" w:rsidRDefault="1A99F7FB" w:rsidP="00A90373">
      <w:pPr>
        <w:spacing w:line="480" w:lineRule="auto"/>
        <w:jc w:val="both"/>
        <w:rPr>
          <w:rFonts w:ascii="Times New Roman" w:eastAsia="Times New Roman" w:hAnsi="Times New Roman" w:cs="Times New Roman"/>
          <w:lang w:val="en-US"/>
        </w:rPr>
      </w:pPr>
      <w:r w:rsidRPr="2D8CF45F">
        <w:rPr>
          <w:rFonts w:ascii="Times New Roman" w:eastAsia="Times New Roman" w:hAnsi="Times New Roman" w:cs="Times New Roman"/>
          <w:b/>
          <w:bCs/>
          <w:lang w:val="en-US"/>
        </w:rPr>
        <w:t>Table 2</w:t>
      </w:r>
      <w:r w:rsidRPr="000D2486">
        <w:rPr>
          <w:rFonts w:ascii="Times New Roman" w:eastAsia="Times New Roman" w:hAnsi="Times New Roman" w:cs="Times New Roman"/>
          <w:lang w:val="en-US"/>
        </w:rPr>
        <w:t xml:space="preserve">. </w:t>
      </w:r>
      <w:r w:rsidR="00A90373" w:rsidRPr="00A90373">
        <w:rPr>
          <w:rFonts w:ascii="Times New Roman" w:eastAsia="Times New Roman" w:hAnsi="Times New Roman" w:cs="Times New Roman"/>
          <w:highlight w:val="yellow"/>
          <w:lang w:val="en-US"/>
        </w:rPr>
        <w:t>Histopathological effects of B[</w:t>
      </w:r>
      <w:r w:rsidR="00A90373" w:rsidRPr="00A90373">
        <w:rPr>
          <w:rFonts w:ascii="Times New Roman" w:eastAsia="Times New Roman" w:hAnsi="Times New Roman" w:cs="Times New Roman"/>
          <w:i/>
          <w:iCs/>
          <w:highlight w:val="yellow"/>
          <w:lang w:val="en-US"/>
        </w:rPr>
        <w:t>a</w:t>
      </w:r>
      <w:r w:rsidR="00A90373" w:rsidRPr="00A90373">
        <w:rPr>
          <w:rFonts w:ascii="Times New Roman" w:eastAsia="Times New Roman" w:hAnsi="Times New Roman" w:cs="Times New Roman"/>
          <w:highlight w:val="yellow"/>
          <w:lang w:val="en-US"/>
        </w:rPr>
        <w:t>]P exposure in fish: Tissue-specific alterations in liver and gills.</w:t>
      </w:r>
    </w:p>
    <w:tbl>
      <w:tblPr>
        <w:tblStyle w:val="TableGrid"/>
        <w:tblW w:w="9016" w:type="dxa"/>
        <w:tblLook w:val="04A0" w:firstRow="1" w:lastRow="0" w:firstColumn="1" w:lastColumn="0" w:noHBand="0" w:noVBand="1"/>
      </w:tblPr>
      <w:tblGrid>
        <w:gridCol w:w="2254"/>
        <w:gridCol w:w="2254"/>
        <w:gridCol w:w="2254"/>
        <w:gridCol w:w="2254"/>
      </w:tblGrid>
      <w:tr w:rsidR="00B1590C" w:rsidRPr="00826180" w14:paraId="087C025C" w14:textId="77777777" w:rsidTr="00433211">
        <w:tc>
          <w:tcPr>
            <w:tcW w:w="2254" w:type="dxa"/>
          </w:tcPr>
          <w:p w14:paraId="2D18A568" w14:textId="7795A207" w:rsidR="00B1590C" w:rsidRPr="00407B28" w:rsidRDefault="00B1590C" w:rsidP="00826180">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b/>
                <w:bCs/>
                <w:sz w:val="20"/>
                <w:szCs w:val="20"/>
                <w:lang w:val="en-US"/>
              </w:rPr>
              <w:t xml:space="preserve"> </w:t>
            </w:r>
            <w:r w:rsidR="005032A9" w:rsidRPr="005032A9">
              <w:rPr>
                <w:rFonts w:ascii="Times New Roman" w:eastAsia="Times New Roman" w:hAnsi="Times New Roman" w:cs="Times New Roman"/>
                <w:b/>
                <w:bCs/>
                <w:sz w:val="20"/>
                <w:szCs w:val="20"/>
                <w:highlight w:val="yellow"/>
                <w:lang w:val="en-US"/>
              </w:rPr>
              <w:t>Fish Species</w:t>
            </w:r>
          </w:p>
        </w:tc>
        <w:tc>
          <w:tcPr>
            <w:tcW w:w="2254" w:type="dxa"/>
          </w:tcPr>
          <w:p w14:paraId="258E4174" w14:textId="25796843" w:rsidR="00B1590C" w:rsidRPr="00407B28" w:rsidRDefault="33F34E68" w:rsidP="00826180">
            <w:pPr>
              <w:jc w:val="both"/>
              <w:rPr>
                <w:rFonts w:ascii="Times New Roman" w:eastAsia="Times New Roman" w:hAnsi="Times New Roman" w:cs="Times New Roman"/>
                <w:b/>
                <w:bCs/>
                <w:sz w:val="20"/>
                <w:szCs w:val="20"/>
                <w:lang w:val="en-US"/>
              </w:rPr>
            </w:pPr>
            <w:r w:rsidRPr="00407B28">
              <w:rPr>
                <w:rFonts w:ascii="Times New Roman" w:eastAsia="Times New Roman" w:hAnsi="Times New Roman" w:cs="Times New Roman"/>
                <w:b/>
                <w:bCs/>
                <w:sz w:val="20"/>
                <w:szCs w:val="20"/>
                <w:lang w:val="en-US"/>
              </w:rPr>
              <w:t xml:space="preserve">Experimental </w:t>
            </w:r>
            <w:r w:rsidR="00826180" w:rsidRPr="00407B28">
              <w:rPr>
                <w:rFonts w:ascii="Times New Roman" w:eastAsia="Times New Roman" w:hAnsi="Times New Roman" w:cs="Times New Roman"/>
                <w:b/>
                <w:bCs/>
                <w:sz w:val="20"/>
                <w:szCs w:val="20"/>
                <w:lang w:val="en-US"/>
              </w:rPr>
              <w:t>c</w:t>
            </w:r>
            <w:r w:rsidRPr="00407B28">
              <w:rPr>
                <w:rFonts w:ascii="Times New Roman" w:eastAsia="Times New Roman" w:hAnsi="Times New Roman" w:cs="Times New Roman"/>
                <w:b/>
                <w:bCs/>
                <w:sz w:val="20"/>
                <w:szCs w:val="20"/>
                <w:lang w:val="en-US"/>
              </w:rPr>
              <w:t>ondition</w:t>
            </w:r>
            <w:r w:rsidR="00826180" w:rsidRPr="00407B28">
              <w:rPr>
                <w:rFonts w:ascii="Times New Roman" w:eastAsia="Times New Roman" w:hAnsi="Times New Roman" w:cs="Times New Roman"/>
                <w:b/>
                <w:bCs/>
                <w:sz w:val="20"/>
                <w:szCs w:val="20"/>
                <w:lang w:val="en-US"/>
              </w:rPr>
              <w:t>s</w:t>
            </w:r>
            <w:r w:rsidRPr="00407B28">
              <w:rPr>
                <w:rFonts w:ascii="Times New Roman" w:eastAsia="Times New Roman" w:hAnsi="Times New Roman" w:cs="Times New Roman"/>
                <w:b/>
                <w:bCs/>
                <w:sz w:val="20"/>
                <w:szCs w:val="20"/>
                <w:lang w:val="en-US"/>
              </w:rPr>
              <w:t xml:space="preserve">  </w:t>
            </w:r>
          </w:p>
        </w:tc>
        <w:tc>
          <w:tcPr>
            <w:tcW w:w="2254" w:type="dxa"/>
          </w:tcPr>
          <w:p w14:paraId="5D71BB3B" w14:textId="515798E2" w:rsidR="00B1590C" w:rsidRPr="00407B28" w:rsidRDefault="00C83693" w:rsidP="00826180">
            <w:pPr>
              <w:spacing w:line="480" w:lineRule="auto"/>
              <w:jc w:val="both"/>
              <w:rPr>
                <w:rFonts w:ascii="Times New Roman" w:eastAsia="Times New Roman" w:hAnsi="Times New Roman" w:cs="Times New Roman"/>
                <w:sz w:val="20"/>
                <w:szCs w:val="20"/>
                <w:lang w:val="en-US"/>
              </w:rPr>
            </w:pPr>
            <w:r w:rsidRPr="00EB0176">
              <w:rPr>
                <w:rFonts w:ascii="Times New Roman" w:eastAsia="Times New Roman" w:hAnsi="Times New Roman" w:cs="Times New Roman"/>
                <w:b/>
                <w:bCs/>
                <w:sz w:val="20"/>
                <w:szCs w:val="20"/>
                <w:highlight w:val="yellow"/>
                <w:lang w:val="en-US"/>
              </w:rPr>
              <w:t>Effect</w:t>
            </w:r>
          </w:p>
        </w:tc>
        <w:tc>
          <w:tcPr>
            <w:tcW w:w="2254" w:type="dxa"/>
          </w:tcPr>
          <w:p w14:paraId="6F28BA32" w14:textId="2C7D039A" w:rsidR="00B1590C" w:rsidRPr="00407B28" w:rsidRDefault="4A63853E" w:rsidP="00826180">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b/>
                <w:bCs/>
                <w:sz w:val="20"/>
                <w:szCs w:val="20"/>
                <w:lang w:val="en-US"/>
              </w:rPr>
              <w:t>Reference</w:t>
            </w:r>
            <w:r w:rsidR="6BD8D965" w:rsidRPr="00407B28">
              <w:rPr>
                <w:rFonts w:ascii="Times New Roman" w:eastAsia="Times New Roman" w:hAnsi="Times New Roman" w:cs="Times New Roman"/>
                <w:b/>
                <w:bCs/>
                <w:sz w:val="20"/>
                <w:szCs w:val="20"/>
                <w:lang w:val="en-US"/>
              </w:rPr>
              <w:t>s</w:t>
            </w:r>
          </w:p>
        </w:tc>
      </w:tr>
      <w:tr w:rsidR="006E7F36" w:rsidRPr="00826180" w14:paraId="6F6D4485" w14:textId="77777777" w:rsidTr="00433211">
        <w:tc>
          <w:tcPr>
            <w:tcW w:w="2254" w:type="dxa"/>
          </w:tcPr>
          <w:p w14:paraId="18733002" w14:textId="3B2EDF81" w:rsidR="006E7F36" w:rsidRPr="00407B28" w:rsidRDefault="00A60512" w:rsidP="00407B28">
            <w:pPr>
              <w:jc w:val="both"/>
              <w:rPr>
                <w:rFonts w:ascii="Times New Roman" w:hAnsi="Times New Roman" w:cs="Times New Roman"/>
                <w:i/>
                <w:iCs/>
                <w:sz w:val="20"/>
                <w:szCs w:val="20"/>
              </w:rPr>
            </w:pPr>
            <w:r w:rsidRPr="00407B28">
              <w:rPr>
                <w:rFonts w:ascii="Times New Roman" w:hAnsi="Times New Roman" w:cs="Times New Roman"/>
                <w:i/>
                <w:iCs/>
                <w:sz w:val="20"/>
                <w:szCs w:val="20"/>
              </w:rPr>
              <w:t xml:space="preserve">Cyprinus carpio </w:t>
            </w:r>
          </w:p>
        </w:tc>
        <w:tc>
          <w:tcPr>
            <w:tcW w:w="2254" w:type="dxa"/>
          </w:tcPr>
          <w:p w14:paraId="16057321" w14:textId="4FCC95A5" w:rsidR="006E7F36" w:rsidRPr="00407B28" w:rsidRDefault="47EE4892" w:rsidP="00407B28">
            <w:pPr>
              <w:jc w:val="both"/>
              <w:rPr>
                <w:rFonts w:ascii="Times New Roman" w:hAnsi="Times New Roman" w:cs="Times New Roman"/>
                <w:sz w:val="20"/>
                <w:szCs w:val="20"/>
              </w:rPr>
            </w:pPr>
            <w:r w:rsidRPr="00EB0176">
              <w:rPr>
                <w:rFonts w:ascii="Times New Roman" w:hAnsi="Times New Roman" w:cs="Times New Roman"/>
                <w:sz w:val="20"/>
                <w:szCs w:val="20"/>
                <w:highlight w:val="yellow"/>
              </w:rPr>
              <w:t>50, 100, 200, 400, and 600 μg/L for 10 days</w:t>
            </w:r>
          </w:p>
        </w:tc>
        <w:tc>
          <w:tcPr>
            <w:tcW w:w="2254" w:type="dxa"/>
          </w:tcPr>
          <w:p w14:paraId="6A1E6784" w14:textId="769FBFF9" w:rsidR="006E7F36" w:rsidRPr="00407B28" w:rsidRDefault="00E819D5" w:rsidP="00EB0176">
            <w:pPr>
              <w:rPr>
                <w:rFonts w:ascii="Times New Roman" w:hAnsi="Times New Roman" w:cs="Times New Roman"/>
                <w:sz w:val="20"/>
                <w:szCs w:val="20"/>
              </w:rPr>
            </w:pPr>
            <w:r w:rsidRPr="00EB0176">
              <w:rPr>
                <w:rFonts w:ascii="Times New Roman" w:hAnsi="Times New Roman" w:cs="Times New Roman"/>
                <w:sz w:val="20"/>
                <w:szCs w:val="20"/>
                <w:highlight w:val="yellow"/>
              </w:rPr>
              <w:t>Histological damage</w:t>
            </w:r>
            <w:r w:rsidR="006206DD" w:rsidRPr="00EB0176">
              <w:rPr>
                <w:rFonts w:ascii="Times New Roman" w:hAnsi="Times New Roman" w:cs="Times New Roman"/>
                <w:sz w:val="20"/>
                <w:szCs w:val="20"/>
                <w:highlight w:val="yellow"/>
              </w:rPr>
              <w:t xml:space="preserve"> is characterized by</w:t>
            </w:r>
            <w:r w:rsidRPr="00EB0176">
              <w:rPr>
                <w:rFonts w:ascii="Times New Roman" w:hAnsi="Times New Roman" w:cs="Times New Roman"/>
                <w:sz w:val="20"/>
                <w:szCs w:val="20"/>
                <w:highlight w:val="yellow"/>
              </w:rPr>
              <w:t xml:space="preserve"> ruptured membranes, cytoplasm leakage,</w:t>
            </w:r>
            <w:r w:rsidR="00F562B5" w:rsidRPr="00EB0176">
              <w:rPr>
                <w:rFonts w:ascii="Times New Roman" w:hAnsi="Times New Roman" w:cs="Times New Roman"/>
                <w:sz w:val="20"/>
                <w:szCs w:val="20"/>
                <w:highlight w:val="yellow"/>
              </w:rPr>
              <w:t xml:space="preserve"> </w:t>
            </w:r>
            <w:r w:rsidRPr="00EB0176">
              <w:rPr>
                <w:rFonts w:ascii="Times New Roman" w:hAnsi="Times New Roman" w:cs="Times New Roman"/>
                <w:sz w:val="20"/>
                <w:szCs w:val="20"/>
                <w:highlight w:val="yellow"/>
              </w:rPr>
              <w:t xml:space="preserve">lipid </w:t>
            </w:r>
            <w:r w:rsidR="00C83693" w:rsidRPr="00EB0176">
              <w:rPr>
                <w:rFonts w:ascii="Times New Roman" w:hAnsi="Times New Roman" w:cs="Times New Roman"/>
                <w:sz w:val="20"/>
                <w:szCs w:val="20"/>
                <w:highlight w:val="yellow"/>
              </w:rPr>
              <w:t>droplet</w:t>
            </w:r>
            <w:r w:rsidR="003C6805" w:rsidRPr="00EB0176">
              <w:rPr>
                <w:rFonts w:ascii="Times New Roman" w:hAnsi="Times New Roman" w:cs="Times New Roman"/>
                <w:sz w:val="20"/>
                <w:szCs w:val="20"/>
                <w:highlight w:val="yellow"/>
              </w:rPr>
              <w:t xml:space="preserve"> a</w:t>
            </w:r>
            <w:r w:rsidR="00F562B5" w:rsidRPr="00EB0176">
              <w:rPr>
                <w:rFonts w:ascii="Times New Roman" w:hAnsi="Times New Roman" w:cs="Times New Roman"/>
                <w:sz w:val="20"/>
                <w:szCs w:val="20"/>
                <w:highlight w:val="yellow"/>
              </w:rPr>
              <w:t xml:space="preserve">ccumulation and </w:t>
            </w:r>
            <w:r w:rsidRPr="00EB0176">
              <w:rPr>
                <w:rFonts w:ascii="Times New Roman" w:hAnsi="Times New Roman" w:cs="Times New Roman"/>
                <w:sz w:val="20"/>
                <w:szCs w:val="20"/>
                <w:highlight w:val="yellow"/>
              </w:rPr>
              <w:t>organelle</w:t>
            </w:r>
            <w:r w:rsidR="00C83693" w:rsidRPr="00EB0176">
              <w:rPr>
                <w:rFonts w:ascii="Times New Roman" w:hAnsi="Times New Roman" w:cs="Times New Roman"/>
                <w:sz w:val="20"/>
                <w:szCs w:val="20"/>
                <w:highlight w:val="yellow"/>
              </w:rPr>
              <w:t xml:space="preserve"> fragmentation.</w:t>
            </w:r>
          </w:p>
        </w:tc>
        <w:tc>
          <w:tcPr>
            <w:tcW w:w="2254" w:type="dxa"/>
          </w:tcPr>
          <w:p w14:paraId="2B762B70" w14:textId="5807EAAE" w:rsidR="006E7F36" w:rsidRPr="00407B28" w:rsidRDefault="004A79F6" w:rsidP="00826180">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{"citationID":"YVw2u2bc","properties":{"formattedCitation":"(Sha et al. 2021)","plainCitation":"(Sha et al. 2021)","noteIndex":0},"citationItems":[{"id":"r9E9mN5c/ZbANypg5","uris":["http://zotero.org/users/14468226/items/GBICASCI"],"itemData":{"id":6937,"type":"article-journal","abstract":"The risk of polycyclic aromatic hydrocarbon exposure in aquatic organisms is a global concern. In this study, we investigated the toxic effects of different doses of benzo(a)pyrene (BaP) on Cyprinus carpio in microcosms from the following aspects: superoxide dismutase (SOD) and peroxidase (POD) activity, malondialdehyde (MDA) content in the gill, liver, and gonad; glutathione s-transferase (GST), aromatic hydroxylase (AHH), and 7-ethoxyresorufin-O-deethylase (EROD) activity in the liver; and altered tissue and cellular structures of the gill, liver,and gonad. SOD and POD activity in the gill, liver, and gonad increased in low-dose BaP groups and significantly decreased with an increase in BaP. MDA content increased continuously with an increase in BaP in the gill, liver, and gonad. The activity of enzymes related to detoxification, specifically GST, AHH, and EROD, gradually increased in the liver with an increase in BaP. Upon exposure to BaP, gill hypertrophy, bulging, necrosis, and cavitation occurred, gonadal cells became larger, with an increase in pyknotic or vacuolar nuclei, bulging and cavitation of organelles, and cytoplasm leakage, and nuclear membrane lysis was observed in the liver. Collectively, BaP exposure changed the SOD and POD activity in the gill, liver, and gonad of carp with increases in MDA content, increased GST, AHH, and EROD activity in liver, and damaged the tissue and cellular structures of the gill, liver, and gonad, revealing the toxic effects of BaP exposure on carp.","container-title":"Environmental Science and Pollution Research","DOI":"10.1007/s11356-021-15065-0","ISSN":"1614-7499","issue":"43","journalAbbreviation":"Environ Sci Pollut Res","language":"en","page":"61290-61301","source":"Springer Link","title":"Biomarker responses and histological damage in the gill, liver, and gonad of Cyprinus carpio with benzo(a)pyrene exposure","volume":"28","author":[{"family":"Sha","given":"Weilai"},{"family":"Cai","given":"Fengsen"},{"family":"Li","given":"Yu"},{"family":"Wang","given":"Ying"},{"family":"Liu","given":"Chunchen"},{"family":"Wang","given":"Renjun"},{"family":"Gao","given":"Peike"}],"issued":{"date-parts":[["2021",11,1]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(Sha et al. 2021)</w:t>
            </w:r>
            <w:r w:rsidRPr="00407B28">
              <w:rPr>
                <w:rFonts w:ascii="Times New Roman" w:eastAsia="Times New Roman" w:hAnsi="Times New Roman" w:cs="Times New Roman"/>
                <w:sz w:val="20"/>
                <w:szCs w:val="20"/>
                <w:lang w:val="en-US"/>
              </w:rPr>
              <w:fldChar w:fldCharType="end"/>
            </w:r>
          </w:p>
        </w:tc>
      </w:tr>
      <w:tr w:rsidR="006E7F36" w:rsidRPr="00826180" w14:paraId="68F5D7A5" w14:textId="77777777" w:rsidTr="00433211">
        <w:tc>
          <w:tcPr>
            <w:tcW w:w="2254" w:type="dxa"/>
          </w:tcPr>
          <w:p w14:paraId="4DEAA48B" w14:textId="56FDD0E4" w:rsidR="006E7F36" w:rsidRPr="00407B28" w:rsidRDefault="005F5102" w:rsidP="00407B28">
            <w:pPr>
              <w:jc w:val="both"/>
              <w:rPr>
                <w:rFonts w:ascii="Times New Roman" w:hAnsi="Times New Roman" w:cs="Times New Roman"/>
                <w:i/>
                <w:iCs/>
                <w:sz w:val="20"/>
                <w:szCs w:val="20"/>
              </w:rPr>
            </w:pPr>
            <w:r w:rsidRPr="00407B28">
              <w:rPr>
                <w:rFonts w:ascii="Times New Roman" w:hAnsi="Times New Roman" w:cs="Times New Roman"/>
                <w:i/>
                <w:iCs/>
                <w:sz w:val="20"/>
                <w:szCs w:val="20"/>
              </w:rPr>
              <w:t>Clarias gariepinus</w:t>
            </w:r>
          </w:p>
        </w:tc>
        <w:tc>
          <w:tcPr>
            <w:tcW w:w="2254" w:type="dxa"/>
          </w:tcPr>
          <w:p w14:paraId="3DB736A6" w14:textId="0BBEE891" w:rsidR="006E7F36" w:rsidRPr="00407B28" w:rsidRDefault="33F34E68" w:rsidP="00407B28">
            <w:pPr>
              <w:jc w:val="both"/>
              <w:rPr>
                <w:rFonts w:ascii="Times New Roman" w:hAnsi="Times New Roman" w:cs="Times New Roman"/>
                <w:sz w:val="20"/>
                <w:szCs w:val="20"/>
              </w:rPr>
            </w:pPr>
            <w:r w:rsidRPr="00EB0176">
              <w:rPr>
                <w:rFonts w:ascii="Times New Roman" w:hAnsi="Times New Roman" w:cs="Times New Roman"/>
                <w:highlight w:val="yellow"/>
              </w:rPr>
              <w:t>½</w:t>
            </w:r>
            <w:r w:rsidRPr="00EB0176">
              <w:rPr>
                <w:rFonts w:ascii="Times New Roman" w:hAnsi="Times New Roman" w:cs="Times New Roman"/>
                <w:sz w:val="20"/>
                <w:szCs w:val="20"/>
                <w:highlight w:val="yellow"/>
              </w:rPr>
              <w:t xml:space="preserve"> and </w:t>
            </w:r>
            <w:r w:rsidR="000C6F1E" w:rsidRPr="00EB0176">
              <w:rPr>
                <w:rFonts w:ascii="Times New Roman" w:hAnsi="Times New Roman" w:cs="Times New Roman"/>
                <w:highlight w:val="yellow"/>
              </w:rPr>
              <w:t>¼</w:t>
            </w:r>
            <w:r w:rsidR="000C6F1E" w:rsidRPr="00EB0176">
              <w:rPr>
                <w:rFonts w:ascii="Times New Roman" w:hAnsi="Times New Roman" w:cs="Times New Roman"/>
                <w:sz w:val="20"/>
                <w:szCs w:val="20"/>
                <w:highlight w:val="yellow"/>
              </w:rPr>
              <w:t xml:space="preserve"> of</w:t>
            </w:r>
            <w:r w:rsidRPr="00EB0176">
              <w:rPr>
                <w:rFonts w:ascii="Times New Roman" w:hAnsi="Times New Roman" w:cs="Times New Roman"/>
                <w:sz w:val="20"/>
                <w:szCs w:val="20"/>
                <w:highlight w:val="yellow"/>
              </w:rPr>
              <w:t xml:space="preserve"> LC</w:t>
            </w:r>
            <w:r w:rsidRPr="00EB0176">
              <w:rPr>
                <w:rFonts w:ascii="Times New Roman" w:hAnsi="Times New Roman" w:cs="Times New Roman"/>
                <w:sz w:val="20"/>
                <w:szCs w:val="20"/>
                <w:highlight w:val="yellow"/>
                <w:vertAlign w:val="subscript"/>
              </w:rPr>
              <w:t>50</w:t>
            </w:r>
            <w:r w:rsidR="00E64FF4" w:rsidRPr="00EB0176">
              <w:rPr>
                <w:rFonts w:ascii="Times New Roman" w:hAnsi="Times New Roman" w:cs="Times New Roman"/>
                <w:sz w:val="20"/>
                <w:szCs w:val="20"/>
                <w:highlight w:val="yellow"/>
                <w:vertAlign w:val="subscript"/>
              </w:rPr>
              <w:t xml:space="preserve"> </w:t>
            </w:r>
            <w:r w:rsidR="00E64FF4" w:rsidRPr="00EB0176">
              <w:rPr>
                <w:rFonts w:ascii="Times New Roman" w:hAnsi="Times New Roman" w:cs="Times New Roman"/>
                <w:sz w:val="20"/>
                <w:szCs w:val="20"/>
                <w:highlight w:val="yellow"/>
              </w:rPr>
              <w:t>f</w:t>
            </w:r>
            <w:r w:rsidRPr="00EB0176">
              <w:rPr>
                <w:rFonts w:ascii="Times New Roman" w:hAnsi="Times New Roman" w:cs="Times New Roman"/>
                <w:sz w:val="20"/>
                <w:szCs w:val="20"/>
                <w:highlight w:val="yellow"/>
              </w:rPr>
              <w:t xml:space="preserve">or </w:t>
            </w:r>
            <w:r w:rsidR="00676137" w:rsidRPr="00EB0176">
              <w:rPr>
                <w:rFonts w:ascii="Times New Roman" w:hAnsi="Times New Roman" w:cs="Times New Roman"/>
                <w:sz w:val="20"/>
                <w:szCs w:val="20"/>
                <w:highlight w:val="yellow"/>
              </w:rPr>
              <w:t>35</w:t>
            </w:r>
            <w:r w:rsidR="00EB0176" w:rsidRPr="00EB0176">
              <w:rPr>
                <w:rFonts w:ascii="Times New Roman" w:hAnsi="Times New Roman" w:cs="Times New Roman"/>
                <w:sz w:val="20"/>
                <w:szCs w:val="20"/>
                <w:highlight w:val="yellow"/>
              </w:rPr>
              <w:t xml:space="preserve"> </w:t>
            </w:r>
            <w:r w:rsidR="00676137" w:rsidRPr="00EB0176">
              <w:rPr>
                <w:rFonts w:ascii="Times New Roman" w:hAnsi="Times New Roman" w:cs="Times New Roman"/>
                <w:sz w:val="20"/>
                <w:szCs w:val="20"/>
                <w:highlight w:val="yellow"/>
              </w:rPr>
              <w:t>days</w:t>
            </w:r>
          </w:p>
        </w:tc>
        <w:tc>
          <w:tcPr>
            <w:tcW w:w="2254" w:type="dxa"/>
          </w:tcPr>
          <w:p w14:paraId="38B84317" w14:textId="0242CA39" w:rsidR="006E7F36" w:rsidRPr="00407B28" w:rsidRDefault="009623F4" w:rsidP="00EB0176">
            <w:pPr>
              <w:rPr>
                <w:rFonts w:ascii="Times New Roman" w:hAnsi="Times New Roman" w:cs="Times New Roman"/>
                <w:sz w:val="20"/>
                <w:szCs w:val="20"/>
              </w:rPr>
            </w:pPr>
            <w:r>
              <w:rPr>
                <w:rFonts w:ascii="Times New Roman" w:hAnsi="Times New Roman" w:cs="Times New Roman"/>
                <w:sz w:val="20"/>
                <w:szCs w:val="20"/>
              </w:rPr>
              <w:t xml:space="preserve"> </w:t>
            </w:r>
            <w:r w:rsidR="002703CD" w:rsidRPr="00EB0176">
              <w:rPr>
                <w:rFonts w:ascii="Times New Roman" w:hAnsi="Times New Roman" w:cs="Times New Roman"/>
                <w:sz w:val="20"/>
                <w:szCs w:val="20"/>
                <w:highlight w:val="yellow"/>
              </w:rPr>
              <w:t xml:space="preserve">Liver </w:t>
            </w:r>
            <w:r w:rsidR="0093711D" w:rsidRPr="00EB0176">
              <w:rPr>
                <w:rFonts w:ascii="Times New Roman" w:hAnsi="Times New Roman" w:cs="Times New Roman"/>
                <w:sz w:val="20"/>
                <w:szCs w:val="20"/>
                <w:highlight w:val="yellow"/>
              </w:rPr>
              <w:t>alters</w:t>
            </w:r>
            <w:r w:rsidR="003054AE" w:rsidRPr="00EB0176">
              <w:rPr>
                <w:rFonts w:ascii="Times New Roman" w:hAnsi="Times New Roman" w:cs="Times New Roman"/>
                <w:sz w:val="20"/>
                <w:szCs w:val="20"/>
                <w:highlight w:val="yellow"/>
              </w:rPr>
              <w:t xml:space="preserve"> </w:t>
            </w:r>
            <w:r w:rsidR="002703CD" w:rsidRPr="00EB0176">
              <w:rPr>
                <w:rFonts w:ascii="Times New Roman" w:hAnsi="Times New Roman" w:cs="Times New Roman"/>
                <w:sz w:val="20"/>
                <w:szCs w:val="20"/>
                <w:highlight w:val="yellow"/>
              </w:rPr>
              <w:t>dense cellular infiltrat</w:t>
            </w:r>
            <w:r w:rsidR="00D760C9" w:rsidRPr="00EB0176">
              <w:rPr>
                <w:rFonts w:ascii="Times New Roman" w:hAnsi="Times New Roman" w:cs="Times New Roman"/>
                <w:sz w:val="20"/>
                <w:szCs w:val="20"/>
                <w:highlight w:val="yellow"/>
              </w:rPr>
              <w:t>ion</w:t>
            </w:r>
            <w:r w:rsidR="002703CD" w:rsidRPr="00EB0176">
              <w:rPr>
                <w:rFonts w:ascii="Times New Roman" w:hAnsi="Times New Roman" w:cs="Times New Roman"/>
                <w:sz w:val="20"/>
                <w:szCs w:val="20"/>
                <w:highlight w:val="yellow"/>
              </w:rPr>
              <w:t xml:space="preserve"> and structural damage</w:t>
            </w:r>
            <w:r w:rsidR="005A758F" w:rsidRPr="00EB0176">
              <w:rPr>
                <w:rFonts w:ascii="Times New Roman" w:hAnsi="Times New Roman" w:cs="Times New Roman"/>
                <w:sz w:val="20"/>
                <w:szCs w:val="20"/>
                <w:highlight w:val="yellow"/>
              </w:rPr>
              <w:t>, while</w:t>
            </w:r>
            <w:r w:rsidR="003054AE" w:rsidRPr="00EB0176">
              <w:rPr>
                <w:rFonts w:ascii="Times New Roman" w:hAnsi="Times New Roman" w:cs="Times New Roman"/>
                <w:sz w:val="20"/>
                <w:szCs w:val="20"/>
                <w:highlight w:val="yellow"/>
              </w:rPr>
              <w:t xml:space="preserve"> </w:t>
            </w:r>
            <w:r w:rsidR="005A758F" w:rsidRPr="00EB0176">
              <w:rPr>
                <w:rFonts w:ascii="Times New Roman" w:hAnsi="Times New Roman" w:cs="Times New Roman"/>
                <w:sz w:val="20"/>
                <w:szCs w:val="20"/>
                <w:highlight w:val="yellow"/>
              </w:rPr>
              <w:t>g</w:t>
            </w:r>
            <w:r w:rsidR="003054AE" w:rsidRPr="00EB0176">
              <w:rPr>
                <w:rFonts w:ascii="Times New Roman" w:hAnsi="Times New Roman" w:cs="Times New Roman"/>
                <w:sz w:val="20"/>
                <w:szCs w:val="20"/>
                <w:highlight w:val="yellow"/>
              </w:rPr>
              <w:t>ill alterations</w:t>
            </w:r>
            <w:r w:rsidR="00586879" w:rsidRPr="00EB0176">
              <w:rPr>
                <w:rFonts w:ascii="Times New Roman" w:hAnsi="Times New Roman" w:cs="Times New Roman"/>
                <w:sz w:val="20"/>
                <w:szCs w:val="20"/>
                <w:highlight w:val="yellow"/>
              </w:rPr>
              <w:t xml:space="preserve"> </w:t>
            </w:r>
            <w:r w:rsidR="003054AE" w:rsidRPr="00EB0176">
              <w:rPr>
                <w:rFonts w:ascii="Times New Roman" w:hAnsi="Times New Roman" w:cs="Times New Roman"/>
                <w:sz w:val="20"/>
                <w:szCs w:val="20"/>
                <w:highlight w:val="yellow"/>
              </w:rPr>
              <w:t>include disorganized lamellae</w:t>
            </w:r>
            <w:r w:rsidR="001C5B03" w:rsidRPr="00EB0176">
              <w:rPr>
                <w:rFonts w:ascii="Times New Roman" w:hAnsi="Times New Roman" w:cs="Times New Roman"/>
                <w:sz w:val="20"/>
                <w:szCs w:val="20"/>
                <w:highlight w:val="yellow"/>
              </w:rPr>
              <w:t>.</w:t>
            </w:r>
          </w:p>
        </w:tc>
        <w:tc>
          <w:tcPr>
            <w:tcW w:w="2254" w:type="dxa"/>
          </w:tcPr>
          <w:p w14:paraId="0FF29975" w14:textId="23250520" w:rsidR="006E7F36" w:rsidRPr="00407B28" w:rsidRDefault="007459E2" w:rsidP="00826180">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{"citationID":"Zu41UZTN","properties":{"formattedCitation":"(Osuagwu et al. 2023)","plainCitation":"(Osuagwu et al. 2023)","noteIndex":0},"citationItems":[{"id":"r9E9mN5c/N27nJF7D","uris":["http://zotero.org/users/14468226/items/FNTBFLSY"],"itemData":{"id":6940,"type":"article-journal","abstract":"The effect of joint mixtures of phenanthrene and benzo[a]pyrene on selected hematological and histopathological parameters of the Clarias gariepinus was investigated. Healthy juvenile C. gariepinus (n = 90) weighing 19.7 ± 1.8 g were exposed to sublethal concentrations of joint mixtures of phenanthrene and benzo[a]pyrene for a subchronic period of 35 days. Acute toxicity studies showed that phenanthrene and benzo[a]pyrene had LC50 values of 1400 and 16 μg/L respectively while the safe limits of the chemicals varied in the ranges of 0.00016 to 1.6 μg/L and 0.014 to 140 μg/L for benzo[a]pyrene and phenanthrene respectively. The joint mixture significantly (p &amp;lt; 0.05) reduced growth rate in exposed fish. The joint mixtures also led to significant (p &amp;lt; 0.05) declines in the studied hematological parameters including blood cell count (RBC), hemoglobin (Hb), and hematocrit (Hct). The erythrocyte indices including mean corpuscular volume (MCV), mean corpuscular hemoglobin (MCH) and mean corpuscular hemoglobin concentration (MCHC) all showed significant (p &amp;lt; 0.05) declines in the presence of the joint toxicants. There were significant (p &amp;lt; 0.05) increases in white blood cell (WBC) count and platelet (PLT) count. Histopathological examination showed alterations in the liver and gill sections of exposed fish.","container-title":"Biological Sciences","DOI":"10.55006/biolsciences.2023.3202","ISSN":"2583-1399","issue":"2","language":"en","license":"Copyright (c) 2023 IR Research Publication","page":"399-405","source":"www.irrespub.com","title":"Assessment of haematological and histopathological effects of mixture toxicity of phenanthrene and benzo[a]pyrene in catfish","volume":"3","author":[{"family":"Osuagwu","given":"Uchechukwu O."},{"family":"Ujowundu","given":"Cosmas O."},{"family":"Nwaogu","given":"Linus A."},{"family":"Nwaoguikpe","given":"Reginald N."}],"issued":{"date-parts":[["2023",5,13]]}}}],"schema":"https://github.com/citation-style-language/schema/raw/master/csl-citation.json"}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(Osuagwu et al. 2023)</w:t>
            </w:r>
            <w:r w:rsidRPr="00407B28">
              <w:rPr>
                <w:rFonts w:ascii="Times New Roman" w:eastAsia="Times New Roman" w:hAnsi="Times New Roman" w:cs="Times New Roman"/>
                <w:sz w:val="20"/>
                <w:szCs w:val="20"/>
                <w:lang w:val="en-US"/>
              </w:rPr>
              <w:fldChar w:fldCharType="end"/>
            </w:r>
          </w:p>
        </w:tc>
      </w:tr>
      <w:tr w:rsidR="006E7F36" w:rsidRPr="00826180" w14:paraId="7F8E040C" w14:textId="77777777" w:rsidTr="00433211">
        <w:tc>
          <w:tcPr>
            <w:tcW w:w="2254" w:type="dxa"/>
          </w:tcPr>
          <w:p w14:paraId="3A5ED359" w14:textId="0185D6FC" w:rsidR="006E7F36" w:rsidRPr="00407B28" w:rsidRDefault="006E7F36" w:rsidP="00407B28">
            <w:pPr>
              <w:jc w:val="both"/>
              <w:rPr>
                <w:rFonts w:ascii="Times New Roman" w:hAnsi="Times New Roman" w:cs="Times New Roman"/>
                <w:i/>
                <w:iCs/>
                <w:sz w:val="20"/>
                <w:szCs w:val="20"/>
              </w:rPr>
            </w:pPr>
            <w:r w:rsidRPr="00407B28">
              <w:rPr>
                <w:rFonts w:ascii="Times New Roman" w:hAnsi="Times New Roman" w:cs="Times New Roman"/>
                <w:i/>
                <w:iCs/>
                <w:sz w:val="20"/>
                <w:szCs w:val="20"/>
              </w:rPr>
              <w:t>Rutilus frissi kutum</w:t>
            </w:r>
          </w:p>
        </w:tc>
        <w:tc>
          <w:tcPr>
            <w:tcW w:w="2254" w:type="dxa"/>
          </w:tcPr>
          <w:p w14:paraId="62DEC137" w14:textId="35ECB58E" w:rsidR="006E7F36" w:rsidRPr="00407B28" w:rsidRDefault="33F34E68" w:rsidP="00407B28">
            <w:pPr>
              <w:jc w:val="both"/>
              <w:rPr>
                <w:rFonts w:ascii="Times New Roman" w:hAnsi="Times New Roman" w:cs="Times New Roman"/>
                <w:sz w:val="20"/>
                <w:szCs w:val="20"/>
              </w:rPr>
            </w:pPr>
            <w:r w:rsidRPr="00EB0176">
              <w:rPr>
                <w:rFonts w:ascii="Times New Roman" w:hAnsi="Times New Roman" w:cs="Times New Roman"/>
                <w:sz w:val="20"/>
                <w:szCs w:val="20"/>
                <w:highlight w:val="yellow"/>
              </w:rPr>
              <w:t>50, 100, and 200</w:t>
            </w:r>
            <w:r w:rsidR="00EB0176" w:rsidRPr="00EB0176">
              <w:rPr>
                <w:rFonts w:ascii="Times New Roman" w:hAnsi="Times New Roman" w:cs="Times New Roman"/>
                <w:sz w:val="20"/>
                <w:szCs w:val="20"/>
                <w:highlight w:val="yellow"/>
              </w:rPr>
              <w:t xml:space="preserve"> </w:t>
            </w:r>
            <w:r w:rsidR="00ED5948" w:rsidRPr="00EB0176">
              <w:rPr>
                <w:rFonts w:ascii="Times New Roman" w:hAnsi="Times New Roman" w:cs="Times New Roman"/>
                <w:sz w:val="20"/>
                <w:szCs w:val="20"/>
                <w:highlight w:val="yellow"/>
              </w:rPr>
              <w:t xml:space="preserve">ppb </w:t>
            </w:r>
            <w:r w:rsidRPr="00EB0176">
              <w:rPr>
                <w:rFonts w:ascii="Times New Roman" w:hAnsi="Times New Roman" w:cs="Times New Roman"/>
                <w:sz w:val="20"/>
                <w:szCs w:val="20"/>
                <w:highlight w:val="yellow"/>
              </w:rPr>
              <w:t>for 21 days</w:t>
            </w:r>
          </w:p>
        </w:tc>
        <w:tc>
          <w:tcPr>
            <w:tcW w:w="2254" w:type="dxa"/>
          </w:tcPr>
          <w:p w14:paraId="16A74A8D" w14:textId="64D39E38" w:rsidR="006E7F36" w:rsidRPr="00407B28" w:rsidRDefault="33F34E68" w:rsidP="00EB0176">
            <w:pPr>
              <w:rPr>
                <w:rFonts w:ascii="Times New Roman" w:hAnsi="Times New Roman" w:cs="Times New Roman"/>
                <w:sz w:val="20"/>
                <w:szCs w:val="20"/>
              </w:rPr>
            </w:pPr>
            <w:r w:rsidRPr="00EB0176">
              <w:rPr>
                <w:rFonts w:ascii="Times New Roman" w:hAnsi="Times New Roman" w:cs="Times New Roman"/>
                <w:sz w:val="20"/>
                <w:szCs w:val="20"/>
                <w:highlight w:val="yellow"/>
              </w:rPr>
              <w:t>B[</w:t>
            </w:r>
            <w:r w:rsidRPr="00EB0176">
              <w:rPr>
                <w:rFonts w:ascii="Times New Roman" w:hAnsi="Times New Roman" w:cs="Times New Roman"/>
                <w:i/>
                <w:iCs/>
                <w:sz w:val="20"/>
                <w:szCs w:val="20"/>
                <w:highlight w:val="yellow"/>
              </w:rPr>
              <w:t>a</w:t>
            </w:r>
            <w:r w:rsidRPr="00EB0176">
              <w:rPr>
                <w:rFonts w:ascii="Times New Roman" w:hAnsi="Times New Roman" w:cs="Times New Roman"/>
                <w:sz w:val="20"/>
                <w:szCs w:val="20"/>
                <w:highlight w:val="yellow"/>
              </w:rPr>
              <w:t xml:space="preserve">]P induced lesions in </w:t>
            </w:r>
            <w:r w:rsidR="00E81CCE" w:rsidRPr="00EB0176">
              <w:rPr>
                <w:rFonts w:ascii="Times New Roman" w:hAnsi="Times New Roman" w:cs="Times New Roman"/>
                <w:sz w:val="20"/>
                <w:szCs w:val="20"/>
                <w:highlight w:val="yellow"/>
              </w:rPr>
              <w:t>both</w:t>
            </w:r>
            <w:r w:rsidRPr="00EB0176">
              <w:rPr>
                <w:rFonts w:ascii="Times New Roman" w:hAnsi="Times New Roman" w:cs="Times New Roman"/>
                <w:sz w:val="20"/>
                <w:szCs w:val="20"/>
                <w:highlight w:val="yellow"/>
              </w:rPr>
              <w:t xml:space="preserve"> liver and gill tissues</w:t>
            </w:r>
            <w:r w:rsidR="00E81CCE" w:rsidRPr="00EB0176">
              <w:rPr>
                <w:rFonts w:ascii="Times New Roman" w:hAnsi="Times New Roman" w:cs="Times New Roman"/>
                <w:sz w:val="20"/>
                <w:szCs w:val="20"/>
                <w:highlight w:val="yellow"/>
              </w:rPr>
              <w:t>,</w:t>
            </w:r>
            <w:r w:rsidRPr="00EB0176">
              <w:rPr>
                <w:rFonts w:ascii="Times New Roman" w:hAnsi="Times New Roman" w:cs="Times New Roman"/>
                <w:sz w:val="20"/>
                <w:szCs w:val="20"/>
                <w:highlight w:val="yellow"/>
              </w:rPr>
              <w:t xml:space="preserve"> w</w:t>
            </w:r>
            <w:r w:rsidR="008B198C" w:rsidRPr="00EB0176">
              <w:rPr>
                <w:rFonts w:ascii="Times New Roman" w:hAnsi="Times New Roman" w:cs="Times New Roman"/>
                <w:sz w:val="20"/>
                <w:szCs w:val="20"/>
                <w:highlight w:val="yellow"/>
              </w:rPr>
              <w:t>ith</w:t>
            </w:r>
            <w:r w:rsidRPr="00EB0176">
              <w:rPr>
                <w:rFonts w:ascii="Times New Roman" w:hAnsi="Times New Roman" w:cs="Times New Roman"/>
                <w:sz w:val="20"/>
                <w:szCs w:val="20"/>
                <w:highlight w:val="yellow"/>
              </w:rPr>
              <w:t xml:space="preserve"> </w:t>
            </w:r>
            <w:r w:rsidR="00D577D3" w:rsidRPr="00EB0176">
              <w:rPr>
                <w:rFonts w:ascii="Times New Roman" w:hAnsi="Times New Roman" w:cs="Times New Roman"/>
                <w:sz w:val="20"/>
                <w:szCs w:val="20"/>
                <w:highlight w:val="yellow"/>
              </w:rPr>
              <w:t xml:space="preserve">the </w:t>
            </w:r>
            <w:r w:rsidRPr="00EB0176">
              <w:rPr>
                <w:rFonts w:ascii="Times New Roman" w:hAnsi="Times New Roman" w:cs="Times New Roman"/>
                <w:sz w:val="20"/>
                <w:szCs w:val="20"/>
                <w:highlight w:val="yellow"/>
              </w:rPr>
              <w:t xml:space="preserve">gill </w:t>
            </w:r>
            <w:r w:rsidR="00667745" w:rsidRPr="00EB0176">
              <w:rPr>
                <w:rFonts w:ascii="Times New Roman" w:hAnsi="Times New Roman" w:cs="Times New Roman"/>
                <w:sz w:val="20"/>
                <w:szCs w:val="20"/>
                <w:highlight w:val="yellow"/>
              </w:rPr>
              <w:t>show</w:t>
            </w:r>
            <w:r w:rsidR="004B5045" w:rsidRPr="00EB0176">
              <w:rPr>
                <w:rFonts w:ascii="Times New Roman" w:hAnsi="Times New Roman" w:cs="Times New Roman"/>
                <w:sz w:val="20"/>
                <w:szCs w:val="20"/>
                <w:highlight w:val="yellow"/>
              </w:rPr>
              <w:t>ing</w:t>
            </w:r>
            <w:r w:rsidRPr="00EB0176">
              <w:rPr>
                <w:rFonts w:ascii="Times New Roman" w:hAnsi="Times New Roman" w:cs="Times New Roman"/>
                <w:sz w:val="20"/>
                <w:szCs w:val="20"/>
                <w:highlight w:val="yellow"/>
              </w:rPr>
              <w:t xml:space="preserve"> </w:t>
            </w:r>
            <w:r w:rsidR="00D577D3" w:rsidRPr="00EB0176">
              <w:rPr>
                <w:rFonts w:ascii="Times New Roman" w:hAnsi="Times New Roman" w:cs="Times New Roman"/>
                <w:sz w:val="20"/>
                <w:szCs w:val="20"/>
                <w:highlight w:val="yellow"/>
              </w:rPr>
              <w:t>greater</w:t>
            </w:r>
            <w:r w:rsidRPr="00EB0176">
              <w:rPr>
                <w:rFonts w:ascii="Times New Roman" w:hAnsi="Times New Roman" w:cs="Times New Roman"/>
                <w:sz w:val="20"/>
                <w:szCs w:val="20"/>
                <w:highlight w:val="yellow"/>
              </w:rPr>
              <w:t xml:space="preserve"> </w:t>
            </w:r>
            <w:r w:rsidR="00D577D3" w:rsidRPr="00EB0176">
              <w:rPr>
                <w:rFonts w:ascii="Times New Roman" w:hAnsi="Times New Roman" w:cs="Times New Roman"/>
                <w:sz w:val="20"/>
                <w:szCs w:val="20"/>
                <w:highlight w:val="yellow"/>
              </w:rPr>
              <w:t>sensitivity.</w:t>
            </w:r>
          </w:p>
        </w:tc>
        <w:tc>
          <w:tcPr>
            <w:tcW w:w="2254" w:type="dxa"/>
          </w:tcPr>
          <w:p w14:paraId="2AE3C875" w14:textId="765D3B47" w:rsidR="006E7F36" w:rsidRPr="00407B28" w:rsidRDefault="006E7F36" w:rsidP="00826180">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{"citationID":"FblcrUSQ","properties":{"formattedCitation":"(Esmaeilbeigi et al. 2021)","plainCitation":"(Esmaeilbeigi et al. 2021)","noteIndex":0},"citationItems":[{"id":"r9E9mN5c/YrAY4dC0","uris":["http://zotero.org/users/14468226/items/ECAT7CVQ"],"itemData":{"id":6945,"type":"article-journal","abstract":"Southern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(Esmaeilbeigi et al. 2021)</w:t>
            </w:r>
            <w:r w:rsidRPr="00407B28">
              <w:rPr>
                <w:rFonts w:ascii="Times New Roman" w:eastAsia="Times New Roman" w:hAnsi="Times New Roman" w:cs="Times New Roman"/>
                <w:sz w:val="20"/>
                <w:szCs w:val="20"/>
                <w:lang w:val="en-US"/>
              </w:rPr>
              <w:fldChar w:fldCharType="end"/>
            </w:r>
          </w:p>
        </w:tc>
      </w:tr>
      <w:tr w:rsidR="00586879" w:rsidRPr="00826180" w14:paraId="684ED4BC" w14:textId="0D93760F" w:rsidTr="00433211">
        <w:tc>
          <w:tcPr>
            <w:tcW w:w="2254" w:type="dxa"/>
          </w:tcPr>
          <w:p w14:paraId="063E2E82" w14:textId="7F8DF93A" w:rsidR="00586879" w:rsidRPr="00407B28" w:rsidRDefault="33F34E68" w:rsidP="00407B28">
            <w:pPr>
              <w:jc w:val="both"/>
              <w:rPr>
                <w:rFonts w:ascii="Times New Roman" w:hAnsi="Times New Roman" w:cs="Times New Roman"/>
                <w:i/>
                <w:iCs/>
                <w:sz w:val="20"/>
                <w:szCs w:val="20"/>
              </w:rPr>
            </w:pPr>
            <w:r w:rsidRPr="00407B28">
              <w:rPr>
                <w:rFonts w:ascii="Times New Roman" w:hAnsi="Times New Roman" w:cs="Times New Roman"/>
                <w:i/>
                <w:iCs/>
                <w:sz w:val="20"/>
                <w:szCs w:val="20"/>
              </w:rPr>
              <w:t xml:space="preserve"> Pomatoschistus microps </w:t>
            </w:r>
          </w:p>
        </w:tc>
        <w:tc>
          <w:tcPr>
            <w:tcW w:w="2254" w:type="dxa"/>
          </w:tcPr>
          <w:p w14:paraId="1A8AE54E" w14:textId="76E482D1" w:rsidR="00586879" w:rsidRPr="00407B28" w:rsidRDefault="47EE4892" w:rsidP="00407B28">
            <w:pPr>
              <w:jc w:val="both"/>
              <w:rPr>
                <w:rFonts w:ascii="Times New Roman" w:hAnsi="Times New Roman" w:cs="Times New Roman"/>
                <w:sz w:val="20"/>
                <w:szCs w:val="20"/>
              </w:rPr>
            </w:pPr>
            <w:r w:rsidRPr="00EB0176">
              <w:rPr>
                <w:rFonts w:ascii="Times New Roman" w:hAnsi="Times New Roman" w:cs="Times New Roman"/>
                <w:sz w:val="20"/>
                <w:szCs w:val="20"/>
                <w:highlight w:val="yellow"/>
              </w:rPr>
              <w:t xml:space="preserve">1, 2, 4, 8, and 16 μg/L for </w:t>
            </w:r>
            <w:r w:rsidR="00014D72" w:rsidRPr="00EB0176">
              <w:rPr>
                <w:rFonts w:ascii="Times New Roman" w:hAnsi="Times New Roman" w:cs="Times New Roman"/>
                <w:sz w:val="20"/>
                <w:szCs w:val="20"/>
                <w:highlight w:val="yellow"/>
              </w:rPr>
              <w:t>4 days</w:t>
            </w:r>
          </w:p>
        </w:tc>
        <w:tc>
          <w:tcPr>
            <w:tcW w:w="2254" w:type="dxa"/>
          </w:tcPr>
          <w:p w14:paraId="5D8B9E07" w14:textId="63762765" w:rsidR="00586879" w:rsidRPr="00407B28" w:rsidRDefault="00586879" w:rsidP="00EB0176">
            <w:pPr>
              <w:rPr>
                <w:rFonts w:ascii="Times New Roman" w:hAnsi="Times New Roman" w:cs="Times New Roman"/>
                <w:sz w:val="20"/>
                <w:szCs w:val="20"/>
              </w:rPr>
            </w:pPr>
            <w:r w:rsidRPr="00EB0176">
              <w:rPr>
                <w:rFonts w:ascii="Times New Roman" w:hAnsi="Times New Roman" w:cs="Times New Roman"/>
                <w:sz w:val="20"/>
                <w:szCs w:val="20"/>
                <w:highlight w:val="yellow"/>
              </w:rPr>
              <w:t>Gill lesions, gonadal nuclear fragmentation, and vacuolization of oocytes</w:t>
            </w:r>
            <w:r w:rsidR="009D700D" w:rsidRPr="00EB0176">
              <w:rPr>
                <w:rFonts w:ascii="Times New Roman" w:hAnsi="Times New Roman" w:cs="Times New Roman"/>
                <w:sz w:val="20"/>
                <w:szCs w:val="20"/>
                <w:highlight w:val="yellow"/>
              </w:rPr>
              <w:t>.</w:t>
            </w:r>
          </w:p>
        </w:tc>
        <w:tc>
          <w:tcPr>
            <w:tcW w:w="2254" w:type="dxa"/>
          </w:tcPr>
          <w:p w14:paraId="503A5154" w14:textId="600652C9" w:rsidR="00586879" w:rsidRPr="00407B28" w:rsidRDefault="00586879" w:rsidP="00826180">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{"citationID":"O7knGrvs","properties":{"formattedCitation":"(Vieira et al. 2008)","plainCitation":"(Vieira et al. 2008)","noteIndex":0},"citationItems":[{"id":"r9E9mN5c/w2HnIBIk","uris":["http://zotero.org/users/14468226/items/D8HGSCFB"],"itemData":{"id":6916,"type":"article-journal","abstract":"The objective of this study was to investigate the effects of two different PAHs and a complex petrochemical mixture on the common goby, Pomatoschistus microps, using selected biomarkers as effect criteria. Benzo[a]pyrene (BaP) and anthracene were used as reference substances, while the water accommodated fraction of #4 fuel-oil (#4 WAF) was used as an example of a petrochemical mixture. P. microps was used since it is both a suitable bioindicator and a good test organism. Groups of fish were exposed to different concentrations of each of the test substances for 96 h and the activities of several enzymes commonly used as biomarkers were determined at the end of the bioassays. All the substances inhibited P. microps acetylcholinesterase (AChE) indicating that they have at least one mechanism of neurotoxicity in common: the disruption of cholinergic transmission by inhibition of AChE. An induction of lactate dehydrogenase (LDH) activity was found in fish exposed to BaP or to anthracene, suggesting an increase of the anaerobic pathway of energy production. On the contrary, inhibition of LDH was found in fish exposed to #4 WAF, suggesting a distinct effect of the mixture. An induction of P. microps glutathione S-transferase (GST) activity was found in fish exposed to BaP or to #4 WAF, while an inhibition was observed after exposure to anthracene. These results suggest that GST is involved in the detoxification of BaP and #4 WAF, but not of anthracene. All the substances increased catalase activity and isolated PAHs also increased superoxide dismutase, glutathione reductase and glutathione peroxidase activities, while #4 WAF did not cause significant alterations on these enzymes. These results suggest that all the substances may induce oxidative stress on P. microps, with BaP and anthracene apparently having more oxidative stress potential than #4 WAF.","container-title":"Science of The Total Environment","DOI":"10.1016/j.scitotenv.2008.01.052","ISSN":"0048-9697","issue":"2","journalAbbreviation":"Science of The Total Environment","page":"87-100","source":"ScienceDirect","title":"Acute effects of Benzo[a]pyrene, anthracene and a fuel oil on biomarkers of the common goby &lt;i&gt;Pomatoschistus microps&lt;/i&gt; (Teleostei, Gobiidae)","volume":"395","author":[{"family":"Vieira","given":"L. R."},{"family":"Sousa","given":"A."},{"family":"Frasco","given":"M. F."},{"family":"Lima","given":"I."},{"family":"Morgado","given":"F."},{"family":"Guilhermino","given":"L."}],"issued":{"date-parts":[["2008",6,1]]}}}],"schema":"https://github.com/citation-style-language/schema/raw/master/csl-citation.json"}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(Vieira et al. 2008)</w:t>
            </w:r>
            <w:r w:rsidRPr="00407B28">
              <w:rPr>
                <w:rFonts w:ascii="Times New Roman" w:eastAsia="Times New Roman" w:hAnsi="Times New Roman" w:cs="Times New Roman"/>
                <w:sz w:val="20"/>
                <w:szCs w:val="20"/>
                <w:lang w:val="en-US"/>
              </w:rPr>
              <w:fldChar w:fldCharType="end"/>
            </w:r>
          </w:p>
        </w:tc>
      </w:tr>
    </w:tbl>
    <w:p w14:paraId="45ED3F11" w14:textId="77777777" w:rsidR="006A3E5C" w:rsidRDefault="006A3E5C" w:rsidP="000A1EE6">
      <w:pPr>
        <w:spacing w:after="0" w:line="480" w:lineRule="auto"/>
        <w:rPr>
          <w:rFonts w:ascii="Times New Roman" w:eastAsia="Times New Roman" w:hAnsi="Times New Roman" w:cs="Times New Roman"/>
          <w:b/>
          <w:bCs/>
          <w:lang w:val="en-US"/>
        </w:rPr>
      </w:pPr>
    </w:p>
    <w:p w14:paraId="5C6960FC" w14:textId="3E57B5FB" w:rsidR="00135CEC" w:rsidRPr="000A1EE6" w:rsidRDefault="00F90C15" w:rsidP="000A1EE6">
      <w:pPr>
        <w:spacing w:after="0" w:line="480" w:lineRule="auto"/>
        <w:rPr>
          <w:rFonts w:ascii="Times New Roman" w:eastAsia="Times New Roman" w:hAnsi="Times New Roman" w:cs="Times New Roman"/>
          <w:b/>
          <w:bCs/>
          <w:lang w:val="en-US"/>
        </w:rPr>
      </w:pPr>
      <w:r w:rsidRPr="000A1EE6">
        <w:rPr>
          <w:rFonts w:ascii="Times New Roman" w:eastAsia="Times New Roman" w:hAnsi="Times New Roman" w:cs="Times New Roman"/>
          <w:b/>
          <w:bCs/>
          <w:lang w:val="en-US"/>
        </w:rPr>
        <w:t>3.</w:t>
      </w:r>
      <w:r w:rsidR="0032037C">
        <w:rPr>
          <w:rFonts w:ascii="Times New Roman" w:eastAsia="Times New Roman" w:hAnsi="Times New Roman" w:cs="Times New Roman"/>
          <w:b/>
          <w:bCs/>
          <w:lang w:val="en-US"/>
        </w:rPr>
        <w:t xml:space="preserve">3 </w:t>
      </w:r>
      <w:r w:rsidR="00DD678F" w:rsidRPr="000A1EE6">
        <w:rPr>
          <w:rFonts w:ascii="Times New Roman" w:eastAsia="Times New Roman" w:hAnsi="Times New Roman" w:cs="Times New Roman"/>
          <w:b/>
          <w:bCs/>
          <w:lang w:val="en-US"/>
        </w:rPr>
        <w:t>Genotoxic Effects and DNA Damage</w:t>
      </w:r>
    </w:p>
    <w:p w14:paraId="5DD70FF4" w14:textId="0C8763E5" w:rsidR="003245B4" w:rsidRPr="000A1EE6" w:rsidRDefault="47EE4892" w:rsidP="000A1EE6">
      <w:pPr>
        <w:spacing w:line="480" w:lineRule="auto"/>
        <w:jc w:val="both"/>
        <w:rPr>
          <w:rFonts w:ascii="Times New Roman" w:eastAsia="Times New Roman" w:hAnsi="Times New Roman" w:cs="Times New Roman"/>
          <w:lang w:val="en-US"/>
        </w:rPr>
      </w:pPr>
      <w:r w:rsidRPr="47EE4892">
        <w:rPr>
          <w:rFonts w:ascii="Times New Roman" w:eastAsia="Times New Roman" w:hAnsi="Times New Roman" w:cs="Times New Roman"/>
          <w:lang w:val="en-US"/>
        </w:rPr>
        <w:t>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exposure exerts significant genotoxic effects on freshwater fish populations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{"citationID":"EmWuisgm","properties":{"formattedCitation":"(Soltani et al. 2019, Miranda-Guevara et al. 2023)","plainCitation":"(Soltani et al. 2019, Miranda-Guevara et al. 2023)","noteIndex":0},"citationItems":[{"id":"r9E9mN5c/GHGRjycA","uris":["http://zotero.org/users/14468226/items/78TISMC8"],"itemData":{"id":6634,"type":"article-journal","abstract":"Exposure to coal mining dust poses a substantial health hazard to individuals due to the complex mixture of components released during the extraction process. This study aimed to assess the oxidative potential of residual coal mining dust on human lymphocyte DNA and telomeres and to perform a chemical characterization of coal dust and urine samples. The study included 150 individuals exposed to coal dust for over ten years, along with 120 control individuals. The results revealed significantly higher levels of DNA damage in the exposed group, as indicated by the standard comet assay, and oxidative damage, as determined by the FPG-modified comet assay. Moreover, the exposed individuals exhibited significantly shorter telomeres compared to the control group, and a significant correlation was found between telomere length and oxidative DNA damage. Using the PIXE method on urine samples, significantly higher concentrations of sodium (Na), phosphorus (P), sulfur (S), chlorine (Cl), potassium (K), iron (Fe), zinc (Zn), and bromine (Br) were observed in the exposed group compared to the control group. Furthermore, men showed shorter telomeres, greater DNA damage, and higher concentrations of nickel (Ni), calcium (Ca), and chromium (Cr) compared to exposed women. Additionally, the study characterized the particles released into the environment through GC-MS analysis, identifying several compounds, including polycyclic aromatic hydrocarbons (PAHs) such as fluoranthene, naphthalene, anthracene, 7H-benzo[c]fluorene, phenanthrene, pyrene, benz[a]anthracene, chrysene, and some alkyl derivatives. These findings underscore the significant health risks associated with exposure to coal mining dust, emphasizing the importance of further research and the implementation of regulatory measures to safeguard the health of individuals in affected populations.","container-title":"Environmental Geochemistry and Health","DOI":"10.1007/s10653-023-01697-3","ISSN":"1573-2983","issue":"10","journalAbbreviation":"Environ Geochem Health","language":"eng","note":"PMID: 37542205\nPMCID: PMC10517898","page":"7081-7097","source":"PubMed","title":"The dangerous link between coal dust exposure and DNA damage: unraveling the role of some of the chemical agents and oxidative stress","title-short":"The dangerous link between coal dust exposure and DNA damage","volume":"45","author":[{"family":"Miranda-Guevara","given":"Alvaro"},{"family":"Muñoz-Acevedo","given":"Amner"},{"family":"Fiorillo-Moreno","given":"Ornella"},{"family":"Acosta-Hoyos","given":"Antonio"},{"family":"Pacheco-Londoño","given":"Leonardo"},{"family":"Quintana-Sosa","given":"Milton"},{"family":"De Moya","given":"Yurina"},{"family":"Dias","given":"Johnny"},{"family":"Souza","given":"Guilherme Soares","non-dropping-particle":"de"},{"family":"Martinez-Lopez","given":"Wilner"},{"family":"Garcia","given":"Ana Letícia Hilário"},{"family":"Silva","given":"Juliana","non-dropping-particle":"da"},{"family":"Borges","given":"Malu Siqueira"},{"family":"Henriques","given":"João Antonio Pêgas"},{"family":"León-Mejía","given":"Grethel"}],"issued":{"date-parts":[["2023",10]]}}},{"id":"r9E9mN5c/goQck2qB","uris":["http://zotero.org/users/14468226/items/UU6UWX4P"],"itemData":{"id":6594,"type":"article-journal","abstract":"Benzo[a]pyrene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(Soltani et al. 2019, Miranda-Guevara et al. 2023)</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The primary mechanism involves metabolic activation of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to BPDE, which covalently binds to DNA bases to generate mutagenic adducts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{"citationID":"fVv8sGF8","properties":{"formattedCitation":"(Jung et al. 2009, Gazo et al. 2020, Bukowska et al. 2022)","plainCitation":"(Jung et al. 2009, Gazo et al. 2020, Bukowska et al. 2022)","noteIndex":0},"citationItems":[{"id":7665,"uris":["http://zotero.org/users/7192077/items/M64SCLBZ"],"itemData":{"id":7665,"type":"article-journal","abstract":"Benzo[a]pyrene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URL":"https://www.mdpi.com/1422-0067/23/11/6348","volume":"23","author":[{"family":"Bukowska","given":"Bożena"},{"family":"Mokra","given":"Katarzyna"},{"family":"Michałowicz","given":"Jaromir"}],"accessed":{"date-parts":[["2025",7,23]]},"issued":{"date-parts":[["2022",1]]}}},{"id":"r9E9mN5c/JG12cHcp","uris":["http://zotero.org/users/14468226/items/B78QGZNA"],"itemData":{"id":6719,"type":"article-journal","abstract":"DNA damage caused by exogenous or endogenous factors is a common challenge for developing fish embryos. DNA damage repair (DDR) pathways help organisms minimize adverse effects of DNA alterations. In terms of DNA repair mechanisms, sturgeons represent a particularly interesting model due to their exceptional genome plasticity. Sterlet (Acipenser ruthenus) is a relatively small species of sturgeon. The goal of this study was to assess the sensitivity of sterlet embryos to model genotoxicants (camptothecin, etoposide, and benzo[a]pyrene), and to assess DDR responses. We assessed the effects of genotoxicants on embryo survival, hatching rate, DNA fragmentation, gene expression, and phosphorylation of H2AX and ATM kinase. Exposure of sterlet embryos to 1 µM benzo[a]pyrene induced low levels of DNA damage accompanied by ATM phosphorylation and xpc gene expression. Conversely, 20 µM etoposide exposure induced DNA damage without activation of known DDR pathways. Effects of 10 nM camptothecin on embryo development were stage-specific, with early stages, before gastrulation, being most sensitive. Overall, this study provides foundational information for future investigation of sterlet DDR pathways.","container-title":"International Journal of Molecular Sciences","DOI":"10.3390/ijms22010006","ISSN":"1422-0067","issue":"1","journalAbbreviation":"Int J Mol Sci","language":"eng","note":"PMID: 33374934\nPMCID: PMC7792610","page":"6","source":"PubMed","title":"Ancient Sturgeons Possess Effective DNA Repair Mechanisms: Influence of Model Genotoxicants on Embryo Development of Sterlet, Acipenser ruthenus","title-short":"Ancient Sturgeons Possess Effective DNA Repair Mechanisms","volume":"22","author":[{"family":"Gazo","given":"Ievgeniia"},{"family":"Franěk","given":"Roman"},{"family":"Šindelka","given":"Radek"},{"family":"Lebeda","given":"Ievgen"},{"family":"Shivaramu","given":"Sahana"},{"family":"Pšenička","given":"Martin"},{"family":"Steinbach","given":"Christoph"}],"issued":{"date-parts":[["2020",12,22]]}}},{"id":"r9E9mN5c/b89uZtYb","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(Jung et al. 2009, Gazo et al. 2020, Bukowska et al. 2022)</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These adducts, along with chromosomal breaks, deletions, and structural aberrations, have been widely reported in coal-exposed fish and can be detected using techniques such as </w:t>
      </w:r>
      <w:r w:rsidRPr="003303A5">
        <w:rPr>
          <w:rFonts w:ascii="Times New Roman" w:eastAsia="Times New Roman" w:hAnsi="Times New Roman" w:cs="Times New Roman"/>
          <w:highlight w:val="yellow"/>
          <w:vertAlign w:val="superscript"/>
          <w:lang w:val="en-US"/>
        </w:rPr>
        <w:t>32</w:t>
      </w:r>
      <w:r w:rsidRPr="47EE4892">
        <w:rPr>
          <w:rFonts w:ascii="Times New Roman" w:eastAsia="Times New Roman" w:hAnsi="Times New Roman" w:cs="Times New Roman"/>
          <w:lang w:val="en-US"/>
        </w:rPr>
        <w:t xml:space="preserve">P-postlabeling, immunochemical assays, and </w:t>
      </w:r>
      <w:r w:rsidRPr="47EE4892">
        <w:rPr>
          <w:rFonts w:ascii="Times New Roman" w:eastAsia="Times New Roman" w:hAnsi="Times New Roman" w:cs="Times New Roman"/>
          <w:lang w:val="en-US"/>
        </w:rPr>
        <w:lastRenderedPageBreak/>
        <w:t xml:space="preserve">cytogenetic methods </w:t>
      </w:r>
      <w:r w:rsidR="00E13952" w:rsidRPr="47EE4892">
        <w:rPr>
          <w:rFonts w:ascii="Times New Roman" w:eastAsia="Times New Roman" w:hAnsi="Times New Roman" w:cs="Times New Roman"/>
          <w:highlight w:val="yellow"/>
          <w:lang w:val="en-US"/>
        </w:rPr>
        <w:fldChar w:fldCharType="begin"/>
      </w:r>
      <w:r w:rsidR="00E5454F">
        <w:rPr>
          <w:rFonts w:ascii="Times New Roman" w:eastAsia="Times New Roman" w:hAnsi="Times New Roman" w:cs="Times New Roman"/>
          <w:highlight w:val="yellow"/>
          <w:lang w:val="en-US"/>
        </w:rPr>
        <w:instrText xml:space="preserve"> ADDIN ZOTERO_ITEM CSL_CITATION {"citationID":"gjEiilRM","properties":{"formattedCitation":"(Jung et al. 2009)","plainCitation":"(Jung et al. 2009)","noteIndex":0},"citationItems":[{"id":"r9E9mN5c/b89uZtYb","uris":["http://zotero.org/users/14468226/items/8M44QJDN"],"itemData":{"id":6615,"type":"article-journal","abstract":"Benzo[a]pyrene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E13952" w:rsidRPr="47EE4892">
        <w:rPr>
          <w:rFonts w:ascii="Times New Roman" w:eastAsia="Times New Roman" w:hAnsi="Times New Roman" w:cs="Times New Roman"/>
          <w:highlight w:val="yellow"/>
          <w:lang w:val="en-US"/>
        </w:rPr>
        <w:fldChar w:fldCharType="separate"/>
      </w:r>
      <w:r w:rsidR="00E5454F">
        <w:rPr>
          <w:rFonts w:ascii="Times New Roman" w:hAnsi="Times New Roman" w:cs="Times New Roman"/>
        </w:rPr>
        <w:t>(Jung et al. 2009)</w:t>
      </w:r>
      <w:r w:rsidR="00E13952" w:rsidRPr="47EE4892">
        <w:rPr>
          <w:rFonts w:ascii="Times New Roman" w:eastAsia="Times New Roman" w:hAnsi="Times New Roman" w:cs="Times New Roman"/>
          <w:highlight w:val="yellow"/>
          <w:lang w:val="en-US"/>
        </w:rPr>
        <w:fldChar w:fldCharType="end"/>
      </w:r>
      <w:r w:rsidRPr="47EE4892">
        <w:rPr>
          <w:rFonts w:ascii="Times New Roman" w:eastAsia="Times New Roman" w:hAnsi="Times New Roman" w:cs="Times New Roman"/>
          <w:lang w:val="en-US"/>
        </w:rPr>
        <w:t xml:space="preserve">. The comet assay has emerged as a sensitive and widely applicable method for assessing DNA damage in </w:t>
      </w:r>
      <w:bookmarkStart w:id="5" w:name="_Hlk209050877"/>
      <w:r w:rsidRPr="47EE4892">
        <w:rPr>
          <w:rFonts w:ascii="Times New Roman" w:eastAsia="Times New Roman" w:hAnsi="Times New Roman" w:cs="Times New Roman"/>
          <w:lang w:val="en-US"/>
        </w:rPr>
        <w:t>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]P-exposed </w:t>
      </w:r>
      <w:bookmarkEnd w:id="5"/>
      <w:r w:rsidRPr="47EE4892">
        <w:rPr>
          <w:rFonts w:ascii="Times New Roman" w:eastAsia="Times New Roman" w:hAnsi="Times New Roman" w:cs="Times New Roman"/>
          <w:lang w:val="en-US"/>
        </w:rPr>
        <w:t xml:space="preserve">fishes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{"citationID":"6SeVVOoh","properties":{"formattedCitation":"(Rixian et al. 2005, Javed et al. 2018)","plainCitation":"(Rixian et al. 2005, Javed et al. 2018)","noteIndex":0},"citationItems":[{"id":"r9E9mN5c/Y9HJzWpv","uris":["http://zotero.org/users/14468226/items/9MFXVUWK"],"itemData":{"id":6673,"type":"article-journal","abstract":"A correction to this article has been published and is linked from the HTML and PDF versions of this paper. The error has been fixed in the paper.","container-title":"Scientific Reports","DOI":"10.1038/s41598-018-35445-w","ISSN":"2045-2322","issue":"1","journalAbbreviation":"Sci Rep","language":"eng","note":"PMID: 30470781\nPMCID: PMC6251930","page":"17451","source":"PubMed","title":"Publisher Correction: Multiple biomarker responses (serum biochemistry, oxidative stress, genotoxicity and histopathology) in Channa punctatus exposed to heavy metal loaded waste water","title-short":"Publisher Correction","volume":"8","author":[{"family":"Javed","given":"Mehjbeen"},{"family":"Ahmad","given":"Md Irshad"},{"family":"Usmani","given":"Nazura"},{"family":"Ahmad","given":"Masood"}],"issued":{"date-parts":[["2018",11,23]]}}},{"id":"r9E9mN5c/6PQl0fOa","uris":["http://zotero.org/users/14468226/items/BFVE52CU"],"itemData":{"id":6722,"type":"article-journal","abstract":"In this study, two common pollutants (benzo[a]pyrene and methamidophos) in marine environment were tested by comet assay for their inducement ofin vivo genotoxic effect to the blood cells of black porgy (Acanthopagrus schlegeli). The fish was exposed to 2 μg/L of benzo[a]pyrene (BaP) and methamidophos, and their mixture. The assay was performed on whole blood at 2 h, 5 h, 24 h and 96 h exposure intervals. A significant increase in DNA damage was observed in each treatment with the pollutants. Additive effect of BaP and methamidophos was also found in the experiment. However, the decrease ratios of DNA damage for 5 h and 96 h exposure interals compared with 2 h and 24 h exposure ones, respectively, were noticed. This phenomenon may be explained by the function of repairing process via enzyme cytochrome P450 in the animal. Evidence of the genotoxicity of organophosphorus pesticides (OPs) and polynuclear aromatic hydrocarbons (PAHs) on marine fish are discussed in this paper.","container-title":"Chinese Journal of Oceanology and Limnology","DOI":"10.1007/BF02842691","ISSN":"1993-5005","issue":"4","journalAbbreviation":"Chin. J. Ocean. Limnol.","language":"en","page":"455-460","source":"Springer Link","title":"The genotoxic effects of benzo[a]pyrene and methamidophos on black porgy evaluated by comet assay","volume":"23","author":[{"family":"Rixian","given":"Liu"},{"family":"Huasheng","given":"Hong"},{"family":"Xinhong","given":"Wang"},{"family":"Kejian","given":"Wang"},{"family":"Chunguang","given":"Wang"}],"issued":{"date-parts":[["2005",12,1]]}}}],"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(Rixian et al. 2005, Javed et al. 2018)</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Elevated olive tail moment and percentage of tail DNA in marine medaka (</w:t>
      </w:r>
      <w:r w:rsidRPr="47EE4892">
        <w:rPr>
          <w:rFonts w:ascii="Times New Roman" w:eastAsia="Times New Roman" w:hAnsi="Times New Roman" w:cs="Times New Roman"/>
          <w:i/>
          <w:iCs/>
          <w:lang w:val="en-US"/>
        </w:rPr>
        <w:t>Oryzias javanicus</w:t>
      </w:r>
      <w:r w:rsidRPr="47EE4892">
        <w:rPr>
          <w:rFonts w:ascii="Times New Roman" w:eastAsia="Times New Roman" w:hAnsi="Times New Roman" w:cs="Times New Roman"/>
          <w:lang w:val="en-US"/>
        </w:rPr>
        <w:t>) embryos exposed to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revealed significant strand breakage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{"citationID":"2muEgQDm","properties":{"formattedCitation":"(Nam et al. 2020)","plainCitation":"(Nam et al. 2020)","noteIndex":0},"citationItems":[{"id":"r9E9mN5c/kEowpbfx","uris":["http://zotero.org/users/14468226/items/YSIRM4NV"],"itemData":{"id":6928,"type":"article-journal","abstract":"Embryos from the marine medaka fish Oryzias javanicus were treated with eight concentrations of benzo[a]pyrene (BaP) (0.001, 0.01, 0.1, 1, 2, 5, 10, or 20 μg L-–1) after they had been fertilized. Significant mortality and hatching delays were detected in embryos that had been exposed to 10 and 20 μg L−1 BaP for 4 weeks. The mortality rate after hatching was higher in the medaka that had been previously exposed to &gt; 2 μg L−1 BaP. Significant elevations in intracellular reactive oxygen species and malondialdehyde contents were measured and the mRNA expressions of the antioxidant defense system genes (gst, sod, cat, and gpx) increased in the embryos exposed to 10 and 20 μg L−1 BaP for 1 week. The hsp70, ahr, and cyp1a transcriptional responses were also significantly upregulated in the exposed groups after 1 week. The alterations to the in vivo parameters and molecular components suggested that waterborne BaP had a toxic effect on marine medaka embryos. Finally, fin defects, spinal curvature, and cardiac edema were highly induced when the embryos were exposed to &gt; 5 μg L−1 BaP.","container-title":"Journal of Environmental Science and Health, Part A","DOI":"10.1080/10934529.2020.1767452","ISSN":"1093-4529","issue":"9","note":"publisher: Taylor &amp; Francis\n_eprint: https://doi.org/10.1080/10934529.2020.1767452\nPMID: 32427057","page":"1050-1058","source":"Taylor and Francis+NEJM","title":"Benzo[a]pyrene constrains embryo development via oxidative stress induction and modulates the transcriptional responses of molecular biomarkers in the marine medaka Oryzias javanicus","volume":"55","author":[{"family":"Nam","given":"Sang-Eun"},{"family":"Saravanan","given":"Manoharan"},{"family":"Rhee","given":"Jae-Sung"}],"issued":{"date-parts":[["2020",7,28]]}}}],"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(Nam et al. 2020)</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whereas Atlantic killifish (</w:t>
      </w:r>
      <w:r w:rsidRPr="47EE4892">
        <w:rPr>
          <w:rFonts w:ascii="Times New Roman" w:eastAsia="Times New Roman" w:hAnsi="Times New Roman" w:cs="Times New Roman"/>
          <w:i/>
          <w:iCs/>
          <w:lang w:val="en-US"/>
        </w:rPr>
        <w:t>Fundulus heteroclitu</w:t>
      </w:r>
      <w:r w:rsidRPr="47EE4892">
        <w:rPr>
          <w:rFonts w:ascii="Times New Roman" w:eastAsia="Times New Roman" w:hAnsi="Times New Roman" w:cs="Times New Roman"/>
          <w:lang w:val="en-US"/>
        </w:rPr>
        <w:t xml:space="preserve">s) showed both nuclear (nDNA) and mitochondrial (mtDNA) damage, with mtDNA exhibiting greater vulnerability because of its proximity to ROS and limited repair capacity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{"citationID":"0QmHTm8r","properties":{"formattedCitation":"(Jung et al. 2009)","plainCitation":"(Jung et al. 2009)","noteIndex":0},"citationItems":[{"id":"r9E9mN5c/b89uZtYb","uris":["http://zotero.org/users/14468226/items/8M44QJDN"],"itemData":{"id":6615,"type":"article-journal","abstract":"Benzo[a]pyrene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(Jung et al. 2009)</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]P also showed that Caspian whitefish (</w:t>
      </w:r>
      <w:r w:rsidRPr="47EE4892">
        <w:rPr>
          <w:rFonts w:ascii="Times New Roman" w:eastAsia="Times New Roman" w:hAnsi="Times New Roman" w:cs="Times New Roman"/>
          <w:i/>
          <w:iCs/>
          <w:lang w:val="en-US"/>
        </w:rPr>
        <w:t>Rutilus frisii kutum</w:t>
      </w:r>
      <w:r w:rsidRPr="47EE4892">
        <w:rPr>
          <w:rFonts w:ascii="Times New Roman" w:eastAsia="Times New Roman" w:hAnsi="Times New Roman" w:cs="Times New Roman"/>
          <w:lang w:val="en-US"/>
        </w:rPr>
        <w:t xml:space="preserve">) displayed concentration- and time-dependent DNA strand breaks in the liver and gill cells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{"citationID":"WIYoEoAm","properties":{"formattedCitation":"(Esmaeilbeigi et al. 2021)","plainCitation":"(Esmaeilbeigi et al. 2021)","noteIndex":0},"citationItems":[{"id":"r9E9mN5c/YrAY4dC0","uris":["http://zotero.org/users/14468226/items/ECAT7CVQ"],"itemData":{"id":6945,"type":"article-journal","abstract":"Southern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(Esmaeilbeigi et al. 2021)</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At the population level, sustained DNA damage, detected using comet assays, correlates with reduced fertility, impaired growth, and increased disease susceptibility, underscoring its ecological relevance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{"citationID":"mwQm63rO","properties":{"formattedCitation":"(Silva et al. 2017)","plainCitation":"(Silva et al. 2017)","noteIndex":0},"citationItems":[{"id":"r9E9mN5c/nkEjLJ3e","uris":["http://zotero.org/users/14468226/items/C84WHB4Q"],"itemData":{"id":6724,"type":"article-journal","abstract":"Benzo[a]pyrene (B[a]P) is a petroleum derivative capable of inducing cancer in human and animals. In this work, under laboratory conditions, we analyzed the responses of Colossoma macropomum to B[a]P acute exposure through intraperitoneal injection of four different B[a]P concentrations (4, 8, 16 and 32 μmol/kg) or corn oil (control group). We analyzed expression of the ras oncogene and the Hypoxia-inducible factor-1 alpha (hif-1α) gene using quantitative real-time PCR. Additionally, liver histopathological changes and genotoxic effects were evaluated through the comet assay. Ras oncogene was overexpressed in fish exposed to 4, 8 of 16 μmol/kg B[a]P, showing 4.96, 7.10 and 6.78-fold increases, respectively. Overexpression also occurred in hif-1α in fish injected with 4 and 8 μmol/kg B[a]P, showing 8.82 and 4.64-fold increases, respectively. Histopathological damage in fish liver was classified as irreparable in fish exposed to 8, 16 and 32 μmol/kg μM B[a]P. The genotoxic damage increased in fish injected with 8 and 16 μmol/kg in comparison with the control group. Acute exposure of B[a]P was capable to interrupt the expression of ras oncogene and hif-1α, and increase DNA breaks due to tissue damage.","container-title":"Genetics and Molecular Biology","DOI":"10.1590/1678-4685-GMB-2016-0066","ISSN":"1415-4757","issue":"2","journalAbbreviation":"Genet Mol Biol","language":"eng","note":"PMID: 28486571\nPMCID: PMC5488454","page":"491-501","source":"PubMed","title":"Ras oncogene and Hypoxia-inducible factor-1 alpha (hif-1α) expression in the Amazon fish Colossoma macropomum (Cuvier, 1818) exposed to benzo[a]pyrene","volume":"40","author":[{"family":"Silva","given":"Grazyelle Sebrenski","dropping-particle":"da"},{"family":"Fé","given":"Luciana Mara Lopes"},{"family":"Silva","given":"Maria de Nazaré Paula","dropping-particle":"da"},{"family":"Val","given":"Vera Maria Fonseca de Almeida E."}],"issued":{"date-parts":[["2017"]]}}}],"schema":"https://github.com/citation-style-language/schema/raw/master/csl-citation.json"}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(Silva et al. 2017)</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Field and laboratory studies have consistently demonstrated DNA damage in aquatic organisms exposed to coal-derived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]P. In zebra mussels (</w:t>
      </w:r>
      <w:r w:rsidRPr="003D1D04">
        <w:rPr>
          <w:rFonts w:ascii="Times New Roman" w:eastAsia="Times New Roman" w:hAnsi="Times New Roman" w:cs="Times New Roman"/>
          <w:i/>
          <w:iCs/>
          <w:highlight w:val="yellow"/>
          <w:lang w:val="en-US"/>
        </w:rPr>
        <w:t>Dreissena polymorpha</w:t>
      </w:r>
      <w:r w:rsidRPr="47EE4892">
        <w:rPr>
          <w:rFonts w:ascii="Times New Roman" w:eastAsia="Times New Roman" w:hAnsi="Times New Roman" w:cs="Times New Roman"/>
          <w:lang w:val="en-US"/>
        </w:rPr>
        <w:t>),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exposure induces oxidative stress and bulky DNA adduct formation, leading to persistent DNA oxidation and long-term genomic instability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{"citationID":"6O9dMJj6","properties":{"formattedCitation":"(Michel &amp; Vincent-Hubert 2015)","plainCitation":"(Michel &amp; Vincent-Hubert 2015)","noteIndex":0},"citationItems":[{"id":"r9E9mN5c/NlrEGSms","uris":["http://zotero.org/users/14468226/items/KCHLSUK2"],"itemData":{"id":6932,"type":"article-journal","abstract":"Freshwater bivalve molluscs are considered as effective indicators of environmental pollution. The comet assay allows the detection of DNA damage such as DNA strand breaks and alkali-labile sites. The main oxidative lesion, 8-oxo-7,8-dihydro-2′-deoxyguanosine (8-oxodG), which is a pre-mutagenic lesion, can be detected by the comet assay coupled with the hOGG1 DNA repair enzyme. With this modified assay we recently observed that BaP induced 8-oxodG lesions and with the modified comet-Fpg assay we observed that Cd induced oxidative DNA damage. The aim of this study was to determine the stability of DNA lesions in Cd and BaP exposed zebra mussels using the comet-hOGG1 assay. Mussels were exposed for 24 h to these two chemicals and then placed in clean water for 6 days. We observed that BaP (7, 12 and 18 µg/L) induced an increase of DNA strand break levels as soon as 6 h of exposure and that the two highest concentrations of BaP induced a low level of hOGG1-sensitive sites. After 2 days of depuration, BaP induced DNA lesions returned to the basal level, indicating an effective DNA repair. Cd (3, 32 and 81 µg/L) induced an increase of the DNA strand break levels and a low level of hOGG1-sensitive sites. This study revealed that BaP-induced DNA lesions are repaired more efficiently than Cd-induced DNA lesions. As the level of hOGG1 sensitive sites was increased in Cd and BaP exposed mussels, it seems that these chemicals induce 8-oxo-dG.","container-title":"Ecotoxicology","DOI":"10.1007/s10646-015-1536-3","ISSN":"1573-3017","issue":"9","journalAbbreviation":"Ecotoxicology","language":"en","page":"2009-2016","source":"Springer Link","title":"DNA oxidation and DNA repair in gills of zebra mussels exposed to cadmium and benzo(a)pyrene","volume":"24","author":[{"family":"Michel","given":"Cécile"},{"family":"Vincent-Hubert","given":"Françoise"}],"issued":{"date-parts":[["2015",11,1]]}}}],"schema":"https://github.com/citation-style-language/schema/raw/master/csl-citation.json"}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(Michel &amp; Vincent-Hubert 2015)</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Similarly, the Hampala barb (</w:t>
      </w:r>
      <w:r w:rsidRPr="47EE4892">
        <w:rPr>
          <w:rFonts w:ascii="Times New Roman" w:eastAsia="Times New Roman" w:hAnsi="Times New Roman" w:cs="Times New Roman"/>
          <w:i/>
          <w:iCs/>
          <w:lang w:val="en-US"/>
        </w:rPr>
        <w:t>Hampala macrolepidota</w:t>
      </w:r>
      <w:r w:rsidRPr="47EE4892">
        <w:rPr>
          <w:rFonts w:ascii="Times New Roman" w:eastAsia="Times New Roman" w:hAnsi="Times New Roman" w:cs="Times New Roman"/>
          <w:lang w:val="en-US"/>
        </w:rPr>
        <w:t xml:space="preserve">) exhibited increased chromosomal abnormalities correlated with tissue metal accumulation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{"citationID":"CtcCFHxq","properties":{"formattedCitation":"(Soulivongsa et al. 2021)","plainCitation":"(Soulivongsa et al. 2021)","noteIndex":0},"citationItems":[{"id":"r9E9mN5c/T5jg1SAz","uris":["http://zotero.org/users/14468226/items/UDZMH9M5"],"itemData":{"id":6697,"type":"article-journal","abstract":"This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(Soulivongsa et al. 2021)</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Micronucleus formation is another robust biomarker of chromosomal damage (</w:t>
      </w:r>
      <w:r w:rsidRPr="47EE4892">
        <w:rPr>
          <w:rFonts w:ascii="Times New Roman" w:eastAsia="Times New Roman" w:hAnsi="Times New Roman" w:cs="Times New Roman"/>
          <w:b/>
          <w:bCs/>
          <w:lang w:val="en-US"/>
        </w:rPr>
        <w:t xml:space="preserve">Figure </w:t>
      </w:r>
      <w:r w:rsidR="0035357C">
        <w:rPr>
          <w:rFonts w:ascii="Times New Roman" w:eastAsia="Times New Roman" w:hAnsi="Times New Roman" w:cs="Times New Roman"/>
          <w:b/>
          <w:bCs/>
          <w:lang w:val="en-US"/>
        </w:rPr>
        <w:t>3</w:t>
      </w:r>
      <w:r w:rsidRPr="47EE4892">
        <w:rPr>
          <w:rFonts w:ascii="Times New Roman" w:eastAsia="Times New Roman" w:hAnsi="Times New Roman" w:cs="Times New Roman"/>
          <w:lang w:val="en-US"/>
        </w:rPr>
        <w:t>), reflecting fragments or whole chromosomes excluded from daughter nuclei during cell division in response to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{"citationID":"jplwwiSc","properties":{"formattedCitation":"(Soulivongsa et al. 2021)","plainCitation":"(Soulivongsa et al. 2021)","noteIndex":0},"citationItems":[{"id":"r9E9mN5c/T5jg1SAz","uris":["http://zotero.org/users/14468226/items/UDZMH9M5"],"itemData":{"id":6697,"type":"article-journal","abstract":"This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(Soulivongsa et al. 2021)</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Elevated micronucleus frequencies have been consistently observed in coal-exposed fish populations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{"citationID":"26wPAlSs","properties":{"formattedCitation":"(Morado et al. 2018, Kim et al. 2024)","plainCitation":"(Morado et al. 2018, Kim et al. 2024)","noteIndex":0},"citationItems":[{"id":"r9E9mN5c/HgW4ggrR","uris":["http://zotero.org/users/14468226/items/HSJ3XN8S"],"itemData":{"id":6630,"type":"article-journal","abstract":"Benzo[a]pyrene (B[a]P), a highly carcinogenic polycyclic aromatic hydrocarbon primarily formed during incomplete organic matter combustion, undergoes a series of hepatic metabolic reactions once absorbed into the body. B[a]P contributes to liver damage, ranging from molecular DNA damage to the onset and progression of various diseases, including cancer. Specifically, B[a]P induces oxidative stress via reactive oxygen species generation within cells. Consequently, more research has focused on exploring the underlying mechanisms of B[a]P-induced oxidative stress and potential strategies to counter its hepatic toxicity. Flavonoids, natural compounds abundant in plants and renowned for their antioxidant properties, possess the ability to neutralize the adverse effects of free radicals effectively. Although extensive research has investigated the antioxidant effects of flavonoids, limited research has delved into their potential in regulating B[a]P metabolism to alleviate oxidative stress. This review aims to consolidate current knowledge on B[a]P-induced liver oxidative stress and examines the role of flavonoids in mitigating its toxicity.","container-title":"Antioxidants","DOI":"10.3390/antiox13020180","ISSN":"2076-3921","issue":"2","language":"en","license":"http://creativecommons.org/licenses/by/3.0/","note":"number: 2\npublisher: Multidisciplinary Digital Publishing Institute","page":"180","source":"www.mdpi.com","title":"Hepatoprotective Effects of Flavonoids against Benzo[a]Pyrene-Induced Oxidative Liver Damage along Its Metabolic Pathways","volume":"13","author":[{"family":"Kim","given":"Min"},{"family":"Jee","given":"Seung-Cheol"},{"family":"Sung","given":"Jung-Suk"}],"issued":{"date-parts":[["2024",2]]}}},{"id":"r9E9mN5c/osmAXOIC","uris":["http://zotero.org/users/14468226/items/4MFA9QE6"],"itemData":{"id":6809,"type":"article-journal","abstract":"The Paraíba do Sul River (PSR) drainage basin in Southeastern Brazil covers one of the most industrialized and densely populated regions of the country. The ...","container-title":"Acta Scientiarum. Biological Sciences","language":"es","source":"www.redalyc.org","title":"Induced CYP1A activity and DNA damage in fish from the middle Paraíba do Sul River basin, southeastern Brazil","URL":"https://www.redalyc.org/journal/1871/187158163011/html/","volume":"40","author":[{"family":"Morado","given":"Claudio Nona"},{"family":"Parente","given":"Thiago Estevam Martins"},{"family":"Araújo","given":"Francisco Gerson"},{"family":"Paumgartten","given":"Francisco José Roma"},{"family":"Gomes","given":"Iracema David"}],"accessed":{"date-parts":[["2025",7,30]]},"issued":{"date-parts":[["2018"]]}}}],"schema":"https://github.com/citation-style-language/schema/raw/master/csl-citation.json"}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(Morado et al. 2018, Kim et al. 2024)</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For </w:t>
      </w:r>
      <w:r w:rsidRPr="006A742F">
        <w:rPr>
          <w:rFonts w:ascii="Times New Roman" w:eastAsia="Times New Roman" w:hAnsi="Times New Roman" w:cs="Times New Roman"/>
          <w:lang w:val="en-US"/>
        </w:rPr>
        <w:t>instance</w:t>
      </w:r>
      <w:r w:rsidRPr="47EE4892">
        <w:rPr>
          <w:rFonts w:ascii="Times New Roman" w:eastAsia="Times New Roman" w:hAnsi="Times New Roman" w:cs="Times New Roman"/>
          <w:i/>
          <w:iCs/>
          <w:lang w:val="en-US"/>
        </w:rPr>
        <w:t>, Astyanax altiparanae</w:t>
      </w:r>
      <w:r w:rsidRPr="47EE4892">
        <w:rPr>
          <w:rFonts w:ascii="Times New Roman" w:eastAsia="Times New Roman" w:hAnsi="Times New Roman" w:cs="Times New Roman"/>
          <w:lang w:val="en-US"/>
        </w:rPr>
        <w:t xml:space="preserve"> erythrocytes showed increased micronuclei after exposure to metal-rich waters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{"citationID":"9tkrCBhm","properties":{"formattedCitation":"(Dourado et al. 2017)","plainCitation":"(Dourado et al. 2017)","noteIndex":0},"citationItems":[{"id":"r9E9mN5c/3RYKnGAC","uris":["http://zotero.org/users/14468226/items/XENTRATT"],"itemData":{"id":6564,"type":"article-journal","abstract":"This study aimed to evaluate DNA damage in animal and plant cells exposed to water from the Água Boa stream (Dourados, Mato Grosso do Sul, Brazil) by using bioassays, and to identify the chemical compounds in the water to determine the water quality in the area. Through the cytotoxicity bioassay with Allium cepa, using micronucleus test, and comet assay, using Astyanax altiparanae fish, the results indicated that biological samples were genetically altered. Micronuclei were observed in erythrocytes of A. altiparanae after exposure to water from locations close to industrial waste discharge. The highest DNA damage observed with the comet assay in fish occurred with the exposure to water from locations where the presence of metals (Cu, Pb, Cd, Ni) was high, indicating the possibility of genotoxic effects of these compounds. Thus, these results reinforce the importance of conducting genotoxicity tests for developing management plans to improve water quality, and indicate the need for waste management before domestic and industrial effluents are released into the rivers and streams.","container-title":"Genetics and Molecular Biology","DOI":"10.1590/1678-4685-GMB-2015-0223","ISSN":"1415-4757","issue":"1","journalAbbreviation":"Genet Mol Biol","language":"eng","note":"PMID: 27801481\nPMCID: PMC5409763","page":"123-133","source":"PubMed","title":"Genotoxic and mutagenic effects of polluted surface water in the midwestern region of Brazil using animal and plant bioassays","volume":"40","author":[{"family":"Dourado","given":"Priscila Leocádia Rosa"},{"family":"Rocha","given":"Monyque Palagano","dropping-particle":"da"},{"family":"Roveda","given":"Liriana Mara"},{"family":"Raposo","given":"Jorge Luiz"},{"family":"Cândido","given":"Liliam Sílvia"},{"family":"Cardoso","given":"Claudia Andréa Lima"},{"family":"Morales","given":"Maria Aparecida Marin"},{"family":"Oliveira","given":"Kelly Mari Pires","dropping-particle":"de"},{"family":"Grisolia","given":"Alexeia Barufatti"}],"issued":{"date-parts":[["2017"]]}}}],"schema":"https://github.com/citation-style-language/schema/raw/master/csl-citation.json"}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(Dourado et al. 2017)</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whereas Caspian whitefish exhibited time-dependent increases in micronucleated and binucleated erythrocytes </w:t>
      </w:r>
      <w:r w:rsidR="00E13952"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{"citationID":"vnZbclm5","properties":{"formattedCitation":"(Esmaeilbeigi et al. 2021)","plainCitation":"(Esmaeilbeigi et al. 2021)","noteIndex":0},"citationItems":[{"id":"r9E9mN5c/YrAY4dC0","uris":["http://zotero.org/users/14468226/items/ECAT7CVQ"],"itemData":{"id":6945,"type":"article-journal","abstract":"Southern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00E5454F">
        <w:rPr>
          <w:rFonts w:ascii="Times New Roman" w:hAnsi="Times New Roman" w:cs="Times New Roman"/>
        </w:rPr>
        <w:t>(Esmaeilbeigi et al. 2021)</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w:t>
      </w:r>
    </w:p>
    <w:p w14:paraId="3676CF16" w14:textId="32AEEE1F" w:rsidR="00601A4F" w:rsidRPr="000A1EE6" w:rsidRDefault="47EE4892" w:rsidP="000A1EE6">
      <w:pPr>
        <w:spacing w:line="480" w:lineRule="auto"/>
        <w:jc w:val="both"/>
        <w:rPr>
          <w:rFonts w:ascii="Times New Roman" w:eastAsia="Times New Roman" w:hAnsi="Times New Roman" w:cs="Times New Roman"/>
          <w:lang w:val="en-US"/>
        </w:rPr>
      </w:pPr>
      <w:r w:rsidRPr="47EE4892">
        <w:rPr>
          <w:rFonts w:ascii="Times New Roman" w:eastAsia="Times New Roman" w:hAnsi="Times New Roman" w:cs="Times New Roman"/>
          <w:lang w:val="en-US"/>
        </w:rPr>
        <w:lastRenderedPageBreak/>
        <w:t>DNA repair mechanisms, including base excision repair (BER), nucleotide excision repair (NER), and homologous recombination, play critical roles in mitigating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]P-induced genotoxicity </w:t>
      </w:r>
      <w:r w:rsidR="00A1416C"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{"citationID":"w2B58vwa","properties":{"formattedCitation":"(Gazo et al. 2020, Deng et al. 2023, Wan et al. 2023)","plainCitation":"(Gazo et al. 2020, Deng et al. 2023, Wan et al. 2023)","noteIndex":0},"citationItems":[{"id":"r9E9mN5c/Sg3gxZmS","uris":["http://zotero.org/users/14468226/items/9LEEK348"],"itemData":{"id":6793,"type":"article-journal","abstract":"As a class of persistent organic pollutants (POPs), polycyclic aromatic hydrocarbons (PAHs) have mutagenic, teratogenic, and carcinogenic effects, so they can pose a greater threat to the natural environment and human health. Most of the PAHs in coal mining areas originate from the mining and utilization process of coal resources, which has a variety of carriers in the environment: atmosphere, water bodies, soil, sediments, etc. To study their pollution status in the subsidence waters of the Huainan coal mining area, sixteen priority control PAHs of sixteen surface water samples from seven subsidence water bodies were tested using gas chromatography–mass spectrometry (GC–MS), and their pollution characteristics were analyzed. Overall, the concentration of PAHs ranged from 212 to 283 ng·L−1, and benzo[b]fluoranthene (BbF) had the highest average concentration. In addition, the concentration of PAHs above four rings was relatively high. After statistical analysis, the Pearson correlation coefficient calculation showed a highly significant positive correlation between PAHs with the same number of rings. Three principal factors were selected using factor analysis, which could explain 88.37% of the total variance, to conduct the source identification. Coal combustion was found to be the main source of PAH pollution in the area. Then, ecological risk using the risk quotient (RQ) method was carried out. The results showed that PAH contamination was medium risk, among which, benzo[a]anthracene (BaA) and BbF had a high ecological risk. In addition, the results of biological toxicity evaluation using the species sensitivity distribution model (SSD) showed that benzo[a]pyrene (BaP) had a high proportion of potential effects on aquatic organisms. By using the response addition model, the evaluation results showed that the ecological risk of the subsidence water bodies in the Panyi mine was the highest. Finally, human health risks were evaluated from two pathways: dermal contact and ingestion. The carcinogenic health risks from the dermal contact exceeded the permissible limits, while the hazard entropy of non-carcinogenic risks from the above two pathways were less than 1.","container-title":"Sustainability","DOI":"10.3390/su151814003","ISSN":"2071-1050","issue":"18","language":"en","license":"http://creativecommons.org/licenses/by/3.0/","note":"number: 18\npublisher: Multidisciplinary Digital Publishing Institute","page":"14003","source":"www.mdpi.com","title":"Pollution Characteristics and Risk Evaluation of PAHs in Subsidence Water Bodies in Huainan Coal Mining Area, China","volume":"15","author":[{"family":"Deng","given":"Xinyue"},{"family":"Chen","given":"Guangzhou"},{"family":"Wang","given":"Hua"},{"family":"Sun","given":"Hui"}],"issued":{"date-parts":[["2023",1]]}}},{"id":"r9E9mN5c/JG12cHcp","uris":["http://zotero.org/users/14468226/items/B78QGZNA"],"itemData":{"id":6719,"type":"article-journal","abstract":"DNA damage caused by exogenous or endogenous factors is a common challenge for developing fish embryos. DNA damage repair (DDR) pathways help organisms minimize adverse effects of DNA alterations. In terms of DNA repair mechanisms, sturgeons represent a particularly interesting model due to their exceptional genome plasticity. Sterlet (Acipenser ruthenus) is a relatively small species of sturgeon. The goal of this study was to assess the sensitivity of sterlet embryos to model genotoxicants (camptothecin, etoposide, and benzo[a]pyrene), and to assess DDR responses. We assessed the effects of genotoxicants on embryo survival, hatching rate, DNA fragmentation, gene expression, and phosphorylation of H2AX and ATM kinase. Exposure of sterlet embryos to 1 µM benzo[a]pyrene induced low levels of DNA damage accompanied by ATM phosphorylation and xpc gene expression. Conversely, 20 µM etoposide exposure induced DNA damage without activation of known DDR pathways. Effects of 10 nM camptothecin on embryo development were stage-specific, with early stages, before gastrulation, being most sensitive. Overall, this study provides foundational information for future investigation of sterlet DDR pathways.","container-title":"International Journal of Molecular Sciences","DOI":"10.3390/ijms22010006","ISSN":"1422-0067","issue":"1","journalAbbreviation":"Int J Mol Sci","language":"eng","note":"PMID: 33374934\nPMCID: PMC7792610","page":"6","source":"PubMed","title":"Ancient Sturgeons Possess Effective DNA Repair Mechanisms: Influence of Model Genotoxicants on Embryo Development of Sterlet, Acipenser ruthenus","title-short":"Ancient Sturgeons Possess Effective DNA Repair Mechanisms","volume":"22","author":[{"family":"Gazo","given":"Ievgeniia"},{"family":"Franěk","given":"Roman"},{"family":"Šindelka","given":"Radek"},{"family":"Lebeda","given":"Ievgen"},{"family":"Shivaramu","given":"Sahana"},{"family":"Pšenička","given":"Martin"},{"family":"Steinbach","given":"Christoph"}],"issued":{"date-parts":[["2020",12,22]]}}},{"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00E5454F">
        <w:rPr>
          <w:rFonts w:ascii="Times New Roman" w:hAnsi="Times New Roman" w:cs="Times New Roman"/>
        </w:rPr>
        <w:t>(Gazo et al. 2020, Deng et al. 2023, Wan et al. 2023)</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Studies on sterlet embryos (</w:t>
      </w:r>
      <w:r w:rsidRPr="47EE4892">
        <w:rPr>
          <w:rFonts w:ascii="Times New Roman" w:eastAsia="Times New Roman" w:hAnsi="Times New Roman" w:cs="Times New Roman"/>
          <w:i/>
          <w:iCs/>
          <w:lang w:val="en-US"/>
        </w:rPr>
        <w:t>Acipenser ruthenus</w:t>
      </w:r>
      <w:r w:rsidRPr="47EE4892">
        <w:rPr>
          <w:rFonts w:ascii="Times New Roman" w:eastAsia="Times New Roman" w:hAnsi="Times New Roman" w:cs="Times New Roman"/>
          <w:lang w:val="en-US"/>
        </w:rPr>
        <w:t xml:space="preserve">) have demonstrated efficient activation of repair pathways, although chronic exposure can overwhelm repair capacity </w:t>
      </w:r>
      <w:r w:rsidR="00A1416C"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{"citationID":"abfXEt0n","properties":{"formattedCitation":"(Gazo et al. 2020)","plainCitation":"(Gazo et al. 2020)","noteIndex":0},"citationItems":[{"id":"r9E9mN5c/JG12cHcp","uris":["http://zotero.org/users/14468226/items/B78QGZNA"],"itemData":{"id":6719,"type":"article-journal","abstract":"DNA damage caused by exogenous or endogenous factors is a common challenge for developing fish embryos. DNA damage repair (DDR) pathways help organisms minimize adverse effects of DNA alterations. In terms of DNA repair mechanisms, sturgeons represent a particularly interesting model due to their exceptional genome plasticity. Sterlet (Acipenser ruthenus) is a relatively small species of sturgeon. The goal of this study was to assess the sensitivity of sterlet embryos to model genotoxicants (camptothecin, etoposide, and benzo[a]pyrene), and to assess DDR responses. We assessed the effects of genotoxicants on embryo survival, hatching rate, DNA fragmentation, gene expression, and phosphorylation of H2AX and ATM kinase. Exposure of sterlet embryos to 1 µM benzo[a]pyrene induced low levels of DNA damage accompanied by ATM phosphorylation and xpc gene expression. Conversely, 20 µM etoposide exposure induced DNA damage without activation of known DDR pathways. Effects of 10 nM camptothecin on embryo development were stage-specific, with early stages, before gastrulation, being most sensitive. Overall, this study provides foundational information for future investigation of sterlet DDR pathways.","container-title":"International Journal of Molecular Sciences","DOI":"10.3390/ijms22010006","ISSN":"1422-0067","issue":"1","journalAbbreviation":"Int J Mol Sci","language":"eng","note":"PMID: 33374934\nPMCID: PMC7792610","page":"6","source":"PubMed","title":"Ancient Sturgeons Possess Effective DNA Repair Mechanisms: Influence of Model Genotoxicants on Embryo Development of Sterlet, Acipenser ruthenus","title-short":"Ancient Sturgeons Possess Effective DNA Repair Mechanisms","volume":"22","author":[{"family":"Gazo","given":"Ievgeniia"},{"family":"Franěk","given":"Roman"},{"family":"Šindelka","given":"Radek"},{"family":"Lebeda","given":"Ievgen"},{"family":"Shivaramu","given":"Sahana"},{"family":"Pšenička","given":"Martin"},{"family":"Steinbach","given":"Christoph"}],"issued":{"date-parts":[["2020",12,22]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00E5454F">
        <w:rPr>
          <w:rFonts w:ascii="Times New Roman" w:hAnsi="Times New Roman" w:cs="Times New Roman"/>
        </w:rPr>
        <w:t>(Gazo et al. 2020)</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 upregulation of repair </w:t>
      </w:r>
      <w:r w:rsidRPr="003D1D04">
        <w:rPr>
          <w:rFonts w:ascii="Times New Roman" w:eastAsia="Times New Roman" w:hAnsi="Times New Roman" w:cs="Times New Roman"/>
          <w:highlight w:val="yellow"/>
          <w:lang w:val="en-US"/>
        </w:rPr>
        <w:t>genes</w:t>
      </w:r>
      <w:r w:rsidR="003D1D04" w:rsidRPr="003D1D04">
        <w:rPr>
          <w:rFonts w:ascii="Times New Roman" w:eastAsia="Times New Roman" w:hAnsi="Times New Roman" w:cs="Times New Roman"/>
          <w:highlight w:val="yellow"/>
          <w:lang w:val="en-US"/>
        </w:rPr>
        <w:t xml:space="preserve"> </w:t>
      </w:r>
      <w:r w:rsidRPr="003D1D04">
        <w:rPr>
          <w:rFonts w:ascii="Times New Roman" w:eastAsia="Times New Roman" w:hAnsi="Times New Roman" w:cs="Times New Roman"/>
          <w:highlight w:val="yellow"/>
          <w:lang w:val="en-US"/>
        </w:rPr>
        <w:t>such</w:t>
      </w:r>
      <w:r w:rsidRPr="47EE4892">
        <w:rPr>
          <w:rFonts w:ascii="Times New Roman" w:eastAsia="Times New Roman" w:hAnsi="Times New Roman" w:cs="Times New Roman"/>
          <w:lang w:val="en-US"/>
        </w:rPr>
        <w:t xml:space="preserve"> as </w:t>
      </w:r>
      <w:r w:rsidRPr="47EE4892">
        <w:rPr>
          <w:rFonts w:ascii="Times New Roman" w:eastAsia="Times New Roman" w:hAnsi="Times New Roman" w:cs="Times New Roman"/>
          <w:i/>
          <w:iCs/>
          <w:lang w:val="en-US"/>
        </w:rPr>
        <w:t xml:space="preserve">XPC, </w:t>
      </w:r>
      <w:r w:rsidRPr="47EE4892">
        <w:rPr>
          <w:rFonts w:ascii="Times New Roman" w:eastAsia="Times New Roman" w:hAnsi="Times New Roman" w:cs="Times New Roman"/>
          <w:lang w:val="en-US"/>
        </w:rPr>
        <w:t xml:space="preserve">indicates an adaptive response to PAH exposure </w:t>
      </w:r>
      <w:r w:rsidR="00A1416C"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{"citationID":"4Q9L0UgK","properties":{"formattedCitation":"(Wan et al. 2023)","plainCitation":"(Wan et al. 2023)","noteIndex":0},"citationItems":[{"id":"r9E9mN5c/Y18BH58B","uris":["http://zotero.org/users/14468226/items/IBNFW8G5"],"itemData":{"id":6727,"type":"article-journal","abstract":"Benzo[a]pyrene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00E5454F">
        <w:rPr>
          <w:rFonts w:ascii="Times New Roman" w:hAnsi="Times New Roman" w:cs="Times New Roman"/>
        </w:rPr>
        <w:t>(Wan et al. 2023)</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In Caspian whitefish, BER and NER processes gradually remove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]P-induced adducts, reducing damage over time; however, incomplete repair under chronic stress increases the risk of mutation fixation </w:t>
      </w:r>
      <w:r w:rsidR="00A1416C"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{"citationID":"ETj7mbeY","properties":{"formattedCitation":"(Esmaeilbeigi et al. 2021)","plainCitation":"(Esmaeilbeigi et al. 2021)","noteIndex":0},"citationItems":[{"id":"r9E9mN5c/YrAY4dC0","uris":["http://zotero.org/users/14468226/items/ECAT7CVQ"],"itemData":{"id":6945,"type":"article-journal","abstract":"Southern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00E5454F">
        <w:rPr>
          <w:rFonts w:ascii="Times New Roman" w:hAnsi="Times New Roman" w:cs="Times New Roman"/>
        </w:rPr>
        <w:t>(Esmaeilbeigi et al. 2021)</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Marine medaka (</w:t>
      </w:r>
      <w:r w:rsidRPr="47EE4892">
        <w:rPr>
          <w:rFonts w:ascii="Times New Roman" w:eastAsia="Times New Roman" w:hAnsi="Times New Roman" w:cs="Times New Roman"/>
          <w:i/>
          <w:iCs/>
          <w:lang w:val="en-US"/>
        </w:rPr>
        <w:t>Oryzias melastigma</w:t>
      </w:r>
      <w:r w:rsidRPr="47EE4892">
        <w:rPr>
          <w:rFonts w:ascii="Times New Roman" w:eastAsia="Times New Roman" w:hAnsi="Times New Roman" w:cs="Times New Roman"/>
          <w:lang w:val="en-US"/>
        </w:rPr>
        <w:t>) exposed to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showed altered expression of genes related to detoxification and apoptosis, suggesting that persistent DNA damage can shift cellular responses toward programmed cell death </w:t>
      </w:r>
      <w:r w:rsidR="00A1416C"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{"citationID":"2xcV06GD","properties":{"formattedCitation":"(Zeb et al. 2024)","plainCitation":"(Zeb et al. 2024)","noteIndex":0},"citationItems":[{"id":"r9E9mN5c/EjVMwJJ9","uris":["http://zotero.org/users/14468226/items/4JK6DJ67"],"itemData":{"id":6551,"type":"article-journal","abstract":"Polycyclic aromatic hydrocarbons (PAHs) accumulate and integrate into aquatic environments, raising concerns about the well-being and safety of aquatic ecosystems. Benzo[a]pyrene (BaP), a persistent PAH commonly detected in the environment, has been extensively studied. However, the broader multifaceted toxicity potential of BaP on the early life stages of marine fish during chronic exposure to environmentally relevant concentrations needs further exploration. To fill these knowledge gaps, this study assessed the in vivo biotoxicity of BaP (1, 4, and 8 μg/L) in marine medaka (Oryzias melastigma) during early development over a 30-day exposure period. The investigation included morphological, biochemical, and molecular-level analyses to capture the broader potential of BaP toxicity. Morphological analyses showed that exposure to BaP resulted in skeletal curvatures, heart anomalies, growth retardation, elevated mortality, delayed and reduced hatching rates. Biochemical analyses revealed that BaP exposure not only created oxidative stress but also disrupted the activities of antioxidant enzymes. This disturbance in redox balance was further explored by molecular level investigation. The transcriptional profiles revealed impaired oxidative phosphorylation (OXPHOS) and tricarboxylic acid (TCA) cycle pathways, which potentially inhibited the oxidative respiratory chain in fish following exposure to BaP, and reduced the production of adenosine triphosphate (ATP) and succinate dehydrogenase (SDH). Furthermore, this investigation indicated a potential connection to apoptosis, as demonstrated by fluorescence microscopy and histological analyses, and supported by an increase in the expression levels of related genes via real-time quantitative PCR. This study enhances our understanding of the molecular-level impacts of BaP’s multifaceted toxicity in the early life stages of marine medaka, and the associated risks.","container-title":"Aquatic Toxicology","DOI":"10.1016/j.aquatox.2024.107016","ISSN":"0166445X","journalAbbreviation":"Aquatic Toxicology","language":"en","page":"107016","source":"DOI.org (Crossref)","title":"Chronic exposure to environmental concentrations of benzo[a]pyrene causes multifaceted toxic effects of developmental compromise, redox imbalance, and modulated transcriptional profiles in the early life stages of marine medaka (Oryzias melastigma)","volume":"273","author":[{"family":"Zeb","given":"Rabia"},{"family":"Yin","given":"Xiaohan"},{"family":"Chen","given":"Fangyi"},{"family":"Wang","given":"Ke-Jian"}],"issued":{"date-parts":[["2024",8]]}}}],"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00E5454F">
        <w:rPr>
          <w:rFonts w:ascii="Times New Roman" w:hAnsi="Times New Roman" w:cs="Times New Roman"/>
        </w:rPr>
        <w:t>(Zeb et al. 2024)</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The p53 tumor suppressor pathway is another critical defense mechanism against genotoxic stress. Zebrafish exposed to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show increased p53 expression, reflecting the activation of protective mechanisms </w:t>
      </w:r>
      <w:r w:rsidR="00A1416C"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{"citationID":"9DP5YvNm","properties":{"formattedCitation":"(Martins et al. 2018)","plainCitation":"(Martins et al. 2018)","noteIndex":0},"citationItems":[{"id":"r9E9mN5c/Y8soNcY4","uris":["http://zotero.org/users/14468226/items/RJLBCUZL"],"itemData":{"id":6994,"type":"article-journal","abstract":"Addressing the risk of mixed carcinogens in vivo under environmentally-realistic scenarios is still a challenge. Searching for adequate biomarkers of exposure requires understanding molecular pathways and their connection with neoplasia-related benchmark pathologies. Subjecting the zebrafish model to realistic concentrations of two genotoxicants and carcinogens, cadmium and benzo[a]pyrene, isolated and combined, yielded low levels of DNA damage. Altogether, the organisms’ mechanisms of DNA repair, oxidative stress and phases I and II were not overwhelmed after two weeks of treatment. Still, transcriptional responses related to detoxification (epoxide hydrolase and UDP-glucuronosyltransferase) were higher in animals subjected to the combination treatment, inclusively following depuration. Nonetheless, inflammation and formation of hyperplasic foci in fish epithelia were more severe in animals exposed to the combined substances, showing slower recovery during depuration. Additionally, the combination treatment yielded unexpected increased expression of a ras-family oncogene homologue after depuration, with evidence for increased tp53 counter-response in the same period. The findings indicate that oncogene expression, cell proliferation and inflammation, may not require noticeable DNA damage to occur. Furthermore, albeit absent proof for neoplasic growth, the removal of chemical insult may promote tissue recovery but does not entirely clear molecular and histopathological endpoints that are commonly associated to neoplasia.","container-title":"Scientific Reports","DOI":"10.1038/s41598-018-21975-w","ISSN":"2045-2322","issue":"1","language":"en","license":"2018 The Author(s)","note":"publisher: Nature Publishing Group","page":"3649","source":"www.nature.com","title":"Co-exposure to environmental carcinogens in vivo induces neoplasia-related hallmarks in low-genotoxicity events, even after removal of insult","volume":"8","author":[{"family":"Martins","given":"Marta"},{"family":"Silva","given":"Ana"},{"family":"Costa","given":"Maria H."},{"family":"Miguel","given":"Célia"},{"family":"Costa","given":"Pedro M."}],"issued":{"date-parts":[["2018",2,26]]}}}],"schema":"https://github.com/citation-style-language/schema/raw/master/csl-citation.json"}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00E5454F">
        <w:rPr>
          <w:rFonts w:ascii="Times New Roman" w:hAnsi="Times New Roman" w:cs="Times New Roman"/>
        </w:rPr>
        <w:t>(Martins et al. 2018)</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However, prolonged exposure to coal mining pollutants can overwhelm these protective responses, leading to p53 dysfunction and an increased susceptibility to neoplastic transformation. Epigenetic modifications have emerged as key factors in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]P-induced genotoxicity. This exposure alters DNA methylation patterns, and whole-genome bisulfite sequencing has revealed hundreds of differentially methylated genes involved in neurological and developmental processes </w:t>
      </w:r>
      <w:r w:rsidR="00A1416C"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{"citationID":"dMCQddZB","properties":{"formattedCitation":"(Fang et al. 2013, Wan et al. 2023)","plainCitation":"(Fang et al. 2013, Wan et al. 2023)","noteIndex":0},"citationItems":[{"id":"r9E9mN5c/HOuFuILf","uris":["http://zotero.org/users/14468226/items/3YXVJSQG"],"itemData":{"id":6733,"type":"article-journal","abstract":"DNA methylation is important for gene regulation and is vulnerable to early-life exposure to environmental contaminants. We found that direct waterborne benzo[a]pyrene (BaP) exposure at 24μg/L from 2.5 to 96hpf to zebrafish embryos significantly decreased global cytosine methylation by 44.8% and promoter methylation in vasa by 17%. Consequently, vasa expression was significantly increased by 33%. In contrast, BaP exposure at environmentally relevant concentrations did not change CpG island methylation or gene expression in cancer genes such as ras-association domain family member 1 (rassf1), telomerase reverse transcriptase (tert), c-jun, and c-myca. Similarly, BaP did not change gene expression of DNA methyltransferase 1 (dnmt1) and glycine N-methyltransferase (gnmt). While total DNMT activity was not affected, GNMT enzyme activity was moderately increased. In summary, BaP is an epigenetic modifier for global and gene specific DNA methylation status in zebrafish larvae.","container-title":"Environmental Toxicology and Pharmacology","DOI":"10.1016/j.etap.2013.02.014","ISSN":"1872-7077","issue":"1","journalAbbreviation":"Environ Toxicol Pharmacol","language":"eng","note":"PMID: 23542452\nPMCID: PMC3654064","page":"40-50","source":"PubMed","title":"Benzo[a]pyrene decreases global and gene specific DNA methylation during zebrafish development","volume":"36","author":[{"family":"Fang","given":"Xiefan"},{"family":"Thornton","given":"Cammi"},{"family":"Scheffler","given":"Brian E."},{"family":"Willett","given":"Kristine L."}],"issued":{"date-parts":[["2013",7]]}}},{"id":"r9E9mN5c/Y18BH58B","uris":["http://zotero.org/users/14468226/items/IBNFW8G5"],"itemData":{"id":6727,"type":"article-journal","abstract":"Benzo[a]pyrene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00E5454F">
        <w:rPr>
          <w:rFonts w:ascii="Times New Roman" w:hAnsi="Times New Roman" w:cs="Times New Roman"/>
        </w:rPr>
        <w:t>(Fang et al. 2013, Wan et al. 2023)</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These modifications can persist across generations and may explain some of the long-term consequences of coal mining contamination on fish populations </w:t>
      </w:r>
      <w:r w:rsidR="00A1416C"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{"citationID":"ubNUmvYi","properties":{"formattedCitation":"(Knecht et al. 2017, Wan et al. 2023, Alexiev et al. 2024)","plainCitation":"(Knecht et al. 2017, Wan et al. 2023, Alexiev et al. 2024)","noteIndex":0},"citationItems":[{"id":"r9E9mN5c/gfvPjrOI","uris":["http://zotero.org/users/14468226/items/QLD698BF"],"itemData":{"id":6600,"type":"article-journal","abstract":"Developmental exposure to benzo[a]pyrene (BaP), a ubiquitous environmental pollutant, has been linked to various toxic effects, including multigenerational behavioral impairment. While the specific mechanisms driving BaP neurotoxicity are not fully understood, recent work highlights two important determinants of developmental BaP neurotoxicity: (1) the aryl hydrocarbon receptor (AHR), which induces host metabolism of BaP, and (2) the gut microbiome, which may interact with BaP to affect its metabolism, or be perturbed by BaP to disrupt the gut-brain axis. We utilized the zebrafish model to explore the role of AHR, the gut microbiome, and their interaction, on BaP-induced neurotoxicity. We tested (1) how developmental BaP exposure and AHR2 perturbation in zebrafish link to adult behavior, (2) how these variables associate with the structure and function of the adult zebrafish gut metagenome, and (3) whether these associations are multigenerational. Our findings reveal a reticulated axis of association between BaP exposure, developmental AHR2 expression, the zebrafish gut metagenome, and behavior. Results indicate that AHR2 is a key modulator of how BaP elicits neurotoxicity and microbiome dysbiosis. Additionally, this axis of association manifests generationally. These findings demonstrate the importance of studying pollutant-microbiome interactions and elucidate the role of specific host genes in neurotoxicity and dysbiosis.","container-title":"Toxics","DOI":"10.3390/toxics13010010","ISSN":"2305-6304","issue":"1","journalAbbreviation":"Toxics","language":"eng","note":"PMID: 39853010\nPMCID: PMC11768907","page":"10","source":"PubMed","title":"Clearing the Air on Pollutant Disruptions of the Gut-Brain Axis: Developmental Exposure to Benzo[a]pyrene Disturbs Zebrafish Behavior and the Gut Microbiome in Adults and Subsequent Generations","title-short":"Clearing the Air on Pollutant Disruptions of the Gut-Brain Axis","volume":"13","author":[{"family":"Alexiev","given":"Alexandra"},{"family":"Stretch","given":"Ebony"},{"family":"Kasschau","given":"Kristin D."},{"family":"Wilson","given":"Lindsay B."},{"family":"Truong","given":"Lisa"},{"family":"Tanguay","given":"Robyn L."},{"family":"Sharpton","given":"Thomas J."}],"issued":{"date-parts":[["2024",12,25]]}}},{"id":"r9E9mN5c/AEZ69rFK","uris":["http://zotero.org/users/14468226/items/HCRMSEFG"],"itemData":{"id":6736,"type":"article-journal","abstract":"Benzo[a]pyrene (B[a]P) is a well-known genotoxic polycylic aromatic compound whose toxicity is dependent on signaling via the aryl hydrocarbon receptor (AHR). It is unclear to what extent detrimental effects of B[a]P exposures might impact future generations and whether transgenerational effects might be AHR-dependent. This study examined the effects of developmental B[a]P exposure on 3 generations of zebrafish. Zebrafish embryos were exposed from 6 to 120h post fertilization (hpf) to 5 and 10μM B[a]P and raised in chemical-free water until adulthood (F0). Two generations were raised from F0 fish to evaluate transgenerational inheritance. Morphological, physiological and neurobehavioral parameters were measured at two life stages. Juveniles of the F0 and F2 exhibited hyper locomotor activity, decreased heartbeat and mitochondrial function. B[a]P exposure during development resulted in decreased global DNA methylation levels and generally reduced expression of DNA methyltransferases in wild type zebrafish, with the latter effect largely reversed in an AHR2-null background. Adults from the F0 B[a]P exposed lineage displayed social anxiety-like behavior. Adults in the F2 transgeneration manifested gender-specific increased body mass index (BMI), increased oxygen consumption and hyper-avoidance behavior. Exposure to benzo[a]pyrene during development resulted in transgenerational inheritance of neurobehavioral and physiological deficiencies. Indirect evidence suggested the potential for an AHR2-dependent epigenetic route.","container-title":"Toxicology and Applied Pharmacology","DOI":"10.1016/j.taap.2017.05.033","ISSN":"1096-0333","journalAbbreviation":"Toxicol Appl Pharmacol","language":"eng","note":"PMID: 28583304\nPMCID: PMC5539966","page":"148-157","source":"PubMed","title":"Transgenerational inheritance of neurobehavioral and physiological deficits from developmental exposure to benzo[a]pyrene in zebrafish","volume":"329","author":[{"family":"Knecht","given":"Andrea L."},{"family":"Truong","given":"Lisa"},{"family":"Marvel","given":"Skylar W."},{"family":"Reif","given":"David M."},{"family":"Garcia","given":"Abraham"},{"family":"Lu","given":"Catherine"},{"family":"Simonich","given":"Michael T."},{"family":"Teeguarden","given":"Justin G."},{"family":"Tanguay","given":"Robert L."}],"issued":{"date-parts":[["2017",8,15]]}}},{"id":"r9E9mN5c/Y18BH58B","uris":["http://zotero.org/users/14468226/items/IBNFW8G5"],"itemData":{"id":6727,"type":"article-journal","abstract":"Benzo[a]pyrene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00E5454F">
        <w:rPr>
          <w:rFonts w:ascii="Times New Roman" w:hAnsi="Times New Roman" w:cs="Times New Roman"/>
        </w:rPr>
        <w:t>(Knecht et al. 2017, Wan et al. 2023, Alexiev et al. 2024)</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Whole-genome bisulfite sequencing studies have identified hundreds of differentially methylated genes in fish exposed to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that are associated with neurological and developmental functions </w:t>
      </w:r>
      <w:r w:rsidR="00A1416C"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{"citationID":"Xlf4giYl","properties":{"formattedCitation":"(Wan et al. 2023)","plainCitation":"(Wan et al. 2023)","noteIndex":0},"citationItems":[{"id":"r9E9mN5c/Y18BH58B","uris":["http://zotero.org/users/14468226/items/IBNFW8G5"],"itemData":{"id":6727,"type":"article-journal","abstract":"Benzo[a]pyrene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00E5454F">
        <w:rPr>
          <w:rFonts w:ascii="Times New Roman" w:hAnsi="Times New Roman" w:cs="Times New Roman"/>
        </w:rPr>
        <w:t>(Wan et al. 2023)</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w:t>
      </w:r>
    </w:p>
    <w:p w14:paraId="650EA6E3" w14:textId="068FDBCF" w:rsidR="006A742F" w:rsidRPr="000A1EE6" w:rsidRDefault="00A542CE" w:rsidP="000A1EE6">
      <w:pPr>
        <w:spacing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lastRenderedPageBreak/>
        <w:t>These</w:t>
      </w:r>
      <w:r w:rsidR="5D448748" w:rsidRPr="2D8CF45F">
        <w:rPr>
          <w:rFonts w:ascii="Times New Roman" w:eastAsia="Times New Roman" w:hAnsi="Times New Roman" w:cs="Times New Roman"/>
          <w:lang w:val="en-US"/>
        </w:rPr>
        <w:t xml:space="preserve"> findings demonstrate that coal-derived PAHs</w:t>
      </w:r>
      <w:r w:rsidR="14AE8485" w:rsidRPr="2D8CF45F">
        <w:rPr>
          <w:rFonts w:ascii="Times New Roman" w:eastAsia="Times New Roman" w:hAnsi="Times New Roman" w:cs="Times New Roman"/>
          <w:lang w:val="en-US"/>
        </w:rPr>
        <w:t>,</w:t>
      </w:r>
      <w:r w:rsidR="5D448748" w:rsidRPr="2D8CF45F">
        <w:rPr>
          <w:rFonts w:ascii="Times New Roman" w:eastAsia="Times New Roman" w:hAnsi="Times New Roman" w:cs="Times New Roman"/>
          <w:lang w:val="en-US"/>
        </w:rPr>
        <w:t xml:space="preserve"> such as B</w:t>
      </w:r>
      <w:r w:rsidR="4A4E4755" w:rsidRPr="2D8CF45F">
        <w:rPr>
          <w:rFonts w:ascii="Times New Roman" w:eastAsia="Times New Roman" w:hAnsi="Times New Roman" w:cs="Times New Roman"/>
          <w:lang w:val="en-US"/>
        </w:rPr>
        <w:t>[</w:t>
      </w:r>
      <w:r w:rsidR="5D448748" w:rsidRPr="0784633D">
        <w:rPr>
          <w:rFonts w:ascii="Times New Roman" w:eastAsia="Times New Roman" w:hAnsi="Times New Roman" w:cs="Times New Roman"/>
          <w:i/>
          <w:lang w:val="en-US"/>
        </w:rPr>
        <w:t>a</w:t>
      </w:r>
      <w:r w:rsidR="18F3806F" w:rsidRPr="2D8CF45F">
        <w:rPr>
          <w:rFonts w:ascii="Times New Roman" w:eastAsia="Times New Roman" w:hAnsi="Times New Roman" w:cs="Times New Roman"/>
          <w:lang w:val="en-US"/>
        </w:rPr>
        <w:t>]</w:t>
      </w:r>
      <w:r w:rsidR="5D448748" w:rsidRPr="2D8CF45F">
        <w:rPr>
          <w:rFonts w:ascii="Times New Roman" w:eastAsia="Times New Roman" w:hAnsi="Times New Roman" w:cs="Times New Roman"/>
          <w:lang w:val="en-US"/>
        </w:rPr>
        <w:t>P</w:t>
      </w:r>
      <w:r w:rsidR="14AE8485" w:rsidRPr="2D8CF45F">
        <w:rPr>
          <w:rFonts w:ascii="Times New Roman" w:eastAsia="Times New Roman" w:hAnsi="Times New Roman" w:cs="Times New Roman"/>
          <w:lang w:val="en-US"/>
        </w:rPr>
        <w:t>,</w:t>
      </w:r>
      <w:r w:rsidR="5D448748" w:rsidRPr="2D8CF45F">
        <w:rPr>
          <w:rFonts w:ascii="Times New Roman" w:eastAsia="Times New Roman" w:hAnsi="Times New Roman" w:cs="Times New Roman"/>
          <w:lang w:val="en-US"/>
        </w:rPr>
        <w:t xml:space="preserve"> induce genotoxicity through DNA adduct formation, oxidative stress, and chromosomal instability. </w:t>
      </w:r>
      <w:r w:rsidR="0030641A">
        <w:rPr>
          <w:rFonts w:ascii="Times New Roman" w:eastAsia="Times New Roman" w:hAnsi="Times New Roman" w:cs="Times New Roman"/>
          <w:lang w:val="en-US"/>
        </w:rPr>
        <w:t>Although</w:t>
      </w:r>
      <w:r w:rsidR="5D448748" w:rsidRPr="2D8CF45F">
        <w:rPr>
          <w:rFonts w:ascii="Times New Roman" w:eastAsia="Times New Roman" w:hAnsi="Times New Roman" w:cs="Times New Roman"/>
          <w:lang w:val="en-US"/>
        </w:rPr>
        <w:t xml:space="preserve"> DNA repair pathways and </w:t>
      </w:r>
      <w:r w:rsidR="18F638C2" w:rsidRPr="2D8CF45F">
        <w:rPr>
          <w:rFonts w:ascii="Times New Roman" w:eastAsia="Times New Roman" w:hAnsi="Times New Roman" w:cs="Times New Roman"/>
          <w:lang w:val="en-US"/>
        </w:rPr>
        <w:t>tumor</w:t>
      </w:r>
      <w:r w:rsidR="5D448748" w:rsidRPr="2D8CF45F">
        <w:rPr>
          <w:rFonts w:ascii="Times New Roman" w:eastAsia="Times New Roman" w:hAnsi="Times New Roman" w:cs="Times New Roman"/>
          <w:lang w:val="en-US"/>
        </w:rPr>
        <w:t xml:space="preserve"> suppressor responses provide partial protection, their capacity is often exceeded </w:t>
      </w:r>
      <w:r w:rsidR="455D4D4E" w:rsidRPr="2D8CF45F">
        <w:rPr>
          <w:rFonts w:ascii="Times New Roman" w:eastAsia="Times New Roman" w:hAnsi="Times New Roman" w:cs="Times New Roman"/>
          <w:lang w:val="en-US"/>
        </w:rPr>
        <w:t>by</w:t>
      </w:r>
      <w:r w:rsidR="5D448748" w:rsidRPr="2D8CF45F">
        <w:rPr>
          <w:rFonts w:ascii="Times New Roman" w:eastAsia="Times New Roman" w:hAnsi="Times New Roman" w:cs="Times New Roman"/>
          <w:lang w:val="en-US"/>
        </w:rPr>
        <w:t xml:space="preserve"> chronic exposure. The resulting mutations, micronuclei, and epigenetic changes have profound implications for fish health and the long-term sustainability of coal-impacted freshwater ecosystems.</w:t>
      </w:r>
      <w:r w:rsidR="346C3B05" w:rsidRPr="2D8CF45F">
        <w:rPr>
          <w:rFonts w:ascii="Times New Roman" w:eastAsia="Times New Roman" w:hAnsi="Times New Roman" w:cs="Times New Roman"/>
          <w:lang w:val="en-US"/>
        </w:rPr>
        <w:t xml:space="preserve"> </w:t>
      </w:r>
      <w:r w:rsidR="73342FC4" w:rsidRPr="2D8CF45F">
        <w:rPr>
          <w:rFonts w:ascii="Times New Roman" w:eastAsia="Times New Roman" w:hAnsi="Times New Roman" w:cs="Times New Roman"/>
          <w:lang w:val="en-US"/>
        </w:rPr>
        <w:t>Extensive research has</w:t>
      </w:r>
      <w:r w:rsidR="73342FC4" w:rsidRPr="2D8CF45F" w:rsidDel="007E3D10">
        <w:rPr>
          <w:rFonts w:ascii="Times New Roman" w:eastAsia="Times New Roman" w:hAnsi="Times New Roman" w:cs="Times New Roman"/>
          <w:lang w:val="en-US"/>
        </w:rPr>
        <w:t xml:space="preserve"> </w:t>
      </w:r>
      <w:r w:rsidR="007E3D10">
        <w:rPr>
          <w:rFonts w:ascii="Times New Roman" w:eastAsia="Times New Roman" w:hAnsi="Times New Roman" w:cs="Times New Roman"/>
          <w:lang w:val="en-US"/>
        </w:rPr>
        <w:t>shown</w:t>
      </w:r>
      <w:r w:rsidR="007E3D10" w:rsidRPr="2D8CF45F">
        <w:rPr>
          <w:rFonts w:ascii="Times New Roman" w:eastAsia="Times New Roman" w:hAnsi="Times New Roman" w:cs="Times New Roman"/>
          <w:lang w:val="en-US"/>
        </w:rPr>
        <w:t xml:space="preserve"> </w:t>
      </w:r>
      <w:r w:rsidR="73342FC4" w:rsidRPr="2D8CF45F">
        <w:rPr>
          <w:rFonts w:ascii="Times New Roman" w:eastAsia="Times New Roman" w:hAnsi="Times New Roman" w:cs="Times New Roman"/>
          <w:lang w:val="en-US"/>
        </w:rPr>
        <w:t>that exposure to B[</w:t>
      </w:r>
      <w:r w:rsidR="73342FC4" w:rsidRPr="00A1327B">
        <w:rPr>
          <w:rFonts w:ascii="Times New Roman" w:eastAsia="Times New Roman" w:hAnsi="Times New Roman" w:cs="Times New Roman"/>
          <w:i/>
          <w:iCs/>
          <w:lang w:val="en-US"/>
        </w:rPr>
        <w:t>a</w:t>
      </w:r>
      <w:r w:rsidR="73342FC4" w:rsidRPr="2D8CF45F">
        <w:rPr>
          <w:rFonts w:ascii="Times New Roman" w:eastAsia="Times New Roman" w:hAnsi="Times New Roman" w:cs="Times New Roman"/>
          <w:lang w:val="en-US"/>
        </w:rPr>
        <w:t xml:space="preserve">]P induces </w:t>
      </w:r>
      <w:r w:rsidR="501E9304" w:rsidRPr="2D8CF45F">
        <w:rPr>
          <w:rFonts w:ascii="Times New Roman" w:eastAsia="Times New Roman" w:hAnsi="Times New Roman" w:cs="Times New Roman"/>
          <w:lang w:val="en-US"/>
        </w:rPr>
        <w:t>DNA damage and repair</w:t>
      </w:r>
      <w:r w:rsidR="00A1327B">
        <w:rPr>
          <w:rFonts w:ascii="Times New Roman" w:eastAsia="Times New Roman" w:hAnsi="Times New Roman" w:cs="Times New Roman"/>
          <w:lang w:val="en-US"/>
        </w:rPr>
        <w:t xml:space="preserve"> </w:t>
      </w:r>
      <w:r w:rsidR="007E3D10">
        <w:rPr>
          <w:rFonts w:ascii="Times New Roman" w:eastAsia="Times New Roman" w:hAnsi="Times New Roman" w:cs="Times New Roman"/>
          <w:lang w:val="en-US"/>
        </w:rPr>
        <w:t>(</w:t>
      </w:r>
      <w:r w:rsidR="02706B61" w:rsidRPr="2E3070CE">
        <w:rPr>
          <w:rFonts w:ascii="Times New Roman" w:eastAsia="Times New Roman" w:hAnsi="Times New Roman" w:cs="Times New Roman"/>
          <w:b/>
          <w:lang w:val="en-US"/>
        </w:rPr>
        <w:t>Table</w:t>
      </w:r>
      <w:r w:rsidR="501E9304" w:rsidRPr="2E3070CE">
        <w:rPr>
          <w:rFonts w:ascii="Times New Roman" w:eastAsia="Times New Roman" w:hAnsi="Times New Roman" w:cs="Times New Roman"/>
          <w:b/>
          <w:lang w:val="en-US"/>
        </w:rPr>
        <w:t xml:space="preserve"> </w:t>
      </w:r>
      <w:r w:rsidR="02706B61" w:rsidRPr="2E3070CE">
        <w:rPr>
          <w:rFonts w:ascii="Times New Roman" w:eastAsia="Times New Roman" w:hAnsi="Times New Roman" w:cs="Times New Roman"/>
          <w:b/>
          <w:lang w:val="en-US"/>
        </w:rPr>
        <w:t>3</w:t>
      </w:r>
      <w:r w:rsidR="007E3D10">
        <w:rPr>
          <w:rFonts w:ascii="Times New Roman" w:eastAsia="Times New Roman" w:hAnsi="Times New Roman" w:cs="Times New Roman"/>
          <w:lang w:val="en-US"/>
        </w:rPr>
        <w:t>)</w:t>
      </w:r>
      <w:r w:rsidR="00D679A0">
        <w:rPr>
          <w:rFonts w:ascii="Times New Roman" w:eastAsia="Times New Roman" w:hAnsi="Times New Roman" w:cs="Times New Roman"/>
          <w:lang w:val="en-US"/>
        </w:rPr>
        <w:t>.</w:t>
      </w:r>
    </w:p>
    <w:p w14:paraId="6FAE4522" w14:textId="063C82FE" w:rsidR="2D8CF45F" w:rsidRPr="00F92ECF" w:rsidRDefault="2AFFD32A" w:rsidP="2D8CF45F">
      <w:pPr>
        <w:spacing w:line="480" w:lineRule="auto"/>
        <w:jc w:val="both"/>
        <w:rPr>
          <w:rFonts w:ascii="Times New Roman" w:eastAsia="Times New Roman" w:hAnsi="Times New Roman" w:cs="Times New Roman"/>
          <w:lang w:val="en-US"/>
        </w:rPr>
      </w:pPr>
      <w:r w:rsidRPr="2D8CF45F">
        <w:rPr>
          <w:rFonts w:ascii="Times New Roman" w:eastAsia="Times New Roman" w:hAnsi="Times New Roman" w:cs="Times New Roman"/>
          <w:b/>
          <w:bCs/>
          <w:lang w:val="en-US"/>
        </w:rPr>
        <w:t xml:space="preserve">Table 3. </w:t>
      </w:r>
      <w:r w:rsidRPr="003D1D04">
        <w:rPr>
          <w:rFonts w:ascii="Times New Roman" w:eastAsia="Times New Roman" w:hAnsi="Times New Roman" w:cs="Times New Roman"/>
          <w:highlight w:val="yellow"/>
          <w:lang w:val="en-US"/>
        </w:rPr>
        <w:t xml:space="preserve">Genotoxic responses and DNA repair capacity in </w:t>
      </w:r>
      <w:r w:rsidR="003D1D04" w:rsidRPr="003D1D04">
        <w:rPr>
          <w:rFonts w:ascii="Times New Roman" w:eastAsia="Times New Roman" w:hAnsi="Times New Roman" w:cs="Times New Roman"/>
          <w:highlight w:val="yellow"/>
          <w:lang w:val="en-US"/>
        </w:rPr>
        <w:t>different</w:t>
      </w:r>
      <w:r w:rsidRPr="003D1D04">
        <w:rPr>
          <w:rFonts w:ascii="Times New Roman" w:eastAsia="Times New Roman" w:hAnsi="Times New Roman" w:cs="Times New Roman"/>
          <w:highlight w:val="yellow"/>
          <w:lang w:val="en-US"/>
        </w:rPr>
        <w:t xml:space="preserve"> fish </w:t>
      </w:r>
      <w:r w:rsidR="003D1D04" w:rsidRPr="003D1D04">
        <w:rPr>
          <w:rFonts w:ascii="Times New Roman" w:eastAsia="Times New Roman" w:hAnsi="Times New Roman" w:cs="Times New Roman"/>
          <w:highlight w:val="yellow"/>
          <w:lang w:val="en-US"/>
        </w:rPr>
        <w:t xml:space="preserve">species </w:t>
      </w:r>
      <w:r w:rsidR="006D343B" w:rsidRPr="003D1D04">
        <w:rPr>
          <w:rFonts w:ascii="Times New Roman" w:eastAsia="Times New Roman" w:hAnsi="Times New Roman" w:cs="Times New Roman"/>
          <w:highlight w:val="yellow"/>
          <w:lang w:val="en-US"/>
        </w:rPr>
        <w:t>exposed to varying</w:t>
      </w:r>
      <w:r w:rsidRPr="003D1D04">
        <w:rPr>
          <w:rFonts w:ascii="Times New Roman" w:eastAsia="Times New Roman" w:hAnsi="Times New Roman" w:cs="Times New Roman"/>
          <w:highlight w:val="yellow"/>
          <w:lang w:val="en-US"/>
        </w:rPr>
        <w:t xml:space="preserve"> concentrations of B[</w:t>
      </w:r>
      <w:r w:rsidRPr="003D1D04">
        <w:rPr>
          <w:rFonts w:ascii="Times New Roman" w:eastAsia="Times New Roman" w:hAnsi="Times New Roman" w:cs="Times New Roman"/>
          <w:i/>
          <w:iCs/>
          <w:highlight w:val="yellow"/>
          <w:lang w:val="en-US"/>
        </w:rPr>
        <w:t>a</w:t>
      </w:r>
      <w:r w:rsidRPr="003D1D04">
        <w:rPr>
          <w:rFonts w:ascii="Times New Roman" w:eastAsia="Times New Roman" w:hAnsi="Times New Roman" w:cs="Times New Roman"/>
          <w:highlight w:val="yellow"/>
          <w:lang w:val="en-US"/>
        </w:rPr>
        <w:t>]</w:t>
      </w:r>
      <w:r w:rsidR="005C3B51" w:rsidRPr="003D1D04">
        <w:rPr>
          <w:rFonts w:ascii="Times New Roman" w:eastAsia="Times New Roman" w:hAnsi="Times New Roman" w:cs="Times New Roman"/>
          <w:highlight w:val="yellow"/>
          <w:lang w:val="en-US"/>
        </w:rPr>
        <w:t>P.</w:t>
      </w:r>
    </w:p>
    <w:tbl>
      <w:tblPr>
        <w:tblStyle w:val="TableGrid"/>
        <w:tblW w:w="0" w:type="auto"/>
        <w:tblLook w:val="04A0" w:firstRow="1" w:lastRow="0" w:firstColumn="1" w:lastColumn="0" w:noHBand="0" w:noVBand="1"/>
      </w:tblPr>
      <w:tblGrid>
        <w:gridCol w:w="2254"/>
        <w:gridCol w:w="2254"/>
        <w:gridCol w:w="2254"/>
        <w:gridCol w:w="2254"/>
      </w:tblGrid>
      <w:tr w:rsidR="003E3538" w:rsidRPr="006A742F" w14:paraId="78756060" w14:textId="77777777" w:rsidTr="00433211">
        <w:tc>
          <w:tcPr>
            <w:tcW w:w="2254" w:type="dxa"/>
          </w:tcPr>
          <w:p w14:paraId="050BB5F8" w14:textId="71832C37" w:rsidR="003E3538" w:rsidRPr="004216DD" w:rsidRDefault="00CD51A1" w:rsidP="000A1EE6">
            <w:pPr>
              <w:spacing w:line="480" w:lineRule="auto"/>
              <w:jc w:val="both"/>
              <w:rPr>
                <w:rFonts w:ascii="Times New Roman" w:eastAsia="Times New Roman" w:hAnsi="Times New Roman" w:cs="Times New Roman"/>
                <w:b/>
                <w:bCs/>
                <w:sz w:val="20"/>
                <w:szCs w:val="20"/>
                <w:lang w:val="en-US"/>
              </w:rPr>
            </w:pPr>
            <w:r w:rsidRPr="00CD51A1">
              <w:rPr>
                <w:rFonts w:ascii="Times New Roman" w:eastAsia="Times New Roman" w:hAnsi="Times New Roman" w:cs="Times New Roman"/>
                <w:b/>
                <w:bCs/>
                <w:sz w:val="20"/>
                <w:szCs w:val="20"/>
                <w:highlight w:val="yellow"/>
                <w:lang w:val="en-US"/>
              </w:rPr>
              <w:t>Fish species</w:t>
            </w:r>
          </w:p>
        </w:tc>
        <w:tc>
          <w:tcPr>
            <w:tcW w:w="2254" w:type="dxa"/>
          </w:tcPr>
          <w:p w14:paraId="2D509727" w14:textId="57F05084" w:rsidR="003E3538" w:rsidRPr="00407B28" w:rsidRDefault="33F34E68" w:rsidP="006A742F">
            <w:pPr>
              <w:jc w:val="both"/>
              <w:rPr>
                <w:rFonts w:ascii="Times New Roman" w:eastAsia="Times New Roman" w:hAnsi="Times New Roman" w:cs="Times New Roman"/>
                <w:b/>
                <w:bCs/>
                <w:sz w:val="20"/>
                <w:szCs w:val="20"/>
                <w:lang w:val="en-US"/>
              </w:rPr>
            </w:pPr>
            <w:r w:rsidRPr="00407B28">
              <w:rPr>
                <w:rFonts w:ascii="Times New Roman" w:eastAsia="Times New Roman" w:hAnsi="Times New Roman" w:cs="Times New Roman"/>
                <w:b/>
                <w:bCs/>
                <w:sz w:val="20"/>
                <w:szCs w:val="20"/>
                <w:lang w:val="en-US"/>
              </w:rPr>
              <w:t>Experimental</w:t>
            </w:r>
            <w:r w:rsidR="006A742F" w:rsidRPr="00407B28">
              <w:rPr>
                <w:rFonts w:ascii="Times New Roman" w:eastAsia="Times New Roman" w:hAnsi="Times New Roman" w:cs="Times New Roman"/>
                <w:b/>
                <w:bCs/>
                <w:sz w:val="20"/>
                <w:szCs w:val="20"/>
                <w:lang w:val="en-US"/>
              </w:rPr>
              <w:t xml:space="preserve"> conditions</w:t>
            </w:r>
          </w:p>
        </w:tc>
        <w:tc>
          <w:tcPr>
            <w:tcW w:w="2254" w:type="dxa"/>
          </w:tcPr>
          <w:p w14:paraId="07C38585" w14:textId="2A19DF30" w:rsidR="003E3538" w:rsidRPr="004216DD" w:rsidRDefault="004216DD" w:rsidP="000A1EE6">
            <w:pPr>
              <w:spacing w:line="480" w:lineRule="auto"/>
              <w:jc w:val="both"/>
              <w:rPr>
                <w:rFonts w:ascii="Times New Roman" w:eastAsia="Times New Roman" w:hAnsi="Times New Roman" w:cs="Times New Roman"/>
                <w:b/>
                <w:bCs/>
                <w:sz w:val="20"/>
                <w:szCs w:val="20"/>
                <w:lang w:val="en-US"/>
              </w:rPr>
            </w:pPr>
            <w:r w:rsidRPr="00CD51A1">
              <w:rPr>
                <w:rFonts w:ascii="Times New Roman" w:eastAsia="Times New Roman" w:hAnsi="Times New Roman" w:cs="Times New Roman"/>
                <w:b/>
                <w:bCs/>
                <w:sz w:val="20"/>
                <w:szCs w:val="20"/>
                <w:highlight w:val="yellow"/>
                <w:lang w:val="en-US"/>
              </w:rPr>
              <w:t>Effects</w:t>
            </w:r>
          </w:p>
        </w:tc>
        <w:tc>
          <w:tcPr>
            <w:tcW w:w="2254" w:type="dxa"/>
          </w:tcPr>
          <w:p w14:paraId="72E5E454" w14:textId="7BBD79D4" w:rsidR="003E3538" w:rsidRPr="00407B28" w:rsidRDefault="159F8EFE" w:rsidP="000A1EE6">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b/>
                <w:bCs/>
                <w:sz w:val="20"/>
                <w:szCs w:val="20"/>
                <w:lang w:val="en-US"/>
              </w:rPr>
              <w:t>Reference</w:t>
            </w:r>
            <w:r w:rsidR="21162258" w:rsidRPr="00407B28">
              <w:rPr>
                <w:rFonts w:ascii="Times New Roman" w:eastAsia="Times New Roman" w:hAnsi="Times New Roman" w:cs="Times New Roman"/>
                <w:b/>
                <w:bCs/>
                <w:sz w:val="20"/>
                <w:szCs w:val="20"/>
                <w:lang w:val="en-US"/>
              </w:rPr>
              <w:t>s</w:t>
            </w:r>
          </w:p>
        </w:tc>
      </w:tr>
      <w:tr w:rsidR="003E3538" w:rsidRPr="006A742F" w14:paraId="604BF7D4" w14:textId="77777777" w:rsidTr="00433211">
        <w:tc>
          <w:tcPr>
            <w:tcW w:w="2254" w:type="dxa"/>
          </w:tcPr>
          <w:p w14:paraId="49FF3870" w14:textId="11AFD65F" w:rsidR="003E3538" w:rsidRPr="00407B28" w:rsidRDefault="003E3538" w:rsidP="00CA0BD7">
            <w:pPr>
              <w:rPr>
                <w:rFonts w:ascii="Times New Roman" w:hAnsi="Times New Roman" w:cs="Times New Roman"/>
                <w:i/>
                <w:iCs/>
                <w:sz w:val="20"/>
                <w:szCs w:val="20"/>
              </w:rPr>
            </w:pPr>
            <w:r w:rsidRPr="00407B28">
              <w:rPr>
                <w:rFonts w:ascii="Times New Roman" w:hAnsi="Times New Roman" w:cs="Times New Roman"/>
                <w:i/>
                <w:iCs/>
                <w:sz w:val="20"/>
                <w:szCs w:val="20"/>
              </w:rPr>
              <w:t>Rutilus frissi kutum</w:t>
            </w:r>
          </w:p>
        </w:tc>
        <w:tc>
          <w:tcPr>
            <w:tcW w:w="2254" w:type="dxa"/>
          </w:tcPr>
          <w:p w14:paraId="5F24FA60" w14:textId="2F5EF79F" w:rsidR="003E3538" w:rsidRPr="00407B28" w:rsidRDefault="47EE4892" w:rsidP="006A742F">
            <w:pPr>
              <w:jc w:val="both"/>
              <w:rPr>
                <w:rFonts w:ascii="Times New Roman" w:hAnsi="Times New Roman" w:cs="Times New Roman"/>
                <w:sz w:val="20"/>
                <w:szCs w:val="20"/>
              </w:rPr>
            </w:pPr>
            <w:r w:rsidRPr="00CD51A1">
              <w:rPr>
                <w:rFonts w:ascii="Times New Roman" w:hAnsi="Times New Roman" w:cs="Times New Roman"/>
                <w:sz w:val="20"/>
                <w:szCs w:val="20"/>
              </w:rPr>
              <w:t>50, 100, and 200 ppb for 21 days</w:t>
            </w:r>
          </w:p>
        </w:tc>
        <w:tc>
          <w:tcPr>
            <w:tcW w:w="2254" w:type="dxa"/>
          </w:tcPr>
          <w:p w14:paraId="28A61EFA" w14:textId="36ECD304" w:rsidR="003E3538" w:rsidRPr="00407B28" w:rsidRDefault="00791579" w:rsidP="00CA0BD7">
            <w:pPr>
              <w:rPr>
                <w:rFonts w:ascii="Times New Roman" w:hAnsi="Times New Roman" w:cs="Times New Roman"/>
                <w:sz w:val="20"/>
                <w:szCs w:val="20"/>
              </w:rPr>
            </w:pPr>
            <w:r w:rsidRPr="00CD51A1">
              <w:rPr>
                <w:rFonts w:ascii="Times New Roman" w:hAnsi="Times New Roman" w:cs="Times New Roman"/>
                <w:sz w:val="20"/>
                <w:szCs w:val="20"/>
                <w:highlight w:val="yellow"/>
              </w:rPr>
              <w:t>Time</w:t>
            </w:r>
            <w:r w:rsidR="00E57095" w:rsidRPr="00CD51A1">
              <w:rPr>
                <w:rFonts w:ascii="Times New Roman" w:hAnsi="Times New Roman" w:cs="Times New Roman"/>
                <w:sz w:val="20"/>
                <w:szCs w:val="20"/>
                <w:highlight w:val="yellow"/>
              </w:rPr>
              <w:t>-</w:t>
            </w:r>
            <w:r w:rsidRPr="00CD51A1">
              <w:rPr>
                <w:rFonts w:ascii="Times New Roman" w:hAnsi="Times New Roman" w:cs="Times New Roman"/>
                <w:sz w:val="20"/>
                <w:szCs w:val="20"/>
                <w:highlight w:val="yellow"/>
              </w:rPr>
              <w:t xml:space="preserve"> </w:t>
            </w:r>
            <w:r w:rsidR="003E3538" w:rsidRPr="00CD51A1">
              <w:rPr>
                <w:rFonts w:ascii="Times New Roman" w:hAnsi="Times New Roman" w:cs="Times New Roman"/>
                <w:sz w:val="20"/>
                <w:szCs w:val="20"/>
                <w:highlight w:val="yellow"/>
              </w:rPr>
              <w:t>and concentration-dependent DNA strand breaks in liver and gill cells</w:t>
            </w:r>
            <w:r w:rsidR="00DA14CD" w:rsidRPr="00CD51A1">
              <w:rPr>
                <w:rFonts w:ascii="Times New Roman" w:hAnsi="Times New Roman" w:cs="Times New Roman"/>
                <w:sz w:val="20"/>
                <w:szCs w:val="20"/>
                <w:highlight w:val="yellow"/>
              </w:rPr>
              <w:t xml:space="preserve">, accompanied by </w:t>
            </w:r>
            <w:r w:rsidR="00C30E6A" w:rsidRPr="00CD51A1">
              <w:rPr>
                <w:rFonts w:ascii="Times New Roman" w:hAnsi="Times New Roman" w:cs="Times New Roman"/>
                <w:sz w:val="20"/>
                <w:szCs w:val="20"/>
                <w:highlight w:val="yellow"/>
              </w:rPr>
              <w:t>an increase</w:t>
            </w:r>
            <w:r w:rsidR="009640EC" w:rsidRPr="00CD51A1">
              <w:rPr>
                <w:rFonts w:ascii="Times New Roman" w:hAnsi="Times New Roman" w:cs="Times New Roman"/>
                <w:sz w:val="20"/>
                <w:szCs w:val="20"/>
                <w:highlight w:val="yellow"/>
              </w:rPr>
              <w:t xml:space="preserve">d </w:t>
            </w:r>
            <w:r w:rsidR="003E3538" w:rsidRPr="00CD51A1">
              <w:rPr>
                <w:rFonts w:ascii="Times New Roman" w:hAnsi="Times New Roman" w:cs="Times New Roman"/>
                <w:sz w:val="20"/>
                <w:szCs w:val="20"/>
                <w:highlight w:val="yellow"/>
              </w:rPr>
              <w:t>micronucleated and bi-nucleated erythrocytes</w:t>
            </w:r>
            <w:r w:rsidR="009D55A1" w:rsidRPr="00CD51A1">
              <w:rPr>
                <w:rFonts w:ascii="Times New Roman" w:hAnsi="Times New Roman" w:cs="Times New Roman"/>
                <w:sz w:val="20"/>
                <w:szCs w:val="20"/>
                <w:highlight w:val="yellow"/>
              </w:rPr>
              <w:t>,</w:t>
            </w:r>
            <w:r w:rsidR="00C30E6A" w:rsidRPr="00CD51A1">
              <w:rPr>
                <w:rFonts w:ascii="Times New Roman" w:hAnsi="Times New Roman" w:cs="Times New Roman"/>
                <w:sz w:val="20"/>
                <w:szCs w:val="20"/>
                <w:highlight w:val="yellow"/>
              </w:rPr>
              <w:t xml:space="preserve"> indicating chromosomal abnormalities.</w:t>
            </w:r>
          </w:p>
        </w:tc>
        <w:tc>
          <w:tcPr>
            <w:tcW w:w="2254" w:type="dxa"/>
          </w:tcPr>
          <w:p w14:paraId="07FF1818" w14:textId="1EFDE13A" w:rsidR="003E3538" w:rsidRPr="00407B28" w:rsidRDefault="00CB173F" w:rsidP="00CA0BD7">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{"citationID":"eGRPzp0H","properties":{"formattedCitation":"(Esmaeilbeigi et al. 2021)","plainCitation":"(Esmaeilbeigi et al. 2021)","noteIndex":0},"citationItems":[{"id":"r9E9mN5c/YrAY4dC0","uris":["http://zotero.org/users/14468226/items/ECAT7CVQ"],"itemData":{"id":6945,"type":"article-journal","abstract":"Southern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(Esmaeilbeigi et al. 2021)</w:t>
            </w:r>
            <w:r w:rsidRPr="00407B28">
              <w:rPr>
                <w:rFonts w:ascii="Times New Roman" w:eastAsia="Times New Roman" w:hAnsi="Times New Roman" w:cs="Times New Roman"/>
                <w:sz w:val="20"/>
                <w:szCs w:val="20"/>
                <w:lang w:val="en-US"/>
              </w:rPr>
              <w:fldChar w:fldCharType="end"/>
            </w:r>
          </w:p>
        </w:tc>
      </w:tr>
      <w:tr w:rsidR="004A3004" w:rsidRPr="006A742F" w14:paraId="7B69DB25" w14:textId="77777777" w:rsidTr="00433211">
        <w:tc>
          <w:tcPr>
            <w:tcW w:w="2254" w:type="dxa"/>
          </w:tcPr>
          <w:p w14:paraId="084237A6" w14:textId="27E0DA6B" w:rsidR="004A3004" w:rsidRPr="00407B28" w:rsidRDefault="004A3004" w:rsidP="00CA0BD7">
            <w:pPr>
              <w:rPr>
                <w:rFonts w:ascii="Times New Roman" w:hAnsi="Times New Roman" w:cs="Times New Roman"/>
                <w:i/>
                <w:iCs/>
                <w:sz w:val="20"/>
                <w:szCs w:val="20"/>
              </w:rPr>
            </w:pPr>
            <w:r w:rsidRPr="00407B28">
              <w:rPr>
                <w:rFonts w:ascii="Times New Roman" w:hAnsi="Times New Roman" w:cs="Times New Roman"/>
                <w:i/>
                <w:iCs/>
                <w:sz w:val="20"/>
                <w:szCs w:val="20"/>
              </w:rPr>
              <w:t xml:space="preserve">Fundulus heteroclitus </w:t>
            </w:r>
          </w:p>
        </w:tc>
        <w:tc>
          <w:tcPr>
            <w:tcW w:w="2254" w:type="dxa"/>
          </w:tcPr>
          <w:p w14:paraId="6F5D7F31" w14:textId="0A10054A" w:rsidR="004A3004" w:rsidRPr="00407B28" w:rsidRDefault="33F34E68" w:rsidP="00CA0BD7">
            <w:pPr>
              <w:rPr>
                <w:rFonts w:ascii="Times New Roman" w:hAnsi="Times New Roman" w:cs="Times New Roman"/>
                <w:sz w:val="20"/>
                <w:szCs w:val="20"/>
              </w:rPr>
            </w:pPr>
            <w:r w:rsidRPr="00CD51A1">
              <w:rPr>
                <w:rFonts w:ascii="Times New Roman" w:hAnsi="Times New Roman" w:cs="Times New Roman"/>
                <w:sz w:val="20"/>
                <w:szCs w:val="20"/>
              </w:rPr>
              <w:t>50, 100, and 200 μg/L</w:t>
            </w:r>
            <w:r w:rsidR="00152510" w:rsidRPr="00CD51A1">
              <w:rPr>
                <w:rFonts w:ascii="Times New Roman" w:hAnsi="Times New Roman" w:cs="Times New Roman"/>
                <w:sz w:val="20"/>
                <w:szCs w:val="20"/>
              </w:rPr>
              <w:t xml:space="preserve"> </w:t>
            </w:r>
            <w:r w:rsidRPr="00CD51A1">
              <w:rPr>
                <w:rFonts w:ascii="Times New Roman" w:hAnsi="Times New Roman" w:cs="Times New Roman"/>
                <w:sz w:val="20"/>
                <w:szCs w:val="20"/>
              </w:rPr>
              <w:t>for 5 days</w:t>
            </w:r>
          </w:p>
        </w:tc>
        <w:tc>
          <w:tcPr>
            <w:tcW w:w="2254" w:type="dxa"/>
          </w:tcPr>
          <w:p w14:paraId="70E57B3A" w14:textId="037C771D" w:rsidR="004A3004" w:rsidRPr="00E31018" w:rsidRDefault="004A3004" w:rsidP="00CA0BD7">
            <w:pPr>
              <w:rPr>
                <w:rFonts w:ascii="Times New Roman" w:hAnsi="Times New Roman" w:cs="Times New Roman"/>
                <w:sz w:val="20"/>
                <w:szCs w:val="20"/>
                <w:highlight w:val="green"/>
              </w:rPr>
            </w:pPr>
            <w:r w:rsidRPr="00CD51A1">
              <w:rPr>
                <w:rFonts w:ascii="Times New Roman" w:hAnsi="Times New Roman" w:cs="Times New Roman"/>
                <w:sz w:val="20"/>
                <w:szCs w:val="20"/>
                <w:highlight w:val="yellow"/>
              </w:rPr>
              <w:t>Both nDNA and mtDNA</w:t>
            </w:r>
            <w:r w:rsidR="00F6163A" w:rsidRPr="00CD51A1">
              <w:rPr>
                <w:rFonts w:ascii="Times New Roman" w:hAnsi="Times New Roman" w:cs="Times New Roman"/>
                <w:sz w:val="20"/>
                <w:szCs w:val="20"/>
                <w:highlight w:val="yellow"/>
              </w:rPr>
              <w:t xml:space="preserve"> </w:t>
            </w:r>
            <w:r w:rsidR="003C0779" w:rsidRPr="00CD51A1">
              <w:rPr>
                <w:rFonts w:ascii="Times New Roman" w:hAnsi="Times New Roman" w:cs="Times New Roman"/>
                <w:sz w:val="20"/>
                <w:szCs w:val="20"/>
                <w:highlight w:val="yellow"/>
              </w:rPr>
              <w:t xml:space="preserve">sustained </w:t>
            </w:r>
            <w:r w:rsidR="007D4C84" w:rsidRPr="00CD51A1">
              <w:rPr>
                <w:rFonts w:ascii="Times New Roman" w:hAnsi="Times New Roman" w:cs="Times New Roman"/>
                <w:sz w:val="20"/>
                <w:szCs w:val="20"/>
                <w:highlight w:val="yellow"/>
              </w:rPr>
              <w:t>increase</w:t>
            </w:r>
            <w:r w:rsidR="00E31018" w:rsidRPr="00CD51A1">
              <w:rPr>
                <w:rFonts w:ascii="Times New Roman" w:hAnsi="Times New Roman" w:cs="Times New Roman"/>
                <w:sz w:val="20"/>
                <w:szCs w:val="20"/>
                <w:highlight w:val="yellow"/>
              </w:rPr>
              <w:t xml:space="preserve">d </w:t>
            </w:r>
            <w:r w:rsidRPr="00CD51A1">
              <w:rPr>
                <w:rFonts w:ascii="Times New Roman" w:hAnsi="Times New Roman" w:cs="Times New Roman"/>
                <w:sz w:val="20"/>
                <w:szCs w:val="20"/>
                <w:highlight w:val="yellow"/>
              </w:rPr>
              <w:t xml:space="preserve">damage </w:t>
            </w:r>
            <w:r w:rsidR="00E31018" w:rsidRPr="00CD51A1">
              <w:rPr>
                <w:rFonts w:ascii="Times New Roman" w:hAnsi="Times New Roman" w:cs="Times New Roman"/>
                <w:sz w:val="20"/>
                <w:szCs w:val="20"/>
                <w:highlight w:val="yellow"/>
              </w:rPr>
              <w:t xml:space="preserve">but </w:t>
            </w:r>
            <w:r w:rsidR="00F6163A" w:rsidRPr="00CD51A1">
              <w:rPr>
                <w:rFonts w:ascii="Times New Roman" w:hAnsi="Times New Roman" w:cs="Times New Roman"/>
                <w:sz w:val="20"/>
                <w:szCs w:val="20"/>
                <w:highlight w:val="yellow"/>
              </w:rPr>
              <w:t>mtDNA</w:t>
            </w:r>
            <w:r w:rsidRPr="00CD51A1">
              <w:rPr>
                <w:rFonts w:ascii="Times New Roman" w:hAnsi="Times New Roman" w:cs="Times New Roman"/>
                <w:sz w:val="20"/>
                <w:szCs w:val="20"/>
                <w:highlight w:val="yellow"/>
              </w:rPr>
              <w:t xml:space="preserve"> showed greater vulnerability to ROS and limited repair capacity</w:t>
            </w:r>
            <w:r w:rsidR="00B85A01" w:rsidRPr="00CD51A1">
              <w:rPr>
                <w:rFonts w:ascii="Times New Roman" w:hAnsi="Times New Roman" w:cs="Times New Roman"/>
                <w:sz w:val="20"/>
                <w:szCs w:val="20"/>
                <w:highlight w:val="yellow"/>
              </w:rPr>
              <w:t>.</w:t>
            </w:r>
          </w:p>
        </w:tc>
        <w:tc>
          <w:tcPr>
            <w:tcW w:w="2254" w:type="dxa"/>
          </w:tcPr>
          <w:p w14:paraId="2EB546CC" w14:textId="66329337" w:rsidR="004A3004" w:rsidRPr="00407B28" w:rsidRDefault="00392E67" w:rsidP="00CA0BD7">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{"citationID":"4tpWPXSx","properties":{"formattedCitation":"(Jung et al. 2009)","plainCitation":"(Jung et al. 2009)","noteIndex":0},"citationItems":[{"id":"r9E9mN5c/b89uZtYb","uris":["http://zotero.org/users/14468226/items/8M44QJDN"],"itemData":{"id":6615,"type":"article-journal","abstract":"Benzo[a]pyrene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(Jung et al. 2009)</w:t>
            </w:r>
            <w:r w:rsidRPr="00407B28">
              <w:rPr>
                <w:rFonts w:ascii="Times New Roman" w:eastAsia="Times New Roman" w:hAnsi="Times New Roman" w:cs="Times New Roman"/>
                <w:sz w:val="20"/>
                <w:szCs w:val="20"/>
                <w:lang w:val="en-US"/>
              </w:rPr>
              <w:fldChar w:fldCharType="end"/>
            </w:r>
          </w:p>
        </w:tc>
      </w:tr>
      <w:tr w:rsidR="00F6163A" w:rsidRPr="006A742F" w14:paraId="16A13BAC" w14:textId="77777777" w:rsidTr="00433211">
        <w:tc>
          <w:tcPr>
            <w:tcW w:w="2254" w:type="dxa"/>
          </w:tcPr>
          <w:p w14:paraId="665FA29D" w14:textId="5D85B4E4" w:rsidR="00F6163A" w:rsidRPr="00407B28" w:rsidRDefault="47EE4892" w:rsidP="00CA0BD7">
            <w:pPr>
              <w:rPr>
                <w:rFonts w:ascii="Times New Roman" w:hAnsi="Times New Roman" w:cs="Times New Roman"/>
                <w:sz w:val="20"/>
                <w:szCs w:val="20"/>
              </w:rPr>
            </w:pPr>
            <w:r w:rsidRPr="00407B28">
              <w:rPr>
                <w:rFonts w:ascii="Times New Roman" w:hAnsi="Times New Roman" w:cs="Times New Roman"/>
                <w:sz w:val="20"/>
                <w:szCs w:val="20"/>
              </w:rPr>
              <w:t xml:space="preserve"> </w:t>
            </w:r>
            <w:r w:rsidRPr="00407B28">
              <w:rPr>
                <w:rFonts w:ascii="Times New Roman" w:eastAsia="Times New Roman" w:hAnsi="Times New Roman" w:cs="Times New Roman"/>
                <w:i/>
                <w:iCs/>
                <w:sz w:val="20"/>
                <w:szCs w:val="20"/>
              </w:rPr>
              <w:t>Dreissena polymorpha</w:t>
            </w:r>
          </w:p>
        </w:tc>
        <w:tc>
          <w:tcPr>
            <w:tcW w:w="2254" w:type="dxa"/>
          </w:tcPr>
          <w:p w14:paraId="7DEE4476" w14:textId="47618715" w:rsidR="00F6163A" w:rsidRPr="00407B28" w:rsidRDefault="47EE4892" w:rsidP="00CA0BD7">
            <w:pPr>
              <w:rPr>
                <w:rFonts w:ascii="Times New Roman" w:hAnsi="Times New Roman" w:cs="Times New Roman"/>
                <w:sz w:val="20"/>
                <w:szCs w:val="20"/>
              </w:rPr>
            </w:pPr>
            <w:r w:rsidRPr="00CD51A1">
              <w:rPr>
                <w:rFonts w:ascii="Times New Roman" w:hAnsi="Times New Roman" w:cs="Times New Roman"/>
                <w:sz w:val="20"/>
                <w:szCs w:val="20"/>
              </w:rPr>
              <w:t xml:space="preserve">7, 12 and 18 </w:t>
            </w:r>
            <w:r w:rsidR="00BA0E1E" w:rsidRPr="00CD51A1">
              <w:rPr>
                <w:rFonts w:ascii="Times New Roman" w:hAnsi="Times New Roman" w:cs="Times New Roman"/>
                <w:sz w:val="20"/>
                <w:szCs w:val="20"/>
              </w:rPr>
              <w:t>µ</w:t>
            </w:r>
            <w:r w:rsidRPr="00CD51A1">
              <w:rPr>
                <w:rFonts w:ascii="Times New Roman" w:hAnsi="Times New Roman" w:cs="Times New Roman"/>
                <w:sz w:val="20"/>
                <w:szCs w:val="20"/>
              </w:rPr>
              <w:t xml:space="preserve">g/L for </w:t>
            </w:r>
            <w:r w:rsidR="00152510" w:rsidRPr="00CD51A1">
              <w:rPr>
                <w:rFonts w:ascii="Times New Roman" w:hAnsi="Times New Roman" w:cs="Times New Roman"/>
                <w:sz w:val="20"/>
                <w:szCs w:val="20"/>
              </w:rPr>
              <w:t>1 days</w:t>
            </w:r>
          </w:p>
        </w:tc>
        <w:tc>
          <w:tcPr>
            <w:tcW w:w="2254" w:type="dxa"/>
          </w:tcPr>
          <w:p w14:paraId="38C5647E" w14:textId="5EFF4EBC" w:rsidR="00F6163A" w:rsidRPr="00407B28" w:rsidRDefault="0039094A" w:rsidP="00CA0BD7">
            <w:pPr>
              <w:rPr>
                <w:rFonts w:ascii="Times New Roman" w:hAnsi="Times New Roman" w:cs="Times New Roman"/>
                <w:sz w:val="20"/>
                <w:szCs w:val="20"/>
              </w:rPr>
            </w:pPr>
            <w:r w:rsidRPr="00CD51A1">
              <w:rPr>
                <w:rFonts w:ascii="Times New Roman" w:hAnsi="Times New Roman" w:cs="Times New Roman"/>
                <w:sz w:val="20"/>
                <w:szCs w:val="20"/>
                <w:highlight w:val="yellow"/>
              </w:rPr>
              <w:t xml:space="preserve">DNA strand breaks and oxidative lesions, specifically 8-oxo-dG, in the gill </w:t>
            </w:r>
            <w:r w:rsidR="006645A2" w:rsidRPr="00CD51A1">
              <w:rPr>
                <w:rFonts w:ascii="Times New Roman" w:hAnsi="Times New Roman" w:cs="Times New Roman"/>
                <w:sz w:val="20"/>
                <w:szCs w:val="20"/>
                <w:highlight w:val="yellow"/>
              </w:rPr>
              <w:t>cells, repaired</w:t>
            </w:r>
            <w:r w:rsidR="008D7930" w:rsidRPr="00CD51A1">
              <w:rPr>
                <w:rFonts w:ascii="Times New Roman" w:hAnsi="Times New Roman" w:cs="Times New Roman"/>
                <w:sz w:val="20"/>
                <w:szCs w:val="20"/>
                <w:highlight w:val="yellow"/>
              </w:rPr>
              <w:t xml:space="preserve"> significantly</w:t>
            </w:r>
            <w:r w:rsidR="00B85A01" w:rsidRPr="00CD51A1">
              <w:rPr>
                <w:rFonts w:ascii="Times New Roman" w:hAnsi="Times New Roman" w:cs="Times New Roman"/>
                <w:sz w:val="20"/>
                <w:szCs w:val="20"/>
                <w:highlight w:val="yellow"/>
              </w:rPr>
              <w:t>.</w:t>
            </w:r>
          </w:p>
        </w:tc>
        <w:tc>
          <w:tcPr>
            <w:tcW w:w="2254" w:type="dxa"/>
          </w:tcPr>
          <w:p w14:paraId="07AD18E8" w14:textId="3A036868" w:rsidR="00F6163A" w:rsidRPr="00407B28" w:rsidRDefault="0039094A" w:rsidP="00CA0BD7">
            <w:pPr>
              <w:jc w:val="both"/>
              <w:rPr>
                <w:rFonts w:ascii="Times New Roman" w:eastAsia="Times New Roman" w:hAnsi="Times New Roman" w:cs="Times New Roman"/>
                <w:color w:val="000000" w:themeColor="text1"/>
                <w:sz w:val="20"/>
                <w:szCs w:val="20"/>
              </w:rPr>
            </w:pPr>
            <w:r w:rsidRPr="00407B28">
              <w:rPr>
                <w:rFonts w:ascii="Times New Roman" w:eastAsia="Times New Roman" w:hAnsi="Times New Roman" w:cs="Times New Roman"/>
                <w:color w:val="000000" w:themeColor="text1"/>
                <w:sz w:val="20"/>
                <w:szCs w:val="20"/>
              </w:rPr>
              <w:fldChar w:fldCharType="begin"/>
            </w:r>
            <w:r w:rsidR="00E5454F">
              <w:rPr>
                <w:rFonts w:ascii="Times New Roman" w:eastAsia="Times New Roman" w:hAnsi="Times New Roman" w:cs="Times New Roman"/>
                <w:color w:val="000000" w:themeColor="text1"/>
                <w:sz w:val="20"/>
                <w:szCs w:val="20"/>
              </w:rPr>
              <w:instrText xml:space="preserve"> ADDIN ZOTERO_ITEM CSL_CITATION {"citationID":"htxSmG8f","properties":{"formattedCitation":"(Michel &amp; Vincent-Hubert 2015)","plainCitation":"(Michel &amp; Vincent-Hubert 2015)","noteIndex":0},"citationItems":[{"id":"r9E9mN5c/NlrEGSms","uris":["http://zotero.org/users/14468226/items/KCHLSUK2"],"itemData":{"id":6932,"type":"article-journal","abstract":"Freshwater bivalve molluscs are considered as effective indicators of environmental pollution. The comet assay allows the detection of DNA damage such as DNA strand breaks and alkali-labile sites. The main oxidative lesion, 8-oxo-7,8-dihydro-2′-deoxyguanosine (8-oxodG), which is a pre-mutagenic lesion, can be detected by the comet assay coupled with the hOGG1 DNA repair enzyme. With this modified assay we recently observed that BaP induced 8-oxodG lesions and with the modified comet-Fpg assay we observed that Cd induced oxidative DNA damage. The aim of this study was to determine the stability of DNA lesions in Cd and BaP exposed zebra mussels using the comet-hOGG1 assay. Mussels were exposed for 24 h to these two chemicals and then placed in clean water for 6 days. We observed that BaP (7, 12 and 18 µg/L) induced an increase of DNA strand break levels as soon as 6 h of exposure and that the two highest concentrations of BaP induced a low level of hOGG1-sensitive sites. After 2 days of depuration, BaP induced DNA lesions returned to the basal level, indicating an effective DNA repair. Cd (3, 32 and 81 µg/L) induced an increase of the DNA strand break levels and a low level of hOGG1-sensitive sites. This study revealed that BaP-induced DNA lesions are repaired more efficiently than Cd-induced DNA lesions. As the level of hOGG1 sensitive sites was increased in Cd and BaP exposed mussels, it seems that these chemicals induce 8-oxo-dG.","container-title":"Ecotoxicology","DOI":"10.1007/s10646-015-1536-3","ISSN":"1573-3017","issue":"9","journalAbbreviation":"Ecotoxicology","language":"en","page":"2009-2016","source":"Springer Link","title":"DNA oxidation and DNA repair in gills of zebra mussels exposed to cadmium and benzo(a)pyrene","volume":"24","author":[{"family":"Michel","given":"Cécile"},{"family":"Vincent-Hubert","given":"Françoise"}],"issued":{"date-parts":[["2015",11,1]]}}}],"schema":"https://github.com/citation-style-language/schema/raw/master/csl-citation.json"} </w:instrText>
            </w:r>
            <w:r w:rsidRPr="00407B28">
              <w:rPr>
                <w:rFonts w:ascii="Times New Roman" w:eastAsia="Times New Roman" w:hAnsi="Times New Roman" w:cs="Times New Roman"/>
                <w:color w:val="000000" w:themeColor="text1"/>
                <w:sz w:val="20"/>
                <w:szCs w:val="20"/>
              </w:rPr>
              <w:fldChar w:fldCharType="separate"/>
            </w:r>
            <w:r w:rsidR="00E5454F">
              <w:rPr>
                <w:rFonts w:ascii="Times New Roman" w:hAnsi="Times New Roman" w:cs="Times New Roman"/>
                <w:sz w:val="20"/>
                <w:szCs w:val="20"/>
              </w:rPr>
              <w:t>(Michel &amp; Vincent-Hubert 2015)</w:t>
            </w:r>
            <w:r w:rsidRPr="00407B28">
              <w:rPr>
                <w:rFonts w:ascii="Times New Roman" w:eastAsia="Times New Roman" w:hAnsi="Times New Roman" w:cs="Times New Roman"/>
                <w:color w:val="000000" w:themeColor="text1"/>
                <w:sz w:val="20"/>
                <w:szCs w:val="20"/>
              </w:rPr>
              <w:fldChar w:fldCharType="end"/>
            </w:r>
          </w:p>
        </w:tc>
      </w:tr>
      <w:tr w:rsidR="008E4A41" w:rsidRPr="006A742F" w14:paraId="6A6CFD97" w14:textId="77777777" w:rsidTr="00433211">
        <w:tc>
          <w:tcPr>
            <w:tcW w:w="2254" w:type="dxa"/>
          </w:tcPr>
          <w:p w14:paraId="72F37CF0" w14:textId="35F32D9E" w:rsidR="008E4A41" w:rsidRPr="00407B28" w:rsidRDefault="008D0176" w:rsidP="00CA0BD7">
            <w:pPr>
              <w:rPr>
                <w:rFonts w:ascii="Times New Roman" w:hAnsi="Times New Roman" w:cs="Times New Roman"/>
                <w:i/>
                <w:iCs/>
                <w:sz w:val="20"/>
                <w:szCs w:val="20"/>
              </w:rPr>
            </w:pPr>
            <w:r w:rsidRPr="00407B28">
              <w:rPr>
                <w:rFonts w:ascii="Times New Roman" w:hAnsi="Times New Roman" w:cs="Times New Roman"/>
                <w:i/>
                <w:iCs/>
                <w:sz w:val="20"/>
                <w:szCs w:val="20"/>
              </w:rPr>
              <w:t>Oryzias melastigma</w:t>
            </w:r>
          </w:p>
        </w:tc>
        <w:tc>
          <w:tcPr>
            <w:tcW w:w="2254" w:type="dxa"/>
          </w:tcPr>
          <w:p w14:paraId="020CF1B6" w14:textId="618D9BD5" w:rsidR="008E4A41" w:rsidRPr="00407B28" w:rsidRDefault="33F34E68" w:rsidP="00CA0BD7">
            <w:pPr>
              <w:rPr>
                <w:rFonts w:ascii="Times New Roman" w:hAnsi="Times New Roman" w:cs="Times New Roman"/>
                <w:sz w:val="20"/>
                <w:szCs w:val="20"/>
              </w:rPr>
            </w:pPr>
            <w:r w:rsidRPr="00CD51A1">
              <w:rPr>
                <w:rFonts w:ascii="Times New Roman" w:hAnsi="Times New Roman" w:cs="Times New Roman"/>
                <w:sz w:val="20"/>
                <w:szCs w:val="20"/>
              </w:rPr>
              <w:t>1, 4, and 8 μg/L</w:t>
            </w:r>
            <w:r w:rsidR="00BA0E1E" w:rsidRPr="00CD51A1">
              <w:rPr>
                <w:rFonts w:ascii="Times New Roman" w:hAnsi="Times New Roman" w:cs="Times New Roman"/>
                <w:sz w:val="20"/>
                <w:szCs w:val="20"/>
              </w:rPr>
              <w:t xml:space="preserve"> </w:t>
            </w:r>
            <w:r w:rsidRPr="00CD51A1">
              <w:rPr>
                <w:rFonts w:ascii="Times New Roman" w:hAnsi="Times New Roman" w:cs="Times New Roman"/>
                <w:sz w:val="20"/>
                <w:szCs w:val="20"/>
              </w:rPr>
              <w:t>for 30</w:t>
            </w:r>
            <w:r w:rsidR="00CD51A1" w:rsidRPr="00CD51A1">
              <w:rPr>
                <w:rFonts w:ascii="Times New Roman" w:hAnsi="Times New Roman" w:cs="Times New Roman"/>
                <w:sz w:val="20"/>
                <w:szCs w:val="20"/>
              </w:rPr>
              <w:t xml:space="preserve"> </w:t>
            </w:r>
            <w:r w:rsidRPr="00CD51A1">
              <w:rPr>
                <w:rFonts w:ascii="Times New Roman" w:hAnsi="Times New Roman" w:cs="Times New Roman"/>
                <w:sz w:val="20"/>
                <w:szCs w:val="20"/>
              </w:rPr>
              <w:t>days</w:t>
            </w:r>
          </w:p>
        </w:tc>
        <w:tc>
          <w:tcPr>
            <w:tcW w:w="2254" w:type="dxa"/>
          </w:tcPr>
          <w:p w14:paraId="45A18399" w14:textId="5934EE2B" w:rsidR="008E4A41" w:rsidRPr="00407B28" w:rsidRDefault="00637C4E" w:rsidP="00CA0BD7">
            <w:pPr>
              <w:rPr>
                <w:rFonts w:ascii="Times New Roman" w:hAnsi="Times New Roman" w:cs="Times New Roman"/>
                <w:sz w:val="20"/>
                <w:szCs w:val="20"/>
              </w:rPr>
            </w:pPr>
            <w:r>
              <w:rPr>
                <w:rFonts w:ascii="Times New Roman" w:hAnsi="Times New Roman" w:cs="Times New Roman"/>
                <w:sz w:val="20"/>
                <w:szCs w:val="20"/>
              </w:rPr>
              <w:t>A</w:t>
            </w:r>
            <w:r w:rsidR="008E4A41" w:rsidRPr="00407B28">
              <w:rPr>
                <w:rFonts w:ascii="Times New Roman" w:hAnsi="Times New Roman" w:cs="Times New Roman"/>
                <w:sz w:val="20"/>
                <w:szCs w:val="20"/>
              </w:rPr>
              <w:t xml:space="preserve">poptosis-related genes like </w:t>
            </w:r>
            <w:r w:rsidR="00CD51A1" w:rsidRPr="00CD51A1">
              <w:rPr>
                <w:rFonts w:ascii="Times New Roman" w:hAnsi="Times New Roman" w:cs="Times New Roman"/>
                <w:i/>
                <w:iCs/>
                <w:sz w:val="20"/>
                <w:szCs w:val="20"/>
                <w:highlight w:val="yellow"/>
              </w:rPr>
              <w:t>DIABLO,APAF1,CASP9 and CASP9.</w:t>
            </w:r>
          </w:p>
        </w:tc>
        <w:tc>
          <w:tcPr>
            <w:tcW w:w="2254" w:type="dxa"/>
          </w:tcPr>
          <w:p w14:paraId="60424C10" w14:textId="242251A4" w:rsidR="008E4A41" w:rsidRPr="00407B28" w:rsidRDefault="00D93073" w:rsidP="00CA0BD7">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{"citationID":"67ZLXhCB","properties":{"formattedCitation":"(Zeb et al. 2024)","plainCitation":"(Zeb et al. 2024)","noteIndex":0},"citationItems":[{"id":"r9E9mN5c/EjVMwJJ9","uris":["http://zotero.org/users/14468226/items/4JK6DJ67"],"itemData":{"id":6551,"type":"article-journal","abstract":"Polycyclic aromatic hydrocarbons (PAHs) accumulate and integrate into aquatic environments, raising concerns about the well-being and safety of aquatic ecosystems. Benzo[a]pyrene (BaP), a persistent PAH commonly detected in the environment, has been extensively studied. However, the broader multifaceted toxicity potential of BaP on the early life stages of marine fish during chronic exposure to environmentally relevant concentrations needs further exploration. To fill these knowledge gaps, this study assessed the in vivo biotoxicity of BaP (1, 4, and 8 μg/L) in marine medaka (Oryzias melastigma) during early development over a 30-day exposure period. The investigation included morphological, biochemical, and molecular-level analyses to capture the broader potential of BaP toxicity. Morphological analyses showed that exposure to BaP resulted in skeletal curvatures, heart anomalies, growth retardation, elevated mortality, delayed and reduced hatching rates. Biochemical analyses revealed that BaP exposure not only created oxidative stress but also disrupted the activities of antioxidant enzymes. This disturbance in redox balance was further explored by molecular level investigation. The transcriptional profiles revealed impaired oxidative phosphorylation (OXPHOS) and tricarboxylic acid (TCA) cycle pathways, which potentially inhibited the oxidative respiratory chain in fish following exposure to BaP, and reduced the production of adenosine triphosphate (ATP) and succinate dehydrogenase (SDH). Furthermore, this investigation indicated a potential connection to apoptosis, as demonstrated by fluorescence microscopy and histological analyses, and supported by an increase in the expression levels of related genes via real-time quantitative PCR. This study enhances our understanding of the molecular-level impacts of BaP’s multifaceted toxicity in the early life stages of marine medaka, and the associated risks.","container-title":"Aquatic Toxicology","DOI":"10.1016/j.aquatox.2024.107016","ISSN":"0166445X","journalAbbreviation":"Aquatic Toxicology","language":"en","page":"107016","source":"DOI.org (Crossref)","title":"Chronic exposure to environmental concentrations of benzo[a]pyrene causes multifaceted toxic effects of developmental compromise, redox imbalance, and modulated transcriptional profiles in the early life stages of marine medaka (Oryzias melastigma)","volume":"273","author":[{"family":"Zeb","given":"Rabia"},{"family":"Yin","given":"Xiaohan"},{"family":"Chen","given":"Fangyi"},{"family":"Wang","given":"Ke-Jian"}],"issued":{"date-parts":[["2024",8]]}}}],"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(Zeb et al. 2024)</w:t>
            </w:r>
            <w:r w:rsidRPr="00407B28">
              <w:rPr>
                <w:rFonts w:ascii="Times New Roman" w:eastAsia="Times New Roman" w:hAnsi="Times New Roman" w:cs="Times New Roman"/>
                <w:sz w:val="20"/>
                <w:szCs w:val="20"/>
                <w:lang w:val="en-US"/>
              </w:rPr>
              <w:fldChar w:fldCharType="end"/>
            </w:r>
          </w:p>
        </w:tc>
      </w:tr>
      <w:tr w:rsidR="004A3004" w:rsidRPr="006A742F" w14:paraId="3D8FFDE1" w14:textId="77777777" w:rsidTr="00433211">
        <w:tc>
          <w:tcPr>
            <w:tcW w:w="2254" w:type="dxa"/>
          </w:tcPr>
          <w:p w14:paraId="27090EE2" w14:textId="4BB720D5" w:rsidR="004A3004" w:rsidRPr="00407B28" w:rsidRDefault="118ABCCC" w:rsidP="00CA0BD7">
            <w:pPr>
              <w:rPr>
                <w:rFonts w:ascii="Times New Roman" w:hAnsi="Times New Roman" w:cs="Times New Roman"/>
                <w:i/>
                <w:iCs/>
                <w:sz w:val="20"/>
                <w:szCs w:val="20"/>
              </w:rPr>
            </w:pPr>
            <w:r w:rsidRPr="00407B28">
              <w:rPr>
                <w:rFonts w:ascii="Times New Roman" w:hAnsi="Times New Roman" w:cs="Times New Roman"/>
                <w:i/>
                <w:iCs/>
                <w:sz w:val="20"/>
                <w:szCs w:val="20"/>
              </w:rPr>
              <w:t>Acipenser ruthenus</w:t>
            </w:r>
            <w:r w:rsidR="4A36D359" w:rsidRPr="00407B28">
              <w:rPr>
                <w:rFonts w:ascii="Times New Roman" w:hAnsi="Times New Roman" w:cs="Times New Roman"/>
                <w:i/>
                <w:iCs/>
                <w:sz w:val="20"/>
                <w:szCs w:val="20"/>
              </w:rPr>
              <w:t xml:space="preserve"> </w:t>
            </w:r>
            <w:r w:rsidR="33C1BDC0" w:rsidRPr="00407B28">
              <w:rPr>
                <w:rFonts w:ascii="Times New Roman" w:hAnsi="Times New Roman" w:cs="Times New Roman"/>
                <w:i/>
                <w:iCs/>
                <w:sz w:val="20"/>
                <w:szCs w:val="20"/>
              </w:rPr>
              <w:t xml:space="preserve"> </w:t>
            </w:r>
            <w:r w:rsidR="5997E9D5" w:rsidRPr="00407B28">
              <w:rPr>
                <w:rFonts w:ascii="Times New Roman" w:hAnsi="Times New Roman" w:cs="Times New Roman"/>
                <w:i/>
                <w:iCs/>
                <w:sz w:val="20"/>
                <w:szCs w:val="20"/>
              </w:rPr>
              <w:t xml:space="preserve"> </w:t>
            </w:r>
          </w:p>
        </w:tc>
        <w:tc>
          <w:tcPr>
            <w:tcW w:w="2254" w:type="dxa"/>
          </w:tcPr>
          <w:p w14:paraId="218CB212" w14:textId="5EA1C38F" w:rsidR="004A3004" w:rsidRPr="00407B28" w:rsidRDefault="47EE4892" w:rsidP="33F34E68">
            <w:pPr>
              <w:rPr>
                <w:rFonts w:ascii="Times New Roman" w:hAnsi="Times New Roman" w:cs="Times New Roman"/>
                <w:sz w:val="20"/>
                <w:szCs w:val="20"/>
              </w:rPr>
            </w:pPr>
            <w:r w:rsidRPr="00CD51A1">
              <w:rPr>
                <w:rFonts w:ascii="Times New Roman" w:eastAsia="Times New Roman" w:hAnsi="Times New Roman" w:cs="Times New Roman"/>
                <w:sz w:val="20"/>
                <w:szCs w:val="20"/>
              </w:rPr>
              <w:t>1 μM</w:t>
            </w:r>
            <w:r w:rsidR="00BA0E1E" w:rsidRPr="00CD51A1">
              <w:rPr>
                <w:rFonts w:ascii="Times New Roman" w:eastAsia="Times New Roman" w:hAnsi="Times New Roman" w:cs="Times New Roman"/>
                <w:sz w:val="20"/>
                <w:szCs w:val="20"/>
              </w:rPr>
              <w:t xml:space="preserve"> </w:t>
            </w:r>
            <w:r w:rsidRPr="00CD51A1">
              <w:rPr>
                <w:rFonts w:ascii="Times New Roman" w:eastAsia="Times New Roman" w:hAnsi="Times New Roman" w:cs="Times New Roman"/>
                <w:sz w:val="20"/>
                <w:szCs w:val="20"/>
              </w:rPr>
              <w:t>for 8</w:t>
            </w:r>
            <w:r w:rsidR="00CD51A1" w:rsidRPr="00CD51A1">
              <w:rPr>
                <w:rFonts w:ascii="Times New Roman" w:eastAsia="Times New Roman" w:hAnsi="Times New Roman" w:cs="Times New Roman"/>
                <w:sz w:val="20"/>
                <w:szCs w:val="20"/>
              </w:rPr>
              <w:t xml:space="preserve"> </w:t>
            </w:r>
            <w:r w:rsidRPr="00CD51A1">
              <w:rPr>
                <w:rFonts w:ascii="Times New Roman" w:eastAsia="Times New Roman" w:hAnsi="Times New Roman" w:cs="Times New Roman"/>
                <w:sz w:val="20"/>
                <w:szCs w:val="20"/>
              </w:rPr>
              <w:t>days</w:t>
            </w:r>
            <w:r w:rsidRPr="00407B28">
              <w:rPr>
                <w:rFonts w:ascii="Times New Roman" w:eastAsia="Times New Roman" w:hAnsi="Times New Roman" w:cs="Times New Roman"/>
                <w:sz w:val="20"/>
                <w:szCs w:val="20"/>
              </w:rPr>
              <w:t xml:space="preserve"> </w:t>
            </w:r>
          </w:p>
        </w:tc>
        <w:tc>
          <w:tcPr>
            <w:tcW w:w="2254" w:type="dxa"/>
          </w:tcPr>
          <w:p w14:paraId="2D981855" w14:textId="10637D19" w:rsidR="004A3004" w:rsidRPr="00CD51A1" w:rsidRDefault="007C2050" w:rsidP="00CA0BD7">
            <w:pPr>
              <w:rPr>
                <w:rFonts w:ascii="Times New Roman" w:hAnsi="Times New Roman" w:cs="Times New Roman"/>
                <w:sz w:val="20"/>
                <w:szCs w:val="20"/>
                <w:highlight w:val="yellow"/>
              </w:rPr>
            </w:pPr>
            <w:r w:rsidRPr="00CD51A1">
              <w:rPr>
                <w:rFonts w:ascii="Times New Roman" w:hAnsi="Times New Roman" w:cs="Times New Roman"/>
                <w:sz w:val="20"/>
                <w:szCs w:val="20"/>
                <w:highlight w:val="yellow"/>
              </w:rPr>
              <w:t xml:space="preserve">Enhanced embryonic DNA repair capacity </w:t>
            </w:r>
            <w:r w:rsidR="00B85A01" w:rsidRPr="00CD51A1">
              <w:rPr>
                <w:rFonts w:ascii="Times New Roman" w:hAnsi="Times New Roman" w:cs="Times New Roman"/>
                <w:sz w:val="20"/>
                <w:szCs w:val="20"/>
                <w:highlight w:val="yellow"/>
              </w:rPr>
              <w:t xml:space="preserve">marked by </w:t>
            </w:r>
            <w:r w:rsidRPr="00CD51A1">
              <w:rPr>
                <w:rFonts w:ascii="Times New Roman" w:hAnsi="Times New Roman" w:cs="Times New Roman"/>
                <w:sz w:val="20"/>
                <w:szCs w:val="20"/>
                <w:highlight w:val="yellow"/>
              </w:rPr>
              <w:t>elevated NER and BER activities</w:t>
            </w:r>
            <w:r w:rsidR="00B85A01" w:rsidRPr="00CD51A1">
              <w:rPr>
                <w:rFonts w:ascii="Times New Roman" w:hAnsi="Times New Roman" w:cs="Times New Roman"/>
                <w:sz w:val="20"/>
                <w:szCs w:val="20"/>
                <w:highlight w:val="yellow"/>
              </w:rPr>
              <w:t>.</w:t>
            </w:r>
          </w:p>
        </w:tc>
        <w:tc>
          <w:tcPr>
            <w:tcW w:w="2254" w:type="dxa"/>
          </w:tcPr>
          <w:p w14:paraId="3EEA4CC5" w14:textId="087C4E81" w:rsidR="004A3004" w:rsidRPr="00407B28" w:rsidRDefault="00EC7B30" w:rsidP="000A1EE6">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{"citationID":"fmhajj7a","properties":{"formattedCitation":"(Gazo et al. 2020)","plainCitation":"(Gazo et al. 2020)","noteIndex":0},"citationItems":[{"id":"r9E9mN5c/JG12cHcp","uris":["http://zotero.org/users/14468226/items/B78QGZNA"],"itemData":{"id":6719,"type":"article-journal","abstract":"DNA damage caused by exogenous or endogenous factors is a common challenge for developing fish embryos. DNA damage repair (DDR) pathways help organisms minimize adverse effects of DNA alterations. In terms of DNA repair mechanisms, sturgeons represent a particularly interesting model due to their exceptional genome plasticity. Sterlet (Acipenser ruthenus) is a relatively small species of sturgeon. The goal of this study was to assess the sensitivity of sterlet embryos to model genotoxicants (camptothecin, etoposide, and benzo[a]pyrene), and to assess DDR responses. We assessed the effects of genotoxicants on embryo survival, hatching rate, DNA fragmentation, gene expression, and phosphorylation of H2AX and ATM kinase. Exposure of sterlet embryos to 1 µM benzo[a]pyrene induced low levels of DNA damage accompanied by ATM phosphorylation and xpc gene expression. Conversely, 20 µM etoposide exposure induced DNA damage without activation of known DDR pathways. Effects of 10 nM camptothecin on embryo development were stage-specific, with early stages, before gastrulation, being most sensitive. Overall, this study provides foundational information for future investigation of sterlet DDR pathways.","container-title":"International Journal of Molecular Sciences","DOI":"10.3390/ijms22010006","ISSN":"1422-0067","issue":"1","journalAbbreviation":"Int J Mol Sci","language":"eng","note":"PMID: 33374934\nPMCID: PMC7792610","page":"6","source":"PubMed","title":"Ancient Sturgeons Possess Effective DNA Repair Mechanisms: Influence of Model Genotoxicants on Embryo Development of Sterlet, Acipenser ruthenus","title-short":"Ancient Sturgeons Possess Effective DNA Repair Mechanisms","volume":"22","author":[{"family":"Gazo","given":"Ievgeniia"},{"family":"Franěk","given":"Roman"},{"family":"Šindelka","given":"Radek"},{"family":"Lebeda","given":"Ievgen"},{"family":"Shivaramu","given":"Sahana"},{"family":"Pšenička","given":"Martin"},{"family":"Steinbach","given":"Christoph"}],"issued":{"date-parts":[["2020",12,22]]}}}],"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(Gazo et al. 2020)</w:t>
            </w:r>
            <w:r w:rsidRPr="00407B28">
              <w:rPr>
                <w:rFonts w:ascii="Times New Roman" w:eastAsia="Times New Roman" w:hAnsi="Times New Roman" w:cs="Times New Roman"/>
                <w:sz w:val="20"/>
                <w:szCs w:val="20"/>
                <w:lang w:val="en-US"/>
              </w:rPr>
              <w:fldChar w:fldCharType="end"/>
            </w:r>
          </w:p>
        </w:tc>
      </w:tr>
      <w:tr w:rsidR="004A3004" w:rsidRPr="006A742F" w14:paraId="3626B433" w14:textId="77777777" w:rsidTr="00433211">
        <w:tc>
          <w:tcPr>
            <w:tcW w:w="2254" w:type="dxa"/>
          </w:tcPr>
          <w:p w14:paraId="580B722F" w14:textId="20BFEA9A" w:rsidR="004A3004" w:rsidRPr="00407B28" w:rsidRDefault="578B05B6" w:rsidP="00CA0BD7">
            <w:pPr>
              <w:rPr>
                <w:rFonts w:ascii="Times New Roman" w:hAnsi="Times New Roman" w:cs="Times New Roman"/>
                <w:i/>
                <w:iCs/>
                <w:sz w:val="20"/>
                <w:szCs w:val="20"/>
              </w:rPr>
            </w:pPr>
            <w:r w:rsidRPr="00407B28">
              <w:rPr>
                <w:rFonts w:ascii="Times New Roman" w:hAnsi="Times New Roman" w:cs="Times New Roman"/>
                <w:i/>
                <w:iCs/>
                <w:sz w:val="20"/>
                <w:szCs w:val="20"/>
              </w:rPr>
              <w:t>Oryzias melastigma</w:t>
            </w:r>
          </w:p>
        </w:tc>
        <w:tc>
          <w:tcPr>
            <w:tcW w:w="2254" w:type="dxa"/>
          </w:tcPr>
          <w:p w14:paraId="4A285FEC" w14:textId="7ED82561" w:rsidR="004A3004" w:rsidRPr="00407B28" w:rsidRDefault="33F34E68" w:rsidP="33F34E68">
            <w:pPr>
              <w:rPr>
                <w:rFonts w:ascii="Times New Roman" w:hAnsi="Times New Roman" w:cs="Times New Roman"/>
                <w:sz w:val="20"/>
                <w:szCs w:val="20"/>
                <w:highlight w:val="yellow"/>
              </w:rPr>
            </w:pPr>
            <w:r w:rsidRPr="00CD51A1">
              <w:rPr>
                <w:rFonts w:ascii="Times New Roman" w:hAnsi="Times New Roman" w:cs="Times New Roman"/>
                <w:sz w:val="20"/>
                <w:szCs w:val="20"/>
              </w:rPr>
              <w:t>0.001, 0.01, 0.1, 1, 2, 5, 10, 20 μg/</w:t>
            </w:r>
            <w:r w:rsidR="00BA0E1E" w:rsidRPr="00CD51A1">
              <w:rPr>
                <w:rFonts w:ascii="Times New Roman" w:hAnsi="Times New Roman" w:cs="Times New Roman"/>
                <w:sz w:val="20"/>
                <w:szCs w:val="20"/>
              </w:rPr>
              <w:t>L</w:t>
            </w:r>
            <w:r w:rsidRPr="00CD51A1">
              <w:rPr>
                <w:rFonts w:ascii="Times New Roman" w:hAnsi="Times New Roman" w:cs="Times New Roman"/>
                <w:sz w:val="20"/>
                <w:szCs w:val="20"/>
              </w:rPr>
              <w:t xml:space="preserve"> for </w:t>
            </w:r>
            <w:r w:rsidR="00437164" w:rsidRPr="00CD51A1">
              <w:rPr>
                <w:rFonts w:ascii="Times New Roman" w:hAnsi="Times New Roman" w:cs="Times New Roman"/>
                <w:sz w:val="20"/>
                <w:szCs w:val="20"/>
              </w:rPr>
              <w:t>7</w:t>
            </w:r>
            <w:r w:rsidR="00CD51A1" w:rsidRPr="00CD51A1">
              <w:rPr>
                <w:rFonts w:ascii="Times New Roman" w:hAnsi="Times New Roman" w:cs="Times New Roman"/>
                <w:sz w:val="20"/>
                <w:szCs w:val="20"/>
              </w:rPr>
              <w:t xml:space="preserve"> </w:t>
            </w:r>
            <w:r w:rsidR="00437164" w:rsidRPr="00CD51A1">
              <w:rPr>
                <w:rFonts w:ascii="Times New Roman" w:hAnsi="Times New Roman" w:cs="Times New Roman"/>
                <w:sz w:val="20"/>
                <w:szCs w:val="20"/>
              </w:rPr>
              <w:t>days</w:t>
            </w:r>
          </w:p>
        </w:tc>
        <w:tc>
          <w:tcPr>
            <w:tcW w:w="2254" w:type="dxa"/>
          </w:tcPr>
          <w:p w14:paraId="09F4BB54" w14:textId="77BB141B" w:rsidR="004A3004" w:rsidRPr="00CD51A1" w:rsidRDefault="00275FFF" w:rsidP="00CA0BD7">
            <w:pPr>
              <w:rPr>
                <w:rFonts w:ascii="Times New Roman" w:hAnsi="Times New Roman" w:cs="Times New Roman"/>
                <w:sz w:val="20"/>
                <w:szCs w:val="20"/>
                <w:highlight w:val="yellow"/>
              </w:rPr>
            </w:pPr>
            <w:r w:rsidRPr="00CD51A1">
              <w:rPr>
                <w:rFonts w:ascii="Times New Roman" w:hAnsi="Times New Roman" w:cs="Times New Roman"/>
                <w:sz w:val="20"/>
                <w:szCs w:val="20"/>
                <w:highlight w:val="yellow"/>
              </w:rPr>
              <w:t xml:space="preserve">Increased </w:t>
            </w:r>
            <w:r w:rsidR="00DF5AAA" w:rsidRPr="00CD51A1">
              <w:rPr>
                <w:rFonts w:ascii="Times New Roman" w:hAnsi="Times New Roman" w:cs="Times New Roman"/>
                <w:sz w:val="20"/>
                <w:szCs w:val="20"/>
                <w:highlight w:val="yellow"/>
              </w:rPr>
              <w:t>tail movement a</w:t>
            </w:r>
            <w:r w:rsidR="0050315A" w:rsidRPr="00CD51A1">
              <w:rPr>
                <w:rFonts w:ascii="Times New Roman" w:hAnsi="Times New Roman" w:cs="Times New Roman"/>
                <w:sz w:val="20"/>
                <w:szCs w:val="20"/>
                <w:highlight w:val="yellow"/>
              </w:rPr>
              <w:t xml:space="preserve">ccompanied by a </w:t>
            </w:r>
            <w:r w:rsidR="00DF5AAA" w:rsidRPr="00CD51A1">
              <w:rPr>
                <w:rFonts w:ascii="Times New Roman" w:hAnsi="Times New Roman" w:cs="Times New Roman"/>
                <w:sz w:val="20"/>
                <w:szCs w:val="20"/>
                <w:highlight w:val="yellow"/>
              </w:rPr>
              <w:t>percent tail DNA</w:t>
            </w:r>
            <w:r w:rsidR="00B85A01" w:rsidRPr="00CD51A1">
              <w:rPr>
                <w:rFonts w:ascii="Times New Roman" w:hAnsi="Times New Roman" w:cs="Times New Roman"/>
                <w:sz w:val="20"/>
                <w:szCs w:val="20"/>
                <w:highlight w:val="yellow"/>
              </w:rPr>
              <w:t>.</w:t>
            </w:r>
          </w:p>
        </w:tc>
        <w:tc>
          <w:tcPr>
            <w:tcW w:w="2254" w:type="dxa"/>
          </w:tcPr>
          <w:p w14:paraId="0CC329C9" w14:textId="78503AC7" w:rsidR="004A3004" w:rsidRPr="00407B28" w:rsidRDefault="004E3978" w:rsidP="000A1EE6">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E5454F">
              <w:rPr>
                <w:rFonts w:ascii="Times New Roman" w:eastAsia="Times New Roman" w:hAnsi="Times New Roman" w:cs="Times New Roman"/>
                <w:sz w:val="20"/>
                <w:szCs w:val="20"/>
                <w:lang w:val="en-US"/>
              </w:rPr>
              <w:instrText xml:space="preserve"> ADDIN ZOTERO_ITEM CSL_CITATION {"citationID":"nNBqs6nF","properties":{"formattedCitation":"(Nam et al. 2020)","plainCitation":"(Nam et al. 2020)","noteIndex":0},"citationItems":[{"id":"r9E9mN5c/kEowpbfx","uris":["http://zotero.org/users/14468226/items/YSIRM4NV"],"itemData":{"id":6928,"type":"article-journal","abstract":"Embryos from the marine medaka fish Oryzias javanicus were treated with eight concentrations of benzo[a]pyrene (BaP) (0.001, 0.01, 0.1, 1, 2, 5, 10, or 20 μg L-–1) after they had been fertilized. Significant mortality and hatching delays were detected in embryos that had been exposed to 10 and 20 μg L−1 BaP for 4 weeks. The mortality rate after hatching was higher in the medaka that had been previously exposed to &gt; 2 μg L−1 BaP. Significant elevations in intracellular reactive oxygen species and malondialdehyde contents were measured and the mRNA expressions of the antioxidant defense system genes (gst, sod, cat, and gpx) increased in the embryos exposed to 10 and 20 μg L−1 BaP for 1 week. The hsp70, ahr, and cyp1a transcriptional responses were also significantly upregulated in the exposed groups after 1 week. The alterations to the in vivo parameters and molecular components suggested that waterborne BaP had a toxic effect on marine medaka embryos. Finally, fin defects, spinal curvature, and cardiac edema were highly induced when the embryos were exposed to &gt; 5 μg L−1 BaP.","container-title":"Journal of Environmental Science and Health, Part A","DOI":"10.1080/10934529.2020.1767452","ISSN":"1093-4529","issue":"9","note":"publisher: Taylor &amp; Francis\n_eprint: https://doi.org/10.1080/10934529.2020.1767452\nPMID: 32427057","page":"1050-1058","source":"Taylor and Francis+NEJM","title":"Benzo[a]pyrene constrains embryo development via oxidative stress induction and modulates the transcriptional responses of molecular biomarkers in the marine medaka Oryzias javanicus","volume":"55","author":[{"family":"Nam","given":"Sang-Eun"},{"family":"Saravanan","given":"Manoharan"},{"family":"Rhee","given":"Jae-Sung"}],"issued":{"date-parts":[["2020",7,28]]}}}],"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5454F">
              <w:rPr>
                <w:rFonts w:ascii="Times New Roman" w:hAnsi="Times New Roman" w:cs="Times New Roman"/>
                <w:sz w:val="20"/>
                <w:szCs w:val="20"/>
              </w:rPr>
              <w:t>(Nam et al. 2020)</w:t>
            </w:r>
            <w:r w:rsidRPr="00407B28">
              <w:rPr>
                <w:rFonts w:ascii="Times New Roman" w:eastAsia="Times New Roman" w:hAnsi="Times New Roman" w:cs="Times New Roman"/>
                <w:sz w:val="20"/>
                <w:szCs w:val="20"/>
                <w:lang w:val="en-US"/>
              </w:rPr>
              <w:fldChar w:fldCharType="end"/>
            </w:r>
          </w:p>
        </w:tc>
      </w:tr>
    </w:tbl>
    <w:p w14:paraId="0F7B5735" w14:textId="77777777" w:rsidR="00723E45" w:rsidRDefault="00723E45" w:rsidP="000A1EE6">
      <w:pPr>
        <w:spacing w:after="0" w:line="480" w:lineRule="auto"/>
        <w:jc w:val="both"/>
        <w:rPr>
          <w:rFonts w:ascii="Times New Roman" w:eastAsia="Times New Roman" w:hAnsi="Times New Roman" w:cs="Times New Roman"/>
          <w:b/>
          <w:bCs/>
          <w:lang w:val="en-US"/>
        </w:rPr>
      </w:pPr>
    </w:p>
    <w:p w14:paraId="694578CC" w14:textId="4F2A41DA" w:rsidR="00F27069" w:rsidRDefault="00F27069" w:rsidP="000A1EE6">
      <w:pPr>
        <w:spacing w:after="0" w:line="480" w:lineRule="auto"/>
        <w:jc w:val="both"/>
        <w:rPr>
          <w:rFonts w:ascii="Times New Roman" w:eastAsia="Times New Roman" w:hAnsi="Times New Roman" w:cs="Times New Roman"/>
          <w:b/>
          <w:bCs/>
          <w:lang w:val="en-US"/>
        </w:rPr>
      </w:pPr>
    </w:p>
    <w:p w14:paraId="69F5B9A8" w14:textId="77777777" w:rsidR="00F27069" w:rsidRDefault="00F27069" w:rsidP="000A1EE6">
      <w:pPr>
        <w:spacing w:after="0" w:line="480" w:lineRule="auto"/>
        <w:jc w:val="both"/>
        <w:rPr>
          <w:rFonts w:ascii="Times New Roman" w:eastAsia="Times New Roman" w:hAnsi="Times New Roman" w:cs="Times New Roman"/>
          <w:b/>
          <w:bCs/>
          <w:lang w:val="en-US"/>
        </w:rPr>
      </w:pPr>
    </w:p>
    <w:p w14:paraId="087824E7" w14:textId="29382525" w:rsidR="00CE59A9" w:rsidRPr="000A1EE6" w:rsidRDefault="000A1EE6" w:rsidP="000A1EE6">
      <w:pPr>
        <w:spacing w:after="0" w:line="480" w:lineRule="auto"/>
        <w:jc w:val="both"/>
        <w:rPr>
          <w:rFonts w:ascii="Times New Roman" w:eastAsia="Times New Roman" w:hAnsi="Times New Roman" w:cs="Times New Roman"/>
          <w:b/>
          <w:bCs/>
          <w:lang w:val="en-US"/>
        </w:rPr>
      </w:pPr>
      <w:r w:rsidRPr="000A1EE6">
        <w:rPr>
          <w:rFonts w:ascii="Times New Roman" w:eastAsia="Times New Roman" w:hAnsi="Times New Roman" w:cs="Times New Roman"/>
          <w:b/>
          <w:bCs/>
          <w:lang w:val="en-US"/>
        </w:rPr>
        <w:t>3.</w:t>
      </w:r>
      <w:r w:rsidR="00F92ECF">
        <w:rPr>
          <w:rFonts w:ascii="Times New Roman" w:eastAsia="Times New Roman" w:hAnsi="Times New Roman" w:cs="Times New Roman"/>
          <w:b/>
          <w:bCs/>
          <w:lang w:val="en-US"/>
        </w:rPr>
        <w:t>4</w:t>
      </w:r>
      <w:r w:rsidRPr="000A1EE6">
        <w:rPr>
          <w:rFonts w:ascii="Times New Roman" w:eastAsia="Times New Roman" w:hAnsi="Times New Roman" w:cs="Times New Roman"/>
          <w:b/>
          <w:bCs/>
          <w:lang w:val="en-US"/>
        </w:rPr>
        <w:t xml:space="preserve"> </w:t>
      </w:r>
      <w:r w:rsidR="00CE59A9" w:rsidRPr="000A1EE6">
        <w:rPr>
          <w:rFonts w:ascii="Times New Roman" w:eastAsia="Times New Roman" w:hAnsi="Times New Roman" w:cs="Times New Roman"/>
          <w:b/>
          <w:bCs/>
          <w:lang w:val="en-US"/>
        </w:rPr>
        <w:t>Metabolic and Physiological Disruptions</w:t>
      </w:r>
    </w:p>
    <w:p w14:paraId="042C7129" w14:textId="1F1D2344" w:rsidR="00CE59A9" w:rsidRPr="000A1EE6" w:rsidRDefault="00AF1470"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C</w:t>
      </w:r>
      <w:r w:rsidR="00CE59A9" w:rsidRPr="000A1EE6">
        <w:rPr>
          <w:rFonts w:ascii="Times New Roman" w:eastAsia="Times New Roman" w:hAnsi="Times New Roman" w:cs="Times New Roman"/>
          <w:lang w:val="en-US"/>
        </w:rPr>
        <w:t xml:space="preserve">hronic exposure of fish to coal mining contaminants results in </w:t>
      </w:r>
      <w:r w:rsidR="001573E5">
        <w:rPr>
          <w:rFonts w:ascii="Times New Roman" w:eastAsia="Times New Roman" w:hAnsi="Times New Roman" w:cs="Times New Roman"/>
          <w:lang w:val="en-US"/>
        </w:rPr>
        <w:t xml:space="preserve">the </w:t>
      </w:r>
      <w:r w:rsidR="00CE59A9" w:rsidRPr="000A1EE6">
        <w:rPr>
          <w:rFonts w:ascii="Times New Roman" w:eastAsia="Times New Roman" w:hAnsi="Times New Roman" w:cs="Times New Roman"/>
          <w:lang w:val="en-US"/>
        </w:rPr>
        <w:t xml:space="preserve">profound </w:t>
      </w:r>
      <w:r w:rsidR="00CE59A9" w:rsidRPr="2E3070CE">
        <w:rPr>
          <w:rFonts w:ascii="Times New Roman" w:eastAsia="Times New Roman" w:hAnsi="Times New Roman" w:cs="Times New Roman"/>
          <w:lang w:val="en-US"/>
        </w:rPr>
        <w:t>disruption</w:t>
      </w:r>
      <w:r w:rsidR="00CE59A9" w:rsidRPr="000A1EE6">
        <w:rPr>
          <w:rFonts w:ascii="Times New Roman" w:eastAsia="Times New Roman" w:hAnsi="Times New Roman" w:cs="Times New Roman"/>
          <w:lang w:val="en-US"/>
        </w:rPr>
        <w:t xml:space="preserve"> of metabolic and physiological processes </w:t>
      </w:r>
      <w:r w:rsidR="00137EA4"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{"citationID":"BCFEhRTt","properties":{"formattedCitation":"(Hawkey et al. 2022, Gashkina 2024)","plainCitation":"(Hawkey et al. 2022, Gashkina 2024)","noteIndex":0},"citationItems":[{"id":"r9E9mN5c/2sbkBuiS","uris":["http://zotero.org/users/14468226/items/K6W72Z7F"],"itemData":{"id":6637,"type":"article-journal","abstract":"Metals are dispersed in natural environments, particularly in the aquatic environment, and accumulate, causing adverse effects on aquatic life. Moreover, chronic polymetallic water pollution is a common problem, and the biological effects of exposure to complex mixtures of metals are the most difficult to interpret. In this review, metal toxicity is examined with a focus on its impact on energy metabolism. Mechanisms regulating adenosine triphosphate (ATP) production and reactive oxygen species (ROS) emission are considered in their dual roles in the development of cytotoxicity and cytoprotection, and mitochondria may become target organelles of metal toxicity when the transmembrane potential is reduced below its phosphorylation level. One of the main consequences of metal toxicity is additional energy costs, and the metabolic load can lead to the disruption of oxidative metabolism and enhanced anaerobiosis.","container-title":"International Journal of Molecular Sciences","DOI":"10.3390/ijms25095015","ISSN":"1422-0067","issue":"9","journalAbbreviation":"Int J Mol Sci","language":"eng","note":"PMID: 38732234\nPMCID: PMC11084289","page":"5015","source":"PubMed","title":"Metal Toxicity: Effects on Energy Metabolism in Fish","title-short":"Metal Toxicity","volume":"25","author":[{"family":"Gashkina","given":"Natalia A."}],"issued":{"date-parts":[["2024",5,3]]}}},{"id":"r9E9mN5c/23rgRN89","uris":["http://zotero.org/users/14468226/items/Q6FBQH6V"],"itemData":{"id":6618,"type":"article-journal","abstract":"Polycyclic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D."}],"issued":{"date-parts":[["2022"]]}}}],"schema":"https://github.com/citation-style-language/schema/raw/master/csl-citation.json"} </w:instrText>
      </w:r>
      <w:r w:rsidR="00137EA4" w:rsidRPr="000A1EE6">
        <w:rPr>
          <w:rFonts w:ascii="Times New Roman" w:eastAsia="Times New Roman" w:hAnsi="Times New Roman" w:cs="Times New Roman"/>
          <w:lang w:val="en-US"/>
        </w:rPr>
        <w:fldChar w:fldCharType="separate"/>
      </w:r>
      <w:r w:rsidR="00E5454F">
        <w:rPr>
          <w:rFonts w:ascii="Times New Roman" w:hAnsi="Times New Roman" w:cs="Times New Roman"/>
        </w:rPr>
        <w:t>(Hawkey et al. 2022, Gashkina 2024)</w:t>
      </w:r>
      <w:r w:rsidR="00137EA4"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 xml:space="preserve">. Energy metabolism </w:t>
      </w:r>
      <w:r w:rsidR="005C3B51">
        <w:rPr>
          <w:rFonts w:ascii="Times New Roman" w:eastAsia="Times New Roman" w:hAnsi="Times New Roman" w:cs="Times New Roman"/>
          <w:lang w:val="en-US"/>
        </w:rPr>
        <w:t>is</w:t>
      </w:r>
      <w:r w:rsidR="00CE59A9" w:rsidRPr="000A1EE6">
        <w:rPr>
          <w:rFonts w:ascii="Times New Roman" w:eastAsia="Times New Roman" w:hAnsi="Times New Roman" w:cs="Times New Roman"/>
          <w:lang w:val="en-US"/>
        </w:rPr>
        <w:t xml:space="preserve"> a primary target of coal-derived toxicity, with multiple studies documenting decreased ATP production, altered mitochondrial function, and shifts toward anaerobic metabolism in exposed fish</w:t>
      </w:r>
      <w:r w:rsidR="00137EA4" w:rsidRPr="000A1EE6">
        <w:rPr>
          <w:rFonts w:ascii="Times New Roman" w:eastAsia="Times New Roman" w:hAnsi="Times New Roman" w:cs="Times New Roman"/>
          <w:lang w:val="en-US"/>
        </w:rPr>
        <w:t xml:space="preserve"> </w:t>
      </w:r>
      <w:r w:rsidR="00137EA4"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{"citationID":"jsAvEexL","properties":{"formattedCitation":"(Jung et al. 2009, Hawkey et al. 2022, Gashkina 2024)","plainCitation":"(Jung et al. 2009, Hawkey et al. 2022, Gashkina 2024)","noteIndex":0},"citationItems":[{"id":"r9E9mN5c/2sbkBuiS","uris":["http://zotero.org/users/14468226/items/K6W72Z7F"],"itemData":{"id":6637,"type":"article-journal","abstract":"Metals are dispersed in natural environments, particularly in the aquatic environment, and accumulate, causing adverse effects on aquatic life. Moreover, chronic polymetallic water pollution is a common problem, and the biological effects of exposure to complex mixtures of metals are the most difficult to interpret. In this review, metal toxicity is examined with a focus on its impact on energy metabolism. Mechanisms regulating adenosine triphosphate (ATP) production and reactive oxygen species (ROS) emission are considered in their dual roles in the development of cytotoxicity and cytoprotection, and mitochondria may become target organelles of metal toxicity when the transmembrane potential is reduced below its phosphorylation level. One of the main consequences of metal toxicity is additional energy costs, and the metabolic load can lead to the disruption of oxidative metabolism and enhanced anaerobiosis.","container-title":"International Journal of Molecular Sciences","DOI":"10.3390/ijms25095015","ISSN":"1422-0067","issue":"9","journalAbbreviation":"Int J Mol Sci","language":"eng","note":"PMID: 38732234\nPMCID: PMC11084289","page":"5015","source":"PubMed","title":"Metal Toxicity: Effects on Energy Metabolism in Fish","title-short":"Metal Toxicity","volume":"25","author":[{"family":"Gashkina","given":"Natalia A."}],"issued":{"date-parts":[["2024",5,3]]}}},{"id":"r9E9mN5c/23rgRN89","uris":["http://zotero.org/users/14468226/items/Q6FBQH6V"],"itemData":{"id":6618,"type":"article-journal","abstract":"Polycyclic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D."}],"issued":{"date-parts":[["2022"]]}}},{"id":"r9E9mN5c/b89uZtYb","uris":["http://zotero.org/users/14468226/items/8M44QJDN"],"itemData":{"id":6615,"type":"article-journal","abstract":"Benzo[a]pyrene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137EA4" w:rsidRPr="000A1EE6">
        <w:rPr>
          <w:rFonts w:ascii="Times New Roman" w:eastAsia="Times New Roman" w:hAnsi="Times New Roman" w:cs="Times New Roman"/>
          <w:lang w:val="en-US"/>
        </w:rPr>
        <w:fldChar w:fldCharType="separate"/>
      </w:r>
      <w:r w:rsidR="00E5454F">
        <w:rPr>
          <w:rFonts w:ascii="Times New Roman" w:hAnsi="Times New Roman" w:cs="Times New Roman"/>
        </w:rPr>
        <w:t>(Jung et al. 2009, Hawkey et al. 2022, Gashkina 2024)</w:t>
      </w:r>
      <w:r w:rsidR="00137EA4"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 xml:space="preserve">. In </w:t>
      </w:r>
      <w:r w:rsidR="00F52F4C">
        <w:rPr>
          <w:rFonts w:ascii="Times New Roman" w:eastAsia="Times New Roman" w:hAnsi="Times New Roman" w:cs="Times New Roman"/>
          <w:lang w:val="en-US"/>
        </w:rPr>
        <w:t>killifish</w:t>
      </w:r>
      <w:r w:rsidR="00CE59A9" w:rsidRPr="000A1EE6">
        <w:rPr>
          <w:rFonts w:ascii="Times New Roman" w:eastAsia="Times New Roman" w:hAnsi="Times New Roman" w:cs="Times New Roman"/>
          <w:lang w:val="en-US"/>
        </w:rPr>
        <w:t>, B</w:t>
      </w:r>
      <w:r w:rsidR="5C65B45E" w:rsidRPr="000A1EE6">
        <w:rPr>
          <w:rFonts w:ascii="Times New Roman" w:eastAsia="Times New Roman" w:hAnsi="Times New Roman" w:cs="Times New Roman"/>
          <w:lang w:val="en-US"/>
        </w:rPr>
        <w:t>[</w:t>
      </w:r>
      <w:r w:rsidR="00CE59A9" w:rsidRPr="00892C37">
        <w:rPr>
          <w:rFonts w:ascii="Times New Roman" w:eastAsia="Times New Roman" w:hAnsi="Times New Roman" w:cs="Times New Roman"/>
          <w:i/>
          <w:iCs/>
          <w:lang w:val="en-US"/>
        </w:rPr>
        <w:t>a</w:t>
      </w:r>
      <w:r w:rsidR="36E3734A" w:rsidRPr="000A1EE6">
        <w:rPr>
          <w:rFonts w:ascii="Times New Roman" w:eastAsia="Times New Roman" w:hAnsi="Times New Roman" w:cs="Times New Roman"/>
          <w:lang w:val="en-US"/>
        </w:rPr>
        <w:t>]</w:t>
      </w:r>
      <w:r w:rsidR="00CE59A9" w:rsidRPr="000A1EE6">
        <w:rPr>
          <w:rFonts w:ascii="Times New Roman" w:eastAsia="Times New Roman" w:hAnsi="Times New Roman" w:cs="Times New Roman"/>
          <w:lang w:val="en-US"/>
        </w:rPr>
        <w:t>P-induced DNA damage suggests that</w:t>
      </w:r>
      <w:r w:rsidRPr="000A1EE6">
        <w:rPr>
          <w:rFonts w:ascii="Times New Roman" w:eastAsia="Times New Roman" w:hAnsi="Times New Roman" w:cs="Times New Roman"/>
          <w:lang w:val="en-US"/>
        </w:rPr>
        <w:t xml:space="preserve"> the</w:t>
      </w:r>
      <w:r w:rsidR="00CE59A9" w:rsidRPr="000A1EE6">
        <w:rPr>
          <w:rFonts w:ascii="Times New Roman" w:eastAsia="Times New Roman" w:hAnsi="Times New Roman" w:cs="Times New Roman"/>
          <w:lang w:val="en-US"/>
        </w:rPr>
        <w:t xml:space="preserve"> mitochondrial repair capacity is inherently limited compared to nuclear repair, leading to greater mtDNA susceptibility </w:t>
      </w:r>
      <w:r w:rsidR="00137EA4"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{"citationID":"S4eNgo09","properties":{"formattedCitation":"(Jung et al. 2009)","plainCitation":"(Jung et al. 2009)","noteIndex":0},"citationItems":[{"id":"r9E9mN5c/b89uZtYb","uris":["http://zotero.org/users/14468226/items/8M44QJDN"],"itemData":{"id":6615,"type":"article-journal","abstract":"Benzo[a]pyrene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137EA4" w:rsidRPr="000A1EE6">
        <w:rPr>
          <w:rFonts w:ascii="Times New Roman" w:eastAsia="Times New Roman" w:hAnsi="Times New Roman" w:cs="Times New Roman"/>
          <w:lang w:val="en-US"/>
        </w:rPr>
        <w:fldChar w:fldCharType="separate"/>
      </w:r>
      <w:r w:rsidR="00E5454F">
        <w:rPr>
          <w:rFonts w:ascii="Times New Roman" w:hAnsi="Times New Roman" w:cs="Times New Roman"/>
        </w:rPr>
        <w:t>(Jung et al. 2009)</w:t>
      </w:r>
      <w:r w:rsidR="00137EA4"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w:t>
      </w:r>
      <w:r w:rsidR="00D06AD4" w:rsidRPr="000A1EE6">
        <w:rPr>
          <w:rFonts w:ascii="Times New Roman" w:eastAsia="Times New Roman" w:hAnsi="Times New Roman" w:cs="Times New Roman"/>
          <w:lang w:val="en-US"/>
        </w:rPr>
        <w:t xml:space="preserve"> </w:t>
      </w:r>
      <w:r w:rsidR="00CE59A9" w:rsidRPr="000A1EE6">
        <w:rPr>
          <w:rFonts w:ascii="Times New Roman" w:eastAsia="Times New Roman" w:hAnsi="Times New Roman" w:cs="Times New Roman"/>
          <w:lang w:val="en-US"/>
        </w:rPr>
        <w:t>These metabolic disruptions have cascading effects on</w:t>
      </w:r>
      <w:r w:rsidR="00696961" w:rsidRPr="000A1EE6">
        <w:rPr>
          <w:rFonts w:ascii="Times New Roman" w:eastAsia="Times New Roman" w:hAnsi="Times New Roman" w:cs="Times New Roman"/>
          <w:lang w:val="en-US"/>
        </w:rPr>
        <w:t xml:space="preserve"> the</w:t>
      </w:r>
      <w:r w:rsidR="00CE59A9" w:rsidRPr="000A1EE6">
        <w:rPr>
          <w:rFonts w:ascii="Times New Roman" w:eastAsia="Times New Roman" w:hAnsi="Times New Roman" w:cs="Times New Roman"/>
          <w:lang w:val="en-US"/>
        </w:rPr>
        <w:t xml:space="preserve"> growth, reproduction, and survival </w:t>
      </w:r>
      <w:r w:rsidR="00696961" w:rsidRPr="000A1EE6">
        <w:rPr>
          <w:rFonts w:ascii="Times New Roman" w:eastAsia="Times New Roman" w:hAnsi="Times New Roman" w:cs="Times New Roman"/>
          <w:lang w:val="en-US"/>
        </w:rPr>
        <w:t xml:space="preserve">of </w:t>
      </w:r>
      <w:r w:rsidR="006B7713">
        <w:rPr>
          <w:rFonts w:ascii="Times New Roman" w:eastAsia="Times New Roman" w:hAnsi="Times New Roman" w:cs="Times New Roman"/>
          <w:lang w:val="en-US"/>
        </w:rPr>
        <w:t xml:space="preserve">the </w:t>
      </w:r>
      <w:r w:rsidR="00CE59A9" w:rsidRPr="000A1EE6">
        <w:rPr>
          <w:rFonts w:ascii="Times New Roman" w:eastAsia="Times New Roman" w:hAnsi="Times New Roman" w:cs="Times New Roman"/>
          <w:lang w:val="en-US"/>
        </w:rPr>
        <w:t>affected populations.</w:t>
      </w:r>
    </w:p>
    <w:p w14:paraId="2415AB03" w14:textId="4A57552F" w:rsidR="00CE59A9" w:rsidRPr="000A1EE6" w:rsidRDefault="00CE59A9"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Mitochondrial dysfunction</w:t>
      </w:r>
      <w:r w:rsidR="00FE4E70" w:rsidRPr="000A1EE6">
        <w:rPr>
          <w:rFonts w:ascii="Times New Roman" w:eastAsia="Times New Roman" w:hAnsi="Times New Roman" w:cs="Times New Roman"/>
          <w:lang w:val="en-US"/>
        </w:rPr>
        <w:t xml:space="preserve"> has</w:t>
      </w:r>
      <w:r w:rsidRPr="000A1EE6">
        <w:rPr>
          <w:rFonts w:ascii="Times New Roman" w:eastAsia="Times New Roman" w:hAnsi="Times New Roman" w:cs="Times New Roman"/>
          <w:lang w:val="en-US"/>
        </w:rPr>
        <w:t xml:space="preserve"> emerge</w:t>
      </w:r>
      <w:r w:rsidR="00FE4E70" w:rsidRPr="000A1EE6">
        <w:rPr>
          <w:rFonts w:ascii="Times New Roman" w:eastAsia="Times New Roman" w:hAnsi="Times New Roman" w:cs="Times New Roman"/>
          <w:lang w:val="en-US"/>
        </w:rPr>
        <w:t>d</w:t>
      </w:r>
      <w:r w:rsidRPr="000A1EE6">
        <w:rPr>
          <w:rFonts w:ascii="Times New Roman" w:eastAsia="Times New Roman" w:hAnsi="Times New Roman" w:cs="Times New Roman"/>
          <w:lang w:val="en-US"/>
        </w:rPr>
        <w:t xml:space="preserve"> as a central theme in coal contamination</w:t>
      </w:r>
      <w:r w:rsidRPr="000A1EE6" w:rsidDel="00470C60">
        <w:rPr>
          <w:rFonts w:ascii="Times New Roman" w:eastAsia="Times New Roman" w:hAnsi="Times New Roman" w:cs="Times New Roman"/>
          <w:lang w:val="en-US"/>
        </w:rPr>
        <w:t xml:space="preserve"> </w:t>
      </w:r>
      <w:r w:rsidR="00470C60">
        <w:rPr>
          <w:rFonts w:ascii="Times New Roman" w:eastAsia="Times New Roman" w:hAnsi="Times New Roman" w:cs="Times New Roman"/>
          <w:lang w:val="en-US"/>
        </w:rPr>
        <w:t>research</w:t>
      </w:r>
      <w:r w:rsidR="00470C60" w:rsidRPr="000A1EE6">
        <w:rPr>
          <w:rFonts w:ascii="Times New Roman" w:eastAsia="Times New Roman" w:hAnsi="Times New Roman" w:cs="Times New Roman"/>
          <w:lang w:val="en-US"/>
        </w:rPr>
        <w:t xml:space="preserve"> </w:t>
      </w:r>
      <w:r w:rsidR="00F469EA"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{"citationID":"gQLzm3gQ","properties":{"formattedCitation":"(Jung et al. 2009, Hawkey et al. 2022)","plainCitation":"(Jung et al. 2009, Hawkey et al. 2022)","noteIndex":0},"citationItems":[{"id":"r9E9mN5c/23rgRN89","uris":["http://zotero.org/users/14468226/items/Q6FBQH6V"],"itemData":{"id":6618,"type":"article-journal","abstract":"Polycyclic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D."}],"issued":{"date-parts":[["2022"]]}}},{"id":"r9E9mN5c/b89uZtYb","uris":["http://zotero.org/users/14468226/items/8M44QJDN"],"itemData":{"id":6615,"type":"article-journal","abstract":"Benzo[a]pyrene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F469EA" w:rsidRPr="000A1EE6">
        <w:rPr>
          <w:rFonts w:ascii="Times New Roman" w:eastAsia="Times New Roman" w:hAnsi="Times New Roman" w:cs="Times New Roman"/>
          <w:lang w:val="en-US"/>
        </w:rPr>
        <w:fldChar w:fldCharType="separate"/>
      </w:r>
      <w:r w:rsidR="00E5454F">
        <w:rPr>
          <w:rFonts w:ascii="Times New Roman" w:hAnsi="Times New Roman" w:cs="Times New Roman"/>
        </w:rPr>
        <w:t>(Jung et al. 2009, Hawkey et al. 2022)</w:t>
      </w:r>
      <w:r w:rsidR="00F469EA"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PAHs and heavy metals directly target mitochondrial membranes and enzymes, leading to </w:t>
      </w:r>
      <w:r w:rsidR="00C308FA">
        <w:rPr>
          <w:rFonts w:ascii="Times New Roman" w:eastAsia="Times New Roman" w:hAnsi="Times New Roman" w:cs="Times New Roman"/>
          <w:lang w:val="en-US"/>
        </w:rPr>
        <w:t xml:space="preserve">a </w:t>
      </w:r>
      <w:r w:rsidRPr="000A1EE6">
        <w:rPr>
          <w:rFonts w:ascii="Times New Roman" w:eastAsia="Times New Roman" w:hAnsi="Times New Roman" w:cs="Times New Roman"/>
          <w:lang w:val="en-US"/>
        </w:rPr>
        <w:t>decreased respiratory chain efficiency and increased ROS production</w:t>
      </w:r>
      <w:r w:rsidR="00F469EA" w:rsidRPr="000A1EE6">
        <w:rPr>
          <w:rFonts w:ascii="Times New Roman" w:eastAsia="Times New Roman" w:hAnsi="Times New Roman" w:cs="Times New Roman"/>
          <w:lang w:val="en-US"/>
        </w:rPr>
        <w:t xml:space="preserve"> </w:t>
      </w:r>
      <w:r w:rsidR="00F469EA"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{"citationID":"qAqD7MtG","properties":{"formattedCitation":"(Gashkina 2024)","plainCitation":"(Gashkina 2024)","noteIndex":0},"citationItems":[{"id":"r9E9mN5c/2sbkBuiS","uris":["http://zotero.org/users/14468226/items/K6W72Z7F"],"itemData":{"id":6637,"type":"article-journal","abstract":"Metals are dispersed in natural environments, particularly in the aquatic environment, and accumulate, causing adverse effects on aquatic life. Moreover, chronic polymetallic water pollution is a common problem, and the biological effects of exposure to complex mixtures of metals are the most difficult to interpret. In this review, metal toxicity is examined with a focus on its impact on energy metabolism. Mechanisms regulating adenosine triphosphate (ATP) production and reactive oxygen species (ROS) emission are considered in their dual roles in the development of cytotoxicity and cytoprotection, and mitochondria may become target organelles of metal toxicity when the transmembrane potential is reduced below its phosphorylation level. One of the main consequences of metal toxicity is additional energy costs, and the metabolic load can lead to the disruption of oxidative metabolism and enhanced anaerobiosis.","container-title":"International Journal of Molecular Sciences","DOI":"10.3390/ijms25095015","ISSN":"1422-0067","issue":"9","journalAbbreviation":"Int J Mol Sci","language":"eng","note":"PMID: 38732234\nPMCID: PMC11084289","page":"5015","source":"PubMed","title":"Metal Toxicity: Effects on Energy Metabolism in Fish","title-short":"Metal Toxicity","volume":"25","author":[{"family":"Gashkina","given":"Natalia A."}],"issued":{"date-parts":[["2024",5,3]]}}}],"schema":"https://github.com/citation-style-language/schema/raw/master/csl-citation.json"} </w:instrText>
      </w:r>
      <w:r w:rsidR="00F469EA" w:rsidRPr="000A1EE6">
        <w:rPr>
          <w:rFonts w:ascii="Times New Roman" w:eastAsia="Times New Roman" w:hAnsi="Times New Roman" w:cs="Times New Roman"/>
          <w:lang w:val="en-US"/>
        </w:rPr>
        <w:fldChar w:fldCharType="separate"/>
      </w:r>
      <w:r w:rsidR="00E5454F">
        <w:rPr>
          <w:rFonts w:ascii="Times New Roman" w:hAnsi="Times New Roman" w:cs="Times New Roman"/>
        </w:rPr>
        <w:t>(Gashkina 2024)</w:t>
      </w:r>
      <w:r w:rsidR="00F469EA"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Studies o</w:t>
      </w:r>
      <w:r w:rsidR="00062102" w:rsidRPr="000A1EE6">
        <w:rPr>
          <w:rFonts w:ascii="Times New Roman" w:eastAsia="Times New Roman" w:hAnsi="Times New Roman" w:cs="Times New Roman"/>
          <w:lang w:val="en-US"/>
        </w:rPr>
        <w:t>n</w:t>
      </w:r>
      <w:r w:rsidRPr="000A1EE6">
        <w:rPr>
          <w:rFonts w:ascii="Times New Roman" w:eastAsia="Times New Roman" w:hAnsi="Times New Roman" w:cs="Times New Roman"/>
          <w:lang w:val="en-US"/>
        </w:rPr>
        <w:t xml:space="preserve"> </w:t>
      </w:r>
      <w:r w:rsidR="004A1373">
        <w:rPr>
          <w:rFonts w:ascii="Times New Roman" w:eastAsia="Times New Roman" w:hAnsi="Times New Roman" w:cs="Times New Roman"/>
          <w:lang w:val="en-US"/>
        </w:rPr>
        <w:t>aging</w:t>
      </w:r>
      <w:r w:rsidRPr="000A1EE6">
        <w:rPr>
          <w:rFonts w:ascii="Times New Roman" w:eastAsia="Times New Roman" w:hAnsi="Times New Roman" w:cs="Times New Roman"/>
          <w:lang w:val="en-US"/>
        </w:rPr>
        <w:t xml:space="preserve"> zebrafish embryonically </w:t>
      </w:r>
      <w:r w:rsidR="00014586" w:rsidRPr="00014586">
        <w:rPr>
          <w:rFonts w:ascii="Times New Roman" w:eastAsia="Times New Roman" w:hAnsi="Times New Roman" w:cs="Times New Roman"/>
          <w:lang w:val="en-US"/>
        </w:rPr>
        <w:t>exposed</w:t>
      </w:r>
      <w:r w:rsidR="00014586">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to B</w:t>
      </w:r>
      <w:r w:rsidR="10381051" w:rsidRPr="000A1EE6">
        <w:rPr>
          <w:rFonts w:ascii="Times New Roman" w:eastAsia="Times New Roman" w:hAnsi="Times New Roman" w:cs="Times New Roman"/>
          <w:lang w:val="en-US"/>
        </w:rPr>
        <w:t>[</w:t>
      </w:r>
      <w:r w:rsidRPr="47EE4892">
        <w:rPr>
          <w:rFonts w:ascii="Times New Roman" w:eastAsia="Times New Roman" w:hAnsi="Times New Roman" w:cs="Times New Roman"/>
          <w:i/>
          <w:iCs/>
          <w:lang w:val="en-US"/>
        </w:rPr>
        <w:t>a</w:t>
      </w:r>
      <w:r w:rsidR="38ED54D2" w:rsidRPr="000A1EE6">
        <w:rPr>
          <w:rFonts w:ascii="Times New Roman" w:eastAsia="Times New Roman" w:hAnsi="Times New Roman" w:cs="Times New Roman"/>
          <w:lang w:val="en-US"/>
        </w:rPr>
        <w:t>]</w:t>
      </w:r>
      <w:r w:rsidRPr="000A1EE6">
        <w:rPr>
          <w:rFonts w:ascii="Times New Roman" w:eastAsia="Times New Roman" w:hAnsi="Times New Roman" w:cs="Times New Roman"/>
          <w:lang w:val="en-US"/>
        </w:rPr>
        <w:t>P have revealed persistent reductions in mitochondrial respiration across multiple tissues, including</w:t>
      </w:r>
      <w:r w:rsidR="005F0DD5" w:rsidRPr="000A1EE6">
        <w:rPr>
          <w:rFonts w:ascii="Times New Roman" w:eastAsia="Times New Roman" w:hAnsi="Times New Roman" w:cs="Times New Roman"/>
          <w:lang w:val="en-US"/>
        </w:rPr>
        <w:t xml:space="preserve"> the</w:t>
      </w:r>
      <w:r w:rsidRPr="000A1EE6">
        <w:rPr>
          <w:rFonts w:ascii="Times New Roman" w:eastAsia="Times New Roman" w:hAnsi="Times New Roman" w:cs="Times New Roman"/>
          <w:lang w:val="en-US"/>
        </w:rPr>
        <w:t xml:space="preserve"> brain, liver, and heart </w:t>
      </w:r>
      <w:r w:rsidR="0039380B"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{"citationID":"1NSnqfLw","properties":{"formattedCitation":"(Hawkey et al. 2022)","plainCitation":"(Hawkey et al. 2022)","noteIndex":0},"citationItems":[{"id":"r9E9mN5c/23rgRN89","uris":["http://zotero.org/users/14468226/items/Q6FBQH6V"],"itemData":{"id":6618,"type":"article-journal","abstract":"Polycyclic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D."}],"issued":{"date-parts":[["2022"]]}}}],"schema":"https://github.com/citation-style-language/schema/raw/master/csl-citation.json"} </w:instrText>
      </w:r>
      <w:r w:rsidR="0039380B" w:rsidRPr="000A1EE6">
        <w:rPr>
          <w:rFonts w:ascii="Times New Roman" w:eastAsia="Times New Roman" w:hAnsi="Times New Roman" w:cs="Times New Roman"/>
          <w:lang w:val="en-US"/>
        </w:rPr>
        <w:fldChar w:fldCharType="separate"/>
      </w:r>
      <w:r w:rsidR="00E5454F">
        <w:rPr>
          <w:rFonts w:ascii="Times New Roman" w:hAnsi="Times New Roman" w:cs="Times New Roman"/>
        </w:rPr>
        <w:t>(Hawkey et al. 2022)</w:t>
      </w:r>
      <w:r w:rsidR="0039380B"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These effects suggest that </w:t>
      </w:r>
      <w:r w:rsidR="004A1373">
        <w:rPr>
          <w:rFonts w:ascii="Times New Roman" w:eastAsia="Times New Roman" w:hAnsi="Times New Roman" w:cs="Times New Roman"/>
          <w:lang w:val="en-US"/>
        </w:rPr>
        <w:t>early life</w:t>
      </w:r>
      <w:r w:rsidRPr="000A1EE6">
        <w:rPr>
          <w:rFonts w:ascii="Times New Roman" w:eastAsia="Times New Roman" w:hAnsi="Times New Roman" w:cs="Times New Roman"/>
          <w:lang w:val="en-US"/>
        </w:rPr>
        <w:t xml:space="preserve"> exposure to coal-derived contaminants can </w:t>
      </w:r>
      <w:r w:rsidR="004B10CE" w:rsidRPr="000A1EE6">
        <w:rPr>
          <w:rFonts w:ascii="Times New Roman" w:eastAsia="Times New Roman" w:hAnsi="Times New Roman" w:cs="Times New Roman"/>
          <w:lang w:val="en-US"/>
        </w:rPr>
        <w:t xml:space="preserve">promote </w:t>
      </w:r>
      <w:r w:rsidRPr="000A1EE6">
        <w:rPr>
          <w:rFonts w:ascii="Times New Roman" w:eastAsia="Times New Roman" w:hAnsi="Times New Roman" w:cs="Times New Roman"/>
          <w:lang w:val="en-US"/>
        </w:rPr>
        <w:t>long-term metabolic dysfunction.</w:t>
      </w:r>
      <w:r w:rsidR="765C2696" w:rsidRPr="000A1EE6">
        <w:rPr>
          <w:rFonts w:ascii="Times New Roman" w:eastAsia="Times New Roman" w:hAnsi="Times New Roman" w:cs="Times New Roman"/>
          <w:lang w:val="en-US"/>
        </w:rPr>
        <w:t xml:space="preserve"> For </w:t>
      </w:r>
      <w:r w:rsidR="0018394F">
        <w:rPr>
          <w:rFonts w:ascii="Times New Roman" w:eastAsia="Times New Roman" w:hAnsi="Times New Roman" w:cs="Times New Roman"/>
          <w:lang w:val="en-US"/>
        </w:rPr>
        <w:t>example</w:t>
      </w:r>
      <w:r w:rsidR="765C2696" w:rsidRPr="000A1EE6">
        <w:rPr>
          <w:rFonts w:ascii="Times New Roman" w:eastAsia="Times New Roman" w:hAnsi="Times New Roman" w:cs="Times New Roman"/>
          <w:lang w:val="en-US"/>
        </w:rPr>
        <w:t>, o</w:t>
      </w:r>
      <w:r w:rsidRPr="000A1EE6">
        <w:rPr>
          <w:rFonts w:ascii="Times New Roman" w:eastAsia="Times New Roman" w:hAnsi="Times New Roman" w:cs="Times New Roman"/>
          <w:lang w:val="en-US"/>
        </w:rPr>
        <w:t xml:space="preserve">xygen consumption patterns in coal-exposed fish provide integrative measures for metabolic disruption </w:t>
      </w:r>
      <w:r w:rsidR="000E628B"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{"citationID":"QiGQdhOS","properties":{"formattedCitation":"(Hawkey et al. 2022, Villa-Villase\\uc0\\u241{}or et al. 2022)","plainCitation":"(Hawkey et al. 2022, Villa-Villaseñor et al. 2022)","noteIndex":0},"citationItems":[{"id":"r9E9mN5c/23rgRN89","uris":["http://zotero.org/users/14468226/items/Q6FBQH6V"],"itemData":{"id":6618,"type":"article-journal","abstract":"Polycyclic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D."}],"issued":{"date-parts":[["2022"]]}}},{"id":"r9E9mN5c/JSBSLF2P","uris":["http://zotero.org/users/14468226/items/RYMMRUDA"],"itemData":{"id":6807,"type":"article-journal","abstract":"Nitrate-nitrogen (NO3-N) pollution related to anthropogenic activities is increasing in freshwater ecosystems. Knowledge about NO3-N sensitivity in freshwater wild fish is needed to understand the differential tolerance between species. Goodeinae is a subfamily of 41 endemic fishes that inhabit central Mexico, with 33 species in the IUCN red list and three extinct. Distributional patterns suggest tolerant and sensitive goodeines related to the conservation gradient of freshwater ecosystems. Four species with a differential distribution and tolerance were selected to evaluate their physiological responses to NO3-N. Fish were exposed to different NO3-N concentrations for 96 h and the median lethal concentration (LC50) was determined. Swimming disorders plus gill and liver histopathological indexes were estimated and incorporated into an Integrated Biomarker Response for each species. Skiffia lermae (LC50= 474.332 mg/L) and Xenotoca variata (LC50= 520.273 mg/L) were more sensitive than Goodea atripinnis (LC50= 953.049 mg/L) and Alloophorus robustus (LC50= 1537.13 mg/L). The typical histological damage produced by NaNO3-N exposure was fusion of secondary lamellae in gills. This was present in all species and cellular degeneration was observed at the highest concentrations. Secondary lamellae aneurysms were only observed in G. atripinnis. Liver alterations included vascular dilation in hepatic sinusoids, hyperemia and nuclear hypertrophy; higher concentrations produced hepatocyte cytoplasmic vacuolation and reduced frequency of cell nuclei. Behavioral and histopathological alterations could explain the differential species sensitivity. The results suggest that species which preserve gill function and transfer the task of detoxification to the liver might have the best chance of surviving in polluted environments. Moreover, species previously considered as tolerant may be highly susceptible to NaNO3-N exposure. Therefore, it is necessary to closely monitor NaNO3-N concentrations in freshwater ecosystems and, if possible, reduce their levels to avoid the loss of wild populations.","container-title":"Frontiers in Ecology and Evolution","DOI":"10.3389/fevo.2022.1014814","ISSN":"2296-701X","journalAbbreviation":"Front. Ecol. Evol.","language":"English","note":"publisher: Frontiers","source":"Frontiers","title":"Differential sensitivity of offspring from four species of goodeine freshwater fish to acute exposure to nitrates","URL":"https://www.frontiersin.org/journals/ecology-and-evolution/articles/10.3389/fevo.2022.1014814/full","volume":"10","author":[{"family":"Villa-Villaseñor","given":"Ivette Marai"},{"family":"Yáñez-Rivera","given":"Beatriz"},{"family":"Rueda-Jasso","given":"Rebeca Aneli"},{"family":"Herrera-Vargas","given":"Ma Antonia"},{"family":"Hernández-Morales","given":"Rubén"},{"family":"Meléndez-Herrera","given":"Esperanza"},{"family":"Domínguez-Domínguez","given":"Omar"}],"accessed":{"date-parts":[["2025",7,30]]},"issued":{"date-parts":[["2022",9,29]]}}}],"schema":"https://github.com/citation-style-language/schema/raw/master/csl-citation.json"} </w:instrText>
      </w:r>
      <w:r w:rsidR="000E628B" w:rsidRPr="000A1EE6">
        <w:rPr>
          <w:rFonts w:ascii="Times New Roman" w:eastAsia="Times New Roman" w:hAnsi="Times New Roman" w:cs="Times New Roman"/>
          <w:lang w:val="en-US"/>
        </w:rPr>
        <w:fldChar w:fldCharType="separate"/>
      </w:r>
      <w:r w:rsidR="00E5454F" w:rsidRPr="00E5454F">
        <w:rPr>
          <w:rFonts w:ascii="Times New Roman" w:hAnsi="Times New Roman" w:cs="Times New Roman"/>
          <w:kern w:val="0"/>
          <w:lang w:val="en-US"/>
        </w:rPr>
        <w:t>(Hawkey et al. 2022, Villa-Villaseñor et al. 2022)</w:t>
      </w:r>
      <w:r w:rsidR="000E628B"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Whole-animal oxygen consumption typically decreases in chronically exposed fish, reflecting compromised respiratory and circulatory </w:t>
      </w:r>
      <w:r w:rsidR="008A4D53">
        <w:rPr>
          <w:rFonts w:ascii="Times New Roman" w:eastAsia="Times New Roman" w:hAnsi="Times New Roman" w:cs="Times New Roman"/>
          <w:lang w:val="en-US"/>
        </w:rPr>
        <w:t>function</w:t>
      </w:r>
      <w:r w:rsidR="000E628B" w:rsidRPr="000A1EE6">
        <w:rPr>
          <w:rFonts w:ascii="Times New Roman" w:eastAsia="Times New Roman" w:hAnsi="Times New Roman" w:cs="Times New Roman"/>
          <w:lang w:val="en-US"/>
        </w:rPr>
        <w:t xml:space="preserve"> </w:t>
      </w:r>
      <w:r w:rsidR="009B2FF9"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{"citationID":"rA74yUIi","properties":{"formattedCitation":"(Hawkey et al. 2022)","plainCitation":"(Hawkey et al. 2022)","noteIndex":0},"citationItems":[{"id":"r9E9mN5c/23rgRN89","uris":["http://zotero.org/users/14468226/items/Q6FBQH6V"],"itemData":{"id":6618,"type":"article-journal","abstract":"Polycyclic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D."}],"issued":{"date-parts":[["2022"]]}}}],"schema":"https://github.com/citation-style-language/schema/raw/master/csl-citation.json"} </w:instrText>
      </w:r>
      <w:r w:rsidR="009B2FF9" w:rsidRPr="000A1EE6">
        <w:rPr>
          <w:rFonts w:ascii="Times New Roman" w:eastAsia="Times New Roman" w:hAnsi="Times New Roman" w:cs="Times New Roman"/>
          <w:lang w:val="en-US"/>
        </w:rPr>
        <w:fldChar w:fldCharType="separate"/>
      </w:r>
      <w:r w:rsidR="00E5454F">
        <w:rPr>
          <w:rFonts w:ascii="Times New Roman" w:hAnsi="Times New Roman" w:cs="Times New Roman"/>
        </w:rPr>
        <w:t>(Hawkey et al. 2022)</w:t>
      </w:r>
      <w:r w:rsidR="009B2FF9"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Tissue-specific measurements reveal</w:t>
      </w:r>
      <w:r w:rsidR="006343F8">
        <w:rPr>
          <w:rFonts w:ascii="Times New Roman" w:eastAsia="Times New Roman" w:hAnsi="Times New Roman" w:cs="Times New Roman"/>
          <w:lang w:val="en-US"/>
        </w:rPr>
        <w:t>ed</w:t>
      </w:r>
      <w:r w:rsidRPr="000A1EE6">
        <w:rPr>
          <w:rFonts w:ascii="Times New Roman" w:eastAsia="Times New Roman" w:hAnsi="Times New Roman" w:cs="Times New Roman"/>
          <w:lang w:val="en-US"/>
        </w:rPr>
        <w:t xml:space="preserve"> differential </w:t>
      </w:r>
      <w:r w:rsidR="004C36AF" w:rsidRPr="000A1EE6">
        <w:rPr>
          <w:rFonts w:ascii="Times New Roman" w:eastAsia="Times New Roman" w:hAnsi="Times New Roman" w:cs="Times New Roman"/>
          <w:lang w:val="en-US"/>
        </w:rPr>
        <w:t>effects</w:t>
      </w:r>
      <w:r w:rsidRPr="000A1EE6">
        <w:rPr>
          <w:rFonts w:ascii="Times New Roman" w:eastAsia="Times New Roman" w:hAnsi="Times New Roman" w:cs="Times New Roman"/>
          <w:lang w:val="en-US"/>
        </w:rPr>
        <w:t xml:space="preserve"> across organ systems, with </w:t>
      </w:r>
      <w:r w:rsidR="007937B2" w:rsidRPr="000A1EE6">
        <w:rPr>
          <w:rFonts w:ascii="Times New Roman" w:eastAsia="Times New Roman" w:hAnsi="Times New Roman" w:cs="Times New Roman"/>
          <w:lang w:val="en-US"/>
        </w:rPr>
        <w:t xml:space="preserve">the </w:t>
      </w:r>
      <w:r w:rsidRPr="000A1EE6">
        <w:rPr>
          <w:rFonts w:ascii="Times New Roman" w:eastAsia="Times New Roman" w:hAnsi="Times New Roman" w:cs="Times New Roman"/>
          <w:lang w:val="en-US"/>
        </w:rPr>
        <w:t xml:space="preserve">brain and liver showing particularly pronounced reductions in oxygen consumption </w:t>
      </w:r>
      <w:r w:rsidR="00436E12"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{"citationID":"Rjh8TuiF","properties":{"formattedCitation":"(Hawkey et al. 2022)","plainCitation":"(Hawkey et al. 2022)","noteIndex":0},"citationItems":[{"id":"r9E9mN5c/23rgRN89","uris":["http://zotero.org/users/14468226/items/Q6FBQH6V"],"itemData":{"id":6618,"type":"article-journal","abstract":"Polycyclic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D."}],"issued":{"date-parts":[["2022"]]}}}],"schema":"https://github.com/citation-style-language/schema/raw/master/csl-citation.json"} </w:instrText>
      </w:r>
      <w:r w:rsidR="00436E12" w:rsidRPr="000A1EE6">
        <w:rPr>
          <w:rFonts w:ascii="Times New Roman" w:eastAsia="Times New Roman" w:hAnsi="Times New Roman" w:cs="Times New Roman"/>
          <w:lang w:val="en-US"/>
        </w:rPr>
        <w:fldChar w:fldCharType="separate"/>
      </w:r>
      <w:r w:rsidR="00E5454F">
        <w:rPr>
          <w:rFonts w:ascii="Times New Roman" w:hAnsi="Times New Roman" w:cs="Times New Roman"/>
        </w:rPr>
        <w:t>(Hawkey et al. 2022)</w:t>
      </w:r>
      <w:r w:rsidR="00436E12"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w:t>
      </w:r>
    </w:p>
    <w:p w14:paraId="6E4E4E68" w14:textId="4DFAD98D" w:rsidR="00CE59A9" w:rsidRPr="000A1EE6" w:rsidRDefault="00CE59A9"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lastRenderedPageBreak/>
        <w:t>Enzymatic biomarkers of metabolic dysfunction include alterations in key metabolic enzymes such as lactate dehydrogenase, succinate dehydrogenase, and various aminotransferases</w:t>
      </w:r>
      <w:r w:rsidR="007F4201" w:rsidRPr="000A1EE6">
        <w:rPr>
          <w:rFonts w:ascii="Times New Roman" w:eastAsia="Times New Roman" w:hAnsi="Times New Roman" w:cs="Times New Roman"/>
          <w:lang w:val="en-US"/>
        </w:rPr>
        <w:t xml:space="preserve"> </w:t>
      </w:r>
      <w:r w:rsidR="007F4201"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{"citationID":"iiSS1Tur","properties":{"formattedCitation":"(Soulivongsa et al. 2021, Kim et al. 2024)","plainCitation":"(Soulivongsa et al. 2021, Kim et al. 2024)","noteIndex":0},"citationItems":[{"id":"r9E9mN5c/HgW4ggrR","uris":["http://zotero.org/users/14468226/items/HSJ3XN8S"],"itemData":{"id":6630,"type":"article-journal","abstract":"Benzo[a]pyrene (B[a]P), a highly carcinogenic polycyclic aromatic hydrocarbon primarily formed during incomplete organic matter combustion, undergoes a series of hepatic metabolic reactions once absorbed into the body. B[a]P contributes to liver damage, ranging from molecular DNA damage to the onset and progression of various diseases, including cancer. Specifically, B[a]P induces oxidative stress via reactive oxygen species generation within cells. Consequently, more research has focused on exploring the underlying mechanisms of B[a]P-induced oxidative stress and potential strategies to counter its hepatic toxicity. Flavonoids, natural compounds abundant in plants and renowned for their antioxidant properties, possess the ability to neutralize the adverse effects of free radicals effectively. Although extensive research has investigated the antioxidant effects of flavonoids, limited research has delved into their potential in regulating B[a]P metabolism to alleviate oxidative stress. This review aims to consolidate current knowledge on B[a]P-induced liver oxidative stress and examines the role of flavonoids in mitigating its toxicity.","container-title":"Antioxidants","DOI":"10.3390/antiox13020180","ISSN":"2076-3921","issue":"2","language":"en","license":"http://creativecommons.org/licenses/by/3.0/","note":"number: 2\npublisher: Multidisciplinary Digital Publishing Institute","page":"180","source":"www.mdpi.com","title":"Hepatoprotective Effects of Flavonoids against Benzo[a]Pyrene-Induced Oxidative Liver Damage along Its Metabolic Pathways","volume":"13","author":[{"family":"Kim","given":"Min"},{"family":"Jee","given":"Seung-Cheol"},{"family":"Sung","given":"Jung-Suk"}],"issued":{"date-parts":[["2024",2]]}}},{"id":"r9E9mN5c/T5jg1SAz","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schema":"https://github.com/citation-style-language/schema/raw/master/csl-citation.json"} </w:instrText>
      </w:r>
      <w:r w:rsidR="007F4201" w:rsidRPr="000A1EE6">
        <w:rPr>
          <w:rFonts w:ascii="Times New Roman" w:eastAsia="Times New Roman" w:hAnsi="Times New Roman" w:cs="Times New Roman"/>
          <w:lang w:val="en-US"/>
        </w:rPr>
        <w:fldChar w:fldCharType="separate"/>
      </w:r>
      <w:r w:rsidR="00E5454F">
        <w:rPr>
          <w:rFonts w:ascii="Times New Roman" w:hAnsi="Times New Roman" w:cs="Times New Roman"/>
        </w:rPr>
        <w:t>(Soulivongsa et al. 2021, Kim et al. 2024)</w:t>
      </w:r>
      <w:r w:rsidR="007F4201"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These enzyme activities often show tissue-specific patterns of change, with liver enzymes typically showing the most pronounced alterations due to</w:t>
      </w:r>
      <w:r w:rsidR="00983989" w:rsidRPr="000A1EE6">
        <w:rPr>
          <w:rFonts w:ascii="Times New Roman" w:eastAsia="Times New Roman" w:hAnsi="Times New Roman" w:cs="Times New Roman"/>
          <w:lang w:val="en-US"/>
        </w:rPr>
        <w:t xml:space="preserve"> </w:t>
      </w:r>
      <w:r w:rsidR="00FD4013">
        <w:rPr>
          <w:rFonts w:ascii="Times New Roman" w:eastAsia="Times New Roman" w:hAnsi="Times New Roman" w:cs="Times New Roman"/>
          <w:lang w:val="en-US"/>
        </w:rPr>
        <w:t>the</w:t>
      </w:r>
      <w:r w:rsidRPr="000A1EE6">
        <w:rPr>
          <w:rFonts w:ascii="Times New Roman" w:eastAsia="Times New Roman" w:hAnsi="Times New Roman" w:cs="Times New Roman"/>
          <w:lang w:val="en-US"/>
        </w:rPr>
        <w:t xml:space="preserve"> </w:t>
      </w:r>
      <w:r w:rsidR="00FD4013">
        <w:rPr>
          <w:rFonts w:ascii="Times New Roman" w:eastAsia="Times New Roman" w:hAnsi="Times New Roman" w:cs="Times New Roman"/>
          <w:lang w:val="en-US"/>
        </w:rPr>
        <w:t xml:space="preserve">central role of this organ </w:t>
      </w:r>
      <w:r w:rsidRPr="000A1EE6">
        <w:rPr>
          <w:rFonts w:ascii="Times New Roman" w:eastAsia="Times New Roman" w:hAnsi="Times New Roman" w:cs="Times New Roman"/>
          <w:lang w:val="en-US"/>
        </w:rPr>
        <w:t>in xenobiotic metabolism</w:t>
      </w:r>
      <w:r w:rsidR="007F4201" w:rsidRPr="000A1EE6">
        <w:rPr>
          <w:rFonts w:ascii="Times New Roman" w:eastAsia="Times New Roman" w:hAnsi="Times New Roman" w:cs="Times New Roman"/>
          <w:lang w:val="en-US"/>
        </w:rPr>
        <w:t xml:space="preserve"> </w:t>
      </w:r>
      <w:r w:rsidR="007F4201"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{"citationID":"gpmOJAKt","properties":{"formattedCitation":"(Soulivongsa et al. 2020, 2021)","plainCitation":"(Soulivongsa et al. 2020, 2021)","noteIndex":0},"citationItems":[{"id":"r9E9mN5c/T5jg1SAz","uris":["http://zotero.org/users/14468226/items/UDZMH9M5"],"itemData":{"id":6697,"type":"article-journal","abstract":"This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id":"r9E9mN5c/ckudpsVe","uris":["http://zotero.org/users/14468226/items/XADAF9P8"],"itemData":{"id":6700,"type":"article-journal","abstract":"The objectives of the present study were to determine the concentrations of heavy metals and metalloids in water, sediment and Osteochilus vittatus fish, and to assess chromosome aberrations, serum biochemical changes and histopathological alterations in O. vittatus from the Nam Kok river near the Sepon gold-copper mine, Lao People's Democratic Republic compared with the reference area. The results showed that Fe, Mn and Ni in water, As and Cd in sediment as well as As, Cd, Cr, Mn and Ni in O. vittatus muscle samples near the gold-copper mine exceeded standard values. Furthermore, the chromosome assessment in O. vittatus revealed seven types of chromosome aberrations, and the highest total number of chromosome aberrations was a centromere gap. The total number of chromosome aberrations, cell number with chromosome aberrations and percentage of chromosome aberrations in O. vittatus as well as serum liver enzymes between the studied areas were significantly different (p &lt; 0.05). The liver histopathological alterations of the fish near the gold-copper mine revealed atypical cellular structures as nuclear membrane degeneration, rough endoplasmic reticulum disintegration and abnormal cytoplasmic mitochondria. The results of this study suggested that heavy metal and metalloid contaminations from the Sepon gold-copper mine area negatively affect O. vittatus fish in terms of chromosomal defects, serum biochemical changes and liver histopathological appearances.","container-title":"International Journal of Environmental Research and Public Health","DOI":"10.3390/ijerph17249492","ISSN":"1660-4601","issue":"24","journalAbbreviation":"Int J Environ Res Public Health","language":"eng","note":"PMID: 33352927\nPMCID: PMC7766976","page":"9492","source":"PubMed","title":"Effects of Contamination by Heavy Metals and Metalloids on Chromosomes, Serum Biochemistry and Histopathology of the Bonylip Barb Fish Near Sepon Gold-Copper Mine, Lao PDR","volume":"17","author":[{"family":"Soulivongsa","given":"Latsamy"},{"family":"Tengjaroenkul","given":"Bundit"},{"family":"Neeratanaphan","given":"Lamyai"}],"issued":{"date-parts":[["2020",12,18]]}}}],"schema":"https://github.com/citation-style-language/schema/raw/master/csl-citation.json"} </w:instrText>
      </w:r>
      <w:r w:rsidR="007F4201" w:rsidRPr="000A1EE6">
        <w:rPr>
          <w:rFonts w:ascii="Times New Roman" w:eastAsia="Times New Roman" w:hAnsi="Times New Roman" w:cs="Times New Roman"/>
          <w:lang w:val="en-US"/>
        </w:rPr>
        <w:fldChar w:fldCharType="separate"/>
      </w:r>
      <w:r w:rsidR="00E5454F">
        <w:rPr>
          <w:rFonts w:ascii="Times New Roman" w:hAnsi="Times New Roman" w:cs="Times New Roman"/>
        </w:rPr>
        <w:t>(Soulivongsa et al. 2020, 2021)</w:t>
      </w:r>
      <w:r w:rsidR="007F4201"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w:t>
      </w:r>
      <w:r w:rsidRPr="00520126">
        <w:rPr>
          <w:rFonts w:ascii="Times New Roman" w:eastAsia="Times New Roman" w:hAnsi="Times New Roman" w:cs="Times New Roman"/>
          <w:lang w:val="en-US"/>
        </w:rPr>
        <w:t>Serum enzyme activities, including</w:t>
      </w:r>
      <w:r w:rsidR="00CB3A6D" w:rsidRPr="00520126">
        <w:rPr>
          <w:rFonts w:ascii="Times New Roman" w:eastAsia="Times New Roman" w:hAnsi="Times New Roman" w:cs="Times New Roman"/>
          <w:lang w:val="en-US"/>
        </w:rPr>
        <w:t xml:space="preserve"> those of</w:t>
      </w:r>
      <w:r w:rsidRPr="00520126">
        <w:rPr>
          <w:rFonts w:ascii="Times New Roman" w:eastAsia="Times New Roman" w:hAnsi="Times New Roman" w:cs="Times New Roman"/>
          <w:lang w:val="en-US"/>
        </w:rPr>
        <w:t xml:space="preserve"> </w:t>
      </w:r>
      <w:r w:rsidR="00520126" w:rsidRPr="00520126">
        <w:rPr>
          <w:rFonts w:ascii="Times New Roman" w:eastAsia="Times New Roman" w:hAnsi="Times New Roman" w:cs="Times New Roman"/>
          <w:highlight w:val="yellow"/>
          <w:lang w:val="en-US"/>
        </w:rPr>
        <w:t>ALP, ALT and AST</w:t>
      </w:r>
      <w:r w:rsidR="00520126" w:rsidRPr="00520126">
        <w:rPr>
          <w:rFonts w:ascii="Times New Roman" w:eastAsia="Times New Roman" w:hAnsi="Times New Roman" w:cs="Times New Roman"/>
          <w:lang w:val="en-US"/>
        </w:rPr>
        <w:t xml:space="preserve"> </w:t>
      </w:r>
      <w:r w:rsidR="00E224BC" w:rsidRPr="00520126">
        <w:rPr>
          <w:rFonts w:ascii="Times New Roman" w:eastAsia="Times New Roman" w:hAnsi="Times New Roman" w:cs="Times New Roman"/>
          <w:lang w:val="en-US"/>
        </w:rPr>
        <w:t xml:space="preserve">are </w:t>
      </w:r>
      <w:r w:rsidRPr="00520126">
        <w:rPr>
          <w:rFonts w:ascii="Times New Roman" w:eastAsia="Times New Roman" w:hAnsi="Times New Roman" w:cs="Times New Roman"/>
          <w:lang w:val="en-US"/>
        </w:rPr>
        <w:t>consistent</w:t>
      </w:r>
      <w:r w:rsidR="00CB3A6D" w:rsidRPr="00520126">
        <w:rPr>
          <w:rFonts w:ascii="Times New Roman" w:eastAsia="Times New Roman" w:hAnsi="Times New Roman" w:cs="Times New Roman"/>
          <w:lang w:val="en-US"/>
        </w:rPr>
        <w:t>ly</w:t>
      </w:r>
      <w:r w:rsidRPr="00520126">
        <w:rPr>
          <w:rFonts w:ascii="Times New Roman" w:eastAsia="Times New Roman" w:hAnsi="Times New Roman" w:cs="Times New Roman"/>
          <w:lang w:val="en-US"/>
        </w:rPr>
        <w:t xml:space="preserve"> </w:t>
      </w:r>
      <w:r w:rsidR="00657104" w:rsidRPr="00520126">
        <w:rPr>
          <w:rFonts w:ascii="Times New Roman" w:eastAsia="Times New Roman" w:hAnsi="Times New Roman" w:cs="Times New Roman"/>
          <w:lang w:val="en-US"/>
        </w:rPr>
        <w:t>elevated</w:t>
      </w:r>
      <w:r w:rsidRPr="00520126">
        <w:rPr>
          <w:rFonts w:ascii="Times New Roman" w:eastAsia="Times New Roman" w:hAnsi="Times New Roman" w:cs="Times New Roman"/>
          <w:lang w:val="en-US"/>
        </w:rPr>
        <w:t xml:space="preserve"> in coal-exposed fish, indicating hepatocellular damage and metabolic disruption </w:t>
      </w:r>
      <w:r w:rsidR="007F4201" w:rsidRPr="00520126">
        <w:rPr>
          <w:rFonts w:ascii="Times New Roman" w:eastAsia="Times New Roman" w:hAnsi="Times New Roman" w:cs="Times New Roman"/>
          <w:lang w:val="en-US"/>
        </w:rPr>
        <w:fldChar w:fldCharType="begin"/>
      </w:r>
      <w:r w:rsidR="00E5454F" w:rsidRPr="00520126">
        <w:rPr>
          <w:rFonts w:ascii="Times New Roman" w:eastAsia="Times New Roman" w:hAnsi="Times New Roman" w:cs="Times New Roman"/>
          <w:lang w:val="en-US"/>
        </w:rPr>
        <w:instrText xml:space="preserve"> ADDIN ZOTERO_ITEM CSL_CITATION {"citationID":"M9Uh4sJb","properties":{"formattedCitation":"(Soulivongsa et al. 2021, Kim et al. 2024)","plainCitation":"(Soulivongsa et al. 2021, Kim et al. 2024)","noteIndex":0},"citationItems":[{"id":"r9E9mN5c/HgW4ggrR","uris":["http://zotero.org/users/14468226/items/HSJ3XN8S"],"itemData":{"id":6630,"type":"article-journal","abstract":"Benzo[a]pyrene (B[a]P), a highly carcinogenic polycyclic aromatic hydrocarbon primarily formed during incomplete organic matter combustion, undergoes a series of hepatic metabolic reactions once absorbed into the body. B[a]P contributes to liver damage, ranging from molecular DNA damage to the onset and progression of various diseases, including cancer. Specifically, B[a]P induces oxidative stress via reactive oxygen species generation within cells. Consequently, more research has focused on exploring the underlying mechanisms of B[a]P-induced oxidative stress and potential strategies to counter its hepatic toxicity. Flavonoids, natural compounds abundant in plants and renowned for their antioxidant properties, possess the ability to neutralize the adverse effects of free radicals effectively. Although extensive research has investigated the antioxidant effects of flavonoids, limited research has delved into their potential in regulating B[a]P metabolism to alleviate oxidative stress. This review aims to consolidate current knowledge on B[a]P-induced liver oxidative stress and examines the role of flavonoids in mitigating its toxicity.","container-title":"Antioxidants","DOI":"10.3390/antiox13020180","ISSN":"2076-3921","issue":"2","language":"en","license":"http://creativecommons.org/licenses/by/3.0/","note":"number: 2\npublisher: Multidisciplinary Digital Publishing Institute","page":"180","source":"www.mdpi.com","title":"Hepatoprotective Effects of Flavonoids against Benzo[a]Pyrene-Induced Oxidative Liver Damage along Its Metabolic Pathways","volume":"13","author":[{"family":"Kim","given":"Min"},{"family":"Jee","given":"Seung-Cheol"},{"family":"Sung","given":"Jung-Suk"}],"issued":{"date-parts":[["2024",2]]}}},{"id":"r9E9mN5c/T5jg1SAz","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schema":"https://github.com/citation-style-language/schema/raw/master/csl-citation.json"} </w:instrText>
      </w:r>
      <w:r w:rsidR="007F4201" w:rsidRPr="00520126">
        <w:rPr>
          <w:rFonts w:ascii="Times New Roman" w:eastAsia="Times New Roman" w:hAnsi="Times New Roman" w:cs="Times New Roman"/>
          <w:lang w:val="en-US"/>
        </w:rPr>
        <w:fldChar w:fldCharType="separate"/>
      </w:r>
      <w:r w:rsidR="00E5454F" w:rsidRPr="00520126">
        <w:rPr>
          <w:rFonts w:ascii="Times New Roman" w:hAnsi="Times New Roman" w:cs="Times New Roman"/>
        </w:rPr>
        <w:t>(Soulivongsa et al. 2021, Kim et al. 2024)</w:t>
      </w:r>
      <w:r w:rsidR="007F4201" w:rsidRPr="00520126">
        <w:rPr>
          <w:rFonts w:ascii="Times New Roman" w:eastAsia="Times New Roman" w:hAnsi="Times New Roman" w:cs="Times New Roman"/>
          <w:lang w:val="en-US"/>
        </w:rPr>
        <w:fldChar w:fldCharType="end"/>
      </w:r>
      <w:r w:rsidR="007F4201" w:rsidRPr="00520126">
        <w:rPr>
          <w:rFonts w:ascii="Times New Roman" w:eastAsia="Times New Roman" w:hAnsi="Times New Roman" w:cs="Times New Roman"/>
          <w:lang w:val="en-US"/>
        </w:rPr>
        <w:t>.</w:t>
      </w:r>
    </w:p>
    <w:p w14:paraId="4D22CE16" w14:textId="466CF3E3" w:rsidR="00CE59A9" w:rsidRPr="000A1EE6" w:rsidRDefault="47EE4892" w:rsidP="000A1EE6">
      <w:pPr>
        <w:spacing w:line="480" w:lineRule="auto"/>
        <w:jc w:val="both"/>
        <w:rPr>
          <w:rFonts w:ascii="Times New Roman" w:eastAsia="Times New Roman" w:hAnsi="Times New Roman" w:cs="Times New Roman"/>
          <w:lang w:val="en-US"/>
        </w:rPr>
      </w:pPr>
      <w:r w:rsidRPr="47EE4892">
        <w:rPr>
          <w:rFonts w:ascii="Times New Roman" w:eastAsia="Times New Roman" w:hAnsi="Times New Roman" w:cs="Times New Roman"/>
          <w:lang w:val="en-US"/>
        </w:rPr>
        <w:t xml:space="preserve">The endocrine system is another important target of coal mining contamination, with multiple studies documenting disruptions in hormone synthesis and </w:t>
      </w:r>
      <w:r w:rsidR="003D51AD" w:rsidRPr="47EE4892">
        <w:rPr>
          <w:rFonts w:ascii="Times New Roman" w:eastAsia="Times New Roman" w:hAnsi="Times New Roman" w:cs="Times New Roman"/>
          <w:lang w:val="en-US"/>
        </w:rPr>
        <w:t>signaling</w:t>
      </w:r>
      <w:r w:rsidRPr="47EE4892">
        <w:rPr>
          <w:rFonts w:ascii="Times New Roman" w:eastAsia="Times New Roman" w:hAnsi="Times New Roman" w:cs="Times New Roman"/>
          <w:lang w:val="en-US"/>
        </w:rPr>
        <w:t xml:space="preserve"> pathways </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{"citationID":"6ksNB1Rb","properties":{"formattedCitation":"(Alharthy et al. 2017, Sathikumaran et al. 2022, Wan et al. 2023)","plainCitation":"(Alharthy et al. 2017, Sathikumaran et al. 2022, Wan et al. 2023)","noteIndex":0},"citationItems":[{"id":"r9E9mN5c/ClsmF7h3","uris":["http://zotero.org/users/14468226/items/F53CSZ3E"],"itemData":{"id":6591,"type":"article-journal","abstract":"Benzo[a]pyrene (BaP) is a ubiquitous environmental contaminant that is both an endocrine disruptor and a carcinogen. Aromatase (CYP19) is a key enzyme in steroidogenesis that is responsible for conversion of androgens to estrogens and thus plays a key role in steroid homeostasis. We hypothesized that some of the adverse outcomes of early developmental exposure to BaP are the result of reduced Cyp19a1b activity. Our goal was to investigate the role of estrogen homeostasis during early development and determine the role of aromatase inhibition as a relevant mechanism in BaP’s developmental toxicities. One-cell zebrafish embryos were injected with a Cyp19a1b-morpholino (MO) or control-MO. Other non-injected embryos were exposed to waterborne BaP, fadrozole (a Cyp19 inhibitor), estradiol (E2), BaP + E2, Cyp19a1b MO + E2, or fadrozole + E2 for 96 hours post-fertilization (hpf). Adverse outcomes were compared between treatments, and the ability of E2 co-exposure to rescue each observed dysmorphology was assessed. BaP significantly decreased cyp19a1b gene expression in 96 hpf zebrafish larvae homogenates. Concentrations of E2 in 48 hpf larvae were significantly decreased by BaP, fadrozole and Cyp19a1b-MO. Cumulative mortality of zebrafish larvae was significantly increased following BaP or fadrozole exposure or Cyp19a1b knockdown compared to controls. E2 co-treatment rescued mortality caused by 10 μg/L BaP, 10 μg/L fadrozole, or Cyp19a1b-MO. In a treatment-blinded morphological assessment of larvae at 96 hpf, several phenotypes were negatively impacted by BaP, fadrozole, or Cyp19a1b knockdown and rescued by exogenous E2 co-treatment; these included body length, optic vesicle size, swim bladder inflation, pericardial and abdominal edema, and incidence of normal larval tail shape. Abnormal pectoral fins were caused by BaP exposure only. Uninflated swim bladders were caused by all treatments including E2 alone. Our results indicate that certain BaP-mediated adverse developmental outcomes were mechanistically in accordance with BaP-mediated Cyp19a1b inhibition.","container-title":"Toxicological Sciences","DOI":"10.1093/toxsci/kfw182","ISSN":"1096-6080","issue":"1","journalAbbreviation":"Toxicol Sci","note":"PMID: 27633980\nPMCID: PMC5216649","page":"135-147","source":"PubMed Central","title":"Mechanistic Evaluation of Benzo[a]pyrene’s Developmental Toxicities Mediated by Reduced Cyp19a1b Activity","volume":"155","author":[{"family":"Alharthy","given":"Khalid M."},{"family":"Albaqami","given":"Faisal F."},{"family":"Thornton","given":"Cammi"},{"family":"Corrales","given":"Jone"},{"family":"Willett","given":"Kristine L."}],"issued":{"date-parts":[["2017",1]]}}},{"id":"r9E9mN5c/Di04HDJv","uris":["http://zotero.org/users/14468226/items/VNMYM674"],"itemData":{"id":6739,"type":"article-journal","abstract":"Our previous study reported that chronic exposure to sublethal levels of estrogen induces DNA damage and endocrine dysfunction in sea bass. In this study, we extended our hypothesis to test changes in genotoxicity and biotransformation induced by Benzo[a]pyrene (BaP) that may regulate endocrine disorders in the estuarine fish. Therapon jarbua an euryhaline fish was exposed to BaP at two different ambient concentrations for 21 days. Biomarkers such as ethoxyresorufin-O-deethlylase (EROD) and DNA damages were assessed in the gill and liver, while neuroendocrine markers such as serotonin (5-HT) and acetyl cholinesterase (AChE) were studied in the brain. The findings showed that longer the exposure, higher the levels of biotransformation enzymes and DNA damage were produced. In both gill and the liver, BaP exposure generated dose-dependent EROD induction and DNA damages, with such a response being more linear in the case of liver than gill. BaP toxicity exacerbated the neurotoxicity by inhibiting acetylcholinesterase (AChE) activity and serotonin levels in the brain and this response was dose-dependent. Neuroendocrine system and biotransformation enzyme have a negative correlation. Results of the correlation and regression data suggest the reduction of endocrine marker might be attributed to the activation of biotransformation enzymes. These findings showed that BaP exposure can harm the gills and liver by inducing the biotransfomation enzyme and causing DNA damage, and so inhibiting neurotransmitters in the brain. These findings are predicted to give fresh insight on the research of the ecotoxicology effect of PAHs on estuarine fish.","container-title":"Toxicology Reports","DOI":"10.1016/j.toxrep.2022.03.051","ISSN":"2214-7500","journalAbbreviation":"Toxicol Rep","language":"eng","note":"PMID: 36518429\nPMCID: PMC9742828","page":"720-727","source":"PubMed","title":"Evaluation of benzo[a]pyrene-induced toxicity in the estuarine thornfish Therapon jarbua","volume":"9","author":[{"family":"Sathikumaran","given":"R."},{"family":"Madhuvandhi","given":"J."},{"family":"Priya","given":"K. K."},{"family":"Sridevi","given":"A."},{"family":"Krishnamurthy","given":"R."},{"family":"Thilagam","given":"H."}],"issued":{"date-parts":[["2022"]]}}},{"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(Alharthy et al. 2017, Sathikumaran et al. 2022, Wan et al. 2023)</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exposure inhibits aromatase activity, leading to altered estrogen: androgen ratios and reproductive dysfunction </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{"citationID":"tUwDB3Eh","properties":{"formattedCitation":"(Alharthy et al. 2017)","plainCitation":"(Alharthy et al. 2017)","noteIndex":0},"citationItems":[{"id":"r9E9mN5c/ClsmF7h3","uris":["http://zotero.org/users/14468226/items/F53CSZ3E"],"itemData":{"id":6591,"type":"article-journal","abstract":"Benzo[a]pyrene (BaP) is a ubiquitous environmental contaminant that is both an endocrine disruptor and a carcinogen. Aromatase (CYP19) is a key enzyme in steroidogenesis that is responsible for conversion of androgens to estrogens and thus plays a key role in steroid homeostasis. We hypothesized that some of the adverse outcomes of early developmental exposure to BaP are the result of reduced Cyp19a1b activity. Our goal was to investigate the role of estrogen homeostasis during early development and determine the role of aromatase inhibition as a relevant mechanism in BaP’s developmental toxicities. One-cell zebrafish embryos were injected with a Cyp19a1b-morpholino (MO) or control-MO. Other non-injected embryos were exposed to waterborne BaP, fadrozole (a Cyp19 inhibitor), estradiol (E2), BaP + E2, Cyp19a1b MO + E2, or fadrozole + E2 for 96 hours post-fertilization (hpf). Adverse outcomes were compared between treatments, and the ability of E2 co-exposure to rescue each observed dysmorphology was assessed. BaP significantly decreased cyp19a1b gene expression in 96 hpf zebrafish larvae homogenates. Concentrations of E2 in 48 hpf larvae were significantly decreased by BaP, fadrozole and Cyp19a1b-MO. Cumulative mortality of zebrafish larvae was significantly increased following BaP or fadrozole exposure or Cyp19a1b knockdown compared to controls. E2 co-treatment rescued mortality caused by 10 μg/L BaP, 10 μg/L fadrozole, or Cyp19a1b-MO. In a treatment-blinded morphological assessment of larvae at 96 hpf, several phenotypes were negatively impacted by BaP, fadrozole, or Cyp19a1b knockdown and rescued by exogenous E2 co-treatment; these included body length, optic vesicle size, swim bladder inflation, pericardial and abdominal edema, and incidence of normal larval tail shape. Abnormal pectoral fins were caused by BaP exposure only. Uninflated swim bladders were caused by all treatments including E2 alone. Our results indicate that certain BaP-mediated adverse developmental outcomes were mechanistically in accordance with BaP-mediated Cyp19a1b inhibition.","container-title":"Toxicological Sciences","DOI":"10.1093/toxsci/kfw182","ISSN":"1096-6080","issue":"1","journalAbbreviation":"Toxicol Sci","note":"PMID: 27633980\nPMCID: PMC5216649","page":"135-147","source":"PubMed Central","title":"Mechanistic Evaluation of Benzo[a]pyrene’s Developmental Toxicities Mediated by Reduced Cyp19a1b Activity","volume":"155","author":[{"family":"Alharthy","given":"Khalid M."},{"family":"Albaqami","given":"Faisal F."},{"family":"Thornton","given":"Cammi"},{"family":"Corrales","given":"Jone"},{"family":"Willett","given":"Kristine L."}],"issued":{"date-parts":[["2017",1]]}}}],"schema":"https://github.com/citation-style-language/schema/raw/master/csl-citation.json"}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(Alharthy et al. 2017)</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These endocrine-disrupting effects can have population-level consequences through their effects on reproductive success and development </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{"citationID":"8HCbcW7h","properties":{"formattedCitation":"(Knecht et al. 2017, Wan et al. 2023)","plainCitation":"(Knecht et al. 2017, Wan et al. 2023)","noteIndex":0},"citationItems":[{"id":"r9E9mN5c/AEZ69rFK","uris":["http://zotero.org/users/14468226/items/HCRMSEFG"],"itemData":{"id":6736,"type":"article-journal","abstract":"Benzo[a]pyrene (B[a]P) is a well-known genotoxic polycylic aromatic compound whose toxicity is dependent on signaling via the aryl hydrocarbon receptor (AHR). It is unclear to what extent detrimental effects of B[a]P exposures might impact future generations and whether transgenerational effects might be AHR-dependent. This study examined the effects of developmental B[a]P exposure on 3 generations of zebrafish. Zebrafish embryos were exposed from 6 to 120h post fertilization (hpf) to 5 and 10μM B[a]P and raised in chemical-free water until adulthood (F0). Two generations were raised from F0 fish to evaluate transgenerational inheritance. Morphological, physiological and neurobehavioral parameters were measured at two life stages. Juveniles of the F0 and F2 exhibited hyper locomotor activity, decreased heartbeat and mitochondrial function. B[a]P exposure during development resulted in decreased global DNA methylation levels and generally reduced expression of DNA methyltransferases in wild type zebrafish, with the latter effect largely reversed in an AHR2-null background. Adults from the F0 B[a]P exposed lineage displayed social anxiety-like behavior. Adults in the F2 transgeneration manifested gender-specific increased body mass index (BMI), increased oxygen consumption and hyper-avoidance behavior. Exposure to benzo[a]pyrene during development resulted in transgenerational inheritance of neurobehavioral and physiological deficiencies. Indirect evidence suggested the potential for an AHR2-dependent epigenetic route.","container-title":"Toxicology and Applied Pharmacology","DOI":"10.1016/j.taap.2017.05.033","ISSN":"1096-0333","journalAbbreviation":"Toxicol Appl Pharmacol","language":"eng","note":"PMID: 28583304\nPMCID: PMC5539966","page":"148-157","source":"PubMed","title":"Transgenerational inheritance of neurobehavioral and physiological deficits from developmental exposure to benzo[a]pyrene in zebrafish","volume":"329","author":[{"family":"Knecht","given":"Andrea L."},{"family":"Truong","given":"Lisa"},{"family":"Marvel","given":"Skylar W."},{"family":"Reif","given":"David M."},{"family":"Garcia","given":"Abraham"},{"family":"Lu","given":"Catherine"},{"family":"Simonich","given":"Michael T."},{"family":"Teeguarden","given":"Justin G."},{"family":"Tanguay","given":"Robert L."}],"issued":{"date-parts":[["2017",8,15]]}}},{"id":"r9E9mN5c/Y18BH58B","uris":["http://zotero.org/users/14468226/items/IBNFW8G5"],"itemData":{"id":6727,"type":"article-journal","abstract":"Benzo[a]pyrene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(Knecht et al. 2017, Wan et al. 2023)</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Cross-generational toxicity studies have revealed that maternal exposure to B</w:t>
      </w:r>
      <w:r w:rsidRPr="00520126">
        <w:rPr>
          <w:rFonts w:ascii="Times New Roman" w:eastAsia="Times New Roman" w:hAnsi="Times New Roman" w:cs="Times New Roman"/>
          <w:lang w:val="en-US"/>
        </w:rPr>
        <w:t>[</w:t>
      </w:r>
      <w:r w:rsidRPr="00520126">
        <w:rPr>
          <w:rFonts w:ascii="Times New Roman" w:eastAsia="Times New Roman" w:hAnsi="Times New Roman" w:cs="Times New Roman"/>
          <w:i/>
          <w:iCs/>
          <w:lang w:val="en-US"/>
        </w:rPr>
        <w:t>a</w:t>
      </w:r>
      <w:r w:rsidRPr="00520126">
        <w:rPr>
          <w:rFonts w:ascii="Times New Roman" w:eastAsia="Times New Roman" w:hAnsi="Times New Roman" w:cs="Times New Roman"/>
          <w:lang w:val="en-US"/>
        </w:rPr>
        <w:t>]</w:t>
      </w:r>
      <w:r w:rsidRPr="47EE4892">
        <w:rPr>
          <w:rFonts w:ascii="Times New Roman" w:eastAsia="Times New Roman" w:hAnsi="Times New Roman" w:cs="Times New Roman"/>
          <w:lang w:val="en-US"/>
        </w:rPr>
        <w:t xml:space="preserve">P results in mitochondrial dysfunction and altered DNA methylation in offspring sperm, providing a mechanism for paternal inheritance of pollution-induced genetic damage </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{"citationID":"fN9VJQu7","properties":{"formattedCitation":"(Wan et al. 2023)","plainCitation":"(Wan et al. 2023)","noteIndex":0},"citationItems":[{"id":"r9E9mN5c/Y18BH58B","uris":["http://zotero.org/users/14468226/items/IBNFW8G5"],"itemData":{"id":6727,"type":"article-journal","abstract":"Benzo[a]pyrene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(Wan et al. 2023)</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These findings suggest that coal mining contamination can have far-reaching consequences on fish reproduction and population genetics.</w:t>
      </w:r>
    </w:p>
    <w:p w14:paraId="03B8C735" w14:textId="77777777" w:rsidR="00D679A0" w:rsidRDefault="00D679A0" w:rsidP="000A1EE6">
      <w:pPr>
        <w:spacing w:after="0" w:line="480" w:lineRule="auto"/>
        <w:jc w:val="both"/>
        <w:rPr>
          <w:rFonts w:ascii="Times New Roman" w:eastAsia="Times New Roman" w:hAnsi="Times New Roman" w:cs="Times New Roman"/>
          <w:b/>
          <w:bCs/>
          <w:lang w:val="en-US"/>
        </w:rPr>
      </w:pPr>
    </w:p>
    <w:p w14:paraId="4B4907D2" w14:textId="5016549C" w:rsidR="00CE59A9" w:rsidRPr="000A1EE6" w:rsidRDefault="000A1EE6" w:rsidP="000A1EE6">
      <w:pPr>
        <w:spacing w:after="0" w:line="480" w:lineRule="auto"/>
        <w:jc w:val="both"/>
        <w:rPr>
          <w:rFonts w:ascii="Times New Roman" w:eastAsia="Times New Roman" w:hAnsi="Times New Roman" w:cs="Times New Roman"/>
          <w:b/>
          <w:bCs/>
          <w:lang w:val="en-US"/>
        </w:rPr>
      </w:pPr>
      <w:r w:rsidRPr="000A1EE6">
        <w:rPr>
          <w:rFonts w:ascii="Times New Roman" w:eastAsia="Times New Roman" w:hAnsi="Times New Roman" w:cs="Times New Roman"/>
          <w:b/>
          <w:bCs/>
          <w:lang w:val="en-US"/>
        </w:rPr>
        <w:t xml:space="preserve">4. </w:t>
      </w:r>
      <w:r w:rsidR="00F76362" w:rsidRPr="00F76362">
        <w:rPr>
          <w:rFonts w:ascii="Times New Roman" w:eastAsia="Times New Roman" w:hAnsi="Times New Roman" w:cs="Times New Roman"/>
          <w:b/>
          <w:bCs/>
          <w:lang w:val="en-US"/>
        </w:rPr>
        <w:t>Biomarkers for Environmental Monitoring</w:t>
      </w:r>
    </w:p>
    <w:p w14:paraId="4BBDD75C" w14:textId="1D826153" w:rsidR="00CE59A9" w:rsidRPr="000A1EE6" w:rsidRDefault="00CE59A9"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 xml:space="preserve">The temporal dynamics of biomarker responses add complexity to the interpretation </w:t>
      </w:r>
      <w:r w:rsidR="009C08BB">
        <w:rPr>
          <w:rFonts w:ascii="Times New Roman" w:eastAsia="Times New Roman" w:hAnsi="Times New Roman" w:cs="Times New Roman"/>
          <w:lang w:val="en-US"/>
        </w:rPr>
        <w:t>of the effects of coal contamination</w:t>
      </w:r>
      <w:r w:rsidR="002F7ADF" w:rsidRPr="000A1EE6">
        <w:rPr>
          <w:rFonts w:ascii="Times New Roman" w:eastAsia="Times New Roman" w:hAnsi="Times New Roman" w:cs="Times New Roman"/>
          <w:lang w:val="en-US"/>
        </w:rPr>
        <w:t xml:space="preserve"> </w:t>
      </w:r>
      <w:r w:rsidR="002F7ADF"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{"citationID":"f7XY64Uw","properties":{"formattedCitation":"(David &amp; Kartheek 2015, Kim et al. 2022, Pramanik &amp; Biswas 2024)","plainCitation":"(David &amp; Kartheek 2015, Kim et al. 2022, Pramanik &amp; Biswas 2024)","noteIndex":0},"citationItems":[{"id":"r9E9mN5c/QuAQD8IS","uris":["http://zotero.org/users/14468226/items/3AH74SLN"],"itemData":{"id":6713,"type":"article-journal","abstract":"Aquatic ecosystems in areas with intense mining activity are often subject to cyanide contamination; the present study was aimed to evaluate the harmful effects of sodium cyanide on histoarchitechtural aspect of spleen of freshwater fish Cyprinus carpio using an in vivo approach. The fishes were exposed to a sublethal concentration of 0.2 mg/L of sodium cyanide for duration of 10 and 20 days and were further allowed to undergo recovery for 14 days in a toxicant free medium. From the present investigation findings like occurrence of haemosiderin pigment, melanomacrophage centers, vacuolation and necrotic eosinophils were evident in all the fishes exposed to sodium cyanide. However, changes were more pronounced in fish subjected to 10 days of exposure, which was followed by 20 days of exposure and 14 days of recovery. The study revealed that there seemed to be the presence of homeostatic mechanism in fish that allows them to stabilize and overcome stress, which in present case is caused by sublethal concentration of sodium cyanide. Since the recovery phenomenon may be adaptive and even strategic, the present investigation also throws a light on adaptive behaviour of fish under stressful environments.","container-title":"Open Veterinary Journal","ISSN":"2226-4485","issue":"1","journalAbbreviation":"Open Vet J","language":"eng","note":"PMID: 26623354\nPMCID: PMC4629564","page":"1-5","source":"PubMed","title":"Histopathological alterations in spleen of freshwater fish Cyprinus carpio exposed to sublethal concentration of sodium cyanide","volume":"5","author":[{"family":"David","given":"M."},{"family":"Kartheek","given":"R. M."}],"issued":{"date-parts":[["2015"]]}}},{"id":"r9E9mN5c/rswdDV9T","uris":["http://zotero.org/users/14468226/items/ZZQTMILY"],"itemData":{"id":6686,"type":"article-journal","abstract":"Pale chub (Zacco platypus) is a dominant species in urban rivers and reservoirs, and it is used as an indicator to monitor the effects of environmental contaminants. Gene responses at the molecular level can reflect the health of fish challenged with environmental stressors. The objective of this study was to identify correlations between water quality factors and the expression of stress-related genes in Z. platypus from different lake environments (Singal and Juam Lakes). To do so, transcriptional responses of genes involving cellular homeostasis (heat-shock protein 70, HSP70; heat-shock protein 90, HSP90), metal detoxification (metallothionein, MT), and antioxidation (superoxide dismutase, SOD; catalase, CAT) were analyzed in the gill and liver tissues of Z. platypus. HSP70, HSP90, and MT genes were overall upregulated in Z. platypus from Singal Lake, which suffered from poorer water quality than Juam Lake. In addition, gene responses were significantly higher in Singal Lake outflow. Upregulation of HSP70, HSP90, and MT was significantly higher in Z. platypus gills than in the liver tissue. In addition, integrated biomarker response and heatmap analysis determined correlations between expression of biomarker genes or water quality factors and sampling sites of both lakes. These results suggest that stress-related genes used as multiple biomarkers may reflect spatial characteristics and water quality of different lake environments, and they can be used for biomonitoring and ecological risk assessment.","container-title":"International Journal of Environmental Research and Public Health","DOI":"10.3390/ijerph191811471","ISSN":"1660-4601","issue":"18","journalAbbreviation":"Int J Environ Res Public Health","language":"eng","note":"PMID: 36141743\nPMCID: PMC9517483","page":"11471","source":"PubMed","title":"Transcriptional Responses of Stress-Related Genes in Pale Chub (Zacco platypus) Inhabiting Different Aquatic Environments: Application for Biomonitoring Aquatic Ecosystems","title-short":"Transcriptional Responses of Stress-Related Genes in Pale Chub (Zacco platypus) Inhabiting Different Aquatic Environments","volume":"19","author":[{"family":"Kim","given":"Won-Seok"},{"family":"Park","given":"Kiyun"},{"family":"Park","given":"Jae-Won"},{"family":"Lee","given":"Sun-Ho"},{"family":"Kim","given":"Ji-Hoon"},{"family":"Kim","given":"Yong-Jun"},{"family":"Oh","given":"Gun-Hee"},{"family":"Ko","given":"Bong-Soon"},{"family":"Park","given":"Ji-Won"},{"family":"Hong","given":"Cheol"},{"family":"Yu","given":"Tae-Sik"},{"family":"Kwak","given":"Ihn-Sil"}],"issued":{"date-parts":[["2022",9,12]]}}},{"id":"r9E9mN5c/n04IheIR","uris":["http://zotero.org/users/14468226/items/RZHTBMHA"],"itemData":{"id":6669,"type":"article-journal","abstract":"The current investigation examined histopathological and serum biochemical profiles to assess the interactive effects of river Saraswati’s impaired physicochemical regime and parasite infection by ectoparasites (Trichodina sp., Gyrodactylus sp.) and endoparasites (Eustrongylides sp.) on health of fish (Channa punctatus). This study aimed at assessing the synergistic effects of the degraded water quality and parasitization on fish health looking through the lens of histopathology and serum biochemistry. Low dissolved O2, high free CO2, biochemical oxygen demand (BOD), and chemical oxygen demand (COD) indicate deteriorating water quality due to organic loading. The histopathological investigations revealed distinctive histopathological changes in gill, liver, and kidney of the fish as “signature” impairments inflicted by chronic (co)exposure to pollution and/or parasitization. Stress enzymes and altered serum biochemistry furnish excellent indicators of fish health because of their correlation with pollution and parasitization. Destined in a vicious cycle, fish health becomes adversely affected by degrading water qualities and parasitic infection in solo or combo.","container-title":"iScience","DOI":"10.1016/j.isci.2024.111432","ISSN":"2589-0042","issue":"12","journalAbbreviation":"iScience","page":"111432","source":"ScienceDirect","title":"Histopathological fingerprints and biochemical changes as multi-stress biomarkers in fish confronting concurrent pollution and parasitization","volume":"27","author":[{"family":"Pramanik","given":"Sasanka"},{"family":"Biswas","given":"Jayanta Kumar"}],"issued":{"date-parts":[["2024",12,20]]}}}],"schema":"https://github.com/citation-style-language/schema/raw/master/csl-citation.json"} </w:instrText>
      </w:r>
      <w:r w:rsidR="002F7ADF" w:rsidRPr="000A1EE6">
        <w:rPr>
          <w:rFonts w:ascii="Times New Roman" w:eastAsia="Times New Roman" w:hAnsi="Times New Roman" w:cs="Times New Roman"/>
          <w:lang w:val="en-US"/>
        </w:rPr>
        <w:fldChar w:fldCharType="separate"/>
      </w:r>
      <w:r w:rsidR="00E5454F">
        <w:rPr>
          <w:rFonts w:ascii="Times New Roman" w:hAnsi="Times New Roman" w:cs="Times New Roman"/>
        </w:rPr>
        <w:t>(David &amp; Kartheek 2015, Kim et al. 2022, Pramanik &amp; Biswas 2024)</w:t>
      </w:r>
      <w:r w:rsidR="002F7ADF"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Acute responses such as </w:t>
      </w:r>
      <w:r w:rsidR="00E67E62" w:rsidRPr="000A1EE6">
        <w:rPr>
          <w:rFonts w:ascii="Times New Roman" w:eastAsia="Times New Roman" w:hAnsi="Times New Roman" w:cs="Times New Roman"/>
          <w:lang w:val="en-US"/>
        </w:rPr>
        <w:t xml:space="preserve">the </w:t>
      </w:r>
      <w:r w:rsidRPr="000A1EE6">
        <w:rPr>
          <w:rFonts w:ascii="Times New Roman" w:eastAsia="Times New Roman" w:hAnsi="Times New Roman" w:cs="Times New Roman"/>
          <w:lang w:val="en-US"/>
        </w:rPr>
        <w:t xml:space="preserve">induction of detoxification enzymes and oxidative stress markers, may occur within hours to days of exposure </w:t>
      </w:r>
      <w:r w:rsidR="006D3573"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{"citationID":"rtYbich0","properties":{"formattedCitation":"(Kang et al. 2022, Kim et al. 2022)","plainCitation":"(Kang et al. 2022, Kim et al. 2022)","noteIndex":0},"citationItems":[{"id":"r9E9mN5c/JENIcNdp","uris":["http://zotero.org/users/14468226/items/GI8RUWQJ"],"itemData":{"id":6609,"type":"article-journal","abstract":"Phenanthrene (PHE) is a typical compound biomagnified in the food chain which endangers human health and generally accumulates from marine life. It has been listed as one of the 16 priority PAHs evaluated in toxicology. In order to evaluate the changes of CYP1A GST mRNA expression and EROD GST enzyme activity in carp exposed to lower than safe concentrations of PHE. Long-term exposure of carp to PHE at lower than safe concentrations for up to 25 days. The mRNA expression level and cytochrome P450 (CYP1A/EROD (7-Ethoxylesorufin O-deethylase)) and glutathione S-transferase (GST) activity were measured in carp liver and brain tissue. The results showed that PHE stress induced low-concentration induction and high-concentration inhibition of CYP1A expression and EROD enzyme activity in the liver and brain of carp. In both two organs, GST enzyme activity was also induced. However, the expression of GST mRNA was first induced and then inhibited, after the 15th day. These results indicate that long-term exposure to PHE at lower than safe concentrations still poses a potential threat to carp's oxidase system and gene expression.","container-title":"International Journal of Environmental Research and Public Health","DOI":"10.3390/ijerph19042129","ISSN":"1660-4601","issue":"4","journalAbbreviation":"Int J Environ Res Public Health","language":"eng","note":"PMID: 35206316\nPMCID: PMC8872569","page":"2129","source":"PubMed","title":"Long-Term Exposure to Phenanthrene Induced Gene Expressions and Enzyme Activities of Cyprinus carpio below the Safe Concentration","volume":"19","author":[{"family":"Kang","given":"Xin"},{"family":"Li","given":"Dongpeng"},{"family":"Zhao","given":"Xiaoxiang"},{"family":"Lv","given":"Yanfeng"},{"family":"Chen","given":"Xi"},{"family":"Song","given":"Xinshan"},{"family":"Liu","given":"Xiangyu"},{"family":"Chen","given":"Chengrong"},{"family":"Cao","given":"Xin"}],"issued":{"date-parts":[["2022",2,14]]}}},{"id":"r9E9mN5c/rswdDV9T","uris":["http://zotero.org/users/14468226/items/ZZQTMILY"],"itemData":{"id":6686,"type":"article-journal","abstract":"Pale chub (Zacco platypus) is a dominant species in urban rivers and reservoirs, and it is used as an indicator to monitor the effects of environmental contaminants. Gene responses at the molecular level can reflect the health of fish challenged with environmental stressors. The objective of this study was to identify correlations between water quality factors and the expression of stress-related genes in Z. platypus from different lake environments (Singal and Juam Lakes). To do so, transcriptional responses of genes involving cellular homeostasis (heat-shock protein 70, HSP70; heat-shock protein 90, HSP90), metal detoxification (metallothionein, MT), and antioxidation (superoxide dismutase, SOD; catalase, CAT) were analyzed in the gill and liver tissues of Z. platypus. HSP70, HSP90, and MT genes were overall upregulated in Z. platypus from Singal Lake, which suffered from poorer water quality than Juam Lake. In addition, gene responses were significantly higher in Singal Lake outflow. Upregulation of HSP70, HSP90, and MT was significantly higher in Z. platypus gills than in the liver tissue. In addition, integrated biomarker response and heatmap analysis determined correlations between expression of biomarker genes or water quality factors and sampling sites of both lakes. These results suggest that stress-related genes used as multiple biomarkers may reflect spatial characteristics and water quality of different lake environments, and they can be used for biomonitoring and ecological risk assessment.","container-title":"International Journal of Environmental Research and Public Health","DOI":"10.3390/ijerph191811471","ISSN":"1660-4601","issue":"18","journalAbbreviation":"Int J Environ Res Public Health","language":"eng","note":"PMID: 36141743\nPMCID: PMC9517483","page":"11471","source":"PubMed","title":"Transcriptional Responses of Stress-Related Genes in Pale Chub (Zacco platypus) Inhabiting Different Aquatic Environments: Application for Biomonitoring Aquatic Ecosystems","title-short":"Transcriptional Responses of Stress-Related Genes in Pale Chub (Zacco platypus) Inhabiting Different Aquatic Environments","volume":"19","author":[{"family":"Kim","given":"Won-Seok"},{"family":"Park","given":"Kiyun"},{"family":"Park","given":"Jae-Won"},{"family":"Lee","given":"Sun-Ho"},{"family":"Kim","given":"Ji-Hoon"},{"family":"Kim","given":"Yong-Jun"},{"family":"Oh","given":"Gun-Hee"},{"family":"Ko","given":"Bong-Soon"},{"family":"Park","given":"Ji-Won"},{"family":"Hong","given":"Cheol"},{"family":"Yu","given":"Tae-Sik"},{"family":"Kwak","given":"Ihn-Sil"}],"issued":{"date-parts":[["2022",9,12]]}}}],"schema":"https://github.com/citation-style-language/schema/raw/master/csl-citation.json"} </w:instrText>
      </w:r>
      <w:r w:rsidR="006D3573" w:rsidRPr="000A1EE6">
        <w:rPr>
          <w:rFonts w:ascii="Times New Roman" w:eastAsia="Times New Roman" w:hAnsi="Times New Roman" w:cs="Times New Roman"/>
          <w:lang w:val="en-US"/>
        </w:rPr>
        <w:fldChar w:fldCharType="separate"/>
      </w:r>
      <w:r w:rsidR="00E5454F">
        <w:rPr>
          <w:rFonts w:ascii="Times New Roman" w:hAnsi="Times New Roman" w:cs="Times New Roman"/>
        </w:rPr>
        <w:t>(Kang et al. 2022, Kim et al. 2022)</w:t>
      </w:r>
      <w:r w:rsidR="006D3573"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lastRenderedPageBreak/>
        <w:t>Chronic responses, including histopathological changes and genotoxic effects, may require weeks to months to</w:t>
      </w:r>
      <w:r w:rsidRPr="000A1EE6" w:rsidDel="00F91BC5">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develop</w:t>
      </w:r>
      <w:r w:rsidR="00882CD4" w:rsidRPr="000A1EE6">
        <w:rPr>
          <w:rFonts w:ascii="Times New Roman" w:eastAsia="Times New Roman" w:hAnsi="Times New Roman" w:cs="Times New Roman"/>
          <w:lang w:val="en-US"/>
        </w:rPr>
        <w:t xml:space="preserve"> </w:t>
      </w:r>
      <w:r w:rsidR="00F91BC5" w:rsidRPr="00F91BC5">
        <w:rPr>
          <w:rFonts w:ascii="Times New Roman" w:eastAsia="Times New Roman" w:hAnsi="Times New Roman" w:cs="Times New Roman"/>
          <w:lang w:val="en-US"/>
        </w:rPr>
        <w:t xml:space="preserve">fully </w:t>
      </w:r>
      <w:r w:rsidR="009C32FF"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{"citationID":"7Uf2OUdO","properties":{"formattedCitation":"(David &amp; Kartheek 2015, Pramanik &amp; Biswas 2024)","plainCitation":"(David &amp; Kartheek 2015, Pramanik &amp; Biswas 2024)","noteIndex":0},"citationItems":[{"id":"r9E9mN5c/QuAQD8IS","uris":["http://zotero.org/users/14468226/items/3AH74SLN"],"itemData":{"id":6713,"type":"article-journal","abstract":"Aquatic ecosystems in areas with intense mining activity are often subject to cyanide contamination; the present study was aimed to evaluate the harmful effects of sodium cyanide on histoarchitechtural aspect of spleen of freshwater fish Cyprinus carpio using an in vivo approach. The fishes were exposed to a sublethal concentration of 0.2 mg/L of sodium cyanide for duration of 10 and 20 days and were further allowed to undergo recovery for 14 days in a toxicant free medium. From the present investigation findings like occurrence of haemosiderin pigment, melanomacrophage centers, vacuolation and necrotic eosinophils were evident in all the fishes exposed to sodium cyanide. However, changes were more pronounced in fish subjected to 10 days of exposure, which was followed by 20 days of exposure and 14 days of recovery. The study revealed that there seemed to be the presence of homeostatic mechanism in fish that allows them to stabilize and overcome stress, which in present case is caused by sublethal concentration of sodium cyanide. Since the recovery phenomenon may be adaptive and even strategic, the present investigation also throws a light on adaptive behaviour of fish under stressful environments.","container-title":"Open Veterinary Journal","ISSN":"2226-4485","issue":"1","journalAbbreviation":"Open Vet J","language":"eng","note":"PMID: 26623354\nPMCID: PMC4629564","page":"1-5","source":"PubMed","title":"Histopathological alterations in spleen of freshwater fish Cyprinus carpio exposed to sublethal concentration of sodium cyanide","volume":"5","author":[{"family":"David","given":"M."},{"family":"Kartheek","given":"R. M."}],"issued":{"date-parts":[["2015"]]}}},{"id":"r9E9mN5c/n04IheIR","uris":["http://zotero.org/users/14468226/items/RZHTBMHA"],"itemData":{"id":6669,"type":"article-journal","abstract":"The current investigation examined histopathological and serum biochemical profiles to assess the interactive effects of river Saraswati’s impaired physicochemical regime and parasite infection by ectoparasites (Trichodina sp., Gyrodactylus sp.) and endoparasites (Eustrongylides sp.) on health of fish (Channa punctatus). This study aimed at assessing the synergistic effects of the degraded water quality and parasitization on fish health looking through the lens of histopathology and serum biochemistry. Low dissolved O2, high free CO2, biochemical oxygen demand (BOD), and chemical oxygen demand (COD) indicate deteriorating water quality due to organic loading. The histopathological investigations revealed distinctive histopathological changes in gill, liver, and kidney of the fish as “signature” impairments inflicted by chronic (co)exposure to pollution and/or parasitization. Stress enzymes and altered serum biochemistry furnish excellent indicators of fish health because of their correlation with pollution and parasitization. Destined in a vicious cycle, fish health becomes adversely affected by degrading water qualities and parasitic infection in solo or combo.","container-title":"iScience","DOI":"10.1016/j.isci.2024.111432","ISSN":"2589-0042","issue":"12","journalAbbreviation":"iScience","page":"111432","source":"ScienceDirect","title":"Histopathological fingerprints and biochemical changes as multi-stress biomarkers in fish confronting concurrent pollution and parasitization","volume":"27","author":[{"family":"Pramanik","given":"Sasanka"},{"family":"Biswas","given":"Jayanta Kumar"}],"issued":{"date-parts":[["2024",12,20]]}}}],"schema":"https://github.com/citation-style-language/schema/raw/master/csl-citation.json"} </w:instrText>
      </w:r>
      <w:r w:rsidR="009C32FF" w:rsidRPr="000A1EE6">
        <w:rPr>
          <w:rFonts w:ascii="Times New Roman" w:eastAsia="Times New Roman" w:hAnsi="Times New Roman" w:cs="Times New Roman"/>
          <w:lang w:val="en-US"/>
        </w:rPr>
        <w:fldChar w:fldCharType="separate"/>
      </w:r>
      <w:r w:rsidR="00E5454F">
        <w:rPr>
          <w:rFonts w:ascii="Times New Roman" w:hAnsi="Times New Roman" w:cs="Times New Roman"/>
        </w:rPr>
        <w:t>(David &amp; Kartheek 2015, Pramanik &amp; Biswas 2024)</w:t>
      </w:r>
      <w:r w:rsidR="009C32FF"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Recovery patterns following </w:t>
      </w:r>
      <w:r w:rsidR="002B2DA7">
        <w:rPr>
          <w:rFonts w:ascii="Times New Roman" w:eastAsia="Times New Roman" w:hAnsi="Times New Roman" w:cs="Times New Roman"/>
          <w:lang w:val="en-US"/>
        </w:rPr>
        <w:t xml:space="preserve">the </w:t>
      </w:r>
      <w:r w:rsidRPr="000A1EE6">
        <w:rPr>
          <w:rFonts w:ascii="Times New Roman" w:eastAsia="Times New Roman" w:hAnsi="Times New Roman" w:cs="Times New Roman"/>
          <w:lang w:val="en-US"/>
        </w:rPr>
        <w:t xml:space="preserve">cessation of exposure vary among endpoints, with some showing rapid </w:t>
      </w:r>
      <w:r w:rsidR="00EC67B8">
        <w:rPr>
          <w:rFonts w:ascii="Times New Roman" w:eastAsia="Times New Roman" w:hAnsi="Times New Roman" w:cs="Times New Roman"/>
          <w:lang w:val="en-US"/>
        </w:rPr>
        <w:t>normalization</w:t>
      </w:r>
      <w:r w:rsidRPr="000A1EE6">
        <w:rPr>
          <w:rFonts w:ascii="Times New Roman" w:eastAsia="Times New Roman" w:hAnsi="Times New Roman" w:cs="Times New Roman"/>
          <w:lang w:val="en-US"/>
        </w:rPr>
        <w:t xml:space="preserve"> </w:t>
      </w:r>
      <w:r w:rsidR="005F4543" w:rsidRPr="000A1EE6">
        <w:rPr>
          <w:rFonts w:ascii="Times New Roman" w:eastAsia="Times New Roman" w:hAnsi="Times New Roman" w:cs="Times New Roman"/>
          <w:lang w:val="en-US"/>
        </w:rPr>
        <w:t xml:space="preserve">and </w:t>
      </w:r>
      <w:r w:rsidRPr="000A1EE6">
        <w:rPr>
          <w:rFonts w:ascii="Times New Roman" w:eastAsia="Times New Roman" w:hAnsi="Times New Roman" w:cs="Times New Roman"/>
          <w:lang w:val="en-US"/>
        </w:rPr>
        <w:t>others persist</w:t>
      </w:r>
      <w:r w:rsidR="005E0748" w:rsidRPr="000A1EE6">
        <w:rPr>
          <w:rFonts w:ascii="Times New Roman" w:eastAsia="Times New Roman" w:hAnsi="Times New Roman" w:cs="Times New Roman"/>
          <w:lang w:val="en-US"/>
        </w:rPr>
        <w:t>ing</w:t>
      </w:r>
      <w:r w:rsidRPr="000A1EE6">
        <w:rPr>
          <w:rFonts w:ascii="Times New Roman" w:eastAsia="Times New Roman" w:hAnsi="Times New Roman" w:cs="Times New Roman"/>
          <w:lang w:val="en-US"/>
        </w:rPr>
        <w:t xml:space="preserve"> for extended periods </w:t>
      </w:r>
      <w:r w:rsidR="00C25169"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{"citationID":"bhTtT9do","properties":{"formattedCitation":"(David &amp; Kartheek 2015, Martins et al. 2018)","plainCitation":"(David &amp; Kartheek 2015, Martins et al. 2018)","noteIndex":0},"citationItems":[{"id":"r9E9mN5c/QuAQD8IS","uris":["http://zotero.org/users/14468226/items/3AH74SLN"],"itemData":{"id":6713,"type":"article-journal","abstract":"Aquatic ecosystems in areas with intense mining activity are often subject to cyanide contamination; the present study was aimed to evaluate the harmful effects of sodium cyanide on histoarchitechtural aspect of spleen of freshwater fish Cyprinus carpio using an in vivo approach. The fishes were exposed to a sublethal concentration of 0.2 mg/L of sodium cyanide for duration of 10 and 20 days and were further allowed to undergo recovery for 14 days in a toxicant free medium. From the present investigation findings like occurrence of haemosiderin pigment, melanomacrophage centers, vacuolation and necrotic eosinophils were evident in all the fishes exposed to sodium cyanide. However, changes were more pronounced in fish subjected to 10 days of exposure, which was followed by 20 days of exposure and 14 days of recovery. The study revealed that there seemed to be the presence of homeostatic mechanism in fish that allows them to stabilize and overcome stress, which in present case is caused by sublethal concentration of sodium cyanide. Since the recovery phenomenon may be adaptive and even strategic, the present investigation also throws a light on adaptive behaviour of fish under stressful environments.","container-title":"Open Veterinary Journal","ISSN":"2226-4485","issue":"1","journalAbbreviation":"Open Vet J","language":"eng","note":"PMID: 26623354\nPMCID: PMC4629564","page":"1-5","source":"PubMed","title":"Histopathological alterations in spleen of freshwater fish Cyprinus carpio exposed to sublethal concentration of sodium cyanide","volume":"5","author":[{"family":"David","given":"M."},{"family":"Kartheek","given":"R. M."}],"issued":{"date-parts":[["2015"]]}}},{"id":"r9E9mN5c/Y8soNcY4","uris":["http://zotero.org/users/14468226/items/RJLBCUZL"],"itemData":{"id":6994,"type":"article-journal","abstract":"Addressing the risk of mixed carcinogens in vivo under environmentally-realistic scenarios is still a challenge. Searching for adequate biomarkers of exposure requires understanding molecular pathways and their connection with neoplasia-related benchmark pathologies. Subjecting the zebrafish model to realistic concentrations of two genotoxicants and carcinogens, cadmium and benzo[a]pyrene, isolated and combined, yielded low levels of DNA damage. Altogether, the organisms’ mechanisms of DNA repair, oxidative stress and phases I and II were not overwhelmed after two weeks of treatment. Still, transcriptional responses related to detoxification (epoxide hydrolase and UDP-glucuronosyltransferase) were higher in animals subjected to the combination treatment, inclusively following depuration. Nonetheless, inflammation and formation of hyperplasic foci in fish epithelia were more severe in animals exposed to the combined substances, showing slower recovery during depuration. Additionally, the combination treatment yielded unexpected increased expression of a ras-family oncogene homologue after depuration, with evidence for increased tp53 counter-response in the same period. The findings indicate that oncogene expression, cell proliferation and inflammation, may not require noticeable DNA damage to occur. Furthermore, albeit absent proof for neoplasic growth, the removal of chemical insult may promote tissue recovery but does not entirely clear molecular and histopathological endpoints that are commonly associated to neoplasia.","container-title":"Scientific Reports","DOI":"10.1038/s41598-018-21975-w","ISSN":"2045-2322","issue":"1","language":"en","license":"2018 The Author(s)","note":"publisher: Nature Publishing Group","page":"3649","source":"www.nature.com","title":"Co-exposure to environmental carcinogens in vivo induces neoplasia-related hallmarks in low-genotoxicity events, even after removal of insult","volume":"8","author":[{"family":"Martins","given":"Marta"},{"family":"Silva","given":"Ana"},{"family":"Costa","given":"Maria H."},{"family":"Miguel","given":"Célia"},{"family":"Costa","given":"Pedro M."}],"issued":{"date-parts":[["2018",2,26]]}}}],"schema":"https://github.com/citation-style-language/schema/raw/master/csl-citation.json"} </w:instrText>
      </w:r>
      <w:r w:rsidR="00C25169" w:rsidRPr="000A1EE6">
        <w:rPr>
          <w:rFonts w:ascii="Times New Roman" w:eastAsia="Times New Roman" w:hAnsi="Times New Roman" w:cs="Times New Roman"/>
          <w:lang w:val="en-US"/>
        </w:rPr>
        <w:fldChar w:fldCharType="separate"/>
      </w:r>
      <w:r w:rsidR="00E5454F">
        <w:rPr>
          <w:rFonts w:ascii="Times New Roman" w:hAnsi="Times New Roman" w:cs="Times New Roman"/>
        </w:rPr>
        <w:t>(David &amp; Kartheek 2015, Martins et al. 2018)</w:t>
      </w:r>
      <w:r w:rsidR="00C25169"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w:t>
      </w:r>
    </w:p>
    <w:p w14:paraId="6F99AF33" w14:textId="3C5C682B" w:rsidR="00CE59A9" w:rsidRPr="000A1EE6" w:rsidRDefault="47EE4892" w:rsidP="000A1EE6">
      <w:pPr>
        <w:spacing w:line="480" w:lineRule="auto"/>
        <w:jc w:val="both"/>
        <w:rPr>
          <w:rFonts w:ascii="Times New Roman" w:eastAsia="Times New Roman" w:hAnsi="Times New Roman" w:cs="Times New Roman"/>
          <w:lang w:val="en-US"/>
        </w:rPr>
      </w:pPr>
      <w:r w:rsidRPr="47EE4892">
        <w:rPr>
          <w:rFonts w:ascii="Times New Roman" w:eastAsia="Times New Roman" w:hAnsi="Times New Roman" w:cs="Times New Roman"/>
          <w:lang w:val="en-US"/>
        </w:rPr>
        <w:t xml:space="preserve">The spatial patterns of biomarker responses provide valuable information regarding contamination gradients and their ecological impacts </w:t>
      </w:r>
      <w:r w:rsidR="00D027DA"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{"citationID":"1MArvku9","properties":{"formattedCitation":"(Gabriel et al. 2020, da Silva Montes et al. 2020, Chan et al. 2021)","plainCitation":"(Gabriel et al. 2020, da Silva Montes et al. 2020, Chan et al. 2021)","noteIndex":0},"citationItems":[{"id":"r9E9mN5c/PmrlHUru","uris":["http://zotero.org/users/14468226/items/HARQJCPS"],"itemData":{"id":6663,"type":"article-journal","abstract":"Metal contamination from base metal sulphide mines is a major environmental challenge that poses many ecological and health risks. We examined the metal concentrations in the Dabaoshan mine in South China in water, sediments, and aquatic organisms and their specific characteristics (i.e. size, body tissue, species, and habitat) along the Hengshi and Wengjiang River courses to assess acid mine drainage remediation efforts. Metal concentrations of arsenic, cadmium, chromium, copper, lead, nickel, thallium, and zinc were examined in tissues (i.e. gills, intestines, and muscles) of 17 freshwater species of fish, shrimps, and crabs. Metals in tissues followed the trend: intestines &gt; gills &gt; muscles; nearly all intestine samples exceeded the safe limits of metals analysed in this study. There is a positive correlation between distance from the mine and metal concentrations related to the flow of surface water and the habitat of aquatic organisms. The concentrations of arsenic, copper, and zinc were the highest in aquatic organisms, and the distribution was influenced by physical (distance from mine, currents, and seasonality), chemical (pH and competing ions), and biological (species, habitat, and predator–prey relation) factors. Large demersal fish and benthic fauna had higher concentrations of metals. Bioaccumulation and biomagnification of metals, as well as the high metal pollution index and target hazard quotient (arsenic, cadmium, copper, lead, thallium, and zinc), occurred in bottom feeders (C. aumtus, X. argentea) and fish belonging to higher trophic levels (P. fulvidraco, O. mossambicus). Lead and cadmium indicated the highest level of biomagnification from prey to predator. Health risks exist from the dietary intake of common aquatic species such as tilapia and carp besides crustaceans due to high arsenic, cadmium, lead, and thallium levels. Further reduction of metals is necessary to improve the effects of acid mine drainage in the catchment.","container-title":"Environmental Geochemistry and Health","DOI":"10.1007/s10653-021-00923-0","ISSN":"1573-2983","issue":"11","journalAbbreviation":"Environ Geochem Health","language":"en","page":"4415-4440","source":"Springer Link","title":"Metal accumulations in aquatic organisms and health risks in an acid mine-affected site in South China","volume":"43","author":[{"family":"Chan","given":"Wing Sze"},{"family":"Routh","given":"Joyanto"},{"family":"Luo","given":"Chen"},{"family":"Dario","given":"Mårten"},{"family":"Miao","given":"Yuqing"},{"family":"Luo","given":"Dinggui"},{"family":"Wei","given":"Lezhang"}],"issued":{"date-parts":[["2021",11,1]]}}},{"id":"r9E9mN5c/OraPEYvz","uris":["http://zotero.org/users/14468226/items/A85HJ28K"],"itemData":{"id":6754,"type":"article-journal","abstract":"BACKGROUND: The Rio Doce estuary, in Brazil, was impacted by the deposition of iron mine tailings, caused by the collapse of a dam in 2015. Based on published baseline datasets, the estuary has been experiencing chronic trace metal contamination effects since 2017, with potential bioaccumulation in fishes and human health risks. As metal and metalloid concentrations in aquatic ecosystems pose severe threats to the aquatic biota, we hypothesized that the trace metals in estuarine sediments nearly two years after the disaster would lead to bioaccumulation in demersal fishes and result in the biosynthesis of metal-responsive proteins.\nMETHODS: We measured As, Cd, Cr, Cu, Fe, Mn, Pb, Se and Zn concentrations in sediment samples in August 2017 and compared to published baseline levels. Also, trace metals (As, Cd, Cr, Cu, Fe, Hg, Mn, Pb, Se and Zn) and protein (metallothionein and reduced glutathione) concentrations were quantified in the liver and muscle tissues of five fish species (Cathorops spixii, Genidens genidens, Eugerres brasilianus, Diapterus rhombeus and Mugil sp.) from the estuary, commonly used as food sources by local populations.\nRESULTS: Our results revealed high trace metal concentrations in estuarine sediments, when compared to published baseline values for the same estuary. The demersal fish species C. spixii and G. genidens had the highest concentrations of As, Cr, Mn, Hg, and Se in both, hepatic and muscle, tissues. Trace metal bioaccumulation in fish was correlated with the biosynthesis of metallothionein and reduced glutathione in both, liver and muscle, tissues, suggesting active physiological responses to contamination sources. The trace metal concentrations determined in fish tissues were also present in the estuarine sediments at the time of this study. Some elements had concentrations above the maximum permissible limits for human consumption in fish muscles (e.g., As, Cr, Mn, Se and Zn), suggesting potential human health risks that require further studies. Our study supports the high biogeochemical mobility of toxic elements between sediments and the bottom-dwelling biota in estuarine ecosystems.","container-title":"PeerJ","DOI":"10.7717/peerj.10266","ISSN":"2167-8359","journalAbbreviation":"PeerJ","language":"eng","note":"PMID: 33194429\nPMCID: PMC7602685","page":"e10266","source":"PubMed","title":"Contamination and oxidative stress biomarkers in estuarine fish following a mine tailing disaster","volume":"8","author":[{"family":"Gabriel","given":"Fabrício Â"},{"family":"Hauser-Davis","given":"Rachel Ann"},{"family":"Soares","given":"Lorena"},{"family":"Mazzuco","given":"Ana Carolina A."},{"family":"Rocha","given":"Rafael Christian Chavez"},{"family":"Saint Pierre","given":"Tatiana D."},{"family":"Saggioro","given":"Enrico"},{"family":"Correia","given":"Fabio Verissimo"},{"family":"Ferreira","given":"Tiago O."},{"family":"Bernardino","given":"Angelo F."}],"issued":{"date-parts":[["2020"]]}}},{"id":"r9E9mN5c/ljIYnjBs","uris":["http://zotero.org/users/14468226/items/IXQ95PAL"],"itemData":{"id":6757,"type":"article-journal","abstract":"The present field study aimed to assess the water quality of the Itacaiúnas River, located at the eastern part of the Brazilian Amazon, using water's physicochemical parameters, ecological risk assessment in sediments, biomarkers and metal bioaccumulation in piranhas at two points: upstream (P1) and downstream (P2), and the type of season (Dry and Rainy). We revealed a significant difference between the points and the seasons. Concerning, the concentration of metals (Cd, Cu, Zn, Cr, and Hg) in sediment and water, we reported significant concentrations of Cd and Cu especially on P2 at dry season. The fish gills collected in P2 showed various types of damages (moderate and severe), furthermore, the Degree of Tissue Change (DTC) reported a significant difference between points, highlighting the dreadful condition in animals' health originated from this point. In terms of the biotransformation enzyme, the GST activity was higher in fishes from P2 in both seasons. The obtained results showed clear signs of stress in fish from the downstream point. Linear correlation analysis exhibited that the biomarkers' response could be linked to the detected metals bioaccumulation. This field investigation provides baseline data on pollution status in this region and the results showed that although the overall potential ecological risks of the metals were considered low at our sampling sites including cadmium, however, Cd posed a noteworthy monomial potential ecological risk factor. Strong evidence of correlation was obtained between Cd in the environment with the gills' damage in fishes from P2. The results also indicated that S. rhombeus could be useful for biomonitoring species for assessing metal contamination.","container-title":"Heliyon","DOI":"10.1016/j.heliyon.2020.e04666","ISSN":"2405-8440","issue":"8","journalAbbreviation":"Heliyon","language":"eng","note":"PMID: 32904315\nPMCID: PMC7452536","page":"e04666","source":"PubMed","title":"Evaluation of metal contamination effects in piranhas through biomonitoring and multi biomarkers approach","volume":"6","author":[{"family":"Silva Montes","given":"Caroline","non-dropping-particle":"da"},{"family":"Pantoja Ferreira","given":"Maria Auxiliadora"},{"family":"Giarrizzo","given":"Tommaso"},{"family":"Amado","given":"Lílian Lund"},{"family":"Rocha","given":"Rossineide Martins"}],"issued":{"date-parts":[["2020",8]]}}}],"schema":"https://github.com/citation-style-language/schema/raw/master/csl-citation.json"}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00E5454F">
        <w:rPr>
          <w:rFonts w:ascii="Times New Roman" w:hAnsi="Times New Roman" w:cs="Times New Roman"/>
        </w:rPr>
        <w:t>(Gabriel et al. 2020, da Silva Montes et al. 2020, Chan et al. 2021)</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Studies on mining-affected river systems typically show distance-related patterns of biological effects, with the most pronounced responses occurring near contamination sources and gradual downstream recovery  </w:t>
      </w:r>
      <w:r w:rsidR="00D027DA"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{"citationID":"tZNnKiXc","properties":{"formattedCitation":"(Gabriel et al. 2020, Chan et al. 2021)","plainCitation":"(Gabriel et al. 2020, Chan et al. 2021)","noteIndex":0},"citationItems":[{"id":"r9E9mN5c/PmrlHUru","uris":["http://zotero.org/users/14468226/items/HARQJCPS"],"itemData":{"id":6663,"type":"article-journal","abstract":"Metal contamination from base metal sulphide mines is a major environmental challenge that poses many ecological and health risks. We examined the metal concentrations in the Dabaoshan mine in South China in water, sediments, and aquatic organisms and their specific characteristics (i.e. size, body tissue, species, and habitat) along the Hengshi and Wengjiang River courses to assess acid mine drainage remediation efforts. Metal concentrations of arsenic, cadmium, chromium, copper, lead, nickel, thallium, and zinc were examined in tissues (i.e. gills, intestines, and muscles) of 17 freshwater species of fish, shrimps, and crabs. Metals in tissues followed the trend: intestines &gt; gills &gt; muscles; nearly all intestine samples exceeded the safe limits of metals analysed in this study. There is a positive correlation between distance from the mine and metal concentrations related to the flow of surface water and the habitat of aquatic organisms. The concentrations of arsenic, copper, and zinc were the highest in aquatic organisms, and the distribution was influenced by physical (distance from mine, currents, and seasonality), chemical (pH and competing ions), and biological (species, habitat, and predator–prey relation) factors. Large demersal fish and benthic fauna had higher concentrations of metals. Bioaccumulation and biomagnification of metals, as well as the high metal pollution index and target hazard quotient (arsenic, cadmium, copper, lead, thallium, and zinc), occurred in bottom feeders (C. aumtus, X. argentea) and fish belonging to higher trophic levels (P. fulvidraco, O. mossambicus). Lead and cadmium indicated the highest level of biomagnification from prey to predator. Health risks exist from the dietary intake of common aquatic species such as tilapia and carp besides crustaceans due to high arsenic, cadmium, lead, and thallium levels. Further reduction of metals is necessary to improve the effects of acid mine drainage in the catchment.","container-title":"Environmental Geochemistry and Health","DOI":"10.1007/s10653-021-00923-0","ISSN":"1573-2983","issue":"11","journalAbbreviation":"Environ Geochem Health","language":"en","page":"4415-4440","source":"Springer Link","title":"Metal accumulations in aquatic organisms and health risks in an acid mine-affected site in South China","volume":"43","author":[{"family":"Chan","given":"Wing Sze"},{"family":"Routh","given":"Joyanto"},{"family":"Luo","given":"Chen"},{"family":"Dario","given":"Mårten"},{"family":"Miao","given":"Yuqing"},{"family":"Luo","given":"Dinggui"},{"family":"Wei","given":"Lezhang"}],"issued":{"date-parts":[["2021",11,1]]}}},{"id":"r9E9mN5c/OraPEYvz","uris":["http://zotero.org/users/14468226/items/A85HJ28K"],"itemData":{"id":6754,"type":"article-journal","abstract":"BACKGROUND: The Rio Doce estuary, in Brazil, was impacted by the deposition of iron mine tailings, caused by the collapse of a dam in 2015. Based on published baseline datasets, the estuary has been experiencing chronic trace metal contamination effects since 2017, with potential bioaccumulation in fishes and human health risks. As metal and metalloid concentrations in aquatic ecosystems pose severe threats to the aquatic biota, we hypothesized that the trace metals in estuarine sediments nearly two years after the disaster would lead to bioaccumulation in demersal fishes and result in the biosynthesis of metal-responsive proteins.\nMETHODS: We measured As, Cd, Cr, Cu, Fe, Mn, Pb, Se and Zn concentrations in sediment samples in August 2017 and compared to published baseline levels. Also, trace metals (As, Cd, Cr, Cu, Fe, Hg, Mn, Pb, Se and Zn) and protein (metallothionein and reduced glutathione) concentrations were quantified in the liver and muscle tissues of five fish species (Cathorops spixii, Genidens genidens, Eugerres brasilianus, Diapterus rhombeus and Mugil sp.) from the estuary, commonly used as food sources by local populations.\nRESULTS: Our results revealed high trace metal concentrations in estuarine sediments, when compared to published baseline values for the same estuary. The demersal fish species C. spixii and G. genidens had the highest concentrations of As, Cr, Mn, Hg, and Se in both, hepatic and muscle, tissues. Trace metal bioaccumulation in fish was correlated with the biosynthesis of metallothionein and reduced glutathione in both, liver and muscle, tissues, suggesting active physiological responses to contamination sources. The trace metal concentrations determined in fish tissues were also present in the estuarine sediments at the time of this study. Some elements had concentrations above the maximum permissible limits for human consumption in fish muscles (e.g., As, Cr, Mn, Se and Zn), suggesting potential human health risks that require further studies. Our study supports the high biogeochemical mobility of toxic elements between sediments and the bottom-dwelling biota in estuarine ecosystems.","container-title":"PeerJ","DOI":"10.7717/peerj.10266","ISSN":"2167-8359","journalAbbreviation":"PeerJ","language":"eng","note":"PMID: 33194429\nPMCID: PMC7602685","page":"e10266","source":"PubMed","title":"Contamination and oxidative stress biomarkers in estuarine fish following a mine tailing disaster","volume":"8","author":[{"family":"Gabriel","given":"Fabrício Â"},{"family":"Hauser-Davis","given":"Rachel Ann"},{"family":"Soares","given":"Lorena"},{"family":"Mazzuco","given":"Ana Carolina A."},{"family":"Rocha","given":"Rafael Christian Chavez"},{"family":"Saint Pierre","given":"Tatiana D."},{"family":"Saggioro","given":"Enrico"},{"family":"Correia","given":"Fabio Verissimo"},{"family":"Ferreira","given":"Tiago O."},{"family":"Bernardino","given":"Angelo F."}],"issued":{"date-parts":[["2020"]]}}}],"schema":"https://github.com/citation-style-language/schema/raw/master/csl-citation.json"}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00E5454F">
        <w:rPr>
          <w:rFonts w:ascii="Times New Roman" w:hAnsi="Times New Roman" w:cs="Times New Roman"/>
        </w:rPr>
        <w:t>(Gabriel et al. 2020, Chan et al. 2021)</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These spatial patterns can inform management decisions regarding critical habitat areas and restoration priorities </w:t>
      </w:r>
      <w:r w:rsidR="00D027DA"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{"citationID":"U35nnEFG","properties":{"formattedCitation":"(Hall et al. 2014)","plainCitation":"(Hall et al. 2014)","noteIndex":0},"citationItems":[{"id":"r9E9mN5c/JFUrgMOn","uris":["http://zotero.org/users/14468226/items/MY8VXRLI"],"itemData":{"id":6760,"type":"article-journal","abstract":"Watershed, riparian zone, and in-stream habitat reclamation activities were implemented following surface coal mining in a headwater stream watershed. A three-year post-reclamation assessment was conducted of water quality, habitat, and biological communities. Water quality in reclaimed reaches was generally similar to that of the reference reach. Stream habitat assessments indicated “suboptimal” conditions for reference and reclaimed reaches. Fish index of biotic integrity scores indicated “fair” biotic status for reference and re-claimed reaches. Benthic macroinvertebrate riffle and multi-habitat community metrics indicated slight or no impairment in the reclaimed reaches as compared to the reference reach, and a mussel community was quickly established in reclaimed reaches despite its pre-mining absence. Overall, water quality, habitat, and biological conditions in reclaimed stream reaches were similar to those of the reference reach, demonstrating that small headwater streams can quickly recover following reclamation techniques suitable to the ecological setting. However, the recovery may have been a function of the quality of the biological communities being somewhat limited by the flat topography of the local and regional watershed.","container-title":"Environment and Natural Resources Research","DOI":"10.5539/enrr.v4n3p204","ISSN":"1927-0488","issue":"3","language":"en","license":"Copyright (c) 2014 Scott Hall,Dave Beeson,Richard Lockwood","note":"number: 3","page":"p204","source":"ccsenet.org","title":"Recovery of Stream Communities Following Surface Coal Mine Reclamation","volume":"4","author":[{"family":"Hall","given":"Scott"},{"family":"Beeson","given":"Dave"},{"family":"Lockwood","given":"Richard"}],"issued":{"date-parts":[["2014",8,10]]}}}],"schema":"https://github.com/citation-style-language/schema/raw/master/csl-citation.json"}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00E5454F">
        <w:rPr>
          <w:rFonts w:ascii="Times New Roman" w:hAnsi="Times New Roman" w:cs="Times New Roman"/>
        </w:rPr>
        <w:t>(Hall et al. 2014)</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 correlation between biomarker responses and contaminant body burden validates cause-and-effect relationships and supports the use of biomarkers in environmental monitoring </w:t>
      </w:r>
      <w:r w:rsidR="00D027DA"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{"citationID":"xydBg7sR","properties":{"formattedCitation":"(Porte et al. 2002, Jiri et al. 2018, da Silva Montes et al. 2020)","plainCitation":"(Porte et al. 2002, Jiri et al. 2018, da Silva Montes et al. 2020)","noteIndex":0},"citationItems":[{"id":"r9E9mN5c/DuqNMOWI","uris":["http://zotero.org/users/14468226/items/6ZPYVM96"],"itemData":{"id":6654,"type":"article-journal","abstract":"This study investigated the use of an exotic fish species Oreochromis niloticus as a bio-indicator organism in active biomonitoring of Yellow Jacket and Mazowe rivers, Zimbabwe, receiving acid mine drainage from Iron Duke Mine. The Yellow Jacket River flows through Iron Duke Pyrite Mine while the Mazowe River passes through the Mazowe factory and estate shop that receives runoff from intensive agricultural activities. Active biomonitoring (ABM) exposures were conducted for 6 weeks in effluent-contaminated sections of the rivers during high flow, from February to March 2013. A set of biomarkers of exposure and effect (glutathione S-transferase, catalase and metallothioneins) were selected and their responses determined in O. niloticus liver, gills and muscle. We hypothesized that the increase in activities of GST, CAT and MT in exposed fish, in comparison to control fish, can be used to assess river water quality using O. niloticus. Biomarker expression was measured after 4 and 6 weeks and compared against control fish kept under laboratory conditions without contaminants. Concentrations of zinc, cadmium, chromium, nickel, lead, copper, manganese, arsenic and iron were measured in flowing water, riverbed sediments and muscle tissue of actively biomonitored O. niloticus. Key water quality parameters, including dissolved oxygen and conductivity, clearly showed a pollution gradient from Iron Duke Mine. Expression of CAT and GST was highest in the liver, compared to gills and muscles, after 4 and 6 weeks of exposure, and their expression was lower (p &amp;lt; 0.05) in control fish. The expression of the enzymes was not significantly different after 6 weeks compared to 4 weeks. Increased enzyme expressions at Site 1, which is upstream from Iron Duke Mine, were comparable to enzyme expressions at Sites 3, 4, 5 and 6, which correlated with increased zinc concentrations in the exposed fish muscle tissue. The general order of metal concentrations was sediments &amp;gt; water &amp;gt; fish, except for zinc, which had the highest bioconcentration factors. Using the GST, CAT and MT we concluded that Mazowe and Yellow Jacket rivers are contaminated and that these oxidative stress biomarkers can successfully be used in assessing pollution from point sources such as acid mine drainage, as well as diffuse sources of pollutants such as commercial agriculture.Keywords: acid mine drainage, active biomonitoring, biomarkers, fish, pollutants","container-title":"Water SA","DOI":"10.4314/wsa.v44i2.17","ISSN":"1816-7950","issue":"2","language":"en","license":"Copyright (c)","note":"number: 2","page":"318-327","source":"www.ajol.info","title":"Oxidative stress biomarkers in Oreochromis niloticus as early warning signals in assessing pollution from acid mine drainage and diffuse sources of pollutants in a subtropical river","volume":"44","author":[{"family":"Jiri","given":"Z."},{"family":"Tazvivinga","given":"A."},{"family":"Greenfield","given":"R."},{"family":"Vuren","given":"JHJ","dropping-particle":"van"}],"issued":{"date-parts":[["2018"]]}}},{"id":"r9E9mN5c/7H2ugkBR","uris":["http://zotero.org/users/14468226/items/2L5AE4IW"],"itemData":{"id":5567,"type":"article-journal","abstract":"Muscle concentrations of organochlorinated compounds as well as biliary levels of polycyclic aromatic hydrocarbon (PAH) metabolites were determined in red mullet Mullus barbatus as a...","container-title":"Marine Ecology Progress Series","DOI":"10.3354/meps235205","ISSN":"1616-1599, 0171-8630","language":"en","page":"205-216","source":"www.int-res.com","title":"Assessment of coastal pollution by combined determination of chemical and biochemical markers in Mullus barbatus","volume":"235","author":[{"family":"Porte","given":"Cinta"},{"family":"Escartín","given":"Estefania"},{"family":"Parra*","given":"Luz M. García","dropping-particle":"de la"},{"family":"Biosca","given":"Xavier"},{"family":"Albaigés","given":"Joan"}],"issued":{"date-parts":[["2002",6,19]]}}},{"id":"r9E9mN5c/ljIYnjBs","uris":["http://zotero.org/users/14468226/items/IXQ95PAL"],"itemData":{"id":6757,"type":"article-journal","abstract":"The present field study aimed to assess the water quality of the Itacaiúnas River, located at the eastern part of the Brazilian Amazon, using water's physicochemical parameters, ecological risk assessment in sediments, biomarkers and metal bioaccumulation in piranhas at two points: upstream (P1) and downstream (P2), and the type of season (Dry and Rainy). We revealed a significant difference between the points and the seasons. Concerning, the concentration of metals (Cd, Cu, Zn, Cr, and Hg) in sediment and water, we reported significant concentrations of Cd and Cu especially on P2 at dry season. The fish gills collected in P2 showed various types of damages (moderate and severe), furthermore, the Degree of Tissue Change (DTC) reported a significant difference between points, highlighting the dreadful condition in animals' health originated from this point. In terms of the biotransformation enzyme, the GST activity was higher in fishes from P2 in both seasons. The obtained results showed clear signs of stress in fish from the downstream point. Linear correlation analysis exhibited that the biomarkers' response could be linked to the detected metals bioaccumulation. This field investigation provides baseline data on pollution status in this region and the results showed that although the overall potential ecological risks of the metals were considered low at our sampling sites including cadmium, however, Cd posed a noteworthy monomial potential ecological risk factor. Strong evidence of correlation was obtained between Cd in the environment with the gills' damage in fishes from P2. The results also indicated that S. rhombeus could be useful for biomonitoring species for assessing metal contamination.","container-title":"Heliyon","DOI":"10.1016/j.heliyon.2020.e04666","ISSN":"2405-8440","issue":"8","journalAbbreviation":"Heliyon","language":"eng","note":"PMID: 32904315\nPMCID: PMC7452536","page":"e04666","source":"PubMed","title":"Evaluation of metal contamination effects in piranhas through biomonitoring and multi biomarkers approach","volume":"6","author":[{"family":"Silva Montes","given":"Caroline","non-dropping-particle":"da"},{"family":"Pantoja Ferreira","given":"Maria Auxiliadora"},{"family":"Giarrizzo","given":"Tommaso"},{"family":"Amado","given":"Lílian Lund"},{"family":"Rocha","given":"Rossineide Martins"}],"issued":{"date-parts":[["2020",8]]}}}],"schema":"https://github.com/citation-style-language/schema/raw/master/csl-citation.json"}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00E5454F">
        <w:rPr>
          <w:rFonts w:ascii="Times New Roman" w:hAnsi="Times New Roman" w:cs="Times New Roman"/>
        </w:rPr>
        <w:t>(Porte et al. 2002, Jiri et al. 2018, da Silva Montes et al. 2020)</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Strong correlations between specific contaminants and the corresponding biomarker responses enhance confidence in biomarker-based assessments (</w:t>
      </w:r>
      <w:r w:rsidRPr="47EE4892">
        <w:rPr>
          <w:rFonts w:ascii="Times New Roman" w:eastAsia="Times New Roman" w:hAnsi="Times New Roman" w:cs="Times New Roman"/>
          <w:b/>
          <w:bCs/>
          <w:lang w:val="en-US"/>
        </w:rPr>
        <w:t xml:space="preserve">Figure </w:t>
      </w:r>
      <w:r w:rsidR="0035357C">
        <w:rPr>
          <w:rFonts w:ascii="Times New Roman" w:eastAsia="Times New Roman" w:hAnsi="Times New Roman" w:cs="Times New Roman"/>
          <w:b/>
          <w:bCs/>
          <w:lang w:val="en-US"/>
        </w:rPr>
        <w:t>3</w:t>
      </w:r>
      <w:r w:rsidRPr="47EE4892">
        <w:rPr>
          <w:rFonts w:ascii="Times New Roman" w:eastAsia="Times New Roman" w:hAnsi="Times New Roman" w:cs="Times New Roman"/>
          <w:lang w:val="en-US"/>
        </w:rPr>
        <w:t xml:space="preserve">) and support a mechanistic understanding of the toxicological effects </w:t>
      </w:r>
      <w:r w:rsidR="00D027DA"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{"citationID":"7uF81Zi4","properties":{"formattedCitation":"(Jiri et al. 2018, Soltani et al. 2019)","plainCitation":"(Jiri et al. 2018, Soltani et al. 2019)","noteIndex":0},"citationItems":[{"id":"r9E9mN5c/DuqNMOWI","uris":["http://zotero.org/users/14468226/items/6ZPYVM96"],"itemData":{"id":6654,"type":"article-journal","abstract":"This study investigated the use of an exotic fish species Oreochromis niloticus as a bio-indicator organism in active biomonitoring of Yellow Jacket and Mazowe rivers, Zimbabwe, receiving acid mine drainage from Iron Duke Mine. The Yellow Jacket River flows through Iron Duke Pyrite Mine while the Mazowe River passes through the Mazowe factory and estate shop that receives runoff from intensive agricultural activities. Active biomonitoring (ABM) exposures were conducted for 6 weeks in effluent-contaminated sections of the rivers during high flow, from February to March 2013. A set of biomarkers of exposure and effect (glutathione S-transferase, catalase and metallothioneins) were selected and their responses determined in O. niloticus liver, gills and muscle. We hypothesized that the increase in activities of GST, CAT and MT in exposed fish, in comparison to control fish, can be used to assess river water quality using O. niloticus. Biomarker expression was measured after 4 and 6 weeks and compared against control fish kept under laboratory conditions without contaminants. Concentrations of zinc, cadmium, chromium, nickel, lead, copper, manganese, arsenic and iron were measured in flowing water, riverbed sediments and muscle tissue of actively biomonitored O. niloticus. Key water quality parameters, including dissolved oxygen and conductivity, clearly showed a pollution gradient from Iron Duke Mine. Expression of CAT and GST was highest in the liver, compared to gills and muscles, after 4 and 6 weeks of exposure, and their expression was lower (p &amp;lt; 0.05) in control fish. The expression of the enzymes was not significantly different after 6 weeks compared to 4 weeks. Increased enzyme expressions at Site 1, which is upstream from Iron Duke Mine, were comparable to enzyme expressions at Sites 3, 4, 5 and 6, which correlated with increased zinc concentrations in the exposed fish muscle tissue. The general order of metal concentrations was sediments &amp;gt; water &amp;gt; fish, except for zinc, which had the highest bioconcentration factors. Using the GST, CAT and MT we concluded that Mazowe and Yellow Jacket rivers are contaminated and that these oxidative stress biomarkers can successfully be used in assessing pollution from point sources such as acid mine drainage, as well as diffuse sources of pollutants such as commercial agriculture.Keywords: acid mine drainage, active biomonitoring, biomarkers, fish, pollutants","container-title":"Water SA","DOI":"10.4314/wsa.v44i2.17","ISSN":"1816-7950","issue":"2","language":"en","license":"Copyright (c)","note":"number: 2","page":"318-327","source":"www.ajol.info","title":"Oxidative stress biomarkers in Oreochromis niloticus as early warning signals in assessing pollution from acid mine drainage and diffuse sources of pollutants in a subtropical river","volume":"44","author":[{"family":"Jiri","given":"Z."},{"family":"Tazvivinga","given":"A."},{"family":"Greenfield","given":"R."},{"family":"Vuren","given":"JHJ","dropping-particle":"van"}],"issued":{"date-parts":[["2018"]]}}},{"id":"r9E9mN5c/goQck2qB","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00E5454F">
        <w:rPr>
          <w:rFonts w:ascii="Times New Roman" w:hAnsi="Times New Roman" w:cs="Times New Roman"/>
        </w:rPr>
        <w:t>(Jiri et al. 2018, Soltani et al. 2019)</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Weak correlations may indicate complex exposure scenarios, metabolic factors, or confounding environmental variables that require further investigation </w:t>
      </w:r>
      <w:r w:rsidR="00D027DA"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{"citationID":"LgwgMgNk","properties":{"formattedCitation":"(Abdallah et al. 2024)","plainCitation":"(Abdallah et al. 2024)","noteIndex":0},"citationItems":[{"id":"r9E9mN5c/znEPj8dS","uris":["http://zotero.org/users/14468226/items/85UYQN4P"],"itemData":{"id":6681,"type":"article-journal","abstract":"The mechanism by which an organism can adapt to subtle environmental changes is predicated on modifications to biochemical processes within the cellular metabolism in response to such changes. Changes in these processes have the potential to induce alterations in cellular structures and tissue organization, as well as establish a causal link between fluctuations in these parameters and stressors exposure. This investigation's main goal and innovation is to evaluate the environmental stress indicators in the aquatic ecosystem of Lake Qarun. Pesticide residues in freshwater fish should be the primary focus of evaluation of environmental stressor concentrations, since they serve as bioindicators at different times and places on a spatiotemporal scale. A thorough analysis of suggestive biochemical biomarker reactions should also be conducted. The effects of environmental stressors, specifically pesticide contamination in Qarun Lake, have been observed and investigated in relation to two fish species: Solea aejabtiaca and Oreochronis niloticus. The results of a hazard assessment conducted at six sampling sites using spatio-temporal data revealed elevated mean values for the pesticides, persistent organic pollutants (POPs), organochlorines, organophosphates, and pyrethroids that were detected. A multi biomarker approach facilitates a more comprehensive understanding of stress responses induced by exposure to pollutants. As a result, the activities of the biochemical biomarkers CYP-450, GST, GSH, and LDH in the blood and liver of fish samples were found to be notably elevated. The suitability of the identified variables for biomonitoring of aquatic pollution was validated, and the data unveiled variations in sensitivity among species, implying that Nile tilapia could potentially function as a bioindicator with high sensitivity. The findings were correlated with the concentrations of detrimental organochlorines, organophosphorus, and pyrethroids in the muscles and gills. The data indicates that pollutants linked to agricultural wastes, runoff, and municipal effluent may be discharged into the lake ecosystem. Consequently, to safeguard the environment, it is essential to enforce and implement policies, acts, and regulations that already exist. Assessing the effects of additional environmental stressors on aquatic ecosystems is another way in which biomarker screening with an integrative approach improves our comprehension of how toxicants impact various levels of biological organization and is particularly useful in realistic environmental exposure scenarios.","container-title":"Environmental Geochemistry and Health","DOI":"10.1007/s10653-024-02226-6","ISSN":"1573-2983","issue":"11","journalAbbreviation":"Environ Geochem Health","language":"eng","note":"PMID: 39361177\nPMCID: PMC11449979","page":"464","source":"PubMed","title":"Assessment of biochemical biomarkers and environmental stress indicators in some freshwater fish","volume":"46","author":[{"family":"Abdallah","given":"Salwa M."},{"family":"Muhammed","given":"Reham E."},{"family":"Mohamed","given":"Reda El"},{"family":"El Daous","given":"Hala"},{"family":"Saleh","given":"Dina M."},{"family":"Ghorab","given":"Mohamed A."},{"family":"Chen","given":"Shaohua"},{"family":"El-Sayyad","given":"Gharieb S."}],"issued":{"date-parts":[["2024",10,3]]}}}],"schema":"https://github.com/citation-style-language/schema/raw/master/csl-citation.json"}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00E5454F">
        <w:rPr>
          <w:rFonts w:ascii="Times New Roman" w:hAnsi="Times New Roman" w:cs="Times New Roman"/>
        </w:rPr>
        <w:t>(Abdallah et al. 2024)</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w:t>
      </w:r>
    </w:p>
    <w:p w14:paraId="75E335A1" w14:textId="0FAA96B5" w:rsidR="00CE59A9" w:rsidRPr="000A1EE6" w:rsidRDefault="00BB7D03" w:rsidP="000A1EE6">
      <w:pPr>
        <w:spacing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Population</w:t>
      </w:r>
      <w:r w:rsidR="00CE59A9" w:rsidRPr="000A1EE6" w:rsidDel="00BB7D03">
        <w:rPr>
          <w:rFonts w:ascii="Times New Roman" w:eastAsia="Times New Roman" w:hAnsi="Times New Roman" w:cs="Times New Roman"/>
          <w:lang w:val="en-US"/>
        </w:rPr>
        <w:t>-level</w:t>
      </w:r>
      <w:r w:rsidR="00CE59A9" w:rsidRPr="000A1EE6">
        <w:rPr>
          <w:rFonts w:ascii="Times New Roman" w:eastAsia="Times New Roman" w:hAnsi="Times New Roman" w:cs="Times New Roman"/>
          <w:lang w:val="en-US"/>
        </w:rPr>
        <w:t xml:space="preserve"> consequences of individual biomarker responses represent an important area of research</w:t>
      </w:r>
      <w:r w:rsidR="006867AC" w:rsidRPr="000A1EE6">
        <w:rPr>
          <w:rFonts w:ascii="Times New Roman" w:eastAsia="Times New Roman" w:hAnsi="Times New Roman" w:cs="Times New Roman"/>
          <w:lang w:val="en-US"/>
        </w:rPr>
        <w:t xml:space="preserve"> </w:t>
      </w:r>
      <w:r w:rsidR="006867AC"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{"citationID":"QGKVRo4n","properties":{"formattedCitation":"(Hall et al. 2014, Azevedo-Santos et al. 2021, Masud &amp; Cable 2023)","plainCitation":"(Hall et al. 2014, Azevedo-Santos et al. 2021, Masud &amp; Cable 2023)","noteIndex":0},"citationItems":[{"id":"r9E9mN5c/mHp6jwo5","uris":["http://zotero.org/users/14468226/items/2LX5SEUE"],"itemData":{"id":6762,"type":"article-journal","abstract":"Azevedo-Santos, Valter M., Arcifa, Marlene S., Brito, Marcelo F. G., Agostinho, Angelo A., Hughes, Robert M., Vitule, Jean R.S., Simberloff, Daniel, Olden, Julian D., Pelicice, Fernando M. (2021): Negative impacts of mining on Neotropical freshwater fishes. Neotropical Ichthyology (e210001) 19 (3): 1-25, DOI: 10.1590/1982-0224-2021-0001, URL: http://dx.doi.org/10.1590/1982-0224-2021-0001","container-title":"Neotropical Ichthyology","DOI":"10.1590/1982-0224-2021-0001","issue":"3","page":"1-25","source":"Zenodo","title":"Negative impacts of mining on Neotropical freshwater fishes","volume":"19","author":[{"family":"Azevedo-Santos","given":"Valter M."},{"family":"Arcifa","given":"Marlene S."},{"family":"Brito","given":"Marcelo F. G."},{"family":"Agostinho","given":"Angelo A."},{"family":"Hughes","given":"Robert M."},{"family":"Vitule","given":"Jean R.S."},{"family":"Simberloff","given":"Daniel"},{"family":"Olden","given":"Julian D."},{"family":"Pelicice","given":"Fernando M."}],"issued":{"date-parts":[["2021",9,17]]}}},{"id":"r9E9mN5c/JFUrgMOn","uris":["http://zotero.org/users/14468226/items/MY8VXRLI"],"itemData":{"id":6760,"type":"article-journal","abstract":"Watershed, riparian zone, and in-stream habitat reclamation activities were implemented following surface coal mining in a headwater stream watershed. A three-year post-reclamation assessment was conducted of water quality, habitat, and biological communities. Water quality in reclaimed reaches was generally similar to that of the reference reach. Stream habitat assessments indicated “suboptimal” conditions for reference and reclaimed reaches. Fish index of biotic integrity scores indicated “fair” biotic status for reference and re-claimed reaches. Benthic macroinvertebrate riffle and multi-habitat community metrics indicated slight or no impairment in the reclaimed reaches as compared to the reference reach, and a mussel community was quickly established in reclaimed reaches despite its pre-mining absence. Overall, water quality, habitat, and biological conditions in reclaimed stream reaches were similar to those of the reference reach, demonstrating that small headwater streams can quickly recover following reclamation techniques suitable to the ecological setting. However, the recovery may have been a function of the quality of the biological communities being somewhat limited by the flat topography of the local and regional watershed.","container-title":"Environment and Natural Resources Research","DOI":"10.5539/enrr.v4n3p204","ISSN":"1927-0488","issue":"3","language":"en","license":"Copyright (c) 2014 Scott Hall,Dave Beeson,Richard Lockwood","note":"number: 3","page":"p204","source":"ccsenet.org","title":"Recovery of Stream Communities Following Surface Coal Mine Reclamation","volume":"4","author":[{"family":"Hall","given":"Scott"},{"family":"Beeson","given":"Dave"},{"family":"Lockwood","given":"Richard"}],"issued":{"date-parts":[["2014",8,10]]}}},{"id":"r9E9mN5c/3BxOQ3OL","uris":["http://zotero.org/users/14468226/items/GGABWHUJ"],"itemData":{"id":6705,"type":"article-journal","abstract":"Microplastics have been found in all surveyed ecosystems and in the diet of multiple species. Detrimental health impacts of microplastic consumption include reduced growth and fecundity, metabolic stress and immune alterations for both invertebrates and vertebrates. Limited information exists, however, on how disease resistance may be affected by microplastic exposure and consumption. Here, the impact of microplastic (0.01 and 0.05 mg l-1 of polypropylene) on fish host susceptibility to disease and mortality was assessed using the guppy Poecilia reticulata-gyrodactylid Gyrodactylus turnbulli system. Fish exposed to and/or consuming microplastic at both concentrations demonstrated significantly higher pathogen burdens over time compared with fish fed a plastic-free diet. Furthermore, microplastic (at both tested concentrations) was associated with increased mortality events for fish within all treatments, regardless of host infection status. This study adds to the growing body of evidence showing that microplastic pollution can be detrimental to fish welfare by reducing disease resistance.","container-title":"Diseases of Aquatic Organisms","DOI":"10.3354/dao03721","ISSN":"0177-5103","journalAbbreviation":"Dis Aquat Organ","language":"eng","note":"PMID: 36951256","page":"81-85","source":"PubMed","title":"Microplastic exposure and consumption increases susceptibility to gyrodactylosis and host mortality for a freshwater fish","volume":"153","author":[{"family":"Masud","given":"Numair"},{"family":"Cable","given":"Jo"}],"issued":{"date-parts":[["2023",3,23]]}}}],"schema":"https://github.com/citation-style-language/schema/raw/master/csl-citation.json"} </w:instrText>
      </w:r>
      <w:r w:rsidR="006867AC" w:rsidRPr="000A1EE6">
        <w:rPr>
          <w:rFonts w:ascii="Times New Roman" w:eastAsia="Times New Roman" w:hAnsi="Times New Roman" w:cs="Times New Roman"/>
          <w:lang w:val="en-US"/>
        </w:rPr>
        <w:fldChar w:fldCharType="separate"/>
      </w:r>
      <w:r w:rsidR="00E5454F">
        <w:rPr>
          <w:rFonts w:ascii="Times New Roman" w:hAnsi="Times New Roman" w:cs="Times New Roman"/>
        </w:rPr>
        <w:t>(Hall et al. 2014, Azevedo-Santos et al. 2021, Masud &amp; Cable 2023)</w:t>
      </w:r>
      <w:r w:rsidR="006867AC"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 xml:space="preserve">. </w:t>
      </w:r>
      <w:r w:rsidR="00CE567D">
        <w:rPr>
          <w:rFonts w:ascii="Times New Roman" w:eastAsia="Times New Roman" w:hAnsi="Times New Roman" w:cs="Times New Roman"/>
          <w:lang w:val="en-US"/>
        </w:rPr>
        <w:t>Although</w:t>
      </w:r>
      <w:r w:rsidR="00CE567D" w:rsidRPr="000A1EE6">
        <w:rPr>
          <w:rFonts w:ascii="Times New Roman" w:eastAsia="Times New Roman" w:hAnsi="Times New Roman" w:cs="Times New Roman"/>
          <w:lang w:val="en-US"/>
        </w:rPr>
        <w:t xml:space="preserve"> </w:t>
      </w:r>
      <w:r w:rsidR="00CE59A9" w:rsidRPr="000A1EE6">
        <w:rPr>
          <w:rFonts w:ascii="Times New Roman" w:eastAsia="Times New Roman" w:hAnsi="Times New Roman" w:cs="Times New Roman"/>
          <w:lang w:val="en-US"/>
        </w:rPr>
        <w:t xml:space="preserve">biomarker responses clearly indicate exposure and early biological effects, their relationships </w:t>
      </w:r>
      <w:r w:rsidR="00F30EBA" w:rsidRPr="000A1EE6">
        <w:rPr>
          <w:rFonts w:ascii="Times New Roman" w:eastAsia="Times New Roman" w:hAnsi="Times New Roman" w:cs="Times New Roman"/>
          <w:lang w:val="en-US"/>
        </w:rPr>
        <w:t>with</w:t>
      </w:r>
      <w:r w:rsidR="00CE59A9" w:rsidRPr="000A1EE6">
        <w:rPr>
          <w:rFonts w:ascii="Times New Roman" w:eastAsia="Times New Roman" w:hAnsi="Times New Roman" w:cs="Times New Roman"/>
          <w:lang w:val="en-US"/>
        </w:rPr>
        <w:t xml:space="preserve"> population-relevant endpoints</w:t>
      </w:r>
      <w:r w:rsidR="006A2C88">
        <w:rPr>
          <w:rFonts w:ascii="Times New Roman" w:eastAsia="Times New Roman" w:hAnsi="Times New Roman" w:cs="Times New Roman"/>
          <w:lang w:val="en-US"/>
        </w:rPr>
        <w:t>,</w:t>
      </w:r>
      <w:r w:rsidR="00CE59A9" w:rsidRPr="000A1EE6">
        <w:rPr>
          <w:rFonts w:ascii="Times New Roman" w:eastAsia="Times New Roman" w:hAnsi="Times New Roman" w:cs="Times New Roman"/>
          <w:lang w:val="en-US"/>
        </w:rPr>
        <w:t xml:space="preserve"> such as growth, reproduction, and survival</w:t>
      </w:r>
      <w:r w:rsidR="006A2C88">
        <w:rPr>
          <w:rFonts w:ascii="Times New Roman" w:eastAsia="Times New Roman" w:hAnsi="Times New Roman" w:cs="Times New Roman"/>
          <w:lang w:val="en-US"/>
        </w:rPr>
        <w:t>,</w:t>
      </w:r>
      <w:r w:rsidR="00CE59A9" w:rsidRPr="000A1EE6">
        <w:rPr>
          <w:rFonts w:ascii="Times New Roman" w:eastAsia="Times New Roman" w:hAnsi="Times New Roman" w:cs="Times New Roman"/>
          <w:lang w:val="en-US"/>
        </w:rPr>
        <w:t xml:space="preserve"> require careful validation</w:t>
      </w:r>
      <w:r w:rsidR="006867AC" w:rsidRPr="000A1EE6">
        <w:rPr>
          <w:rFonts w:ascii="Times New Roman" w:eastAsia="Times New Roman" w:hAnsi="Times New Roman" w:cs="Times New Roman"/>
          <w:lang w:val="en-US"/>
        </w:rPr>
        <w:t xml:space="preserve"> </w:t>
      </w:r>
      <w:r w:rsidR="006867AC"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{"citationID":"P8slwPgi","properties":{"formattedCitation":"(Hook et al. 2014, Villa-Villase\\uc0\\u241{}or et al. 2022)","plainCitation":"(Hook et al. 2014, Villa-Villaseñor et al. 2022)","noteIndex":0},"citationItems":[{"id":"r9E9mN5c/Z6m5J9ZY","uris":["http://zotero.org/users/14468226/items/CKPB8PT2"],"itemData":{"id":6751,"type":"article-journal","abstract":"Ensuring the health of aquatic ecosystems and identifying species at risk from the detrimental effects of environmental contaminants can be facilitated by integrating analytical chemical analysis with carefully selected biological endpoints measured in tissues of species of concern. These biological endpoints include molecular, biochemical and physiological markers (i.e. biomarkers) that when integrated, can clarify issues of contaminant bioavailability, bioaccumulation and ecological effects while enabling a better understanding of the effects of non-chemical stressors. In the case of contaminant stressors, an understanding of chemical modes of toxicity can be incorporated with diagnostic markers of aquatic animal physiology to help understand the health status of aquatic organisms in the field. Furthermore, new approaches in functional genomics and bioinformatics can help discriminate individual chemicals, or groups of chemicals among complex mixtures that may contribute to adverse biological effects. While the use of biomarkers is not a new paradigm, such approaches have been underutilized in the context of ecological risk assessment and natural resource damage assessment. From a regulatory standpoint, these approaches can help better assess the complex effects from coastal development activities to assessing ecosystem integrity pre- and post-development or site remediation.","container-title":"Integrated environmental assessment and management","DOI":"10.1002/ieam.1530","ISSN":"1551-3777","issue":"3","journalAbbreviation":"Integr Environ Assess Manag","note":"PMID: 24574147\nPMCID: PMC4750648","page":"327-341","source":"PubMed Central","title":"The Role of Biomarkers in the Assessment of Aquatic Ecosystem Health","volume":"10","author":[{"family":"Hook","given":"Sharon E"},{"family":"Gallagher","given":"Evan P"},{"family":"Batley","given":"Graeme E"}],"issued":{"date-parts":[["2014",7]]}}},{"id":"r9E9mN5c/JSBSLF2P","uris":["http://zotero.org/users/14468226/items/RYMMRUDA"],"itemData":{"id":6807,"type":"article-journal","abstract":"Nitrate-nitrogen (NO3-N) pollution related to anthropogenic activities is increasing in freshwater ecosystems. Knowledge about NO3-N sensitivity in freshwater wild fish is needed to understand the differential tolerance between species. Goodeinae is a subfamily of 41 endemic fishes that inhabit central Mexico, with 33 species in the IUCN red list and three extinct. Distributional patterns suggest tolerant and sensitive goodeines related to the conservation gradient of freshwater ecosystems. Four species with a differential distribution and tolerance were selected to evaluate their physiological responses to NO3-N. Fish were exposed to different NO3-N concentrations for 96 h and the median lethal concentration (LC50) was determined. Swimming disorders plus gill and liver histopathological indexes were estimated and incorporated into an Integrated Biomarker Response for each species. Skiffia lermae (LC50= 474.332 mg/L) and Xenotoca variata (LC50= 520.273 mg/L) were more sensitive than Goodea atripinnis (LC50= 953.049 mg/L) and Alloophorus robustus (LC50= 1537.13 mg/L). The typical histological damage produced by NaNO3-N exposure was fusion of secondary lamellae in gills. This was present in all species and cellular degeneration was observed at the highest concentrations. Secondary lamellae aneurysms were only observed in G. atripinnis. Liver alterations included vascular dilation in hepatic sinusoids, hyperemia and nuclear hypertrophy; higher concentrations produced hepatocyte cytoplasmic vacuolation and reduced frequency of cell nuclei. Behavioral and histopathological alterations could explain the differential species sensitivity. The results suggest that species which preserve gill function and transfer the task of detoxification to the liver might have the best chance of surviving in polluted environments. Moreover, species previously considered as tolerant may be highly susceptible to NaNO3-N exposure. Therefore, it is necessary to closely monitor NaNO3-N concentrations in freshwater ecosystems and, if possible, reduce their levels to avoid the loss of wild populations.","container-title":"Frontiers in Ecology and Evolution","DOI":"10.3389/fevo.2022.1014814","ISSN":"2296-701X","journalAbbreviation":"Front. Ecol. Evol.","language":"English","note":"publisher: Frontiers","source":"Frontiers","title":"Differential sensitivity of offspring from four species of goodeine freshwater fish to acute exposure to nitrates","URL":"https://www.frontiersin.org/journals/ecology-and-evolution/articles/10.3389/fevo.2022.1014814/full","volume":"10","author":[{"family":"Villa-Villaseñor","given":"Ivette Marai"},{"family":"Yáñez-Rivera","given":"Beatriz"},{"family":"Rueda-Jasso","given":"Rebeca Aneli"},{"family":"Herrera-Vargas","given":"Ma Antonia"},{"family":"Hernández-Morales","given":"Rubén"},{"family":"Meléndez-Herrera","given":"Esperanza"},{"family":"Domínguez-Domínguez","given":"Omar"}],"accessed":{"date-parts":[["2025",7,30]]},"issued":{"date-parts":[["2022",9,29]]}}}],"schema":"https://github.com/citation-style-language/schema/raw/master/csl-citation.json"} </w:instrText>
      </w:r>
      <w:r w:rsidR="006867AC" w:rsidRPr="000A1EE6">
        <w:rPr>
          <w:rFonts w:ascii="Times New Roman" w:eastAsia="Times New Roman" w:hAnsi="Times New Roman" w:cs="Times New Roman"/>
          <w:lang w:val="en-US"/>
        </w:rPr>
        <w:fldChar w:fldCharType="separate"/>
      </w:r>
      <w:r w:rsidR="00E5454F" w:rsidRPr="00E5454F">
        <w:rPr>
          <w:rFonts w:ascii="Times New Roman" w:hAnsi="Times New Roman" w:cs="Times New Roman"/>
          <w:kern w:val="0"/>
          <w:lang w:val="en-US"/>
        </w:rPr>
        <w:t>(Hook et al. 2014, Villa-Villaseñor et al. 2022)</w:t>
      </w:r>
      <w:r w:rsidR="006867AC"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 xml:space="preserve">. Long-term studies of fish </w:t>
      </w:r>
      <w:r w:rsidR="00CE59A9" w:rsidRPr="000A1EE6">
        <w:rPr>
          <w:rFonts w:ascii="Times New Roman" w:eastAsia="Times New Roman" w:hAnsi="Times New Roman" w:cs="Times New Roman"/>
          <w:lang w:val="en-US"/>
        </w:rPr>
        <w:lastRenderedPageBreak/>
        <w:t>populations in mining-impacted systems</w:t>
      </w:r>
      <w:r w:rsidR="00CF3ACF" w:rsidRPr="000A1EE6">
        <w:rPr>
          <w:rFonts w:ascii="Times New Roman" w:eastAsia="Times New Roman" w:hAnsi="Times New Roman" w:cs="Times New Roman"/>
          <w:lang w:val="en-US"/>
        </w:rPr>
        <w:t xml:space="preserve"> have</w:t>
      </w:r>
      <w:r w:rsidR="00CE59A9" w:rsidRPr="000A1EE6">
        <w:rPr>
          <w:rFonts w:ascii="Times New Roman" w:eastAsia="Times New Roman" w:hAnsi="Times New Roman" w:cs="Times New Roman"/>
          <w:lang w:val="en-US"/>
        </w:rPr>
        <w:t xml:space="preserve"> provide</w:t>
      </w:r>
      <w:r w:rsidR="00CF3ACF" w:rsidRPr="000A1EE6">
        <w:rPr>
          <w:rFonts w:ascii="Times New Roman" w:eastAsia="Times New Roman" w:hAnsi="Times New Roman" w:cs="Times New Roman"/>
          <w:lang w:val="en-US"/>
        </w:rPr>
        <w:t>d</w:t>
      </w:r>
      <w:r w:rsidR="00CE59A9" w:rsidRPr="000A1EE6">
        <w:rPr>
          <w:rFonts w:ascii="Times New Roman" w:eastAsia="Times New Roman" w:hAnsi="Times New Roman" w:cs="Times New Roman"/>
          <w:lang w:val="en-US"/>
        </w:rPr>
        <w:t xml:space="preserve"> opportunities to establish</w:t>
      </w:r>
      <w:r w:rsidR="0B86BA67" w:rsidRPr="000A1EE6">
        <w:rPr>
          <w:rFonts w:ascii="Times New Roman" w:eastAsia="Times New Roman" w:hAnsi="Times New Roman" w:cs="Times New Roman"/>
          <w:lang w:val="en-US"/>
        </w:rPr>
        <w:t xml:space="preserve"> </w:t>
      </w:r>
      <w:r w:rsidR="00CE59A9" w:rsidRPr="000A1EE6">
        <w:rPr>
          <w:rFonts w:ascii="Times New Roman" w:eastAsia="Times New Roman" w:hAnsi="Times New Roman" w:cs="Times New Roman"/>
          <w:lang w:val="en-US"/>
        </w:rPr>
        <w:t xml:space="preserve"> critical linkages between biomarker responses and ecological outcomes </w:t>
      </w:r>
      <w:r w:rsidR="006867AC"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{"citationID":"NUP2kJib","properties":{"formattedCitation":"(Hall et al. 2014)","plainCitation":"(Hall et al. 2014)","noteIndex":0},"citationItems":[{"id":"r9E9mN5c/JFUrgMOn","uris":["http://zotero.org/users/14468226/items/MY8VXRLI"],"itemData":{"id":6760,"type":"article-journal","abstract":"Watershed, riparian zone, and in-stream habitat reclamation activities were implemented following surface coal mining in a headwater stream watershed. A three-year post-reclamation assessment was conducted of water quality, habitat, and biological communities. Water quality in reclaimed reaches was generally similar to that of the reference reach. Stream habitat assessments indicated “suboptimal” conditions for reference and reclaimed reaches. Fish index of biotic integrity scores indicated “fair” biotic status for reference and re-claimed reaches. Benthic macroinvertebrate riffle and multi-habitat community metrics indicated slight or no impairment in the reclaimed reaches as compared to the reference reach, and a mussel community was quickly established in reclaimed reaches despite its pre-mining absence. Overall, water quality, habitat, and biological conditions in reclaimed stream reaches were similar to those of the reference reach, demonstrating that small headwater streams can quickly recover following reclamation techniques suitable to the ecological setting. However, the recovery may have been a function of the quality of the biological communities being somewhat limited by the flat topography of the local and regional watershed.","container-title":"Environment and Natural Resources Research","DOI":"10.5539/enrr.v4n3p204","ISSN":"1927-0488","issue":"3","language":"en","license":"Copyright (c) 2014 Scott Hall,Dave Beeson,Richard Lockwood","note":"number: 3","page":"p204","source":"ccsenet.org","title":"Recovery of Stream Communities Following Surface Coal Mine Reclamation","volume":"4","author":[{"family":"Hall","given":"Scott"},{"family":"Beeson","given":"Dave"},{"family":"Lockwood","given":"Richard"}],"issued":{"date-parts":[["2014",8,10]]}}}],"schema":"https://github.com/citation-style-language/schema/raw/master/csl-citation.json"} </w:instrText>
      </w:r>
      <w:r w:rsidR="006867AC" w:rsidRPr="000A1EE6">
        <w:rPr>
          <w:rFonts w:ascii="Times New Roman" w:eastAsia="Times New Roman" w:hAnsi="Times New Roman" w:cs="Times New Roman"/>
          <w:lang w:val="en-US"/>
        </w:rPr>
        <w:fldChar w:fldCharType="separate"/>
      </w:r>
      <w:r w:rsidR="00E5454F">
        <w:rPr>
          <w:rFonts w:ascii="Times New Roman" w:hAnsi="Times New Roman" w:cs="Times New Roman"/>
        </w:rPr>
        <w:t>(Hall et al. 2014)</w:t>
      </w:r>
      <w:r w:rsidR="006867AC"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w:t>
      </w:r>
    </w:p>
    <w:p w14:paraId="7050F7D9" w14:textId="5C158999" w:rsidR="00CE59A9" w:rsidRPr="000A1EE6" w:rsidRDefault="000A1EE6" w:rsidP="000A1EE6">
      <w:pPr>
        <w:spacing w:after="0" w:line="480" w:lineRule="auto"/>
        <w:jc w:val="both"/>
        <w:rPr>
          <w:rFonts w:ascii="Times New Roman" w:eastAsia="Times New Roman" w:hAnsi="Times New Roman" w:cs="Times New Roman"/>
          <w:b/>
          <w:bCs/>
          <w:lang w:val="en-US"/>
        </w:rPr>
      </w:pPr>
      <w:r w:rsidRPr="00D62029">
        <w:rPr>
          <w:rFonts w:ascii="Times New Roman" w:eastAsia="Times New Roman" w:hAnsi="Times New Roman" w:cs="Times New Roman"/>
          <w:b/>
          <w:bCs/>
          <w:lang w:val="en-US"/>
        </w:rPr>
        <w:t xml:space="preserve">4.1 </w:t>
      </w:r>
      <w:r w:rsidR="00CE59A9" w:rsidRPr="00D62029">
        <w:rPr>
          <w:rFonts w:ascii="Times New Roman" w:eastAsia="Times New Roman" w:hAnsi="Times New Roman" w:cs="Times New Roman"/>
          <w:b/>
          <w:bCs/>
          <w:lang w:val="en-US"/>
        </w:rPr>
        <w:t>Emerging Technologies and Future Directions</w:t>
      </w:r>
      <w:r w:rsidR="00CE59A9" w:rsidRPr="000A1EE6">
        <w:rPr>
          <w:rFonts w:ascii="Times New Roman" w:eastAsia="Times New Roman" w:hAnsi="Times New Roman" w:cs="Times New Roman"/>
          <w:b/>
          <w:bCs/>
          <w:lang w:val="en-US"/>
        </w:rPr>
        <w:t xml:space="preserve"> </w:t>
      </w:r>
    </w:p>
    <w:p w14:paraId="79739FE9" w14:textId="5445D518" w:rsidR="00CE59A9" w:rsidRPr="000A1EE6" w:rsidRDefault="47EE4892" w:rsidP="000A1EE6">
      <w:pPr>
        <w:spacing w:line="480" w:lineRule="auto"/>
        <w:jc w:val="both"/>
        <w:rPr>
          <w:rFonts w:ascii="Times New Roman" w:eastAsia="Times New Roman" w:hAnsi="Times New Roman" w:cs="Times New Roman"/>
        </w:rPr>
      </w:pPr>
      <w:r w:rsidRPr="47EE4892">
        <w:rPr>
          <w:rFonts w:ascii="Times New Roman" w:eastAsia="Times New Roman" w:hAnsi="Times New Roman" w:cs="Times New Roman"/>
        </w:rPr>
        <w:t xml:space="preserve">The field of environmental biomarker research is evolving rapidly with the development of new analytical technologies and computational approaches </w:t>
      </w:r>
      <w:r w:rsidR="00CE59A9" w:rsidRPr="47EE4892">
        <w:rPr>
          <w:rFonts w:ascii="Times New Roman" w:eastAsia="Times New Roman" w:hAnsi="Times New Roman" w:cs="Times New Roman"/>
        </w:rPr>
        <w:fldChar w:fldCharType="begin"/>
      </w:r>
      <w:r w:rsidR="00E5454F">
        <w:rPr>
          <w:rFonts w:ascii="Times New Roman" w:eastAsia="Times New Roman" w:hAnsi="Times New Roman" w:cs="Times New Roman"/>
        </w:rPr>
        <w:instrText xml:space="preserve"> ADDIN ZOTERO_ITEM CSL_CITATION {"citationID":"toYB4US3","properties":{"formattedCitation":"(Auslander et al. 2008, Kim et al. 2022, Agrawal et al. 2024)","plainCitation":"(Auslander et al. 2008, Kim et al. 2022, Agrawal et al. 2024)","noteIndex":0},"citationItems":[{"id":"r9E9mN5c/b3SCipRj","uris":["http://zotero.org/users/14468226/items/D2Y2QGZY"],"itemData":{"id":6691,"type":"article-journal","abstract":"Water pollution remains a major environmental concern, with increased toxic by-products being released into water bodies. Many of these chemical contaminants persist in the environment and bio-accumulate in aquatic organisms. At present, toxicological tests are mostly based on laboratory tests, and effective methods for monitoring wild aquatic environments remain lacking. In the present study, we used a well-characterized toxic chemical, 3,3',4,4',5-polychlorinated biphenyl (PCB126), as an example to try to identify common biomarker genes to be used for predictive toxicity of this toxic substance. First, we used two laboratory fish models, the zebrafish (Danio rerio) and medaka (Oryzias latipes), to expose PCB126 to obtain liver transcriptomic data by RNA-seq. Comparative transcriptomic analyses indicated generally conserved and concerted changes from the two species, thus validating the transcriptomic data for biomarker gene selection. Based on the common up- and downregulated genes in the two species, we selected nine biomarker genes to further test in other fish species. The first validation experiment was carried out using the third fish species, Mozambique tilapia (Oreochromis mossambicus), and essentially, all these biomarker genes were validated for consistent responses with the two laboratory fish models. Finally, to develop universal PCR primers suitable for potentially all teleost fish species, we designed degenerate primers and tested them in the three fish species as well as in another fish species without a genomic sequence available: guppy (Poecilia reticulata). We found all the biomarker genes showed consistent response to PCB126 exposure in at least 50% of the species. Thus, our study provides a promising strategy to identify common biomarker genes to be used for teleost fish analyses. By using degenerate PCR primers and analyzing multiple biomarker genes, it is possible to develop diagnostic PCR arrays to predict water contamination from any wild fish species sampled in different water bodies.","container-title":"Current Issues in Molecular Biology","DOI":"10.3390/cimb46080466","ISSN":"1467-3045","issue":"8","journalAbbreviation":"Curr Issues Mol Biol","language":"eng","note":"PMID: 39194683\nPMCID: PMC11352907","page":"7862-7876","source":"PubMed","title":"Identifying Universal Fish Biomarker Genes in Response to PCB126 Exposure by Comparative Transcriptomic Analyses","volume":"46","author":[{"family":"Agrawal","given":"Ira"},{"family":"Lee","given":"Ai Qi"},{"family":"Gong","given":"Zhiyuan"}],"issued":{"date-parts":[["2024",7,23]]}}},{"id":"r9E9mN5c/ZzTq7UXh","uris":["http://zotero.org/users/14468226/items/YJMC3TI7"],"itemData":{"id":6689,"type":"article-journal","abstract":"Individuals of the fish Lithognathus mormyrus were exposed to a series of pollutants including: benzo[a]pyrene, pp-DDE, Aroclor 1254, perfluorooctanoic acid, tributyl-tin chloride, lindane, estradiol, 4-nonylphenol, methyl mercury chloride, and cadmium chloride. Five mixtures of the pollutants were injected. Each mixture included one to three compounds. A microarray was constructed using 4608 L. mormyrus hepatic cDNAs cloned from the pollutant-exposed fish. Most clones (4456) were sequenced and assembled into 1494 annotated unique clones. The constructed microarray was used to identify changes in hepatic gene expression profile on exposure to cadmium administered to the fish by feeding or injections. Thirty-one unique clones showed altered expression levels on exposure to cadmium. Prominently differentially expressed genes included elastase 4, carboxypeptidase B, trypsinogen, perforin, complement C31, cytochrome P450 2K5, ceruloplasmin, carboxyl ester lipase, and metallothionein. Twelve sequences have no available annotation. Most genes (23) were downregulated and hypothesized to be affected by general toxicity due to the intensive cadmium exposure regime. The concept of an operational multigene cDNA microarray, aimed at routine and fast biomonitoring of multiple environmental threats, is outlined and the cadmium exposure experiment has been used to demonstrate functional and methodological aspects of the biomonitoring tool. The components of the outlined system include: (1) spotted array, composed of both pollution-affected and constitutively expressed genes, the latter are used for normalization; (2) standard, repeatable labeling procedure of a reference transcript population; and (3) biomarker indices derived from the profile of expression ratio across the pollution-affected genes, between the field-sampled transcript populations and the reference.","container-title":"Marine Biotechnology","DOI":"10.1007/s10126-007-9060-y","ISSN":"1436-2236","issue":"3","journalAbbreviation":"Mar Biotechnol","language":"en","page":"250-261","source":"Springer Link","title":"Pollution-Affected Fish Hepatic Transcriptome and Its Expression Patterns on Exposure to Cadmium","volume":"10","author":[{"family":"Auslander","given":"M."},{"family":"Yudkovski","given":"Y."},{"family":"Chalifa-Caspi","given":"V."},{"family":"Herut","given":"B."},{"family":"Ophir","given":"R."},{"family":"Reinhardt","given":"R."},{"family":"Neumann","given":"P. M."},{"family":"Tom","given":"M."}],"issued":{"date-parts":[["2008",5,1]]}}},{"id":"r9E9mN5c/rswdDV9T","uris":["http://zotero.org/users/14468226/items/ZZQTMILY"],"itemData":{"id":6686,"type":"article-journal","abstract":"Pale chub (Zacco platypus) is a dominant species in urban rivers and reservoirs, and it is used as an indicator to monitor the effects of environmental contaminants. Gene responses at the molecular level can reflect the health of fish challenged with environmental stressors. The objective of this study was to identify correlations between water quality factors and the expression of stress-related genes in Z. platypus from different lake environments (Singal and Juam Lakes). To do so, transcriptional responses of genes involving cellular homeostasis (heat-shock protein 70, HSP70; heat-shock protein 90, HSP90), metal detoxification (metallothionein, MT), and antioxidation (superoxide dismutase, SOD; catalase, CAT) were analyzed in the gill and liver tissues of Z. platypus. HSP70, HSP90, and MT genes were overall upregulated in Z. platypus from Singal Lake, which suffered from poorer water quality than Juam Lake. In addition, gene responses were significantly higher in Singal Lake outflow. Upregulation of HSP70, HSP90, and MT was significantly higher in Z. platypus gills than in the liver tissue. In addition, integrated biomarker response and heatmap analysis determined correlations between expression of biomarker genes or water quality factors and sampling sites of both lakes. These results suggest that stress-related genes used as multiple biomarkers may reflect spatial characteristics and water quality of different lake environments, and they can be used for biomonitoring and ecological risk assessment.","container-title":"International Journal of Environmental Research and Public Health","DOI":"10.3390/ijerph191811471","ISSN":"1660-4601","issue":"18","journalAbbreviation":"Int J Environ Res Public Health","language":"eng","note":"PMID: 36141743\nPMCID: PMC9517483","page":"11471","source":"PubMed","title":"Transcriptional Responses of Stress-Related Genes in Pale Chub (Zacco platypus) Inhabiting Different Aquatic Environments: Application for Biomonitoring Aquatic Ecosystems","title-short":"Transcriptional Responses of Stress-Related Genes in Pale Chub (Zacco platypus) Inhabiting Different Aquatic Environments","volume":"19","author":[{"family":"Kim","given":"Won-Seok"},{"family":"Park","given":"Kiyun"},{"family":"Park","given":"Jae-Won"},{"family":"Lee","given":"Sun-Ho"},{"family":"Kim","given":"Ji-Hoon"},{"family":"Kim","given":"Yong-Jun"},{"family":"Oh","given":"Gun-Hee"},{"family":"Ko","given":"Bong-Soon"},{"family":"Park","given":"Ji-Won"},{"family":"Hong","given":"Cheol"},{"family":"Yu","given":"Tae-Sik"},{"family":"Kwak","given":"Ihn-Sil"}],"issued":{"date-parts":[["2022",9,12]]}}}],"schema":"https://github.com/citation-style-language/schema/raw/master/csl-citation.json"} </w:instrText>
      </w:r>
      <w:r w:rsidR="00CE59A9" w:rsidRPr="47EE4892">
        <w:rPr>
          <w:rFonts w:ascii="Times New Roman" w:eastAsia="Times New Roman" w:hAnsi="Times New Roman" w:cs="Times New Roman"/>
        </w:rPr>
        <w:fldChar w:fldCharType="separate"/>
      </w:r>
      <w:r w:rsidR="00E5454F">
        <w:rPr>
          <w:rFonts w:ascii="Times New Roman" w:hAnsi="Times New Roman" w:cs="Times New Roman"/>
        </w:rPr>
        <w:t>(Auslander et al. 2008, Kim et al. 2022, Agrawal et al. 2024)</w:t>
      </w:r>
      <w:r w:rsidR="00CE59A9" w:rsidRPr="47EE4892">
        <w:rPr>
          <w:rFonts w:ascii="Times New Roman" w:eastAsia="Times New Roman" w:hAnsi="Times New Roman" w:cs="Times New Roman"/>
        </w:rPr>
        <w:fldChar w:fldCharType="end"/>
      </w:r>
      <w:r w:rsidRPr="47EE4892">
        <w:rPr>
          <w:rFonts w:ascii="Times New Roman" w:eastAsia="Times New Roman" w:hAnsi="Times New Roman" w:cs="Times New Roman"/>
        </w:rPr>
        <w:t xml:space="preserve">. Omics technologies, including genomics, transcriptomics, proteomics, and metabolomics, offer unprecedented opportunities to understanding the molecular mechanisms </w:t>
      </w:r>
      <w:r w:rsidRPr="47EE4892">
        <w:rPr>
          <w:rFonts w:ascii="Times New Roman" w:eastAsia="Times New Roman" w:hAnsi="Times New Roman" w:cs="Times New Roman"/>
          <w:lang w:val="en-US"/>
        </w:rPr>
        <w:t>(</w:t>
      </w:r>
      <w:r w:rsidRPr="47EE4892">
        <w:rPr>
          <w:rFonts w:ascii="Times New Roman" w:eastAsia="Times New Roman" w:hAnsi="Times New Roman" w:cs="Times New Roman"/>
          <w:b/>
          <w:bCs/>
          <w:lang w:val="en-US"/>
        </w:rPr>
        <w:t xml:space="preserve">Figure </w:t>
      </w:r>
      <w:r w:rsidR="0035357C">
        <w:rPr>
          <w:rFonts w:ascii="Times New Roman" w:eastAsia="Times New Roman" w:hAnsi="Times New Roman" w:cs="Times New Roman"/>
          <w:b/>
          <w:bCs/>
          <w:lang w:val="en-US"/>
        </w:rPr>
        <w:t>3</w:t>
      </w:r>
      <w:r w:rsidRPr="47EE4892">
        <w:rPr>
          <w:rFonts w:ascii="Times New Roman" w:eastAsia="Times New Roman" w:hAnsi="Times New Roman" w:cs="Times New Roman"/>
          <w:lang w:val="en-US"/>
        </w:rPr>
        <w:t xml:space="preserve">) </w:t>
      </w:r>
      <w:r w:rsidRPr="47EE4892">
        <w:rPr>
          <w:rFonts w:ascii="Times New Roman" w:eastAsia="Times New Roman" w:hAnsi="Times New Roman" w:cs="Times New Roman"/>
        </w:rPr>
        <w:t xml:space="preserve">underlying the effects of coal contamination on fish </w:t>
      </w:r>
      <w:r w:rsidR="00CE59A9" w:rsidRPr="47EE4892">
        <w:rPr>
          <w:rFonts w:ascii="Times New Roman" w:eastAsia="Times New Roman" w:hAnsi="Times New Roman" w:cs="Times New Roman"/>
        </w:rPr>
        <w:fldChar w:fldCharType="begin"/>
      </w:r>
      <w:r w:rsidR="00E5454F">
        <w:rPr>
          <w:rFonts w:ascii="Times New Roman" w:eastAsia="Times New Roman" w:hAnsi="Times New Roman" w:cs="Times New Roman"/>
        </w:rPr>
        <w:instrText xml:space="preserve"> ADDIN ZOTERO_ITEM CSL_CITATION {"citationID":"ERTzDtzl","properties":{"formattedCitation":"(Auslander et al. 2008, Wan et al. 2023)","plainCitation":"(Auslander et al. 2008, Wan et al. 2023)","noteIndex":0},"citationItems":[{"id":"r9E9mN5c/ZzTq7UXh","uris":["http://zotero.org/users/14468226/items/YJMC3TI7"],"itemData":{"id":6689,"type":"article-journal","abstract":"Individuals of the fish Lithognathus mormyrus were exposed to a series of pollutants including: benzo[a]pyrene, pp-DDE, Aroclor 1254, perfluorooctanoic acid, tributyl-tin chloride, lindane, estradiol, 4-nonylphenol, methyl mercury chloride, and cadmium chloride. Five mixtures of the pollutants were injected. Each mixture included one to three compounds. A microarray was constructed using 4608 L. mormyrus hepatic cDNAs cloned from the pollutant-exposed fish. Most clones (4456) were sequenced and assembled into 1494 annotated unique clones. The constructed microarray was used to identify changes in hepatic gene expression profile on exposure to cadmium administered to the fish by feeding or injections. Thirty-one unique clones showed altered expression levels on exposure to cadmium. Prominently differentially expressed genes included elastase 4, carboxypeptidase B, trypsinogen, perforin, complement C31, cytochrome P450 2K5, ceruloplasmin, carboxyl ester lipase, and metallothionein. Twelve sequences have no available annotation. Most genes (23) were downregulated and hypothesized to be affected by general toxicity due to the intensive cadmium exposure regime. The concept of an operational multigene cDNA microarray, aimed at routine and fast biomonitoring of multiple environmental threats, is outlined and the cadmium exposure experiment has been used to demonstrate functional and methodological aspects of the biomonitoring tool. The components of the outlined system include: (1) spotted array, composed of both pollution-affected and constitutively expressed genes, the latter are used for normalization; (2) standard, repeatable labeling procedure of a reference transcript population; and (3) biomarker indices derived from the profile of expression ratio across the pollution-affected genes, between the field-sampled transcript populations and the reference.","container-title":"Marine Biotechnology","DOI":"10.1007/s10126-007-9060-y","ISSN":"1436-2236","issue":"3","journalAbbreviation":"Mar Biotechnol","language":"en","page":"250-261","source":"Springer Link","title":"Pollution-Affected Fish Hepatic Transcriptome and Its Expression Patterns on Exposure to Cadmium","volume":"10","author":[{"family":"Auslander","given":"M."},{"family":"Yudkovski","given":"Y."},{"family":"Chalifa-Caspi","given":"V."},{"family":"Herut","given":"B."},{"family":"Ophir","given":"R."},{"family":"Reinhardt","given":"R."},{"family":"Neumann","given":"P. M."},{"family":"Tom","given":"M."}],"issued":{"date-parts":[["2008",5,1]]}}},{"id":"r9E9mN5c/Y18BH58B","uris":["http://zotero.org/users/14468226/items/IBNFW8G5"],"itemData":{"id":6727,"type":"article-journal","abstract":"Benzo[a]pyrene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E59A9" w:rsidRPr="47EE4892">
        <w:rPr>
          <w:rFonts w:ascii="Times New Roman" w:eastAsia="Times New Roman" w:hAnsi="Times New Roman" w:cs="Times New Roman"/>
        </w:rPr>
        <w:fldChar w:fldCharType="separate"/>
      </w:r>
      <w:r w:rsidR="00E5454F">
        <w:rPr>
          <w:rFonts w:ascii="Times New Roman" w:hAnsi="Times New Roman" w:cs="Times New Roman"/>
        </w:rPr>
        <w:t>(Auslander et al. 2008, Wan et al. 2023)</w:t>
      </w:r>
      <w:r w:rsidR="00CE59A9" w:rsidRPr="47EE4892">
        <w:rPr>
          <w:rFonts w:ascii="Times New Roman" w:eastAsia="Times New Roman" w:hAnsi="Times New Roman" w:cs="Times New Roman"/>
        </w:rPr>
        <w:fldChar w:fldCharType="end"/>
      </w:r>
      <w:r w:rsidRPr="47EE4892">
        <w:rPr>
          <w:rFonts w:ascii="Times New Roman" w:eastAsia="Times New Roman" w:hAnsi="Times New Roman" w:cs="Times New Roman"/>
        </w:rPr>
        <w:t xml:space="preserve">. These approaches can identify novel biomarkers and provide mechanistic insights that enhance our understanding of the contaminant toxicology </w:t>
      </w:r>
      <w:r w:rsidR="00CE59A9" w:rsidRPr="47EE4892">
        <w:rPr>
          <w:rFonts w:ascii="Times New Roman" w:eastAsia="Times New Roman" w:hAnsi="Times New Roman" w:cs="Times New Roman"/>
        </w:rPr>
        <w:fldChar w:fldCharType="begin"/>
      </w:r>
      <w:r w:rsidR="00CE59A9" w:rsidRPr="47EE4892">
        <w:rPr>
          <w:rFonts w:ascii="Times New Roman" w:eastAsia="Times New Roman" w:hAnsi="Times New Roman" w:cs="Times New Roman"/>
        </w:rPr>
        <w:fldChar w:fldCharType="separate"/>
      </w:r>
      <w:r w:rsidRPr="47EE4892">
        <w:rPr>
          <w:rFonts w:ascii="Times New Roman" w:hAnsi="Times New Roman" w:cs="Times New Roman"/>
        </w:rPr>
        <w:t>(Agrawal et al., 2024)</w:t>
      </w:r>
      <w:r w:rsidR="00CE59A9" w:rsidRPr="47EE4892">
        <w:rPr>
          <w:rFonts w:ascii="Times New Roman" w:eastAsia="Times New Roman" w:hAnsi="Times New Roman" w:cs="Times New Roman"/>
        </w:rPr>
        <w:fldChar w:fldCharType="end"/>
      </w:r>
      <w:r w:rsidRPr="47EE4892">
        <w:rPr>
          <w:rFonts w:ascii="Times New Roman" w:eastAsia="Times New Roman" w:hAnsi="Times New Roman" w:cs="Times New Roman"/>
        </w:rPr>
        <w:t xml:space="preserve">. </w:t>
      </w:r>
      <w:r w:rsidRPr="47EE4892">
        <w:rPr>
          <w:rFonts w:ascii="Times New Roman" w:eastAsia="Times New Roman" w:hAnsi="Times New Roman" w:cs="Times New Roman"/>
          <w:lang w:val="en-US"/>
        </w:rPr>
        <w:t xml:space="preserve">Transcriptomic approaches have proven valuable for identifying gene expression patterns associated with exposure to coal contamination exposure </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{"citationID":"7HyllQBA","properties":{"formattedCitation":"(Auslander et al. 2008, Fang et al. 2013, Kim et al. 2022)","plainCitation":"(Auslander et al. 2008, Fang et al. 2013, Kim et al. 2022)","noteIndex":0},"citationItems":[{"id":"r9E9mN5c/ZzTq7UXh","uris":["http://zotero.org/users/14468226/items/YJMC3TI7"],"itemData":{"id":6689,"type":"article-journal","abstract":"Individuals of the fish Lithognathus mormyrus were exposed to a series of pollutants including: benzo[a]pyrene, pp-DDE, Aroclor 1254, perfluorooctanoic acid, tributyl-tin chloride, lindane, estradiol, 4-nonylphenol, methyl mercury chloride, and cadmium chloride. Five mixtures of the pollutants were injected. Each mixture included one to three compounds. A microarray was constructed using 4608 L. mormyrus hepatic cDNAs cloned from the pollutant-exposed fish. Most clones (4456) were sequenced and assembled into 1494 annotated unique clones. The constructed microarray was used to identify changes in hepatic gene expression profile on exposure to cadmium administered to the fish by feeding or injections. Thirty-one unique clones showed altered expression levels on exposure to cadmium. Prominently differentially expressed genes included elastase 4, carboxypeptidase B, trypsinogen, perforin, complement C31, cytochrome P450 2K5, ceruloplasmin, carboxyl ester lipase, and metallothionein. Twelve sequences have no available annotation. Most genes (23) were downregulated and hypothesized to be affected by general toxicity due to the intensive cadmium exposure regime. The concept of an operational multigene cDNA microarray, aimed at routine and fast biomonitoring of multiple environmental threats, is outlined and the cadmium exposure experiment has been used to demonstrate functional and methodological aspects of the biomonitoring tool. The components of the outlined system include: (1) spotted array, composed of both pollution-affected and constitutively expressed genes, the latter are used for normalization; (2) standard, repeatable labeling procedure of a reference transcript population; and (3) biomarker indices derived from the profile of expression ratio across the pollution-affected genes, between the field-sampled transcript populations and the reference.","container-title":"Marine Biotechnology","DOI":"10.1007/s10126-007-9060-y","ISSN":"1436-2236","issue":"3","journalAbbreviation":"Mar Biotechnol","language":"en","page":"250-261","source":"Springer Link","title":"Pollution-Affected Fish Hepatic Transcriptome and Its Expression Patterns on Exposure to Cadmium","volume":"10","author":[{"family":"Auslander","given":"M."},{"family":"Yudkovski","given":"Y."},{"family":"Chalifa-Caspi","given":"V."},{"family":"Herut","given":"B."},{"family":"Ophir","given":"R."},{"family":"Reinhardt","given":"R."},{"family":"Neumann","given":"P. M."},{"family":"Tom","given":"M."}],"issued":{"date-parts":[["2008",5,1]]}}},{"id":"r9E9mN5c/HOuFuILf","uris":["http://zotero.org/users/14468226/items/3YXVJSQG"],"itemData":{"id":6733,"type":"article-journal","abstract":"DNA methylation is important for gene regulation and is vulnerable to early-life exposure to environmental contaminants. We found that direct waterborne benzo[a]pyrene (BaP) exposure at 24μg/L from 2.5 to 96hpf to zebrafish embryos significantly decreased global cytosine methylation by 44.8% and promoter methylation in vasa by 17%. Consequently, vasa expression was significantly increased by 33%. In contrast, BaP exposure at environmentally relevant concentrations did not change CpG island methylation or gene expression in cancer genes such as ras-association domain family member 1 (rassf1), telomerase reverse transcriptase (tert), c-jun, and c-myca. Similarly, BaP did not change gene expression of DNA methyltransferase 1 (dnmt1) and glycine N-methyltransferase (gnmt). While total DNMT activity was not affected, GNMT enzyme activity was moderately increased. In summary, BaP is an epigenetic modifier for global and gene specific DNA methylation status in zebrafish larvae.","container-title":"Environmental Toxicology and Pharmacology","DOI":"10.1016/j.etap.2013.02.014","ISSN":"1872-7077","issue":"1","journalAbbreviation":"Environ Toxicol Pharmacol","language":"eng","note":"PMID: 23542452\nPMCID: PMC3654064","page":"40-50","source":"PubMed","title":"Benzo[a]pyrene decreases global and gene specific DNA methylation during zebrafish development","volume":"36","author":[{"family":"Fang","given":"Xiefan"},{"family":"Thornton","given":"Cammi"},{"family":"Scheffler","given":"Brian E."},{"family":"Willett","given":"Kristine L."}],"issued":{"date-parts":[["2013",7]]}}},{"id":"r9E9mN5c/rswdDV9T","uris":["http://zotero.org/users/14468226/items/ZZQTMILY"],"itemData":{"id":6686,"type":"article-journal","abstract":"Pale chub (Zacco platypus) is a dominant species in urban rivers and reservoirs, and it is used as an indicator to monitor the effects of environmental contaminants. Gene responses at the molecular level can reflect the health of fish challenged with environmental stressors. The objective of this study was to identify correlations between water quality factors and the expression of stress-related genes in Z. platypus from different lake environments (Singal and Juam Lakes). To do so, transcriptional responses of genes involving cellular homeostasis (heat-shock protein 70, HSP70; heat-shock protein 90, HSP90), metal detoxification (metallothionein, MT), and antioxidation (superoxide dismutase, SOD; catalase, CAT) were analyzed in the gill and liver tissues of Z. platypus. HSP70, HSP90, and MT genes were overall upregulated in Z. platypus from Singal Lake, which suffered from poorer water quality than Juam Lake. In addition, gene responses were significantly higher in Singal Lake outflow. Upregulation of HSP70, HSP90, and MT was significantly higher in Z. platypus gills than in the liver tissue. In addition, integrated biomarker response and heatmap analysis determined correlations between expression of biomarker genes or water quality factors and sampling sites of both lakes. These results suggest that stress-related genes used as multiple biomarkers may reflect spatial characteristics and water quality of different lake environments, and they can be used for biomonitoring and ecological risk assessment.","container-title":"International Journal of Environmental Research and Public Health","DOI":"10.3390/ijerph191811471","ISSN":"1660-4601","issue":"18","journalAbbreviation":"Int J Environ Res Public Health","language":"eng","note":"PMID: 36141743\nPMCID: PMC9517483","page":"11471","source":"PubMed","title":"Transcriptional Responses of Stress-Related Genes in Pale Chub (Zacco platypus) Inhabiting Different Aquatic Environments: Application for Biomonitoring Aquatic Ecosystems","title-short":"Transcriptional Responses of Stress-Related Genes in Pale Chub (Zacco platypus) Inhabiting Different Aquatic Environments","volume":"19","author":[{"family":"Kim","given":"Won-Seok"},{"family":"Park","given":"Kiyun"},{"family":"Park","given":"Jae-Won"},{"family":"Lee","given":"Sun-Ho"},{"family":"Kim","given":"Ji-Hoon"},{"family":"Kim","given":"Yong-Jun"},{"family":"Oh","given":"Gun-Hee"},{"family":"Ko","given":"Bong-Soon"},{"family":"Park","given":"Ji-Won"},{"family":"Hong","given":"Cheol"},{"family":"Yu","given":"Tae-Sik"},{"family":"Kwak","given":"Ihn-Sil"}],"issued":{"date-parts":[["2022",9,12]]}}}],"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(Auslander et al. 2008, Fang et al. 2013, Kim et al. 2022)</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RNA sequencing technologies enable a comprehensive assessment of gene expression changes across the entire genome, revealing complex networks of biological responses to contaminant exposure </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{"citationID":"I9wCuNpD","properties":{"formattedCitation":"(Fang et al. 2013, Wan et al. 2023)","plainCitation":"(Fang et al. 2013, Wan et al. 2023)","noteIndex":0},"citationItems":[{"id":"r9E9mN5c/HOuFuILf","uris":["http://zotero.org/users/14468226/items/3YXVJSQG"],"itemData":{"id":6733,"type":"article-journal","abstract":"DNA methylation is important for gene regulation and is vulnerable to early-life exposure to environmental contaminants. We found that direct waterborne benzo[a]pyrene (BaP) exposure at 24μg/L from 2.5 to 96hpf to zebrafish embryos significantly decreased global cytosine methylation by 44.8% and promoter methylation in vasa by 17%. Consequently, vasa expression was significantly increased by 33%. In contrast, BaP exposure at environmentally relevant concentrations did not change CpG island methylation or gene expression in cancer genes such as ras-association domain family member 1 (rassf1), telomerase reverse transcriptase (tert), c-jun, and c-myca. Similarly, BaP did not change gene expression of DNA methyltransferase 1 (dnmt1) and glycine N-methyltransferase (gnmt). While total DNMT activity was not affected, GNMT enzyme activity was moderately increased. In summary, BaP is an epigenetic modifier for global and gene specific DNA methylation status in zebrafish larvae.","container-title":"Environmental Toxicology and Pharmacology","DOI":"10.1016/j.etap.2013.02.014","ISSN":"1872-7077","issue":"1","journalAbbreviation":"Environ Toxicol Pharmacol","language":"eng","note":"PMID: 23542452\nPMCID: PMC3654064","page":"40-50","source":"PubMed","title":"Benzo[a]pyrene decreases global and gene specific DNA methylation during zebrafish development","volume":"36","author":[{"family":"Fang","given":"Xiefan"},{"family":"Thornton","given":"Cammi"},{"family":"Scheffler","given":"Brian E."},{"family":"Willett","given":"Kristine L."}],"issued":{"date-parts":[["2013",7]]}}},{"id":"r9E9mN5c/Y18BH58B","uris":["http://zotero.org/users/14468226/items/IBNFW8G5"],"itemData":{"id":6727,"type":"article-journal","abstract":"Benzo[a]pyrene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(Fang et al. 2013, Wan et al. 2023)</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The identification of universal biomarker genes that respond consistently across species enhances the applicability of transcriptomic approaches to environmental monitoring</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{"citationID":"DjKMSKTG","properties":{"formattedCitation":"(Agrawal et al. 2024)","plainCitation":"(Agrawal et al. 2024)","noteIndex":0},"citationItems":[{"id":"r9E9mN5c/b3SCipRj","uris":["http://zotero.org/users/14468226/items/D2Y2QGZY"],"itemData":{"id":6691,"type":"article-journal","abstract":"Water pollution remains a major environmental concern, with increased toxic by-products being released into water bodies. Many of these chemical contaminants persist in the environment and bio-accumulate in aquatic organisms. At present, toxicological tests are mostly based on laboratory tests, and effective methods for monitoring wild aquatic environments remain lacking. In the present study, we used a well-characterized toxic chemical, 3,3',4,4',5-polychlorinated biphenyl (PCB126), as an example to try to identify common biomarker genes to be used for predictive toxicity of this toxic substance. First, we used two laboratory fish models, the zebrafish (Danio rerio) and medaka (Oryzias latipes), to expose PCB126 to obtain liver transcriptomic data by RNA-seq. Comparative transcriptomic analyses indicated generally conserved and concerted changes from the two species, thus validating the transcriptomic data for biomarker gene selection. Based on the common up- and downregulated genes in the two species, we selected nine biomarker genes to further test in other fish species. The first validation experiment was carried out using the third fish species, Mozambique tilapia (Oreochromis mossambicus), and essentially, all these biomarker genes were validated for consistent responses with the two laboratory fish models. Finally, to develop universal PCR primers suitable for potentially all teleost fish species, we designed degenerate primers and tested them in the three fish species as well as in another fish species without a genomic sequence available: guppy (Poecilia reticulata). We found all the biomarker genes showed consistent response to PCB126 exposure in at least 50% of the species. Thus, our study provides a promising strategy to identify common biomarker genes to be used for teleost fish analyses. By using degenerate PCR primers and analyzing multiple biomarker genes, it is possible to develop diagnostic PCR arrays to predict water contamination from any wild fish species sampled in different water bodies.","container-title":"Current Issues in Molecular Biology","DOI":"10.3390/cimb46080466","ISSN":"1467-3045","issue":"8","journalAbbreviation":"Curr Issues Mol Biol","language":"eng","note":"PMID: 39194683\nPMCID: PMC11352907","page":"7862-7876","source":"PubMed","title":"Identifying Universal Fish Biomarker Genes in Response to PCB126 Exposure by Comparative Transcriptomic Analyses","volume":"46","author":[{"family":"Agrawal","given":"Ira"},{"family":"Lee","given":"Ai Qi"},{"family":"Gong","given":"Zhiyuan"}],"issued":{"date-parts":[["2024",7,23]]}}}],"schema":"https://github.com/citation-style-language/schema/raw/master/csl-citation.json"}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(Agrawal et al. 2024)</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w:t>
      </w:r>
    </w:p>
    <w:p w14:paraId="4E6C1BAB" w14:textId="1FE48CCC" w:rsidR="00841932" w:rsidRPr="000A1EE6" w:rsidRDefault="00CE59A9"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Epigenetic biomarkers represent an emerging frontier in environmental toxicology</w:t>
      </w:r>
      <w:r w:rsidR="001D4C7C" w:rsidRPr="000A1EE6">
        <w:rPr>
          <w:rFonts w:ascii="Times New Roman" w:eastAsia="Times New Roman" w:hAnsi="Times New Roman" w:cs="Times New Roman"/>
          <w:lang w:val="en-US"/>
        </w:rPr>
        <w:t xml:space="preserve"> (</w:t>
      </w:r>
      <w:r w:rsidR="001D4C7C" w:rsidRPr="2E3070CE">
        <w:rPr>
          <w:rFonts w:ascii="Times New Roman" w:eastAsia="Times New Roman" w:hAnsi="Times New Roman" w:cs="Times New Roman"/>
          <w:b/>
          <w:lang w:val="en-US"/>
        </w:rPr>
        <w:t>Fig</w:t>
      </w:r>
      <w:r w:rsidR="00D62029">
        <w:rPr>
          <w:rFonts w:ascii="Times New Roman" w:eastAsia="Times New Roman" w:hAnsi="Times New Roman" w:cs="Times New Roman"/>
          <w:b/>
          <w:lang w:val="en-US"/>
        </w:rPr>
        <w:t>ure</w:t>
      </w:r>
      <w:r w:rsidR="001D4C7C" w:rsidRPr="2E3070CE">
        <w:rPr>
          <w:rFonts w:ascii="Times New Roman" w:eastAsia="Times New Roman" w:hAnsi="Times New Roman" w:cs="Times New Roman"/>
          <w:b/>
          <w:lang w:val="en-US"/>
        </w:rPr>
        <w:t xml:space="preserve"> </w:t>
      </w:r>
      <w:r w:rsidR="0035357C">
        <w:rPr>
          <w:rFonts w:ascii="Times New Roman" w:eastAsia="Times New Roman" w:hAnsi="Times New Roman" w:cs="Times New Roman"/>
          <w:b/>
          <w:lang w:val="en-US"/>
        </w:rPr>
        <w:t>3</w:t>
      </w:r>
      <w:r w:rsidR="001D4C7C" w:rsidRPr="000A1EE6">
        <w:rPr>
          <w:rFonts w:ascii="Times New Roman" w:eastAsia="Times New Roman" w:hAnsi="Times New Roman" w:cs="Times New Roman"/>
          <w:lang w:val="en-US"/>
        </w:rPr>
        <w:t>)</w:t>
      </w:r>
      <w:r w:rsidRPr="000A1EE6">
        <w:rPr>
          <w:rFonts w:ascii="Times New Roman" w:eastAsia="Times New Roman" w:hAnsi="Times New Roman" w:cs="Times New Roman"/>
          <w:lang w:val="en-US"/>
        </w:rPr>
        <w:t xml:space="preserve">, with growing evidence </w:t>
      </w:r>
      <w:r w:rsidR="00DD51D2" w:rsidRPr="000A1EE6">
        <w:rPr>
          <w:rFonts w:ascii="Times New Roman" w:eastAsia="Times New Roman" w:hAnsi="Times New Roman" w:cs="Times New Roman"/>
          <w:lang w:val="en-US"/>
        </w:rPr>
        <w:t>showing</w:t>
      </w:r>
      <w:r w:rsidR="00AA4877" w:rsidRPr="000A1EE6">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 xml:space="preserve">that </w:t>
      </w:r>
      <w:r w:rsidR="001128E3">
        <w:rPr>
          <w:rFonts w:ascii="Times New Roman" w:eastAsia="Times New Roman" w:hAnsi="Times New Roman" w:cs="Times New Roman"/>
          <w:lang w:val="en-US"/>
        </w:rPr>
        <w:t>exposure to contaminants</w:t>
      </w:r>
      <w:r w:rsidRPr="000A1EE6">
        <w:rPr>
          <w:rFonts w:ascii="Times New Roman" w:eastAsia="Times New Roman" w:hAnsi="Times New Roman" w:cs="Times New Roman"/>
          <w:lang w:val="en-US"/>
        </w:rPr>
        <w:t xml:space="preserve"> can induce heritable changes in gene expression patterns </w:t>
      </w:r>
      <w:r w:rsidR="00C84C73"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{"citationID":"clyG3ndR","properties":{"formattedCitation":"(Wan et al. 2023)","plainCitation":"(Wan et al. 2023)","noteIndex":0},"citationItems":[{"id":"r9E9mN5c/Y18BH58B","uris":["http://zotero.org/users/14468226/items/IBNFW8G5"],"itemData":{"id":6727,"type":"article-journal","abstract":"Benzo[a]pyrene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84C73" w:rsidRPr="000A1EE6">
        <w:rPr>
          <w:rFonts w:ascii="Times New Roman" w:eastAsia="Times New Roman" w:hAnsi="Times New Roman" w:cs="Times New Roman"/>
          <w:lang w:val="en-US"/>
        </w:rPr>
        <w:fldChar w:fldCharType="separate"/>
      </w:r>
      <w:r w:rsidR="00E5454F">
        <w:rPr>
          <w:rFonts w:ascii="Times New Roman" w:hAnsi="Times New Roman" w:cs="Times New Roman"/>
        </w:rPr>
        <w:t>(Wan et al. 2023)</w:t>
      </w:r>
      <w:r w:rsidR="00C84C73" w:rsidRPr="000A1EE6">
        <w:rPr>
          <w:rFonts w:ascii="Times New Roman" w:eastAsia="Times New Roman" w:hAnsi="Times New Roman" w:cs="Times New Roman"/>
          <w:lang w:val="en-US"/>
        </w:rPr>
        <w:fldChar w:fldCharType="end"/>
      </w:r>
      <w:r w:rsidR="00F667C4" w:rsidRPr="000A1EE6">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 xml:space="preserve"> DNA methylation patterns, histone modifications, and non-coding RNA expression</w:t>
      </w:r>
      <w:r w:rsidRPr="000A1EE6" w:rsidDel="00EB65C0">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respon</w:t>
      </w:r>
      <w:r w:rsidR="00AA4877" w:rsidRPr="000A1EE6">
        <w:rPr>
          <w:rFonts w:ascii="Times New Roman" w:eastAsia="Times New Roman" w:hAnsi="Times New Roman" w:cs="Times New Roman"/>
          <w:lang w:val="en-US"/>
        </w:rPr>
        <w:t>d</w:t>
      </w:r>
      <w:r w:rsidRPr="000A1EE6">
        <w:rPr>
          <w:rFonts w:ascii="Times New Roman" w:eastAsia="Times New Roman" w:hAnsi="Times New Roman" w:cs="Times New Roman"/>
          <w:lang w:val="en-US"/>
        </w:rPr>
        <w:t xml:space="preserve"> to coal-derived contaminants and may provide sensitive indicators of early biological effects </w:t>
      </w:r>
      <w:r w:rsidR="00E21004"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{"citationID":"tRUcbuls","properties":{"formattedCitation":"(Wan et al. 2023, Carrothers et al. 2024)","plainCitation":"(Wan et al. 2023, Carrothers et al. 2024)","noteIndex":0},"citationItems":[{"id":"r9E9mN5c/jbgLdzu5","uris":["http://zotero.org/users/14468226/items/JDG9GIRN"],"itemData":{"id":6774,"type":"article","abstract":"Human exposure to polycyclic aromatic hydrocarbons (PAH) is a significant and growing public health problem. Frequent, high dose exposures are likely to increase due to a warming climate and increased frequency of large-scale wildfires. Here, we characterize an epigenetic memory at the cytochrome P450 1A (CYP1A) gene in a population of wild Fundulus heteroclitus that has adapted to chronic, extreme PAH pollution. In wild-type fish, CYP1A is highly induced by PAH. In PAH-tolerant fish, CYP1A induction is blunted. Since CYP1A metabolically activates PAH, this memory protects these fish from PAH-mediated cancer. However, PAH-tolerant fish reared in clean water recover CYP1A inducibility, indicating that blunted induction is a non-genetic memory of prior exposure. To explore this possibility, we bred depurated wild fish from PAH-sensitive and -tolerant populations, manually fertilized exposure-naïve embryos, and challenged them with PAH. We observed epigenetic control of the reversible memory of generational PAH stress in F1 PAH-tolerant embryos. Specifically, we observed a bivalent domain in the CYP1A promoter enhancer comprising both activating and repressive histone post-translational modifications. Activating modifications, relative to repressive ones, showed greater increases in response to PAH in sensitive embryos, relative to tolerant, consistent with greater gene activation. Also, PAH-tolerant adult fish showed persistent induction of CYP1A long after exposure cessation, which is consistent with defective CYP1A shutoff and recovery to baseline. Since CYP1A expression is inversely correlated with cancer risk, these results indicate that PAH-tolerant fish have epigenetic protection against PAH-induced cancer in early life that degrades in response to continuous gene activation.\nSignificance Epigenetic memory, or the inheritance across cell division within an organism or across generations, of environmental exposure response is a compelling phenomenon with limited understanding of mechanism. Here, we characterized an epigenetic memory at the CYP1A gene in pollution-adapted Fundulus heteroclitus. We found that the CYP1A promoter enhancer contains a bivalent domain, comprising both active and repressive histone modifications, that shows reduced function correlating with reduced gene induction by its pollutant activator. In early life, this memory protects fish against pollution-induced cancer. However, this reduced function carries a cost; adult fish show defective transcriptional recovery of CYP1A, which increases cancer risk later in life. These results provide an initial mechanism for a model epigenetic memory and highlight potential costs.","DOI":"10.1101/2024.08.14.607951","language":"en","license":"© 2024, Posted by Cold Spring Harbor Laboratory. This pre-print is available under a Creative Commons License (Attribution-NonCommercial-NoDerivs 4.0 International), CC BY-NC-ND 4.0, as described at http://creativecommons.org/licenses/by-nc-nd/4.0/","note":"page: 2024.08.14.607951\nsection: New Results","publisher":"bioRxiv","source":"bioRxiv","title":"An epigenetic memory at the CYP1A gene in cancer-resistant, pollution-adapted killifish","URL":"https://www.biorxiv.org/content/10.1101/2024.08.14.607951v1","author":[{"family":"Carrothers","given":"Samantha"},{"family":"Trevisan","given":"Rafael"},{"family":"Jayasundara","given":"Nishad"},{"family":"Pelletier","given":"Nicole"},{"family":"Weeks","given":"Emma"},{"family":"Meyer","given":"Joel N."},{"family":"Giulio","given":"Richard Di"},{"family":"Weinhouse","given":"Caren"}],"accessed":{"date-parts":[["2025",7,30]]},"issued":{"date-parts":[["2024",8,16]]}}},{"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E21004" w:rsidRPr="000A1EE6">
        <w:rPr>
          <w:rFonts w:ascii="Times New Roman" w:eastAsia="Times New Roman" w:hAnsi="Times New Roman" w:cs="Times New Roman"/>
          <w:lang w:val="en-US"/>
        </w:rPr>
        <w:fldChar w:fldCharType="separate"/>
      </w:r>
      <w:r w:rsidR="00E5454F">
        <w:rPr>
          <w:rFonts w:ascii="Times New Roman" w:hAnsi="Times New Roman" w:cs="Times New Roman"/>
        </w:rPr>
        <w:t>(Wan et al. 2023, Carrothers et al. 2024)</w:t>
      </w:r>
      <w:r w:rsidR="00E21004"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The transgenerational inheritance of epigenetic modifications has important implications</w:t>
      </w:r>
      <w:r w:rsidRPr="000A1EE6" w:rsidDel="003F7C9A">
        <w:rPr>
          <w:rFonts w:ascii="Times New Roman" w:eastAsia="Times New Roman" w:hAnsi="Times New Roman" w:cs="Times New Roman"/>
          <w:lang w:val="en-US"/>
        </w:rPr>
        <w:t xml:space="preserve"> </w:t>
      </w:r>
      <w:r w:rsidR="003F7C9A">
        <w:rPr>
          <w:rFonts w:ascii="Times New Roman" w:eastAsia="Times New Roman" w:hAnsi="Times New Roman" w:cs="Times New Roman"/>
          <w:lang w:val="en-US"/>
        </w:rPr>
        <w:t>on</w:t>
      </w:r>
      <w:r w:rsidR="003F7C9A" w:rsidRPr="000A1EE6">
        <w:rPr>
          <w:rFonts w:ascii="Times New Roman" w:eastAsia="Times New Roman" w:hAnsi="Times New Roman" w:cs="Times New Roman"/>
          <w:lang w:val="en-US"/>
        </w:rPr>
        <w:t xml:space="preserve">  </w:t>
      </w:r>
      <w:r w:rsidR="001128E3">
        <w:rPr>
          <w:rFonts w:ascii="Times New Roman" w:eastAsia="Times New Roman" w:hAnsi="Times New Roman" w:cs="Times New Roman"/>
          <w:lang w:val="en-US"/>
        </w:rPr>
        <w:t xml:space="preserve">the </w:t>
      </w:r>
      <w:r w:rsidRPr="000A1EE6">
        <w:rPr>
          <w:rFonts w:ascii="Times New Roman" w:eastAsia="Times New Roman" w:hAnsi="Times New Roman" w:cs="Times New Roman"/>
          <w:lang w:val="en-US"/>
        </w:rPr>
        <w:t xml:space="preserve">population-level </w:t>
      </w:r>
      <w:r w:rsidR="001128E3">
        <w:rPr>
          <w:rFonts w:ascii="Times New Roman" w:eastAsia="Times New Roman" w:hAnsi="Times New Roman" w:cs="Times New Roman"/>
          <w:lang w:val="en-US"/>
        </w:rPr>
        <w:t>impact</w:t>
      </w:r>
      <w:r w:rsidRPr="000A1EE6">
        <w:rPr>
          <w:rFonts w:ascii="Times New Roman" w:eastAsia="Times New Roman" w:hAnsi="Times New Roman" w:cs="Times New Roman"/>
          <w:lang w:val="en-US"/>
        </w:rPr>
        <w:t xml:space="preserve"> of contamination </w:t>
      </w:r>
      <w:r w:rsidR="00452A89" w:rsidRPr="000A1EE6">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{"citationID":"cwEDAd1W","properties":{"formattedCitation":"(Knecht et al. 2017, Wan et al. 2023)","plainCitation":"(Knecht et al. 2017, Wan et al. 2023)","noteIndex":0},"citationItems":[{"id":"r9E9mN5c/AEZ69rFK","uris":["http://zotero.org/users/14468226/items/HCRMSEFG"],"itemData":{"id":6736,"type":"article-journal","abstract":"Benzo[a]pyrene (B[a]P) is a well-known genotoxic polycylic aromatic compound whose toxicity is dependent on signaling via the aryl hydrocarbon receptor (AHR). It is unclear to what extent detrimental effects of B[a]P exposures might impact future generations and whether transgenerational effects might be AHR-dependent. This study examined the effects of developmental B[a]P exposure on 3 generations of zebrafish. Zebrafish embryos were exposed from 6 to 120h post fertilization (hpf) to 5 and 10μM B[a]P and raised in chemical-free water until adulthood (F0). Two generations were raised from F0 fish to evaluate transgenerational inheritance. Morphological, physiological and neurobehavioral parameters were measured at two life stages. Juveniles of the F0 and F2 exhibited hyper locomotor activity, decreased heartbeat and mitochondrial function. B[a]P exposure during development resulted in decreased global DNA methylation levels and generally reduced expression of DNA methyltransferases in wild type zebrafish, with the latter effect largely reversed in an AHR2-null background. Adults from the F0 B[a]P exposed lineage displayed social anxiety-like behavior. Adults in the F2 transgeneration manifested gender-specific increased body mass index (BMI), increased oxygen consumption and hyper-avoidance behavior. Exposure to benzo[a]pyrene during development resulted in transgenerational inheritance of neurobehavioral and physiological deficiencies. Indirect evidence suggested the potential for an AHR2-dependent epigenetic route.","container-title":"Toxicology and Applied Pharmacology","DOI":"10.1016/j.taap.2017.05.033","ISSN":"1096-0333","journalAbbreviation":"Toxicol Appl Pharmacol","language":"eng","note":"PMID: 28583304\nPMCID: PMC5539966","page":"148-157","source":"PubMed","title":"Transgenerational inheritance of neurobehavioral and physiological deficits from developmental exposure to benzo[a]pyrene in zebrafish","volume":"329","author":[{"family":"Knecht","given":"Andrea L."},{"family":"Truong","given":"Lisa"},{"family":"Marvel","given":"Skylar W."},{"family":"Reif","given":"David M."},{"family":"Garcia","given":"Abraham"},{"family":"Lu","given":"Catherine"},{"family":"Simonich","given":"Michael T."},{"family":"Teeguarden","given":"Justin G."},{"family":"Tanguay","given":"Robert L."}],"issued":{"date-parts":[["2017",8,15]]}}},{"id":"r9E9mN5c/Y18BH58B","uris":["http://zotero.org/users/14468226/items/IBNFW8G5"],"itemData":{"id":6727,"type":"article-journal","abstract":"Benzo[a]pyrene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452A89" w:rsidRPr="000A1EE6">
        <w:rPr>
          <w:rFonts w:ascii="Times New Roman" w:eastAsia="Times New Roman" w:hAnsi="Times New Roman" w:cs="Times New Roman"/>
          <w:lang w:val="en-US"/>
        </w:rPr>
        <w:fldChar w:fldCharType="separate"/>
      </w:r>
      <w:r w:rsidR="00E5454F">
        <w:rPr>
          <w:rFonts w:ascii="Times New Roman" w:hAnsi="Times New Roman" w:cs="Times New Roman"/>
        </w:rPr>
        <w:t>(Knecht et al. 2017, Wan et al. 2023)</w:t>
      </w:r>
      <w:r w:rsidR="00452A89" w:rsidRPr="000A1EE6">
        <w:rPr>
          <w:rFonts w:ascii="Times New Roman" w:eastAsia="Times New Roman" w:hAnsi="Times New Roman" w:cs="Times New Roman"/>
          <w:lang w:val="en-US"/>
        </w:rPr>
        <w:fldChar w:fldCharType="end"/>
      </w:r>
      <w:r w:rsidR="001D4C7C" w:rsidRPr="000A1EE6">
        <w:rPr>
          <w:rFonts w:ascii="Times New Roman" w:eastAsia="Times New Roman" w:hAnsi="Times New Roman" w:cs="Times New Roman"/>
          <w:lang w:val="en-US"/>
        </w:rPr>
        <w:t xml:space="preserve">. </w:t>
      </w:r>
    </w:p>
    <w:p w14:paraId="71B38CBE" w14:textId="09D6E2F8" w:rsidR="005A05CF" w:rsidRPr="000A1EE6" w:rsidRDefault="00CE3101" w:rsidP="00CE3101">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noProof/>
          <w:lang w:val="en-US"/>
        </w:rPr>
        <w:lastRenderedPageBreak/>
        <w:drawing>
          <wp:inline distT="0" distB="0" distL="0" distR="0" wp14:anchorId="0EB1FFA8" wp14:editId="64C1CFD8">
            <wp:extent cx="3055172" cy="4390166"/>
            <wp:effectExtent l="0" t="0" r="5715" b="4445"/>
            <wp:docPr id="204988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83773" name="Picture 20498837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3336" cy="4430637"/>
                    </a:xfrm>
                    <a:prstGeom prst="rect">
                      <a:avLst/>
                    </a:prstGeom>
                  </pic:spPr>
                </pic:pic>
              </a:graphicData>
            </a:graphic>
          </wp:inline>
        </w:drawing>
      </w:r>
    </w:p>
    <w:p w14:paraId="7AEC2C37" w14:textId="54BDE03B" w:rsidR="00D004F1" w:rsidRPr="000A1EE6" w:rsidRDefault="005A05CF"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b/>
          <w:bCs/>
          <w:lang w:val="en-US"/>
        </w:rPr>
        <w:t xml:space="preserve">Figure </w:t>
      </w:r>
      <w:r w:rsidR="0035357C">
        <w:rPr>
          <w:rFonts w:ascii="Times New Roman" w:eastAsia="Times New Roman" w:hAnsi="Times New Roman" w:cs="Times New Roman"/>
          <w:b/>
          <w:bCs/>
          <w:lang w:val="en-US"/>
        </w:rPr>
        <w:t>3</w:t>
      </w:r>
      <w:r w:rsidRPr="000A1EE6">
        <w:rPr>
          <w:rFonts w:ascii="Times New Roman" w:eastAsia="Times New Roman" w:hAnsi="Times New Roman" w:cs="Times New Roman"/>
          <w:lang w:val="en-US"/>
        </w:rPr>
        <w:t xml:space="preserve">. </w:t>
      </w:r>
      <w:r w:rsidR="003D51AD" w:rsidRPr="003D51AD">
        <w:rPr>
          <w:rFonts w:ascii="Times New Roman" w:eastAsia="Times New Roman" w:hAnsi="Times New Roman" w:cs="Times New Roman"/>
          <w:highlight w:val="yellow"/>
          <w:lang w:val="en-US"/>
        </w:rPr>
        <w:t>Integrated biomarker assessment framework illustrating key biomarker categories.</w:t>
      </w:r>
      <w:r w:rsidR="003D51AD">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 xml:space="preserve">Created with </w:t>
      </w:r>
      <w:r w:rsidRPr="000A1EE6">
        <w:rPr>
          <w:rFonts w:ascii="Times New Roman" w:eastAsia="Times New Roman" w:hAnsi="Times New Roman" w:cs="Times New Roman"/>
          <w:color w:val="00B0F0"/>
          <w:lang w:val="en-US"/>
        </w:rPr>
        <w:t>mindthegraph.com</w:t>
      </w:r>
    </w:p>
    <w:p w14:paraId="4921754C" w14:textId="461A04E4" w:rsidR="001A2353" w:rsidRPr="000A1EE6" w:rsidRDefault="47EE4892" w:rsidP="000A1EE6">
      <w:pPr>
        <w:spacing w:line="480" w:lineRule="auto"/>
        <w:jc w:val="both"/>
        <w:rPr>
          <w:rFonts w:ascii="Times New Roman" w:eastAsia="Times New Roman" w:hAnsi="Times New Roman" w:cs="Times New Roman"/>
          <w:lang w:val="en-US"/>
        </w:rPr>
      </w:pPr>
      <w:r w:rsidRPr="47EE4892">
        <w:rPr>
          <w:rFonts w:ascii="Times New Roman" w:eastAsia="Times New Roman" w:hAnsi="Times New Roman" w:cs="Times New Roman"/>
          <w:lang w:val="en-US"/>
        </w:rPr>
        <w:t>Non-invasive biomarker approaches</w:t>
      </w:r>
      <w:r w:rsidR="0023447A">
        <w:rPr>
          <w:rFonts w:ascii="Times New Roman" w:eastAsia="Times New Roman" w:hAnsi="Times New Roman" w:cs="Times New Roman"/>
          <w:lang w:val="en-US"/>
        </w:rPr>
        <w:t xml:space="preserve"> </w:t>
      </w:r>
      <w:r w:rsidR="001062F5" w:rsidRPr="007218DF">
        <w:rPr>
          <w:rFonts w:ascii="Times New Roman" w:eastAsia="Times New Roman" w:hAnsi="Times New Roman" w:cs="Times New Roman"/>
          <w:b/>
          <w:bCs/>
          <w:lang w:val="en-US"/>
        </w:rPr>
        <w:t>(</w:t>
      </w:r>
      <w:r w:rsidR="001062F5" w:rsidRPr="0007778A">
        <w:rPr>
          <w:rFonts w:ascii="Times New Roman" w:eastAsia="Times New Roman" w:hAnsi="Times New Roman" w:cs="Times New Roman"/>
          <w:b/>
          <w:bCs/>
          <w:lang w:val="en-US"/>
        </w:rPr>
        <w:t>Fi</w:t>
      </w:r>
      <w:r w:rsidR="00041ADA" w:rsidRPr="0007778A">
        <w:rPr>
          <w:rFonts w:ascii="Times New Roman" w:eastAsia="Times New Roman" w:hAnsi="Times New Roman" w:cs="Times New Roman"/>
          <w:b/>
          <w:bCs/>
          <w:lang w:val="en-US"/>
        </w:rPr>
        <w:t>gure 3)</w:t>
      </w:r>
      <w:r w:rsidRPr="47EE4892">
        <w:rPr>
          <w:rFonts w:ascii="Times New Roman" w:eastAsia="Times New Roman" w:hAnsi="Times New Roman" w:cs="Times New Roman"/>
          <w:lang w:val="en-US"/>
        </w:rPr>
        <w:t xml:space="preserve"> are gaining attention as methods for reducing the impact on fish populations while maintaining monitoring capabilities </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{"citationID":"0K1aRbrK","properties":{"formattedCitation":"(Takeuchi et al. 2024, Aib et al. 2025)","plainCitation":"(Takeuchi et al. 2024, Aib et al. 2025)","noteIndex":0},"citationItems":[{"id":"r9E9mN5c/b62oFjmj","uris":["http://zotero.org/users/14468226/items/KTXC3JUR"],"itemData":{"id":6746,"type":"article-journal","abstract":"Increasing pollution of aquatic ecosystems due to anthropogenic activities underscores the urgent need for effective water quality monitoring. This study evaluates the use of fish scales from chub (Squalius cephalus) and nase (Chondrostoma nasus) as non-invasive bioindicators of trace and macroelement pollution in the Maros/Mureș River. We conducted qualitative and quantitative elemental analyses using X-ray fluorescence (XRF) and inductively coupled plasma optical emission spectrometry (ICP-OES). Scanning electron microscopy (SEM) revealed distinct scale structures among the species studied. Concentrations of Ca, K, Mg, Na, P, S, Al, Ba, Cu, Cr, Fe, Mn, Sr, and Zn were measured by ICP-OES. Our findings indicate significant variability in elemental accumulation in fish scales, supporting their potential use as bioindicators of environmental pollution, with variability depending on the ecological characteristics of the species. This methodology offers promising applications for modern interdisciplinary monitoring programs.","container-title":"Biology","DOI":"10.3390/biology14040344","ISSN":"2079-7737","issue":"4","language":"en","license":"http://creativecommons.org/licenses/by/3.0/","note":"number: 4\npublisher: Multidisciplinary Digital Publishing Institute","page":"344","source":"www.mdpi.com","title":"Fish Scales as a Non-Invasive Method for Monitoring Trace and Macroelement Pollution","volume":"14","author":[{"family":"Aib","given":"Haithem"},{"family":"Czédli","given":"Herta"},{"family":"Baranyai","given":"Edina"},{"family":"Sajtos","given":"Zsófi"},{"family":"Döncző","given":"Boglárka"},{"family":"Parvez","given":"Md Sohel"},{"family":"Berta","given":"Csaba"},{"family":"Varga","given":"Zsolt"},{"family":"Benhizia","given":"Ramzi"},{"family":"Nyeste","given":"Krisztián"}],"issued":{"date-parts":[["2025",4]]}}},{"id":"r9E9mN5c/vsoqyAQw","uris":["http://zotero.org/users/14468226/items/8NNYVXYA"],"itemData":{"id":6776,"type":"article-journal","abstract":"With the rapid growth of inland aquaculture worldwide, side effects such as the discharge of nutrients and antibiotics pose a threat to the global environments. A sustainable future for aquaculture requires an effective management system, including the early detection of disease through the monitoring of specific biomarkers in aquaculture tanks. To this end, we investigated whether fish feces in aquaculture tanks could be used for non-invasive health monitoring using ayu (Plecoglossus altivelis) infected with Flavobacterium psychrophilum, which causes bacterial cold-water disease worldwide. Feces that were subsequently produced in the tanks were used for metagenomic and metabolomic analyses. The relative abundances of the genera Cypionkella (0.6% ± 1.0%, 0.1% ± 0.2%), Klebsiella (11.2% ± 10.0%, 6.2% ± 5.9%), and F. psychrophilum (0.5% ± 1.0%, 0.0% ± 0.0%) were significantly higher in the feces of the infection challenge test tanks than in those of the control tanks. The abundances of cortisol, glucose, and acetate in the feces of the infection challenge test tanks were 2.4, 2.4, and 1.3 times higher, respectively, than those of the control tanks. Metagenome analysis suggested that acetate was produced by microbes such as Cypionkella. The abundances of indicated microbes or metabolites increased after day 4 of infection at the earliest, and were thus considered possible biomarkers. Our results suggest that feces produced in aquaculture tanks can potentially be used for non-invasive and holistic monitoring of fish diseases in aquaculture systems.\nIMPORTANCE: The aquaculture industry is rapidly growing, yet sustainability remains a challenge. One crucial task is to reduce losses due to diseases. Monitoring fish health and detecting diseases early are key to establishing sustainable aquaculture. Using metagenomic and metabolomic analyses, we found that feces of ayu infected with Flavobacterium psychrophilum contain various specific biomarkers that increased 4 days post-challenge, at the earliest. Our findings are the first step in establishing a novel, non-invasive, and holistic monitoring method for fish diseases in aquaculture systems, especially in ayu, which is an important freshwater fish species in Asia, promoting a sustainable future.","container-title":"mSphere","DOI":"10.1128/msphere.00301-24","ISSN":"2379-5042","issue":"7","journalAbbreviation":"mSphere","language":"eng","note":"PMID: 38884486\nPMCID: PMC11288038","page":"e0030124","source":"PubMed","title":"Fecal metagenomic and metabolomic analyses reveal non-invasive biomarkers of Flavobacterium psychrophilum infection in ayu (Plecoglossus altivelis)","volume":"9","author":[{"family":"Takeuchi","given":"Mio"},{"family":"Fujiwara-Nagata","given":"Erina"},{"family":"Kuroda","given":"Kyohei"},{"family":"Sakata","given":"Kenji"},{"family":"Narihiro","given":"Takashi"},{"family":"Kikuchi","given":"Jun"}],"issued":{"date-parts":[["2024",7,30]]}}}],"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(Takeuchi et al. 2024, Aib et al. 2025)</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Fish scales have emerged as promising matrices for contaminant analysis, providing historical records of exposure, while avoiding the need for lethal sampling </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{"citationID":"c50CpkCr","properties":{"formattedCitation":"(Aib et al. 2025)","plainCitation":"(Aib et al. 2025)","noteIndex":0},"citationItems":[{"id":"r9E9mN5c/b62oFjmj","uris":["http://zotero.org/users/14468226/items/KTXC3JUR"],"itemData":{"id":6746,"type":"article-journal","abstract":"Increasing pollution of aquatic ecosystems due to anthropogenic activities underscores the urgent need for effective water quality monitoring. This study evaluates the use of fish scales from chub (Squalius cephalus) and nase (Chondrostoma nasus) as non-invasive bioindicators of trace and macroelement pollution in the Maros/Mureș River. We conducted qualitative and quantitative elemental analyses using X-ray fluorescence (XRF) and inductively coupled plasma optical emission spectrometry (ICP-OES). Scanning electron microscopy (SEM) revealed distinct scale structures among the species studied. Concentrations of Ca, K, Mg, Na, P, S, Al, Ba, Cu, Cr, Fe, Mn, Sr, and Zn were measured by ICP-OES. Our findings indicate significant variability in elemental accumulation in fish scales, supporting their potential use as bioindicators of environmental pollution, with variability depending on the ecological characteristics of the species. This methodology offers promising applications for modern interdisciplinary monitoring programs.","container-title":"Biology","DOI":"10.3390/biology14040344","ISSN":"2079-7737","issue":"4","language":"en","license":"http://creativecommons.org/licenses/by/3.0/","note":"number: 4\npublisher: Multidisciplinary Digital Publishing Institute","page":"344","source":"www.mdpi.com","title":"Fish Scales as a Non-Invasive Method for Monitoring Trace and Macroelement Pollution","volume":"14","author":[{"family":"Aib","given":"Haithem"},{"family":"Czédli","given":"Herta"},{"family":"Baranyai","given":"Edina"},{"family":"Sajtos","given":"Zsófi"},{"family":"Döncző","given":"Boglárka"},{"family":"Parvez","given":"Md Sohel"},{"family":"Berta","given":"Csaba"},{"family":"Varga","given":"Zsolt"},{"family":"Benhizia","given":"Ramzi"},{"family":"Nyeste","given":"Krisztián"}],"issued":{"date-parts":[["2025",4]]}}}],"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(Aib et al. 2025)</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Fecal samples provide an alternative noninvasive approach for monitoring fish health, with metagenomic and metabolomic analyses revealing disease-related biomarkers </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{"citationID":"fF9wZwvj","properties":{"formattedCitation":"(Takeuchi et al. 2024)","plainCitation":"(Takeuchi et al. 2024)","noteIndex":0},"citationItems":[{"id":"r9E9mN5c/vsoqyAQw","uris":["http://zotero.org/users/14468226/items/8NNYVXYA"],"itemData":{"id":6776,"type":"article-journal","abstract":"With the rapid growth of inland aquaculture worldwide, side effects such as the discharge of nutrients and antibiotics pose a threat to the global environments. A sustainable future for aquaculture requires an effective management system, including the early detection of disease through the monitoring of specific biomarkers in aquaculture tanks. To this end, we investigated whether fish feces in aquaculture tanks could be used for non-invasive health monitoring using ayu (Plecoglossus altivelis) infected with Flavobacterium psychrophilum, which causes bacterial cold-water disease worldwide. Feces that were subsequently produced in the tanks were used for metagenomic and metabolomic analyses. The relative abundances of the genera Cypionkella (0.6% ± 1.0%, 0.1% ± 0.2%), Klebsiella (11.2% ± 10.0%, 6.2% ± 5.9%), and F. psychrophilum (0.5% ± 1.0%, 0.0% ± 0.0%) were significantly higher in the feces of the infection challenge test tanks than in those of the control tanks. The abundances of cortisol, glucose, and acetate in the feces of the infection challenge test tanks were 2.4, 2.4, and 1.3 times higher, respectively, than those of the control tanks. Metagenome analysis suggested that acetate was produced by microbes such as Cypionkella. The abundances of indicated microbes or metabolites increased after day 4 of infection at the earliest, and were thus considered possible biomarkers. Our results suggest that feces produced in aquaculture tanks can potentially be used for non-invasive and holistic monitoring of fish diseases in aquaculture systems.\nIMPORTANCE: The aquaculture industry is rapidly growing, yet sustainability remains a challenge. One crucial task is to reduce losses due to diseases. Monitoring fish health and detecting diseases early are key to establishing sustainable aquaculture. Using metagenomic and metabolomic analyses, we found that feces of ayu infected with Flavobacterium psychrophilum contain various specific biomarkers that increased 4 days post-challenge, at the earliest. Our findings are the first step in establishing a novel, non-invasive, and holistic monitoring method for fish diseases in aquaculture systems, especially in ayu, which is an important freshwater fish species in Asia, promoting a sustainable future.","container-title":"mSphere","DOI":"10.1128/msphere.00301-24","ISSN":"2379-5042","issue":"7","journalAbbreviation":"mSphere","language":"eng","note":"PMID: 38884486\nPMCID: PMC11288038","page":"e0030124","source":"PubMed","title":"Fecal metagenomic and metabolomic analyses reveal non-invasive biomarkers of Flavobacterium psychrophilum infection in ayu (Plecoglossus altivelis)","volume":"9","author":[{"family":"Takeuchi","given":"Mio"},{"family":"Fujiwara-Nagata","given":"Erina"},{"family":"Kuroda","given":"Kyohei"},{"family":"Sakata","given":"Kenji"},{"family":"Narihiro","given":"Takashi"},{"family":"Kikuchi","given":"Jun"}],"issued":{"date-parts":[["2024",7,30]]}}}],"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(Takeuchi et al. 2024)</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Advanced analytical instruments and methods have continued to expand the research capabilities of biomarkers. X-ray fluorescence (XRF) and inductively coupled plasma techniques enable the rapid multi-element analysis of fish tissues with improved sensitivity and precision </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{"citationID":"Kw4Gu44m","properties":{"formattedCitation":"(Aib et al. 2025)","plainCitation":"(Aib et al. 2025)","noteIndex":0},"citationItems":[{"id":"r9E9mN5c/b62oFjmj","uris":["http://zotero.org/users/14468226/items/KTXC3JUR"],"itemData":{"id":6746,"type":"article-journal","abstract":"Increasing pollution of aquatic ecosystems due to anthropogenic activities underscores the urgent need for effective water quality monitoring. This study evaluates the use of fish scales from chub (Squalius cephalus) and nase (Chondrostoma nasus) as non-invasive bioindicators of trace and macroelement pollution in the Maros/Mureș River. We conducted qualitative and quantitative elemental analyses using X-ray fluorescence (XRF) and inductively coupled plasma optical emission spectrometry (ICP-OES). Scanning electron microscopy (SEM) revealed distinct scale structures among the species studied. Concentrations of Ca, K, Mg, Na, P, S, Al, Ba, Cu, Cr, Fe, Mn, Sr, and Zn were measured by ICP-OES. Our findings indicate significant variability in elemental accumulation in fish scales, supporting their potential use as bioindicators of environmental pollution, with variability depending on the ecological characteristics of the species. This methodology offers promising applications for modern interdisciplinary monitoring programs.","container-title":"Biology","DOI":"10.3390/biology14040344","ISSN":"2079-7737","issue":"4","language":"en","license":"http://creativecommons.org/licenses/by/3.0/","note":"number: 4\npublisher: Multidisciplinary Digital Publishing Institute","page":"344","source":"www.mdpi.com","title":"Fish Scales as a Non-Invasive Method for Monitoring Trace and Macroelement Pollution","volume":"14","author":[{"family":"Aib","given":"Haithem"},{"family":"Czédli","given":"Herta"},{"family":"Baranyai","given":"Edina"},{"family":"Sajtos","given":"Zsófi"},{"family":"Döncző","given":"Boglárka"},{"family":"Parvez","given":"Md Sohel"},{"family":"Berta","given":"Csaba"},{"family":"Varga","given":"Zsolt"},{"family":"Benhizia","given":"Ramzi"},{"family":"Nyeste","given":"Krisztián"}],"issued":{"date-parts":[["2025",4]]}}}],"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(Aib et al. 2025)</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Gas chromatography-mass spectrometry (GC-MS) </w:t>
      </w:r>
      <w:r w:rsidRPr="47EE4892">
        <w:rPr>
          <w:rFonts w:ascii="Times New Roman" w:eastAsia="Times New Roman" w:hAnsi="Times New Roman" w:cs="Times New Roman"/>
          <w:lang w:val="en-US"/>
        </w:rPr>
        <w:lastRenderedPageBreak/>
        <w:t xml:space="preserve">provides a detailed characterization of PAH exposure patterns and metabolite profiles </w:t>
      </w:r>
      <w:r w:rsidR="00CE59A9" w:rsidRPr="47EE4892">
        <w:rPr>
          <w:rFonts w:ascii="Times New Roman" w:eastAsia="Times New Roman" w:hAnsi="Times New Roman" w:cs="Times New Roman"/>
          <w:lang w:val="en-US"/>
        </w:rPr>
        <w:fldChar w:fldCharType="begin"/>
      </w:r>
      <w:r w:rsidR="00E5454F">
        <w:rPr>
          <w:rFonts w:ascii="Times New Roman" w:eastAsia="Times New Roman" w:hAnsi="Times New Roman" w:cs="Times New Roman"/>
          <w:lang w:val="en-US"/>
        </w:rPr>
        <w:instrText xml:space="preserve"> ADDIN ZOTERO_ITEM CSL_CITATION {"citationID":"wZscDTxY","properties":{"formattedCitation":"(Deng et al. 2023)","plainCitation":"(Deng et al. 2023)","noteIndex":0},"citationItems":[{"id":"r9E9mN5c/Sg3gxZmS","uris":["http://zotero.org/users/14468226/items/9LEEK348"],"itemData":{"id":6793,"type":"article-journal","abstract":"As a class of persistent organic pollutants (POPs), polycyclic aromatic hydrocarbons (PAHs) have mutagenic, teratogenic, and carcinogenic effects, so they can pose a greater threat to the natural environment and human health. Most of the PAHs in coal mining areas originate from the mining and utilization process of coal resources, which has a variety of carriers in the environment: atmosphere, water bodies, soil, sediments, etc. To study their pollution status in the subsidence waters of the Huainan coal mining area, sixteen priority control PAHs of sixteen surface water samples from seven subsidence water bodies were tested using gas chromatography–mass spectrometry (GC–MS), and their pollution characteristics were analyzed. Overall, the concentration of PAHs ranged from 212 to 283 ng·L−1, and benzo[b]fluoranthene (BbF) had the highest average concentration. In addition, the concentration of PAHs above four rings was relatively high. After statistical analysis, the Pearson correlation coefficient calculation showed a highly significant positive correlation between PAHs with the same number of rings. Three principal factors were selected using factor analysis, which could explain 88.37% of the total variance, to conduct the source identification. Coal combustion was found to be the main source of PAH pollution in the area. Then, ecological risk using the risk quotient (RQ) method was carried out. The results showed that PAH contamination was medium risk, among which, benzo[a]anthracene (BaA) and BbF had a high ecological risk. In addition, the results of biological toxicity evaluation using the species sensitivity distribution model (SSD) showed that benzo[a]pyrene (BaP) had a high proportion of potential effects on aquatic organisms. By using the response addition model, the evaluation results showed that the ecological risk of the subsidence water bodies in the Panyi mine was the highest. Finally, human health risks were evaluated from two pathways: dermal contact and ingestion. The carcinogenic health risks from the dermal contact exceeded the permissible limits, while the hazard entropy of non-carcinogenic risks from the above two pathways were less than 1.","container-title":"Sustainability","DOI":"10.3390/su151814003","ISSN":"2071-1050","issue":"18","language":"en","license":"http://creativecommons.org/licenses/by/3.0/","note":"number: 18\npublisher: Multidisciplinary Digital Publishing Institute","page":"14003","source":"www.mdpi.com","title":"Pollution Characteristics and Risk Evaluation of PAHs in Subsidence Water Bodies in Huainan Coal Mining Area, China","volume":"15","author":[{"family":"Deng","given":"Xinyue"},{"family":"Chen","given":"Guangzhou"},{"family":"Wang","given":"Hua"},{"family":"Sun","given":"Hui"}],"issued":{"date-parts":[["2023",1]]}}}],"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00E5454F">
        <w:rPr>
          <w:rFonts w:ascii="Times New Roman" w:hAnsi="Times New Roman" w:cs="Times New Roman"/>
        </w:rPr>
        <w:t>(Deng et al. 2023)</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w:t>
      </w:r>
    </w:p>
    <w:p w14:paraId="46A8005E" w14:textId="21D38895" w:rsidR="00CE59A9" w:rsidRDefault="000A1EE6" w:rsidP="000A1EE6">
      <w:pPr>
        <w:spacing w:after="0" w:line="480" w:lineRule="auto"/>
        <w:jc w:val="both"/>
        <w:rPr>
          <w:rFonts w:ascii="Times New Roman" w:eastAsia="Times New Roman" w:hAnsi="Times New Roman" w:cs="Times New Roman"/>
          <w:b/>
          <w:bCs/>
          <w:lang w:val="en-US"/>
        </w:rPr>
      </w:pPr>
      <w:r w:rsidRPr="000A1EE6">
        <w:rPr>
          <w:rFonts w:ascii="Times New Roman" w:eastAsia="Times New Roman" w:hAnsi="Times New Roman" w:cs="Times New Roman"/>
          <w:b/>
          <w:bCs/>
          <w:lang w:val="en-US"/>
        </w:rPr>
        <w:t xml:space="preserve">5. </w:t>
      </w:r>
      <w:r w:rsidR="00CE59A9" w:rsidRPr="000A1EE6">
        <w:rPr>
          <w:rFonts w:ascii="Times New Roman" w:eastAsia="Times New Roman" w:hAnsi="Times New Roman" w:cs="Times New Roman"/>
          <w:b/>
          <w:bCs/>
          <w:lang w:val="en-US"/>
        </w:rPr>
        <w:t>Conclusion</w:t>
      </w:r>
    </w:p>
    <w:p w14:paraId="32633036" w14:textId="77777777" w:rsidR="007517BC" w:rsidRPr="007517BC" w:rsidRDefault="007517BC" w:rsidP="007517BC">
      <w:pPr>
        <w:spacing w:line="480" w:lineRule="auto"/>
        <w:jc w:val="both"/>
        <w:rPr>
          <w:rFonts w:ascii="Times New Roman" w:eastAsia="Times New Roman" w:hAnsi="Times New Roman" w:cs="Times New Roman"/>
          <w:lang w:val="en-US"/>
        </w:rPr>
      </w:pPr>
      <w:r w:rsidRPr="007517BC">
        <w:rPr>
          <w:rFonts w:ascii="Times New Roman" w:eastAsia="Times New Roman" w:hAnsi="Times New Roman" w:cs="Times New Roman"/>
          <w:highlight w:val="yellow"/>
          <w:lang w:val="en-US"/>
        </w:rPr>
        <w:t>In conclusion, this review highlights the substantial impact of coal mining contamination on freshwater fish populations, with benzo[a]pyrene identified as a key toxicant. Oxidative stress emerges as a central mechanism connecting contaminant exposure to adverse biological outcomes across multiple organ systems. The integration of diverse biomarker approaches offers robust tools for evaluating fish health in coal-affected ecosystems. While advanced analytical techniques enhance our understanding, significant research gaps persist. These include the necessity for standardized multi-biomarker protocols, longitudinal studies linking biomarker responses to population-level outcomes, and investigations into the combined effects of coal contamination and other stressors. Continued collaboration among researchers, regulators, and stakeholders is essential for translating biomarker research into practical management applications.</w:t>
      </w:r>
    </w:p>
    <w:p w14:paraId="098AD389" w14:textId="77777777" w:rsidR="007517BC" w:rsidRPr="000A1EE6" w:rsidRDefault="007517BC" w:rsidP="000A1EE6">
      <w:pPr>
        <w:spacing w:after="0" w:line="480" w:lineRule="auto"/>
        <w:jc w:val="both"/>
        <w:rPr>
          <w:rFonts w:ascii="Times New Roman" w:eastAsia="Times New Roman" w:hAnsi="Times New Roman" w:cs="Times New Roman"/>
          <w:b/>
          <w:bCs/>
          <w:lang w:val="en-US"/>
        </w:rPr>
      </w:pPr>
    </w:p>
    <w:p w14:paraId="781C909C" w14:textId="450D147D" w:rsidR="00723E45" w:rsidRDefault="00882CEF" w:rsidP="6CEE01DE">
      <w:pPr>
        <w:spacing w:line="480" w:lineRule="auto"/>
        <w:jc w:val="both"/>
        <w:rPr>
          <w:rFonts w:ascii="Times New Roman" w:eastAsia="Times New Roman" w:hAnsi="Times New Roman" w:cs="Times New Roman"/>
          <w:lang w:val="en-US"/>
        </w:rPr>
      </w:pPr>
      <w:r w:rsidRPr="00882CEF">
        <w:rPr>
          <w:rFonts w:ascii="Times New Roman" w:eastAsia="Times New Roman" w:hAnsi="Times New Roman" w:cs="Times New Roman"/>
          <w:b/>
          <w:bCs/>
          <w:lang w:val="en-US"/>
        </w:rPr>
        <w:t>Disclaimer (Artificial Intelligence)</w:t>
      </w:r>
      <w:r>
        <w:rPr>
          <w:rFonts w:ascii="Times New Roman" w:eastAsia="Times New Roman" w:hAnsi="Times New Roman" w:cs="Times New Roman"/>
          <w:lang w:val="en-US"/>
        </w:rPr>
        <w:t>:</w:t>
      </w:r>
      <w:r w:rsidR="0058617C" w:rsidRPr="00882CEF">
        <w:rPr>
          <w:rFonts w:ascii="Times New Roman" w:eastAsia="Times New Roman" w:hAnsi="Times New Roman" w:cs="Times New Roman"/>
          <w:lang w:val="en-US"/>
        </w:rPr>
        <w:t xml:space="preserve"> </w:t>
      </w:r>
      <w:r w:rsidR="00723E45" w:rsidRPr="00723E45">
        <w:rPr>
          <w:rFonts w:ascii="Times New Roman" w:eastAsia="Times New Roman" w:hAnsi="Times New Roman" w:cs="Times New Roman"/>
          <w:lang w:val="en-US"/>
        </w:rPr>
        <w:t xml:space="preserve">The author(s) affirm that no generative AI tools, including Large Language Models like ChatGPT, COPILOT, or text-to-image generators, were utilized </w:t>
      </w:r>
      <w:bookmarkStart w:id="6" w:name="conflict_of_interest"/>
      <w:r w:rsidR="00723E45" w:rsidRPr="00882CEF">
        <w:rPr>
          <w:rFonts w:ascii="Times New Roman" w:eastAsia="Times New Roman" w:hAnsi="Times New Roman" w:cs="Times New Roman"/>
          <w:lang w:val="en-US"/>
        </w:rPr>
        <w:t xml:space="preserve">during the writing </w:t>
      </w:r>
    </w:p>
    <w:p w14:paraId="1BD0C113" w14:textId="009BE7E9" w:rsidR="00A801AE" w:rsidRPr="00882CEF" w:rsidRDefault="009D4D3C" w:rsidP="6CEE01DE">
      <w:pPr>
        <w:spacing w:line="480" w:lineRule="auto"/>
        <w:jc w:val="both"/>
        <w:rPr>
          <w:rFonts w:ascii="Times New Roman" w:eastAsia="Times New Roman" w:hAnsi="Times New Roman" w:cs="Times New Roman"/>
          <w:lang w:val="en-US"/>
        </w:rPr>
      </w:pPr>
      <w:r w:rsidRPr="00882CEF">
        <w:rPr>
          <w:rFonts w:ascii="Times New Roman" w:hAnsi="Times New Roman" w:cs="Times New Roman"/>
          <w:b/>
          <w:bCs/>
        </w:rPr>
        <w:t>Conflict of Interest declaration</w:t>
      </w:r>
      <w:r w:rsidRPr="00882CEF">
        <w:rPr>
          <w:rFonts w:ascii="Times New Roman" w:hAnsi="Times New Roman" w:cs="Times New Roman"/>
        </w:rPr>
        <w:t xml:space="preserve">: The authors declare that they have no </w:t>
      </w:r>
      <w:bookmarkEnd w:id="6"/>
      <w:r w:rsidR="00723E45">
        <w:rPr>
          <w:rFonts w:ascii="Times New Roman" w:hAnsi="Times New Roman" w:cs="Times New Roman"/>
        </w:rPr>
        <w:t>conflict of interest.</w:t>
      </w:r>
    </w:p>
    <w:p w14:paraId="3CE953C1" w14:textId="77777777" w:rsidR="007517BC" w:rsidRDefault="007517BC" w:rsidP="000A1EE6">
      <w:pPr>
        <w:spacing w:after="0" w:line="480" w:lineRule="auto"/>
        <w:jc w:val="both"/>
        <w:rPr>
          <w:rFonts w:ascii="Times New Roman" w:eastAsia="Times New Roman" w:hAnsi="Times New Roman" w:cs="Times New Roman"/>
          <w:b/>
          <w:bCs/>
          <w:lang w:val="en-US"/>
        </w:rPr>
      </w:pPr>
    </w:p>
    <w:p w14:paraId="56108DA2" w14:textId="77777777" w:rsidR="00520126" w:rsidRDefault="00520126" w:rsidP="000A1EE6">
      <w:pPr>
        <w:spacing w:after="0" w:line="480" w:lineRule="auto"/>
        <w:jc w:val="both"/>
        <w:rPr>
          <w:rFonts w:ascii="Times New Roman" w:eastAsia="Times New Roman" w:hAnsi="Times New Roman" w:cs="Times New Roman"/>
          <w:b/>
          <w:bCs/>
          <w:lang w:val="en-US"/>
        </w:rPr>
      </w:pPr>
    </w:p>
    <w:p w14:paraId="7C02445C" w14:textId="77777777" w:rsidR="00520126" w:rsidRDefault="00520126" w:rsidP="000A1EE6">
      <w:pPr>
        <w:spacing w:after="0" w:line="480" w:lineRule="auto"/>
        <w:jc w:val="both"/>
        <w:rPr>
          <w:rFonts w:ascii="Times New Roman" w:eastAsia="Times New Roman" w:hAnsi="Times New Roman" w:cs="Times New Roman"/>
          <w:b/>
          <w:bCs/>
          <w:lang w:val="en-US"/>
        </w:rPr>
      </w:pPr>
    </w:p>
    <w:p w14:paraId="352CA3CD" w14:textId="77777777" w:rsidR="00520126" w:rsidRDefault="00520126" w:rsidP="000A1EE6">
      <w:pPr>
        <w:spacing w:after="0" w:line="480" w:lineRule="auto"/>
        <w:jc w:val="both"/>
        <w:rPr>
          <w:rFonts w:ascii="Times New Roman" w:eastAsia="Times New Roman" w:hAnsi="Times New Roman" w:cs="Times New Roman"/>
          <w:b/>
          <w:bCs/>
          <w:lang w:val="en-US"/>
        </w:rPr>
      </w:pPr>
    </w:p>
    <w:p w14:paraId="42F05440" w14:textId="77777777" w:rsidR="00520126" w:rsidRDefault="00520126" w:rsidP="000A1EE6">
      <w:pPr>
        <w:spacing w:after="0" w:line="480" w:lineRule="auto"/>
        <w:jc w:val="both"/>
        <w:rPr>
          <w:rFonts w:ascii="Times New Roman" w:eastAsia="Times New Roman" w:hAnsi="Times New Roman" w:cs="Times New Roman"/>
          <w:b/>
          <w:bCs/>
          <w:lang w:val="en-US"/>
        </w:rPr>
      </w:pPr>
    </w:p>
    <w:p w14:paraId="76052F7E" w14:textId="215E622E" w:rsidR="00882CD4" w:rsidRPr="000A1EE6" w:rsidRDefault="0020372B" w:rsidP="000A1EE6">
      <w:pPr>
        <w:spacing w:after="0" w:line="480" w:lineRule="auto"/>
        <w:jc w:val="both"/>
        <w:rPr>
          <w:rFonts w:ascii="Times New Roman" w:eastAsia="Times New Roman" w:hAnsi="Times New Roman" w:cs="Times New Roman"/>
          <w:b/>
          <w:bCs/>
          <w:lang w:val="en-US"/>
        </w:rPr>
      </w:pPr>
      <w:r w:rsidRPr="000A1EE6">
        <w:rPr>
          <w:rFonts w:ascii="Times New Roman" w:eastAsia="Times New Roman" w:hAnsi="Times New Roman" w:cs="Times New Roman"/>
          <w:b/>
          <w:bCs/>
          <w:lang w:val="en-US"/>
        </w:rPr>
        <w:lastRenderedPageBreak/>
        <w:t>Reference</w:t>
      </w:r>
      <w:r w:rsidR="00491B24" w:rsidRPr="000A1EE6">
        <w:rPr>
          <w:rFonts w:ascii="Times New Roman" w:eastAsia="Times New Roman" w:hAnsi="Times New Roman" w:cs="Times New Roman"/>
          <w:b/>
          <w:bCs/>
          <w:lang w:val="en-US"/>
        </w:rPr>
        <w:t>s</w:t>
      </w:r>
    </w:p>
    <w:p w14:paraId="1412666B" w14:textId="77777777" w:rsidR="00520126" w:rsidRPr="00520126" w:rsidRDefault="00630D69" w:rsidP="00520126">
      <w:pPr>
        <w:pStyle w:val="Bibliography"/>
        <w:spacing w:line="360" w:lineRule="auto"/>
        <w:rPr>
          <w:rFonts w:ascii="Times New Roman" w:hAnsi="Times New Roman" w:cs="Times New Roman"/>
          <w:lang w:val="en-US"/>
        </w:rPr>
      </w:pPr>
      <w:r w:rsidRPr="00520126">
        <w:rPr>
          <w:rFonts w:ascii="Times New Roman" w:eastAsia="Times New Roman" w:hAnsi="Times New Roman" w:cs="Times New Roman"/>
          <w:lang w:val="en-US"/>
        </w:rPr>
        <w:fldChar w:fldCharType="begin"/>
      </w:r>
      <w:r w:rsidR="00520126" w:rsidRPr="00520126">
        <w:rPr>
          <w:rFonts w:ascii="Times New Roman" w:eastAsia="Times New Roman" w:hAnsi="Times New Roman" w:cs="Times New Roman"/>
          <w:lang w:val="en-US"/>
        </w:rPr>
        <w:instrText xml:space="preserve"> ADDIN ZOTERO_BIBL {"uncited":[],"omitted":[],"custom":[]} CSL_BIBLIOGRAPHY </w:instrText>
      </w:r>
      <w:r w:rsidRPr="00520126">
        <w:rPr>
          <w:rFonts w:ascii="Times New Roman" w:eastAsia="Times New Roman" w:hAnsi="Times New Roman" w:cs="Times New Roman"/>
          <w:lang w:val="en-US"/>
        </w:rPr>
        <w:fldChar w:fldCharType="separate"/>
      </w:r>
      <w:r w:rsidR="00520126" w:rsidRPr="00520126">
        <w:rPr>
          <w:rFonts w:ascii="Times New Roman" w:hAnsi="Times New Roman" w:cs="Times New Roman"/>
          <w:lang w:val="en-US"/>
        </w:rPr>
        <w:t>Abdallah SM, Muhammed RE, Mohamed RE, El Daous H, Saleh DM, Ghorab MA, Chen S, El-Sayyad GS (2024) Assessment of biochemical biomarkers and environmental stress indicators in some freshwater fish. Environ Geochem Health 46:464.</w:t>
      </w:r>
    </w:p>
    <w:p w14:paraId="20EFD49D"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Agrawal I, Lee AQ, Gong Z (2024) Identifying Universal Fish Biomarker Genes in Response to PCB126 Exposure by Comparative Transcriptomic Analyses. Curr Issues Mol Biol 46:7862–7876.</w:t>
      </w:r>
    </w:p>
    <w:p w14:paraId="2BBC584A"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Aib H, Czédli H, Baranyai E, Sajtos Z, Döncző B, Parvez MS, Berta C, Varga Z, Benhizia R, Nyeste K (2025) Fish Scales as a Non-Invasive Method for Monitoring Trace and Macroelement Pollution. Biology 14:344.</w:t>
      </w:r>
    </w:p>
    <w:p w14:paraId="7393CCC5"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Alexiev A, Stretch E, Kasschau KD, Wilson LB, Truong L, Tanguay RL, Sharpton TJ (2024) Clearing the Air on Pollutant Disruptions of the Gut-Brain Axis: Developmental Exposure to Benzo[a]pyrene Disturbs Zebrafish Behavior and the Gut Microbiome in Adults and Subsequent Generations. Toxics 13:10.</w:t>
      </w:r>
    </w:p>
    <w:p w14:paraId="0823A31F"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Alharthy KM, Albaqami FF, Thornton C, Corrales J, Willett KL (2017) Mechanistic Evaluation of Benzo[a]pyrene’s Developmental Toxicities Mediated by Reduced Cyp19a1b Activity. Toxicol Sci 155:135–147.</w:t>
      </w:r>
    </w:p>
    <w:p w14:paraId="5A3591FC"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Auslander M, Yudkovski Y, Chalifa-Caspi V, Herut B, Ophir R, Reinhardt R, Neumann PM, Tom M (2008) Pollution-Affected Fish Hepatic Transcriptome and Its Expression Patterns on Exposure to Cadmium. Mar Biotechnol 10:250–261.</w:t>
      </w:r>
    </w:p>
    <w:p w14:paraId="542E5374"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Azevedo-Santos VM, Arcifa MS, Brito MFG, Agostinho AA, Hughes RM, Vitule JRS, Simberloff D, Olden JD, Pelicice FM (2021) Negative impacts of mining on Neotropical freshwater fishes. Neotropical Ichthyology 19:1–25.</w:t>
      </w:r>
    </w:p>
    <w:p w14:paraId="104459FE"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Barangi S, Asadi R, Mehri S, Karimi G (2023) The effect of melatonin on benzo(a)pyrene-induced renal toxicity in mice. Toxicol Ind Health 39:248–257.</w:t>
      </w:r>
    </w:p>
    <w:p w14:paraId="293D1860"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Batchamen Mougnol JB, Waanders F, Fosso-Kankeu E, Al Alili AR (2022) Leaching of Polycyclic Aromatic Hydrocarbons from the Coal Tar in Sewage Wastewater, Acidic and Alkaline Mine Drainage. Int J Environ Res Public Health 19:4791.</w:t>
      </w:r>
    </w:p>
    <w:p w14:paraId="27DCF012"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Bian Z, Dong J, Lei S, Leng H, Mu S, Wang H (2008) The impact of disposal and treatment of coal mining wastes on environment and farmland. Environmental Geology 58:625–634.</w:t>
      </w:r>
    </w:p>
    <w:p w14:paraId="61F2AA2B"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lastRenderedPageBreak/>
        <w:t>Bukowska B, Mokra K, Michałowicz J (2022) Benzo[a]pyrene—Environmental Occurrence, Human Exposure, and Mechanisms of Toxicity. International Journal of Molecular Sciences 23:6348.</w:t>
      </w:r>
    </w:p>
    <w:p w14:paraId="35772656"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Carrothers S, Trevisan R, Jayasundara N, Pelletier N, Weeks E, Meyer JN, Giulio RD, Weinhouse C (2024) An epigenetic memory at the CYP1A gene in cancer-resistant, pollution-adapted killifish. 2024.08.14.607951.</w:t>
      </w:r>
    </w:p>
    <w:p w14:paraId="37068E9B"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Chan WS, Routh J, Luo C, Dario M, Miao Y, Luo D, Wei L (2021) Metal accumulations in aquatic organisms and health risks in an acid mine-affected site in South China. Environ Geochem Health 43:4415–4440.</w:t>
      </w:r>
    </w:p>
    <w:p w14:paraId="1199903A"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Chandra R (2024) Impact of Cadmium Chloride (CdCl2) Exposure on Glucose Levels in Various Tissues of Heteropneustes fossilis. Knowledgeable Research A Multidisciplinary Journal 2:106–111.</w:t>
      </w:r>
    </w:p>
    <w:p w14:paraId="4B3EB239"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Chen D, Feng Q, Liang H, Gao B, Alam E (2019) Distribution characteristics and ecological risk assessment of polycyclic aromatic hydrocarbons (PAHs) in underground coal mining environment of Xuzhou. Human and Ecological Risk Assessment: An International Journal 25:1564–1578.</w:t>
      </w:r>
    </w:p>
    <w:p w14:paraId="3F48148A"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Das DN, Bhutia SK (2018) Inevitable dietary exposure of Benzo[a]pyrene: carcinogenic risk assessment an emerging issues and concerns. Current Opinion in Food Science 24:16–25.</w:t>
      </w:r>
    </w:p>
    <w:p w14:paraId="4B48D82F"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David M, Kartheek RM (2015) Histopathological alterations in spleen of freshwater fish Cyprinus carpio exposed to sublethal concentration of sodium cyanide. Open Vet J 5:1–5.</w:t>
      </w:r>
    </w:p>
    <w:p w14:paraId="449A6C0C"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Deng X, Chen G, Wang H, Sun H (2023) Pollution Characteristics and Risk Evaluation of PAHs in Subsidence Water Bodies in Huainan Coal Mining Area, China. Sustainability 15:14003.</w:t>
      </w:r>
    </w:p>
    <w:p w14:paraId="732FF48E"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Dourado PLR, Rocha MP da, Roveda LM, Raposo JL, Cândido LS, Cardoso CAL, Morales MAM, Oliveira KMP de, Grisolia AB (2017) Genotoxic and mutagenic effects of polluted surface water in the midwestern region of Brazil using animal and plant bioassays. Genet Mol Biol 40:123–133.</w:t>
      </w:r>
    </w:p>
    <w:p w14:paraId="11C5D084"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Elfawy HA, Anupriya S, Mohanty S, Patel P, Ghosal S, Panda PK, Das B, Verma SK, Patnaik S (2021) Molecular toxicity of Benzo(</w:t>
      </w:r>
      <w:r w:rsidRPr="00520126">
        <w:rPr>
          <w:rFonts w:ascii="Times New Roman" w:hAnsi="Times New Roman" w:cs="Times New Roman"/>
          <w:i/>
          <w:iCs/>
          <w:lang w:val="en-US"/>
        </w:rPr>
        <w:t>a</w:t>
      </w:r>
      <w:r w:rsidRPr="00520126">
        <w:rPr>
          <w:rFonts w:ascii="Times New Roman" w:hAnsi="Times New Roman" w:cs="Times New Roman"/>
          <w:lang w:val="en-US"/>
        </w:rPr>
        <w:t>)pyrene mediated by elicited oxidative stress infer skeletal deformities and apoptosis in embryonic zebrafish. Science of The Total Environment 789:147989.</w:t>
      </w:r>
    </w:p>
    <w:p w14:paraId="6CDD2534"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lastRenderedPageBreak/>
        <w:t>Esmaeilbeigi M, Kalbassi MR, Seyedi J, Tayemeh MB, Moghaddam JA (2021) Intra and extracellular effects of benzo [α] pyrene on liver, gill and blood of Caspian White fish (</w:t>
      </w:r>
      <w:r w:rsidRPr="00520126">
        <w:rPr>
          <w:rFonts w:ascii="Times New Roman" w:hAnsi="Times New Roman" w:cs="Times New Roman"/>
          <w:i/>
          <w:iCs/>
          <w:lang w:val="en-US"/>
        </w:rPr>
        <w:t>Rutilus frissi kutum</w:t>
      </w:r>
      <w:r w:rsidRPr="00520126">
        <w:rPr>
          <w:rFonts w:ascii="Times New Roman" w:hAnsi="Times New Roman" w:cs="Times New Roman"/>
          <w:lang w:val="en-US"/>
        </w:rPr>
        <w:t>): Cyto-genotoxicity and histopathology approach. Marine Pollution Bulletin 163:111942.</w:t>
      </w:r>
    </w:p>
    <w:p w14:paraId="7AE92024"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Fang X, Thornton C, Scheffler BE, Willett KL (2013) Benzo[a]pyrene decreases global and gene specific DNA methylation during zebrafish development. Environ Toxicol Pharmacol 36:40–50.</w:t>
      </w:r>
    </w:p>
    <w:p w14:paraId="5C8306A1"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Gabriel FÂ, Hauser-Davis RA, Soares L, Mazzuco ACA, Rocha RCC, Saint Pierre TD, Saggioro E, Correia FV, Ferreira TO, Bernardino AF (2020) Contamination and oxidative stress biomarkers in estuarine fish following a mine tailing disaster. PeerJ 8:e10266.</w:t>
      </w:r>
    </w:p>
    <w:p w14:paraId="29A22A94"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Gashkina NA (2024) Metal Toxicity: Effects on Energy Metabolism in Fish. Int J Mol Sci 25:5015.</w:t>
      </w:r>
    </w:p>
    <w:p w14:paraId="4D482C4F"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Gazo I, Franěk R, Šindelka R, Lebeda I, Shivaramu S, Pšenička M, Steinbach C (2020) Ancient Sturgeons Possess Effective DNA Repair Mechanisms: Influence of Model Genotoxicants on Embryo Development of Sterlet, Acipenser ruthenus. Int J Mol Sci 22:6.</w:t>
      </w:r>
    </w:p>
    <w:p w14:paraId="64D8A38C"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Gentile I, Vezzoli V, Martone S, Totaro MG, Bonomi M, Persani L, Marelli F (2023) Short-Term Exposure to Benzo(a)Pyrene Causes Disruption of GnRH Network in Zebrafish Embryos. Int J Mol Sci 24:6913.</w:t>
      </w:r>
    </w:p>
    <w:p w14:paraId="66070B52"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Halek F, Nabi Gh, Kavousi A (2008) Polycyclic aromatic hydrocarbons study and toxic equivalency factor (TEFs) in Tehran, IRAN. Environ Monit Assess 143:303–311.</w:t>
      </w:r>
    </w:p>
    <w:p w14:paraId="374A4459"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Hall S, Beeson D, Lockwood R (2014) Recovery of Stream Communities Following Surface Coal Mine Reclamation. Environment and Natural Resources Research 4:p204.</w:t>
      </w:r>
    </w:p>
    <w:p w14:paraId="372CD1F7"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Hasii O, Gasii G (2024) Coal mining and water resources: impacts, challenges, and strategies for sustainable environmental management. IOP Conf Ser: Earth Environ Sci 1348:012017.</w:t>
      </w:r>
    </w:p>
    <w:p w14:paraId="4D7FBD15"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Hawkey AB, Piatos P, Holloway Z, Boyda J, Koburov R, Fleming E, Di Giulio RT, Levin ED (2022) Embryonic exposure to benzo[a]pyrene causes age-dependent behavioral alterations and long-term metabolic dysfunction in zebrafish. Neurotoxicol Teratol 93:107121.</w:t>
      </w:r>
    </w:p>
    <w:p w14:paraId="3885ABFE"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Hook SE, Gallagher EP, Batley GE (2014) The Role of Biomarkers in the Assessment of Aquatic Ecosystem Health. Integr Environ Assess Manag 10:327–341.</w:t>
      </w:r>
    </w:p>
    <w:p w14:paraId="7B23EF2F"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lastRenderedPageBreak/>
        <w:t>Imasiku K, Thomas VM (2020) The Mining and Technology Industries as Catalysts for Sustainable Energy Development. Sustainability 12:10410.</w:t>
      </w:r>
    </w:p>
    <w:p w14:paraId="2C9BDBF5"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Javed M, Ahmad MI, Usmani N, Ahmad M (2018) Publisher Correction: Multiple biomarker responses (serum biochemistry, oxidative stress, genotoxicity and histopathology) in Channa punctatus exposed to heavy metal loaded waste water. Sci Rep 8:17451.</w:t>
      </w:r>
    </w:p>
    <w:p w14:paraId="7251FF79" w14:textId="77777777" w:rsidR="00520126" w:rsidRPr="00520126" w:rsidRDefault="00520126" w:rsidP="00520126">
      <w:pPr>
        <w:pStyle w:val="Bibliography"/>
        <w:spacing w:line="360" w:lineRule="auto"/>
        <w:rPr>
          <w:rFonts w:ascii="Times New Roman" w:hAnsi="Times New Roman" w:cs="Times New Roman"/>
          <w:highlight w:val="yellow"/>
          <w:lang w:val="en-US"/>
        </w:rPr>
      </w:pPr>
      <w:r w:rsidRPr="00520126">
        <w:rPr>
          <w:rFonts w:ascii="Times New Roman" w:hAnsi="Times New Roman" w:cs="Times New Roman"/>
          <w:highlight w:val="yellow"/>
          <w:lang w:val="en-US"/>
        </w:rPr>
        <w:t>Jayasval A, Pandey T, Kumar A (2025) A Comprehensive Review on Cadmium Toxicity in Freshwater Fish: Physiological, Ecological and Health Implications. Asian Journal of Research in Zoology 8:97–121.</w:t>
      </w:r>
    </w:p>
    <w:p w14:paraId="4EC2AB02"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highlight w:val="yellow"/>
          <w:lang w:val="en-US"/>
        </w:rPr>
        <w:t>Jeyavani J, Sibiya A, Stalin T, Vigneshkumar G, Al-Ghanim KA, Riaz MN, Govindarajan M, Vaseeharan B (2023) Biochemical, Genotoxic and Histological Implications of Polypropylene Microplastics on Freshwater Fish Oreochromis mossambicus: An Aquatic Eco-Toxicological Assessment. Toxics 11:282.</w:t>
      </w:r>
    </w:p>
    <w:p w14:paraId="1D2754B4"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Jiri Z, Tazvivinga A, Greenfield R, Vuren J van (2018) Oxidative stress biomarkers in Oreochromis niloticus as early warning signals in assessing pollution from acid mine drainage and diffuse sources of pollutants in a subtropical river. Water SA 44:318–327.</w:t>
      </w:r>
    </w:p>
    <w:p w14:paraId="08E9433A"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Jung D, Cho Y, Collins LB, Swenberg JA, Di Giulio RT (2009) Effects of benzo[a]pyrene on mitochondrial and nuclear DNA damage in Atlantic killifish (Fundulus heteroclitus) from a creosote-contaminated and reference site. Aquat Toxicol 95:44–51.</w:t>
      </w:r>
    </w:p>
    <w:p w14:paraId="77C4C6A2"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Kang X, Li D, Zhao X, Lv Y, Chen X, Song X, Liu X, Chen C, Cao X (2022) Long-Term Exposure to Phenanthrene Induced Gene Expressions and Enzyme Activities of Cyprinus carpio below the Safe Concentration. Int J Environ Res Public Health 19:2129.</w:t>
      </w:r>
    </w:p>
    <w:p w14:paraId="53052864"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Kelly JM, Ivatt PD, Evans MJ, Kroll JH, Hrdina AIH, Kohale IN, White FM, Engelward BP, Selin NE (2021) Global Cancer Risk From Unregulated Polycyclic Aromatic Hydrocarbons. GeoHealth 5:e2021GH000401.</w:t>
      </w:r>
    </w:p>
    <w:p w14:paraId="07EB619E"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Kim M, Jee S-C, Sung J-S (2024) Hepatoprotective Effects of Flavonoids against Benzo[a]Pyrene-Induced Oxidative Liver Damage along Its Metabolic Pathways. Antioxidants 13:180.</w:t>
      </w:r>
    </w:p>
    <w:p w14:paraId="6C0CA357"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Kim W-S, Park K, Park J-W, Lee S-H, Kim J-H, Kim Y-J, Oh G-H, Ko B-S, Park J-W, Hong C, Yu T-S, Kwak I-S (2022) Transcriptional Responses of Stress-Related Genes in Pale Chub (Zacco platypus) Inhabiting Different Aquatic Environments: Application for Biomonitoring Aquatic Ecosystems. Int J Environ Res Public Health 19:11471.</w:t>
      </w:r>
    </w:p>
    <w:p w14:paraId="3BE3429B"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lastRenderedPageBreak/>
        <w:t>Knecht AL, Truong L, Marvel SW, Reif DM, Garcia A, Lu C, Simonich MT, Teeguarden JG, Tanguay RL (2017) Transgenerational inheritance of neurobehavioral and physiological deficits from developmental exposure to benzo[a]pyrene in zebrafish. Toxicol Appl Pharmacol 329:148–157.</w:t>
      </w:r>
    </w:p>
    <w:p w14:paraId="187F13D8"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Kortei NK, Heymann ME, Essuman EK, Kpodo FM, Akonor PT, Lokpo SY, Boadi NO, Ayim-Akonor M, Tettey C (2020) Health risk assessment and levels of toxic metals in fishes (</w:t>
      </w:r>
      <w:r w:rsidRPr="00520126">
        <w:rPr>
          <w:rFonts w:ascii="Times New Roman" w:hAnsi="Times New Roman" w:cs="Times New Roman"/>
          <w:i/>
          <w:iCs/>
          <w:lang w:val="en-US"/>
        </w:rPr>
        <w:t>Oreochromis noliticus</w:t>
      </w:r>
      <w:r w:rsidRPr="00520126">
        <w:rPr>
          <w:rFonts w:ascii="Times New Roman" w:hAnsi="Times New Roman" w:cs="Times New Roman"/>
          <w:lang w:val="en-US"/>
        </w:rPr>
        <w:t xml:space="preserve"> and </w:t>
      </w:r>
      <w:r w:rsidRPr="00520126">
        <w:rPr>
          <w:rFonts w:ascii="Times New Roman" w:hAnsi="Times New Roman" w:cs="Times New Roman"/>
          <w:i/>
          <w:iCs/>
          <w:lang w:val="en-US"/>
        </w:rPr>
        <w:t>Clarias anguillaris</w:t>
      </w:r>
      <w:r w:rsidRPr="00520126">
        <w:rPr>
          <w:rFonts w:ascii="Times New Roman" w:hAnsi="Times New Roman" w:cs="Times New Roman"/>
          <w:lang w:val="en-US"/>
        </w:rPr>
        <w:t>) from Ankobrah and Pra basins: Impact of illegal mining activities on food safety. Toxicology Reports 7:360–369.</w:t>
      </w:r>
    </w:p>
    <w:p w14:paraId="5E290FA5"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Kozal JS, Jayasundara N, Massarsky A, Lindberg CD, Oliveri AN, Cooper EM, Levin ED, Meyer JN, Giulio RTD (2023) Mitochondrial dysfunction and oxidative stress contribute to cross-generational toxicity of benzo(a)pyrene in Danio rerio. Aquat Toxicol 263:106658.</w:t>
      </w:r>
    </w:p>
    <w:p w14:paraId="684A2666"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Lebepe J, Oberholster PJ, Ncube I, Smit W, Luus-Powell WJ (2020) Metal levels in two fish species from a waterbody impacted by metallurgic industries and acid mine drainage from coal mining in South Africa. J Environ Sci Health A Tox Hazard Subst Environ Eng 55:421–432.</w:t>
      </w:r>
    </w:p>
    <w:p w14:paraId="7FB001C0"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Liu G, Niu Z, Van Niekerk D, Xue J, Zheng L (2006) Polycyclic Aromatic Hydrocarbons (PAHs) from Coal Combustion: Emissions, Analysis, and Toxicology.</w:t>
      </w:r>
    </w:p>
    <w:p w14:paraId="1E4015C4"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Liu Y-S, Ying G-G, Shareef A, Kookana RS (2012) Occurrence and removal of benzotriazoles and ultraviolet filters in a municipal wastewater treatment plant. Environ Pollut 165:225–232.</w:t>
      </w:r>
    </w:p>
    <w:p w14:paraId="1B8FD327"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Martins M, Silva A, Costa MH, Miguel C, Costa PM (2018) Co-exposure to environmental carcinogens in vivo induces neoplasia-related hallmarks in low-genotoxicity events, even after removal of insult. Scientific Reports 8:3649.</w:t>
      </w:r>
    </w:p>
    <w:p w14:paraId="77A43590"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Masood N, Hudson-Edwards K, Farooqi A (2020) True cost of coal: coal mining industry and its associated environmental impacts on water resource development. Journal of Sustainable Mining 19.</w:t>
      </w:r>
    </w:p>
    <w:p w14:paraId="71A7D091"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Masud N, Cable J (2023) Microplastic exposure and consumption increases susceptibility to gyrodactylosis and host mortality for a freshwater fish. Dis Aquat Organ 153:81–85.</w:t>
      </w:r>
    </w:p>
    <w:p w14:paraId="4DF9433C"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Michel C, Vincent-Hubert F (2015) DNA oxidation and DNA repair in gills of zebra mussels exposed to cadmium and benzo(a)pyrene. Ecotoxicology 24:2009–2016.</w:t>
      </w:r>
    </w:p>
    <w:p w14:paraId="6E9538AC"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 xml:space="preserve">Miranda-Guevara A, Muñoz-Acevedo A, Fiorillo-Moreno O, Acosta-Hoyos A, Pacheco-Londoño L, Quintana-Sosa M, De Moya Y, Dias J, de Souza GS, Martinez-Lopez W, Garcia ALH, da Silva J, Borges MS, Henriques JAP, León-Mejía G (2023) The </w:t>
      </w:r>
      <w:r w:rsidRPr="00520126">
        <w:rPr>
          <w:rFonts w:ascii="Times New Roman" w:hAnsi="Times New Roman" w:cs="Times New Roman"/>
          <w:lang w:val="en-US"/>
        </w:rPr>
        <w:lastRenderedPageBreak/>
        <w:t>dangerous link between coal dust exposure and DNA damage: unraveling the role of some of the chemical agents and oxidative stress. Environ Geochem Health 45:7081–7097.</w:t>
      </w:r>
    </w:p>
    <w:p w14:paraId="6DAC238E"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Mohamed IA, Fathy M, Farghal AIA, Temerak S a. H, Abd El-Ghaffar SK, Idriss SKA (2023) Behavioral and histopathological changes of Clarias gariepinus as a predatory fish against Culex pipiens larvae following exposure to sublethal concentration of quinclorac and bensulfuron-methyl based herbicide. Hellenic Plant Protection Journal 16:67–78.</w:t>
      </w:r>
    </w:p>
    <w:p w14:paraId="7FDCEF33"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Morado CN, Parente TEM, Araújo FG, Paumgartten FJR, Gomes ID (2018) Induced CYP1A activity and DNA damage in fish from the middle Paraíba do Sul River basin, southeastern Brazil. Acta Scientiarum Biological Sciences 40.</w:t>
      </w:r>
    </w:p>
    <w:p w14:paraId="59D17807"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Nam S-E, Saravanan M, Rhee J-S (2020) Benzo[a]pyrene constrains embryo development via oxidative stress induction and modulates the transcriptional responses of molecular biomarkers in the marine medaka Oryzias javanicus. Journal of Environmental Science and Health, Part A 55:1050–1058.</w:t>
      </w:r>
    </w:p>
    <w:p w14:paraId="53F6922A"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Negi K, Chaudhary P (2024) Benzo[a]pyrene: A carcinogen, its sources, adverse effects, and preventions. The Applied Biology &amp; Chemistry Journal 5:44–56.</w:t>
      </w:r>
    </w:p>
    <w:p w14:paraId="35522522"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Osuagwu UO, Ujowundu CO, Nwaogu LA, Nwaoguikpe RN (2023) Assessment of haematological and histopathological effects of mixture toxicity of phenanthrene and benzo[a]pyrene in catfish. Biological Sciences 3:399–405.</w:t>
      </w:r>
    </w:p>
    <w:p w14:paraId="2B6754F5"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Perveen S, Latif F, Aziz S, Iram S (2024) Oxidative Stress Biomarkers in the Fish Samples Collected from Taunsa Barrage. Journal of Agriculture and Veterinary Science 3:457–465.</w:t>
      </w:r>
    </w:p>
    <w:p w14:paraId="3632F90C"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Porte C, Escartín E, Parra* LMG de la, Biosca X, Albaigés J (2002) Assessment of coastal pollution by combined determination of chemical and biochemical markers in Mullus barbatus. Marine Ecology Progress Series 235:205–216.</w:t>
      </w:r>
    </w:p>
    <w:p w14:paraId="5C89041E"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Pramanik S, Biswas JK (2024) Histopathological fingerprints and biochemical changes as multi-stress biomarkers in fish confronting concurrent pollution and parasitization. iScience 27:111432.</w:t>
      </w:r>
    </w:p>
    <w:p w14:paraId="0F6FED09"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Rehman T, Naz S, Hussain R, Chatha AMM, Ahmad F, Yamin A, Akram R, Naz H, Shaheen A (2021) Exposure to heavy metals causes histopathological changes and alters antioxidant enzymes in fresh water fish (Oreochromis niloticus). Asian Journal of Agriculture and Biology 2021.</w:t>
      </w:r>
    </w:p>
    <w:p w14:paraId="53E52897"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lastRenderedPageBreak/>
        <w:t>Rixian L, Huasheng H, Xinhong W, Kejian W, Chunguang W (2005) The genotoxic effects of benzo[a]pyrene and methamidophos on black porgy evaluated by comet assay. Chin J Ocean Limnol 23:455–460.</w:t>
      </w:r>
    </w:p>
    <w:p w14:paraId="19531D26"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Rouhani A, Skousen J, Tack FMG (2023) An Overview of Soil Pollution and Remediation Strategies in Coal Mining Regions. Minerals 13:1064.</w:t>
      </w:r>
    </w:p>
    <w:p w14:paraId="2491EAB0"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 xml:space="preserve">Santos C, de Oliveira MT, Cólus IM de S, Sofia SH, Martinez CB dos R (2018) Expression of </w:t>
      </w:r>
      <w:r w:rsidRPr="00520126">
        <w:rPr>
          <w:rFonts w:ascii="Times New Roman" w:hAnsi="Times New Roman" w:cs="Times New Roman"/>
          <w:i/>
          <w:iCs/>
          <w:lang w:val="en-US"/>
        </w:rPr>
        <w:t>cyp1a</w:t>
      </w:r>
      <w:r w:rsidRPr="00520126">
        <w:rPr>
          <w:rFonts w:ascii="Times New Roman" w:hAnsi="Times New Roman" w:cs="Times New Roman"/>
          <w:lang w:val="en-US"/>
        </w:rPr>
        <w:t xml:space="preserve"> induced by benzo(A)pyrene and related biochemical and genotoxic biomarkers in the neotropical freshwater fish </w:t>
      </w:r>
      <w:r w:rsidRPr="00520126">
        <w:rPr>
          <w:rFonts w:ascii="Times New Roman" w:hAnsi="Times New Roman" w:cs="Times New Roman"/>
          <w:i/>
          <w:iCs/>
          <w:lang w:val="en-US"/>
        </w:rPr>
        <w:t>Prochilodus lineatus</w:t>
      </w:r>
      <w:r w:rsidRPr="00520126">
        <w:rPr>
          <w:rFonts w:ascii="Times New Roman" w:hAnsi="Times New Roman" w:cs="Times New Roman"/>
          <w:lang w:val="en-US"/>
        </w:rPr>
        <w:t>. Environmental Toxicology and Pharmacology 61:30–37.</w:t>
      </w:r>
    </w:p>
    <w:p w14:paraId="0CE5180A"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Sathikumaran R, Madhuvandhi J, Priya KK, Sridevi A, Krishnamurthy R, Thilagam H (2022) Evaluation of benzo[a]pyrene-induced toxicity in the estuarine thornfish Therapon jarbua. Toxicol Rep 9:720–727.</w:t>
      </w:r>
    </w:p>
    <w:p w14:paraId="4BD7F0A7"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Sha W, Cai F, Li Y, Wang Y, Liu C, Wang R, Gao P (2021) Biomarker responses and histological damage in the gill, liver, and gonad of Cyprinus carpio with benzo(a)pyrene exposure. Environ Sci Pollut Res 28:61290–61301.</w:t>
      </w:r>
    </w:p>
    <w:p w14:paraId="36381946"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Silva GS da, Fé LML, Silva M de NP da, Val VMF de AE (2017) Ras oncogene and Hypoxia-inducible factor-1 alpha (hif-1α) expression in the Amazon fish Colossoma macropomum (Cuvier, 1818) exposed to benzo[a]pyrene. Genet Mol Biol 40:491–501.</w:t>
      </w:r>
    </w:p>
    <w:p w14:paraId="212E6DC5"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da Silva Montes C, Pantoja Ferreira MA, Giarrizzo T, Amado LL, Rocha RM (2020) Evaluation of metal contamination effects in piranhas through biomonitoring and multi biomarkers approach. Heliyon 6:e04666.</w:t>
      </w:r>
    </w:p>
    <w:p w14:paraId="0D35E228"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Soltani T, Safahieh A, Zolgharnain H, Matroodi S (2019) Interactions of oxidative DNA damage and CYP1A gene expression with the liver enzymes in Klunzinger’s mullet exposed to benzo[a]pyrene. Toxicol Rep 6:1097–1103.</w:t>
      </w:r>
    </w:p>
    <w:p w14:paraId="6731C5DC"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Soulivongsa L, Tengjaroenkul B, Neeratanaphan L (2020) Effects of Contamination by Heavy Metals and Metalloids on Chromosomes, Serum Biochemistry and Histopathology of the Bonylip Barb Fish Near Sepon Gold-Copper Mine, Lao PDR. Int J Environ Res Public Health 17:9492.</w:t>
      </w:r>
    </w:p>
    <w:p w14:paraId="7B808500"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Soulivongsa L, Tengjaroenkul B, Patawang I, Neeratanaphan L (2021) Cytogenetic, Serum Liver Enzymes and Liver Cell Pathology of the Hampala Barb Fish (Hampala macrolepidota) Affected by Toxic Elements in the Contaminated Nam Kok River Near the Sepon Gold-Copper Mine, Lao PDR. Int J Environ Res Public Health 18:5854.</w:t>
      </w:r>
    </w:p>
    <w:p w14:paraId="0C7B496A"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lastRenderedPageBreak/>
        <w:t>Srivastava V, Jha PK (2025) Environmental impacts of coal mining and mitigation measures: a review. Environ Monit Assess 197:545.</w:t>
      </w:r>
    </w:p>
    <w:p w14:paraId="70BC1716"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Szczepanska J, Twardowska I (1999) Distribution and environmental impact of coal-mining wastes in Upper Silesia, Poland. Environmental Geology 38:249–258.</w:t>
      </w:r>
    </w:p>
    <w:p w14:paraId="7ACE8DF1"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Takam P, Schäffer A, Laovitthayanggoon S, Charerntantanakul W, Sillapawattana P (2024) Toxic effect of polycyclic aromatic hydrocarbons (PAHs) on co-culture model of human alveolar epithelial cells (A549) and macrophages (THP-1). Environmental Sciences Europe 36:176.</w:t>
      </w:r>
    </w:p>
    <w:p w14:paraId="6128466B"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Takeuchi M, Fujiwara-Nagata E, Kuroda K, Sakata K, Narihiro T, Kikuchi J (2024) Fecal metagenomic and metabolomic analyses reveal non-invasive biomarkers of Flavobacterium psychrophilum infection in ayu (Plecoglossus altivelis). mSphere 9:e0030124.</w:t>
      </w:r>
    </w:p>
    <w:p w14:paraId="6122580D"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Tiwary RK (2001) Environmental Impact of Coal Mining on Water Regime and Its Management. Water, Air, and Soil Pollution 132:185–199.</w:t>
      </w:r>
    </w:p>
    <w:p w14:paraId="7D98DB1D"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 xml:space="preserve">Vieira LR, Sousa A, Frasco MF, Lima I, Morgado F, Guilhermino L (2008) Acute effects of Benzo[a]pyrene, anthracene and a fuel oil on biomarkers of the common goby </w:t>
      </w:r>
      <w:r w:rsidRPr="00520126">
        <w:rPr>
          <w:rFonts w:ascii="Times New Roman" w:hAnsi="Times New Roman" w:cs="Times New Roman"/>
          <w:i/>
          <w:iCs/>
          <w:lang w:val="en-US"/>
        </w:rPr>
        <w:t>Pomatoschistus microps</w:t>
      </w:r>
      <w:r w:rsidRPr="00520126">
        <w:rPr>
          <w:rFonts w:ascii="Times New Roman" w:hAnsi="Times New Roman" w:cs="Times New Roman"/>
          <w:lang w:val="en-US"/>
        </w:rPr>
        <w:t xml:space="preserve"> (Teleostei, Gobiidae). Science of The Total Environment 395:87–100.</w:t>
      </w:r>
    </w:p>
    <w:p w14:paraId="6C1AD30E"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Villa-Villaseñor IM, Yáñez-Rivera B, Rueda-Jasso RA, Herrera-Vargas MA, Hernández-Morales R, Meléndez-Herrera E, Domínguez-Domínguez O (2022) Differential sensitivity of offspring from four species of goodeine freshwater fish to acute exposure to nitrates. Front Ecol Evol 10.</w:t>
      </w:r>
    </w:p>
    <w:p w14:paraId="5C1FB319"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Wan T, Mo J, Au DW-T, Qin X, Tam NY-K, Kong RY-C, Seemann F (2023) The role of DNA methylation on gene expression in the vertebrae of ancestrally benzo[a]pyrene exposed F1 and F3 male medaka. Epigenetics 18:2222246.</w:t>
      </w:r>
    </w:p>
    <w:p w14:paraId="4726BF64"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Yang L, Birhane GE, Zhu J, Geng J (2021) Mining Employees Safety and the Application of Information Technology in Coal Mining: Review. Front Public Health 9.</w:t>
      </w:r>
    </w:p>
    <w:p w14:paraId="34893C17"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Zeb R, Yin X, Chen F, Wang K-J (2024) Chronic exposure to environmental concentrations of benzo[a]pyrene causes multifaceted toxic effects of developmental compromise, redox imbalance, and modulated transcriptional profiles in the early life stages of marine medaka (Oryzias melastigma). Aquatic Toxicology 273:107016.</w:t>
      </w:r>
    </w:p>
    <w:p w14:paraId="0FD31341" w14:textId="77777777" w:rsidR="00520126" w:rsidRPr="00520126" w:rsidRDefault="00520126" w:rsidP="00520126">
      <w:pPr>
        <w:pStyle w:val="Bibliography"/>
        <w:spacing w:line="360" w:lineRule="auto"/>
        <w:rPr>
          <w:rFonts w:ascii="Times New Roman" w:hAnsi="Times New Roman" w:cs="Times New Roman"/>
          <w:lang w:val="en-US"/>
        </w:rPr>
      </w:pPr>
      <w:r w:rsidRPr="00520126">
        <w:rPr>
          <w:rFonts w:ascii="Times New Roman" w:hAnsi="Times New Roman" w:cs="Times New Roman"/>
          <w:lang w:val="en-US"/>
        </w:rPr>
        <w:t>Zhou Y, Kong Q, Lin Z, Ma J, Zhang H (2021) Transcriptome aberration associated with altered locomotor behavior of zebrafish (Danio rerio) caused by Waterborne Benzo[a]pyrene. Ecotoxicology and Environmental Safety 227:112928.</w:t>
      </w:r>
    </w:p>
    <w:p w14:paraId="50E896A9" w14:textId="2F96505F" w:rsidR="0020372B" w:rsidRPr="00520126" w:rsidRDefault="00630D69" w:rsidP="00520126">
      <w:pPr>
        <w:pStyle w:val="Bibliography"/>
        <w:spacing w:line="360" w:lineRule="auto"/>
        <w:rPr>
          <w:rFonts w:ascii="Times New Roman" w:eastAsia="Times New Roman" w:hAnsi="Times New Roman" w:cs="Times New Roman"/>
          <w:lang w:val="en-US"/>
        </w:rPr>
      </w:pPr>
      <w:r w:rsidRPr="00520126">
        <w:rPr>
          <w:rFonts w:ascii="Times New Roman" w:eastAsia="Times New Roman" w:hAnsi="Times New Roman" w:cs="Times New Roman"/>
          <w:lang w:val="en-US"/>
        </w:rPr>
        <w:lastRenderedPageBreak/>
        <w:fldChar w:fldCharType="end"/>
      </w:r>
    </w:p>
    <w:p w14:paraId="39070B9F" w14:textId="77777777" w:rsidR="00A1416C" w:rsidRPr="00520126" w:rsidRDefault="00A1416C" w:rsidP="00520126">
      <w:pPr>
        <w:spacing w:line="360" w:lineRule="auto"/>
        <w:rPr>
          <w:rFonts w:ascii="Times New Roman" w:eastAsia="Times New Roman" w:hAnsi="Times New Roman" w:cs="Times New Roman"/>
          <w:lang w:val="en-US"/>
        </w:rPr>
      </w:pPr>
    </w:p>
    <w:p w14:paraId="7C3F7F95" w14:textId="1D0413AB" w:rsidR="007721EB" w:rsidRPr="00520126" w:rsidRDefault="007721EB" w:rsidP="00520126">
      <w:pPr>
        <w:spacing w:line="360" w:lineRule="auto"/>
        <w:rPr>
          <w:rFonts w:ascii="Times New Roman" w:hAnsi="Times New Roman" w:cs="Times New Roman"/>
        </w:rPr>
      </w:pPr>
    </w:p>
    <w:sectPr w:rsidR="007721EB" w:rsidRPr="0052012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060BF" w14:textId="77777777" w:rsidR="00477464" w:rsidRDefault="00477464" w:rsidP="003462F7">
      <w:pPr>
        <w:spacing w:after="0" w:line="240" w:lineRule="auto"/>
      </w:pPr>
      <w:r>
        <w:separator/>
      </w:r>
    </w:p>
  </w:endnote>
  <w:endnote w:type="continuationSeparator" w:id="0">
    <w:p w14:paraId="52F08E0F" w14:textId="77777777" w:rsidR="00477464" w:rsidRDefault="00477464" w:rsidP="00346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mbol">
    <w:panose1 w:val="05050102010706020507"/>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5FCE7" w14:textId="77777777" w:rsidR="003462F7" w:rsidRDefault="003462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4217C" w14:textId="77777777" w:rsidR="003462F7" w:rsidRDefault="003462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F1932" w14:textId="77777777" w:rsidR="003462F7" w:rsidRDefault="00346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11554" w14:textId="77777777" w:rsidR="00477464" w:rsidRDefault="00477464" w:rsidP="003462F7">
      <w:pPr>
        <w:spacing w:after="0" w:line="240" w:lineRule="auto"/>
      </w:pPr>
      <w:r>
        <w:separator/>
      </w:r>
    </w:p>
  </w:footnote>
  <w:footnote w:type="continuationSeparator" w:id="0">
    <w:p w14:paraId="06014903" w14:textId="77777777" w:rsidR="00477464" w:rsidRDefault="00477464" w:rsidP="003462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FF2D" w14:textId="10B4921D" w:rsidR="003462F7" w:rsidRDefault="00477464">
    <w:pPr>
      <w:pStyle w:val="Header"/>
    </w:pPr>
    <w:r>
      <w:rPr>
        <w:noProof/>
      </w:rPr>
      <w:pict w14:anchorId="1FCA1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5164563" o:spid="_x0000_s1027" type="#_x0000_t136" alt="" style="position:absolute;margin-left:0;margin-top:0;width:535.8pt;height:100.45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90954" w14:textId="71415D3C" w:rsidR="003462F7" w:rsidRDefault="00477464">
    <w:pPr>
      <w:pStyle w:val="Header"/>
    </w:pPr>
    <w:r>
      <w:rPr>
        <w:noProof/>
      </w:rPr>
      <w:pict w14:anchorId="36384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5164564" o:spid="_x0000_s1026" type="#_x0000_t136" alt="" style="position:absolute;margin-left:0;margin-top:0;width:535.8pt;height:100.4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B8474" w14:textId="19434E17" w:rsidR="003462F7" w:rsidRDefault="00477464">
    <w:pPr>
      <w:pStyle w:val="Header"/>
    </w:pPr>
    <w:r>
      <w:rPr>
        <w:noProof/>
      </w:rPr>
      <w:pict w14:anchorId="596B04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5164562" o:spid="_x0000_s1025" type="#_x0000_t136" alt="" style="position:absolute;margin-left:0;margin-top:0;width:535.8pt;height:100.4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G1wcz/aSfpBr6k" int2:id="8DXO916U">
      <int2:state int2:value="Rejected" int2:type="spell"/>
    </int2:textHash>
    <int2:textHash int2:hashCode="T1KnBPtCn57z2n" int2:id="9hHhhSL2">
      <int2:state int2:value="Rejected" int2:type="spell"/>
    </int2:textHash>
    <int2:textHash int2:hashCode="7TtY9CSRntwUp7" int2:id="OH6S7h0H">
      <int2:state int2:value="Rejected" int2:type="spell"/>
    </int2:textHash>
    <int2:textHash int2:hashCode="cSxWSLY1juba6Z" int2:id="aSaBU5pt">
      <int2:state int2:value="Rejected" int2:type="spell"/>
    </int2:textHash>
    <int2:textHash int2:hashCode="GbieQRM1h9acGx" int2:id="aqtoKbli">
      <int2:state int2:value="Rejected" int2:type="spell"/>
    </int2:textHash>
    <int2:textHash int2:hashCode="CEzTuO0Da6YSHE" int2:id="px24j36Z">
      <int2:state int2:value="Rejected" int2:type="spell"/>
    </int2:textHash>
    <int2:textHash int2:hashCode="g/nUoipzbzdSLi" int2:id="rpsDS37F">
      <int2:state int2:value="Rejected" int2:type="spell"/>
    </int2:textHash>
    <int2:textHash int2:hashCode="wlCA/XQ2hCu8Nl" int2:id="zaETAV9a">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1324A3"/>
    <w:multiLevelType w:val="hybridMultilevel"/>
    <w:tmpl w:val="5AE8ED5E"/>
    <w:lvl w:ilvl="0" w:tplc="3C82DC0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8D0A79"/>
    <w:multiLevelType w:val="hybridMultilevel"/>
    <w:tmpl w:val="C5D86D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81A7D15"/>
    <w:multiLevelType w:val="hybridMultilevel"/>
    <w:tmpl w:val="A9720C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20B6C04"/>
    <w:multiLevelType w:val="hybridMultilevel"/>
    <w:tmpl w:val="6C7AE8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42826907">
    <w:abstractNumId w:val="2"/>
  </w:num>
  <w:num w:numId="2" w16cid:durableId="605308200">
    <w:abstractNumId w:val="0"/>
  </w:num>
  <w:num w:numId="3" w16cid:durableId="1561087875">
    <w:abstractNumId w:val="1"/>
  </w:num>
  <w:num w:numId="4" w16cid:durableId="1693651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9EB"/>
    <w:rsid w:val="00000111"/>
    <w:rsid w:val="00000BF8"/>
    <w:rsid w:val="00001AAB"/>
    <w:rsid w:val="00001BC3"/>
    <w:rsid w:val="00002A6F"/>
    <w:rsid w:val="00003A7A"/>
    <w:rsid w:val="00004662"/>
    <w:rsid w:val="00004E95"/>
    <w:rsid w:val="000050CD"/>
    <w:rsid w:val="000066B5"/>
    <w:rsid w:val="000073BA"/>
    <w:rsid w:val="00007646"/>
    <w:rsid w:val="00007A09"/>
    <w:rsid w:val="00007E47"/>
    <w:rsid w:val="00011D47"/>
    <w:rsid w:val="0001256C"/>
    <w:rsid w:val="00013446"/>
    <w:rsid w:val="00013742"/>
    <w:rsid w:val="00014586"/>
    <w:rsid w:val="000149FB"/>
    <w:rsid w:val="00014D72"/>
    <w:rsid w:val="00020509"/>
    <w:rsid w:val="00020C17"/>
    <w:rsid w:val="00021763"/>
    <w:rsid w:val="00021B8A"/>
    <w:rsid w:val="000220F8"/>
    <w:rsid w:val="000234B9"/>
    <w:rsid w:val="00024F24"/>
    <w:rsid w:val="00026248"/>
    <w:rsid w:val="000278FA"/>
    <w:rsid w:val="00030839"/>
    <w:rsid w:val="00030D62"/>
    <w:rsid w:val="00031B84"/>
    <w:rsid w:val="00032261"/>
    <w:rsid w:val="0003622C"/>
    <w:rsid w:val="00036B32"/>
    <w:rsid w:val="00036CA4"/>
    <w:rsid w:val="00040268"/>
    <w:rsid w:val="00040508"/>
    <w:rsid w:val="0004114D"/>
    <w:rsid w:val="00041ADA"/>
    <w:rsid w:val="000424FE"/>
    <w:rsid w:val="00042998"/>
    <w:rsid w:val="00042A52"/>
    <w:rsid w:val="00042A96"/>
    <w:rsid w:val="00042AAA"/>
    <w:rsid w:val="00045A23"/>
    <w:rsid w:val="00045D4A"/>
    <w:rsid w:val="00052921"/>
    <w:rsid w:val="00053D28"/>
    <w:rsid w:val="00054441"/>
    <w:rsid w:val="00054E9E"/>
    <w:rsid w:val="000560D0"/>
    <w:rsid w:val="0005707B"/>
    <w:rsid w:val="00057FDB"/>
    <w:rsid w:val="00060BAB"/>
    <w:rsid w:val="00061FCE"/>
    <w:rsid w:val="00062088"/>
    <w:rsid w:val="00062102"/>
    <w:rsid w:val="000625FE"/>
    <w:rsid w:val="0006276D"/>
    <w:rsid w:val="00064C1A"/>
    <w:rsid w:val="00065767"/>
    <w:rsid w:val="00065D1F"/>
    <w:rsid w:val="00067029"/>
    <w:rsid w:val="00067162"/>
    <w:rsid w:val="000706E1"/>
    <w:rsid w:val="00072AC8"/>
    <w:rsid w:val="00072B0B"/>
    <w:rsid w:val="000732D0"/>
    <w:rsid w:val="00075340"/>
    <w:rsid w:val="000764A1"/>
    <w:rsid w:val="00076B7C"/>
    <w:rsid w:val="00076E80"/>
    <w:rsid w:val="0007721B"/>
    <w:rsid w:val="0007778A"/>
    <w:rsid w:val="00077EA8"/>
    <w:rsid w:val="00077F38"/>
    <w:rsid w:val="00081DD9"/>
    <w:rsid w:val="0008246B"/>
    <w:rsid w:val="000832F3"/>
    <w:rsid w:val="00083614"/>
    <w:rsid w:val="000841AE"/>
    <w:rsid w:val="00084429"/>
    <w:rsid w:val="00085F42"/>
    <w:rsid w:val="00086D02"/>
    <w:rsid w:val="00086D5B"/>
    <w:rsid w:val="00086FB9"/>
    <w:rsid w:val="000870B3"/>
    <w:rsid w:val="00090625"/>
    <w:rsid w:val="000914D3"/>
    <w:rsid w:val="00092B2F"/>
    <w:rsid w:val="00093305"/>
    <w:rsid w:val="0009367F"/>
    <w:rsid w:val="000938C0"/>
    <w:rsid w:val="00095C40"/>
    <w:rsid w:val="00096E6B"/>
    <w:rsid w:val="000971D3"/>
    <w:rsid w:val="00097210"/>
    <w:rsid w:val="000A1B17"/>
    <w:rsid w:val="000A1EE6"/>
    <w:rsid w:val="000A23F0"/>
    <w:rsid w:val="000A2A60"/>
    <w:rsid w:val="000A36A3"/>
    <w:rsid w:val="000A4C5C"/>
    <w:rsid w:val="000A6BF6"/>
    <w:rsid w:val="000A6CC0"/>
    <w:rsid w:val="000A70BE"/>
    <w:rsid w:val="000A7AEA"/>
    <w:rsid w:val="000B0046"/>
    <w:rsid w:val="000B25E9"/>
    <w:rsid w:val="000B2C21"/>
    <w:rsid w:val="000B2F25"/>
    <w:rsid w:val="000B4399"/>
    <w:rsid w:val="000B473D"/>
    <w:rsid w:val="000B4807"/>
    <w:rsid w:val="000B48E2"/>
    <w:rsid w:val="000B5F29"/>
    <w:rsid w:val="000B66B1"/>
    <w:rsid w:val="000B6958"/>
    <w:rsid w:val="000B7FA5"/>
    <w:rsid w:val="000C0A62"/>
    <w:rsid w:val="000C1A18"/>
    <w:rsid w:val="000C2756"/>
    <w:rsid w:val="000C375B"/>
    <w:rsid w:val="000C5697"/>
    <w:rsid w:val="000C6F1E"/>
    <w:rsid w:val="000C722C"/>
    <w:rsid w:val="000C72AF"/>
    <w:rsid w:val="000C7D23"/>
    <w:rsid w:val="000D05E6"/>
    <w:rsid w:val="000D12D6"/>
    <w:rsid w:val="000D2486"/>
    <w:rsid w:val="000D2720"/>
    <w:rsid w:val="000D28AF"/>
    <w:rsid w:val="000D3117"/>
    <w:rsid w:val="000D48E7"/>
    <w:rsid w:val="000D6810"/>
    <w:rsid w:val="000E2D4D"/>
    <w:rsid w:val="000E3430"/>
    <w:rsid w:val="000E35C1"/>
    <w:rsid w:val="000E3E76"/>
    <w:rsid w:val="000E4539"/>
    <w:rsid w:val="000E5A04"/>
    <w:rsid w:val="000E628B"/>
    <w:rsid w:val="000E6CFF"/>
    <w:rsid w:val="000F0981"/>
    <w:rsid w:val="000F0AB7"/>
    <w:rsid w:val="000F0D33"/>
    <w:rsid w:val="000F200A"/>
    <w:rsid w:val="000F36B1"/>
    <w:rsid w:val="000F386D"/>
    <w:rsid w:val="000F3ADC"/>
    <w:rsid w:val="000F40C6"/>
    <w:rsid w:val="000F560D"/>
    <w:rsid w:val="000F5974"/>
    <w:rsid w:val="000F5F0B"/>
    <w:rsid w:val="000F685B"/>
    <w:rsid w:val="001002D3"/>
    <w:rsid w:val="001006F4"/>
    <w:rsid w:val="0010199F"/>
    <w:rsid w:val="00103233"/>
    <w:rsid w:val="00103AD9"/>
    <w:rsid w:val="00103AE2"/>
    <w:rsid w:val="00103EC1"/>
    <w:rsid w:val="00104134"/>
    <w:rsid w:val="001055DB"/>
    <w:rsid w:val="00105FB1"/>
    <w:rsid w:val="001062F5"/>
    <w:rsid w:val="00106EE7"/>
    <w:rsid w:val="0010782C"/>
    <w:rsid w:val="00110E50"/>
    <w:rsid w:val="00111690"/>
    <w:rsid w:val="001127D3"/>
    <w:rsid w:val="001127F8"/>
    <w:rsid w:val="001128E3"/>
    <w:rsid w:val="00113482"/>
    <w:rsid w:val="00113559"/>
    <w:rsid w:val="0011663B"/>
    <w:rsid w:val="001203B1"/>
    <w:rsid w:val="00120B7F"/>
    <w:rsid w:val="00121744"/>
    <w:rsid w:val="001221BC"/>
    <w:rsid w:val="00122A62"/>
    <w:rsid w:val="00123F17"/>
    <w:rsid w:val="00124566"/>
    <w:rsid w:val="001256A4"/>
    <w:rsid w:val="001256D6"/>
    <w:rsid w:val="00126690"/>
    <w:rsid w:val="00126AAB"/>
    <w:rsid w:val="00126C51"/>
    <w:rsid w:val="00127D2F"/>
    <w:rsid w:val="00130400"/>
    <w:rsid w:val="00130544"/>
    <w:rsid w:val="001308D7"/>
    <w:rsid w:val="001331F8"/>
    <w:rsid w:val="00133547"/>
    <w:rsid w:val="0013392C"/>
    <w:rsid w:val="001342DC"/>
    <w:rsid w:val="00134332"/>
    <w:rsid w:val="00134C12"/>
    <w:rsid w:val="00135ACD"/>
    <w:rsid w:val="00135CEC"/>
    <w:rsid w:val="00137EA4"/>
    <w:rsid w:val="00140A24"/>
    <w:rsid w:val="00140CD2"/>
    <w:rsid w:val="0014309E"/>
    <w:rsid w:val="00145559"/>
    <w:rsid w:val="001456B6"/>
    <w:rsid w:val="00145C3D"/>
    <w:rsid w:val="00146A00"/>
    <w:rsid w:val="00146A26"/>
    <w:rsid w:val="00147783"/>
    <w:rsid w:val="00152510"/>
    <w:rsid w:val="001545D8"/>
    <w:rsid w:val="001548C7"/>
    <w:rsid w:val="00155C60"/>
    <w:rsid w:val="001573E5"/>
    <w:rsid w:val="00157AA6"/>
    <w:rsid w:val="00157DE3"/>
    <w:rsid w:val="00157EA0"/>
    <w:rsid w:val="00157FA6"/>
    <w:rsid w:val="00160B02"/>
    <w:rsid w:val="001615B2"/>
    <w:rsid w:val="00161CC4"/>
    <w:rsid w:val="0016257F"/>
    <w:rsid w:val="00162ADC"/>
    <w:rsid w:val="00162C85"/>
    <w:rsid w:val="00162C97"/>
    <w:rsid w:val="0016399A"/>
    <w:rsid w:val="00163D35"/>
    <w:rsid w:val="00163FA6"/>
    <w:rsid w:val="00164346"/>
    <w:rsid w:val="0016443E"/>
    <w:rsid w:val="0016484D"/>
    <w:rsid w:val="00165951"/>
    <w:rsid w:val="00165963"/>
    <w:rsid w:val="00165A67"/>
    <w:rsid w:val="001667CA"/>
    <w:rsid w:val="00166962"/>
    <w:rsid w:val="001674CC"/>
    <w:rsid w:val="001702BA"/>
    <w:rsid w:val="00171F9C"/>
    <w:rsid w:val="00171FE7"/>
    <w:rsid w:val="00173035"/>
    <w:rsid w:val="00173BF1"/>
    <w:rsid w:val="001745A6"/>
    <w:rsid w:val="00177932"/>
    <w:rsid w:val="00177C22"/>
    <w:rsid w:val="0018269A"/>
    <w:rsid w:val="001826F3"/>
    <w:rsid w:val="0018394F"/>
    <w:rsid w:val="00183A7A"/>
    <w:rsid w:val="001851E0"/>
    <w:rsid w:val="00185E33"/>
    <w:rsid w:val="00186056"/>
    <w:rsid w:val="00186F97"/>
    <w:rsid w:val="00190415"/>
    <w:rsid w:val="001907EA"/>
    <w:rsid w:val="0019129D"/>
    <w:rsid w:val="00191D2F"/>
    <w:rsid w:val="00192249"/>
    <w:rsid w:val="001924EF"/>
    <w:rsid w:val="0019263F"/>
    <w:rsid w:val="00192E70"/>
    <w:rsid w:val="00193288"/>
    <w:rsid w:val="00194A19"/>
    <w:rsid w:val="00194F41"/>
    <w:rsid w:val="00195121"/>
    <w:rsid w:val="00195750"/>
    <w:rsid w:val="0019619B"/>
    <w:rsid w:val="001970B0"/>
    <w:rsid w:val="00197B93"/>
    <w:rsid w:val="00197ED8"/>
    <w:rsid w:val="001A1089"/>
    <w:rsid w:val="001A2353"/>
    <w:rsid w:val="001A2894"/>
    <w:rsid w:val="001A3247"/>
    <w:rsid w:val="001A34ED"/>
    <w:rsid w:val="001A3A52"/>
    <w:rsid w:val="001A5851"/>
    <w:rsid w:val="001A5F4A"/>
    <w:rsid w:val="001A7CEC"/>
    <w:rsid w:val="001B05E5"/>
    <w:rsid w:val="001B1E3D"/>
    <w:rsid w:val="001B205B"/>
    <w:rsid w:val="001B486E"/>
    <w:rsid w:val="001B7367"/>
    <w:rsid w:val="001B75A5"/>
    <w:rsid w:val="001C0515"/>
    <w:rsid w:val="001C10A9"/>
    <w:rsid w:val="001C1C8C"/>
    <w:rsid w:val="001C2163"/>
    <w:rsid w:val="001C286A"/>
    <w:rsid w:val="001C3244"/>
    <w:rsid w:val="001C345E"/>
    <w:rsid w:val="001C4D18"/>
    <w:rsid w:val="001C5B03"/>
    <w:rsid w:val="001C653B"/>
    <w:rsid w:val="001C7A86"/>
    <w:rsid w:val="001C7CAE"/>
    <w:rsid w:val="001C7CCC"/>
    <w:rsid w:val="001D2AA9"/>
    <w:rsid w:val="001D2D48"/>
    <w:rsid w:val="001D3BEF"/>
    <w:rsid w:val="001D4C7C"/>
    <w:rsid w:val="001D60B0"/>
    <w:rsid w:val="001E0BCB"/>
    <w:rsid w:val="001E3E41"/>
    <w:rsid w:val="001E520E"/>
    <w:rsid w:val="001E6D68"/>
    <w:rsid w:val="001E7837"/>
    <w:rsid w:val="001E7B08"/>
    <w:rsid w:val="001F0286"/>
    <w:rsid w:val="001F12ED"/>
    <w:rsid w:val="001F1439"/>
    <w:rsid w:val="001F2A9A"/>
    <w:rsid w:val="001F2D9E"/>
    <w:rsid w:val="001F412C"/>
    <w:rsid w:val="001F4662"/>
    <w:rsid w:val="001F48AC"/>
    <w:rsid w:val="001F4E94"/>
    <w:rsid w:val="001F5532"/>
    <w:rsid w:val="001F5ED7"/>
    <w:rsid w:val="001F66CD"/>
    <w:rsid w:val="001F6C3A"/>
    <w:rsid w:val="001F6DF7"/>
    <w:rsid w:val="001F718E"/>
    <w:rsid w:val="001F74FC"/>
    <w:rsid w:val="001F7859"/>
    <w:rsid w:val="001F7967"/>
    <w:rsid w:val="00200AC0"/>
    <w:rsid w:val="00200DB8"/>
    <w:rsid w:val="0020114A"/>
    <w:rsid w:val="00202929"/>
    <w:rsid w:val="002034D3"/>
    <w:rsid w:val="0020372B"/>
    <w:rsid w:val="00203AA2"/>
    <w:rsid w:val="002041F9"/>
    <w:rsid w:val="002044B2"/>
    <w:rsid w:val="002045B4"/>
    <w:rsid w:val="00204BF6"/>
    <w:rsid w:val="00204FDE"/>
    <w:rsid w:val="00206ED0"/>
    <w:rsid w:val="00207C57"/>
    <w:rsid w:val="002108D2"/>
    <w:rsid w:val="00212801"/>
    <w:rsid w:val="00213450"/>
    <w:rsid w:val="002138E9"/>
    <w:rsid w:val="00214CB3"/>
    <w:rsid w:val="00215C5B"/>
    <w:rsid w:val="00216FD9"/>
    <w:rsid w:val="002173F8"/>
    <w:rsid w:val="002205B1"/>
    <w:rsid w:val="00221342"/>
    <w:rsid w:val="00221788"/>
    <w:rsid w:val="00221BA2"/>
    <w:rsid w:val="002264BA"/>
    <w:rsid w:val="00226587"/>
    <w:rsid w:val="00226DB4"/>
    <w:rsid w:val="0022714C"/>
    <w:rsid w:val="0023026D"/>
    <w:rsid w:val="00231CDC"/>
    <w:rsid w:val="0023201F"/>
    <w:rsid w:val="00232549"/>
    <w:rsid w:val="0023447A"/>
    <w:rsid w:val="0023456A"/>
    <w:rsid w:val="002352B2"/>
    <w:rsid w:val="00241B3D"/>
    <w:rsid w:val="00242866"/>
    <w:rsid w:val="0024287C"/>
    <w:rsid w:val="00242E3A"/>
    <w:rsid w:val="0024522E"/>
    <w:rsid w:val="002470BA"/>
    <w:rsid w:val="00247AF1"/>
    <w:rsid w:val="00251DD1"/>
    <w:rsid w:val="0025338F"/>
    <w:rsid w:val="0025422B"/>
    <w:rsid w:val="0025448A"/>
    <w:rsid w:val="00254506"/>
    <w:rsid w:val="00254583"/>
    <w:rsid w:val="00254792"/>
    <w:rsid w:val="00254866"/>
    <w:rsid w:val="00254F62"/>
    <w:rsid w:val="00255CB4"/>
    <w:rsid w:val="00257DBA"/>
    <w:rsid w:val="00260149"/>
    <w:rsid w:val="00260A7F"/>
    <w:rsid w:val="00262B00"/>
    <w:rsid w:val="00262C1D"/>
    <w:rsid w:val="00262C94"/>
    <w:rsid w:val="00263B8D"/>
    <w:rsid w:val="00264EA1"/>
    <w:rsid w:val="00265D89"/>
    <w:rsid w:val="00266021"/>
    <w:rsid w:val="00266D6B"/>
    <w:rsid w:val="00267B42"/>
    <w:rsid w:val="002703CD"/>
    <w:rsid w:val="0027043E"/>
    <w:rsid w:val="00270456"/>
    <w:rsid w:val="002704A2"/>
    <w:rsid w:val="00270F3F"/>
    <w:rsid w:val="0027150C"/>
    <w:rsid w:val="002717D9"/>
    <w:rsid w:val="00271F35"/>
    <w:rsid w:val="00272EBB"/>
    <w:rsid w:val="00275FFF"/>
    <w:rsid w:val="00276633"/>
    <w:rsid w:val="00277166"/>
    <w:rsid w:val="002800E1"/>
    <w:rsid w:val="002804E3"/>
    <w:rsid w:val="00280FE8"/>
    <w:rsid w:val="00281833"/>
    <w:rsid w:val="00281977"/>
    <w:rsid w:val="002820D1"/>
    <w:rsid w:val="00282FFF"/>
    <w:rsid w:val="002830BD"/>
    <w:rsid w:val="00283E9C"/>
    <w:rsid w:val="00284782"/>
    <w:rsid w:val="00286041"/>
    <w:rsid w:val="00286830"/>
    <w:rsid w:val="00290670"/>
    <w:rsid w:val="002911C1"/>
    <w:rsid w:val="002913D0"/>
    <w:rsid w:val="00291506"/>
    <w:rsid w:val="00292166"/>
    <w:rsid w:val="0029293D"/>
    <w:rsid w:val="00292E00"/>
    <w:rsid w:val="00293A02"/>
    <w:rsid w:val="00294674"/>
    <w:rsid w:val="00294749"/>
    <w:rsid w:val="002956CC"/>
    <w:rsid w:val="0029597B"/>
    <w:rsid w:val="00295F35"/>
    <w:rsid w:val="0029698E"/>
    <w:rsid w:val="00297229"/>
    <w:rsid w:val="00297540"/>
    <w:rsid w:val="002A07EB"/>
    <w:rsid w:val="002A26B4"/>
    <w:rsid w:val="002A42CF"/>
    <w:rsid w:val="002A4E17"/>
    <w:rsid w:val="002A6672"/>
    <w:rsid w:val="002A6B07"/>
    <w:rsid w:val="002A6DA2"/>
    <w:rsid w:val="002A7865"/>
    <w:rsid w:val="002B1CE6"/>
    <w:rsid w:val="002B1D3E"/>
    <w:rsid w:val="002B1E0B"/>
    <w:rsid w:val="002B1FC1"/>
    <w:rsid w:val="002B2DA7"/>
    <w:rsid w:val="002B3F44"/>
    <w:rsid w:val="002B4FD6"/>
    <w:rsid w:val="002B5361"/>
    <w:rsid w:val="002B6A07"/>
    <w:rsid w:val="002B7AA9"/>
    <w:rsid w:val="002C12E2"/>
    <w:rsid w:val="002C344E"/>
    <w:rsid w:val="002C358A"/>
    <w:rsid w:val="002C3DF5"/>
    <w:rsid w:val="002C48F9"/>
    <w:rsid w:val="002C4D59"/>
    <w:rsid w:val="002C4E6E"/>
    <w:rsid w:val="002C5B32"/>
    <w:rsid w:val="002C6B8D"/>
    <w:rsid w:val="002C778E"/>
    <w:rsid w:val="002D04A1"/>
    <w:rsid w:val="002D0876"/>
    <w:rsid w:val="002D32C9"/>
    <w:rsid w:val="002D3876"/>
    <w:rsid w:val="002D3B54"/>
    <w:rsid w:val="002D3D0F"/>
    <w:rsid w:val="002D4DBD"/>
    <w:rsid w:val="002D50E3"/>
    <w:rsid w:val="002D7605"/>
    <w:rsid w:val="002D7EEA"/>
    <w:rsid w:val="002DB58C"/>
    <w:rsid w:val="002E0211"/>
    <w:rsid w:val="002E1AA4"/>
    <w:rsid w:val="002E30C8"/>
    <w:rsid w:val="002E3CDD"/>
    <w:rsid w:val="002E49C0"/>
    <w:rsid w:val="002E5D1C"/>
    <w:rsid w:val="002F0D1E"/>
    <w:rsid w:val="002F0D9A"/>
    <w:rsid w:val="002F0F58"/>
    <w:rsid w:val="002F1E22"/>
    <w:rsid w:val="002F2357"/>
    <w:rsid w:val="002F2599"/>
    <w:rsid w:val="002F2CFD"/>
    <w:rsid w:val="002F3344"/>
    <w:rsid w:val="002F3EF3"/>
    <w:rsid w:val="002F5021"/>
    <w:rsid w:val="002F56F4"/>
    <w:rsid w:val="002F69A1"/>
    <w:rsid w:val="002F7ADF"/>
    <w:rsid w:val="002F7B4C"/>
    <w:rsid w:val="002F7E58"/>
    <w:rsid w:val="00301FCE"/>
    <w:rsid w:val="00302B87"/>
    <w:rsid w:val="003054AE"/>
    <w:rsid w:val="00305F4B"/>
    <w:rsid w:val="0030641A"/>
    <w:rsid w:val="003068BD"/>
    <w:rsid w:val="0030737E"/>
    <w:rsid w:val="0031203D"/>
    <w:rsid w:val="00312581"/>
    <w:rsid w:val="0031456D"/>
    <w:rsid w:val="00314C6D"/>
    <w:rsid w:val="003168D4"/>
    <w:rsid w:val="00317CDC"/>
    <w:rsid w:val="0032037C"/>
    <w:rsid w:val="00320E5F"/>
    <w:rsid w:val="00320F56"/>
    <w:rsid w:val="00322A1C"/>
    <w:rsid w:val="0032371E"/>
    <w:rsid w:val="003245B4"/>
    <w:rsid w:val="0032503C"/>
    <w:rsid w:val="003251F5"/>
    <w:rsid w:val="0032543F"/>
    <w:rsid w:val="0032577C"/>
    <w:rsid w:val="00326AC8"/>
    <w:rsid w:val="003276DC"/>
    <w:rsid w:val="003303A5"/>
    <w:rsid w:val="00331456"/>
    <w:rsid w:val="003319E4"/>
    <w:rsid w:val="0033252E"/>
    <w:rsid w:val="00334EF8"/>
    <w:rsid w:val="003364AF"/>
    <w:rsid w:val="00337336"/>
    <w:rsid w:val="00337A90"/>
    <w:rsid w:val="0034025F"/>
    <w:rsid w:val="0034223B"/>
    <w:rsid w:val="00343A1C"/>
    <w:rsid w:val="00344098"/>
    <w:rsid w:val="003443E4"/>
    <w:rsid w:val="00344AC3"/>
    <w:rsid w:val="00344CDD"/>
    <w:rsid w:val="00344DE0"/>
    <w:rsid w:val="003462F7"/>
    <w:rsid w:val="00347088"/>
    <w:rsid w:val="003475DA"/>
    <w:rsid w:val="00347ACE"/>
    <w:rsid w:val="00352AF0"/>
    <w:rsid w:val="00352B95"/>
    <w:rsid w:val="00353564"/>
    <w:rsid w:val="0035357C"/>
    <w:rsid w:val="0035465E"/>
    <w:rsid w:val="0035474F"/>
    <w:rsid w:val="00354C1C"/>
    <w:rsid w:val="00354FFA"/>
    <w:rsid w:val="003551D2"/>
    <w:rsid w:val="0035596E"/>
    <w:rsid w:val="00356ACC"/>
    <w:rsid w:val="00356F0C"/>
    <w:rsid w:val="00357625"/>
    <w:rsid w:val="0035798F"/>
    <w:rsid w:val="00360046"/>
    <w:rsid w:val="003605A4"/>
    <w:rsid w:val="0036112C"/>
    <w:rsid w:val="00361199"/>
    <w:rsid w:val="003611D1"/>
    <w:rsid w:val="00361553"/>
    <w:rsid w:val="00362DAC"/>
    <w:rsid w:val="00362DBB"/>
    <w:rsid w:val="00363A81"/>
    <w:rsid w:val="00363D63"/>
    <w:rsid w:val="0036504D"/>
    <w:rsid w:val="00365F51"/>
    <w:rsid w:val="00366B05"/>
    <w:rsid w:val="00366FCE"/>
    <w:rsid w:val="0036789C"/>
    <w:rsid w:val="0037175A"/>
    <w:rsid w:val="00371F84"/>
    <w:rsid w:val="00373422"/>
    <w:rsid w:val="00375ECC"/>
    <w:rsid w:val="003771A6"/>
    <w:rsid w:val="00382014"/>
    <w:rsid w:val="003821BD"/>
    <w:rsid w:val="00383233"/>
    <w:rsid w:val="00383D97"/>
    <w:rsid w:val="00385978"/>
    <w:rsid w:val="0038726A"/>
    <w:rsid w:val="00387390"/>
    <w:rsid w:val="00387EF4"/>
    <w:rsid w:val="0039074E"/>
    <w:rsid w:val="003907F3"/>
    <w:rsid w:val="0039094A"/>
    <w:rsid w:val="00391447"/>
    <w:rsid w:val="00392E67"/>
    <w:rsid w:val="00393386"/>
    <w:rsid w:val="0039380B"/>
    <w:rsid w:val="00397661"/>
    <w:rsid w:val="00397B58"/>
    <w:rsid w:val="003A0AEE"/>
    <w:rsid w:val="003A0F1B"/>
    <w:rsid w:val="003A0F26"/>
    <w:rsid w:val="003A12DD"/>
    <w:rsid w:val="003A19AA"/>
    <w:rsid w:val="003A1E8D"/>
    <w:rsid w:val="003A2CF2"/>
    <w:rsid w:val="003A2F12"/>
    <w:rsid w:val="003A6F18"/>
    <w:rsid w:val="003B0FC0"/>
    <w:rsid w:val="003B15ED"/>
    <w:rsid w:val="003B1CD6"/>
    <w:rsid w:val="003B3F94"/>
    <w:rsid w:val="003B5331"/>
    <w:rsid w:val="003B578C"/>
    <w:rsid w:val="003B5AB4"/>
    <w:rsid w:val="003B6655"/>
    <w:rsid w:val="003B7200"/>
    <w:rsid w:val="003B72BD"/>
    <w:rsid w:val="003B768E"/>
    <w:rsid w:val="003C0779"/>
    <w:rsid w:val="003C14C1"/>
    <w:rsid w:val="003C17A2"/>
    <w:rsid w:val="003C22B4"/>
    <w:rsid w:val="003C2A2E"/>
    <w:rsid w:val="003C2E3D"/>
    <w:rsid w:val="003C2FCE"/>
    <w:rsid w:val="003C3862"/>
    <w:rsid w:val="003C3969"/>
    <w:rsid w:val="003C51A0"/>
    <w:rsid w:val="003C63CA"/>
    <w:rsid w:val="003C6805"/>
    <w:rsid w:val="003C68A3"/>
    <w:rsid w:val="003D1D04"/>
    <w:rsid w:val="003D2421"/>
    <w:rsid w:val="003D31AA"/>
    <w:rsid w:val="003D435D"/>
    <w:rsid w:val="003D4510"/>
    <w:rsid w:val="003D51AD"/>
    <w:rsid w:val="003D5280"/>
    <w:rsid w:val="003D5298"/>
    <w:rsid w:val="003D6C1B"/>
    <w:rsid w:val="003D741C"/>
    <w:rsid w:val="003D7EB5"/>
    <w:rsid w:val="003E076B"/>
    <w:rsid w:val="003E1533"/>
    <w:rsid w:val="003E1904"/>
    <w:rsid w:val="003E2163"/>
    <w:rsid w:val="003E309B"/>
    <w:rsid w:val="003E3538"/>
    <w:rsid w:val="003E4810"/>
    <w:rsid w:val="003E554F"/>
    <w:rsid w:val="003E6BAF"/>
    <w:rsid w:val="003F0078"/>
    <w:rsid w:val="003F10E1"/>
    <w:rsid w:val="003F174C"/>
    <w:rsid w:val="003F2F2D"/>
    <w:rsid w:val="003F3614"/>
    <w:rsid w:val="003F3DAC"/>
    <w:rsid w:val="003F4F48"/>
    <w:rsid w:val="003F5C70"/>
    <w:rsid w:val="003F5ECA"/>
    <w:rsid w:val="003F7280"/>
    <w:rsid w:val="003F7C9A"/>
    <w:rsid w:val="004003B0"/>
    <w:rsid w:val="004005DD"/>
    <w:rsid w:val="00400AC1"/>
    <w:rsid w:val="00404259"/>
    <w:rsid w:val="00404333"/>
    <w:rsid w:val="004047CD"/>
    <w:rsid w:val="004048FE"/>
    <w:rsid w:val="004051C5"/>
    <w:rsid w:val="00405B7C"/>
    <w:rsid w:val="00406FA9"/>
    <w:rsid w:val="00407B28"/>
    <w:rsid w:val="00407C84"/>
    <w:rsid w:val="0041055F"/>
    <w:rsid w:val="00411484"/>
    <w:rsid w:val="00411B36"/>
    <w:rsid w:val="00412831"/>
    <w:rsid w:val="00413D7E"/>
    <w:rsid w:val="0041458E"/>
    <w:rsid w:val="00415513"/>
    <w:rsid w:val="00415590"/>
    <w:rsid w:val="00420BF7"/>
    <w:rsid w:val="004216DD"/>
    <w:rsid w:val="004222E2"/>
    <w:rsid w:val="00422397"/>
    <w:rsid w:val="00423A06"/>
    <w:rsid w:val="0042412B"/>
    <w:rsid w:val="00424A51"/>
    <w:rsid w:val="004318D1"/>
    <w:rsid w:val="00433211"/>
    <w:rsid w:val="00436E12"/>
    <w:rsid w:val="00437164"/>
    <w:rsid w:val="00440096"/>
    <w:rsid w:val="004402A6"/>
    <w:rsid w:val="0044097F"/>
    <w:rsid w:val="0044110C"/>
    <w:rsid w:val="0044115D"/>
    <w:rsid w:val="00442F0E"/>
    <w:rsid w:val="00442F7E"/>
    <w:rsid w:val="00443519"/>
    <w:rsid w:val="00443870"/>
    <w:rsid w:val="0044524C"/>
    <w:rsid w:val="004453C8"/>
    <w:rsid w:val="00445609"/>
    <w:rsid w:val="00445BB4"/>
    <w:rsid w:val="00450B16"/>
    <w:rsid w:val="00450D63"/>
    <w:rsid w:val="00452A89"/>
    <w:rsid w:val="00453240"/>
    <w:rsid w:val="00455F18"/>
    <w:rsid w:val="00455FC6"/>
    <w:rsid w:val="0045654C"/>
    <w:rsid w:val="0045667A"/>
    <w:rsid w:val="00457DA9"/>
    <w:rsid w:val="00460589"/>
    <w:rsid w:val="0046069C"/>
    <w:rsid w:val="004613CD"/>
    <w:rsid w:val="00461FCD"/>
    <w:rsid w:val="004623F0"/>
    <w:rsid w:val="00462B6B"/>
    <w:rsid w:val="00462D27"/>
    <w:rsid w:val="004633FC"/>
    <w:rsid w:val="00465D9A"/>
    <w:rsid w:val="0046642C"/>
    <w:rsid w:val="00466BDA"/>
    <w:rsid w:val="00466D0B"/>
    <w:rsid w:val="0047086C"/>
    <w:rsid w:val="004709AD"/>
    <w:rsid w:val="00470C60"/>
    <w:rsid w:val="00471D19"/>
    <w:rsid w:val="00473B5A"/>
    <w:rsid w:val="004754AD"/>
    <w:rsid w:val="00476043"/>
    <w:rsid w:val="004764B7"/>
    <w:rsid w:val="00476DB8"/>
    <w:rsid w:val="00477253"/>
    <w:rsid w:val="00477464"/>
    <w:rsid w:val="00477FA9"/>
    <w:rsid w:val="0048385E"/>
    <w:rsid w:val="004843F0"/>
    <w:rsid w:val="004849C2"/>
    <w:rsid w:val="00484BBD"/>
    <w:rsid w:val="00484E57"/>
    <w:rsid w:val="00485B31"/>
    <w:rsid w:val="004867C1"/>
    <w:rsid w:val="00486985"/>
    <w:rsid w:val="00486BE5"/>
    <w:rsid w:val="004902E1"/>
    <w:rsid w:val="004910A7"/>
    <w:rsid w:val="00491B24"/>
    <w:rsid w:val="0049264A"/>
    <w:rsid w:val="0049305E"/>
    <w:rsid w:val="00495014"/>
    <w:rsid w:val="00497371"/>
    <w:rsid w:val="0049761B"/>
    <w:rsid w:val="0049EF30"/>
    <w:rsid w:val="004A10C4"/>
    <w:rsid w:val="004A1361"/>
    <w:rsid w:val="004A1373"/>
    <w:rsid w:val="004A1C28"/>
    <w:rsid w:val="004A1F1B"/>
    <w:rsid w:val="004A25B0"/>
    <w:rsid w:val="004A2B37"/>
    <w:rsid w:val="004A3004"/>
    <w:rsid w:val="004A3746"/>
    <w:rsid w:val="004A3CCA"/>
    <w:rsid w:val="004A3EDF"/>
    <w:rsid w:val="004A6968"/>
    <w:rsid w:val="004A7892"/>
    <w:rsid w:val="004A79F6"/>
    <w:rsid w:val="004A7B82"/>
    <w:rsid w:val="004B0F01"/>
    <w:rsid w:val="004B10CE"/>
    <w:rsid w:val="004B1666"/>
    <w:rsid w:val="004B3514"/>
    <w:rsid w:val="004B48C1"/>
    <w:rsid w:val="004B5045"/>
    <w:rsid w:val="004B50D8"/>
    <w:rsid w:val="004B5CB4"/>
    <w:rsid w:val="004B5DEE"/>
    <w:rsid w:val="004C0E5A"/>
    <w:rsid w:val="004C1979"/>
    <w:rsid w:val="004C2545"/>
    <w:rsid w:val="004C2CE9"/>
    <w:rsid w:val="004C31D6"/>
    <w:rsid w:val="004C36AF"/>
    <w:rsid w:val="004C6AD2"/>
    <w:rsid w:val="004C7ABA"/>
    <w:rsid w:val="004D0FCB"/>
    <w:rsid w:val="004D17EB"/>
    <w:rsid w:val="004D1D17"/>
    <w:rsid w:val="004D43C0"/>
    <w:rsid w:val="004D47DF"/>
    <w:rsid w:val="004D4E40"/>
    <w:rsid w:val="004D58C1"/>
    <w:rsid w:val="004D7335"/>
    <w:rsid w:val="004D7C27"/>
    <w:rsid w:val="004E02AD"/>
    <w:rsid w:val="004E2B59"/>
    <w:rsid w:val="004E32C8"/>
    <w:rsid w:val="004E3978"/>
    <w:rsid w:val="004E3E4A"/>
    <w:rsid w:val="004E5920"/>
    <w:rsid w:val="004E65E5"/>
    <w:rsid w:val="004E6E97"/>
    <w:rsid w:val="004E7C07"/>
    <w:rsid w:val="004F36E1"/>
    <w:rsid w:val="004F459E"/>
    <w:rsid w:val="004F5F37"/>
    <w:rsid w:val="004F6C3F"/>
    <w:rsid w:val="004F9523"/>
    <w:rsid w:val="00502D07"/>
    <w:rsid w:val="0050315A"/>
    <w:rsid w:val="005032A9"/>
    <w:rsid w:val="00503A50"/>
    <w:rsid w:val="00504FF2"/>
    <w:rsid w:val="00505338"/>
    <w:rsid w:val="00506716"/>
    <w:rsid w:val="005068FD"/>
    <w:rsid w:val="00506F83"/>
    <w:rsid w:val="005070DC"/>
    <w:rsid w:val="0050754C"/>
    <w:rsid w:val="00507FD6"/>
    <w:rsid w:val="00510090"/>
    <w:rsid w:val="00510621"/>
    <w:rsid w:val="00510BF4"/>
    <w:rsid w:val="00511685"/>
    <w:rsid w:val="005117AE"/>
    <w:rsid w:val="00520126"/>
    <w:rsid w:val="00520A1F"/>
    <w:rsid w:val="00521371"/>
    <w:rsid w:val="005214A0"/>
    <w:rsid w:val="0052212A"/>
    <w:rsid w:val="0052212D"/>
    <w:rsid w:val="0052233F"/>
    <w:rsid w:val="00522E28"/>
    <w:rsid w:val="005239CE"/>
    <w:rsid w:val="005242CF"/>
    <w:rsid w:val="00526655"/>
    <w:rsid w:val="00526C6A"/>
    <w:rsid w:val="005271CD"/>
    <w:rsid w:val="005274FE"/>
    <w:rsid w:val="0053059F"/>
    <w:rsid w:val="005305A3"/>
    <w:rsid w:val="00531CAB"/>
    <w:rsid w:val="005332A6"/>
    <w:rsid w:val="005346F9"/>
    <w:rsid w:val="00535E4D"/>
    <w:rsid w:val="005362FE"/>
    <w:rsid w:val="005373BE"/>
    <w:rsid w:val="00537A87"/>
    <w:rsid w:val="00537B85"/>
    <w:rsid w:val="0054011E"/>
    <w:rsid w:val="00540946"/>
    <w:rsid w:val="00541BA6"/>
    <w:rsid w:val="0054219F"/>
    <w:rsid w:val="00542A88"/>
    <w:rsid w:val="0054388F"/>
    <w:rsid w:val="00543DB0"/>
    <w:rsid w:val="00543E2F"/>
    <w:rsid w:val="00545F31"/>
    <w:rsid w:val="00547321"/>
    <w:rsid w:val="00547D6F"/>
    <w:rsid w:val="00550B5A"/>
    <w:rsid w:val="00551CC2"/>
    <w:rsid w:val="00553335"/>
    <w:rsid w:val="005567DF"/>
    <w:rsid w:val="005576DB"/>
    <w:rsid w:val="00557B6F"/>
    <w:rsid w:val="0056119B"/>
    <w:rsid w:val="00561300"/>
    <w:rsid w:val="00562431"/>
    <w:rsid w:val="00563642"/>
    <w:rsid w:val="005636BE"/>
    <w:rsid w:val="005638DA"/>
    <w:rsid w:val="00564009"/>
    <w:rsid w:val="00564119"/>
    <w:rsid w:val="00564D67"/>
    <w:rsid w:val="005663DF"/>
    <w:rsid w:val="0056648E"/>
    <w:rsid w:val="00566A80"/>
    <w:rsid w:val="0056723F"/>
    <w:rsid w:val="00570F6A"/>
    <w:rsid w:val="0057134B"/>
    <w:rsid w:val="005713FA"/>
    <w:rsid w:val="005714A9"/>
    <w:rsid w:val="00573D62"/>
    <w:rsid w:val="005750CC"/>
    <w:rsid w:val="005758F6"/>
    <w:rsid w:val="00577282"/>
    <w:rsid w:val="005775BA"/>
    <w:rsid w:val="00577E18"/>
    <w:rsid w:val="00580FFF"/>
    <w:rsid w:val="005820AF"/>
    <w:rsid w:val="0058239C"/>
    <w:rsid w:val="005830AF"/>
    <w:rsid w:val="0058330B"/>
    <w:rsid w:val="00583CDD"/>
    <w:rsid w:val="00584553"/>
    <w:rsid w:val="00584BFB"/>
    <w:rsid w:val="005852F5"/>
    <w:rsid w:val="005853B8"/>
    <w:rsid w:val="00585D83"/>
    <w:rsid w:val="0058617C"/>
    <w:rsid w:val="00586879"/>
    <w:rsid w:val="00586C58"/>
    <w:rsid w:val="00586D0D"/>
    <w:rsid w:val="00586DD8"/>
    <w:rsid w:val="00586EC9"/>
    <w:rsid w:val="00590933"/>
    <w:rsid w:val="00590B80"/>
    <w:rsid w:val="00592A92"/>
    <w:rsid w:val="00593F99"/>
    <w:rsid w:val="00594C73"/>
    <w:rsid w:val="00595D97"/>
    <w:rsid w:val="00597832"/>
    <w:rsid w:val="005A0433"/>
    <w:rsid w:val="005A0476"/>
    <w:rsid w:val="005A04B9"/>
    <w:rsid w:val="005A05CF"/>
    <w:rsid w:val="005A3718"/>
    <w:rsid w:val="005A38B9"/>
    <w:rsid w:val="005A4494"/>
    <w:rsid w:val="005A6915"/>
    <w:rsid w:val="005A6C83"/>
    <w:rsid w:val="005A758F"/>
    <w:rsid w:val="005B163A"/>
    <w:rsid w:val="005B186D"/>
    <w:rsid w:val="005B28E3"/>
    <w:rsid w:val="005B4274"/>
    <w:rsid w:val="005B58CF"/>
    <w:rsid w:val="005B5FDA"/>
    <w:rsid w:val="005B68A9"/>
    <w:rsid w:val="005B718F"/>
    <w:rsid w:val="005C02B1"/>
    <w:rsid w:val="005C042F"/>
    <w:rsid w:val="005C28D2"/>
    <w:rsid w:val="005C3A2A"/>
    <w:rsid w:val="005C3B51"/>
    <w:rsid w:val="005C3CF6"/>
    <w:rsid w:val="005C4EE0"/>
    <w:rsid w:val="005C52D4"/>
    <w:rsid w:val="005C56A3"/>
    <w:rsid w:val="005C59A2"/>
    <w:rsid w:val="005C6C2A"/>
    <w:rsid w:val="005C78D8"/>
    <w:rsid w:val="005D0B49"/>
    <w:rsid w:val="005D1117"/>
    <w:rsid w:val="005D179F"/>
    <w:rsid w:val="005D20F0"/>
    <w:rsid w:val="005D31D5"/>
    <w:rsid w:val="005D37BE"/>
    <w:rsid w:val="005D38D8"/>
    <w:rsid w:val="005D430B"/>
    <w:rsid w:val="005D5243"/>
    <w:rsid w:val="005D5A32"/>
    <w:rsid w:val="005D630B"/>
    <w:rsid w:val="005D6BE4"/>
    <w:rsid w:val="005D6FC6"/>
    <w:rsid w:val="005E04F6"/>
    <w:rsid w:val="005E0748"/>
    <w:rsid w:val="005E0881"/>
    <w:rsid w:val="005E237B"/>
    <w:rsid w:val="005E3362"/>
    <w:rsid w:val="005E3774"/>
    <w:rsid w:val="005E508B"/>
    <w:rsid w:val="005E6360"/>
    <w:rsid w:val="005E6C69"/>
    <w:rsid w:val="005E7D1E"/>
    <w:rsid w:val="005F0946"/>
    <w:rsid w:val="005F0DD5"/>
    <w:rsid w:val="005F13BC"/>
    <w:rsid w:val="005F2160"/>
    <w:rsid w:val="005F4543"/>
    <w:rsid w:val="005F5102"/>
    <w:rsid w:val="005F6C4B"/>
    <w:rsid w:val="005F74ED"/>
    <w:rsid w:val="005F7AD0"/>
    <w:rsid w:val="0060093A"/>
    <w:rsid w:val="00601A4F"/>
    <w:rsid w:val="00601EE1"/>
    <w:rsid w:val="00603687"/>
    <w:rsid w:val="00605C43"/>
    <w:rsid w:val="00606714"/>
    <w:rsid w:val="00606C1F"/>
    <w:rsid w:val="00607433"/>
    <w:rsid w:val="006078E4"/>
    <w:rsid w:val="00611232"/>
    <w:rsid w:val="00611776"/>
    <w:rsid w:val="00611B29"/>
    <w:rsid w:val="00612428"/>
    <w:rsid w:val="006206DD"/>
    <w:rsid w:val="00621DEB"/>
    <w:rsid w:val="00623EAE"/>
    <w:rsid w:val="00624005"/>
    <w:rsid w:val="00626D4B"/>
    <w:rsid w:val="00630D69"/>
    <w:rsid w:val="006312E6"/>
    <w:rsid w:val="006326F4"/>
    <w:rsid w:val="0063271B"/>
    <w:rsid w:val="006330EE"/>
    <w:rsid w:val="006331EB"/>
    <w:rsid w:val="006343F8"/>
    <w:rsid w:val="00634C28"/>
    <w:rsid w:val="00636C60"/>
    <w:rsid w:val="00637C4E"/>
    <w:rsid w:val="00637CA9"/>
    <w:rsid w:val="00641B88"/>
    <w:rsid w:val="00645957"/>
    <w:rsid w:val="00645C96"/>
    <w:rsid w:val="006461DA"/>
    <w:rsid w:val="00646692"/>
    <w:rsid w:val="00647FA5"/>
    <w:rsid w:val="00650070"/>
    <w:rsid w:val="006506DB"/>
    <w:rsid w:val="00650FDC"/>
    <w:rsid w:val="00651845"/>
    <w:rsid w:val="006524EF"/>
    <w:rsid w:val="00652C73"/>
    <w:rsid w:val="00652E93"/>
    <w:rsid w:val="00653D5F"/>
    <w:rsid w:val="00653FCA"/>
    <w:rsid w:val="00654D24"/>
    <w:rsid w:val="006566FC"/>
    <w:rsid w:val="00657104"/>
    <w:rsid w:val="00657915"/>
    <w:rsid w:val="00657E99"/>
    <w:rsid w:val="006600F4"/>
    <w:rsid w:val="00661B47"/>
    <w:rsid w:val="00661B96"/>
    <w:rsid w:val="006639FA"/>
    <w:rsid w:val="006645A2"/>
    <w:rsid w:val="006646C3"/>
    <w:rsid w:val="00664EB0"/>
    <w:rsid w:val="006652CA"/>
    <w:rsid w:val="006653F1"/>
    <w:rsid w:val="006661BD"/>
    <w:rsid w:val="00667745"/>
    <w:rsid w:val="00667B5F"/>
    <w:rsid w:val="00671361"/>
    <w:rsid w:val="00671903"/>
    <w:rsid w:val="00672AE8"/>
    <w:rsid w:val="006734BB"/>
    <w:rsid w:val="0067365F"/>
    <w:rsid w:val="00673BE5"/>
    <w:rsid w:val="00674452"/>
    <w:rsid w:val="00674917"/>
    <w:rsid w:val="00676137"/>
    <w:rsid w:val="006825D5"/>
    <w:rsid w:val="00682C38"/>
    <w:rsid w:val="006839C0"/>
    <w:rsid w:val="00684A66"/>
    <w:rsid w:val="00685ECE"/>
    <w:rsid w:val="006867AC"/>
    <w:rsid w:val="00687F78"/>
    <w:rsid w:val="0069475B"/>
    <w:rsid w:val="00695807"/>
    <w:rsid w:val="00695FDF"/>
    <w:rsid w:val="00696268"/>
    <w:rsid w:val="006967B0"/>
    <w:rsid w:val="00696961"/>
    <w:rsid w:val="00697168"/>
    <w:rsid w:val="00697BEB"/>
    <w:rsid w:val="00697CD4"/>
    <w:rsid w:val="006A0CA8"/>
    <w:rsid w:val="006A0D0B"/>
    <w:rsid w:val="006A2C88"/>
    <w:rsid w:val="006A33FF"/>
    <w:rsid w:val="006A3CA8"/>
    <w:rsid w:val="006A3E5C"/>
    <w:rsid w:val="006A5A56"/>
    <w:rsid w:val="006A5FAB"/>
    <w:rsid w:val="006A6BB2"/>
    <w:rsid w:val="006A6D77"/>
    <w:rsid w:val="006A742F"/>
    <w:rsid w:val="006A78B9"/>
    <w:rsid w:val="006B017C"/>
    <w:rsid w:val="006B0A92"/>
    <w:rsid w:val="006B11A8"/>
    <w:rsid w:val="006B1B78"/>
    <w:rsid w:val="006B25D5"/>
    <w:rsid w:val="006B3F8F"/>
    <w:rsid w:val="006B4C04"/>
    <w:rsid w:val="006B534D"/>
    <w:rsid w:val="006B53D8"/>
    <w:rsid w:val="006B6F35"/>
    <w:rsid w:val="006B7442"/>
    <w:rsid w:val="006B7713"/>
    <w:rsid w:val="006B7851"/>
    <w:rsid w:val="006C076C"/>
    <w:rsid w:val="006C16F4"/>
    <w:rsid w:val="006C19EB"/>
    <w:rsid w:val="006C26A9"/>
    <w:rsid w:val="006C3077"/>
    <w:rsid w:val="006C3D25"/>
    <w:rsid w:val="006C5298"/>
    <w:rsid w:val="006C55C0"/>
    <w:rsid w:val="006C6446"/>
    <w:rsid w:val="006C6A30"/>
    <w:rsid w:val="006C6F48"/>
    <w:rsid w:val="006C753C"/>
    <w:rsid w:val="006CB80F"/>
    <w:rsid w:val="006D0680"/>
    <w:rsid w:val="006D1B5F"/>
    <w:rsid w:val="006D2320"/>
    <w:rsid w:val="006D29AB"/>
    <w:rsid w:val="006D328E"/>
    <w:rsid w:val="006D343B"/>
    <w:rsid w:val="006D3573"/>
    <w:rsid w:val="006D3583"/>
    <w:rsid w:val="006D3CA3"/>
    <w:rsid w:val="006D3CD7"/>
    <w:rsid w:val="006D49C9"/>
    <w:rsid w:val="006D4CC9"/>
    <w:rsid w:val="006D63A8"/>
    <w:rsid w:val="006D6D7D"/>
    <w:rsid w:val="006E6E57"/>
    <w:rsid w:val="006E7974"/>
    <w:rsid w:val="006E7F36"/>
    <w:rsid w:val="006F0556"/>
    <w:rsid w:val="006F1776"/>
    <w:rsid w:val="006F1A72"/>
    <w:rsid w:val="006F1DC9"/>
    <w:rsid w:val="006F487F"/>
    <w:rsid w:val="006F5363"/>
    <w:rsid w:val="006F64BD"/>
    <w:rsid w:val="006F6886"/>
    <w:rsid w:val="006F7230"/>
    <w:rsid w:val="006F7650"/>
    <w:rsid w:val="006F7CE0"/>
    <w:rsid w:val="0070107D"/>
    <w:rsid w:val="00703522"/>
    <w:rsid w:val="00704467"/>
    <w:rsid w:val="007044A6"/>
    <w:rsid w:val="00704D21"/>
    <w:rsid w:val="007060DC"/>
    <w:rsid w:val="007061B3"/>
    <w:rsid w:val="00707CF7"/>
    <w:rsid w:val="00710F4F"/>
    <w:rsid w:val="00711A1C"/>
    <w:rsid w:val="00711CF7"/>
    <w:rsid w:val="0071273C"/>
    <w:rsid w:val="00713701"/>
    <w:rsid w:val="00717B3F"/>
    <w:rsid w:val="00717FE4"/>
    <w:rsid w:val="007201BE"/>
    <w:rsid w:val="007208C3"/>
    <w:rsid w:val="00720F58"/>
    <w:rsid w:val="007217AB"/>
    <w:rsid w:val="007218DF"/>
    <w:rsid w:val="00721BE4"/>
    <w:rsid w:val="00721D3B"/>
    <w:rsid w:val="00721E7A"/>
    <w:rsid w:val="0072270D"/>
    <w:rsid w:val="00722B7E"/>
    <w:rsid w:val="00722C58"/>
    <w:rsid w:val="00723E45"/>
    <w:rsid w:val="00723E8C"/>
    <w:rsid w:val="0072421C"/>
    <w:rsid w:val="00725868"/>
    <w:rsid w:val="00726387"/>
    <w:rsid w:val="007277DD"/>
    <w:rsid w:val="007318F9"/>
    <w:rsid w:val="00731DC7"/>
    <w:rsid w:val="007326D9"/>
    <w:rsid w:val="00735B9E"/>
    <w:rsid w:val="00736161"/>
    <w:rsid w:val="00736913"/>
    <w:rsid w:val="00737154"/>
    <w:rsid w:val="00737686"/>
    <w:rsid w:val="0074030B"/>
    <w:rsid w:val="00741C08"/>
    <w:rsid w:val="007459E2"/>
    <w:rsid w:val="00747A2B"/>
    <w:rsid w:val="00751344"/>
    <w:rsid w:val="00751581"/>
    <w:rsid w:val="007517BC"/>
    <w:rsid w:val="00752ECA"/>
    <w:rsid w:val="00755A77"/>
    <w:rsid w:val="00760A1F"/>
    <w:rsid w:val="00760BF3"/>
    <w:rsid w:val="00761067"/>
    <w:rsid w:val="00763687"/>
    <w:rsid w:val="00763A34"/>
    <w:rsid w:val="007642FB"/>
    <w:rsid w:val="00764696"/>
    <w:rsid w:val="00764F00"/>
    <w:rsid w:val="007654BC"/>
    <w:rsid w:val="00765AA8"/>
    <w:rsid w:val="00766BC5"/>
    <w:rsid w:val="00766D3A"/>
    <w:rsid w:val="007674DD"/>
    <w:rsid w:val="00767E96"/>
    <w:rsid w:val="00770BF5"/>
    <w:rsid w:val="007721EB"/>
    <w:rsid w:val="00772654"/>
    <w:rsid w:val="007744E6"/>
    <w:rsid w:val="00774C00"/>
    <w:rsid w:val="0077560A"/>
    <w:rsid w:val="00775CB4"/>
    <w:rsid w:val="00775D9A"/>
    <w:rsid w:val="00776751"/>
    <w:rsid w:val="00777259"/>
    <w:rsid w:val="00780382"/>
    <w:rsid w:val="00781A43"/>
    <w:rsid w:val="007837ED"/>
    <w:rsid w:val="00783EDF"/>
    <w:rsid w:val="007847D1"/>
    <w:rsid w:val="00786144"/>
    <w:rsid w:val="00790109"/>
    <w:rsid w:val="00790184"/>
    <w:rsid w:val="007901D8"/>
    <w:rsid w:val="00791579"/>
    <w:rsid w:val="00792325"/>
    <w:rsid w:val="007928B5"/>
    <w:rsid w:val="007937B2"/>
    <w:rsid w:val="00793C61"/>
    <w:rsid w:val="00793E42"/>
    <w:rsid w:val="007943F5"/>
    <w:rsid w:val="00794794"/>
    <w:rsid w:val="007A0D72"/>
    <w:rsid w:val="007A260C"/>
    <w:rsid w:val="007A3F78"/>
    <w:rsid w:val="007A4FD3"/>
    <w:rsid w:val="007A5C25"/>
    <w:rsid w:val="007A6185"/>
    <w:rsid w:val="007A6BA6"/>
    <w:rsid w:val="007B10A7"/>
    <w:rsid w:val="007B1835"/>
    <w:rsid w:val="007B230C"/>
    <w:rsid w:val="007B2404"/>
    <w:rsid w:val="007B3706"/>
    <w:rsid w:val="007B4FF7"/>
    <w:rsid w:val="007B56C8"/>
    <w:rsid w:val="007B6567"/>
    <w:rsid w:val="007B6976"/>
    <w:rsid w:val="007B734B"/>
    <w:rsid w:val="007C2050"/>
    <w:rsid w:val="007C2152"/>
    <w:rsid w:val="007C346B"/>
    <w:rsid w:val="007C3CEC"/>
    <w:rsid w:val="007C4E46"/>
    <w:rsid w:val="007C5ED5"/>
    <w:rsid w:val="007C6EB7"/>
    <w:rsid w:val="007C77E3"/>
    <w:rsid w:val="007D0A32"/>
    <w:rsid w:val="007D0C0A"/>
    <w:rsid w:val="007D13BF"/>
    <w:rsid w:val="007D1A83"/>
    <w:rsid w:val="007D38EA"/>
    <w:rsid w:val="007D4C84"/>
    <w:rsid w:val="007D5212"/>
    <w:rsid w:val="007D5259"/>
    <w:rsid w:val="007D52BB"/>
    <w:rsid w:val="007D5894"/>
    <w:rsid w:val="007D7EA3"/>
    <w:rsid w:val="007E0950"/>
    <w:rsid w:val="007E107E"/>
    <w:rsid w:val="007E3492"/>
    <w:rsid w:val="007E3D10"/>
    <w:rsid w:val="007E52EE"/>
    <w:rsid w:val="007E64B7"/>
    <w:rsid w:val="007E6897"/>
    <w:rsid w:val="007F0EF0"/>
    <w:rsid w:val="007F1075"/>
    <w:rsid w:val="007F11DE"/>
    <w:rsid w:val="007F24C0"/>
    <w:rsid w:val="007F2BEA"/>
    <w:rsid w:val="007F2D87"/>
    <w:rsid w:val="007F3BAF"/>
    <w:rsid w:val="007F4201"/>
    <w:rsid w:val="007F4981"/>
    <w:rsid w:val="007F62D5"/>
    <w:rsid w:val="007F6BFE"/>
    <w:rsid w:val="007F6FB3"/>
    <w:rsid w:val="007F783E"/>
    <w:rsid w:val="008009FB"/>
    <w:rsid w:val="00800E68"/>
    <w:rsid w:val="00801E7A"/>
    <w:rsid w:val="00801ED0"/>
    <w:rsid w:val="0080358B"/>
    <w:rsid w:val="0080473D"/>
    <w:rsid w:val="008049CB"/>
    <w:rsid w:val="00804FEB"/>
    <w:rsid w:val="008063D7"/>
    <w:rsid w:val="008067C6"/>
    <w:rsid w:val="00806D74"/>
    <w:rsid w:val="008073FA"/>
    <w:rsid w:val="00807753"/>
    <w:rsid w:val="00810651"/>
    <w:rsid w:val="0081108A"/>
    <w:rsid w:val="00811527"/>
    <w:rsid w:val="00811CCB"/>
    <w:rsid w:val="00812581"/>
    <w:rsid w:val="00812762"/>
    <w:rsid w:val="00812838"/>
    <w:rsid w:val="008148DA"/>
    <w:rsid w:val="00814B38"/>
    <w:rsid w:val="008158C8"/>
    <w:rsid w:val="00815AEC"/>
    <w:rsid w:val="00815D14"/>
    <w:rsid w:val="008162B6"/>
    <w:rsid w:val="008166D3"/>
    <w:rsid w:val="008176BF"/>
    <w:rsid w:val="00821046"/>
    <w:rsid w:val="008219C5"/>
    <w:rsid w:val="00821B32"/>
    <w:rsid w:val="0082200E"/>
    <w:rsid w:val="00824104"/>
    <w:rsid w:val="008246E8"/>
    <w:rsid w:val="00826180"/>
    <w:rsid w:val="00826219"/>
    <w:rsid w:val="00827A57"/>
    <w:rsid w:val="0083013F"/>
    <w:rsid w:val="008328D7"/>
    <w:rsid w:val="0083310A"/>
    <w:rsid w:val="0083361F"/>
    <w:rsid w:val="00833C7D"/>
    <w:rsid w:val="0083551A"/>
    <w:rsid w:val="008355C8"/>
    <w:rsid w:val="00835D10"/>
    <w:rsid w:val="008364E1"/>
    <w:rsid w:val="008367BF"/>
    <w:rsid w:val="00836DFC"/>
    <w:rsid w:val="00837C10"/>
    <w:rsid w:val="00840691"/>
    <w:rsid w:val="00840742"/>
    <w:rsid w:val="00841389"/>
    <w:rsid w:val="00841711"/>
    <w:rsid w:val="00841932"/>
    <w:rsid w:val="008433D6"/>
    <w:rsid w:val="00843C19"/>
    <w:rsid w:val="00843CC3"/>
    <w:rsid w:val="0084474D"/>
    <w:rsid w:val="00845589"/>
    <w:rsid w:val="00845A30"/>
    <w:rsid w:val="00845D50"/>
    <w:rsid w:val="00847332"/>
    <w:rsid w:val="0084757A"/>
    <w:rsid w:val="00847EA1"/>
    <w:rsid w:val="00847F59"/>
    <w:rsid w:val="00850764"/>
    <w:rsid w:val="008509CA"/>
    <w:rsid w:val="008510F0"/>
    <w:rsid w:val="0085391F"/>
    <w:rsid w:val="00854A75"/>
    <w:rsid w:val="00855862"/>
    <w:rsid w:val="008559FF"/>
    <w:rsid w:val="00857543"/>
    <w:rsid w:val="008579D2"/>
    <w:rsid w:val="00860552"/>
    <w:rsid w:val="00860B7B"/>
    <w:rsid w:val="00861651"/>
    <w:rsid w:val="008626E3"/>
    <w:rsid w:val="008628B5"/>
    <w:rsid w:val="008647D3"/>
    <w:rsid w:val="00865E46"/>
    <w:rsid w:val="008661C3"/>
    <w:rsid w:val="0087008D"/>
    <w:rsid w:val="00870734"/>
    <w:rsid w:val="00870B7E"/>
    <w:rsid w:val="00871D1F"/>
    <w:rsid w:val="008720D0"/>
    <w:rsid w:val="008727DF"/>
    <w:rsid w:val="008735E6"/>
    <w:rsid w:val="00873A49"/>
    <w:rsid w:val="00873A8A"/>
    <w:rsid w:val="00874AB0"/>
    <w:rsid w:val="00875F03"/>
    <w:rsid w:val="00876D64"/>
    <w:rsid w:val="0087702C"/>
    <w:rsid w:val="00881339"/>
    <w:rsid w:val="00882CD4"/>
    <w:rsid w:val="00882CEF"/>
    <w:rsid w:val="008854A2"/>
    <w:rsid w:val="0088609E"/>
    <w:rsid w:val="0088694C"/>
    <w:rsid w:val="00887610"/>
    <w:rsid w:val="008902C5"/>
    <w:rsid w:val="00892C37"/>
    <w:rsid w:val="00893518"/>
    <w:rsid w:val="00893B7B"/>
    <w:rsid w:val="008954F7"/>
    <w:rsid w:val="008A0D6D"/>
    <w:rsid w:val="008A13CC"/>
    <w:rsid w:val="008A2432"/>
    <w:rsid w:val="008A24E5"/>
    <w:rsid w:val="008A2842"/>
    <w:rsid w:val="008A36D1"/>
    <w:rsid w:val="008A4D53"/>
    <w:rsid w:val="008A662E"/>
    <w:rsid w:val="008A67BC"/>
    <w:rsid w:val="008A7A85"/>
    <w:rsid w:val="008A7F59"/>
    <w:rsid w:val="008B037C"/>
    <w:rsid w:val="008B08EB"/>
    <w:rsid w:val="008B0FD5"/>
    <w:rsid w:val="008B1634"/>
    <w:rsid w:val="008B198C"/>
    <w:rsid w:val="008B3079"/>
    <w:rsid w:val="008B4098"/>
    <w:rsid w:val="008B4669"/>
    <w:rsid w:val="008B4D8B"/>
    <w:rsid w:val="008B5B6A"/>
    <w:rsid w:val="008B7AB9"/>
    <w:rsid w:val="008C24D5"/>
    <w:rsid w:val="008C26E0"/>
    <w:rsid w:val="008C3A8D"/>
    <w:rsid w:val="008C4B9B"/>
    <w:rsid w:val="008C4F8C"/>
    <w:rsid w:val="008C54D5"/>
    <w:rsid w:val="008C7E06"/>
    <w:rsid w:val="008D0176"/>
    <w:rsid w:val="008D02E6"/>
    <w:rsid w:val="008D046C"/>
    <w:rsid w:val="008D2538"/>
    <w:rsid w:val="008D307E"/>
    <w:rsid w:val="008D56D3"/>
    <w:rsid w:val="008D7930"/>
    <w:rsid w:val="008E0E38"/>
    <w:rsid w:val="008E13AF"/>
    <w:rsid w:val="008E1697"/>
    <w:rsid w:val="008E2015"/>
    <w:rsid w:val="008E2F9E"/>
    <w:rsid w:val="008E38FE"/>
    <w:rsid w:val="008E4A41"/>
    <w:rsid w:val="008E4CF3"/>
    <w:rsid w:val="008E56A6"/>
    <w:rsid w:val="008E78FB"/>
    <w:rsid w:val="008F0468"/>
    <w:rsid w:val="008F10FC"/>
    <w:rsid w:val="008F1696"/>
    <w:rsid w:val="008F1F15"/>
    <w:rsid w:val="008F22A5"/>
    <w:rsid w:val="008F2C7F"/>
    <w:rsid w:val="008F32C6"/>
    <w:rsid w:val="008F620A"/>
    <w:rsid w:val="008F6645"/>
    <w:rsid w:val="008F6799"/>
    <w:rsid w:val="008F7731"/>
    <w:rsid w:val="00900522"/>
    <w:rsid w:val="00900C09"/>
    <w:rsid w:val="00901692"/>
    <w:rsid w:val="0090194A"/>
    <w:rsid w:val="00902644"/>
    <w:rsid w:val="0090381A"/>
    <w:rsid w:val="00903DFD"/>
    <w:rsid w:val="00907533"/>
    <w:rsid w:val="00907556"/>
    <w:rsid w:val="00907F59"/>
    <w:rsid w:val="00910155"/>
    <w:rsid w:val="00910301"/>
    <w:rsid w:val="009103E7"/>
    <w:rsid w:val="0091187C"/>
    <w:rsid w:val="009119F2"/>
    <w:rsid w:val="0091230C"/>
    <w:rsid w:val="00912E2C"/>
    <w:rsid w:val="009138CD"/>
    <w:rsid w:val="00914144"/>
    <w:rsid w:val="0091535C"/>
    <w:rsid w:val="009159D3"/>
    <w:rsid w:val="00917BC8"/>
    <w:rsid w:val="0092181E"/>
    <w:rsid w:val="00922014"/>
    <w:rsid w:val="0092557D"/>
    <w:rsid w:val="0093237C"/>
    <w:rsid w:val="00933B07"/>
    <w:rsid w:val="00936AE2"/>
    <w:rsid w:val="00936BBB"/>
    <w:rsid w:val="0093711D"/>
    <w:rsid w:val="00937903"/>
    <w:rsid w:val="00942335"/>
    <w:rsid w:val="00942390"/>
    <w:rsid w:val="009427F0"/>
    <w:rsid w:val="00942E91"/>
    <w:rsid w:val="009433CB"/>
    <w:rsid w:val="009438A0"/>
    <w:rsid w:val="00944500"/>
    <w:rsid w:val="009446A4"/>
    <w:rsid w:val="009447BE"/>
    <w:rsid w:val="00944ECE"/>
    <w:rsid w:val="0094518A"/>
    <w:rsid w:val="00947A04"/>
    <w:rsid w:val="00947EA8"/>
    <w:rsid w:val="00950249"/>
    <w:rsid w:val="00950AF6"/>
    <w:rsid w:val="009528EB"/>
    <w:rsid w:val="00955978"/>
    <w:rsid w:val="00960017"/>
    <w:rsid w:val="00960490"/>
    <w:rsid w:val="009615C1"/>
    <w:rsid w:val="0096179D"/>
    <w:rsid w:val="00962376"/>
    <w:rsid w:val="009623F4"/>
    <w:rsid w:val="009624CD"/>
    <w:rsid w:val="00963091"/>
    <w:rsid w:val="009640EC"/>
    <w:rsid w:val="0096441A"/>
    <w:rsid w:val="0096451E"/>
    <w:rsid w:val="00964941"/>
    <w:rsid w:val="00964E6E"/>
    <w:rsid w:val="0096581B"/>
    <w:rsid w:val="00966825"/>
    <w:rsid w:val="00966B27"/>
    <w:rsid w:val="0097101E"/>
    <w:rsid w:val="0097129B"/>
    <w:rsid w:val="0097173E"/>
    <w:rsid w:val="00972523"/>
    <w:rsid w:val="00973410"/>
    <w:rsid w:val="00973736"/>
    <w:rsid w:val="00975336"/>
    <w:rsid w:val="00975546"/>
    <w:rsid w:val="00975B31"/>
    <w:rsid w:val="00975CF0"/>
    <w:rsid w:val="00976D1A"/>
    <w:rsid w:val="009771E6"/>
    <w:rsid w:val="009807BB"/>
    <w:rsid w:val="009817DA"/>
    <w:rsid w:val="00981B1E"/>
    <w:rsid w:val="00981CD1"/>
    <w:rsid w:val="00981F23"/>
    <w:rsid w:val="00982BA4"/>
    <w:rsid w:val="0098311E"/>
    <w:rsid w:val="00983989"/>
    <w:rsid w:val="0098420E"/>
    <w:rsid w:val="00984991"/>
    <w:rsid w:val="00984C03"/>
    <w:rsid w:val="009857B4"/>
    <w:rsid w:val="00986774"/>
    <w:rsid w:val="0099054B"/>
    <w:rsid w:val="00990B8A"/>
    <w:rsid w:val="00990DD0"/>
    <w:rsid w:val="00991080"/>
    <w:rsid w:val="00991C3F"/>
    <w:rsid w:val="00992E74"/>
    <w:rsid w:val="00994EA8"/>
    <w:rsid w:val="00995E92"/>
    <w:rsid w:val="00995FA9"/>
    <w:rsid w:val="00996713"/>
    <w:rsid w:val="009A02B1"/>
    <w:rsid w:val="009A347F"/>
    <w:rsid w:val="009A38F9"/>
    <w:rsid w:val="009A4668"/>
    <w:rsid w:val="009A473D"/>
    <w:rsid w:val="009A5271"/>
    <w:rsid w:val="009A7CF7"/>
    <w:rsid w:val="009A7F38"/>
    <w:rsid w:val="009B086A"/>
    <w:rsid w:val="009B138F"/>
    <w:rsid w:val="009B23AD"/>
    <w:rsid w:val="009B2445"/>
    <w:rsid w:val="009B262D"/>
    <w:rsid w:val="009B2FF9"/>
    <w:rsid w:val="009B311D"/>
    <w:rsid w:val="009B37A5"/>
    <w:rsid w:val="009B40E2"/>
    <w:rsid w:val="009B47EC"/>
    <w:rsid w:val="009B54CD"/>
    <w:rsid w:val="009B59E4"/>
    <w:rsid w:val="009B6483"/>
    <w:rsid w:val="009B7961"/>
    <w:rsid w:val="009C08BB"/>
    <w:rsid w:val="009C0A5D"/>
    <w:rsid w:val="009C0CC0"/>
    <w:rsid w:val="009C12D8"/>
    <w:rsid w:val="009C2520"/>
    <w:rsid w:val="009C32FF"/>
    <w:rsid w:val="009C33F0"/>
    <w:rsid w:val="009C383C"/>
    <w:rsid w:val="009C6092"/>
    <w:rsid w:val="009C6B41"/>
    <w:rsid w:val="009C7FA1"/>
    <w:rsid w:val="009D0C4F"/>
    <w:rsid w:val="009D1C6A"/>
    <w:rsid w:val="009D2C12"/>
    <w:rsid w:val="009D370D"/>
    <w:rsid w:val="009D440D"/>
    <w:rsid w:val="009D4ADD"/>
    <w:rsid w:val="009D4D3C"/>
    <w:rsid w:val="009D55A1"/>
    <w:rsid w:val="009D5A2D"/>
    <w:rsid w:val="009D700D"/>
    <w:rsid w:val="009D79B4"/>
    <w:rsid w:val="009E006A"/>
    <w:rsid w:val="009E14E2"/>
    <w:rsid w:val="009E3AD9"/>
    <w:rsid w:val="009E3D91"/>
    <w:rsid w:val="009E4E61"/>
    <w:rsid w:val="009E5F35"/>
    <w:rsid w:val="009F1454"/>
    <w:rsid w:val="009F3D5E"/>
    <w:rsid w:val="009F4EAD"/>
    <w:rsid w:val="009F4EAF"/>
    <w:rsid w:val="009F7E7C"/>
    <w:rsid w:val="009F7ECB"/>
    <w:rsid w:val="00A00819"/>
    <w:rsid w:val="00A013E9"/>
    <w:rsid w:val="00A01A3A"/>
    <w:rsid w:val="00A023C3"/>
    <w:rsid w:val="00A044D5"/>
    <w:rsid w:val="00A044F9"/>
    <w:rsid w:val="00A05994"/>
    <w:rsid w:val="00A05C43"/>
    <w:rsid w:val="00A05E41"/>
    <w:rsid w:val="00A06A94"/>
    <w:rsid w:val="00A107D6"/>
    <w:rsid w:val="00A1117E"/>
    <w:rsid w:val="00A114DF"/>
    <w:rsid w:val="00A11AE4"/>
    <w:rsid w:val="00A11DF9"/>
    <w:rsid w:val="00A124F9"/>
    <w:rsid w:val="00A12628"/>
    <w:rsid w:val="00A1300C"/>
    <w:rsid w:val="00A1327B"/>
    <w:rsid w:val="00A134D1"/>
    <w:rsid w:val="00A13A3E"/>
    <w:rsid w:val="00A1416C"/>
    <w:rsid w:val="00A16BD8"/>
    <w:rsid w:val="00A22462"/>
    <w:rsid w:val="00A22998"/>
    <w:rsid w:val="00A23EE7"/>
    <w:rsid w:val="00A24683"/>
    <w:rsid w:val="00A24BF9"/>
    <w:rsid w:val="00A2553A"/>
    <w:rsid w:val="00A30C30"/>
    <w:rsid w:val="00A328C7"/>
    <w:rsid w:val="00A33096"/>
    <w:rsid w:val="00A347AD"/>
    <w:rsid w:val="00A34F55"/>
    <w:rsid w:val="00A350FA"/>
    <w:rsid w:val="00A4015C"/>
    <w:rsid w:val="00A404DE"/>
    <w:rsid w:val="00A41475"/>
    <w:rsid w:val="00A42FED"/>
    <w:rsid w:val="00A457BD"/>
    <w:rsid w:val="00A45D5D"/>
    <w:rsid w:val="00A46CEC"/>
    <w:rsid w:val="00A5140F"/>
    <w:rsid w:val="00A521A9"/>
    <w:rsid w:val="00A52445"/>
    <w:rsid w:val="00A53D34"/>
    <w:rsid w:val="00A542CE"/>
    <w:rsid w:val="00A54C55"/>
    <w:rsid w:val="00A54D20"/>
    <w:rsid w:val="00A551AF"/>
    <w:rsid w:val="00A56390"/>
    <w:rsid w:val="00A57277"/>
    <w:rsid w:val="00A572E3"/>
    <w:rsid w:val="00A57C3A"/>
    <w:rsid w:val="00A60512"/>
    <w:rsid w:val="00A6227A"/>
    <w:rsid w:val="00A62F40"/>
    <w:rsid w:val="00A633A7"/>
    <w:rsid w:val="00A63BAF"/>
    <w:rsid w:val="00A64AE5"/>
    <w:rsid w:val="00A64E80"/>
    <w:rsid w:val="00A70A62"/>
    <w:rsid w:val="00A72328"/>
    <w:rsid w:val="00A725E0"/>
    <w:rsid w:val="00A73AEF"/>
    <w:rsid w:val="00A73F7C"/>
    <w:rsid w:val="00A741B8"/>
    <w:rsid w:val="00A74FF1"/>
    <w:rsid w:val="00A753C6"/>
    <w:rsid w:val="00A75527"/>
    <w:rsid w:val="00A767B3"/>
    <w:rsid w:val="00A801AE"/>
    <w:rsid w:val="00A805B5"/>
    <w:rsid w:val="00A80F09"/>
    <w:rsid w:val="00A8222C"/>
    <w:rsid w:val="00A8527E"/>
    <w:rsid w:val="00A8545B"/>
    <w:rsid w:val="00A85CBD"/>
    <w:rsid w:val="00A86509"/>
    <w:rsid w:val="00A86FEF"/>
    <w:rsid w:val="00A87FE5"/>
    <w:rsid w:val="00A90004"/>
    <w:rsid w:val="00A90373"/>
    <w:rsid w:val="00A90CA9"/>
    <w:rsid w:val="00A91A54"/>
    <w:rsid w:val="00A92203"/>
    <w:rsid w:val="00A93621"/>
    <w:rsid w:val="00A9412A"/>
    <w:rsid w:val="00A95231"/>
    <w:rsid w:val="00A954F6"/>
    <w:rsid w:val="00A96157"/>
    <w:rsid w:val="00A977D4"/>
    <w:rsid w:val="00A97FB1"/>
    <w:rsid w:val="00AA0532"/>
    <w:rsid w:val="00AA061B"/>
    <w:rsid w:val="00AA1CA5"/>
    <w:rsid w:val="00AA1CF4"/>
    <w:rsid w:val="00AA3261"/>
    <w:rsid w:val="00AA381D"/>
    <w:rsid w:val="00AA38C0"/>
    <w:rsid w:val="00AA3D0C"/>
    <w:rsid w:val="00AA3E6A"/>
    <w:rsid w:val="00AA4484"/>
    <w:rsid w:val="00AA4877"/>
    <w:rsid w:val="00AA4F55"/>
    <w:rsid w:val="00AA54A1"/>
    <w:rsid w:val="00AA5977"/>
    <w:rsid w:val="00AA6709"/>
    <w:rsid w:val="00AA6E50"/>
    <w:rsid w:val="00AA6EBF"/>
    <w:rsid w:val="00AA7705"/>
    <w:rsid w:val="00AB114B"/>
    <w:rsid w:val="00AB209B"/>
    <w:rsid w:val="00AB3B2A"/>
    <w:rsid w:val="00AB3B34"/>
    <w:rsid w:val="00AB43D2"/>
    <w:rsid w:val="00AB4570"/>
    <w:rsid w:val="00AB46E7"/>
    <w:rsid w:val="00AB5E52"/>
    <w:rsid w:val="00AC0414"/>
    <w:rsid w:val="00AC1359"/>
    <w:rsid w:val="00AC28F0"/>
    <w:rsid w:val="00AC2C04"/>
    <w:rsid w:val="00AC323E"/>
    <w:rsid w:val="00AC3D13"/>
    <w:rsid w:val="00AC3E8A"/>
    <w:rsid w:val="00AC4483"/>
    <w:rsid w:val="00AC4F88"/>
    <w:rsid w:val="00AC52C6"/>
    <w:rsid w:val="00AD01EE"/>
    <w:rsid w:val="00AD0437"/>
    <w:rsid w:val="00AD0BC2"/>
    <w:rsid w:val="00AD1256"/>
    <w:rsid w:val="00AD1B2F"/>
    <w:rsid w:val="00AD27E0"/>
    <w:rsid w:val="00AD294C"/>
    <w:rsid w:val="00AD29A4"/>
    <w:rsid w:val="00AD4505"/>
    <w:rsid w:val="00AD46EF"/>
    <w:rsid w:val="00AD4AED"/>
    <w:rsid w:val="00AD4D40"/>
    <w:rsid w:val="00AD5DCF"/>
    <w:rsid w:val="00AD6197"/>
    <w:rsid w:val="00AD627C"/>
    <w:rsid w:val="00AD78C3"/>
    <w:rsid w:val="00AE0670"/>
    <w:rsid w:val="00AE08A3"/>
    <w:rsid w:val="00AE0982"/>
    <w:rsid w:val="00AE1265"/>
    <w:rsid w:val="00AE2FB5"/>
    <w:rsid w:val="00AE3092"/>
    <w:rsid w:val="00AE39CF"/>
    <w:rsid w:val="00AE3BEC"/>
    <w:rsid w:val="00AE5B15"/>
    <w:rsid w:val="00AE66F6"/>
    <w:rsid w:val="00AF0DD0"/>
    <w:rsid w:val="00AF1470"/>
    <w:rsid w:val="00AF1C37"/>
    <w:rsid w:val="00AF3036"/>
    <w:rsid w:val="00AF30DD"/>
    <w:rsid w:val="00AF32F8"/>
    <w:rsid w:val="00AF5053"/>
    <w:rsid w:val="00AF63E1"/>
    <w:rsid w:val="00B015C1"/>
    <w:rsid w:val="00B0175A"/>
    <w:rsid w:val="00B01A3A"/>
    <w:rsid w:val="00B01E85"/>
    <w:rsid w:val="00B0278F"/>
    <w:rsid w:val="00B02AB3"/>
    <w:rsid w:val="00B038DA"/>
    <w:rsid w:val="00B043CD"/>
    <w:rsid w:val="00B04686"/>
    <w:rsid w:val="00B11960"/>
    <w:rsid w:val="00B122BA"/>
    <w:rsid w:val="00B12CB6"/>
    <w:rsid w:val="00B12CED"/>
    <w:rsid w:val="00B13778"/>
    <w:rsid w:val="00B13AB2"/>
    <w:rsid w:val="00B145C2"/>
    <w:rsid w:val="00B148E5"/>
    <w:rsid w:val="00B1568D"/>
    <w:rsid w:val="00B1590C"/>
    <w:rsid w:val="00B159E8"/>
    <w:rsid w:val="00B163AB"/>
    <w:rsid w:val="00B16B5C"/>
    <w:rsid w:val="00B178D8"/>
    <w:rsid w:val="00B17BCE"/>
    <w:rsid w:val="00B17D9E"/>
    <w:rsid w:val="00B20DAB"/>
    <w:rsid w:val="00B2200A"/>
    <w:rsid w:val="00B22016"/>
    <w:rsid w:val="00B23BB8"/>
    <w:rsid w:val="00B24D87"/>
    <w:rsid w:val="00B24EFD"/>
    <w:rsid w:val="00B2543B"/>
    <w:rsid w:val="00B25641"/>
    <w:rsid w:val="00B264F1"/>
    <w:rsid w:val="00B27068"/>
    <w:rsid w:val="00B277A0"/>
    <w:rsid w:val="00B27CC3"/>
    <w:rsid w:val="00B3074A"/>
    <w:rsid w:val="00B30F6D"/>
    <w:rsid w:val="00B311E0"/>
    <w:rsid w:val="00B339FE"/>
    <w:rsid w:val="00B34020"/>
    <w:rsid w:val="00B34FAA"/>
    <w:rsid w:val="00B41BCB"/>
    <w:rsid w:val="00B41CBA"/>
    <w:rsid w:val="00B447B1"/>
    <w:rsid w:val="00B47486"/>
    <w:rsid w:val="00B47A3D"/>
    <w:rsid w:val="00B47B31"/>
    <w:rsid w:val="00B503A5"/>
    <w:rsid w:val="00B51354"/>
    <w:rsid w:val="00B52A16"/>
    <w:rsid w:val="00B5454A"/>
    <w:rsid w:val="00B56621"/>
    <w:rsid w:val="00B566BA"/>
    <w:rsid w:val="00B567FB"/>
    <w:rsid w:val="00B56843"/>
    <w:rsid w:val="00B569F4"/>
    <w:rsid w:val="00B56D0E"/>
    <w:rsid w:val="00B57113"/>
    <w:rsid w:val="00B61E37"/>
    <w:rsid w:val="00B646D9"/>
    <w:rsid w:val="00B65BAA"/>
    <w:rsid w:val="00B66569"/>
    <w:rsid w:val="00B666AE"/>
    <w:rsid w:val="00B66832"/>
    <w:rsid w:val="00B70BD7"/>
    <w:rsid w:val="00B70BDF"/>
    <w:rsid w:val="00B7119F"/>
    <w:rsid w:val="00B713DA"/>
    <w:rsid w:val="00B71704"/>
    <w:rsid w:val="00B72ADB"/>
    <w:rsid w:val="00B7331C"/>
    <w:rsid w:val="00B747B3"/>
    <w:rsid w:val="00B766AE"/>
    <w:rsid w:val="00B76AC5"/>
    <w:rsid w:val="00B777C4"/>
    <w:rsid w:val="00B77F43"/>
    <w:rsid w:val="00B80069"/>
    <w:rsid w:val="00B80FC0"/>
    <w:rsid w:val="00B812BB"/>
    <w:rsid w:val="00B82497"/>
    <w:rsid w:val="00B82815"/>
    <w:rsid w:val="00B8327A"/>
    <w:rsid w:val="00B8447E"/>
    <w:rsid w:val="00B84BE2"/>
    <w:rsid w:val="00B85A01"/>
    <w:rsid w:val="00B8613C"/>
    <w:rsid w:val="00B86545"/>
    <w:rsid w:val="00B86DB6"/>
    <w:rsid w:val="00B914F6"/>
    <w:rsid w:val="00B921FE"/>
    <w:rsid w:val="00B9311A"/>
    <w:rsid w:val="00B93FAF"/>
    <w:rsid w:val="00B95186"/>
    <w:rsid w:val="00B95D83"/>
    <w:rsid w:val="00B96166"/>
    <w:rsid w:val="00BA0E1E"/>
    <w:rsid w:val="00BA1469"/>
    <w:rsid w:val="00BA1F8F"/>
    <w:rsid w:val="00BA2769"/>
    <w:rsid w:val="00BA2B64"/>
    <w:rsid w:val="00BA395E"/>
    <w:rsid w:val="00BA5A1A"/>
    <w:rsid w:val="00BA739D"/>
    <w:rsid w:val="00BB03E1"/>
    <w:rsid w:val="00BB0A00"/>
    <w:rsid w:val="00BB0E8C"/>
    <w:rsid w:val="00BB1590"/>
    <w:rsid w:val="00BB1BD7"/>
    <w:rsid w:val="00BB21F4"/>
    <w:rsid w:val="00BB2D9E"/>
    <w:rsid w:val="00BB3BDB"/>
    <w:rsid w:val="00BB463C"/>
    <w:rsid w:val="00BB4B21"/>
    <w:rsid w:val="00BB6F3B"/>
    <w:rsid w:val="00BB76EB"/>
    <w:rsid w:val="00BB7D03"/>
    <w:rsid w:val="00BC27AA"/>
    <w:rsid w:val="00BC294F"/>
    <w:rsid w:val="00BC3072"/>
    <w:rsid w:val="00BC3BF6"/>
    <w:rsid w:val="00BC3CC0"/>
    <w:rsid w:val="00BC5432"/>
    <w:rsid w:val="00BC7C64"/>
    <w:rsid w:val="00BC7C78"/>
    <w:rsid w:val="00BD069F"/>
    <w:rsid w:val="00BD0BAF"/>
    <w:rsid w:val="00BD0BDD"/>
    <w:rsid w:val="00BD1C58"/>
    <w:rsid w:val="00BD30BE"/>
    <w:rsid w:val="00BD33BC"/>
    <w:rsid w:val="00BD3798"/>
    <w:rsid w:val="00BD4262"/>
    <w:rsid w:val="00BD632D"/>
    <w:rsid w:val="00BD6ED7"/>
    <w:rsid w:val="00BD7C95"/>
    <w:rsid w:val="00BE2ADE"/>
    <w:rsid w:val="00BE3AD8"/>
    <w:rsid w:val="00BE4089"/>
    <w:rsid w:val="00BE4C32"/>
    <w:rsid w:val="00BE4CDF"/>
    <w:rsid w:val="00BE4D63"/>
    <w:rsid w:val="00BE51D6"/>
    <w:rsid w:val="00BE5889"/>
    <w:rsid w:val="00BE742B"/>
    <w:rsid w:val="00BE7F72"/>
    <w:rsid w:val="00BF0B4C"/>
    <w:rsid w:val="00BF0DCD"/>
    <w:rsid w:val="00BF1971"/>
    <w:rsid w:val="00BF2824"/>
    <w:rsid w:val="00BF35DE"/>
    <w:rsid w:val="00BF39EA"/>
    <w:rsid w:val="00BF461E"/>
    <w:rsid w:val="00BF4FE8"/>
    <w:rsid w:val="00BF5EDA"/>
    <w:rsid w:val="00BF6763"/>
    <w:rsid w:val="00BF6B05"/>
    <w:rsid w:val="00BF7490"/>
    <w:rsid w:val="00BF7AAA"/>
    <w:rsid w:val="00C015E8"/>
    <w:rsid w:val="00C0198F"/>
    <w:rsid w:val="00C02328"/>
    <w:rsid w:val="00C02D32"/>
    <w:rsid w:val="00C0308B"/>
    <w:rsid w:val="00C0448C"/>
    <w:rsid w:val="00C068FE"/>
    <w:rsid w:val="00C07442"/>
    <w:rsid w:val="00C07944"/>
    <w:rsid w:val="00C10B53"/>
    <w:rsid w:val="00C1134D"/>
    <w:rsid w:val="00C11C3C"/>
    <w:rsid w:val="00C132BD"/>
    <w:rsid w:val="00C136C1"/>
    <w:rsid w:val="00C146F8"/>
    <w:rsid w:val="00C14E78"/>
    <w:rsid w:val="00C14F09"/>
    <w:rsid w:val="00C151FE"/>
    <w:rsid w:val="00C1533B"/>
    <w:rsid w:val="00C1661B"/>
    <w:rsid w:val="00C16AD7"/>
    <w:rsid w:val="00C178DC"/>
    <w:rsid w:val="00C17DBD"/>
    <w:rsid w:val="00C20030"/>
    <w:rsid w:val="00C20324"/>
    <w:rsid w:val="00C21897"/>
    <w:rsid w:val="00C21DD3"/>
    <w:rsid w:val="00C21EC6"/>
    <w:rsid w:val="00C23D00"/>
    <w:rsid w:val="00C2438E"/>
    <w:rsid w:val="00C244CC"/>
    <w:rsid w:val="00C25169"/>
    <w:rsid w:val="00C25171"/>
    <w:rsid w:val="00C258F3"/>
    <w:rsid w:val="00C2636F"/>
    <w:rsid w:val="00C27DA8"/>
    <w:rsid w:val="00C305A3"/>
    <w:rsid w:val="00C308FA"/>
    <w:rsid w:val="00C30CB6"/>
    <w:rsid w:val="00C30E6A"/>
    <w:rsid w:val="00C3187B"/>
    <w:rsid w:val="00C31C10"/>
    <w:rsid w:val="00C31C57"/>
    <w:rsid w:val="00C323D2"/>
    <w:rsid w:val="00C326A7"/>
    <w:rsid w:val="00C32FB0"/>
    <w:rsid w:val="00C332DA"/>
    <w:rsid w:val="00C33440"/>
    <w:rsid w:val="00C33537"/>
    <w:rsid w:val="00C33FF3"/>
    <w:rsid w:val="00C347C8"/>
    <w:rsid w:val="00C35381"/>
    <w:rsid w:val="00C361E9"/>
    <w:rsid w:val="00C36653"/>
    <w:rsid w:val="00C3795A"/>
    <w:rsid w:val="00C40F12"/>
    <w:rsid w:val="00C43962"/>
    <w:rsid w:val="00C4568A"/>
    <w:rsid w:val="00C46A03"/>
    <w:rsid w:val="00C46B7D"/>
    <w:rsid w:val="00C47DD5"/>
    <w:rsid w:val="00C50DBF"/>
    <w:rsid w:val="00C527DC"/>
    <w:rsid w:val="00C531B7"/>
    <w:rsid w:val="00C533C3"/>
    <w:rsid w:val="00C53BFB"/>
    <w:rsid w:val="00C544CE"/>
    <w:rsid w:val="00C5480D"/>
    <w:rsid w:val="00C54ABD"/>
    <w:rsid w:val="00C54DBF"/>
    <w:rsid w:val="00C56462"/>
    <w:rsid w:val="00C56972"/>
    <w:rsid w:val="00C56D28"/>
    <w:rsid w:val="00C61392"/>
    <w:rsid w:val="00C62A19"/>
    <w:rsid w:val="00C63523"/>
    <w:rsid w:val="00C63C82"/>
    <w:rsid w:val="00C64167"/>
    <w:rsid w:val="00C645E4"/>
    <w:rsid w:val="00C662CD"/>
    <w:rsid w:val="00C66792"/>
    <w:rsid w:val="00C678AF"/>
    <w:rsid w:val="00C704A6"/>
    <w:rsid w:val="00C7052E"/>
    <w:rsid w:val="00C7098C"/>
    <w:rsid w:val="00C714E4"/>
    <w:rsid w:val="00C72865"/>
    <w:rsid w:val="00C72F4D"/>
    <w:rsid w:val="00C732A9"/>
    <w:rsid w:val="00C74B89"/>
    <w:rsid w:val="00C755F6"/>
    <w:rsid w:val="00C75B71"/>
    <w:rsid w:val="00C76CBB"/>
    <w:rsid w:val="00C77E44"/>
    <w:rsid w:val="00C8039B"/>
    <w:rsid w:val="00C80F26"/>
    <w:rsid w:val="00C81759"/>
    <w:rsid w:val="00C821A5"/>
    <w:rsid w:val="00C828BC"/>
    <w:rsid w:val="00C829E0"/>
    <w:rsid w:val="00C83693"/>
    <w:rsid w:val="00C84C73"/>
    <w:rsid w:val="00C86393"/>
    <w:rsid w:val="00C869A1"/>
    <w:rsid w:val="00C87134"/>
    <w:rsid w:val="00C87600"/>
    <w:rsid w:val="00C906F0"/>
    <w:rsid w:val="00C93D44"/>
    <w:rsid w:val="00C94E54"/>
    <w:rsid w:val="00C95D1D"/>
    <w:rsid w:val="00C9654B"/>
    <w:rsid w:val="00C965C5"/>
    <w:rsid w:val="00C968AC"/>
    <w:rsid w:val="00C96915"/>
    <w:rsid w:val="00C97117"/>
    <w:rsid w:val="00C97DAA"/>
    <w:rsid w:val="00CA0BD7"/>
    <w:rsid w:val="00CA153D"/>
    <w:rsid w:val="00CA16CB"/>
    <w:rsid w:val="00CA1D42"/>
    <w:rsid w:val="00CA2462"/>
    <w:rsid w:val="00CA26BA"/>
    <w:rsid w:val="00CA3BC7"/>
    <w:rsid w:val="00CA5FFA"/>
    <w:rsid w:val="00CB0211"/>
    <w:rsid w:val="00CB0C61"/>
    <w:rsid w:val="00CB1075"/>
    <w:rsid w:val="00CB1185"/>
    <w:rsid w:val="00CB135C"/>
    <w:rsid w:val="00CB173F"/>
    <w:rsid w:val="00CB1E0D"/>
    <w:rsid w:val="00CB3A6D"/>
    <w:rsid w:val="00CB3E33"/>
    <w:rsid w:val="00CB4D84"/>
    <w:rsid w:val="00CB4F9E"/>
    <w:rsid w:val="00CC0C76"/>
    <w:rsid w:val="00CC1A82"/>
    <w:rsid w:val="00CC21BB"/>
    <w:rsid w:val="00CC26BF"/>
    <w:rsid w:val="00CC28B9"/>
    <w:rsid w:val="00CC2C26"/>
    <w:rsid w:val="00CC311C"/>
    <w:rsid w:val="00CC3159"/>
    <w:rsid w:val="00CC3181"/>
    <w:rsid w:val="00CC33D4"/>
    <w:rsid w:val="00CC3410"/>
    <w:rsid w:val="00CC44A2"/>
    <w:rsid w:val="00CC4FC7"/>
    <w:rsid w:val="00CD005E"/>
    <w:rsid w:val="00CD071F"/>
    <w:rsid w:val="00CD07AC"/>
    <w:rsid w:val="00CD0C1D"/>
    <w:rsid w:val="00CD0DD3"/>
    <w:rsid w:val="00CD2477"/>
    <w:rsid w:val="00CD293D"/>
    <w:rsid w:val="00CD2C94"/>
    <w:rsid w:val="00CD3A70"/>
    <w:rsid w:val="00CD51A1"/>
    <w:rsid w:val="00CD6086"/>
    <w:rsid w:val="00CE1C11"/>
    <w:rsid w:val="00CE2219"/>
    <w:rsid w:val="00CE270A"/>
    <w:rsid w:val="00CE3101"/>
    <w:rsid w:val="00CE54FF"/>
    <w:rsid w:val="00CE567D"/>
    <w:rsid w:val="00CE59A9"/>
    <w:rsid w:val="00CE5BFC"/>
    <w:rsid w:val="00CE61A1"/>
    <w:rsid w:val="00CE637D"/>
    <w:rsid w:val="00CE68C6"/>
    <w:rsid w:val="00CE6F57"/>
    <w:rsid w:val="00CE70FA"/>
    <w:rsid w:val="00CE71CE"/>
    <w:rsid w:val="00CE72EE"/>
    <w:rsid w:val="00CE7BD2"/>
    <w:rsid w:val="00CF026F"/>
    <w:rsid w:val="00CF12EE"/>
    <w:rsid w:val="00CF19DA"/>
    <w:rsid w:val="00CF2CF6"/>
    <w:rsid w:val="00CF3ACF"/>
    <w:rsid w:val="00CF3AEA"/>
    <w:rsid w:val="00CF3B59"/>
    <w:rsid w:val="00CF3CE8"/>
    <w:rsid w:val="00CF3E81"/>
    <w:rsid w:val="00CF4892"/>
    <w:rsid w:val="00CF5E13"/>
    <w:rsid w:val="00D000B7"/>
    <w:rsid w:val="00D004F1"/>
    <w:rsid w:val="00D00B17"/>
    <w:rsid w:val="00D00F21"/>
    <w:rsid w:val="00D01C0C"/>
    <w:rsid w:val="00D027DA"/>
    <w:rsid w:val="00D029D0"/>
    <w:rsid w:val="00D030BF"/>
    <w:rsid w:val="00D03D22"/>
    <w:rsid w:val="00D04A24"/>
    <w:rsid w:val="00D04BB4"/>
    <w:rsid w:val="00D0612C"/>
    <w:rsid w:val="00D061D3"/>
    <w:rsid w:val="00D06AD4"/>
    <w:rsid w:val="00D06D53"/>
    <w:rsid w:val="00D071C3"/>
    <w:rsid w:val="00D104CB"/>
    <w:rsid w:val="00D116D4"/>
    <w:rsid w:val="00D1173A"/>
    <w:rsid w:val="00D12353"/>
    <w:rsid w:val="00D12885"/>
    <w:rsid w:val="00D12CBE"/>
    <w:rsid w:val="00D12ED3"/>
    <w:rsid w:val="00D13958"/>
    <w:rsid w:val="00D13963"/>
    <w:rsid w:val="00D13C13"/>
    <w:rsid w:val="00D14CF9"/>
    <w:rsid w:val="00D15092"/>
    <w:rsid w:val="00D157C9"/>
    <w:rsid w:val="00D15A05"/>
    <w:rsid w:val="00D168DD"/>
    <w:rsid w:val="00D17079"/>
    <w:rsid w:val="00D173E8"/>
    <w:rsid w:val="00D20254"/>
    <w:rsid w:val="00D211A9"/>
    <w:rsid w:val="00D23C56"/>
    <w:rsid w:val="00D23E76"/>
    <w:rsid w:val="00D23EFF"/>
    <w:rsid w:val="00D243DA"/>
    <w:rsid w:val="00D25BDB"/>
    <w:rsid w:val="00D263CC"/>
    <w:rsid w:val="00D26FB2"/>
    <w:rsid w:val="00D27CAB"/>
    <w:rsid w:val="00D30565"/>
    <w:rsid w:val="00D30A98"/>
    <w:rsid w:val="00D318EC"/>
    <w:rsid w:val="00D31CB6"/>
    <w:rsid w:val="00D3203A"/>
    <w:rsid w:val="00D33FDE"/>
    <w:rsid w:val="00D417B9"/>
    <w:rsid w:val="00D418EF"/>
    <w:rsid w:val="00D427D3"/>
    <w:rsid w:val="00D42D74"/>
    <w:rsid w:val="00D42DF9"/>
    <w:rsid w:val="00D4594A"/>
    <w:rsid w:val="00D47920"/>
    <w:rsid w:val="00D5188C"/>
    <w:rsid w:val="00D554E5"/>
    <w:rsid w:val="00D5660F"/>
    <w:rsid w:val="00D569DB"/>
    <w:rsid w:val="00D570FD"/>
    <w:rsid w:val="00D577D3"/>
    <w:rsid w:val="00D60393"/>
    <w:rsid w:val="00D61062"/>
    <w:rsid w:val="00D62029"/>
    <w:rsid w:val="00D62403"/>
    <w:rsid w:val="00D643B1"/>
    <w:rsid w:val="00D6516B"/>
    <w:rsid w:val="00D65A3C"/>
    <w:rsid w:val="00D66027"/>
    <w:rsid w:val="00D66B77"/>
    <w:rsid w:val="00D66CA8"/>
    <w:rsid w:val="00D679A0"/>
    <w:rsid w:val="00D70067"/>
    <w:rsid w:val="00D70621"/>
    <w:rsid w:val="00D70B38"/>
    <w:rsid w:val="00D71CFB"/>
    <w:rsid w:val="00D722DE"/>
    <w:rsid w:val="00D73FF8"/>
    <w:rsid w:val="00D7493B"/>
    <w:rsid w:val="00D74CB7"/>
    <w:rsid w:val="00D74FA7"/>
    <w:rsid w:val="00D7540D"/>
    <w:rsid w:val="00D760C9"/>
    <w:rsid w:val="00D768E8"/>
    <w:rsid w:val="00D80647"/>
    <w:rsid w:val="00D807C0"/>
    <w:rsid w:val="00D8324C"/>
    <w:rsid w:val="00D84EBE"/>
    <w:rsid w:val="00D85B0E"/>
    <w:rsid w:val="00D85CED"/>
    <w:rsid w:val="00D863F8"/>
    <w:rsid w:val="00D86FA1"/>
    <w:rsid w:val="00D87131"/>
    <w:rsid w:val="00D8765B"/>
    <w:rsid w:val="00D87A78"/>
    <w:rsid w:val="00D91001"/>
    <w:rsid w:val="00D914F0"/>
    <w:rsid w:val="00D93073"/>
    <w:rsid w:val="00D930F6"/>
    <w:rsid w:val="00D93101"/>
    <w:rsid w:val="00D9366D"/>
    <w:rsid w:val="00D937EF"/>
    <w:rsid w:val="00D9603E"/>
    <w:rsid w:val="00D97406"/>
    <w:rsid w:val="00DA02D9"/>
    <w:rsid w:val="00DA14CD"/>
    <w:rsid w:val="00DA27D3"/>
    <w:rsid w:val="00DA2A50"/>
    <w:rsid w:val="00DA38B3"/>
    <w:rsid w:val="00DA3A68"/>
    <w:rsid w:val="00DA4DC0"/>
    <w:rsid w:val="00DA789B"/>
    <w:rsid w:val="00DA78C4"/>
    <w:rsid w:val="00DB00E5"/>
    <w:rsid w:val="00DB0243"/>
    <w:rsid w:val="00DB1E46"/>
    <w:rsid w:val="00DB2AFB"/>
    <w:rsid w:val="00DB2FED"/>
    <w:rsid w:val="00DB39B6"/>
    <w:rsid w:val="00DB4ACA"/>
    <w:rsid w:val="00DB571E"/>
    <w:rsid w:val="00DB661C"/>
    <w:rsid w:val="00DB7C32"/>
    <w:rsid w:val="00DC0206"/>
    <w:rsid w:val="00DC210D"/>
    <w:rsid w:val="00DC2528"/>
    <w:rsid w:val="00DC3A76"/>
    <w:rsid w:val="00DC3E02"/>
    <w:rsid w:val="00DC3F9D"/>
    <w:rsid w:val="00DC416E"/>
    <w:rsid w:val="00DC4EDB"/>
    <w:rsid w:val="00DC4FC8"/>
    <w:rsid w:val="00DC5C0C"/>
    <w:rsid w:val="00DC5C8E"/>
    <w:rsid w:val="00DC75E6"/>
    <w:rsid w:val="00DC7EB4"/>
    <w:rsid w:val="00DD001D"/>
    <w:rsid w:val="00DD0725"/>
    <w:rsid w:val="00DD1352"/>
    <w:rsid w:val="00DD23D8"/>
    <w:rsid w:val="00DD2670"/>
    <w:rsid w:val="00DD4EAA"/>
    <w:rsid w:val="00DD51D2"/>
    <w:rsid w:val="00DD6485"/>
    <w:rsid w:val="00DD678F"/>
    <w:rsid w:val="00DD67C2"/>
    <w:rsid w:val="00DE00C8"/>
    <w:rsid w:val="00DE2AC1"/>
    <w:rsid w:val="00DE2BD9"/>
    <w:rsid w:val="00DE2CDE"/>
    <w:rsid w:val="00DE3CCF"/>
    <w:rsid w:val="00DE5CBB"/>
    <w:rsid w:val="00DE5F54"/>
    <w:rsid w:val="00DE6453"/>
    <w:rsid w:val="00DE67C3"/>
    <w:rsid w:val="00DE6A64"/>
    <w:rsid w:val="00DE6BE1"/>
    <w:rsid w:val="00DE6E78"/>
    <w:rsid w:val="00DF05FC"/>
    <w:rsid w:val="00DF0B2B"/>
    <w:rsid w:val="00DF283D"/>
    <w:rsid w:val="00DF2910"/>
    <w:rsid w:val="00DF2A64"/>
    <w:rsid w:val="00DF51DB"/>
    <w:rsid w:val="00DF53BC"/>
    <w:rsid w:val="00DF58F1"/>
    <w:rsid w:val="00DF5AAA"/>
    <w:rsid w:val="00DF7959"/>
    <w:rsid w:val="00E016C8"/>
    <w:rsid w:val="00E06374"/>
    <w:rsid w:val="00E074F9"/>
    <w:rsid w:val="00E106A7"/>
    <w:rsid w:val="00E10BA4"/>
    <w:rsid w:val="00E10FDD"/>
    <w:rsid w:val="00E111F3"/>
    <w:rsid w:val="00E129E9"/>
    <w:rsid w:val="00E13952"/>
    <w:rsid w:val="00E16FCB"/>
    <w:rsid w:val="00E172E6"/>
    <w:rsid w:val="00E17975"/>
    <w:rsid w:val="00E20884"/>
    <w:rsid w:val="00E21004"/>
    <w:rsid w:val="00E21244"/>
    <w:rsid w:val="00E21ED6"/>
    <w:rsid w:val="00E224BC"/>
    <w:rsid w:val="00E227BB"/>
    <w:rsid w:val="00E22884"/>
    <w:rsid w:val="00E24A0C"/>
    <w:rsid w:val="00E25580"/>
    <w:rsid w:val="00E30110"/>
    <w:rsid w:val="00E3069D"/>
    <w:rsid w:val="00E3075A"/>
    <w:rsid w:val="00E30936"/>
    <w:rsid w:val="00E31018"/>
    <w:rsid w:val="00E33427"/>
    <w:rsid w:val="00E3371A"/>
    <w:rsid w:val="00E35E8E"/>
    <w:rsid w:val="00E36694"/>
    <w:rsid w:val="00E36DA1"/>
    <w:rsid w:val="00E371E7"/>
    <w:rsid w:val="00E37E87"/>
    <w:rsid w:val="00E40373"/>
    <w:rsid w:val="00E41171"/>
    <w:rsid w:val="00E42ABD"/>
    <w:rsid w:val="00E43B0E"/>
    <w:rsid w:val="00E43C64"/>
    <w:rsid w:val="00E44036"/>
    <w:rsid w:val="00E4664C"/>
    <w:rsid w:val="00E46722"/>
    <w:rsid w:val="00E46AFD"/>
    <w:rsid w:val="00E47FCD"/>
    <w:rsid w:val="00E5103D"/>
    <w:rsid w:val="00E52A25"/>
    <w:rsid w:val="00E531CB"/>
    <w:rsid w:val="00E5454F"/>
    <w:rsid w:val="00E57095"/>
    <w:rsid w:val="00E571E8"/>
    <w:rsid w:val="00E5756A"/>
    <w:rsid w:val="00E62D57"/>
    <w:rsid w:val="00E648BE"/>
    <w:rsid w:val="00E64FF4"/>
    <w:rsid w:val="00E651C9"/>
    <w:rsid w:val="00E669F0"/>
    <w:rsid w:val="00E6707B"/>
    <w:rsid w:val="00E67E62"/>
    <w:rsid w:val="00E713CC"/>
    <w:rsid w:val="00E71476"/>
    <w:rsid w:val="00E72937"/>
    <w:rsid w:val="00E742DF"/>
    <w:rsid w:val="00E747AF"/>
    <w:rsid w:val="00E74D0C"/>
    <w:rsid w:val="00E74FF1"/>
    <w:rsid w:val="00E751A8"/>
    <w:rsid w:val="00E76F61"/>
    <w:rsid w:val="00E77307"/>
    <w:rsid w:val="00E77E87"/>
    <w:rsid w:val="00E8001E"/>
    <w:rsid w:val="00E80446"/>
    <w:rsid w:val="00E816A1"/>
    <w:rsid w:val="00E81930"/>
    <w:rsid w:val="00E819D5"/>
    <w:rsid w:val="00E81CCE"/>
    <w:rsid w:val="00E82556"/>
    <w:rsid w:val="00E82E24"/>
    <w:rsid w:val="00E83416"/>
    <w:rsid w:val="00E83BC9"/>
    <w:rsid w:val="00E847CC"/>
    <w:rsid w:val="00E84FBE"/>
    <w:rsid w:val="00E8596A"/>
    <w:rsid w:val="00E85B03"/>
    <w:rsid w:val="00E85EB3"/>
    <w:rsid w:val="00E86136"/>
    <w:rsid w:val="00E863E2"/>
    <w:rsid w:val="00E869BD"/>
    <w:rsid w:val="00E86C99"/>
    <w:rsid w:val="00E86E10"/>
    <w:rsid w:val="00E86F0C"/>
    <w:rsid w:val="00E901A4"/>
    <w:rsid w:val="00E90AD8"/>
    <w:rsid w:val="00E93275"/>
    <w:rsid w:val="00E93B63"/>
    <w:rsid w:val="00E9544F"/>
    <w:rsid w:val="00E96939"/>
    <w:rsid w:val="00EA1E1D"/>
    <w:rsid w:val="00EA1F8E"/>
    <w:rsid w:val="00EA3BB0"/>
    <w:rsid w:val="00EA3CFA"/>
    <w:rsid w:val="00EA471A"/>
    <w:rsid w:val="00EA7E71"/>
    <w:rsid w:val="00EB0176"/>
    <w:rsid w:val="00EB21AD"/>
    <w:rsid w:val="00EB24D8"/>
    <w:rsid w:val="00EB2EDF"/>
    <w:rsid w:val="00EB34E8"/>
    <w:rsid w:val="00EB4264"/>
    <w:rsid w:val="00EB44CF"/>
    <w:rsid w:val="00EB4D51"/>
    <w:rsid w:val="00EB57B1"/>
    <w:rsid w:val="00EB5DA1"/>
    <w:rsid w:val="00EB65C0"/>
    <w:rsid w:val="00EB6C0B"/>
    <w:rsid w:val="00EC0788"/>
    <w:rsid w:val="00EC2AB9"/>
    <w:rsid w:val="00EC429D"/>
    <w:rsid w:val="00EC4E63"/>
    <w:rsid w:val="00EC5CEB"/>
    <w:rsid w:val="00EC67B8"/>
    <w:rsid w:val="00EC696F"/>
    <w:rsid w:val="00EC7608"/>
    <w:rsid w:val="00EC77FE"/>
    <w:rsid w:val="00EC7B30"/>
    <w:rsid w:val="00ED191B"/>
    <w:rsid w:val="00ED20C6"/>
    <w:rsid w:val="00ED27A8"/>
    <w:rsid w:val="00ED303A"/>
    <w:rsid w:val="00ED337A"/>
    <w:rsid w:val="00ED40F0"/>
    <w:rsid w:val="00ED5948"/>
    <w:rsid w:val="00ED68FE"/>
    <w:rsid w:val="00ED71F5"/>
    <w:rsid w:val="00ED7DDA"/>
    <w:rsid w:val="00EE0AA0"/>
    <w:rsid w:val="00EE1073"/>
    <w:rsid w:val="00EE1AE9"/>
    <w:rsid w:val="00EE1EB2"/>
    <w:rsid w:val="00EE3045"/>
    <w:rsid w:val="00EE336C"/>
    <w:rsid w:val="00EE5607"/>
    <w:rsid w:val="00EE74CE"/>
    <w:rsid w:val="00EF17F9"/>
    <w:rsid w:val="00EF1F0A"/>
    <w:rsid w:val="00EF383E"/>
    <w:rsid w:val="00EF4273"/>
    <w:rsid w:val="00EF4870"/>
    <w:rsid w:val="00EF4C32"/>
    <w:rsid w:val="00EF51A3"/>
    <w:rsid w:val="00EF5B8B"/>
    <w:rsid w:val="00EF606A"/>
    <w:rsid w:val="00EF6869"/>
    <w:rsid w:val="00EF6D12"/>
    <w:rsid w:val="00EF6E17"/>
    <w:rsid w:val="00EF7641"/>
    <w:rsid w:val="00F01655"/>
    <w:rsid w:val="00F01E31"/>
    <w:rsid w:val="00F041C0"/>
    <w:rsid w:val="00F043B1"/>
    <w:rsid w:val="00F04A52"/>
    <w:rsid w:val="00F059D7"/>
    <w:rsid w:val="00F06905"/>
    <w:rsid w:val="00F06A80"/>
    <w:rsid w:val="00F072FE"/>
    <w:rsid w:val="00F078ED"/>
    <w:rsid w:val="00F07A93"/>
    <w:rsid w:val="00F10B07"/>
    <w:rsid w:val="00F13525"/>
    <w:rsid w:val="00F13EB6"/>
    <w:rsid w:val="00F142F2"/>
    <w:rsid w:val="00F15522"/>
    <w:rsid w:val="00F15654"/>
    <w:rsid w:val="00F15B55"/>
    <w:rsid w:val="00F16AC4"/>
    <w:rsid w:val="00F171E9"/>
    <w:rsid w:val="00F17EE6"/>
    <w:rsid w:val="00F20721"/>
    <w:rsid w:val="00F212CE"/>
    <w:rsid w:val="00F21455"/>
    <w:rsid w:val="00F21577"/>
    <w:rsid w:val="00F24A76"/>
    <w:rsid w:val="00F24F9D"/>
    <w:rsid w:val="00F251B7"/>
    <w:rsid w:val="00F252F0"/>
    <w:rsid w:val="00F2571A"/>
    <w:rsid w:val="00F26F9E"/>
    <w:rsid w:val="00F27069"/>
    <w:rsid w:val="00F27884"/>
    <w:rsid w:val="00F30262"/>
    <w:rsid w:val="00F30324"/>
    <w:rsid w:val="00F30346"/>
    <w:rsid w:val="00F30EBA"/>
    <w:rsid w:val="00F337A1"/>
    <w:rsid w:val="00F3428A"/>
    <w:rsid w:val="00F34E0A"/>
    <w:rsid w:val="00F35D69"/>
    <w:rsid w:val="00F36857"/>
    <w:rsid w:val="00F41839"/>
    <w:rsid w:val="00F43462"/>
    <w:rsid w:val="00F43721"/>
    <w:rsid w:val="00F43EF7"/>
    <w:rsid w:val="00F44E5C"/>
    <w:rsid w:val="00F44FD0"/>
    <w:rsid w:val="00F451B9"/>
    <w:rsid w:val="00F451F5"/>
    <w:rsid w:val="00F46850"/>
    <w:rsid w:val="00F469EA"/>
    <w:rsid w:val="00F46C8F"/>
    <w:rsid w:val="00F47663"/>
    <w:rsid w:val="00F501AE"/>
    <w:rsid w:val="00F51739"/>
    <w:rsid w:val="00F51B31"/>
    <w:rsid w:val="00F51D7B"/>
    <w:rsid w:val="00F524CA"/>
    <w:rsid w:val="00F528A7"/>
    <w:rsid w:val="00F52C3E"/>
    <w:rsid w:val="00F52F4C"/>
    <w:rsid w:val="00F5353F"/>
    <w:rsid w:val="00F53845"/>
    <w:rsid w:val="00F53EA9"/>
    <w:rsid w:val="00F54065"/>
    <w:rsid w:val="00F544DD"/>
    <w:rsid w:val="00F548F6"/>
    <w:rsid w:val="00F55273"/>
    <w:rsid w:val="00F562B5"/>
    <w:rsid w:val="00F5696F"/>
    <w:rsid w:val="00F56CF3"/>
    <w:rsid w:val="00F57E78"/>
    <w:rsid w:val="00F60764"/>
    <w:rsid w:val="00F609D1"/>
    <w:rsid w:val="00F6146B"/>
    <w:rsid w:val="00F6163A"/>
    <w:rsid w:val="00F616C6"/>
    <w:rsid w:val="00F6271B"/>
    <w:rsid w:val="00F62A1D"/>
    <w:rsid w:val="00F64888"/>
    <w:rsid w:val="00F64A96"/>
    <w:rsid w:val="00F65020"/>
    <w:rsid w:val="00F65E5D"/>
    <w:rsid w:val="00F6654C"/>
    <w:rsid w:val="00F667C4"/>
    <w:rsid w:val="00F6738F"/>
    <w:rsid w:val="00F673F3"/>
    <w:rsid w:val="00F707BE"/>
    <w:rsid w:val="00F7241C"/>
    <w:rsid w:val="00F72AC8"/>
    <w:rsid w:val="00F73AEE"/>
    <w:rsid w:val="00F73D0C"/>
    <w:rsid w:val="00F74A32"/>
    <w:rsid w:val="00F75772"/>
    <w:rsid w:val="00F76362"/>
    <w:rsid w:val="00F77047"/>
    <w:rsid w:val="00F77718"/>
    <w:rsid w:val="00F80059"/>
    <w:rsid w:val="00F809E7"/>
    <w:rsid w:val="00F8124B"/>
    <w:rsid w:val="00F813F4"/>
    <w:rsid w:val="00F81D69"/>
    <w:rsid w:val="00F8442B"/>
    <w:rsid w:val="00F8471F"/>
    <w:rsid w:val="00F8484E"/>
    <w:rsid w:val="00F84FE1"/>
    <w:rsid w:val="00F8561B"/>
    <w:rsid w:val="00F865F7"/>
    <w:rsid w:val="00F8799E"/>
    <w:rsid w:val="00F90C15"/>
    <w:rsid w:val="00F9151B"/>
    <w:rsid w:val="00F91762"/>
    <w:rsid w:val="00F91BC5"/>
    <w:rsid w:val="00F925F7"/>
    <w:rsid w:val="00F92ECF"/>
    <w:rsid w:val="00F9349E"/>
    <w:rsid w:val="00F93781"/>
    <w:rsid w:val="00F94151"/>
    <w:rsid w:val="00F94BA7"/>
    <w:rsid w:val="00F94F8F"/>
    <w:rsid w:val="00F9553E"/>
    <w:rsid w:val="00F96E14"/>
    <w:rsid w:val="00FA09DB"/>
    <w:rsid w:val="00FA0FA2"/>
    <w:rsid w:val="00FA11EE"/>
    <w:rsid w:val="00FA17F5"/>
    <w:rsid w:val="00FA2010"/>
    <w:rsid w:val="00FA2232"/>
    <w:rsid w:val="00FA2C42"/>
    <w:rsid w:val="00FA3F40"/>
    <w:rsid w:val="00FA4AD1"/>
    <w:rsid w:val="00FA50B7"/>
    <w:rsid w:val="00FA57CC"/>
    <w:rsid w:val="00FA6D4F"/>
    <w:rsid w:val="00FA70A7"/>
    <w:rsid w:val="00FB09D0"/>
    <w:rsid w:val="00FB14B2"/>
    <w:rsid w:val="00FB2F5E"/>
    <w:rsid w:val="00FB3201"/>
    <w:rsid w:val="00FB4C3B"/>
    <w:rsid w:val="00FB5939"/>
    <w:rsid w:val="00FB5E17"/>
    <w:rsid w:val="00FB6105"/>
    <w:rsid w:val="00FB6D53"/>
    <w:rsid w:val="00FB7337"/>
    <w:rsid w:val="00FB7E6B"/>
    <w:rsid w:val="00FC14F4"/>
    <w:rsid w:val="00FC241D"/>
    <w:rsid w:val="00FC3950"/>
    <w:rsid w:val="00FC402C"/>
    <w:rsid w:val="00FC41E6"/>
    <w:rsid w:val="00FC4B25"/>
    <w:rsid w:val="00FC7328"/>
    <w:rsid w:val="00FC7C4E"/>
    <w:rsid w:val="00FD041F"/>
    <w:rsid w:val="00FD0741"/>
    <w:rsid w:val="00FD3DBC"/>
    <w:rsid w:val="00FD4013"/>
    <w:rsid w:val="00FD4698"/>
    <w:rsid w:val="00FD53F4"/>
    <w:rsid w:val="00FD5D9F"/>
    <w:rsid w:val="00FD676D"/>
    <w:rsid w:val="00FE21F7"/>
    <w:rsid w:val="00FE263D"/>
    <w:rsid w:val="00FE3308"/>
    <w:rsid w:val="00FE3A85"/>
    <w:rsid w:val="00FE4159"/>
    <w:rsid w:val="00FE48F6"/>
    <w:rsid w:val="00FE4DA8"/>
    <w:rsid w:val="00FE4E70"/>
    <w:rsid w:val="00FE4F9C"/>
    <w:rsid w:val="00FE53D7"/>
    <w:rsid w:val="00FE627A"/>
    <w:rsid w:val="00FE78CA"/>
    <w:rsid w:val="00FF1180"/>
    <w:rsid w:val="00FF392F"/>
    <w:rsid w:val="00FF46D0"/>
    <w:rsid w:val="00FF4AC7"/>
    <w:rsid w:val="00FF4BB5"/>
    <w:rsid w:val="00FF5E21"/>
    <w:rsid w:val="00FF63AC"/>
    <w:rsid w:val="00FF729A"/>
    <w:rsid w:val="00FF79CD"/>
    <w:rsid w:val="0108D7D0"/>
    <w:rsid w:val="010BABAC"/>
    <w:rsid w:val="010E60F8"/>
    <w:rsid w:val="010F6C82"/>
    <w:rsid w:val="01278DE3"/>
    <w:rsid w:val="0134BAED"/>
    <w:rsid w:val="0158912B"/>
    <w:rsid w:val="01647668"/>
    <w:rsid w:val="016EBE4C"/>
    <w:rsid w:val="01915895"/>
    <w:rsid w:val="01AE2A9E"/>
    <w:rsid w:val="01C32EE9"/>
    <w:rsid w:val="01C56DB4"/>
    <w:rsid w:val="01CFFFFD"/>
    <w:rsid w:val="0205E78A"/>
    <w:rsid w:val="0217772A"/>
    <w:rsid w:val="02319810"/>
    <w:rsid w:val="0235935F"/>
    <w:rsid w:val="02458C5E"/>
    <w:rsid w:val="02508F9A"/>
    <w:rsid w:val="0255DD4B"/>
    <w:rsid w:val="02706B61"/>
    <w:rsid w:val="02930F12"/>
    <w:rsid w:val="029D32EC"/>
    <w:rsid w:val="029FA7F8"/>
    <w:rsid w:val="02B8A2CE"/>
    <w:rsid w:val="02CF8141"/>
    <w:rsid w:val="02F77893"/>
    <w:rsid w:val="02FA8A95"/>
    <w:rsid w:val="02FB08D2"/>
    <w:rsid w:val="0323DC01"/>
    <w:rsid w:val="034BBA5A"/>
    <w:rsid w:val="034CACDA"/>
    <w:rsid w:val="0354821D"/>
    <w:rsid w:val="03B5C267"/>
    <w:rsid w:val="03D1C0D7"/>
    <w:rsid w:val="03F53374"/>
    <w:rsid w:val="043E3AE6"/>
    <w:rsid w:val="045E7B3C"/>
    <w:rsid w:val="046C6F4D"/>
    <w:rsid w:val="049E02E6"/>
    <w:rsid w:val="04A23B0D"/>
    <w:rsid w:val="04A5433E"/>
    <w:rsid w:val="04CDFE89"/>
    <w:rsid w:val="04D04B0B"/>
    <w:rsid w:val="04E2FC65"/>
    <w:rsid w:val="04F0076A"/>
    <w:rsid w:val="0526297E"/>
    <w:rsid w:val="0582253B"/>
    <w:rsid w:val="059DA6B3"/>
    <w:rsid w:val="05D1BB3D"/>
    <w:rsid w:val="05D4478F"/>
    <w:rsid w:val="05E53CBF"/>
    <w:rsid w:val="05F53A1D"/>
    <w:rsid w:val="05FD1F5A"/>
    <w:rsid w:val="05FFDBF8"/>
    <w:rsid w:val="065DB05F"/>
    <w:rsid w:val="0678787E"/>
    <w:rsid w:val="06A7389E"/>
    <w:rsid w:val="06AACA91"/>
    <w:rsid w:val="06B7DFFE"/>
    <w:rsid w:val="06CEDCD7"/>
    <w:rsid w:val="06D87634"/>
    <w:rsid w:val="06F4056F"/>
    <w:rsid w:val="0705859E"/>
    <w:rsid w:val="0740676F"/>
    <w:rsid w:val="074BD5FC"/>
    <w:rsid w:val="07618FF3"/>
    <w:rsid w:val="0784633D"/>
    <w:rsid w:val="0788C40C"/>
    <w:rsid w:val="07BE57EE"/>
    <w:rsid w:val="07E9D605"/>
    <w:rsid w:val="07EC4B98"/>
    <w:rsid w:val="082832E7"/>
    <w:rsid w:val="0834AE16"/>
    <w:rsid w:val="087517E0"/>
    <w:rsid w:val="0884A030"/>
    <w:rsid w:val="088A4DDE"/>
    <w:rsid w:val="08E53F40"/>
    <w:rsid w:val="08E739E5"/>
    <w:rsid w:val="08ECD44D"/>
    <w:rsid w:val="0912D239"/>
    <w:rsid w:val="092E13DF"/>
    <w:rsid w:val="093599FB"/>
    <w:rsid w:val="0944FA44"/>
    <w:rsid w:val="095E19D4"/>
    <w:rsid w:val="099A0967"/>
    <w:rsid w:val="099AA017"/>
    <w:rsid w:val="09DD9CEE"/>
    <w:rsid w:val="09DE06A0"/>
    <w:rsid w:val="09F135DE"/>
    <w:rsid w:val="09F4516F"/>
    <w:rsid w:val="0A61B7C9"/>
    <w:rsid w:val="0AA21D39"/>
    <w:rsid w:val="0AC021C8"/>
    <w:rsid w:val="0ACA65B0"/>
    <w:rsid w:val="0AF2BE57"/>
    <w:rsid w:val="0B20E103"/>
    <w:rsid w:val="0B31020F"/>
    <w:rsid w:val="0B6138AB"/>
    <w:rsid w:val="0B66B4BD"/>
    <w:rsid w:val="0B6CEF20"/>
    <w:rsid w:val="0B74ACCB"/>
    <w:rsid w:val="0B86BA67"/>
    <w:rsid w:val="0BA62A59"/>
    <w:rsid w:val="0BA6588E"/>
    <w:rsid w:val="0BB98A9A"/>
    <w:rsid w:val="0BD35E88"/>
    <w:rsid w:val="0BD36692"/>
    <w:rsid w:val="0BF754DC"/>
    <w:rsid w:val="0C337FBF"/>
    <w:rsid w:val="0C37FD42"/>
    <w:rsid w:val="0C4961F5"/>
    <w:rsid w:val="0C595F9D"/>
    <w:rsid w:val="0C8BE608"/>
    <w:rsid w:val="0C989AF2"/>
    <w:rsid w:val="0C98BA82"/>
    <w:rsid w:val="0CE05FC0"/>
    <w:rsid w:val="0D6A418B"/>
    <w:rsid w:val="0D6DABC2"/>
    <w:rsid w:val="0D83C3AC"/>
    <w:rsid w:val="0D95D0EC"/>
    <w:rsid w:val="0DC2D600"/>
    <w:rsid w:val="0DCFEE9F"/>
    <w:rsid w:val="0DDF6A97"/>
    <w:rsid w:val="0DFC84CE"/>
    <w:rsid w:val="0E42D7A5"/>
    <w:rsid w:val="0E57EB60"/>
    <w:rsid w:val="0E6F57BC"/>
    <w:rsid w:val="0E7BFA41"/>
    <w:rsid w:val="0E890FCB"/>
    <w:rsid w:val="0E928F37"/>
    <w:rsid w:val="0E9E8CD3"/>
    <w:rsid w:val="0EACD9F2"/>
    <w:rsid w:val="0EAD5EDC"/>
    <w:rsid w:val="0EC11DC7"/>
    <w:rsid w:val="0EC30D05"/>
    <w:rsid w:val="0ECFBC45"/>
    <w:rsid w:val="0ED90E87"/>
    <w:rsid w:val="0EDD7A2A"/>
    <w:rsid w:val="0EF4E924"/>
    <w:rsid w:val="0EF8A443"/>
    <w:rsid w:val="0F095DC5"/>
    <w:rsid w:val="0F2DFE36"/>
    <w:rsid w:val="0F45CE85"/>
    <w:rsid w:val="0F4C69ED"/>
    <w:rsid w:val="0F603262"/>
    <w:rsid w:val="0F607B5F"/>
    <w:rsid w:val="0F703D6B"/>
    <w:rsid w:val="0F8807ED"/>
    <w:rsid w:val="0F9A3061"/>
    <w:rsid w:val="0FA1F857"/>
    <w:rsid w:val="0FB0319B"/>
    <w:rsid w:val="0FBEB262"/>
    <w:rsid w:val="0FFDBF4F"/>
    <w:rsid w:val="0FFF221B"/>
    <w:rsid w:val="1019C712"/>
    <w:rsid w:val="10381051"/>
    <w:rsid w:val="104CCA8C"/>
    <w:rsid w:val="106D5549"/>
    <w:rsid w:val="10730014"/>
    <w:rsid w:val="1075FBD6"/>
    <w:rsid w:val="107A4696"/>
    <w:rsid w:val="10A0A9C6"/>
    <w:rsid w:val="10AC6022"/>
    <w:rsid w:val="10B87F39"/>
    <w:rsid w:val="10E878F6"/>
    <w:rsid w:val="10F83748"/>
    <w:rsid w:val="1106D698"/>
    <w:rsid w:val="111A1C24"/>
    <w:rsid w:val="1175A139"/>
    <w:rsid w:val="118A01CA"/>
    <w:rsid w:val="118ABCCC"/>
    <w:rsid w:val="11C35561"/>
    <w:rsid w:val="11DBD24F"/>
    <w:rsid w:val="11F06942"/>
    <w:rsid w:val="1229058A"/>
    <w:rsid w:val="123249C1"/>
    <w:rsid w:val="124116BC"/>
    <w:rsid w:val="127AA82F"/>
    <w:rsid w:val="128FC640"/>
    <w:rsid w:val="12A35F5F"/>
    <w:rsid w:val="12B4ECAE"/>
    <w:rsid w:val="12BC37F1"/>
    <w:rsid w:val="12E341E0"/>
    <w:rsid w:val="12F6F28A"/>
    <w:rsid w:val="1317709B"/>
    <w:rsid w:val="13331A89"/>
    <w:rsid w:val="13512097"/>
    <w:rsid w:val="13626EA5"/>
    <w:rsid w:val="1364ADB3"/>
    <w:rsid w:val="138BBF13"/>
    <w:rsid w:val="13B1B096"/>
    <w:rsid w:val="13CDF22C"/>
    <w:rsid w:val="143638B6"/>
    <w:rsid w:val="1463BACA"/>
    <w:rsid w:val="146A39DC"/>
    <w:rsid w:val="147ADE8B"/>
    <w:rsid w:val="148FE466"/>
    <w:rsid w:val="14A1499F"/>
    <w:rsid w:val="14AA9431"/>
    <w:rsid w:val="14AE8485"/>
    <w:rsid w:val="14E5F6F9"/>
    <w:rsid w:val="15084E85"/>
    <w:rsid w:val="15144852"/>
    <w:rsid w:val="1546BAF4"/>
    <w:rsid w:val="15733470"/>
    <w:rsid w:val="158126C0"/>
    <w:rsid w:val="15978A40"/>
    <w:rsid w:val="159F8EFE"/>
    <w:rsid w:val="15B38414"/>
    <w:rsid w:val="15FA77C8"/>
    <w:rsid w:val="1600BDB0"/>
    <w:rsid w:val="1624CE57"/>
    <w:rsid w:val="162B685C"/>
    <w:rsid w:val="1637F6B8"/>
    <w:rsid w:val="163F9893"/>
    <w:rsid w:val="16462DCB"/>
    <w:rsid w:val="164F1098"/>
    <w:rsid w:val="16685D03"/>
    <w:rsid w:val="167653C7"/>
    <w:rsid w:val="168485CA"/>
    <w:rsid w:val="169DB03B"/>
    <w:rsid w:val="16CD0DCC"/>
    <w:rsid w:val="175AAD74"/>
    <w:rsid w:val="17652DEC"/>
    <w:rsid w:val="17672488"/>
    <w:rsid w:val="1768265B"/>
    <w:rsid w:val="1777EB10"/>
    <w:rsid w:val="1786035D"/>
    <w:rsid w:val="17B250DD"/>
    <w:rsid w:val="17D08662"/>
    <w:rsid w:val="17D741E6"/>
    <w:rsid w:val="17E5287D"/>
    <w:rsid w:val="17FA7F1E"/>
    <w:rsid w:val="18035B2F"/>
    <w:rsid w:val="1815CAAE"/>
    <w:rsid w:val="181AFB9C"/>
    <w:rsid w:val="186C5C93"/>
    <w:rsid w:val="18CFFB2D"/>
    <w:rsid w:val="18F3806F"/>
    <w:rsid w:val="18F638C2"/>
    <w:rsid w:val="192652D8"/>
    <w:rsid w:val="197E1109"/>
    <w:rsid w:val="19922FB8"/>
    <w:rsid w:val="199298B9"/>
    <w:rsid w:val="19D07B23"/>
    <w:rsid w:val="19E2CD3F"/>
    <w:rsid w:val="19F6BE32"/>
    <w:rsid w:val="19F880F4"/>
    <w:rsid w:val="1A38EB17"/>
    <w:rsid w:val="1A46C081"/>
    <w:rsid w:val="1A70F67E"/>
    <w:rsid w:val="1A74F86C"/>
    <w:rsid w:val="1A7AB8F6"/>
    <w:rsid w:val="1A814CED"/>
    <w:rsid w:val="1A83B528"/>
    <w:rsid w:val="1A99F7FB"/>
    <w:rsid w:val="1A9AD9A1"/>
    <w:rsid w:val="1AB98EA4"/>
    <w:rsid w:val="1ABC0FF3"/>
    <w:rsid w:val="1ACF36B3"/>
    <w:rsid w:val="1AFC32D3"/>
    <w:rsid w:val="1B04EEB5"/>
    <w:rsid w:val="1B15301B"/>
    <w:rsid w:val="1B18946E"/>
    <w:rsid w:val="1B2C4B90"/>
    <w:rsid w:val="1B2EA942"/>
    <w:rsid w:val="1B467FC3"/>
    <w:rsid w:val="1B51DD00"/>
    <w:rsid w:val="1B6C37BD"/>
    <w:rsid w:val="1B6FCE51"/>
    <w:rsid w:val="1BAEAD1F"/>
    <w:rsid w:val="1BBC178D"/>
    <w:rsid w:val="1BC373CF"/>
    <w:rsid w:val="1BC77CBB"/>
    <w:rsid w:val="1BCED4CA"/>
    <w:rsid w:val="1BDF7238"/>
    <w:rsid w:val="1BE4065B"/>
    <w:rsid w:val="1C2BB5AE"/>
    <w:rsid w:val="1C2CE43C"/>
    <w:rsid w:val="1C425310"/>
    <w:rsid w:val="1C42EB0F"/>
    <w:rsid w:val="1C4B0A85"/>
    <w:rsid w:val="1C6F682C"/>
    <w:rsid w:val="1C7252C3"/>
    <w:rsid w:val="1CB1EB24"/>
    <w:rsid w:val="1CE5EB76"/>
    <w:rsid w:val="1CFDEEC5"/>
    <w:rsid w:val="1D1CC21A"/>
    <w:rsid w:val="1D2C7DA0"/>
    <w:rsid w:val="1D3B06EA"/>
    <w:rsid w:val="1D73AEE7"/>
    <w:rsid w:val="1D96517B"/>
    <w:rsid w:val="1DA6F994"/>
    <w:rsid w:val="1DA7335D"/>
    <w:rsid w:val="1DC8A0CD"/>
    <w:rsid w:val="1DC98442"/>
    <w:rsid w:val="1DCA765D"/>
    <w:rsid w:val="1DD34422"/>
    <w:rsid w:val="1DE0E533"/>
    <w:rsid w:val="1DE73A08"/>
    <w:rsid w:val="1E254FA7"/>
    <w:rsid w:val="1E5CCC39"/>
    <w:rsid w:val="1E8E800F"/>
    <w:rsid w:val="1E90703D"/>
    <w:rsid w:val="1E954F29"/>
    <w:rsid w:val="1EB44A9F"/>
    <w:rsid w:val="1EBA96CF"/>
    <w:rsid w:val="1EBAD950"/>
    <w:rsid w:val="1ECCABD0"/>
    <w:rsid w:val="1ED7801D"/>
    <w:rsid w:val="1F0EB2AB"/>
    <w:rsid w:val="1F1F811F"/>
    <w:rsid w:val="1F5AEBEF"/>
    <w:rsid w:val="1F7FDF42"/>
    <w:rsid w:val="1F95DE5A"/>
    <w:rsid w:val="1FB98D92"/>
    <w:rsid w:val="1FBB12F5"/>
    <w:rsid w:val="1FC87CE8"/>
    <w:rsid w:val="201D2205"/>
    <w:rsid w:val="202D1DF1"/>
    <w:rsid w:val="2066BD35"/>
    <w:rsid w:val="207A558D"/>
    <w:rsid w:val="20849F78"/>
    <w:rsid w:val="209506E0"/>
    <w:rsid w:val="20960F3F"/>
    <w:rsid w:val="20973C69"/>
    <w:rsid w:val="209B2016"/>
    <w:rsid w:val="20BB215A"/>
    <w:rsid w:val="20FBE5C5"/>
    <w:rsid w:val="210577E0"/>
    <w:rsid w:val="21162258"/>
    <w:rsid w:val="21360A26"/>
    <w:rsid w:val="214668B6"/>
    <w:rsid w:val="21747883"/>
    <w:rsid w:val="21C3F919"/>
    <w:rsid w:val="21C563D1"/>
    <w:rsid w:val="21C82E5A"/>
    <w:rsid w:val="21EBE7BD"/>
    <w:rsid w:val="220B6292"/>
    <w:rsid w:val="22130678"/>
    <w:rsid w:val="22535E5C"/>
    <w:rsid w:val="22868B9B"/>
    <w:rsid w:val="2286A095"/>
    <w:rsid w:val="22A4E3BF"/>
    <w:rsid w:val="23581C40"/>
    <w:rsid w:val="23624555"/>
    <w:rsid w:val="23681772"/>
    <w:rsid w:val="23910D95"/>
    <w:rsid w:val="23C01CE3"/>
    <w:rsid w:val="23D96836"/>
    <w:rsid w:val="23E1738D"/>
    <w:rsid w:val="23EDDA97"/>
    <w:rsid w:val="242039C4"/>
    <w:rsid w:val="24641BFC"/>
    <w:rsid w:val="2477ABA2"/>
    <w:rsid w:val="2478F814"/>
    <w:rsid w:val="249984EF"/>
    <w:rsid w:val="24A62940"/>
    <w:rsid w:val="24B45D9E"/>
    <w:rsid w:val="24FBB37E"/>
    <w:rsid w:val="250CCDEC"/>
    <w:rsid w:val="25273CAC"/>
    <w:rsid w:val="2537B220"/>
    <w:rsid w:val="253FFBAA"/>
    <w:rsid w:val="258B459E"/>
    <w:rsid w:val="258CC6F5"/>
    <w:rsid w:val="25FE10C3"/>
    <w:rsid w:val="2631AD70"/>
    <w:rsid w:val="265D2DFB"/>
    <w:rsid w:val="269820A0"/>
    <w:rsid w:val="26B8A2B4"/>
    <w:rsid w:val="26E4A0F2"/>
    <w:rsid w:val="26EF793F"/>
    <w:rsid w:val="27060305"/>
    <w:rsid w:val="270BA2FA"/>
    <w:rsid w:val="27131FDC"/>
    <w:rsid w:val="2715F59D"/>
    <w:rsid w:val="2740ABD1"/>
    <w:rsid w:val="276666EF"/>
    <w:rsid w:val="27888045"/>
    <w:rsid w:val="27923540"/>
    <w:rsid w:val="27A3F68D"/>
    <w:rsid w:val="27BF2C3B"/>
    <w:rsid w:val="27EDEDFA"/>
    <w:rsid w:val="27F90A87"/>
    <w:rsid w:val="28110FF4"/>
    <w:rsid w:val="2822A35C"/>
    <w:rsid w:val="282F8F5A"/>
    <w:rsid w:val="28B3ED3D"/>
    <w:rsid w:val="28C5566B"/>
    <w:rsid w:val="28E3283B"/>
    <w:rsid w:val="291E9BD3"/>
    <w:rsid w:val="291FAC94"/>
    <w:rsid w:val="294E92EA"/>
    <w:rsid w:val="2962F184"/>
    <w:rsid w:val="2966AAAF"/>
    <w:rsid w:val="29895911"/>
    <w:rsid w:val="2999503A"/>
    <w:rsid w:val="299BC845"/>
    <w:rsid w:val="29A44A22"/>
    <w:rsid w:val="29C17DCF"/>
    <w:rsid w:val="2A02F33C"/>
    <w:rsid w:val="2A879900"/>
    <w:rsid w:val="2A9F1DB5"/>
    <w:rsid w:val="2AEEF52E"/>
    <w:rsid w:val="2AFFD32A"/>
    <w:rsid w:val="2B08CE0E"/>
    <w:rsid w:val="2B346B36"/>
    <w:rsid w:val="2B5F4721"/>
    <w:rsid w:val="2B801E5F"/>
    <w:rsid w:val="2B80755C"/>
    <w:rsid w:val="2B8BD323"/>
    <w:rsid w:val="2B9CA58C"/>
    <w:rsid w:val="2BA32173"/>
    <w:rsid w:val="2BBF4E8B"/>
    <w:rsid w:val="2BC33ECD"/>
    <w:rsid w:val="2BC9E36B"/>
    <w:rsid w:val="2BF6E54D"/>
    <w:rsid w:val="2C01C6E2"/>
    <w:rsid w:val="2C0C8AED"/>
    <w:rsid w:val="2C18A331"/>
    <w:rsid w:val="2C405D32"/>
    <w:rsid w:val="2C725BFD"/>
    <w:rsid w:val="2C8B12E0"/>
    <w:rsid w:val="2CBB8F09"/>
    <w:rsid w:val="2CBF8936"/>
    <w:rsid w:val="2CD51059"/>
    <w:rsid w:val="2CFAD91D"/>
    <w:rsid w:val="2D065D1C"/>
    <w:rsid w:val="2D12E8B0"/>
    <w:rsid w:val="2D159CE5"/>
    <w:rsid w:val="2D280CD1"/>
    <w:rsid w:val="2D2FFAAB"/>
    <w:rsid w:val="2D467692"/>
    <w:rsid w:val="2D49F829"/>
    <w:rsid w:val="2D60FEA5"/>
    <w:rsid w:val="2D7B802A"/>
    <w:rsid w:val="2D8CF45F"/>
    <w:rsid w:val="2DB03870"/>
    <w:rsid w:val="2DC57A33"/>
    <w:rsid w:val="2DC68CB8"/>
    <w:rsid w:val="2DC86DC4"/>
    <w:rsid w:val="2DCB7503"/>
    <w:rsid w:val="2DCDE28B"/>
    <w:rsid w:val="2DDC2583"/>
    <w:rsid w:val="2DE4E6A8"/>
    <w:rsid w:val="2DE9B45F"/>
    <w:rsid w:val="2DEB8367"/>
    <w:rsid w:val="2DF8D90C"/>
    <w:rsid w:val="2E00AB5C"/>
    <w:rsid w:val="2E096A80"/>
    <w:rsid w:val="2E2EA55A"/>
    <w:rsid w:val="2E3070CE"/>
    <w:rsid w:val="2E3B9D34"/>
    <w:rsid w:val="2E3BD8FB"/>
    <w:rsid w:val="2E506551"/>
    <w:rsid w:val="2E51F8C5"/>
    <w:rsid w:val="2E77756A"/>
    <w:rsid w:val="2E78FDE4"/>
    <w:rsid w:val="2E98FBDB"/>
    <w:rsid w:val="2EABE9F3"/>
    <w:rsid w:val="2EB749E7"/>
    <w:rsid w:val="2ED327C2"/>
    <w:rsid w:val="2EDD61F3"/>
    <w:rsid w:val="2EE4C837"/>
    <w:rsid w:val="2EE980C9"/>
    <w:rsid w:val="2EEEF698"/>
    <w:rsid w:val="2EF9E9F7"/>
    <w:rsid w:val="2F2FF015"/>
    <w:rsid w:val="2F313865"/>
    <w:rsid w:val="2F4971E2"/>
    <w:rsid w:val="2F4C40F2"/>
    <w:rsid w:val="2F562A3B"/>
    <w:rsid w:val="2FCE4A08"/>
    <w:rsid w:val="2FD0CAB1"/>
    <w:rsid w:val="304451A2"/>
    <w:rsid w:val="304B3F9D"/>
    <w:rsid w:val="304BA2DB"/>
    <w:rsid w:val="304FE418"/>
    <w:rsid w:val="305E941D"/>
    <w:rsid w:val="305F30CC"/>
    <w:rsid w:val="3077F18C"/>
    <w:rsid w:val="307E5154"/>
    <w:rsid w:val="30A81CCE"/>
    <w:rsid w:val="30BB9517"/>
    <w:rsid w:val="30C44857"/>
    <w:rsid w:val="30C64B7E"/>
    <w:rsid w:val="30CC423C"/>
    <w:rsid w:val="30E7C687"/>
    <w:rsid w:val="30EA5F84"/>
    <w:rsid w:val="31111638"/>
    <w:rsid w:val="312C57B3"/>
    <w:rsid w:val="3137E87B"/>
    <w:rsid w:val="3155B3F7"/>
    <w:rsid w:val="315F427C"/>
    <w:rsid w:val="3174F324"/>
    <w:rsid w:val="3176BC4F"/>
    <w:rsid w:val="31876136"/>
    <w:rsid w:val="31909FF0"/>
    <w:rsid w:val="3194F3FE"/>
    <w:rsid w:val="31F416E8"/>
    <w:rsid w:val="3204A423"/>
    <w:rsid w:val="320968EF"/>
    <w:rsid w:val="320F0FD6"/>
    <w:rsid w:val="326AC358"/>
    <w:rsid w:val="32933B33"/>
    <w:rsid w:val="32E402B6"/>
    <w:rsid w:val="32F2E7D0"/>
    <w:rsid w:val="32F4462D"/>
    <w:rsid w:val="32F7AA15"/>
    <w:rsid w:val="33973CB9"/>
    <w:rsid w:val="33AF55C3"/>
    <w:rsid w:val="33C1BDC0"/>
    <w:rsid w:val="33E1CCFE"/>
    <w:rsid w:val="33EB35CA"/>
    <w:rsid w:val="33F34E68"/>
    <w:rsid w:val="3400A06A"/>
    <w:rsid w:val="34203322"/>
    <w:rsid w:val="3437BAA9"/>
    <w:rsid w:val="34392750"/>
    <w:rsid w:val="344F67AB"/>
    <w:rsid w:val="346AF351"/>
    <w:rsid w:val="346C3B05"/>
    <w:rsid w:val="348DC5C3"/>
    <w:rsid w:val="34A4746B"/>
    <w:rsid w:val="34ABFA55"/>
    <w:rsid w:val="34D58F47"/>
    <w:rsid w:val="35147C67"/>
    <w:rsid w:val="3516A24E"/>
    <w:rsid w:val="35723167"/>
    <w:rsid w:val="3578D1FB"/>
    <w:rsid w:val="357924F4"/>
    <w:rsid w:val="3579F02F"/>
    <w:rsid w:val="357F143F"/>
    <w:rsid w:val="3610583F"/>
    <w:rsid w:val="36191C16"/>
    <w:rsid w:val="361FFE72"/>
    <w:rsid w:val="36202D06"/>
    <w:rsid w:val="3658D150"/>
    <w:rsid w:val="367A9714"/>
    <w:rsid w:val="36A251AE"/>
    <w:rsid w:val="36A2E5B7"/>
    <w:rsid w:val="36A3BB67"/>
    <w:rsid w:val="36AD9CA7"/>
    <w:rsid w:val="36E3734A"/>
    <w:rsid w:val="36FF0DE4"/>
    <w:rsid w:val="370B93F4"/>
    <w:rsid w:val="3735D15A"/>
    <w:rsid w:val="373F13D5"/>
    <w:rsid w:val="37588D01"/>
    <w:rsid w:val="3786AB49"/>
    <w:rsid w:val="37B00C9B"/>
    <w:rsid w:val="37BA5CA0"/>
    <w:rsid w:val="37C4B261"/>
    <w:rsid w:val="37D67E95"/>
    <w:rsid w:val="37E3C966"/>
    <w:rsid w:val="38348494"/>
    <w:rsid w:val="3843BC01"/>
    <w:rsid w:val="385253A2"/>
    <w:rsid w:val="38944043"/>
    <w:rsid w:val="389FDCC4"/>
    <w:rsid w:val="38ED54D2"/>
    <w:rsid w:val="391F00EB"/>
    <w:rsid w:val="3928BC4F"/>
    <w:rsid w:val="39589E83"/>
    <w:rsid w:val="395E68DC"/>
    <w:rsid w:val="39658E58"/>
    <w:rsid w:val="39701BE6"/>
    <w:rsid w:val="39710413"/>
    <w:rsid w:val="398433E6"/>
    <w:rsid w:val="398FFFD7"/>
    <w:rsid w:val="39D801EA"/>
    <w:rsid w:val="39F52D8F"/>
    <w:rsid w:val="3A05A2E2"/>
    <w:rsid w:val="3A087EA8"/>
    <w:rsid w:val="3A22EBC1"/>
    <w:rsid w:val="3A245A3B"/>
    <w:rsid w:val="3A4BE3F2"/>
    <w:rsid w:val="3A71505C"/>
    <w:rsid w:val="3A717D28"/>
    <w:rsid w:val="3A7DE9C6"/>
    <w:rsid w:val="3A85380C"/>
    <w:rsid w:val="3A86C615"/>
    <w:rsid w:val="3A8FDB27"/>
    <w:rsid w:val="3AA290EB"/>
    <w:rsid w:val="3AA63DF8"/>
    <w:rsid w:val="3ADBCB11"/>
    <w:rsid w:val="3AE0F555"/>
    <w:rsid w:val="3AE8638A"/>
    <w:rsid w:val="3AEDD29B"/>
    <w:rsid w:val="3B16F34D"/>
    <w:rsid w:val="3B538FC4"/>
    <w:rsid w:val="3B53EB01"/>
    <w:rsid w:val="3B5BD2EA"/>
    <w:rsid w:val="3B65C4CA"/>
    <w:rsid w:val="3B6822FF"/>
    <w:rsid w:val="3B7EE0F7"/>
    <w:rsid w:val="3B9AFCCC"/>
    <w:rsid w:val="3BA0B4F1"/>
    <w:rsid w:val="3BDCBFA1"/>
    <w:rsid w:val="3BE00F38"/>
    <w:rsid w:val="3BE47338"/>
    <w:rsid w:val="3BF3D893"/>
    <w:rsid w:val="3C2F653D"/>
    <w:rsid w:val="3C4234E2"/>
    <w:rsid w:val="3C4B38EB"/>
    <w:rsid w:val="3C87102E"/>
    <w:rsid w:val="3CAF55E5"/>
    <w:rsid w:val="3CC99775"/>
    <w:rsid w:val="3CEC3321"/>
    <w:rsid w:val="3CEF58C5"/>
    <w:rsid w:val="3CF79392"/>
    <w:rsid w:val="3D04D5D5"/>
    <w:rsid w:val="3D0ECA64"/>
    <w:rsid w:val="3D34E3DB"/>
    <w:rsid w:val="3D51CF05"/>
    <w:rsid w:val="3D784D0B"/>
    <w:rsid w:val="3D98A4E6"/>
    <w:rsid w:val="3D9BCB29"/>
    <w:rsid w:val="3DA4540C"/>
    <w:rsid w:val="3DA91F20"/>
    <w:rsid w:val="3DAEBA8C"/>
    <w:rsid w:val="3DB37F0D"/>
    <w:rsid w:val="3DB8493D"/>
    <w:rsid w:val="3DFBF1BD"/>
    <w:rsid w:val="3E16DAC1"/>
    <w:rsid w:val="3E321DEB"/>
    <w:rsid w:val="3E3D73B5"/>
    <w:rsid w:val="3E519295"/>
    <w:rsid w:val="3E919B36"/>
    <w:rsid w:val="3EB9E8AC"/>
    <w:rsid w:val="3F0DBF94"/>
    <w:rsid w:val="3F177CC8"/>
    <w:rsid w:val="3F2ABEED"/>
    <w:rsid w:val="3F795292"/>
    <w:rsid w:val="3FC9239D"/>
    <w:rsid w:val="3FEAA4A0"/>
    <w:rsid w:val="40107ED4"/>
    <w:rsid w:val="4069F999"/>
    <w:rsid w:val="4078934B"/>
    <w:rsid w:val="4078F2FC"/>
    <w:rsid w:val="4089DE7F"/>
    <w:rsid w:val="40A00D40"/>
    <w:rsid w:val="40A19F9B"/>
    <w:rsid w:val="40BEEA65"/>
    <w:rsid w:val="40DAE6EF"/>
    <w:rsid w:val="41706830"/>
    <w:rsid w:val="417A2437"/>
    <w:rsid w:val="417E0B31"/>
    <w:rsid w:val="417E81D1"/>
    <w:rsid w:val="418048DF"/>
    <w:rsid w:val="418AD15D"/>
    <w:rsid w:val="419093BB"/>
    <w:rsid w:val="41B6F95E"/>
    <w:rsid w:val="41D36452"/>
    <w:rsid w:val="41D57CFF"/>
    <w:rsid w:val="41FF2521"/>
    <w:rsid w:val="42334326"/>
    <w:rsid w:val="425D32FD"/>
    <w:rsid w:val="4282E221"/>
    <w:rsid w:val="42850110"/>
    <w:rsid w:val="42BD01B7"/>
    <w:rsid w:val="42E6F998"/>
    <w:rsid w:val="42F2F3F3"/>
    <w:rsid w:val="42F820F1"/>
    <w:rsid w:val="4397E9B6"/>
    <w:rsid w:val="439B1FE7"/>
    <w:rsid w:val="439BC618"/>
    <w:rsid w:val="43A54999"/>
    <w:rsid w:val="43AC93B5"/>
    <w:rsid w:val="43BB2B2C"/>
    <w:rsid w:val="43E2CC7E"/>
    <w:rsid w:val="43F0FE85"/>
    <w:rsid w:val="43F7A862"/>
    <w:rsid w:val="441E414C"/>
    <w:rsid w:val="44201B5A"/>
    <w:rsid w:val="4429BFE0"/>
    <w:rsid w:val="443EC086"/>
    <w:rsid w:val="4441DFD4"/>
    <w:rsid w:val="44503598"/>
    <w:rsid w:val="4450FA71"/>
    <w:rsid w:val="4474703A"/>
    <w:rsid w:val="447A2689"/>
    <w:rsid w:val="4480942F"/>
    <w:rsid w:val="4488BB07"/>
    <w:rsid w:val="448F46AD"/>
    <w:rsid w:val="449817C6"/>
    <w:rsid w:val="44A878A8"/>
    <w:rsid w:val="44AB3539"/>
    <w:rsid w:val="44AEDB0E"/>
    <w:rsid w:val="44E20127"/>
    <w:rsid w:val="45053B4A"/>
    <w:rsid w:val="455906FB"/>
    <w:rsid w:val="455D4D4E"/>
    <w:rsid w:val="45877F6E"/>
    <w:rsid w:val="45974B04"/>
    <w:rsid w:val="459B8778"/>
    <w:rsid w:val="459E474E"/>
    <w:rsid w:val="45A0A14A"/>
    <w:rsid w:val="45A2B533"/>
    <w:rsid w:val="45A642B9"/>
    <w:rsid w:val="45C056A4"/>
    <w:rsid w:val="45C555AE"/>
    <w:rsid w:val="45D75BAB"/>
    <w:rsid w:val="45E42C5A"/>
    <w:rsid w:val="45EB5C09"/>
    <w:rsid w:val="45FE4BF5"/>
    <w:rsid w:val="46105A38"/>
    <w:rsid w:val="46334E48"/>
    <w:rsid w:val="4648CC44"/>
    <w:rsid w:val="46619CA1"/>
    <w:rsid w:val="467DBA36"/>
    <w:rsid w:val="467ECD8A"/>
    <w:rsid w:val="468051BA"/>
    <w:rsid w:val="4685F611"/>
    <w:rsid w:val="468A14C9"/>
    <w:rsid w:val="469936E2"/>
    <w:rsid w:val="46A13B42"/>
    <w:rsid w:val="46A77971"/>
    <w:rsid w:val="46AF0DBC"/>
    <w:rsid w:val="46B36DF8"/>
    <w:rsid w:val="46CA26B1"/>
    <w:rsid w:val="46DDECCD"/>
    <w:rsid w:val="46DF9502"/>
    <w:rsid w:val="46E28EEE"/>
    <w:rsid w:val="470DB7C6"/>
    <w:rsid w:val="471921B1"/>
    <w:rsid w:val="4765D504"/>
    <w:rsid w:val="477A5AEA"/>
    <w:rsid w:val="47B17B33"/>
    <w:rsid w:val="47EE4892"/>
    <w:rsid w:val="486A91AC"/>
    <w:rsid w:val="487C5679"/>
    <w:rsid w:val="4887176B"/>
    <w:rsid w:val="48B42C7D"/>
    <w:rsid w:val="48CF9F0D"/>
    <w:rsid w:val="494E81DE"/>
    <w:rsid w:val="494EBE54"/>
    <w:rsid w:val="495C7EF9"/>
    <w:rsid w:val="49635386"/>
    <w:rsid w:val="4998B6EE"/>
    <w:rsid w:val="49CF2E29"/>
    <w:rsid w:val="49F4B2AD"/>
    <w:rsid w:val="49F86C7F"/>
    <w:rsid w:val="4A08B311"/>
    <w:rsid w:val="4A35573D"/>
    <w:rsid w:val="4A36D359"/>
    <w:rsid w:val="4A3EDD97"/>
    <w:rsid w:val="4A460F84"/>
    <w:rsid w:val="4A4B13CC"/>
    <w:rsid w:val="4A4C0D41"/>
    <w:rsid w:val="4A4E4755"/>
    <w:rsid w:val="4A53FEB7"/>
    <w:rsid w:val="4A59CFA6"/>
    <w:rsid w:val="4A5E3872"/>
    <w:rsid w:val="4A5E9E8A"/>
    <w:rsid w:val="4A63853E"/>
    <w:rsid w:val="4A6E46E8"/>
    <w:rsid w:val="4AED4EA2"/>
    <w:rsid w:val="4B30FABE"/>
    <w:rsid w:val="4B386473"/>
    <w:rsid w:val="4B588C34"/>
    <w:rsid w:val="4B766399"/>
    <w:rsid w:val="4B7D1592"/>
    <w:rsid w:val="4BDD6192"/>
    <w:rsid w:val="4BF71462"/>
    <w:rsid w:val="4C083EF5"/>
    <w:rsid w:val="4C089DE9"/>
    <w:rsid w:val="4C74257A"/>
    <w:rsid w:val="4C9ABFED"/>
    <w:rsid w:val="4CDEE752"/>
    <w:rsid w:val="4CED3139"/>
    <w:rsid w:val="4D0765D9"/>
    <w:rsid w:val="4D11B6C3"/>
    <w:rsid w:val="4D16CE5E"/>
    <w:rsid w:val="4D1903BF"/>
    <w:rsid w:val="4D80ABC5"/>
    <w:rsid w:val="4D866DB3"/>
    <w:rsid w:val="4D8A244E"/>
    <w:rsid w:val="4DB96085"/>
    <w:rsid w:val="4DC66DFF"/>
    <w:rsid w:val="4E1DC16A"/>
    <w:rsid w:val="4E23A0F7"/>
    <w:rsid w:val="4E35D462"/>
    <w:rsid w:val="4E446E4A"/>
    <w:rsid w:val="4E49981A"/>
    <w:rsid w:val="4E808A71"/>
    <w:rsid w:val="4EB74A15"/>
    <w:rsid w:val="4EC70EC7"/>
    <w:rsid w:val="4EC8938A"/>
    <w:rsid w:val="4ED83E8E"/>
    <w:rsid w:val="4EE75798"/>
    <w:rsid w:val="4EE7F2D5"/>
    <w:rsid w:val="4F156899"/>
    <w:rsid w:val="4F1EFE07"/>
    <w:rsid w:val="4F2E49A1"/>
    <w:rsid w:val="4F4C3DE8"/>
    <w:rsid w:val="4FB9ED07"/>
    <w:rsid w:val="4FC5A7C5"/>
    <w:rsid w:val="4FC663C4"/>
    <w:rsid w:val="4FCB3DF4"/>
    <w:rsid w:val="4FEB93BF"/>
    <w:rsid w:val="4FF72AEA"/>
    <w:rsid w:val="50199EF5"/>
    <w:rsid w:val="501E9304"/>
    <w:rsid w:val="502ACB2C"/>
    <w:rsid w:val="50582DFB"/>
    <w:rsid w:val="506E92D9"/>
    <w:rsid w:val="50781D41"/>
    <w:rsid w:val="507E82D7"/>
    <w:rsid w:val="50B0FC17"/>
    <w:rsid w:val="50C06695"/>
    <w:rsid w:val="51194ECC"/>
    <w:rsid w:val="5187313B"/>
    <w:rsid w:val="51BDE1DD"/>
    <w:rsid w:val="51BDE755"/>
    <w:rsid w:val="51CD1512"/>
    <w:rsid w:val="521A846C"/>
    <w:rsid w:val="52638B26"/>
    <w:rsid w:val="5268DC5F"/>
    <w:rsid w:val="52704505"/>
    <w:rsid w:val="527B35C7"/>
    <w:rsid w:val="529C5583"/>
    <w:rsid w:val="529E900F"/>
    <w:rsid w:val="52A6A253"/>
    <w:rsid w:val="52BED68C"/>
    <w:rsid w:val="52CCCB31"/>
    <w:rsid w:val="52F718BC"/>
    <w:rsid w:val="5329CD67"/>
    <w:rsid w:val="532D065D"/>
    <w:rsid w:val="53400EEC"/>
    <w:rsid w:val="534BD77E"/>
    <w:rsid w:val="5368277A"/>
    <w:rsid w:val="538FDC8C"/>
    <w:rsid w:val="539A885A"/>
    <w:rsid w:val="53ABB74C"/>
    <w:rsid w:val="54019A64"/>
    <w:rsid w:val="540996A6"/>
    <w:rsid w:val="5446DE2D"/>
    <w:rsid w:val="545CF4D3"/>
    <w:rsid w:val="547A3489"/>
    <w:rsid w:val="54E506A0"/>
    <w:rsid w:val="54F45914"/>
    <w:rsid w:val="55129F40"/>
    <w:rsid w:val="5518FB84"/>
    <w:rsid w:val="551997AD"/>
    <w:rsid w:val="5537F6E9"/>
    <w:rsid w:val="553AD06C"/>
    <w:rsid w:val="553F3675"/>
    <w:rsid w:val="556B52AE"/>
    <w:rsid w:val="55762050"/>
    <w:rsid w:val="557A0D6F"/>
    <w:rsid w:val="55B19889"/>
    <w:rsid w:val="55B7001A"/>
    <w:rsid w:val="55E186C6"/>
    <w:rsid w:val="560468C8"/>
    <w:rsid w:val="561620D5"/>
    <w:rsid w:val="56195F25"/>
    <w:rsid w:val="564F2817"/>
    <w:rsid w:val="565A4BD3"/>
    <w:rsid w:val="5672148F"/>
    <w:rsid w:val="567C4EA7"/>
    <w:rsid w:val="5694F055"/>
    <w:rsid w:val="569C6CF6"/>
    <w:rsid w:val="56A8322A"/>
    <w:rsid w:val="56CB06C4"/>
    <w:rsid w:val="56DBF721"/>
    <w:rsid w:val="56E9CED1"/>
    <w:rsid w:val="56F9ABB2"/>
    <w:rsid w:val="578B05B6"/>
    <w:rsid w:val="578DB6D3"/>
    <w:rsid w:val="57903616"/>
    <w:rsid w:val="57C2CB62"/>
    <w:rsid w:val="57CA8365"/>
    <w:rsid w:val="58051E4C"/>
    <w:rsid w:val="5839227A"/>
    <w:rsid w:val="5852433E"/>
    <w:rsid w:val="585A1AA0"/>
    <w:rsid w:val="586A9DF3"/>
    <w:rsid w:val="589F7B53"/>
    <w:rsid w:val="58C7F8CC"/>
    <w:rsid w:val="58CF5E0B"/>
    <w:rsid w:val="59245522"/>
    <w:rsid w:val="59267FA7"/>
    <w:rsid w:val="5940D9A3"/>
    <w:rsid w:val="596A31FC"/>
    <w:rsid w:val="596BBB59"/>
    <w:rsid w:val="597A3F50"/>
    <w:rsid w:val="598BCA25"/>
    <w:rsid w:val="5997E9D5"/>
    <w:rsid w:val="59A1632B"/>
    <w:rsid w:val="59A5B639"/>
    <w:rsid w:val="59B0A406"/>
    <w:rsid w:val="59B13878"/>
    <w:rsid w:val="59BEF51C"/>
    <w:rsid w:val="59CB5F86"/>
    <w:rsid w:val="59F7B704"/>
    <w:rsid w:val="5A035292"/>
    <w:rsid w:val="5A282D0F"/>
    <w:rsid w:val="5A3A6515"/>
    <w:rsid w:val="5A8A3FCA"/>
    <w:rsid w:val="5AB69836"/>
    <w:rsid w:val="5ACADCE2"/>
    <w:rsid w:val="5AD700E2"/>
    <w:rsid w:val="5AFAAFE2"/>
    <w:rsid w:val="5B043E07"/>
    <w:rsid w:val="5B2C9163"/>
    <w:rsid w:val="5B424229"/>
    <w:rsid w:val="5B491ED7"/>
    <w:rsid w:val="5B4EB0C9"/>
    <w:rsid w:val="5B5EBE4D"/>
    <w:rsid w:val="5B6A7971"/>
    <w:rsid w:val="5B6F745F"/>
    <w:rsid w:val="5B7B59F7"/>
    <w:rsid w:val="5B8BF8B6"/>
    <w:rsid w:val="5BE57275"/>
    <w:rsid w:val="5C602FC0"/>
    <w:rsid w:val="5C65B45E"/>
    <w:rsid w:val="5C837B0A"/>
    <w:rsid w:val="5D0789B7"/>
    <w:rsid w:val="5D0C5C24"/>
    <w:rsid w:val="5D2555AF"/>
    <w:rsid w:val="5D36A09A"/>
    <w:rsid w:val="5D4175BE"/>
    <w:rsid w:val="5D448748"/>
    <w:rsid w:val="5D49A906"/>
    <w:rsid w:val="5D5D9651"/>
    <w:rsid w:val="5D695615"/>
    <w:rsid w:val="5DC1653A"/>
    <w:rsid w:val="5E084888"/>
    <w:rsid w:val="5E18CB3F"/>
    <w:rsid w:val="5E371871"/>
    <w:rsid w:val="5E5AA4C1"/>
    <w:rsid w:val="5E5B2EEB"/>
    <w:rsid w:val="5E6BE18D"/>
    <w:rsid w:val="5E89EAA7"/>
    <w:rsid w:val="5E8FADA8"/>
    <w:rsid w:val="5E9512F4"/>
    <w:rsid w:val="5EA42D45"/>
    <w:rsid w:val="5EB23E1F"/>
    <w:rsid w:val="5F043DBB"/>
    <w:rsid w:val="5F10EF7A"/>
    <w:rsid w:val="5F48B48F"/>
    <w:rsid w:val="5F6E21C6"/>
    <w:rsid w:val="5F6E6E41"/>
    <w:rsid w:val="5F907FB4"/>
    <w:rsid w:val="5FA218BB"/>
    <w:rsid w:val="5FF74662"/>
    <w:rsid w:val="60107AC0"/>
    <w:rsid w:val="60114CE8"/>
    <w:rsid w:val="604A6081"/>
    <w:rsid w:val="60557A34"/>
    <w:rsid w:val="606AF332"/>
    <w:rsid w:val="6083AC06"/>
    <w:rsid w:val="60880A15"/>
    <w:rsid w:val="60899A44"/>
    <w:rsid w:val="608DB237"/>
    <w:rsid w:val="60BA1580"/>
    <w:rsid w:val="60C40299"/>
    <w:rsid w:val="60D586D8"/>
    <w:rsid w:val="60D72850"/>
    <w:rsid w:val="6105F7C5"/>
    <w:rsid w:val="6168E2D7"/>
    <w:rsid w:val="61E8D66F"/>
    <w:rsid w:val="6207667D"/>
    <w:rsid w:val="6233987A"/>
    <w:rsid w:val="624AA1D4"/>
    <w:rsid w:val="6270A832"/>
    <w:rsid w:val="62A547BC"/>
    <w:rsid w:val="62EDCDFF"/>
    <w:rsid w:val="62F184E0"/>
    <w:rsid w:val="6318A6EC"/>
    <w:rsid w:val="6332DF62"/>
    <w:rsid w:val="634342BC"/>
    <w:rsid w:val="6343FE66"/>
    <w:rsid w:val="6356F420"/>
    <w:rsid w:val="63595AAE"/>
    <w:rsid w:val="6377F6E5"/>
    <w:rsid w:val="6390A799"/>
    <w:rsid w:val="63ACA7B5"/>
    <w:rsid w:val="63BE8A26"/>
    <w:rsid w:val="63C3BB36"/>
    <w:rsid w:val="63DAA97A"/>
    <w:rsid w:val="63F1D22B"/>
    <w:rsid w:val="641DAA88"/>
    <w:rsid w:val="642444DC"/>
    <w:rsid w:val="642E905E"/>
    <w:rsid w:val="644F0D45"/>
    <w:rsid w:val="646B7977"/>
    <w:rsid w:val="647F67B0"/>
    <w:rsid w:val="649D6148"/>
    <w:rsid w:val="64E60BD2"/>
    <w:rsid w:val="64FAEA6B"/>
    <w:rsid w:val="65172FB5"/>
    <w:rsid w:val="652AC8C3"/>
    <w:rsid w:val="654751A3"/>
    <w:rsid w:val="6548DCBB"/>
    <w:rsid w:val="655F7E41"/>
    <w:rsid w:val="65713E7F"/>
    <w:rsid w:val="65A152CA"/>
    <w:rsid w:val="65C162E3"/>
    <w:rsid w:val="66065936"/>
    <w:rsid w:val="665EDAB6"/>
    <w:rsid w:val="66866F3D"/>
    <w:rsid w:val="668D1914"/>
    <w:rsid w:val="6696AF93"/>
    <w:rsid w:val="66989219"/>
    <w:rsid w:val="66A5C57B"/>
    <w:rsid w:val="66B574E0"/>
    <w:rsid w:val="66CDA714"/>
    <w:rsid w:val="66D17BA3"/>
    <w:rsid w:val="66D1A912"/>
    <w:rsid w:val="670EB58A"/>
    <w:rsid w:val="6725301B"/>
    <w:rsid w:val="672BF749"/>
    <w:rsid w:val="672C3992"/>
    <w:rsid w:val="673FB3EA"/>
    <w:rsid w:val="6749D78E"/>
    <w:rsid w:val="67520111"/>
    <w:rsid w:val="6752DB7D"/>
    <w:rsid w:val="676091CB"/>
    <w:rsid w:val="677C7CE9"/>
    <w:rsid w:val="6782A6A1"/>
    <w:rsid w:val="67A25CE5"/>
    <w:rsid w:val="67B11538"/>
    <w:rsid w:val="67DD2829"/>
    <w:rsid w:val="67E8256F"/>
    <w:rsid w:val="6815B895"/>
    <w:rsid w:val="681DBDDA"/>
    <w:rsid w:val="682E8123"/>
    <w:rsid w:val="683C9CFD"/>
    <w:rsid w:val="68592BEB"/>
    <w:rsid w:val="685ADEDB"/>
    <w:rsid w:val="6872D53C"/>
    <w:rsid w:val="687E4C19"/>
    <w:rsid w:val="68974B03"/>
    <w:rsid w:val="689AB8B9"/>
    <w:rsid w:val="68A54DE3"/>
    <w:rsid w:val="68A7FB93"/>
    <w:rsid w:val="68AFD075"/>
    <w:rsid w:val="68BCD6A6"/>
    <w:rsid w:val="68C364AC"/>
    <w:rsid w:val="69104B5C"/>
    <w:rsid w:val="692E005D"/>
    <w:rsid w:val="695116F2"/>
    <w:rsid w:val="699D3080"/>
    <w:rsid w:val="69A1ECE3"/>
    <w:rsid w:val="69D6B958"/>
    <w:rsid w:val="69DEFC31"/>
    <w:rsid w:val="69E71ABE"/>
    <w:rsid w:val="6A0C16F1"/>
    <w:rsid w:val="6A3121FB"/>
    <w:rsid w:val="6A380318"/>
    <w:rsid w:val="6A5BA5FA"/>
    <w:rsid w:val="6A6E3AA9"/>
    <w:rsid w:val="6A6E8A09"/>
    <w:rsid w:val="6A7ECADF"/>
    <w:rsid w:val="6AD486F4"/>
    <w:rsid w:val="6B0A2CB0"/>
    <w:rsid w:val="6B107445"/>
    <w:rsid w:val="6B1648A0"/>
    <w:rsid w:val="6B41701C"/>
    <w:rsid w:val="6B420426"/>
    <w:rsid w:val="6B5F70D4"/>
    <w:rsid w:val="6B76D62D"/>
    <w:rsid w:val="6BC7F59D"/>
    <w:rsid w:val="6BD8D965"/>
    <w:rsid w:val="6C04C11A"/>
    <w:rsid w:val="6C17FBDF"/>
    <w:rsid w:val="6C1F9090"/>
    <w:rsid w:val="6C27E279"/>
    <w:rsid w:val="6C4AB017"/>
    <w:rsid w:val="6C563595"/>
    <w:rsid w:val="6C5F1F96"/>
    <w:rsid w:val="6C66CC47"/>
    <w:rsid w:val="6C7EF13E"/>
    <w:rsid w:val="6CCA660F"/>
    <w:rsid w:val="6CEE01DE"/>
    <w:rsid w:val="6D068D11"/>
    <w:rsid w:val="6D5E1FA8"/>
    <w:rsid w:val="6D5F015D"/>
    <w:rsid w:val="6D662602"/>
    <w:rsid w:val="6D7C5415"/>
    <w:rsid w:val="6D966741"/>
    <w:rsid w:val="6D989930"/>
    <w:rsid w:val="6DBEB27E"/>
    <w:rsid w:val="6DF9356B"/>
    <w:rsid w:val="6E1799F2"/>
    <w:rsid w:val="6E21D558"/>
    <w:rsid w:val="6E36AC91"/>
    <w:rsid w:val="6E3C10BC"/>
    <w:rsid w:val="6E7F849F"/>
    <w:rsid w:val="6E87ADCC"/>
    <w:rsid w:val="6EB1F79B"/>
    <w:rsid w:val="6ECE7964"/>
    <w:rsid w:val="6EDD98FD"/>
    <w:rsid w:val="6EF43D68"/>
    <w:rsid w:val="6EFE614E"/>
    <w:rsid w:val="6F158C21"/>
    <w:rsid w:val="6F6D66F2"/>
    <w:rsid w:val="6F85F6F5"/>
    <w:rsid w:val="6FB9DC4D"/>
    <w:rsid w:val="6FD48A18"/>
    <w:rsid w:val="6FE5D6C9"/>
    <w:rsid w:val="7025B2C6"/>
    <w:rsid w:val="705A9786"/>
    <w:rsid w:val="706E574D"/>
    <w:rsid w:val="7080792C"/>
    <w:rsid w:val="7091CD51"/>
    <w:rsid w:val="70A45C7D"/>
    <w:rsid w:val="70A74F81"/>
    <w:rsid w:val="70C47F80"/>
    <w:rsid w:val="70CAEA52"/>
    <w:rsid w:val="70D599D4"/>
    <w:rsid w:val="70DF9FC9"/>
    <w:rsid w:val="70F9A7A3"/>
    <w:rsid w:val="710191EF"/>
    <w:rsid w:val="710740F2"/>
    <w:rsid w:val="7114AA66"/>
    <w:rsid w:val="7115C17C"/>
    <w:rsid w:val="711DB5CF"/>
    <w:rsid w:val="71264BA0"/>
    <w:rsid w:val="713E7990"/>
    <w:rsid w:val="714E2E9F"/>
    <w:rsid w:val="7153C2B1"/>
    <w:rsid w:val="71736782"/>
    <w:rsid w:val="717B1334"/>
    <w:rsid w:val="71837D12"/>
    <w:rsid w:val="71969C47"/>
    <w:rsid w:val="71B1A346"/>
    <w:rsid w:val="71D52347"/>
    <w:rsid w:val="71E7AB7D"/>
    <w:rsid w:val="7215AA72"/>
    <w:rsid w:val="724A3669"/>
    <w:rsid w:val="72624708"/>
    <w:rsid w:val="7280C6A8"/>
    <w:rsid w:val="728BBB55"/>
    <w:rsid w:val="7293033D"/>
    <w:rsid w:val="72939993"/>
    <w:rsid w:val="72B0D24E"/>
    <w:rsid w:val="72B515C0"/>
    <w:rsid w:val="72B80849"/>
    <w:rsid w:val="72E27127"/>
    <w:rsid w:val="72F5F589"/>
    <w:rsid w:val="73129A92"/>
    <w:rsid w:val="7318FC97"/>
    <w:rsid w:val="73342FC4"/>
    <w:rsid w:val="733A8A81"/>
    <w:rsid w:val="736EA575"/>
    <w:rsid w:val="738047B8"/>
    <w:rsid w:val="73AD2569"/>
    <w:rsid w:val="73AE92A9"/>
    <w:rsid w:val="73BC8879"/>
    <w:rsid w:val="73CBCAD3"/>
    <w:rsid w:val="741105D9"/>
    <w:rsid w:val="74267F98"/>
    <w:rsid w:val="7442B804"/>
    <w:rsid w:val="744B8C0D"/>
    <w:rsid w:val="745A5130"/>
    <w:rsid w:val="7465E954"/>
    <w:rsid w:val="74699021"/>
    <w:rsid w:val="746FBF12"/>
    <w:rsid w:val="747F2752"/>
    <w:rsid w:val="748B746D"/>
    <w:rsid w:val="74937E1E"/>
    <w:rsid w:val="74953D80"/>
    <w:rsid w:val="753EEFAF"/>
    <w:rsid w:val="75410AD4"/>
    <w:rsid w:val="754D9791"/>
    <w:rsid w:val="756640E7"/>
    <w:rsid w:val="75704AC1"/>
    <w:rsid w:val="75779213"/>
    <w:rsid w:val="75785755"/>
    <w:rsid w:val="7580FF02"/>
    <w:rsid w:val="75A454F3"/>
    <w:rsid w:val="75B87BA4"/>
    <w:rsid w:val="75BD51A9"/>
    <w:rsid w:val="75C62F4D"/>
    <w:rsid w:val="75E75410"/>
    <w:rsid w:val="75F776AE"/>
    <w:rsid w:val="76051549"/>
    <w:rsid w:val="7605CCF0"/>
    <w:rsid w:val="76262F5A"/>
    <w:rsid w:val="763FC423"/>
    <w:rsid w:val="7641D3E0"/>
    <w:rsid w:val="764572A7"/>
    <w:rsid w:val="76553044"/>
    <w:rsid w:val="765C2696"/>
    <w:rsid w:val="76A72273"/>
    <w:rsid w:val="76AC4976"/>
    <w:rsid w:val="76B8A537"/>
    <w:rsid w:val="76BBACC0"/>
    <w:rsid w:val="76C8F1B6"/>
    <w:rsid w:val="770585AD"/>
    <w:rsid w:val="772EF424"/>
    <w:rsid w:val="774CA680"/>
    <w:rsid w:val="774EB663"/>
    <w:rsid w:val="7755D808"/>
    <w:rsid w:val="775665B7"/>
    <w:rsid w:val="7764204E"/>
    <w:rsid w:val="778F2BC8"/>
    <w:rsid w:val="77C6EB2E"/>
    <w:rsid w:val="77CC67C4"/>
    <w:rsid w:val="77CFC004"/>
    <w:rsid w:val="77D5ADB6"/>
    <w:rsid w:val="77E4EEA7"/>
    <w:rsid w:val="77EDD8A9"/>
    <w:rsid w:val="77F13427"/>
    <w:rsid w:val="77F9930F"/>
    <w:rsid w:val="780399D0"/>
    <w:rsid w:val="785D330D"/>
    <w:rsid w:val="785FA171"/>
    <w:rsid w:val="787A8DBF"/>
    <w:rsid w:val="789881D0"/>
    <w:rsid w:val="78BFCEB2"/>
    <w:rsid w:val="78C25C28"/>
    <w:rsid w:val="790CEBA1"/>
    <w:rsid w:val="79269CF1"/>
    <w:rsid w:val="7933DD25"/>
    <w:rsid w:val="796C2205"/>
    <w:rsid w:val="7975729E"/>
    <w:rsid w:val="79E10716"/>
    <w:rsid w:val="7A2197F4"/>
    <w:rsid w:val="7A46A2AB"/>
    <w:rsid w:val="7A46E993"/>
    <w:rsid w:val="7A6C0751"/>
    <w:rsid w:val="7A7E37E1"/>
    <w:rsid w:val="7AD47CAA"/>
    <w:rsid w:val="7B3BF2AC"/>
    <w:rsid w:val="7B4168FC"/>
    <w:rsid w:val="7B4F9C4F"/>
    <w:rsid w:val="7B5F53B2"/>
    <w:rsid w:val="7B743105"/>
    <w:rsid w:val="7BB9D061"/>
    <w:rsid w:val="7BC89017"/>
    <w:rsid w:val="7BD11E22"/>
    <w:rsid w:val="7C10E4E7"/>
    <w:rsid w:val="7C11424F"/>
    <w:rsid w:val="7C1A3A8C"/>
    <w:rsid w:val="7C58A77E"/>
    <w:rsid w:val="7C7009CC"/>
    <w:rsid w:val="7C8A4574"/>
    <w:rsid w:val="7CBCD14D"/>
    <w:rsid w:val="7D2693DF"/>
    <w:rsid w:val="7D291F01"/>
    <w:rsid w:val="7D2F9ECA"/>
    <w:rsid w:val="7D33FC0E"/>
    <w:rsid w:val="7D3660EE"/>
    <w:rsid w:val="7D530AF0"/>
    <w:rsid w:val="7D57137B"/>
    <w:rsid w:val="7D805928"/>
    <w:rsid w:val="7D93D9E5"/>
    <w:rsid w:val="7D95FC69"/>
    <w:rsid w:val="7DC94ABF"/>
    <w:rsid w:val="7DFAAF59"/>
    <w:rsid w:val="7DFCBFA6"/>
    <w:rsid w:val="7E224EFC"/>
    <w:rsid w:val="7E41FE2C"/>
    <w:rsid w:val="7E513448"/>
    <w:rsid w:val="7E62A4FA"/>
    <w:rsid w:val="7E6450E5"/>
    <w:rsid w:val="7E8DB22D"/>
    <w:rsid w:val="7E9B745F"/>
    <w:rsid w:val="7EB70B5E"/>
    <w:rsid w:val="7F2CAE8D"/>
    <w:rsid w:val="7F345A49"/>
    <w:rsid w:val="7F38FE4A"/>
    <w:rsid w:val="7F406D6F"/>
    <w:rsid w:val="7F762F8F"/>
    <w:rsid w:val="7F81F75F"/>
    <w:rsid w:val="7FA64B29"/>
    <w:rsid w:val="7FC9AE01"/>
    <w:rsid w:val="7FCC78E7"/>
    <w:rsid w:val="7FCEAD40"/>
    <w:rsid w:val="7FD36247"/>
    <w:rsid w:val="7FF8E5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AECC2"/>
  <w15:chartTrackingRefBased/>
  <w15:docId w15:val="{174E57D0-FE67-45C4-9BED-3AA5AA0B0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19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19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19E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19E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19E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1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1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1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1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9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19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19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19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19E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1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1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1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19EB"/>
    <w:rPr>
      <w:rFonts w:eastAsiaTheme="majorEastAsia" w:cstheme="majorBidi"/>
      <w:color w:val="272727" w:themeColor="text1" w:themeTint="D8"/>
    </w:rPr>
  </w:style>
  <w:style w:type="paragraph" w:styleId="Title">
    <w:name w:val="Title"/>
    <w:basedOn w:val="Normal"/>
    <w:next w:val="Normal"/>
    <w:link w:val="TitleChar"/>
    <w:uiPriority w:val="10"/>
    <w:qFormat/>
    <w:rsid w:val="006C1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19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1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19EB"/>
    <w:pPr>
      <w:spacing w:before="160"/>
      <w:jc w:val="center"/>
    </w:pPr>
    <w:rPr>
      <w:i/>
      <w:iCs/>
      <w:color w:val="404040" w:themeColor="text1" w:themeTint="BF"/>
    </w:rPr>
  </w:style>
  <w:style w:type="character" w:customStyle="1" w:styleId="QuoteChar">
    <w:name w:val="Quote Char"/>
    <w:basedOn w:val="DefaultParagraphFont"/>
    <w:link w:val="Quote"/>
    <w:uiPriority w:val="29"/>
    <w:rsid w:val="006C19EB"/>
    <w:rPr>
      <w:i/>
      <w:iCs/>
      <w:color w:val="404040" w:themeColor="text1" w:themeTint="BF"/>
    </w:rPr>
  </w:style>
  <w:style w:type="paragraph" w:styleId="ListParagraph">
    <w:name w:val="List Paragraph"/>
    <w:basedOn w:val="Normal"/>
    <w:uiPriority w:val="34"/>
    <w:qFormat/>
    <w:rsid w:val="006C19EB"/>
    <w:pPr>
      <w:ind w:left="720"/>
      <w:contextualSpacing/>
    </w:pPr>
  </w:style>
  <w:style w:type="character" w:styleId="IntenseEmphasis">
    <w:name w:val="Intense Emphasis"/>
    <w:basedOn w:val="DefaultParagraphFont"/>
    <w:uiPriority w:val="21"/>
    <w:qFormat/>
    <w:rsid w:val="006C19EB"/>
    <w:rPr>
      <w:i/>
      <w:iCs/>
      <w:color w:val="2F5496" w:themeColor="accent1" w:themeShade="BF"/>
    </w:rPr>
  </w:style>
  <w:style w:type="paragraph" w:styleId="IntenseQuote">
    <w:name w:val="Intense Quote"/>
    <w:basedOn w:val="Normal"/>
    <w:next w:val="Normal"/>
    <w:link w:val="IntenseQuoteChar"/>
    <w:uiPriority w:val="30"/>
    <w:qFormat/>
    <w:rsid w:val="006C19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19EB"/>
    <w:rPr>
      <w:i/>
      <w:iCs/>
      <w:color w:val="2F5496" w:themeColor="accent1" w:themeShade="BF"/>
    </w:rPr>
  </w:style>
  <w:style w:type="character" w:styleId="IntenseReference">
    <w:name w:val="Intense Reference"/>
    <w:basedOn w:val="DefaultParagraphFont"/>
    <w:uiPriority w:val="32"/>
    <w:qFormat/>
    <w:rsid w:val="006C19EB"/>
    <w:rPr>
      <w:b/>
      <w:bCs/>
      <w:smallCaps/>
      <w:color w:val="2F5496" w:themeColor="accent1" w:themeShade="BF"/>
      <w:spacing w:val="5"/>
    </w:rPr>
  </w:style>
  <w:style w:type="table" w:styleId="TableGrid">
    <w:name w:val="Table Grid"/>
    <w:basedOn w:val="TableNormal"/>
    <w:uiPriority w:val="39"/>
    <w:rsid w:val="00AC4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1667CA"/>
    <w:pPr>
      <w:spacing w:after="0" w:line="240" w:lineRule="auto"/>
      <w:ind w:left="720" w:hanging="720"/>
    </w:pPr>
  </w:style>
  <w:style w:type="paragraph" w:styleId="Revision">
    <w:name w:val="Revision"/>
    <w:hidden/>
    <w:uiPriority w:val="99"/>
    <w:semiHidden/>
    <w:rsid w:val="007E3492"/>
    <w:pPr>
      <w:spacing w:after="0" w:line="240" w:lineRule="auto"/>
    </w:pPr>
  </w:style>
  <w:style w:type="character" w:styleId="Hyperlink">
    <w:name w:val="Hyperlink"/>
    <w:basedOn w:val="DefaultParagraphFont"/>
    <w:uiPriority w:val="99"/>
    <w:unhideWhenUsed/>
    <w:rsid w:val="007D52BB"/>
    <w:rPr>
      <w:color w:val="467886"/>
      <w:u w:val="single"/>
    </w:rPr>
  </w:style>
  <w:style w:type="character" w:styleId="CommentReference">
    <w:name w:val="annotation reference"/>
    <w:basedOn w:val="DefaultParagraphFont"/>
    <w:uiPriority w:val="99"/>
    <w:semiHidden/>
    <w:unhideWhenUsed/>
    <w:rsid w:val="00D8765B"/>
    <w:rPr>
      <w:sz w:val="16"/>
      <w:szCs w:val="16"/>
    </w:rPr>
  </w:style>
  <w:style w:type="paragraph" w:styleId="CommentText">
    <w:name w:val="annotation text"/>
    <w:basedOn w:val="Normal"/>
    <w:link w:val="CommentTextChar"/>
    <w:uiPriority w:val="99"/>
    <w:unhideWhenUsed/>
    <w:rsid w:val="00D8765B"/>
    <w:pPr>
      <w:spacing w:line="240" w:lineRule="auto"/>
    </w:pPr>
    <w:rPr>
      <w:sz w:val="20"/>
      <w:szCs w:val="20"/>
    </w:rPr>
  </w:style>
  <w:style w:type="character" w:customStyle="1" w:styleId="CommentTextChar">
    <w:name w:val="Comment Text Char"/>
    <w:basedOn w:val="DefaultParagraphFont"/>
    <w:link w:val="CommentText"/>
    <w:uiPriority w:val="99"/>
    <w:rsid w:val="00D8765B"/>
    <w:rPr>
      <w:sz w:val="20"/>
      <w:szCs w:val="20"/>
    </w:rPr>
  </w:style>
  <w:style w:type="paragraph" w:styleId="CommentSubject">
    <w:name w:val="annotation subject"/>
    <w:basedOn w:val="CommentText"/>
    <w:next w:val="CommentText"/>
    <w:link w:val="CommentSubjectChar"/>
    <w:uiPriority w:val="99"/>
    <w:semiHidden/>
    <w:unhideWhenUsed/>
    <w:rsid w:val="00D8765B"/>
    <w:rPr>
      <w:b/>
      <w:bCs/>
    </w:rPr>
  </w:style>
  <w:style w:type="character" w:customStyle="1" w:styleId="CommentSubjectChar">
    <w:name w:val="Comment Subject Char"/>
    <w:basedOn w:val="CommentTextChar"/>
    <w:link w:val="CommentSubject"/>
    <w:uiPriority w:val="99"/>
    <w:semiHidden/>
    <w:rsid w:val="00D8765B"/>
    <w:rPr>
      <w:b/>
      <w:bCs/>
      <w:sz w:val="20"/>
      <w:szCs w:val="20"/>
    </w:rPr>
  </w:style>
  <w:style w:type="character" w:styleId="UnresolvedMention">
    <w:name w:val="Unresolved Mention"/>
    <w:basedOn w:val="DefaultParagraphFont"/>
    <w:uiPriority w:val="99"/>
    <w:semiHidden/>
    <w:unhideWhenUsed/>
    <w:rsid w:val="00DF2910"/>
    <w:rPr>
      <w:color w:val="605E5C"/>
      <w:shd w:val="clear" w:color="auto" w:fill="E1DFDD"/>
    </w:rPr>
  </w:style>
  <w:style w:type="paragraph" w:styleId="Header">
    <w:name w:val="header"/>
    <w:basedOn w:val="Normal"/>
    <w:link w:val="HeaderChar"/>
    <w:uiPriority w:val="99"/>
    <w:unhideWhenUsed/>
    <w:rsid w:val="003462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2F7"/>
  </w:style>
  <w:style w:type="paragraph" w:styleId="Footer">
    <w:name w:val="footer"/>
    <w:basedOn w:val="Normal"/>
    <w:link w:val="FooterChar"/>
    <w:uiPriority w:val="99"/>
    <w:unhideWhenUsed/>
    <w:rsid w:val="00346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E19A2-2464-4C7D-8F31-9C43CB51E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31</Pages>
  <Words>86277</Words>
  <Characters>491781</Characters>
  <Application>Microsoft Office Word</Application>
  <DocSecurity>0</DocSecurity>
  <Lines>4098</Lines>
  <Paragraphs>1153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Biswamaitree pahari</dc:creator>
  <cp:keywords/>
  <dc:description/>
  <cp:lastModifiedBy>Umakanta Swain</cp:lastModifiedBy>
  <cp:revision>160</cp:revision>
  <dcterms:created xsi:type="dcterms:W3CDTF">2025-10-11T02:29:00Z</dcterms:created>
  <dcterms:modified xsi:type="dcterms:W3CDTF">2025-10-18T12:05:00Z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2cdd83fc-f20b-4c06-bbc7-ece13fd14e17</vt:lpwstr>
  </property>
  <property fmtid="{D5CDD505-2E9C-101B-9397-08002B2CF9AE}" pid="3" name="ZOTERO_PREF_2">
    <vt:lpwstr>tes" value="true"/&gt;&lt;pref name="dontAskDelayCitationUpdates" value="true"/&gt;&lt;/prefs&gt;&lt;/data&gt;</vt:lpwstr>
  </property>
  <property fmtid="{D5CDD505-2E9C-101B-9397-08002B2CF9AE}" pid="4" name="ZOTERO_PREF_1">
    <vt:lpwstr>&lt;data data-version="3" zotero-version="7.0.27"&gt;&lt;session id="r9E9mN5c"/&gt;&lt;style id="http://www.zotero.org/styles/aquatic-biology" hasBibliography="1" bibliographyStyleHasBeenSet="1"/&gt;&lt;prefs&gt;&lt;pref name="fieldType" value="Field"/&gt;&lt;pref name="delayCitationUpda</vt:lpwstr>
  </property>
</Properties>
</file>