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2F538" w14:textId="77777777" w:rsidR="005E691D" w:rsidRDefault="00F97D6A">
      <w:pPr>
        <w:widowControl w:val="0"/>
        <w:pBdr>
          <w:top w:val="nil"/>
          <w:left w:val="nil"/>
          <w:bottom w:val="nil"/>
          <w:right w:val="nil"/>
          <w:between w:val="nil"/>
        </w:pBdr>
        <w:spacing w:line="276" w:lineRule="auto"/>
      </w:pPr>
      <w:r>
        <w:rPr>
          <w:noProof/>
        </w:rPr>
      </w:r>
      <w:r w:rsidR="00F97D6A">
        <w:rPr>
          <w:noProof/>
        </w:rPr>
        <w:pict w14:anchorId="28401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50pt;height:50pt;z-index:251655168;visibility:hidden;mso-wrap-edited:f;mso-width-percent:0;mso-height-percent:0;mso-width-percent:0;mso-height-percent:0">
            <o:lock v:ext="edit" selection="t"/>
          </v:shape>
        </w:pict>
      </w:r>
      <w:r>
        <w:rPr>
          <w:noProof/>
        </w:rPr>
      </w:r>
      <w:r w:rsidR="00F97D6A">
        <w:rPr>
          <w:noProof/>
        </w:rPr>
        <w:pict w14:anchorId="368BE9DD">
          <v:shape id="_x0000_s1030" type="#_x0000_t136" alt="" style="position:absolute;margin-left:0;margin-top:0;width:50pt;height:50pt;z-index:251656192;visibility:hidden;mso-wrap-edited:f;mso-width-percent:0;mso-height-percent:0;mso-width-percent:0;mso-height-percent:0">
            <o:lock v:ext="edit" selection="t"/>
          </v:shape>
        </w:pict>
      </w:r>
      <w:r>
        <w:rPr>
          <w:noProof/>
        </w:rPr>
      </w:r>
      <w:r w:rsidR="00F97D6A">
        <w:rPr>
          <w:noProof/>
        </w:rPr>
        <w:pict w14:anchorId="4493195D">
          <v:shape id="_x0000_s1029" type="#_x0000_t136" alt="" style="position:absolute;margin-left:0;margin-top:0;width:50pt;height:50pt;z-index:251657216;visibility:hidden;mso-wrap-edited:f;mso-width-percent:0;mso-height-percent:0;mso-width-percent:0;mso-height-percent:0">
            <o:lock v:ext="edit" selection="t"/>
          </v:shape>
        </w:pict>
      </w:r>
      <w:r>
        <w:rPr>
          <w:noProof/>
        </w:rPr>
      </w:r>
      <w:r w:rsidR="00F97D6A">
        <w:rPr>
          <w:noProof/>
        </w:rPr>
        <w:pict w14:anchorId="0713A181">
          <v:shape id="_x0000_s1028" type="#_x0000_t136" alt="" style="position:absolute;margin-left:0;margin-top:0;width:50pt;height:50pt;z-index:251658240;visibility:hidden;mso-wrap-edited:f;mso-width-percent:0;mso-height-percent:0;mso-width-percent:0;mso-height-percent:0">
            <o:lock v:ext="edit" selection="t"/>
          </v:shape>
        </w:pict>
      </w:r>
      <w:r>
        <w:rPr>
          <w:noProof/>
        </w:rPr>
      </w:r>
      <w:r w:rsidR="00F97D6A">
        <w:rPr>
          <w:noProof/>
        </w:rPr>
        <w:pict w14:anchorId="64CE0E46">
          <v:shape id="_x0000_s1027" type="#_x0000_t136" alt="" style="position:absolute;margin-left:0;margin-top:0;width:50pt;height:50pt;z-index:251659264;visibility:hidden;mso-wrap-edited:f;mso-width-percent:0;mso-height-percent:0;mso-width-percent:0;mso-height-percent:0">
            <o:lock v:ext="edit" selection="t"/>
          </v:shape>
        </w:pict>
      </w:r>
      <w:r>
        <w:rPr>
          <w:noProof/>
        </w:rPr>
      </w:r>
      <w:r w:rsidR="00F97D6A">
        <w:rPr>
          <w:noProof/>
        </w:rPr>
        <w:pict w14:anchorId="21FC7D58">
          <v:shape id="_x0000_s1026" type="#_x0000_t136" alt="" style="position:absolute;margin-left:0;margin-top:0;width:50pt;height:50pt;z-index:251660288;visibility:hidden;mso-wrap-edited:f;mso-width-percent:0;mso-height-percent:0;mso-width-percent:0;mso-height-percent:0">
            <o:lock v:ext="edit" selection="t"/>
          </v:shape>
        </w:pict>
      </w:r>
    </w:p>
    <w:p w14:paraId="45761FB6" w14:textId="77777777" w:rsidR="005E691D" w:rsidRDefault="005E691D">
      <w:pPr>
        <w:pStyle w:val="Title"/>
        <w:spacing w:after="0"/>
        <w:jc w:val="both"/>
        <w:rPr>
          <w:rFonts w:ascii="Arial" w:eastAsia="Arial" w:hAnsi="Arial" w:cs="Arial"/>
        </w:rPr>
      </w:pPr>
    </w:p>
    <w:p w14:paraId="5FAB7610" w14:textId="77777777" w:rsidR="005E691D" w:rsidRDefault="00911749">
      <w:pPr>
        <w:pBdr>
          <w:top w:val="nil"/>
          <w:left w:val="nil"/>
          <w:bottom w:val="nil"/>
          <w:right w:val="nil"/>
          <w:between w:val="nil"/>
        </w:pBdr>
        <w:spacing w:line="280" w:lineRule="auto"/>
        <w:jc w:val="right"/>
        <w:rPr>
          <w:rFonts w:ascii="Arial" w:eastAsia="Arial" w:hAnsi="Arial" w:cs="Arial"/>
          <w:b/>
          <w:i/>
          <w:color w:val="000000"/>
          <w:sz w:val="18"/>
          <w:szCs w:val="18"/>
          <w:u w:val="single"/>
        </w:rPr>
      </w:pPr>
      <w:r>
        <w:rPr>
          <w:rFonts w:ascii="Arial" w:eastAsia="Arial" w:hAnsi="Arial" w:cs="Arial"/>
          <w:b/>
          <w:i/>
          <w:color w:val="000000"/>
          <w:sz w:val="18"/>
          <w:szCs w:val="18"/>
          <w:u w:val="single"/>
        </w:rPr>
        <w:t>Original Research Article</w:t>
      </w:r>
    </w:p>
    <w:p w14:paraId="4FDD21B2" w14:textId="77777777" w:rsidR="005E691D" w:rsidRDefault="0091174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Prevalence of Greek and Egyptian foot morphology in southwest Nigeria using Ijebu-Ode as a case study.</w:t>
      </w:r>
    </w:p>
    <w:p w14:paraId="71629A5B" w14:textId="77777777" w:rsidR="005E691D" w:rsidRDefault="005E691D">
      <w:pPr>
        <w:pBdr>
          <w:top w:val="nil"/>
          <w:left w:val="nil"/>
          <w:bottom w:val="nil"/>
          <w:right w:val="nil"/>
          <w:between w:val="nil"/>
        </w:pBdr>
        <w:jc w:val="both"/>
        <w:rPr>
          <w:rFonts w:ascii="Arial" w:eastAsia="Arial" w:hAnsi="Arial" w:cs="Arial"/>
          <w:b/>
          <w:color w:val="000000"/>
          <w:sz w:val="36"/>
          <w:szCs w:val="36"/>
        </w:rPr>
      </w:pPr>
    </w:p>
    <w:p w14:paraId="6EC87617" w14:textId="77777777" w:rsidR="005E691D" w:rsidRDefault="005E691D">
      <w:pPr>
        <w:ind w:firstLine="198"/>
      </w:pPr>
    </w:p>
    <w:p w14:paraId="1B6732E4" w14:textId="77777777" w:rsidR="005E691D" w:rsidRDefault="005E691D">
      <w:pPr>
        <w:ind w:firstLine="198"/>
      </w:pPr>
    </w:p>
    <w:p w14:paraId="611802E8" w14:textId="77777777" w:rsidR="005E691D" w:rsidRDefault="005E691D">
      <w:pPr>
        <w:ind w:firstLine="198"/>
      </w:pPr>
    </w:p>
    <w:p w14:paraId="71347351" w14:textId="77777777" w:rsidR="005E691D" w:rsidRDefault="005E691D">
      <w:pPr>
        <w:ind w:firstLine="198"/>
      </w:pPr>
    </w:p>
    <w:p w14:paraId="0438DFFE" w14:textId="77777777" w:rsidR="005E691D" w:rsidRDefault="005E691D">
      <w:pPr>
        <w:ind w:firstLine="198"/>
      </w:pPr>
    </w:p>
    <w:p w14:paraId="14F5C69A" w14:textId="77777777" w:rsidR="005E691D" w:rsidRDefault="005E691D">
      <w:pPr>
        <w:ind w:firstLine="198"/>
      </w:pPr>
    </w:p>
    <w:p w14:paraId="33D0C5AE" w14:textId="77777777" w:rsidR="005E691D" w:rsidRDefault="005E691D">
      <w:pPr>
        <w:pBdr>
          <w:top w:val="nil"/>
          <w:left w:val="nil"/>
          <w:bottom w:val="nil"/>
          <w:right w:val="nil"/>
          <w:between w:val="nil"/>
        </w:pBdr>
        <w:jc w:val="both"/>
        <w:rPr>
          <w:rFonts w:ascii="Arial" w:eastAsia="Arial" w:hAnsi="Arial" w:cs="Arial"/>
          <w:color w:val="000000"/>
        </w:rPr>
      </w:pPr>
    </w:p>
    <w:p w14:paraId="6B3C85D7" w14:textId="77777777" w:rsidR="005E691D" w:rsidRDefault="005E691D">
      <w:pPr>
        <w:pBdr>
          <w:top w:val="nil"/>
          <w:left w:val="nil"/>
          <w:bottom w:val="nil"/>
          <w:right w:val="nil"/>
          <w:between w:val="nil"/>
        </w:pBdr>
        <w:jc w:val="both"/>
        <w:rPr>
          <w:rFonts w:ascii="Arial" w:eastAsia="Arial" w:hAnsi="Arial" w:cs="Arial"/>
          <w:color w:val="000000"/>
        </w:rPr>
      </w:pPr>
    </w:p>
    <w:p w14:paraId="0BE77CF3" w14:textId="77777777" w:rsidR="005E691D" w:rsidRDefault="00911749">
      <w:pPr>
        <w:pBdr>
          <w:top w:val="nil"/>
          <w:left w:val="nil"/>
          <w:bottom w:val="nil"/>
          <w:right w:val="nil"/>
          <w:between w:val="nil"/>
        </w:pBdr>
        <w:jc w:val="both"/>
        <w:rPr>
          <w:rFonts w:ascii="Arial" w:eastAsia="Arial" w:hAnsi="Arial" w:cs="Arial"/>
          <w:color w:val="000000"/>
          <w:sz w:val="16"/>
          <w:szCs w:val="16"/>
        </w:rPr>
        <w:sectPr w:rsidR="005E691D">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27ACECD8" wp14:editId="3006E1BA">
                <wp:extent cx="635" cy="19050"/>
                <wp:effectExtent l="0" t="0" r="0" b="0"/>
                <wp:docPr id="725544176" name="Straight Arrow Connector 72554417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725544176"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4AB122DC"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08932EB0"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E691D" w14:paraId="07B9595A" w14:textId="77777777">
        <w:tc>
          <w:tcPr>
            <w:tcW w:w="9576" w:type="dxa"/>
            <w:shd w:val="clear" w:color="auto" w:fill="F2F2F2"/>
          </w:tcPr>
          <w:p w14:paraId="1172C479"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To investigate the prevalent foot shapes and to explore the correlation between the predominant foot shape and cultural or gender factors within the Ijebu-Ode community thereby filling this gap and contributing valuable insights to the field of anthropometry and podiatric medicine.</w:t>
            </w:r>
          </w:p>
          <w:p w14:paraId="7AE801B6"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Study design: </w:t>
            </w:r>
            <w:r>
              <w:rPr>
                <w:rFonts w:ascii="Arial" w:eastAsia="Arial" w:hAnsi="Arial" w:cs="Arial"/>
                <w:color w:val="000000"/>
              </w:rPr>
              <w:t xml:space="preserve">The study adopted a cross-sectional research design to assess foot shape among a representative sample of the Ijebu Ode Community, and a purposive sampling technique was used. </w:t>
            </w:r>
          </w:p>
          <w:p w14:paraId="3196A651"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Place and Duration of Study: </w:t>
            </w:r>
            <w:r>
              <w:rPr>
                <w:rFonts w:ascii="Arial" w:eastAsia="Arial" w:hAnsi="Arial" w:cs="Arial"/>
                <w:color w:val="000000"/>
              </w:rPr>
              <w:t xml:space="preserve">This study involved 200 participants in the Ijebu Ode Community aged 18 to </w:t>
            </w:r>
            <w:r>
              <w:rPr>
                <w:rFonts w:ascii="Arial" w:eastAsia="Arial" w:hAnsi="Arial" w:cs="Arial"/>
              </w:rPr>
              <w:t>30</w:t>
            </w:r>
            <w:r>
              <w:rPr>
                <w:rFonts w:ascii="Arial" w:eastAsia="Arial" w:hAnsi="Arial" w:cs="Arial"/>
                <w:color w:val="000000"/>
              </w:rPr>
              <w:t xml:space="preserve">years. </w:t>
            </w:r>
          </w:p>
          <w:p w14:paraId="7B774D5C"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foot shape was determined using HP Scanjet G3110 and the length and width of the foot were measured using vernier caliper and measuring </w:t>
            </w:r>
            <w:r>
              <w:rPr>
                <w:rFonts w:ascii="Arial" w:eastAsia="Arial" w:hAnsi="Arial" w:cs="Arial"/>
              </w:rPr>
              <w:t>tape; these</w:t>
            </w:r>
            <w:r>
              <w:rPr>
                <w:rFonts w:ascii="Arial" w:eastAsia="Arial" w:hAnsi="Arial" w:cs="Arial"/>
                <w:color w:val="000000"/>
              </w:rPr>
              <w:t xml:space="preserve"> values were also recorded. Data analysis was carried out using a series of statistical tests, including the Kolmogorov-Smirnov test for assessing normality, Pearson’s correlation, and the chi-square test to assess the independence of foot shape distribution from demographic characteristics such as gender.</w:t>
            </w:r>
          </w:p>
          <w:p w14:paraId="2ADFBDC1"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results demonstrated a significant prevalence of the Greek foot shape among males, while the Egyptian foot shape was more common among females. The results of this study add to the anthropometric data on Nigerian communities, supporting the development of tailored solutions in medical and commercial applications.</w:t>
            </w:r>
          </w:p>
          <w:p w14:paraId="647F6E5A" w14:textId="77777777"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These findings suggest that foot shape distribution in the Ijebu Ode community may have a gender-based dimension. This pattern of foot morphology has practical implications for ergonomic design, health care, and local shoe manufacturing, offering insights into how gender and physical form are interrelated within this specific population.</w:t>
            </w:r>
          </w:p>
        </w:tc>
      </w:tr>
    </w:tbl>
    <w:p w14:paraId="6CA57F53" w14:textId="77777777" w:rsidR="005E691D" w:rsidRDefault="005E691D">
      <w:pPr>
        <w:pBdr>
          <w:top w:val="nil"/>
          <w:left w:val="nil"/>
          <w:bottom w:val="nil"/>
          <w:right w:val="nil"/>
          <w:between w:val="nil"/>
        </w:pBdr>
        <w:jc w:val="both"/>
        <w:rPr>
          <w:rFonts w:ascii="Arial" w:eastAsia="Arial" w:hAnsi="Arial" w:cs="Arial"/>
          <w:i/>
          <w:color w:val="000000"/>
        </w:rPr>
      </w:pPr>
    </w:p>
    <w:p w14:paraId="241284BF" w14:textId="77777777" w:rsidR="005E691D" w:rsidRDefault="00911749">
      <w:pPr>
        <w:pBdr>
          <w:top w:val="nil"/>
          <w:left w:val="nil"/>
          <w:bottom w:val="nil"/>
          <w:right w:val="nil"/>
          <w:between w:val="nil"/>
        </w:pBdr>
        <w:spacing w:after="240"/>
        <w:jc w:val="both"/>
        <w:rPr>
          <w:rFonts w:ascii="Arial" w:eastAsia="Arial" w:hAnsi="Arial" w:cs="Arial"/>
          <w:i/>
          <w:color w:val="000000"/>
        </w:rPr>
      </w:pPr>
      <w:r>
        <w:rPr>
          <w:rFonts w:ascii="Arial" w:eastAsia="Arial" w:hAnsi="Arial" w:cs="Arial"/>
          <w:i/>
          <w:color w:val="000000"/>
        </w:rPr>
        <w:t>Keywords: Egyptian Foot Shape, Foot morphology, Ergonomic designs, Greek foot shape</w:t>
      </w:r>
    </w:p>
    <w:p w14:paraId="757B54F2" w14:textId="77777777" w:rsidR="005E691D" w:rsidRDefault="005E691D">
      <w:pPr>
        <w:pBdr>
          <w:top w:val="nil"/>
          <w:left w:val="nil"/>
          <w:bottom w:val="nil"/>
          <w:right w:val="nil"/>
          <w:between w:val="nil"/>
        </w:pBdr>
        <w:jc w:val="both"/>
        <w:rPr>
          <w:rFonts w:ascii="Arial" w:eastAsia="Arial" w:hAnsi="Arial" w:cs="Arial"/>
          <w:i/>
          <w:color w:val="000000"/>
        </w:rPr>
      </w:pPr>
    </w:p>
    <w:p w14:paraId="1776C5A6" w14:textId="77777777" w:rsidR="005E691D" w:rsidRDefault="005E691D">
      <w:pPr>
        <w:pBdr>
          <w:top w:val="nil"/>
          <w:left w:val="nil"/>
          <w:bottom w:val="nil"/>
          <w:right w:val="nil"/>
          <w:between w:val="nil"/>
        </w:pBdr>
        <w:jc w:val="both"/>
        <w:rPr>
          <w:rFonts w:ascii="Arial" w:eastAsia="Arial" w:hAnsi="Arial" w:cs="Arial"/>
          <w:i/>
          <w:color w:val="000000"/>
        </w:rPr>
      </w:pPr>
    </w:p>
    <w:p w14:paraId="42891CFD"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2129EBC8"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60471146" w14:textId="77777777" w:rsidR="005E691D" w:rsidRDefault="00911749">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highlight w:val="yellow"/>
        </w:rPr>
        <w:t>The human foot is a complex structure made of 26 bones, numerous joints, ligaments, muscles, and tendons that collectively facilitate human gait and upright movement (</w:t>
      </w:r>
      <w:proofErr w:type="spellStart"/>
      <w:r>
        <w:rPr>
          <w:rFonts w:ascii="Arial" w:eastAsia="Arial" w:hAnsi="Arial" w:cs="Arial"/>
          <w:color w:val="000000"/>
          <w:highlight w:val="yellow"/>
        </w:rPr>
        <w:t>Ridola</w:t>
      </w:r>
      <w:proofErr w:type="spellEnd"/>
      <w:r>
        <w:rPr>
          <w:rFonts w:ascii="Arial" w:eastAsia="Arial" w:hAnsi="Arial" w:cs="Arial"/>
          <w:color w:val="000000"/>
          <w:highlight w:val="yellow"/>
        </w:rPr>
        <w:t xml:space="preserve"> et al., 2007; </w:t>
      </w:r>
      <w:proofErr w:type="spellStart"/>
      <w:r>
        <w:rPr>
          <w:rFonts w:ascii="Arial" w:eastAsia="Arial" w:hAnsi="Arial" w:cs="Arial"/>
          <w:color w:val="000000"/>
          <w:highlight w:val="yellow"/>
        </w:rPr>
        <w:t>Standring</w:t>
      </w:r>
      <w:proofErr w:type="spellEnd"/>
      <w:r>
        <w:rPr>
          <w:rFonts w:ascii="Arial" w:eastAsia="Arial" w:hAnsi="Arial" w:cs="Arial"/>
          <w:color w:val="000000"/>
          <w:highlight w:val="yellow"/>
        </w:rPr>
        <w:t xml:space="preserve">, 2016; </w:t>
      </w:r>
      <w:proofErr w:type="spellStart"/>
      <w:r>
        <w:rPr>
          <w:rFonts w:ascii="Arial" w:eastAsia="Arial" w:hAnsi="Arial" w:cs="Arial"/>
          <w:color w:val="000000"/>
          <w:highlight w:val="yellow"/>
        </w:rPr>
        <w:t>Nuemann</w:t>
      </w:r>
      <w:proofErr w:type="spellEnd"/>
      <w:r>
        <w:rPr>
          <w:rFonts w:ascii="Arial" w:eastAsia="Arial" w:hAnsi="Arial" w:cs="Arial"/>
          <w:color w:val="000000"/>
          <w:highlight w:val="yellow"/>
        </w:rPr>
        <w:t>, 2017). The bones of the foot are subdivided into three categories, fore, mid, and hind foot</w:t>
      </w:r>
      <w:r>
        <w:rPr>
          <w:color w:val="000000"/>
          <w:highlight w:val="yellow"/>
        </w:rPr>
        <w:t xml:space="preserve"> </w:t>
      </w:r>
      <w:r>
        <w:rPr>
          <w:rFonts w:ascii="Arial" w:eastAsia="Arial" w:hAnsi="Arial" w:cs="Arial"/>
          <w:color w:val="000000"/>
          <w:highlight w:val="yellow"/>
        </w:rPr>
        <w:t>(</w:t>
      </w:r>
      <w:proofErr w:type="spellStart"/>
      <w:r>
        <w:rPr>
          <w:rFonts w:ascii="Arial" w:eastAsia="Arial" w:hAnsi="Arial" w:cs="Arial"/>
          <w:color w:val="000000"/>
          <w:highlight w:val="yellow"/>
        </w:rPr>
        <w:t>Ficke</w:t>
      </w:r>
      <w:proofErr w:type="spellEnd"/>
      <w:r>
        <w:rPr>
          <w:rFonts w:ascii="Arial" w:eastAsia="Arial" w:hAnsi="Arial" w:cs="Arial"/>
          <w:color w:val="000000"/>
          <w:highlight w:val="yellow"/>
        </w:rPr>
        <w:t xml:space="preserve"> &amp; Byerly, 2023). Due to the several arches and alignment of the foot based upon bone, ligament, and muscle placement, different shapes of the foot are possible leading to variation. </w:t>
      </w:r>
      <w:r>
        <w:rPr>
          <w:rFonts w:ascii="Arial" w:eastAsia="Arial" w:hAnsi="Arial" w:cs="Arial"/>
          <w:color w:val="000000"/>
          <w:highlight w:val="yellow"/>
        </w:rPr>
        <w:lastRenderedPageBreak/>
        <w:t>These variations are of anatomical interest and have major implications for designing footwear and workplace setups to optimize foot health, comfort, and performance, reducing the risk</w:t>
      </w:r>
      <w:r>
        <w:rPr>
          <w:rFonts w:ascii="Arial" w:eastAsia="Arial" w:hAnsi="Arial" w:cs="Arial"/>
          <w:color w:val="000000"/>
          <w:highlight w:val="yellow"/>
        </w:rPr>
        <w:t xml:space="preserve"> of musculoskeletal disorders, orthopedic interventions, pathologies, fatigue, and podiatry</w:t>
      </w:r>
      <w:r>
        <w:rPr>
          <w:color w:val="000000"/>
          <w:highlight w:val="yellow"/>
        </w:rPr>
        <w:t xml:space="preserve"> </w:t>
      </w:r>
      <w:r>
        <w:rPr>
          <w:rFonts w:ascii="Arial" w:eastAsia="Arial" w:hAnsi="Arial" w:cs="Arial"/>
          <w:color w:val="000000"/>
          <w:highlight w:val="yellow"/>
        </w:rPr>
        <w:t>(Nix, Smith, &amp; Vicenzino, 2010).</w:t>
      </w:r>
    </w:p>
    <w:p w14:paraId="216E9E6C" w14:textId="1F70B73D"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highlight w:val="yellow"/>
        </w:rPr>
        <w:t xml:space="preserve">The human foot plays a key role in supporting the weight of the body, in keeping a stable upright posture and in providing locomotion (Nester et al., 2001). It must be flexible enough to absorb the ground reaction forces and rigid and herculean for weight-bearing (Moore, </w:t>
      </w:r>
      <w:proofErr w:type="spellStart"/>
      <w:r>
        <w:rPr>
          <w:rFonts w:ascii="Arial" w:eastAsia="Arial" w:hAnsi="Arial" w:cs="Arial"/>
          <w:color w:val="000000"/>
          <w:highlight w:val="yellow"/>
        </w:rPr>
        <w:t>Dalley</w:t>
      </w:r>
      <w:proofErr w:type="spellEnd"/>
      <w:r>
        <w:rPr>
          <w:rFonts w:ascii="Arial" w:eastAsia="Arial" w:hAnsi="Arial" w:cs="Arial"/>
          <w:color w:val="000000"/>
          <w:highlight w:val="yellow"/>
        </w:rPr>
        <w:t xml:space="preserve">, &amp; </w:t>
      </w:r>
      <w:proofErr w:type="spellStart"/>
      <w:r>
        <w:rPr>
          <w:rFonts w:ascii="Arial" w:eastAsia="Arial" w:hAnsi="Arial" w:cs="Arial"/>
          <w:color w:val="000000"/>
          <w:highlight w:val="yellow"/>
        </w:rPr>
        <w:t>Agur</w:t>
      </w:r>
      <w:proofErr w:type="spellEnd"/>
      <w:r>
        <w:rPr>
          <w:rFonts w:ascii="Arial" w:eastAsia="Arial" w:hAnsi="Arial" w:cs="Arial"/>
          <w:color w:val="000000"/>
          <w:highlight w:val="yellow"/>
        </w:rPr>
        <w:t>, 2014). Knowing the diversity of foot shapes within different populations is crucial for designing appropriate footwear, orthotics, and medical interventions (</w:t>
      </w:r>
      <w:r w:rsidR="00775117">
        <w:rPr>
          <w:rFonts w:ascii="Arial" w:eastAsia="Arial" w:hAnsi="Arial" w:cs="Arial"/>
          <w:color w:val="000000"/>
          <w:highlight w:val="yellow"/>
        </w:rPr>
        <w:t>Alabi et al., 2016</w:t>
      </w:r>
      <w:r>
        <w:rPr>
          <w:rFonts w:ascii="Arial" w:eastAsia="Arial" w:hAnsi="Arial" w:cs="Arial"/>
          <w:color w:val="000000"/>
          <w:highlight w:val="yellow"/>
        </w:rPr>
        <w:t xml:space="preserve">). Foot-related problems are common across the globe, affecting a considerable portion of the population (Thomas et al., 2011). Conditions such as plantar fasciitis, bunions, Achilles tendonitis, Morton’s neuroma, and tinea infections can significantly impact a person's quality of life and mobility (Ayub &amp; </w:t>
      </w:r>
      <w:proofErr w:type="spellStart"/>
      <w:r>
        <w:rPr>
          <w:rFonts w:ascii="Arial" w:eastAsia="Arial" w:hAnsi="Arial" w:cs="Arial"/>
          <w:color w:val="000000"/>
          <w:highlight w:val="yellow"/>
        </w:rPr>
        <w:t>Bibbo</w:t>
      </w:r>
      <w:proofErr w:type="spellEnd"/>
      <w:r>
        <w:rPr>
          <w:rFonts w:ascii="Arial" w:eastAsia="Arial" w:hAnsi="Arial" w:cs="Arial"/>
          <w:color w:val="000000"/>
          <w:highlight w:val="yellow"/>
        </w:rPr>
        <w:t>, 2005).</w:t>
      </w:r>
    </w:p>
    <w:p w14:paraId="2BC04F9B"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highlight w:val="yellow"/>
        </w:rPr>
        <w:t xml:space="preserve">The foot morphology shows variations </w:t>
      </w:r>
      <w:proofErr w:type="gramStart"/>
      <w:r>
        <w:rPr>
          <w:rFonts w:ascii="Arial" w:eastAsia="Arial" w:hAnsi="Arial" w:cs="Arial"/>
          <w:color w:val="000000"/>
          <w:highlight w:val="yellow"/>
        </w:rPr>
        <w:t>due to the effects</w:t>
      </w:r>
      <w:proofErr w:type="gramEnd"/>
      <w:r>
        <w:rPr>
          <w:rFonts w:ascii="Arial" w:eastAsia="Arial" w:hAnsi="Arial" w:cs="Arial"/>
          <w:color w:val="000000"/>
          <w:highlight w:val="yellow"/>
        </w:rPr>
        <w:t xml:space="preserve"> of heredity and environmental factors, so footprints are unique and have individual characteristics that are capable of providing positive identification in the area of forensic sciences. Footprints differ not only between individuals but also between the right and left foot of the same individual; even in identical twins (Delgado-</w:t>
      </w:r>
      <w:proofErr w:type="spellStart"/>
      <w:r>
        <w:rPr>
          <w:rFonts w:ascii="Arial" w:eastAsia="Arial" w:hAnsi="Arial" w:cs="Arial"/>
          <w:color w:val="000000"/>
          <w:highlight w:val="yellow"/>
        </w:rPr>
        <w:t>Abellan</w:t>
      </w:r>
      <w:proofErr w:type="spellEnd"/>
      <w:r>
        <w:rPr>
          <w:rFonts w:ascii="Arial" w:eastAsia="Arial" w:hAnsi="Arial" w:cs="Arial"/>
          <w:color w:val="000000"/>
          <w:highlight w:val="yellow"/>
        </w:rPr>
        <w:t xml:space="preserve"> et al., 2014; Nirenberg, Krishan &amp; Kanchan, 2017).</w:t>
      </w:r>
    </w:p>
    <w:p w14:paraId="0BBAB3E5" w14:textId="2D80022E"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Ethnicity plays a role however minute in the shaping of human feet, especially as changes occur from postnatal development periods (Kristina-Stankovic, Booth, </w:t>
      </w:r>
      <w:proofErr w:type="spellStart"/>
      <w:r>
        <w:rPr>
          <w:rFonts w:ascii="Arial" w:eastAsia="Arial" w:hAnsi="Arial" w:cs="Arial"/>
          <w:color w:val="000000"/>
        </w:rPr>
        <w:t>Femke</w:t>
      </w:r>
      <w:proofErr w:type="spellEnd"/>
      <w:r>
        <w:rPr>
          <w:rFonts w:ascii="Arial" w:eastAsia="Arial" w:hAnsi="Arial" w:cs="Arial"/>
          <w:color w:val="000000"/>
        </w:rPr>
        <w:t>, &amp; Vermaelen, 2018). Choi et al., (2015) study reported the ethnicity of the Maasai people played a major role in their foot shape due to their traditional footwear and gait patterns</w:t>
      </w:r>
      <w:r w:rsidR="001A062A">
        <w:rPr>
          <w:rFonts w:ascii="Arial" w:eastAsia="Arial" w:hAnsi="Arial" w:cs="Arial"/>
          <w:color w:val="000000"/>
        </w:rPr>
        <w:t>.</w:t>
      </w:r>
    </w:p>
    <w:p w14:paraId="14940FB7" w14:textId="2E134CA9"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Serving as the traditional headquarters of the Ijebu people, Ijebu-Ode is one of the major local governments in Ogun State, a southwestern state in Nigeria. Its history is largely connected to the commerce of the region and a rich cultural tapestry (Akintoye, 2010). </w:t>
      </w:r>
      <w:r w:rsidR="00775117">
        <w:rPr>
          <w:rFonts w:ascii="Arial" w:eastAsia="Arial" w:hAnsi="Arial" w:cs="Arial"/>
          <w:color w:val="000000"/>
        </w:rPr>
        <w:t>Alabi</w:t>
      </w:r>
      <w:r>
        <w:rPr>
          <w:rFonts w:ascii="Arial" w:eastAsia="Arial" w:hAnsi="Arial" w:cs="Arial"/>
          <w:color w:val="000000"/>
        </w:rPr>
        <w:t xml:space="preserve"> et al., (201</w:t>
      </w:r>
      <w:r w:rsidR="00775117">
        <w:rPr>
          <w:rFonts w:ascii="Arial" w:eastAsia="Arial" w:hAnsi="Arial" w:cs="Arial"/>
          <w:color w:val="000000"/>
        </w:rPr>
        <w:t>6</w:t>
      </w:r>
      <w:r>
        <w:rPr>
          <w:rFonts w:ascii="Arial" w:eastAsia="Arial" w:hAnsi="Arial" w:cs="Arial"/>
          <w:color w:val="000000"/>
        </w:rPr>
        <w:t>) asserts that understanding physical characteristics like foot shape in communities helps to enrich anthropometric data and can serve as an aid for tailored healthcare and ergonomic design.</w:t>
      </w:r>
    </w:p>
    <w:p w14:paraId="0F2BA9D0" w14:textId="1529CD08"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context of the Ijebu community, understanding the prevalent foot shapes can lead to better footwear design, improved clinical interventions, and enhanced preventive measures against foot-related ailments</w:t>
      </w:r>
      <w:r w:rsidR="001A062A">
        <w:rPr>
          <w:rFonts w:ascii="Arial" w:eastAsia="Arial" w:hAnsi="Arial" w:cs="Arial"/>
          <w:color w:val="000000"/>
        </w:rPr>
        <w:t xml:space="preserve"> (</w:t>
      </w:r>
      <w:proofErr w:type="spellStart"/>
      <w:r w:rsidR="001A062A">
        <w:rPr>
          <w:rFonts w:ascii="Arial" w:eastAsia="Arial" w:hAnsi="Arial" w:cs="Arial"/>
          <w:color w:val="000000"/>
        </w:rPr>
        <w:t>Okubike</w:t>
      </w:r>
      <w:proofErr w:type="spellEnd"/>
      <w:r w:rsidR="001A062A">
        <w:rPr>
          <w:rFonts w:ascii="Arial" w:eastAsia="Arial" w:hAnsi="Arial" w:cs="Arial"/>
          <w:color w:val="000000"/>
        </w:rPr>
        <w:t xml:space="preserve"> et el., 2018)</w:t>
      </w:r>
      <w:r>
        <w:rPr>
          <w:rFonts w:ascii="Arial" w:eastAsia="Arial" w:hAnsi="Arial" w:cs="Arial"/>
          <w:color w:val="000000"/>
        </w:rPr>
        <w:t>. This research aims to investigate the prevalent foot shapes and to explore the correlation between the predominant foot shape and cultural or gender factors within the Ijebu-Ode community thereby filling this gap and contributing valuable insights to the field of anthropometry and podiatric medicine.</w:t>
      </w:r>
    </w:p>
    <w:p w14:paraId="191E4B3C" w14:textId="77777777" w:rsidR="005E691D" w:rsidRDefault="005E691D">
      <w:pPr>
        <w:pBdr>
          <w:top w:val="nil"/>
          <w:left w:val="nil"/>
          <w:bottom w:val="nil"/>
          <w:right w:val="nil"/>
          <w:between w:val="nil"/>
        </w:pBdr>
        <w:jc w:val="both"/>
        <w:rPr>
          <w:rFonts w:ascii="Arial" w:eastAsia="Arial" w:hAnsi="Arial" w:cs="Arial"/>
          <w:color w:val="000000"/>
        </w:rPr>
      </w:pPr>
    </w:p>
    <w:p w14:paraId="3A38F8E4"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36B1103B" w14:textId="77777777" w:rsidR="005E691D" w:rsidRDefault="005E691D">
      <w:pPr>
        <w:pBdr>
          <w:top w:val="nil"/>
          <w:left w:val="nil"/>
          <w:bottom w:val="nil"/>
          <w:right w:val="nil"/>
          <w:between w:val="nil"/>
        </w:pBdr>
        <w:jc w:val="both"/>
        <w:rPr>
          <w:rFonts w:ascii="Arial" w:eastAsia="Arial" w:hAnsi="Arial" w:cs="Arial"/>
          <w:color w:val="000000"/>
        </w:rPr>
      </w:pPr>
    </w:p>
    <w:p w14:paraId="41C87343"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 xml:space="preserve">Subjects and Study Design </w:t>
      </w:r>
    </w:p>
    <w:p w14:paraId="41FAA449"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study adopted a cross-sectional research design to assess foot shape among a representative sample of the Ijebu Ode Community, and a purposive sampling technique was used. The sample size used for this study comprised 200 subjects (100 males and 100 females) between the ages of 18-30 years, inclusion criteria for the study were participants who were from Ijebu Ode by paternal and maternal origin to the second generation and without any deformity, injury or fracture, nor any history of surgical procedure</w:t>
      </w:r>
      <w:r>
        <w:rPr>
          <w:rFonts w:ascii="Arial" w:eastAsia="Arial" w:hAnsi="Arial" w:cs="Arial"/>
          <w:color w:val="000000"/>
        </w:rPr>
        <w:t>s carried out in the feet. A minimum sample size was used to get the study population of 200 subjects obtained randomly from the Ijebu population using the Taro Yamane (1967) formula:</w:t>
      </w:r>
    </w:p>
    <w:p w14:paraId="477D6148" w14:textId="77777777" w:rsidR="005E691D" w:rsidRDefault="00911749">
      <w:pPr>
        <w:jc w:val="both"/>
        <w:rPr>
          <w:rFonts w:ascii="Arial" w:eastAsia="Arial" w:hAnsi="Arial" w:cs="Arial"/>
          <w:sz w:val="22"/>
          <w:szCs w:val="22"/>
          <w:highlight w:val="yellow"/>
        </w:rPr>
      </w:pPr>
      <w:r>
        <w:rPr>
          <w:rFonts w:ascii="Arial" w:eastAsia="Arial" w:hAnsi="Arial" w:cs="Arial"/>
          <w:sz w:val="22"/>
          <w:szCs w:val="22"/>
          <w:highlight w:val="yellow"/>
        </w:rPr>
        <w:t>In the determination of the minimum sample size for a large heterogeneous population, the Taro – Yamen’s formula is used. It is given by the formula:</w:t>
      </w:r>
    </w:p>
    <w:p w14:paraId="3009DC0D" w14:textId="77777777" w:rsidR="005E691D" w:rsidRDefault="00911749">
      <w:pPr>
        <w:jc w:val="center"/>
        <w:rPr>
          <w:rFonts w:ascii="Arial" w:eastAsia="Arial" w:hAnsi="Arial" w:cs="Arial"/>
          <w:sz w:val="22"/>
          <w:szCs w:val="22"/>
          <w:highlight w:val="yellow"/>
        </w:rPr>
      </w:pPr>
      <m:oMath>
        <m:r>
          <w:rPr>
            <w:rFonts w:ascii="Cambria Math" w:eastAsia="Cambria Math" w:hAnsi="Cambria Math" w:cs="Cambria Math"/>
            <w:sz w:val="22"/>
            <w:szCs w:val="22"/>
            <w:highlight w:val="yellow"/>
          </w:rPr>
          <m:t>n</m:t>
        </m:r>
        <m:r>
          <w:rPr>
            <w:rFonts w:ascii="Cambria Math" w:eastAsia="Cambria Math" w:hAnsi="Cambria Math" w:cs="Cambria Math"/>
            <w:sz w:val="22"/>
            <w:szCs w:val="22"/>
            <w:highlight w:val="yellow"/>
          </w:rPr>
          <m:t>=</m:t>
        </m:r>
        <m:f>
          <m:fPr>
            <m:ctrlPr>
              <w:rPr>
                <w:rFonts w:ascii="Cambria Math" w:eastAsia="Cambria Math" w:hAnsi="Cambria Math" w:cs="Cambria Math"/>
                <w:sz w:val="22"/>
                <w:szCs w:val="22"/>
                <w:highlight w:val="yellow"/>
              </w:rPr>
            </m:ctrlPr>
          </m:fPr>
          <m:num>
            <m:r>
              <w:rPr>
                <w:rFonts w:ascii="Cambria Math" w:eastAsia="Cambria Math" w:hAnsi="Cambria Math" w:cs="Cambria Math"/>
                <w:sz w:val="22"/>
                <w:szCs w:val="22"/>
                <w:highlight w:val="yellow"/>
              </w:rPr>
              <m:t>N</m:t>
            </m:r>
          </m:num>
          <m:den>
            <m:r>
              <w:rPr>
                <w:rFonts w:ascii="Cambria Math" w:eastAsia="Cambria Math" w:hAnsi="Cambria Math" w:cs="Cambria Math"/>
                <w:sz w:val="22"/>
                <w:szCs w:val="22"/>
                <w:highlight w:val="yellow"/>
              </w:rPr>
              <m:t>1+</m:t>
            </m:r>
            <m:r>
              <w:rPr>
                <w:rFonts w:ascii="Cambria Math" w:eastAsia="Cambria Math" w:hAnsi="Cambria Math" w:cs="Cambria Math"/>
                <w:sz w:val="22"/>
                <w:szCs w:val="22"/>
                <w:highlight w:val="yellow"/>
              </w:rPr>
              <m:t>N</m:t>
            </m:r>
            <m:r>
              <w:rPr>
                <w:rFonts w:ascii="Cambria Math" w:eastAsia="Cambria Math" w:hAnsi="Cambria Math" w:cs="Cambria Math"/>
                <w:sz w:val="22"/>
                <w:szCs w:val="22"/>
                <w:highlight w:val="yellow"/>
              </w:rPr>
              <m:t xml:space="preserve"> (</m:t>
            </m:r>
            <m:r>
              <w:rPr>
                <w:rFonts w:ascii="Cambria Math" w:eastAsia="Cambria Math" w:hAnsi="Cambria Math" w:cs="Cambria Math"/>
                <w:sz w:val="22"/>
                <w:szCs w:val="22"/>
                <w:highlight w:val="yellow"/>
              </w:rPr>
              <m:t>e</m:t>
            </m:r>
            <m:r>
              <w:rPr>
                <w:rFonts w:ascii="Cambria Math" w:eastAsia="Cambria Math" w:hAnsi="Cambria Math" w:cs="Cambria Math"/>
                <w:sz w:val="22"/>
                <w:szCs w:val="22"/>
                <w:highlight w:val="yellow"/>
              </w:rPr>
              <m:t>)²</m:t>
            </m:r>
          </m:den>
        </m:f>
      </m:oMath>
      <w:r>
        <w:rPr>
          <w:rFonts w:ascii="Arial" w:eastAsia="Arial" w:hAnsi="Arial" w:cs="Arial"/>
          <w:sz w:val="22"/>
          <w:szCs w:val="22"/>
          <w:highlight w:val="yellow"/>
        </w:rPr>
        <w:tab/>
      </w:r>
    </w:p>
    <w:p w14:paraId="054BB0D9" w14:textId="77777777" w:rsidR="005E691D" w:rsidRDefault="005E691D">
      <w:pPr>
        <w:jc w:val="center"/>
        <w:rPr>
          <w:rFonts w:ascii="Arial" w:eastAsia="Arial" w:hAnsi="Arial" w:cs="Arial"/>
          <w:sz w:val="22"/>
          <w:szCs w:val="22"/>
          <w:highlight w:val="yellow"/>
        </w:rPr>
      </w:pPr>
    </w:p>
    <w:p w14:paraId="43CC2B4E" w14:textId="77777777" w:rsidR="005E691D" w:rsidRDefault="005E691D">
      <w:pPr>
        <w:jc w:val="center"/>
        <w:rPr>
          <w:rFonts w:ascii="Arial" w:eastAsia="Arial" w:hAnsi="Arial" w:cs="Arial"/>
          <w:sz w:val="22"/>
          <w:szCs w:val="22"/>
          <w:highlight w:val="yellow"/>
        </w:rPr>
      </w:pPr>
    </w:p>
    <w:p w14:paraId="0AA62B34" w14:textId="77777777" w:rsidR="005E691D" w:rsidRDefault="00911749">
      <w:pPr>
        <w:rPr>
          <w:rFonts w:ascii="Arial" w:eastAsia="Arial" w:hAnsi="Arial" w:cs="Arial"/>
          <w:sz w:val="22"/>
          <w:szCs w:val="22"/>
          <w:highlight w:val="yellow"/>
        </w:rPr>
      </w:pPr>
      <w:r>
        <w:rPr>
          <w:rFonts w:ascii="Arial" w:eastAsia="Arial" w:hAnsi="Arial" w:cs="Arial"/>
          <w:sz w:val="22"/>
          <w:szCs w:val="22"/>
          <w:highlight w:val="yellow"/>
        </w:rPr>
        <w:t>The estimated population of Ijebu ode local government area is 394,246 (CIA World Factbook, 2025).</w:t>
      </w:r>
    </w:p>
    <w:p w14:paraId="23D41188" w14:textId="77777777" w:rsidR="005E691D" w:rsidRDefault="00911749">
      <w:pPr>
        <w:rPr>
          <w:rFonts w:ascii="Arial" w:eastAsia="Arial" w:hAnsi="Arial" w:cs="Arial"/>
          <w:sz w:val="22"/>
          <w:szCs w:val="22"/>
          <w:highlight w:val="yellow"/>
        </w:rPr>
      </w:pPr>
      <w:r>
        <w:rPr>
          <w:rFonts w:ascii="Arial" w:eastAsia="Arial" w:hAnsi="Arial" w:cs="Arial"/>
          <w:sz w:val="22"/>
          <w:szCs w:val="22"/>
          <w:highlight w:val="yellow"/>
        </w:rPr>
        <w:t xml:space="preserve"> </w:t>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t>Therefore, N = 394,246 e = 0.08</w:t>
      </w:r>
    </w:p>
    <w:p w14:paraId="19B14542" w14:textId="77777777" w:rsidR="005E691D" w:rsidRDefault="005E691D">
      <w:pPr>
        <w:rPr>
          <w:rFonts w:ascii="Arial" w:eastAsia="Arial" w:hAnsi="Arial" w:cs="Arial"/>
          <w:sz w:val="22"/>
          <w:szCs w:val="22"/>
          <w:highlight w:val="yellow"/>
        </w:rPr>
      </w:pPr>
    </w:p>
    <w:p w14:paraId="40BAA6F4" w14:textId="77777777" w:rsidR="005E691D" w:rsidRDefault="00911749">
      <w:pPr>
        <w:jc w:val="center"/>
        <w:rPr>
          <w:rFonts w:ascii="Cambria Math" w:eastAsia="Cambria Math" w:hAnsi="Cambria Math" w:cs="Cambria Math"/>
          <w:sz w:val="22"/>
          <w:szCs w:val="22"/>
          <w:highlight w:val="yellow"/>
        </w:rPr>
      </w:pPr>
      <m:oMathPara>
        <m:oMath>
          <m:r>
            <w:rPr>
              <w:rFonts w:ascii="Cambria Math" w:eastAsia="Cambria Math" w:hAnsi="Cambria Math" w:cs="Cambria Math"/>
              <w:sz w:val="22"/>
              <w:szCs w:val="22"/>
              <w:highlight w:val="yellow"/>
            </w:rPr>
            <m:t>n</m:t>
          </m:r>
          <m:r>
            <w:rPr>
              <w:rFonts w:ascii="Cambria Math" w:eastAsia="Cambria Math" w:hAnsi="Cambria Math" w:cs="Cambria Math"/>
              <w:sz w:val="22"/>
              <w:szCs w:val="22"/>
              <w:highlight w:val="yellow"/>
            </w:rPr>
            <m:t>=</m:t>
          </m:r>
          <m:f>
            <m:fPr>
              <m:ctrlPr>
                <w:rPr>
                  <w:rFonts w:ascii="Cambria Math" w:eastAsia="Cambria Math" w:hAnsi="Cambria Math" w:cs="Cambria Math"/>
                  <w:sz w:val="22"/>
                  <w:szCs w:val="22"/>
                  <w:highlight w:val="yellow"/>
                </w:rPr>
              </m:ctrlPr>
            </m:fPr>
            <m:num>
              <m:r>
                <w:rPr>
                  <w:rFonts w:ascii="Cambria Math" w:eastAsia="Cambria Math" w:hAnsi="Cambria Math" w:cs="Cambria Math"/>
                  <w:sz w:val="22"/>
                  <w:szCs w:val="22"/>
                  <w:highlight w:val="yellow"/>
                </w:rPr>
                <m:t>394,246</m:t>
              </m:r>
            </m:num>
            <m:den>
              <m:r>
                <w:rPr>
                  <w:rFonts w:ascii="Cambria Math" w:eastAsia="Cambria Math" w:hAnsi="Cambria Math" w:cs="Cambria Math"/>
                  <w:sz w:val="22"/>
                  <w:szCs w:val="22"/>
                  <w:highlight w:val="yellow"/>
                </w:rPr>
                <m:t>1+394,246 (0.08)²</m:t>
              </m:r>
            </m:den>
          </m:f>
        </m:oMath>
      </m:oMathPara>
    </w:p>
    <w:p w14:paraId="53A3BE66" w14:textId="77777777" w:rsidR="005E691D" w:rsidRDefault="00911749">
      <w:pPr>
        <w:jc w:val="both"/>
        <w:rPr>
          <w:rFonts w:ascii="Arial" w:eastAsia="Arial" w:hAnsi="Arial" w:cs="Arial"/>
          <w:sz w:val="22"/>
          <w:szCs w:val="22"/>
          <w:highlight w:val="yellow"/>
        </w:rPr>
      </w:pP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t>= 156.2</w:t>
      </w:r>
    </w:p>
    <w:p w14:paraId="4BCC2E23" w14:textId="77777777" w:rsidR="005E691D" w:rsidRDefault="00911749">
      <w:pPr>
        <w:jc w:val="both"/>
        <w:rPr>
          <w:rFonts w:ascii="Arial" w:eastAsia="Arial" w:hAnsi="Arial" w:cs="Arial"/>
          <w:sz w:val="22"/>
          <w:szCs w:val="22"/>
        </w:rPr>
      </w:pPr>
      <w:proofErr w:type="gramStart"/>
      <w:r>
        <w:rPr>
          <w:rFonts w:ascii="Arial" w:eastAsia="Arial" w:hAnsi="Arial" w:cs="Arial"/>
          <w:sz w:val="22"/>
          <w:szCs w:val="22"/>
          <w:highlight w:val="yellow"/>
        </w:rPr>
        <w:t>For the purpose of</w:t>
      </w:r>
      <w:proofErr w:type="gramEnd"/>
      <w:r>
        <w:rPr>
          <w:rFonts w:ascii="Arial" w:eastAsia="Arial" w:hAnsi="Arial" w:cs="Arial"/>
          <w:sz w:val="22"/>
          <w:szCs w:val="22"/>
          <w:highlight w:val="yellow"/>
        </w:rPr>
        <w:t xml:space="preserve"> the study 10% attrition was added and the final sample size was deduced to be 200 (100 males and 100 females)</w:t>
      </w:r>
    </w:p>
    <w:p w14:paraId="7312E1CF" w14:textId="77777777" w:rsidR="005E691D" w:rsidRDefault="00911749">
      <w:pPr>
        <w:numPr>
          <w:ilvl w:val="1"/>
          <w:numId w:val="1"/>
        </w:num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lastRenderedPageBreak/>
        <w:t>Instruments</w:t>
      </w:r>
    </w:p>
    <w:p w14:paraId="366DAE06"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Anthropometric parameters of the foot were taken; foot length was taken from the tip of the longest toe to the farthest point at the back of the heel using a calibrated ruler or measuring tape, and foot width was measured at the widest point of the foot using vernier calipers. Overall foot shape was characterized based on foot scans and visual inspections.</w:t>
      </w:r>
    </w:p>
    <w:p w14:paraId="28B9DE58"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Instruments used included: Value line Digital Vernier caliper, non-stretchable measuring tape, a Canon 12.1 megapixels, PowerShot SD960 IS</w:t>
      </w:r>
      <w:r>
        <w:rPr>
          <w:rFonts w:ascii="Arial" w:eastAsia="Arial" w:hAnsi="Arial" w:cs="Arial"/>
          <w:b/>
          <w:color w:val="000000"/>
        </w:rPr>
        <w:t xml:space="preserve"> </w:t>
      </w:r>
      <w:r>
        <w:rPr>
          <w:rFonts w:ascii="Arial" w:eastAsia="Arial" w:hAnsi="Arial" w:cs="Arial"/>
          <w:color w:val="000000"/>
        </w:rPr>
        <w:t xml:space="preserve">digital camera (Tokyo, Japan) was used to take pictures, Hewlett-Packard Scanjet G3110 Flatbed Scanner (Palo Alto, Cali., USA) was used to scan the various feet. The tools were calibrated using ISO standards and measurements were also taken twice. A questionnaire was used to determine inclusion criteria for the research.                  </w:t>
      </w:r>
      <w:r>
        <w:rPr>
          <w:rFonts w:ascii="Arial" w:eastAsia="Arial" w:hAnsi="Arial" w:cs="Arial"/>
          <w:color w:val="000000"/>
        </w:rPr>
        <w:tab/>
        <w:t xml:space="preserve"> </w:t>
      </w:r>
    </w:p>
    <w:p w14:paraId="7D93985A"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questionnaire was used to collect details of subjects including their ancestral origin, and then subjects were asked to sit upright on a chair thereby reducing weight on the foot, each subject’s foot was gently placed on the scanner and scanned, and their respective shapes were recorded. All measurements are recorded in </w:t>
      </w:r>
      <w:r>
        <w:rPr>
          <w:rFonts w:ascii="Arial" w:eastAsia="Arial" w:hAnsi="Arial" w:cs="Arial"/>
        </w:rPr>
        <w:t>an anthropometric</w:t>
      </w:r>
      <w:r>
        <w:rPr>
          <w:rFonts w:ascii="Arial" w:eastAsia="Arial" w:hAnsi="Arial" w:cs="Arial"/>
          <w:color w:val="000000"/>
        </w:rPr>
        <w:t xml:space="preserve"> standardized data collection sheet to ensure accuracy and consistency. </w:t>
      </w:r>
    </w:p>
    <w:p w14:paraId="2248B25A" w14:textId="77777777" w:rsidR="005E691D" w:rsidRDefault="00911749">
      <w:pPr>
        <w:numPr>
          <w:ilvl w:val="1"/>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Statistical Analysis</w:t>
      </w:r>
    </w:p>
    <w:p w14:paraId="59EEF1B3"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data analysis in this study employed statistical methods that examined the accurate evaluation of foot measurements, determined the distribution of foot shapes, and explored the relationships between foot dimensions. The Kolmogorov-Smirnov Test for Normality was conducted to determine the normal distribution of foot width and foot length</w:t>
      </w:r>
      <w:r>
        <w:rPr>
          <w:rFonts w:ascii="Arial" w:eastAsia="Arial" w:hAnsi="Arial" w:cs="Arial"/>
        </w:rPr>
        <w:t>; this</w:t>
      </w:r>
      <w:r>
        <w:rPr>
          <w:rFonts w:ascii="Arial" w:eastAsia="Arial" w:hAnsi="Arial" w:cs="Arial"/>
          <w:color w:val="000000"/>
        </w:rPr>
        <w:t xml:space="preserve"> test compares the observed distribution of data to an expected normal distribution. Measure of central tendencies and variability in foot measurements for both males and females was done offering insights into the typical foot dimensions within the population. Pearson’s correlation coefficient was used to examine the relationship between the right and left foot widths for both males and females. The chi-square test was employed to examine the distribution of foot shapes among males and females, asses</w:t>
      </w:r>
      <w:r>
        <w:rPr>
          <w:rFonts w:ascii="Arial" w:eastAsia="Arial" w:hAnsi="Arial" w:cs="Arial"/>
          <w:color w:val="000000"/>
        </w:rPr>
        <w:t>sing whether there was a significant association between gender and foot shape type.</w:t>
      </w:r>
    </w:p>
    <w:p w14:paraId="3EBB330C" w14:textId="77777777" w:rsidR="005E691D" w:rsidRDefault="005E691D">
      <w:pPr>
        <w:pBdr>
          <w:top w:val="nil"/>
          <w:left w:val="nil"/>
          <w:bottom w:val="nil"/>
          <w:right w:val="nil"/>
          <w:between w:val="nil"/>
        </w:pBdr>
        <w:jc w:val="both"/>
        <w:rPr>
          <w:rFonts w:ascii="Arial" w:eastAsia="Arial" w:hAnsi="Arial" w:cs="Arial"/>
          <w:color w:val="000000"/>
        </w:rPr>
      </w:pPr>
    </w:p>
    <w:p w14:paraId="2EA23717" w14:textId="77777777" w:rsidR="005E691D" w:rsidRDefault="005E691D">
      <w:pPr>
        <w:pBdr>
          <w:top w:val="nil"/>
          <w:left w:val="nil"/>
          <w:bottom w:val="nil"/>
          <w:right w:val="nil"/>
          <w:between w:val="nil"/>
        </w:pBdr>
        <w:jc w:val="both"/>
        <w:rPr>
          <w:rFonts w:ascii="Arial" w:eastAsia="Arial" w:hAnsi="Arial" w:cs="Arial"/>
          <w:color w:val="000000"/>
        </w:rPr>
      </w:pPr>
    </w:p>
    <w:p w14:paraId="20283E21"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2E44A7C"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4B0A505C" w14:textId="77777777" w:rsidR="005E691D" w:rsidRDefault="00911749">
      <w:pPr>
        <w:numPr>
          <w:ilvl w:val="1"/>
          <w:numId w:val="2"/>
        </w:numPr>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color w:val="000000"/>
          <w:sz w:val="22"/>
          <w:szCs w:val="22"/>
        </w:rPr>
        <w:t>Results</w:t>
      </w:r>
    </w:p>
    <w:p w14:paraId="65B9C70A"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provide insights into the prevalent foot shapes, their distributions, and the correlations between foot length and width. The results of this study are presented in the tables below.</w:t>
      </w:r>
    </w:p>
    <w:p w14:paraId="2315C0DF"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1 shows the Kolmogorov-Smirnov normality test (before transformation). This table ensures the validity of the statistical analyses by ensuring data is normally distributed before transformation. The data is accepted to be normally distributed if the significant value is greater than the chosen level of significance which is 95%.</w:t>
      </w:r>
    </w:p>
    <w:p w14:paraId="1494F69E" w14:textId="77777777" w:rsidR="005E691D" w:rsidRDefault="00911749">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b/>
          <w:color w:val="000000"/>
          <w:highlight w:val="yellow"/>
        </w:rPr>
        <w:t>Table 1:</w:t>
      </w:r>
      <w:r>
        <w:rPr>
          <w:rFonts w:ascii="Arial" w:eastAsia="Arial" w:hAnsi="Arial" w:cs="Arial"/>
          <w:color w:val="000000"/>
          <w:highlight w:val="yellow"/>
        </w:rPr>
        <w:t xml:space="preserve"> Shows Kolmogorov-Smirnov Normality Test (before transformation)</w:t>
      </w:r>
    </w:p>
    <w:tbl>
      <w:tblPr>
        <w:tblStyle w:val="a0"/>
        <w:tblW w:w="8426" w:type="dxa"/>
        <w:tblInd w:w="459" w:type="dxa"/>
        <w:tblBorders>
          <w:top w:val="single" w:sz="4" w:space="0" w:color="000000"/>
          <w:bottom w:val="single" w:sz="4" w:space="0" w:color="000000"/>
        </w:tblBorders>
        <w:tblLayout w:type="fixed"/>
        <w:tblLook w:val="04A0" w:firstRow="1" w:lastRow="0" w:firstColumn="1" w:lastColumn="0" w:noHBand="0" w:noVBand="1"/>
      </w:tblPr>
      <w:tblGrid>
        <w:gridCol w:w="2725"/>
        <w:gridCol w:w="1454"/>
        <w:gridCol w:w="2113"/>
        <w:gridCol w:w="2134"/>
      </w:tblGrid>
      <w:tr w:rsidR="005E691D" w14:paraId="6DEB1D54" w14:textId="77777777" w:rsidTr="005E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vMerge w:val="restart"/>
            <w:tcBorders>
              <w:top w:val="single" w:sz="4" w:space="0" w:color="000000"/>
              <w:left w:val="nil"/>
              <w:right w:val="nil"/>
            </w:tcBorders>
          </w:tcPr>
          <w:p w14:paraId="31C5C971" w14:textId="77777777" w:rsidR="005E691D" w:rsidRDefault="005E691D">
            <w:pPr>
              <w:pBdr>
                <w:top w:val="nil"/>
                <w:left w:val="nil"/>
                <w:bottom w:val="nil"/>
                <w:right w:val="nil"/>
                <w:between w:val="nil"/>
              </w:pBdr>
              <w:spacing w:after="240" w:line="480" w:lineRule="auto"/>
              <w:jc w:val="both"/>
              <w:rPr>
                <w:rFonts w:ascii="Arial" w:eastAsia="Arial" w:hAnsi="Arial" w:cs="Arial"/>
                <w:highlight w:val="yellow"/>
              </w:rPr>
            </w:pPr>
          </w:p>
        </w:tc>
        <w:tc>
          <w:tcPr>
            <w:tcW w:w="5701" w:type="dxa"/>
            <w:gridSpan w:val="3"/>
            <w:tcBorders>
              <w:top w:val="single" w:sz="4" w:space="0" w:color="000000"/>
              <w:left w:val="nil"/>
              <w:right w:val="nil"/>
            </w:tcBorders>
          </w:tcPr>
          <w:p w14:paraId="0BCDB6D1"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highlight w:val="yellow"/>
              </w:rPr>
            </w:pPr>
            <w:proofErr w:type="spellStart"/>
            <w:r>
              <w:rPr>
                <w:rFonts w:ascii="Arial" w:eastAsia="Arial" w:hAnsi="Arial" w:cs="Arial"/>
                <w:b w:val="0"/>
                <w:highlight w:val="yellow"/>
              </w:rPr>
              <w:t>Kolmogorv</w:t>
            </w:r>
            <w:proofErr w:type="spellEnd"/>
            <w:r>
              <w:rPr>
                <w:rFonts w:ascii="Arial" w:eastAsia="Arial" w:hAnsi="Arial" w:cs="Arial"/>
                <w:b w:val="0"/>
                <w:highlight w:val="yellow"/>
              </w:rPr>
              <w:t>-Smirnov</w:t>
            </w:r>
          </w:p>
        </w:tc>
      </w:tr>
      <w:tr w:rsidR="005E691D" w14:paraId="0E44EE09"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vMerge/>
            <w:tcBorders>
              <w:top w:val="single" w:sz="4" w:space="0" w:color="000000"/>
              <w:left w:val="nil"/>
              <w:bottom w:val="single" w:sz="4" w:space="0" w:color="000000"/>
              <w:right w:val="nil"/>
            </w:tcBorders>
          </w:tcPr>
          <w:p w14:paraId="6FD12290" w14:textId="77777777" w:rsidR="005E691D" w:rsidRDefault="005E691D">
            <w:pPr>
              <w:widowControl w:val="0"/>
              <w:pBdr>
                <w:top w:val="nil"/>
                <w:left w:val="nil"/>
                <w:bottom w:val="nil"/>
                <w:right w:val="nil"/>
                <w:between w:val="nil"/>
              </w:pBdr>
              <w:spacing w:line="276" w:lineRule="auto"/>
              <w:rPr>
                <w:rFonts w:ascii="Arial" w:eastAsia="Arial" w:hAnsi="Arial" w:cs="Arial"/>
                <w:highlight w:val="yellow"/>
              </w:rPr>
            </w:pPr>
          </w:p>
        </w:tc>
        <w:tc>
          <w:tcPr>
            <w:tcW w:w="1454" w:type="dxa"/>
            <w:tcBorders>
              <w:top w:val="nil"/>
              <w:left w:val="nil"/>
              <w:bottom w:val="single" w:sz="4" w:space="0" w:color="000000"/>
              <w:right w:val="nil"/>
            </w:tcBorders>
          </w:tcPr>
          <w:p w14:paraId="4527E2A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Statistic</w:t>
            </w:r>
          </w:p>
        </w:tc>
        <w:tc>
          <w:tcPr>
            <w:tcW w:w="2113" w:type="dxa"/>
            <w:tcBorders>
              <w:top w:val="nil"/>
              <w:left w:val="nil"/>
              <w:bottom w:val="single" w:sz="4" w:space="0" w:color="000000"/>
              <w:right w:val="nil"/>
            </w:tcBorders>
          </w:tcPr>
          <w:p w14:paraId="262FE423"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Difference</w:t>
            </w:r>
          </w:p>
        </w:tc>
        <w:tc>
          <w:tcPr>
            <w:tcW w:w="2134" w:type="dxa"/>
            <w:tcBorders>
              <w:top w:val="nil"/>
              <w:left w:val="nil"/>
              <w:bottom w:val="single" w:sz="4" w:space="0" w:color="000000"/>
              <w:right w:val="nil"/>
            </w:tcBorders>
          </w:tcPr>
          <w:p w14:paraId="164FCBA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Significance</w:t>
            </w:r>
          </w:p>
        </w:tc>
      </w:tr>
      <w:tr w:rsidR="005E691D" w14:paraId="4704FE4E" w14:textId="77777777" w:rsidTr="005E691D">
        <w:tc>
          <w:tcPr>
            <w:cnfStyle w:val="001000000000" w:firstRow="0" w:lastRow="0" w:firstColumn="1" w:lastColumn="0" w:oddVBand="0" w:evenVBand="0" w:oddHBand="0" w:evenHBand="0" w:firstRowFirstColumn="0" w:firstRowLastColumn="0" w:lastRowFirstColumn="0" w:lastRowLastColumn="0"/>
            <w:tcW w:w="2725" w:type="dxa"/>
            <w:tcBorders>
              <w:top w:val="single" w:sz="4" w:space="0" w:color="000000"/>
              <w:left w:val="nil"/>
              <w:bottom w:val="nil"/>
              <w:right w:val="nil"/>
            </w:tcBorders>
          </w:tcPr>
          <w:p w14:paraId="056C885E"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Right FW Males </w:t>
            </w:r>
          </w:p>
        </w:tc>
        <w:tc>
          <w:tcPr>
            <w:tcW w:w="1454" w:type="dxa"/>
            <w:tcBorders>
              <w:top w:val="single" w:sz="4" w:space="0" w:color="000000"/>
              <w:left w:val="nil"/>
              <w:bottom w:val="nil"/>
              <w:right w:val="nil"/>
            </w:tcBorders>
          </w:tcPr>
          <w:p w14:paraId="2FB8415C"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.046</w:t>
            </w:r>
          </w:p>
        </w:tc>
        <w:tc>
          <w:tcPr>
            <w:tcW w:w="2113" w:type="dxa"/>
            <w:tcBorders>
              <w:top w:val="single" w:sz="4" w:space="0" w:color="000000"/>
              <w:left w:val="nil"/>
              <w:bottom w:val="nil"/>
              <w:right w:val="nil"/>
            </w:tcBorders>
          </w:tcPr>
          <w:p w14:paraId="4AB03DA3"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single" w:sz="4" w:space="0" w:color="000000"/>
              <w:left w:val="nil"/>
              <w:bottom w:val="nil"/>
              <w:right w:val="nil"/>
            </w:tcBorders>
          </w:tcPr>
          <w:p w14:paraId="66398089"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.083</w:t>
            </w:r>
          </w:p>
        </w:tc>
      </w:tr>
      <w:tr w:rsidR="005E691D" w14:paraId="77957B97"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259CDDD0"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Left FW Males </w:t>
            </w:r>
          </w:p>
        </w:tc>
        <w:tc>
          <w:tcPr>
            <w:tcW w:w="1454" w:type="dxa"/>
            <w:tcBorders>
              <w:top w:val="nil"/>
              <w:left w:val="nil"/>
              <w:bottom w:val="nil"/>
              <w:right w:val="nil"/>
            </w:tcBorders>
          </w:tcPr>
          <w:p w14:paraId="0DF6487C"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.058</w:t>
            </w:r>
          </w:p>
        </w:tc>
        <w:tc>
          <w:tcPr>
            <w:tcW w:w="2113" w:type="dxa"/>
            <w:tcBorders>
              <w:top w:val="nil"/>
              <w:left w:val="nil"/>
              <w:bottom w:val="nil"/>
              <w:right w:val="nil"/>
            </w:tcBorders>
          </w:tcPr>
          <w:p w14:paraId="3C47814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1E387963"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.063</w:t>
            </w:r>
          </w:p>
        </w:tc>
      </w:tr>
      <w:tr w:rsidR="005E691D" w14:paraId="3E3D1140" w14:textId="77777777" w:rsidTr="005E691D">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3CB34BA3"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Right FL Males </w:t>
            </w:r>
          </w:p>
        </w:tc>
        <w:tc>
          <w:tcPr>
            <w:tcW w:w="1454" w:type="dxa"/>
            <w:tcBorders>
              <w:top w:val="nil"/>
              <w:left w:val="nil"/>
              <w:bottom w:val="nil"/>
              <w:right w:val="nil"/>
            </w:tcBorders>
          </w:tcPr>
          <w:p w14:paraId="456988C0"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.065</w:t>
            </w:r>
          </w:p>
        </w:tc>
        <w:tc>
          <w:tcPr>
            <w:tcW w:w="2113" w:type="dxa"/>
            <w:tcBorders>
              <w:top w:val="nil"/>
              <w:left w:val="nil"/>
              <w:bottom w:val="nil"/>
              <w:right w:val="nil"/>
            </w:tcBorders>
          </w:tcPr>
          <w:p w14:paraId="7CB01419"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0A0007EF"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.45</w:t>
            </w:r>
          </w:p>
        </w:tc>
      </w:tr>
      <w:tr w:rsidR="005E691D" w14:paraId="20D876DC"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47CB8B48"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Left FL Males</w:t>
            </w:r>
          </w:p>
        </w:tc>
        <w:tc>
          <w:tcPr>
            <w:tcW w:w="1454" w:type="dxa"/>
            <w:tcBorders>
              <w:top w:val="nil"/>
              <w:left w:val="nil"/>
              <w:bottom w:val="nil"/>
              <w:right w:val="nil"/>
            </w:tcBorders>
          </w:tcPr>
          <w:p w14:paraId="66AB2A7C"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.039</w:t>
            </w:r>
          </w:p>
        </w:tc>
        <w:tc>
          <w:tcPr>
            <w:tcW w:w="2113" w:type="dxa"/>
            <w:tcBorders>
              <w:top w:val="nil"/>
              <w:left w:val="nil"/>
              <w:bottom w:val="nil"/>
              <w:right w:val="nil"/>
            </w:tcBorders>
          </w:tcPr>
          <w:p w14:paraId="4F89D560"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75CBA72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.93</w:t>
            </w:r>
          </w:p>
        </w:tc>
      </w:tr>
      <w:tr w:rsidR="005E691D" w14:paraId="7523B293" w14:textId="77777777" w:rsidTr="005E691D">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2B549AC8"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lastRenderedPageBreak/>
              <w:t>Right FW Females</w:t>
            </w:r>
          </w:p>
        </w:tc>
        <w:tc>
          <w:tcPr>
            <w:tcW w:w="1454" w:type="dxa"/>
            <w:tcBorders>
              <w:top w:val="nil"/>
              <w:left w:val="nil"/>
              <w:bottom w:val="nil"/>
              <w:right w:val="nil"/>
            </w:tcBorders>
          </w:tcPr>
          <w:p w14:paraId="67C2C1B9"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.052</w:t>
            </w:r>
          </w:p>
        </w:tc>
        <w:tc>
          <w:tcPr>
            <w:tcW w:w="2113" w:type="dxa"/>
            <w:tcBorders>
              <w:top w:val="nil"/>
              <w:left w:val="nil"/>
              <w:bottom w:val="nil"/>
              <w:right w:val="nil"/>
            </w:tcBorders>
          </w:tcPr>
          <w:p w14:paraId="358EB29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3E6649A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.73</w:t>
            </w:r>
          </w:p>
        </w:tc>
      </w:tr>
      <w:tr w:rsidR="005E691D" w14:paraId="25EC5413"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7586B2BA"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Left FW females </w:t>
            </w:r>
          </w:p>
        </w:tc>
        <w:tc>
          <w:tcPr>
            <w:tcW w:w="1454" w:type="dxa"/>
            <w:tcBorders>
              <w:top w:val="nil"/>
              <w:left w:val="nil"/>
              <w:bottom w:val="nil"/>
              <w:right w:val="nil"/>
            </w:tcBorders>
          </w:tcPr>
          <w:p w14:paraId="4B83773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.061</w:t>
            </w:r>
          </w:p>
        </w:tc>
        <w:tc>
          <w:tcPr>
            <w:tcW w:w="2113" w:type="dxa"/>
            <w:tcBorders>
              <w:top w:val="nil"/>
              <w:left w:val="nil"/>
              <w:bottom w:val="nil"/>
              <w:right w:val="nil"/>
            </w:tcBorders>
          </w:tcPr>
          <w:p w14:paraId="0D8062C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11593253"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.56</w:t>
            </w:r>
          </w:p>
        </w:tc>
      </w:tr>
      <w:tr w:rsidR="005E691D" w14:paraId="6730F2E6" w14:textId="77777777" w:rsidTr="005E691D">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nil"/>
              <w:right w:val="nil"/>
            </w:tcBorders>
          </w:tcPr>
          <w:p w14:paraId="76622009"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Right FL females </w:t>
            </w:r>
          </w:p>
        </w:tc>
        <w:tc>
          <w:tcPr>
            <w:tcW w:w="1454" w:type="dxa"/>
            <w:tcBorders>
              <w:top w:val="nil"/>
              <w:left w:val="nil"/>
              <w:bottom w:val="nil"/>
              <w:right w:val="nil"/>
            </w:tcBorders>
          </w:tcPr>
          <w:p w14:paraId="2D73EFE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.044</w:t>
            </w:r>
          </w:p>
        </w:tc>
        <w:tc>
          <w:tcPr>
            <w:tcW w:w="2113" w:type="dxa"/>
            <w:tcBorders>
              <w:top w:val="nil"/>
              <w:left w:val="nil"/>
              <w:bottom w:val="nil"/>
              <w:right w:val="nil"/>
            </w:tcBorders>
          </w:tcPr>
          <w:p w14:paraId="53C6794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nil"/>
              <w:right w:val="nil"/>
            </w:tcBorders>
          </w:tcPr>
          <w:p w14:paraId="0026AFBF"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.87</w:t>
            </w:r>
          </w:p>
        </w:tc>
      </w:tr>
      <w:tr w:rsidR="005E691D" w14:paraId="5662AF41"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Borders>
              <w:top w:val="nil"/>
              <w:left w:val="nil"/>
              <w:bottom w:val="single" w:sz="4" w:space="0" w:color="000000"/>
              <w:right w:val="nil"/>
            </w:tcBorders>
          </w:tcPr>
          <w:p w14:paraId="5BE34A74" w14:textId="77777777" w:rsidR="005E691D" w:rsidRDefault="00911749">
            <w:pPr>
              <w:pBdr>
                <w:top w:val="nil"/>
                <w:left w:val="nil"/>
                <w:bottom w:val="nil"/>
                <w:right w:val="nil"/>
                <w:between w:val="nil"/>
              </w:pBdr>
              <w:spacing w:after="240" w:line="480" w:lineRule="auto"/>
              <w:jc w:val="both"/>
              <w:rPr>
                <w:rFonts w:ascii="Arial" w:eastAsia="Arial" w:hAnsi="Arial" w:cs="Arial"/>
                <w:highlight w:val="yellow"/>
              </w:rPr>
            </w:pPr>
            <w:r>
              <w:rPr>
                <w:rFonts w:ascii="Arial" w:eastAsia="Arial" w:hAnsi="Arial" w:cs="Arial"/>
                <w:b w:val="0"/>
                <w:highlight w:val="yellow"/>
              </w:rPr>
              <w:t xml:space="preserve">Left FL females </w:t>
            </w:r>
          </w:p>
        </w:tc>
        <w:tc>
          <w:tcPr>
            <w:tcW w:w="1454" w:type="dxa"/>
            <w:tcBorders>
              <w:top w:val="nil"/>
              <w:left w:val="nil"/>
              <w:bottom w:val="single" w:sz="4" w:space="0" w:color="000000"/>
              <w:right w:val="nil"/>
            </w:tcBorders>
          </w:tcPr>
          <w:p w14:paraId="39AC37C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.055</w:t>
            </w:r>
          </w:p>
        </w:tc>
        <w:tc>
          <w:tcPr>
            <w:tcW w:w="2113" w:type="dxa"/>
            <w:tcBorders>
              <w:top w:val="nil"/>
              <w:left w:val="nil"/>
              <w:bottom w:val="single" w:sz="4" w:space="0" w:color="000000"/>
              <w:right w:val="nil"/>
            </w:tcBorders>
          </w:tcPr>
          <w:p w14:paraId="1EE3CB5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99</w:t>
            </w:r>
          </w:p>
        </w:tc>
        <w:tc>
          <w:tcPr>
            <w:tcW w:w="2134" w:type="dxa"/>
            <w:tcBorders>
              <w:top w:val="nil"/>
              <w:left w:val="nil"/>
              <w:bottom w:val="single" w:sz="4" w:space="0" w:color="000000"/>
              <w:right w:val="nil"/>
            </w:tcBorders>
          </w:tcPr>
          <w:p w14:paraId="23FDB05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highlight w:val="yellow"/>
              </w:rPr>
              <w:t>.068</w:t>
            </w:r>
          </w:p>
        </w:tc>
      </w:tr>
    </w:tbl>
    <w:p w14:paraId="22EA2C8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highlight w:val="yellow"/>
          <w:vertAlign w:val="superscript"/>
        </w:rPr>
        <w:t>*FW= foot width, FL = foot length</w:t>
      </w:r>
    </w:p>
    <w:p w14:paraId="0CBBF232"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21471AE5"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3FDF758B"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2 shows the Initial Kolmogorov-Smirnov Normality Test (After transformation) From the result obtained from Table 2; all the P-values obtained were less than 0.05.</w:t>
      </w:r>
    </w:p>
    <w:p w14:paraId="7AAD31BB"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highlight w:val="yellow"/>
        </w:rPr>
      </w:pPr>
      <w:r>
        <w:rPr>
          <w:rFonts w:ascii="Arial" w:eastAsia="Arial" w:hAnsi="Arial" w:cs="Arial"/>
          <w:b/>
          <w:color w:val="000000"/>
          <w:highlight w:val="yellow"/>
        </w:rPr>
        <w:t xml:space="preserve">Table 2: </w:t>
      </w:r>
      <w:r>
        <w:rPr>
          <w:rFonts w:ascii="Arial" w:eastAsia="Arial" w:hAnsi="Arial" w:cs="Arial"/>
          <w:color w:val="000000"/>
          <w:highlight w:val="yellow"/>
        </w:rPr>
        <w:t>Shows Initial Kolmogorov-Smirnov Normality Test (after transformation)</w:t>
      </w:r>
    </w:p>
    <w:tbl>
      <w:tblPr>
        <w:tblStyle w:val="a1"/>
        <w:tblW w:w="8424" w:type="dxa"/>
        <w:tblBorders>
          <w:top w:val="nil"/>
          <w:left w:val="nil"/>
          <w:bottom w:val="nil"/>
          <w:right w:val="nil"/>
          <w:insideH w:val="nil"/>
          <w:insideV w:val="nil"/>
        </w:tblBorders>
        <w:tblLayout w:type="fixed"/>
        <w:tblLook w:val="0400" w:firstRow="0" w:lastRow="0" w:firstColumn="0" w:lastColumn="0" w:noHBand="0" w:noVBand="1"/>
      </w:tblPr>
      <w:tblGrid>
        <w:gridCol w:w="2106"/>
        <w:gridCol w:w="2106"/>
        <w:gridCol w:w="2106"/>
        <w:gridCol w:w="2106"/>
      </w:tblGrid>
      <w:tr w:rsidR="005E691D" w14:paraId="4BB8720C" w14:textId="77777777">
        <w:tc>
          <w:tcPr>
            <w:tcW w:w="8424" w:type="dxa"/>
            <w:gridSpan w:val="4"/>
            <w:tcBorders>
              <w:top w:val="single" w:sz="4" w:space="0" w:color="000000"/>
              <w:bottom w:val="single" w:sz="4" w:space="0" w:color="000000"/>
            </w:tcBorders>
          </w:tcPr>
          <w:p w14:paraId="6159C3C6" w14:textId="77777777" w:rsidR="005E691D" w:rsidRDefault="00911749">
            <w:pPr>
              <w:pBdr>
                <w:top w:val="nil"/>
                <w:left w:val="nil"/>
                <w:bottom w:val="nil"/>
                <w:right w:val="nil"/>
                <w:between w:val="nil"/>
              </w:pBdr>
              <w:spacing w:after="240" w:line="480" w:lineRule="auto"/>
              <w:jc w:val="center"/>
              <w:rPr>
                <w:rFonts w:ascii="Arial" w:eastAsia="Arial" w:hAnsi="Arial" w:cs="Arial"/>
                <w:b/>
                <w:color w:val="000000"/>
                <w:sz w:val="20"/>
                <w:szCs w:val="20"/>
                <w:highlight w:val="yellow"/>
              </w:rPr>
            </w:pPr>
            <w:proofErr w:type="spellStart"/>
            <w:r>
              <w:rPr>
                <w:rFonts w:ascii="Arial" w:eastAsia="Arial" w:hAnsi="Arial" w:cs="Arial"/>
                <w:b/>
                <w:color w:val="000000"/>
                <w:sz w:val="20"/>
                <w:szCs w:val="20"/>
                <w:highlight w:val="yellow"/>
              </w:rPr>
              <w:t>Kolmogorv</w:t>
            </w:r>
            <w:proofErr w:type="spellEnd"/>
            <w:r>
              <w:rPr>
                <w:rFonts w:ascii="Arial" w:eastAsia="Arial" w:hAnsi="Arial" w:cs="Arial"/>
                <w:b/>
                <w:color w:val="000000"/>
                <w:sz w:val="20"/>
                <w:szCs w:val="20"/>
                <w:highlight w:val="yellow"/>
              </w:rPr>
              <w:t>-Smirnov</w:t>
            </w:r>
          </w:p>
        </w:tc>
      </w:tr>
      <w:tr w:rsidR="005E691D" w14:paraId="2DC926B4" w14:textId="77777777">
        <w:tc>
          <w:tcPr>
            <w:tcW w:w="2106" w:type="dxa"/>
            <w:tcBorders>
              <w:top w:val="single" w:sz="4" w:space="0" w:color="000000"/>
              <w:bottom w:val="single" w:sz="4" w:space="0" w:color="000000"/>
            </w:tcBorders>
          </w:tcPr>
          <w:p w14:paraId="7DFC1E82" w14:textId="77777777" w:rsidR="005E691D" w:rsidRDefault="005E691D">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p>
        </w:tc>
        <w:tc>
          <w:tcPr>
            <w:tcW w:w="2106" w:type="dxa"/>
            <w:tcBorders>
              <w:top w:val="single" w:sz="4" w:space="0" w:color="000000"/>
              <w:bottom w:val="single" w:sz="4" w:space="0" w:color="000000"/>
            </w:tcBorders>
          </w:tcPr>
          <w:p w14:paraId="4C2B4D7F"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Statistic</w:t>
            </w:r>
          </w:p>
        </w:tc>
        <w:tc>
          <w:tcPr>
            <w:tcW w:w="2106" w:type="dxa"/>
            <w:tcBorders>
              <w:top w:val="single" w:sz="4" w:space="0" w:color="000000"/>
              <w:bottom w:val="single" w:sz="4" w:space="0" w:color="000000"/>
            </w:tcBorders>
          </w:tcPr>
          <w:p w14:paraId="3448ED1C"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Difference</w:t>
            </w:r>
          </w:p>
        </w:tc>
        <w:tc>
          <w:tcPr>
            <w:tcW w:w="2106" w:type="dxa"/>
            <w:tcBorders>
              <w:top w:val="single" w:sz="4" w:space="0" w:color="000000"/>
              <w:bottom w:val="single" w:sz="4" w:space="0" w:color="000000"/>
            </w:tcBorders>
          </w:tcPr>
          <w:p w14:paraId="6CBD1B31"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Significance</w:t>
            </w:r>
          </w:p>
        </w:tc>
      </w:tr>
      <w:tr w:rsidR="005E691D" w14:paraId="21EF98AD" w14:textId="77777777">
        <w:tc>
          <w:tcPr>
            <w:tcW w:w="2106" w:type="dxa"/>
            <w:tcBorders>
              <w:top w:val="single" w:sz="4" w:space="0" w:color="000000"/>
            </w:tcBorders>
          </w:tcPr>
          <w:p w14:paraId="18DEA3A1"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Right FW Males (mm)</w:t>
            </w:r>
          </w:p>
        </w:tc>
        <w:tc>
          <w:tcPr>
            <w:tcW w:w="2106" w:type="dxa"/>
            <w:tcBorders>
              <w:top w:val="single" w:sz="4" w:space="0" w:color="000000"/>
            </w:tcBorders>
          </w:tcPr>
          <w:p w14:paraId="303821F8"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.110</w:t>
            </w:r>
          </w:p>
        </w:tc>
        <w:tc>
          <w:tcPr>
            <w:tcW w:w="2106" w:type="dxa"/>
            <w:tcBorders>
              <w:top w:val="single" w:sz="4" w:space="0" w:color="000000"/>
            </w:tcBorders>
          </w:tcPr>
          <w:p w14:paraId="747BEFB2"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Borders>
              <w:top w:val="single" w:sz="4" w:space="0" w:color="000000"/>
            </w:tcBorders>
          </w:tcPr>
          <w:p w14:paraId="51A7803E"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.005</w:t>
            </w:r>
          </w:p>
        </w:tc>
      </w:tr>
      <w:tr w:rsidR="005E691D" w14:paraId="69170F96" w14:textId="77777777">
        <w:tc>
          <w:tcPr>
            <w:tcW w:w="2106" w:type="dxa"/>
          </w:tcPr>
          <w:p w14:paraId="7FC0E9A1"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Left FW Males (mm)</w:t>
            </w:r>
          </w:p>
        </w:tc>
        <w:tc>
          <w:tcPr>
            <w:tcW w:w="2106" w:type="dxa"/>
          </w:tcPr>
          <w:p w14:paraId="26CFBBF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.099</w:t>
            </w:r>
          </w:p>
        </w:tc>
        <w:tc>
          <w:tcPr>
            <w:tcW w:w="2106" w:type="dxa"/>
          </w:tcPr>
          <w:p w14:paraId="0A6A39D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283A8BEF"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.017</w:t>
            </w:r>
          </w:p>
        </w:tc>
      </w:tr>
      <w:tr w:rsidR="005E691D" w14:paraId="3AEF6BF2" w14:textId="77777777">
        <w:tc>
          <w:tcPr>
            <w:tcW w:w="2106" w:type="dxa"/>
          </w:tcPr>
          <w:p w14:paraId="34BDDD70"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Right FL Males (cm)</w:t>
            </w:r>
          </w:p>
        </w:tc>
        <w:tc>
          <w:tcPr>
            <w:tcW w:w="2106" w:type="dxa"/>
          </w:tcPr>
          <w:p w14:paraId="72E4D366"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.0068</w:t>
            </w:r>
          </w:p>
        </w:tc>
        <w:tc>
          <w:tcPr>
            <w:tcW w:w="2106" w:type="dxa"/>
          </w:tcPr>
          <w:p w14:paraId="4F8ED55B"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359BF41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.0200</w:t>
            </w:r>
          </w:p>
        </w:tc>
      </w:tr>
      <w:tr w:rsidR="005E691D" w14:paraId="6CD2C16C" w14:textId="77777777">
        <w:tc>
          <w:tcPr>
            <w:tcW w:w="2106" w:type="dxa"/>
          </w:tcPr>
          <w:p w14:paraId="0E0D0419"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Left FL Males (cm)</w:t>
            </w:r>
          </w:p>
        </w:tc>
        <w:tc>
          <w:tcPr>
            <w:tcW w:w="2106" w:type="dxa"/>
          </w:tcPr>
          <w:p w14:paraId="2462FD1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.086</w:t>
            </w:r>
          </w:p>
        </w:tc>
        <w:tc>
          <w:tcPr>
            <w:tcW w:w="2106" w:type="dxa"/>
          </w:tcPr>
          <w:p w14:paraId="049506B3"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642EA73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.0067</w:t>
            </w:r>
          </w:p>
        </w:tc>
      </w:tr>
      <w:tr w:rsidR="005E691D" w14:paraId="4EFE0765" w14:textId="77777777">
        <w:tc>
          <w:tcPr>
            <w:tcW w:w="2106" w:type="dxa"/>
          </w:tcPr>
          <w:p w14:paraId="6C534C82"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Right FW Females (mm)</w:t>
            </w:r>
          </w:p>
        </w:tc>
        <w:tc>
          <w:tcPr>
            <w:tcW w:w="2106" w:type="dxa"/>
          </w:tcPr>
          <w:p w14:paraId="52AB163B"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.096</w:t>
            </w:r>
          </w:p>
        </w:tc>
        <w:tc>
          <w:tcPr>
            <w:tcW w:w="2106" w:type="dxa"/>
          </w:tcPr>
          <w:p w14:paraId="0880AAC8"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4B2469DC"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.0025</w:t>
            </w:r>
          </w:p>
        </w:tc>
      </w:tr>
      <w:tr w:rsidR="005E691D" w14:paraId="075B1910" w14:textId="77777777">
        <w:tc>
          <w:tcPr>
            <w:tcW w:w="2106" w:type="dxa"/>
          </w:tcPr>
          <w:p w14:paraId="026E8BCE"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Left FW Females (mm)</w:t>
            </w:r>
          </w:p>
        </w:tc>
        <w:tc>
          <w:tcPr>
            <w:tcW w:w="2106" w:type="dxa"/>
          </w:tcPr>
          <w:p w14:paraId="65F616B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.085</w:t>
            </w:r>
          </w:p>
        </w:tc>
        <w:tc>
          <w:tcPr>
            <w:tcW w:w="2106" w:type="dxa"/>
          </w:tcPr>
          <w:p w14:paraId="2CD1F26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0D4E13D2"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.0077</w:t>
            </w:r>
          </w:p>
        </w:tc>
      </w:tr>
      <w:tr w:rsidR="005E691D" w14:paraId="553A3899" w14:textId="77777777">
        <w:tc>
          <w:tcPr>
            <w:tcW w:w="2106" w:type="dxa"/>
          </w:tcPr>
          <w:p w14:paraId="4CDD3003"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lastRenderedPageBreak/>
              <w:t>Right FL Female (cm)</w:t>
            </w:r>
          </w:p>
        </w:tc>
        <w:tc>
          <w:tcPr>
            <w:tcW w:w="2106" w:type="dxa"/>
          </w:tcPr>
          <w:p w14:paraId="5C87BB9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.0116</w:t>
            </w:r>
          </w:p>
        </w:tc>
        <w:tc>
          <w:tcPr>
            <w:tcW w:w="2106" w:type="dxa"/>
          </w:tcPr>
          <w:p w14:paraId="5E340A76"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Pr>
          <w:p w14:paraId="0D8227B6"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.002</w:t>
            </w:r>
          </w:p>
        </w:tc>
      </w:tr>
      <w:tr w:rsidR="005E691D" w14:paraId="710A1D9C" w14:textId="77777777">
        <w:tc>
          <w:tcPr>
            <w:tcW w:w="2106" w:type="dxa"/>
            <w:tcBorders>
              <w:bottom w:val="single" w:sz="4" w:space="0" w:color="000000"/>
            </w:tcBorders>
          </w:tcPr>
          <w:p w14:paraId="359A2A5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Left FL Female (cm)</w:t>
            </w:r>
          </w:p>
        </w:tc>
        <w:tc>
          <w:tcPr>
            <w:tcW w:w="2106" w:type="dxa"/>
            <w:tcBorders>
              <w:bottom w:val="single" w:sz="4" w:space="0" w:color="000000"/>
            </w:tcBorders>
          </w:tcPr>
          <w:p w14:paraId="7657F106"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.090</w:t>
            </w:r>
          </w:p>
        </w:tc>
        <w:tc>
          <w:tcPr>
            <w:tcW w:w="2106" w:type="dxa"/>
            <w:tcBorders>
              <w:bottom w:val="single" w:sz="4" w:space="0" w:color="000000"/>
            </w:tcBorders>
          </w:tcPr>
          <w:p w14:paraId="26C658B6"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99</w:t>
            </w:r>
          </w:p>
        </w:tc>
        <w:tc>
          <w:tcPr>
            <w:tcW w:w="2106" w:type="dxa"/>
            <w:tcBorders>
              <w:bottom w:val="single" w:sz="4" w:space="0" w:color="000000"/>
            </w:tcBorders>
          </w:tcPr>
          <w:p w14:paraId="2245F66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20"/>
                <w:szCs w:val="20"/>
              </w:rPr>
            </w:pPr>
            <w:r>
              <w:rPr>
                <w:rFonts w:ascii="Arial" w:eastAsia="Arial" w:hAnsi="Arial" w:cs="Arial"/>
                <w:color w:val="000000"/>
                <w:sz w:val="20"/>
                <w:szCs w:val="20"/>
                <w:highlight w:val="yellow"/>
              </w:rPr>
              <w:t>.046</w:t>
            </w:r>
          </w:p>
        </w:tc>
      </w:tr>
    </w:tbl>
    <w:p w14:paraId="2C1EEE39" w14:textId="77777777" w:rsidR="005E691D" w:rsidRDefault="005E691D">
      <w:pPr>
        <w:pBdr>
          <w:top w:val="nil"/>
          <w:left w:val="nil"/>
          <w:bottom w:val="nil"/>
          <w:right w:val="nil"/>
          <w:between w:val="nil"/>
        </w:pBdr>
        <w:spacing w:after="240" w:line="480" w:lineRule="auto"/>
        <w:jc w:val="both"/>
        <w:rPr>
          <w:rFonts w:ascii="Arial" w:eastAsia="Arial" w:hAnsi="Arial" w:cs="Arial"/>
          <w:color w:val="000000"/>
        </w:rPr>
      </w:pPr>
    </w:p>
    <w:p w14:paraId="39A5C09F"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26DB6B48"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4AAF62A0"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3</w:t>
      </w:r>
      <w:r>
        <w:rPr>
          <w:rFonts w:ascii="Arial" w:eastAsia="Arial" w:hAnsi="Arial" w:cs="Arial"/>
          <w:b/>
          <w:color w:val="000000"/>
        </w:rPr>
        <w:t xml:space="preserve"> </w:t>
      </w:r>
      <w:r>
        <w:rPr>
          <w:rFonts w:ascii="Arial" w:eastAsia="Arial" w:hAnsi="Arial" w:cs="Arial"/>
          <w:color w:val="000000"/>
        </w:rPr>
        <w:t>shows the descriptive Statistics for Foot Width and Length of males and females of the Ijebu Ode population.</w:t>
      </w:r>
    </w:p>
    <w:p w14:paraId="45677A2D"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Table 3:</w:t>
      </w:r>
      <w:r>
        <w:rPr>
          <w:rFonts w:ascii="Arial" w:eastAsia="Arial" w:hAnsi="Arial" w:cs="Arial"/>
          <w:color w:val="000000"/>
        </w:rPr>
        <w:t xml:space="preserve"> Descriptive Statistics for Foot Width and Length.</w:t>
      </w:r>
    </w:p>
    <w:tbl>
      <w:tblPr>
        <w:tblStyle w:val="a2"/>
        <w:tblW w:w="8424" w:type="dxa"/>
        <w:tblInd w:w="489" w:type="dxa"/>
        <w:tblBorders>
          <w:top w:val="single" w:sz="4" w:space="0" w:color="000000"/>
          <w:bottom w:val="single" w:sz="4" w:space="0" w:color="000000"/>
        </w:tblBorders>
        <w:tblLayout w:type="fixed"/>
        <w:tblLook w:val="04A0" w:firstRow="1" w:lastRow="0" w:firstColumn="1" w:lastColumn="0" w:noHBand="0" w:noVBand="1"/>
      </w:tblPr>
      <w:tblGrid>
        <w:gridCol w:w="1140"/>
        <w:gridCol w:w="900"/>
        <w:gridCol w:w="901"/>
        <w:gridCol w:w="820"/>
        <w:gridCol w:w="820"/>
        <w:gridCol w:w="1009"/>
        <w:gridCol w:w="960"/>
        <w:gridCol w:w="937"/>
        <w:gridCol w:w="937"/>
      </w:tblGrid>
      <w:tr w:rsidR="005E691D" w14:paraId="316B6A0C" w14:textId="77777777" w:rsidTr="005E691D">
        <w:trPr>
          <w:cnfStyle w:val="100000000000" w:firstRow="1" w:lastRow="0" w:firstColumn="0" w:lastColumn="0" w:oddVBand="0" w:evenVBand="0" w:oddHBand="0" w:evenHBand="0" w:firstRowFirstColumn="0" w:firstRowLastColumn="0" w:lastRowFirstColumn="0" w:lastRowLastColumn="0"/>
          <w:trHeight w:val="2502"/>
        </w:trPr>
        <w:tc>
          <w:tcPr>
            <w:cnfStyle w:val="001000000000" w:firstRow="0" w:lastRow="0" w:firstColumn="1" w:lastColumn="0" w:oddVBand="0" w:evenVBand="0" w:oddHBand="0" w:evenHBand="0" w:firstRowFirstColumn="0" w:firstRowLastColumn="0" w:lastRowFirstColumn="0" w:lastRowLastColumn="0"/>
            <w:tcW w:w="1140" w:type="dxa"/>
            <w:tcBorders>
              <w:top w:val="single" w:sz="4" w:space="0" w:color="000000"/>
              <w:left w:val="nil"/>
              <w:right w:val="nil"/>
            </w:tcBorders>
          </w:tcPr>
          <w:p w14:paraId="2DC6F953" w14:textId="77777777" w:rsidR="005E691D" w:rsidRDefault="005E691D">
            <w:pPr>
              <w:pBdr>
                <w:top w:val="nil"/>
                <w:left w:val="nil"/>
                <w:bottom w:val="nil"/>
                <w:right w:val="nil"/>
                <w:between w:val="nil"/>
              </w:pBdr>
              <w:spacing w:after="240" w:line="480" w:lineRule="auto"/>
              <w:jc w:val="both"/>
              <w:rPr>
                <w:rFonts w:ascii="Arial" w:eastAsia="Arial" w:hAnsi="Arial" w:cs="Arial"/>
              </w:rPr>
            </w:pPr>
          </w:p>
        </w:tc>
        <w:tc>
          <w:tcPr>
            <w:tcW w:w="900" w:type="dxa"/>
            <w:tcBorders>
              <w:top w:val="single" w:sz="4" w:space="0" w:color="000000"/>
              <w:left w:val="nil"/>
              <w:right w:val="nil"/>
            </w:tcBorders>
          </w:tcPr>
          <w:p w14:paraId="4557AAFC"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Right FW Males (mm)</w:t>
            </w:r>
          </w:p>
          <w:p w14:paraId="4F476A7A" w14:textId="77777777" w:rsidR="005E691D" w:rsidRDefault="005E691D">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901" w:type="dxa"/>
            <w:tcBorders>
              <w:top w:val="single" w:sz="4" w:space="0" w:color="000000"/>
              <w:left w:val="nil"/>
              <w:right w:val="nil"/>
            </w:tcBorders>
          </w:tcPr>
          <w:p w14:paraId="01CC9780"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Left FW Males (mm)</w:t>
            </w:r>
          </w:p>
        </w:tc>
        <w:tc>
          <w:tcPr>
            <w:tcW w:w="820" w:type="dxa"/>
            <w:tcBorders>
              <w:top w:val="single" w:sz="4" w:space="0" w:color="000000"/>
              <w:left w:val="nil"/>
              <w:right w:val="nil"/>
            </w:tcBorders>
          </w:tcPr>
          <w:p w14:paraId="20DCC06D"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Right FL Males (cm)</w:t>
            </w:r>
          </w:p>
        </w:tc>
        <w:tc>
          <w:tcPr>
            <w:tcW w:w="820" w:type="dxa"/>
            <w:tcBorders>
              <w:top w:val="single" w:sz="4" w:space="0" w:color="000000"/>
              <w:left w:val="nil"/>
              <w:right w:val="nil"/>
            </w:tcBorders>
          </w:tcPr>
          <w:p w14:paraId="4FCECE8B"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Left FL Males (cm)</w:t>
            </w:r>
          </w:p>
        </w:tc>
        <w:tc>
          <w:tcPr>
            <w:tcW w:w="1009" w:type="dxa"/>
            <w:tcBorders>
              <w:top w:val="single" w:sz="4" w:space="0" w:color="000000"/>
              <w:left w:val="nil"/>
              <w:right w:val="nil"/>
            </w:tcBorders>
          </w:tcPr>
          <w:p w14:paraId="4BD69D23"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Right FW Females (mm)</w:t>
            </w:r>
          </w:p>
        </w:tc>
        <w:tc>
          <w:tcPr>
            <w:tcW w:w="960" w:type="dxa"/>
            <w:tcBorders>
              <w:top w:val="single" w:sz="4" w:space="0" w:color="000000"/>
              <w:left w:val="nil"/>
              <w:right w:val="nil"/>
            </w:tcBorders>
          </w:tcPr>
          <w:p w14:paraId="03571E1C"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Left FW females (mm)</w:t>
            </w:r>
          </w:p>
        </w:tc>
        <w:tc>
          <w:tcPr>
            <w:tcW w:w="937" w:type="dxa"/>
            <w:tcBorders>
              <w:top w:val="single" w:sz="4" w:space="0" w:color="000000"/>
              <w:left w:val="nil"/>
              <w:right w:val="nil"/>
            </w:tcBorders>
          </w:tcPr>
          <w:p w14:paraId="402ADC35"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Right FL females (cm)</w:t>
            </w:r>
          </w:p>
        </w:tc>
        <w:tc>
          <w:tcPr>
            <w:tcW w:w="937" w:type="dxa"/>
            <w:tcBorders>
              <w:top w:val="single" w:sz="4" w:space="0" w:color="000000"/>
              <w:left w:val="nil"/>
              <w:right w:val="nil"/>
            </w:tcBorders>
          </w:tcPr>
          <w:p w14:paraId="474EB465"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Left FL females (cm)</w:t>
            </w:r>
          </w:p>
        </w:tc>
      </w:tr>
      <w:tr w:rsidR="005E691D" w14:paraId="18EEFA08"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nil"/>
              <w:right w:val="nil"/>
            </w:tcBorders>
          </w:tcPr>
          <w:p w14:paraId="00D022A8"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N</w:t>
            </w:r>
          </w:p>
        </w:tc>
        <w:tc>
          <w:tcPr>
            <w:tcW w:w="900" w:type="dxa"/>
            <w:tcBorders>
              <w:top w:val="nil"/>
              <w:left w:val="nil"/>
              <w:bottom w:val="nil"/>
              <w:right w:val="nil"/>
            </w:tcBorders>
          </w:tcPr>
          <w:p w14:paraId="4BCE47C5"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901" w:type="dxa"/>
            <w:tcBorders>
              <w:top w:val="nil"/>
              <w:left w:val="nil"/>
              <w:bottom w:val="nil"/>
              <w:right w:val="nil"/>
            </w:tcBorders>
          </w:tcPr>
          <w:p w14:paraId="43A4280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820" w:type="dxa"/>
            <w:tcBorders>
              <w:top w:val="nil"/>
              <w:left w:val="nil"/>
              <w:bottom w:val="nil"/>
              <w:right w:val="nil"/>
            </w:tcBorders>
          </w:tcPr>
          <w:p w14:paraId="0B9FB90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820" w:type="dxa"/>
            <w:tcBorders>
              <w:top w:val="nil"/>
              <w:left w:val="nil"/>
              <w:bottom w:val="nil"/>
              <w:right w:val="nil"/>
            </w:tcBorders>
          </w:tcPr>
          <w:p w14:paraId="098B303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1009" w:type="dxa"/>
            <w:tcBorders>
              <w:top w:val="nil"/>
              <w:left w:val="nil"/>
              <w:bottom w:val="nil"/>
              <w:right w:val="nil"/>
            </w:tcBorders>
          </w:tcPr>
          <w:p w14:paraId="3BC6926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960" w:type="dxa"/>
            <w:tcBorders>
              <w:top w:val="nil"/>
              <w:left w:val="nil"/>
              <w:bottom w:val="nil"/>
              <w:right w:val="nil"/>
            </w:tcBorders>
          </w:tcPr>
          <w:p w14:paraId="4BEBC8D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937" w:type="dxa"/>
            <w:tcBorders>
              <w:top w:val="nil"/>
              <w:left w:val="nil"/>
              <w:bottom w:val="nil"/>
              <w:right w:val="nil"/>
            </w:tcBorders>
          </w:tcPr>
          <w:p w14:paraId="2F83F1B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937" w:type="dxa"/>
            <w:tcBorders>
              <w:top w:val="nil"/>
              <w:left w:val="nil"/>
              <w:bottom w:val="nil"/>
              <w:right w:val="nil"/>
            </w:tcBorders>
          </w:tcPr>
          <w:p w14:paraId="73DDA424"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99</w:t>
            </w:r>
          </w:p>
        </w:tc>
      </w:tr>
      <w:tr w:rsidR="005E691D" w14:paraId="69C28185" w14:textId="77777777" w:rsidTr="005E691D">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nil"/>
              <w:right w:val="nil"/>
            </w:tcBorders>
          </w:tcPr>
          <w:p w14:paraId="22FACF9D"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Mean</w:t>
            </w:r>
          </w:p>
        </w:tc>
        <w:tc>
          <w:tcPr>
            <w:tcW w:w="900" w:type="dxa"/>
            <w:tcBorders>
              <w:top w:val="nil"/>
              <w:left w:val="nil"/>
              <w:bottom w:val="nil"/>
              <w:right w:val="nil"/>
            </w:tcBorders>
          </w:tcPr>
          <w:p w14:paraId="0AFB7130"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97.76</w:t>
            </w:r>
          </w:p>
        </w:tc>
        <w:tc>
          <w:tcPr>
            <w:tcW w:w="901" w:type="dxa"/>
            <w:tcBorders>
              <w:top w:val="nil"/>
              <w:left w:val="nil"/>
              <w:bottom w:val="nil"/>
              <w:right w:val="nil"/>
            </w:tcBorders>
          </w:tcPr>
          <w:p w14:paraId="6B31E5EC"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98.08</w:t>
            </w:r>
          </w:p>
        </w:tc>
        <w:tc>
          <w:tcPr>
            <w:tcW w:w="820" w:type="dxa"/>
            <w:tcBorders>
              <w:top w:val="nil"/>
              <w:left w:val="nil"/>
              <w:bottom w:val="nil"/>
              <w:right w:val="nil"/>
            </w:tcBorders>
          </w:tcPr>
          <w:p w14:paraId="744E845E"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25.32</w:t>
            </w:r>
          </w:p>
        </w:tc>
        <w:tc>
          <w:tcPr>
            <w:tcW w:w="820" w:type="dxa"/>
            <w:tcBorders>
              <w:top w:val="nil"/>
              <w:left w:val="nil"/>
              <w:bottom w:val="nil"/>
              <w:right w:val="nil"/>
            </w:tcBorders>
          </w:tcPr>
          <w:p w14:paraId="03391140"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25.04</w:t>
            </w:r>
          </w:p>
        </w:tc>
        <w:tc>
          <w:tcPr>
            <w:tcW w:w="1009" w:type="dxa"/>
            <w:tcBorders>
              <w:top w:val="nil"/>
              <w:left w:val="nil"/>
              <w:bottom w:val="nil"/>
              <w:right w:val="nil"/>
            </w:tcBorders>
          </w:tcPr>
          <w:p w14:paraId="3F57648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82.66</w:t>
            </w:r>
          </w:p>
        </w:tc>
        <w:tc>
          <w:tcPr>
            <w:tcW w:w="960" w:type="dxa"/>
            <w:tcBorders>
              <w:top w:val="nil"/>
              <w:left w:val="nil"/>
              <w:bottom w:val="nil"/>
              <w:right w:val="nil"/>
            </w:tcBorders>
          </w:tcPr>
          <w:p w14:paraId="16B90D5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82.89</w:t>
            </w:r>
          </w:p>
        </w:tc>
        <w:tc>
          <w:tcPr>
            <w:tcW w:w="937" w:type="dxa"/>
            <w:tcBorders>
              <w:top w:val="nil"/>
              <w:left w:val="nil"/>
              <w:bottom w:val="nil"/>
              <w:right w:val="nil"/>
            </w:tcBorders>
          </w:tcPr>
          <w:p w14:paraId="544212E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22.18</w:t>
            </w:r>
          </w:p>
        </w:tc>
        <w:tc>
          <w:tcPr>
            <w:tcW w:w="937" w:type="dxa"/>
            <w:tcBorders>
              <w:top w:val="nil"/>
              <w:left w:val="nil"/>
              <w:bottom w:val="nil"/>
              <w:right w:val="nil"/>
            </w:tcBorders>
          </w:tcPr>
          <w:p w14:paraId="05DC26A0"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22.12</w:t>
            </w:r>
          </w:p>
        </w:tc>
      </w:tr>
      <w:tr w:rsidR="005E691D" w14:paraId="5EFDD373"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nil"/>
              <w:right w:val="nil"/>
            </w:tcBorders>
          </w:tcPr>
          <w:p w14:paraId="65EFAA66"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Range</w:t>
            </w:r>
          </w:p>
        </w:tc>
        <w:tc>
          <w:tcPr>
            <w:tcW w:w="900" w:type="dxa"/>
            <w:tcBorders>
              <w:top w:val="nil"/>
              <w:left w:val="nil"/>
              <w:bottom w:val="nil"/>
              <w:right w:val="nil"/>
            </w:tcBorders>
          </w:tcPr>
          <w:p w14:paraId="3668F82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37.47</w:t>
            </w:r>
          </w:p>
        </w:tc>
        <w:tc>
          <w:tcPr>
            <w:tcW w:w="901" w:type="dxa"/>
            <w:tcBorders>
              <w:top w:val="nil"/>
              <w:left w:val="nil"/>
              <w:bottom w:val="nil"/>
              <w:right w:val="nil"/>
            </w:tcBorders>
          </w:tcPr>
          <w:p w14:paraId="7404B5A0"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36.60</w:t>
            </w:r>
          </w:p>
        </w:tc>
        <w:tc>
          <w:tcPr>
            <w:tcW w:w="820" w:type="dxa"/>
            <w:tcBorders>
              <w:top w:val="nil"/>
              <w:left w:val="nil"/>
              <w:bottom w:val="nil"/>
              <w:right w:val="nil"/>
            </w:tcBorders>
          </w:tcPr>
          <w:p w14:paraId="73B8A39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5.5</w:t>
            </w:r>
          </w:p>
        </w:tc>
        <w:tc>
          <w:tcPr>
            <w:tcW w:w="820" w:type="dxa"/>
            <w:tcBorders>
              <w:top w:val="nil"/>
              <w:left w:val="nil"/>
              <w:bottom w:val="nil"/>
              <w:right w:val="nil"/>
            </w:tcBorders>
          </w:tcPr>
          <w:p w14:paraId="0D682056"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6.9</w:t>
            </w:r>
          </w:p>
        </w:tc>
        <w:tc>
          <w:tcPr>
            <w:tcW w:w="1009" w:type="dxa"/>
            <w:tcBorders>
              <w:top w:val="nil"/>
              <w:left w:val="nil"/>
              <w:bottom w:val="nil"/>
              <w:right w:val="nil"/>
            </w:tcBorders>
          </w:tcPr>
          <w:p w14:paraId="6EAD464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19.85</w:t>
            </w:r>
          </w:p>
        </w:tc>
        <w:tc>
          <w:tcPr>
            <w:tcW w:w="960" w:type="dxa"/>
            <w:tcBorders>
              <w:top w:val="nil"/>
              <w:left w:val="nil"/>
              <w:bottom w:val="nil"/>
              <w:right w:val="nil"/>
            </w:tcBorders>
          </w:tcPr>
          <w:p w14:paraId="086EE79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19.49</w:t>
            </w:r>
          </w:p>
        </w:tc>
        <w:tc>
          <w:tcPr>
            <w:tcW w:w="937" w:type="dxa"/>
            <w:tcBorders>
              <w:top w:val="nil"/>
              <w:left w:val="nil"/>
              <w:bottom w:val="nil"/>
              <w:right w:val="nil"/>
            </w:tcBorders>
          </w:tcPr>
          <w:p w14:paraId="21B864C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6.2</w:t>
            </w:r>
          </w:p>
        </w:tc>
        <w:tc>
          <w:tcPr>
            <w:tcW w:w="937" w:type="dxa"/>
            <w:tcBorders>
              <w:top w:val="nil"/>
              <w:left w:val="nil"/>
              <w:bottom w:val="nil"/>
              <w:right w:val="nil"/>
            </w:tcBorders>
          </w:tcPr>
          <w:p w14:paraId="39FDF71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5.9</w:t>
            </w:r>
          </w:p>
        </w:tc>
      </w:tr>
      <w:tr w:rsidR="005E691D" w14:paraId="70B57B15" w14:textId="77777777" w:rsidTr="005E691D">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nil"/>
              <w:right w:val="nil"/>
            </w:tcBorders>
          </w:tcPr>
          <w:p w14:paraId="4AA5BA4B"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Minimum</w:t>
            </w:r>
          </w:p>
        </w:tc>
        <w:tc>
          <w:tcPr>
            <w:tcW w:w="900" w:type="dxa"/>
            <w:tcBorders>
              <w:top w:val="nil"/>
              <w:left w:val="nil"/>
              <w:bottom w:val="nil"/>
              <w:right w:val="nil"/>
            </w:tcBorders>
          </w:tcPr>
          <w:p w14:paraId="52E8AF14"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75.85</w:t>
            </w:r>
          </w:p>
        </w:tc>
        <w:tc>
          <w:tcPr>
            <w:tcW w:w="901" w:type="dxa"/>
            <w:tcBorders>
              <w:top w:val="nil"/>
              <w:left w:val="nil"/>
              <w:bottom w:val="nil"/>
              <w:right w:val="nil"/>
            </w:tcBorders>
          </w:tcPr>
          <w:p w14:paraId="4391785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76.82</w:t>
            </w:r>
          </w:p>
        </w:tc>
        <w:tc>
          <w:tcPr>
            <w:tcW w:w="820" w:type="dxa"/>
            <w:tcBorders>
              <w:top w:val="nil"/>
              <w:left w:val="nil"/>
              <w:bottom w:val="nil"/>
              <w:right w:val="nil"/>
            </w:tcBorders>
          </w:tcPr>
          <w:p w14:paraId="3EC1A46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22.0</w:t>
            </w:r>
          </w:p>
        </w:tc>
        <w:tc>
          <w:tcPr>
            <w:tcW w:w="820" w:type="dxa"/>
            <w:tcBorders>
              <w:top w:val="nil"/>
              <w:left w:val="nil"/>
              <w:bottom w:val="nil"/>
              <w:right w:val="nil"/>
            </w:tcBorders>
          </w:tcPr>
          <w:p w14:paraId="25CCC94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22.3</w:t>
            </w:r>
          </w:p>
        </w:tc>
        <w:tc>
          <w:tcPr>
            <w:tcW w:w="1009" w:type="dxa"/>
            <w:tcBorders>
              <w:top w:val="nil"/>
              <w:left w:val="nil"/>
              <w:bottom w:val="nil"/>
              <w:right w:val="nil"/>
            </w:tcBorders>
          </w:tcPr>
          <w:p w14:paraId="3C51812E"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70.25</w:t>
            </w:r>
          </w:p>
        </w:tc>
        <w:tc>
          <w:tcPr>
            <w:tcW w:w="960" w:type="dxa"/>
            <w:tcBorders>
              <w:top w:val="nil"/>
              <w:left w:val="nil"/>
              <w:bottom w:val="nil"/>
              <w:right w:val="nil"/>
            </w:tcBorders>
          </w:tcPr>
          <w:p w14:paraId="1DD58EE4"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70.73</w:t>
            </w:r>
          </w:p>
        </w:tc>
        <w:tc>
          <w:tcPr>
            <w:tcW w:w="937" w:type="dxa"/>
            <w:tcBorders>
              <w:top w:val="nil"/>
              <w:left w:val="nil"/>
              <w:bottom w:val="nil"/>
              <w:right w:val="nil"/>
            </w:tcBorders>
          </w:tcPr>
          <w:p w14:paraId="24D777C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18.7</w:t>
            </w:r>
          </w:p>
        </w:tc>
        <w:tc>
          <w:tcPr>
            <w:tcW w:w="937" w:type="dxa"/>
            <w:tcBorders>
              <w:top w:val="nil"/>
              <w:left w:val="nil"/>
              <w:bottom w:val="nil"/>
              <w:right w:val="nil"/>
            </w:tcBorders>
          </w:tcPr>
          <w:p w14:paraId="7919E00E"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18.7</w:t>
            </w:r>
          </w:p>
        </w:tc>
      </w:tr>
      <w:tr w:rsidR="005E691D" w14:paraId="003C16D0"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nil"/>
              <w:right w:val="nil"/>
            </w:tcBorders>
          </w:tcPr>
          <w:p w14:paraId="7D3FDA86"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Maximum</w:t>
            </w:r>
          </w:p>
        </w:tc>
        <w:tc>
          <w:tcPr>
            <w:tcW w:w="900" w:type="dxa"/>
            <w:tcBorders>
              <w:top w:val="nil"/>
              <w:left w:val="nil"/>
              <w:bottom w:val="nil"/>
              <w:right w:val="nil"/>
            </w:tcBorders>
          </w:tcPr>
          <w:p w14:paraId="15AF374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113.32</w:t>
            </w:r>
          </w:p>
        </w:tc>
        <w:tc>
          <w:tcPr>
            <w:tcW w:w="901" w:type="dxa"/>
            <w:tcBorders>
              <w:top w:val="nil"/>
              <w:left w:val="nil"/>
              <w:bottom w:val="nil"/>
              <w:right w:val="nil"/>
            </w:tcBorders>
          </w:tcPr>
          <w:p w14:paraId="7DE938B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113.42</w:t>
            </w:r>
          </w:p>
        </w:tc>
        <w:tc>
          <w:tcPr>
            <w:tcW w:w="820" w:type="dxa"/>
            <w:tcBorders>
              <w:top w:val="nil"/>
              <w:left w:val="nil"/>
              <w:bottom w:val="nil"/>
              <w:right w:val="nil"/>
            </w:tcBorders>
          </w:tcPr>
          <w:p w14:paraId="7732E4EE"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27.5</w:t>
            </w:r>
          </w:p>
        </w:tc>
        <w:tc>
          <w:tcPr>
            <w:tcW w:w="820" w:type="dxa"/>
            <w:tcBorders>
              <w:top w:val="nil"/>
              <w:left w:val="nil"/>
              <w:bottom w:val="nil"/>
              <w:right w:val="nil"/>
            </w:tcBorders>
          </w:tcPr>
          <w:p w14:paraId="76856DE0"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29.2</w:t>
            </w:r>
          </w:p>
        </w:tc>
        <w:tc>
          <w:tcPr>
            <w:tcW w:w="1009" w:type="dxa"/>
            <w:tcBorders>
              <w:top w:val="nil"/>
              <w:left w:val="nil"/>
              <w:bottom w:val="nil"/>
              <w:right w:val="nil"/>
            </w:tcBorders>
          </w:tcPr>
          <w:p w14:paraId="77D52E78"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90.10</w:t>
            </w:r>
          </w:p>
        </w:tc>
        <w:tc>
          <w:tcPr>
            <w:tcW w:w="960" w:type="dxa"/>
            <w:tcBorders>
              <w:top w:val="nil"/>
              <w:left w:val="nil"/>
              <w:bottom w:val="nil"/>
              <w:right w:val="nil"/>
            </w:tcBorders>
          </w:tcPr>
          <w:p w14:paraId="4864BAC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90.22</w:t>
            </w:r>
          </w:p>
        </w:tc>
        <w:tc>
          <w:tcPr>
            <w:tcW w:w="937" w:type="dxa"/>
            <w:tcBorders>
              <w:top w:val="nil"/>
              <w:left w:val="nil"/>
              <w:bottom w:val="nil"/>
              <w:right w:val="nil"/>
            </w:tcBorders>
          </w:tcPr>
          <w:p w14:paraId="5B5EA156"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24.9</w:t>
            </w:r>
          </w:p>
        </w:tc>
        <w:tc>
          <w:tcPr>
            <w:tcW w:w="937" w:type="dxa"/>
            <w:tcBorders>
              <w:top w:val="nil"/>
              <w:left w:val="nil"/>
              <w:bottom w:val="nil"/>
              <w:right w:val="nil"/>
            </w:tcBorders>
          </w:tcPr>
          <w:p w14:paraId="586044CB"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24.6</w:t>
            </w:r>
          </w:p>
        </w:tc>
      </w:tr>
      <w:tr w:rsidR="005E691D" w14:paraId="7F0A61F7" w14:textId="77777777" w:rsidTr="005E691D">
        <w:tc>
          <w:tcPr>
            <w:cnfStyle w:val="001000000000" w:firstRow="0" w:lastRow="0" w:firstColumn="1" w:lastColumn="0" w:oddVBand="0" w:evenVBand="0" w:oddHBand="0" w:evenHBand="0" w:firstRowFirstColumn="0" w:firstRowLastColumn="0" w:lastRowFirstColumn="0" w:lastRowLastColumn="0"/>
            <w:tcW w:w="1140" w:type="dxa"/>
            <w:tcBorders>
              <w:top w:val="nil"/>
              <w:left w:val="nil"/>
              <w:bottom w:val="single" w:sz="4" w:space="0" w:color="000000"/>
              <w:right w:val="nil"/>
            </w:tcBorders>
          </w:tcPr>
          <w:p w14:paraId="1C43CEBB"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SD</w:t>
            </w:r>
          </w:p>
        </w:tc>
        <w:tc>
          <w:tcPr>
            <w:tcW w:w="900" w:type="dxa"/>
            <w:tcBorders>
              <w:top w:val="nil"/>
              <w:left w:val="nil"/>
              <w:bottom w:val="single" w:sz="4" w:space="0" w:color="000000"/>
              <w:right w:val="nil"/>
            </w:tcBorders>
          </w:tcPr>
          <w:p w14:paraId="705E930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9.76</w:t>
            </w:r>
          </w:p>
        </w:tc>
        <w:tc>
          <w:tcPr>
            <w:tcW w:w="901" w:type="dxa"/>
            <w:tcBorders>
              <w:top w:val="nil"/>
              <w:left w:val="nil"/>
              <w:bottom w:val="single" w:sz="4" w:space="0" w:color="000000"/>
              <w:right w:val="nil"/>
            </w:tcBorders>
          </w:tcPr>
          <w:p w14:paraId="773A88FE"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9.72</w:t>
            </w:r>
          </w:p>
        </w:tc>
        <w:tc>
          <w:tcPr>
            <w:tcW w:w="820" w:type="dxa"/>
            <w:tcBorders>
              <w:top w:val="nil"/>
              <w:left w:val="nil"/>
              <w:bottom w:val="single" w:sz="4" w:space="0" w:color="000000"/>
              <w:right w:val="nil"/>
            </w:tcBorders>
          </w:tcPr>
          <w:p w14:paraId="1BA66D64"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1.22</w:t>
            </w:r>
          </w:p>
        </w:tc>
        <w:tc>
          <w:tcPr>
            <w:tcW w:w="820" w:type="dxa"/>
            <w:tcBorders>
              <w:top w:val="nil"/>
              <w:left w:val="nil"/>
              <w:bottom w:val="single" w:sz="4" w:space="0" w:color="000000"/>
              <w:right w:val="nil"/>
            </w:tcBorders>
          </w:tcPr>
          <w:p w14:paraId="5ABF4535"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1.22</w:t>
            </w:r>
          </w:p>
        </w:tc>
        <w:tc>
          <w:tcPr>
            <w:tcW w:w="1009" w:type="dxa"/>
            <w:tcBorders>
              <w:top w:val="nil"/>
              <w:left w:val="nil"/>
              <w:bottom w:val="single" w:sz="4" w:space="0" w:color="000000"/>
              <w:right w:val="nil"/>
            </w:tcBorders>
          </w:tcPr>
          <w:p w14:paraId="76CEDEB6"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5.03</w:t>
            </w:r>
          </w:p>
        </w:tc>
        <w:tc>
          <w:tcPr>
            <w:tcW w:w="960" w:type="dxa"/>
            <w:tcBorders>
              <w:top w:val="nil"/>
              <w:left w:val="nil"/>
              <w:bottom w:val="single" w:sz="4" w:space="0" w:color="000000"/>
              <w:right w:val="nil"/>
            </w:tcBorders>
          </w:tcPr>
          <w:p w14:paraId="7942F1DC"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4.78</w:t>
            </w:r>
          </w:p>
        </w:tc>
        <w:tc>
          <w:tcPr>
            <w:tcW w:w="937" w:type="dxa"/>
            <w:tcBorders>
              <w:top w:val="nil"/>
              <w:left w:val="nil"/>
              <w:bottom w:val="single" w:sz="4" w:space="0" w:color="000000"/>
              <w:right w:val="nil"/>
            </w:tcBorders>
          </w:tcPr>
          <w:p w14:paraId="18458DF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1.08</w:t>
            </w:r>
          </w:p>
        </w:tc>
        <w:tc>
          <w:tcPr>
            <w:tcW w:w="937" w:type="dxa"/>
            <w:tcBorders>
              <w:top w:val="nil"/>
              <w:left w:val="nil"/>
              <w:bottom w:val="single" w:sz="4" w:space="0" w:color="000000"/>
              <w:right w:val="nil"/>
            </w:tcBorders>
          </w:tcPr>
          <w:p w14:paraId="3F641F1D"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1.07</w:t>
            </w:r>
          </w:p>
        </w:tc>
      </w:tr>
    </w:tbl>
    <w:p w14:paraId="4C5D370B"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2F1573A5"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50241D4"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22A44765"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353BE51"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0EB8EDFD"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78EBE1A"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A1FD850"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2BA7257"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Table 4</w:t>
      </w:r>
      <w:r>
        <w:rPr>
          <w:rFonts w:ascii="Arial" w:eastAsia="Arial" w:hAnsi="Arial" w:cs="Arial"/>
          <w:b/>
          <w:color w:val="000000"/>
        </w:rPr>
        <w:t xml:space="preserve"> </w:t>
      </w:r>
      <w:r>
        <w:rPr>
          <w:rFonts w:ascii="Arial" w:eastAsia="Arial" w:hAnsi="Arial" w:cs="Arial"/>
          <w:color w:val="000000"/>
        </w:rPr>
        <w:t>shows the correlation between foot length and width of the population studied. From the result, it is observed that both male and female foot length when compared shows that the data is highly correlated to each other at a value of 0.923 and 0.987 respectively.</w:t>
      </w:r>
    </w:p>
    <w:p w14:paraId="25C1686C"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Table </w:t>
      </w:r>
      <w:proofErr w:type="gramStart"/>
      <w:r>
        <w:rPr>
          <w:rFonts w:ascii="Arial" w:eastAsia="Arial" w:hAnsi="Arial" w:cs="Arial"/>
          <w:b/>
          <w:color w:val="000000"/>
        </w:rPr>
        <w:t>4:</w:t>
      </w:r>
      <w:r>
        <w:rPr>
          <w:rFonts w:ascii="Arial" w:eastAsia="Arial" w:hAnsi="Arial" w:cs="Arial"/>
          <w:color w:val="000000"/>
        </w:rPr>
        <w:t>:</w:t>
      </w:r>
      <w:proofErr w:type="gramEnd"/>
      <w:r>
        <w:rPr>
          <w:rFonts w:ascii="Arial" w:eastAsia="Arial" w:hAnsi="Arial" w:cs="Arial"/>
          <w:color w:val="000000"/>
        </w:rPr>
        <w:t xml:space="preserve"> Showing the relationship between foot width for males.</w:t>
      </w:r>
    </w:p>
    <w:tbl>
      <w:tblPr>
        <w:tblStyle w:val="a3"/>
        <w:tblW w:w="8424" w:type="dxa"/>
        <w:tblInd w:w="534" w:type="dxa"/>
        <w:tblBorders>
          <w:top w:val="single" w:sz="4" w:space="0" w:color="000000"/>
          <w:bottom w:val="single" w:sz="4" w:space="0" w:color="000000"/>
        </w:tblBorders>
        <w:tblLayout w:type="fixed"/>
        <w:tblLook w:val="04A0" w:firstRow="1" w:lastRow="0" w:firstColumn="1" w:lastColumn="0" w:noHBand="0" w:noVBand="1"/>
      </w:tblPr>
      <w:tblGrid>
        <w:gridCol w:w="2066"/>
        <w:gridCol w:w="2150"/>
        <w:gridCol w:w="2104"/>
        <w:gridCol w:w="2104"/>
      </w:tblGrid>
      <w:tr w:rsidR="005E691D" w14:paraId="2B7A75DD" w14:textId="77777777" w:rsidTr="005E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7CFB188" w14:textId="77777777" w:rsidR="005E691D" w:rsidRDefault="005E691D">
            <w:pPr>
              <w:pBdr>
                <w:top w:val="nil"/>
                <w:left w:val="nil"/>
                <w:bottom w:val="nil"/>
                <w:right w:val="nil"/>
                <w:between w:val="nil"/>
              </w:pBdr>
              <w:spacing w:after="240" w:line="480" w:lineRule="auto"/>
              <w:jc w:val="both"/>
              <w:rPr>
                <w:rFonts w:ascii="Arial" w:eastAsia="Arial" w:hAnsi="Arial" w:cs="Arial"/>
              </w:rPr>
            </w:pPr>
          </w:p>
        </w:tc>
        <w:tc>
          <w:tcPr>
            <w:tcW w:w="2150" w:type="dxa"/>
          </w:tcPr>
          <w:p w14:paraId="45DA6E05" w14:textId="77777777" w:rsidR="005E691D" w:rsidRDefault="005E691D">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2104" w:type="dxa"/>
          </w:tcPr>
          <w:p w14:paraId="67BB97D2"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a</w:t>
            </w:r>
          </w:p>
        </w:tc>
        <w:tc>
          <w:tcPr>
            <w:tcW w:w="2104" w:type="dxa"/>
          </w:tcPr>
          <w:p w14:paraId="22BC439C"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B</w:t>
            </w:r>
          </w:p>
        </w:tc>
      </w:tr>
      <w:tr w:rsidR="005E691D" w14:paraId="6F546ECE"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14086FFC"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A</w:t>
            </w:r>
          </w:p>
        </w:tc>
        <w:tc>
          <w:tcPr>
            <w:tcW w:w="2150" w:type="dxa"/>
          </w:tcPr>
          <w:p w14:paraId="22BCE214"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Pearson's</w:t>
            </w:r>
            <w:r>
              <w:rPr>
                <w:rFonts w:ascii="Arial" w:eastAsia="Arial" w:hAnsi="Arial" w:cs="Arial"/>
              </w:rPr>
              <w:t xml:space="preserve"> Correlation</w:t>
            </w:r>
          </w:p>
        </w:tc>
        <w:tc>
          <w:tcPr>
            <w:tcW w:w="2104" w:type="dxa"/>
          </w:tcPr>
          <w:p w14:paraId="4339D05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tc>
        <w:tc>
          <w:tcPr>
            <w:tcW w:w="2104" w:type="dxa"/>
          </w:tcPr>
          <w:p w14:paraId="1BFA607D"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.999</w:t>
            </w:r>
            <w:r>
              <w:rPr>
                <w:rFonts w:ascii="Arial" w:eastAsia="Arial" w:hAnsi="Arial" w:cs="Arial"/>
                <w:vertAlign w:val="superscript"/>
              </w:rPr>
              <w:t>**</w:t>
            </w:r>
          </w:p>
        </w:tc>
      </w:tr>
      <w:tr w:rsidR="005E691D" w14:paraId="13CD074E"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shd w:val="clear" w:color="auto" w:fill="CCCCCC"/>
          </w:tcPr>
          <w:p w14:paraId="152BB50C"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48CD498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4" w:type="dxa"/>
          </w:tcPr>
          <w:p w14:paraId="068A946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w:t>
            </w:r>
          </w:p>
        </w:tc>
        <w:tc>
          <w:tcPr>
            <w:tcW w:w="2104" w:type="dxa"/>
          </w:tcPr>
          <w:p w14:paraId="0D6C6E3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&lt;.001</w:t>
            </w:r>
          </w:p>
        </w:tc>
      </w:tr>
      <w:tr w:rsidR="005E691D" w14:paraId="64533B8E"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tcPr>
          <w:p w14:paraId="3B9DEE36"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34C87445"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N</w:t>
            </w:r>
          </w:p>
        </w:tc>
        <w:tc>
          <w:tcPr>
            <w:tcW w:w="2104" w:type="dxa"/>
          </w:tcPr>
          <w:p w14:paraId="09214F1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2104" w:type="dxa"/>
          </w:tcPr>
          <w:p w14:paraId="5DE2E40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r>
      <w:tr w:rsidR="005E691D" w14:paraId="20190C70"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val="restart"/>
          </w:tcPr>
          <w:p w14:paraId="6820B450"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B</w:t>
            </w:r>
          </w:p>
        </w:tc>
        <w:tc>
          <w:tcPr>
            <w:tcW w:w="2150" w:type="dxa"/>
          </w:tcPr>
          <w:p w14:paraId="49B2595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4" w:type="dxa"/>
          </w:tcPr>
          <w:p w14:paraId="5A198D15"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.999</w:t>
            </w:r>
            <w:r>
              <w:rPr>
                <w:rFonts w:ascii="Arial" w:eastAsia="Arial" w:hAnsi="Arial" w:cs="Arial"/>
                <w:vertAlign w:val="superscript"/>
              </w:rPr>
              <w:t>**</w:t>
            </w:r>
          </w:p>
        </w:tc>
        <w:tc>
          <w:tcPr>
            <w:tcW w:w="2104" w:type="dxa"/>
          </w:tcPr>
          <w:p w14:paraId="214646D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r>
      <w:tr w:rsidR="005E691D" w14:paraId="3F7B097E"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tcPr>
          <w:p w14:paraId="7BFEE619"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7CCE3CD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4" w:type="dxa"/>
          </w:tcPr>
          <w:p w14:paraId="0F023784"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&lt;.001</w:t>
            </w:r>
          </w:p>
        </w:tc>
        <w:tc>
          <w:tcPr>
            <w:tcW w:w="2104" w:type="dxa"/>
          </w:tcPr>
          <w:p w14:paraId="63188A35"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w:t>
            </w:r>
          </w:p>
        </w:tc>
      </w:tr>
      <w:tr w:rsidR="005E691D" w14:paraId="55FC21C3"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tcPr>
          <w:p w14:paraId="6E27F260"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0D8A314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w:t>
            </w:r>
          </w:p>
        </w:tc>
        <w:tc>
          <w:tcPr>
            <w:tcW w:w="2104" w:type="dxa"/>
          </w:tcPr>
          <w:p w14:paraId="099159EC"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c>
          <w:tcPr>
            <w:tcW w:w="2104" w:type="dxa"/>
          </w:tcPr>
          <w:p w14:paraId="28336025"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r>
    </w:tbl>
    <w:p w14:paraId="44A82A21"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02650A3C"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 Correlation is significant at the 0.01 level (2tailed). Therefore, the correlation value is significant at 99% level of significance </w:t>
      </w:r>
      <w:r>
        <w:rPr>
          <w:rFonts w:ascii="Arial" w:eastAsia="Arial" w:hAnsi="Arial" w:cs="Arial"/>
        </w:rPr>
        <w:t>and at</w:t>
      </w:r>
      <w:r>
        <w:rPr>
          <w:rFonts w:ascii="Arial" w:eastAsia="Arial" w:hAnsi="Arial" w:cs="Arial"/>
          <w:color w:val="000000"/>
        </w:rPr>
        <w:t xml:space="preserve"> 95% level of significance because the significant value obtained is less than 0.001.</w:t>
      </w:r>
    </w:p>
    <w:p w14:paraId="794655E4"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A5A1195"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0C612E04"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072EFB5D"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06DE332"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02B1C8CA"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797095C4"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F2E7CBC"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57424DE"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3B73A22"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173DE9E5"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lastRenderedPageBreak/>
        <w:t xml:space="preserve">Table 5: </w:t>
      </w:r>
      <w:r>
        <w:rPr>
          <w:rFonts w:ascii="Arial" w:eastAsia="Arial" w:hAnsi="Arial" w:cs="Arial"/>
          <w:color w:val="000000"/>
        </w:rPr>
        <w:t>Showing the relationship between foot length for males.</w:t>
      </w:r>
    </w:p>
    <w:tbl>
      <w:tblPr>
        <w:tblStyle w:val="a4"/>
        <w:tblW w:w="8424" w:type="dxa"/>
        <w:tblInd w:w="444" w:type="dxa"/>
        <w:tblBorders>
          <w:top w:val="single" w:sz="4" w:space="0" w:color="000000"/>
          <w:bottom w:val="single" w:sz="4" w:space="0" w:color="000000"/>
        </w:tblBorders>
        <w:tblLayout w:type="fixed"/>
        <w:tblLook w:val="04A0" w:firstRow="1" w:lastRow="0" w:firstColumn="1" w:lastColumn="0" w:noHBand="0" w:noVBand="1"/>
      </w:tblPr>
      <w:tblGrid>
        <w:gridCol w:w="2066"/>
        <w:gridCol w:w="2150"/>
        <w:gridCol w:w="2104"/>
        <w:gridCol w:w="2104"/>
      </w:tblGrid>
      <w:tr w:rsidR="005E691D" w14:paraId="72F21634" w14:textId="77777777" w:rsidTr="005E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3D42AADE" w14:textId="77777777" w:rsidR="005E691D" w:rsidRDefault="005E691D">
            <w:pPr>
              <w:pBdr>
                <w:top w:val="nil"/>
                <w:left w:val="nil"/>
                <w:bottom w:val="nil"/>
                <w:right w:val="nil"/>
                <w:between w:val="nil"/>
              </w:pBdr>
              <w:spacing w:after="240" w:line="480" w:lineRule="auto"/>
              <w:jc w:val="both"/>
              <w:rPr>
                <w:rFonts w:ascii="Arial" w:eastAsia="Arial" w:hAnsi="Arial" w:cs="Arial"/>
              </w:rPr>
            </w:pPr>
          </w:p>
        </w:tc>
        <w:tc>
          <w:tcPr>
            <w:tcW w:w="2150" w:type="dxa"/>
          </w:tcPr>
          <w:p w14:paraId="41A1D4B9" w14:textId="77777777" w:rsidR="005E691D" w:rsidRDefault="005E691D">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2104" w:type="dxa"/>
          </w:tcPr>
          <w:p w14:paraId="786AA162"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f</w:t>
            </w:r>
          </w:p>
        </w:tc>
        <w:tc>
          <w:tcPr>
            <w:tcW w:w="2104" w:type="dxa"/>
          </w:tcPr>
          <w:p w14:paraId="2DBE2730"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E</w:t>
            </w:r>
          </w:p>
        </w:tc>
      </w:tr>
      <w:tr w:rsidR="005E691D" w14:paraId="0E5CDCEE"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4C4ACAD1"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F</w:t>
            </w:r>
          </w:p>
        </w:tc>
        <w:tc>
          <w:tcPr>
            <w:tcW w:w="2150" w:type="dxa"/>
          </w:tcPr>
          <w:p w14:paraId="6C538C90"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4" w:type="dxa"/>
          </w:tcPr>
          <w:p w14:paraId="5C446BF1"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tc>
        <w:tc>
          <w:tcPr>
            <w:tcW w:w="2104" w:type="dxa"/>
          </w:tcPr>
          <w:p w14:paraId="47EDF1A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.977</w:t>
            </w:r>
            <w:r>
              <w:rPr>
                <w:rFonts w:ascii="Arial" w:eastAsia="Arial" w:hAnsi="Arial" w:cs="Arial"/>
                <w:vertAlign w:val="superscript"/>
              </w:rPr>
              <w:t>**</w:t>
            </w:r>
          </w:p>
        </w:tc>
      </w:tr>
      <w:tr w:rsidR="005E691D" w14:paraId="03B3703D"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shd w:val="clear" w:color="auto" w:fill="CCCCCC"/>
          </w:tcPr>
          <w:p w14:paraId="1B944598"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223E955D"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4" w:type="dxa"/>
          </w:tcPr>
          <w:p w14:paraId="55F4CCA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w:t>
            </w:r>
          </w:p>
        </w:tc>
        <w:tc>
          <w:tcPr>
            <w:tcW w:w="2104" w:type="dxa"/>
          </w:tcPr>
          <w:p w14:paraId="2B5C018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&lt;.001</w:t>
            </w:r>
          </w:p>
        </w:tc>
      </w:tr>
      <w:tr w:rsidR="005E691D" w14:paraId="22F09B4B"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tcPr>
          <w:p w14:paraId="15E57F9F"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205DB7B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N</w:t>
            </w:r>
          </w:p>
        </w:tc>
        <w:tc>
          <w:tcPr>
            <w:tcW w:w="2104" w:type="dxa"/>
          </w:tcPr>
          <w:p w14:paraId="465E208E"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2104" w:type="dxa"/>
          </w:tcPr>
          <w:p w14:paraId="2413B41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r>
      <w:tr w:rsidR="005E691D" w14:paraId="041CE067"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val="restart"/>
          </w:tcPr>
          <w:p w14:paraId="038243EC"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E</w:t>
            </w:r>
          </w:p>
        </w:tc>
        <w:tc>
          <w:tcPr>
            <w:tcW w:w="2150" w:type="dxa"/>
          </w:tcPr>
          <w:p w14:paraId="377466A3"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4" w:type="dxa"/>
          </w:tcPr>
          <w:p w14:paraId="0792540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.977</w:t>
            </w:r>
            <w:r>
              <w:rPr>
                <w:rFonts w:ascii="Arial" w:eastAsia="Arial" w:hAnsi="Arial" w:cs="Arial"/>
                <w:vertAlign w:val="superscript"/>
              </w:rPr>
              <w:t>**</w:t>
            </w:r>
          </w:p>
        </w:tc>
        <w:tc>
          <w:tcPr>
            <w:tcW w:w="2104" w:type="dxa"/>
          </w:tcPr>
          <w:p w14:paraId="13AD8D9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r>
      <w:tr w:rsidR="005E691D" w14:paraId="4B5504A1"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vMerge/>
          </w:tcPr>
          <w:p w14:paraId="62D97208"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4AF899F6"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4" w:type="dxa"/>
          </w:tcPr>
          <w:p w14:paraId="3E37524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&lt;.001</w:t>
            </w:r>
          </w:p>
        </w:tc>
        <w:tc>
          <w:tcPr>
            <w:tcW w:w="2104" w:type="dxa"/>
          </w:tcPr>
          <w:p w14:paraId="6B5C3473"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w:t>
            </w:r>
          </w:p>
        </w:tc>
      </w:tr>
      <w:tr w:rsidR="005E691D" w14:paraId="69B52E43" w14:textId="77777777" w:rsidTr="005E691D">
        <w:tc>
          <w:tcPr>
            <w:cnfStyle w:val="001000000000" w:firstRow="0" w:lastRow="0" w:firstColumn="1" w:lastColumn="0" w:oddVBand="0" w:evenVBand="0" w:oddHBand="0" w:evenHBand="0" w:firstRowFirstColumn="0" w:firstRowLastColumn="0" w:lastRowFirstColumn="0" w:lastRowLastColumn="0"/>
            <w:tcW w:w="2066" w:type="dxa"/>
            <w:vMerge/>
          </w:tcPr>
          <w:p w14:paraId="179F8136"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5D2CBD99"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w:t>
            </w:r>
          </w:p>
        </w:tc>
        <w:tc>
          <w:tcPr>
            <w:tcW w:w="2104" w:type="dxa"/>
          </w:tcPr>
          <w:p w14:paraId="18726D4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c>
          <w:tcPr>
            <w:tcW w:w="2104" w:type="dxa"/>
          </w:tcPr>
          <w:p w14:paraId="78D6F656"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r>
    </w:tbl>
    <w:p w14:paraId="66BCA544"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6E1D153D"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II. Furthermore, this value is significant at 99% and 95% level of significance because the significance value is less than 0.01</w:t>
      </w:r>
    </w:p>
    <w:p w14:paraId="6CC4C8CF"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p>
    <w:p w14:paraId="54588C95"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41612CF"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DDC7181"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4CFB47B1"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EFA255E"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D787FB5"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2C8268F"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37C13B0"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2A0C3BAD"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25A358A"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49C4B2DE"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1A0ED048"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455927A2"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Table 6: </w:t>
      </w:r>
      <w:r>
        <w:rPr>
          <w:rFonts w:ascii="Arial" w:eastAsia="Arial" w:hAnsi="Arial" w:cs="Arial"/>
          <w:color w:val="000000"/>
        </w:rPr>
        <w:t>Showing the relationship between foot length for females.</w:t>
      </w:r>
    </w:p>
    <w:tbl>
      <w:tblPr>
        <w:tblStyle w:val="a5"/>
        <w:tblW w:w="8424" w:type="dxa"/>
        <w:tblInd w:w="459" w:type="dxa"/>
        <w:tblBorders>
          <w:top w:val="single" w:sz="4" w:space="0" w:color="000000"/>
          <w:bottom w:val="single" w:sz="4" w:space="0" w:color="000000"/>
        </w:tblBorders>
        <w:tblLayout w:type="fixed"/>
        <w:tblLook w:val="04A0" w:firstRow="1" w:lastRow="0" w:firstColumn="1" w:lastColumn="0" w:noHBand="0" w:noVBand="1"/>
      </w:tblPr>
      <w:tblGrid>
        <w:gridCol w:w="2068"/>
        <w:gridCol w:w="2150"/>
        <w:gridCol w:w="2103"/>
        <w:gridCol w:w="2103"/>
      </w:tblGrid>
      <w:tr w:rsidR="005E691D" w14:paraId="7F893C83" w14:textId="77777777" w:rsidTr="005E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85244A7" w14:textId="77777777" w:rsidR="005E691D" w:rsidRDefault="005E691D">
            <w:pPr>
              <w:pBdr>
                <w:top w:val="nil"/>
                <w:left w:val="nil"/>
                <w:bottom w:val="nil"/>
                <w:right w:val="nil"/>
                <w:between w:val="nil"/>
              </w:pBdr>
              <w:spacing w:after="240" w:line="480" w:lineRule="auto"/>
              <w:jc w:val="both"/>
              <w:rPr>
                <w:rFonts w:ascii="Arial" w:eastAsia="Arial" w:hAnsi="Arial" w:cs="Arial"/>
              </w:rPr>
            </w:pPr>
          </w:p>
        </w:tc>
        <w:tc>
          <w:tcPr>
            <w:tcW w:w="2150" w:type="dxa"/>
          </w:tcPr>
          <w:p w14:paraId="57206321" w14:textId="77777777" w:rsidR="005E691D" w:rsidRDefault="005E691D">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2103" w:type="dxa"/>
          </w:tcPr>
          <w:p w14:paraId="1087C621"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c</w:t>
            </w:r>
          </w:p>
        </w:tc>
        <w:tc>
          <w:tcPr>
            <w:tcW w:w="2103" w:type="dxa"/>
          </w:tcPr>
          <w:p w14:paraId="43C88AFF"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D</w:t>
            </w:r>
          </w:p>
        </w:tc>
      </w:tr>
      <w:tr w:rsidR="005E691D" w14:paraId="5EE44D69"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val="restart"/>
          </w:tcPr>
          <w:p w14:paraId="4EE372A9"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C</w:t>
            </w:r>
          </w:p>
        </w:tc>
        <w:tc>
          <w:tcPr>
            <w:tcW w:w="2150" w:type="dxa"/>
          </w:tcPr>
          <w:p w14:paraId="06B2AE04"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3" w:type="dxa"/>
          </w:tcPr>
          <w:p w14:paraId="0FCA8328"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tc>
        <w:tc>
          <w:tcPr>
            <w:tcW w:w="2103" w:type="dxa"/>
          </w:tcPr>
          <w:p w14:paraId="671655BE"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.923</w:t>
            </w:r>
            <w:r>
              <w:rPr>
                <w:rFonts w:ascii="Arial" w:eastAsia="Arial" w:hAnsi="Arial" w:cs="Arial"/>
                <w:vertAlign w:val="superscript"/>
              </w:rPr>
              <w:t>**</w:t>
            </w:r>
          </w:p>
        </w:tc>
      </w:tr>
      <w:tr w:rsidR="005E691D" w14:paraId="76B037A0"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shd w:val="clear" w:color="auto" w:fill="CCCCCC"/>
          </w:tcPr>
          <w:p w14:paraId="777AAADB"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37F97B1C"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3" w:type="dxa"/>
          </w:tcPr>
          <w:p w14:paraId="78F4BC35"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w:t>
            </w:r>
          </w:p>
        </w:tc>
        <w:tc>
          <w:tcPr>
            <w:tcW w:w="2103" w:type="dxa"/>
          </w:tcPr>
          <w:p w14:paraId="5FE531B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&lt;.001</w:t>
            </w:r>
          </w:p>
        </w:tc>
      </w:tr>
      <w:tr w:rsidR="005E691D" w14:paraId="109966B8"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tcPr>
          <w:p w14:paraId="6152FDA5"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47D97AFB"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N</w:t>
            </w:r>
          </w:p>
        </w:tc>
        <w:tc>
          <w:tcPr>
            <w:tcW w:w="2103" w:type="dxa"/>
          </w:tcPr>
          <w:p w14:paraId="7D4FD96E"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2103" w:type="dxa"/>
          </w:tcPr>
          <w:p w14:paraId="7B55408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r>
      <w:tr w:rsidR="005E691D" w14:paraId="3EF48D56"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val="restart"/>
          </w:tcPr>
          <w:p w14:paraId="68065511"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D</w:t>
            </w:r>
          </w:p>
        </w:tc>
        <w:tc>
          <w:tcPr>
            <w:tcW w:w="2150" w:type="dxa"/>
          </w:tcPr>
          <w:p w14:paraId="55FA5E2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3" w:type="dxa"/>
          </w:tcPr>
          <w:p w14:paraId="00FB6E2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.923</w:t>
            </w:r>
            <w:r>
              <w:rPr>
                <w:rFonts w:ascii="Arial" w:eastAsia="Arial" w:hAnsi="Arial" w:cs="Arial"/>
                <w:vertAlign w:val="superscript"/>
              </w:rPr>
              <w:t>**</w:t>
            </w:r>
          </w:p>
        </w:tc>
        <w:tc>
          <w:tcPr>
            <w:tcW w:w="2103" w:type="dxa"/>
          </w:tcPr>
          <w:p w14:paraId="48BE133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r>
      <w:tr w:rsidR="005E691D" w14:paraId="3705C4DF"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tcPr>
          <w:p w14:paraId="46DEE572"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7015320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3" w:type="dxa"/>
          </w:tcPr>
          <w:p w14:paraId="782C70A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&lt;.001</w:t>
            </w:r>
          </w:p>
        </w:tc>
        <w:tc>
          <w:tcPr>
            <w:tcW w:w="2103" w:type="dxa"/>
          </w:tcPr>
          <w:p w14:paraId="5BE9E512"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w:t>
            </w:r>
          </w:p>
        </w:tc>
      </w:tr>
      <w:tr w:rsidR="005E691D" w14:paraId="13E61058"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tcPr>
          <w:p w14:paraId="735E76FA"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0A07381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w:t>
            </w:r>
          </w:p>
        </w:tc>
        <w:tc>
          <w:tcPr>
            <w:tcW w:w="2103" w:type="dxa"/>
          </w:tcPr>
          <w:p w14:paraId="52000AD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c>
          <w:tcPr>
            <w:tcW w:w="2103" w:type="dxa"/>
          </w:tcPr>
          <w:p w14:paraId="66ACF2A8"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w:t>
            </w:r>
          </w:p>
        </w:tc>
      </w:tr>
    </w:tbl>
    <w:p w14:paraId="7C0DB65D"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351A090B"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III. The value obtained, which is less than 0.01, shows that it is significant at both the 99% and 95% levels of significance.</w:t>
      </w:r>
    </w:p>
    <w:p w14:paraId="42D9BD31"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p>
    <w:p w14:paraId="363BE49B"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2BDE60D"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A2F4F19"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43FA4BC5"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7439AEA9"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3EE9163"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24C76E1"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A796F80"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7FB77290"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3BB30230"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D67B949"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F3C1B28"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6FEAAE1C"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19266D9F"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72483391" w14:textId="77777777" w:rsidR="005E691D" w:rsidRDefault="005E691D">
      <w:pPr>
        <w:pBdr>
          <w:top w:val="nil"/>
          <w:left w:val="nil"/>
          <w:bottom w:val="nil"/>
          <w:right w:val="nil"/>
          <w:between w:val="nil"/>
        </w:pBdr>
        <w:spacing w:after="240"/>
        <w:jc w:val="both"/>
        <w:rPr>
          <w:rFonts w:ascii="Arial" w:eastAsia="Arial" w:hAnsi="Arial" w:cs="Arial"/>
          <w:b/>
          <w:color w:val="000000"/>
        </w:rPr>
      </w:pPr>
    </w:p>
    <w:p w14:paraId="56EF3477"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Table 7: </w:t>
      </w:r>
      <w:r>
        <w:rPr>
          <w:rFonts w:ascii="Arial" w:eastAsia="Arial" w:hAnsi="Arial" w:cs="Arial"/>
          <w:color w:val="000000"/>
        </w:rPr>
        <w:t>Showing the relationship between foot width for females.</w:t>
      </w:r>
    </w:p>
    <w:tbl>
      <w:tblPr>
        <w:tblStyle w:val="a6"/>
        <w:tblW w:w="8424" w:type="dxa"/>
        <w:tblInd w:w="429" w:type="dxa"/>
        <w:tblBorders>
          <w:top w:val="single" w:sz="4" w:space="0" w:color="000000"/>
          <w:bottom w:val="single" w:sz="4" w:space="0" w:color="000000"/>
        </w:tblBorders>
        <w:tblLayout w:type="fixed"/>
        <w:tblLook w:val="04A0" w:firstRow="1" w:lastRow="0" w:firstColumn="1" w:lastColumn="0" w:noHBand="0" w:noVBand="1"/>
      </w:tblPr>
      <w:tblGrid>
        <w:gridCol w:w="2068"/>
        <w:gridCol w:w="2150"/>
        <w:gridCol w:w="2103"/>
        <w:gridCol w:w="2103"/>
      </w:tblGrid>
      <w:tr w:rsidR="005E691D" w14:paraId="55AA660D" w14:textId="77777777" w:rsidTr="005E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1BC9D90" w14:textId="77777777" w:rsidR="005E691D" w:rsidRDefault="005E691D">
            <w:pPr>
              <w:pBdr>
                <w:top w:val="nil"/>
                <w:left w:val="nil"/>
                <w:bottom w:val="nil"/>
                <w:right w:val="nil"/>
                <w:between w:val="nil"/>
              </w:pBdr>
              <w:spacing w:after="240" w:line="480" w:lineRule="auto"/>
              <w:jc w:val="both"/>
              <w:rPr>
                <w:rFonts w:ascii="Arial" w:eastAsia="Arial" w:hAnsi="Arial" w:cs="Arial"/>
              </w:rPr>
            </w:pPr>
          </w:p>
        </w:tc>
        <w:tc>
          <w:tcPr>
            <w:tcW w:w="2150" w:type="dxa"/>
          </w:tcPr>
          <w:p w14:paraId="2BF5591B" w14:textId="77777777" w:rsidR="005E691D" w:rsidRDefault="005E691D">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p>
        </w:tc>
        <w:tc>
          <w:tcPr>
            <w:tcW w:w="2103" w:type="dxa"/>
          </w:tcPr>
          <w:p w14:paraId="7E6838B2"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g</w:t>
            </w:r>
          </w:p>
        </w:tc>
        <w:tc>
          <w:tcPr>
            <w:tcW w:w="2103" w:type="dxa"/>
          </w:tcPr>
          <w:p w14:paraId="7F540756"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H</w:t>
            </w:r>
          </w:p>
        </w:tc>
      </w:tr>
      <w:tr w:rsidR="005E691D" w14:paraId="329F7E64"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val="restart"/>
          </w:tcPr>
          <w:p w14:paraId="0519EBA6"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G</w:t>
            </w:r>
          </w:p>
        </w:tc>
        <w:tc>
          <w:tcPr>
            <w:tcW w:w="2150" w:type="dxa"/>
          </w:tcPr>
          <w:p w14:paraId="4E71FA7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3" w:type="dxa"/>
          </w:tcPr>
          <w:p w14:paraId="05A3C703"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p>
        </w:tc>
        <w:tc>
          <w:tcPr>
            <w:tcW w:w="2103" w:type="dxa"/>
          </w:tcPr>
          <w:p w14:paraId="77166EA4"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.987</w:t>
            </w:r>
            <w:r>
              <w:rPr>
                <w:rFonts w:ascii="Arial" w:eastAsia="Arial" w:hAnsi="Arial" w:cs="Arial"/>
                <w:vertAlign w:val="superscript"/>
              </w:rPr>
              <w:t>**</w:t>
            </w:r>
          </w:p>
        </w:tc>
      </w:tr>
      <w:tr w:rsidR="005E691D" w14:paraId="5C1680C0"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shd w:val="clear" w:color="auto" w:fill="CCCCCC"/>
          </w:tcPr>
          <w:p w14:paraId="2BC0A310"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183C6366"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3" w:type="dxa"/>
          </w:tcPr>
          <w:p w14:paraId="5FBDF793"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w:t>
            </w:r>
          </w:p>
        </w:tc>
        <w:tc>
          <w:tcPr>
            <w:tcW w:w="2103" w:type="dxa"/>
          </w:tcPr>
          <w:p w14:paraId="15CFB319"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&lt;.001</w:t>
            </w:r>
          </w:p>
        </w:tc>
      </w:tr>
      <w:tr w:rsidR="005E691D" w14:paraId="33FA9969"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tcPr>
          <w:p w14:paraId="66562834"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125146A8"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N</w:t>
            </w:r>
          </w:p>
        </w:tc>
        <w:tc>
          <w:tcPr>
            <w:tcW w:w="2103" w:type="dxa"/>
          </w:tcPr>
          <w:p w14:paraId="531066DC"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100</w:t>
            </w:r>
          </w:p>
        </w:tc>
        <w:tc>
          <w:tcPr>
            <w:tcW w:w="2103" w:type="dxa"/>
          </w:tcPr>
          <w:p w14:paraId="3746D8DE"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99</w:t>
            </w:r>
          </w:p>
        </w:tc>
      </w:tr>
      <w:tr w:rsidR="005E691D" w14:paraId="10674415"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val="restart"/>
          </w:tcPr>
          <w:p w14:paraId="2FDC260A"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H</w:t>
            </w:r>
          </w:p>
        </w:tc>
        <w:tc>
          <w:tcPr>
            <w:tcW w:w="2150" w:type="dxa"/>
          </w:tcPr>
          <w:p w14:paraId="2BAC1FC1"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Pearson Correlation</w:t>
            </w:r>
          </w:p>
        </w:tc>
        <w:tc>
          <w:tcPr>
            <w:tcW w:w="2103" w:type="dxa"/>
          </w:tcPr>
          <w:p w14:paraId="054B0BF4"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.987</w:t>
            </w:r>
            <w:r>
              <w:rPr>
                <w:rFonts w:ascii="Arial" w:eastAsia="Arial" w:hAnsi="Arial" w:cs="Arial"/>
                <w:vertAlign w:val="superscript"/>
              </w:rPr>
              <w:t>**</w:t>
            </w:r>
          </w:p>
        </w:tc>
        <w:tc>
          <w:tcPr>
            <w:tcW w:w="2103" w:type="dxa"/>
          </w:tcPr>
          <w:p w14:paraId="2B164524"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w:t>
            </w:r>
          </w:p>
        </w:tc>
      </w:tr>
      <w:tr w:rsidR="005E691D" w14:paraId="394E3A59" w14:textId="77777777" w:rsidTr="005E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vMerge/>
          </w:tcPr>
          <w:p w14:paraId="64AB9079"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24D270AA"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Sig. (2-tailed)</w:t>
            </w:r>
          </w:p>
        </w:tc>
        <w:tc>
          <w:tcPr>
            <w:tcW w:w="2103" w:type="dxa"/>
          </w:tcPr>
          <w:p w14:paraId="3838E32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&lt;.001</w:t>
            </w:r>
          </w:p>
        </w:tc>
        <w:tc>
          <w:tcPr>
            <w:tcW w:w="2103" w:type="dxa"/>
          </w:tcPr>
          <w:p w14:paraId="796F2E40"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w:t>
            </w:r>
          </w:p>
        </w:tc>
      </w:tr>
      <w:tr w:rsidR="005E691D" w14:paraId="66B63440" w14:textId="77777777" w:rsidTr="005E691D">
        <w:tc>
          <w:tcPr>
            <w:cnfStyle w:val="001000000000" w:firstRow="0" w:lastRow="0" w:firstColumn="1" w:lastColumn="0" w:oddVBand="0" w:evenVBand="0" w:oddHBand="0" w:evenHBand="0" w:firstRowFirstColumn="0" w:firstRowLastColumn="0" w:lastRowFirstColumn="0" w:lastRowLastColumn="0"/>
            <w:tcW w:w="2068" w:type="dxa"/>
            <w:vMerge/>
          </w:tcPr>
          <w:p w14:paraId="09212DCB" w14:textId="77777777" w:rsidR="005E691D" w:rsidRDefault="005E691D">
            <w:pPr>
              <w:widowControl w:val="0"/>
              <w:pBdr>
                <w:top w:val="nil"/>
                <w:left w:val="nil"/>
                <w:bottom w:val="nil"/>
                <w:right w:val="nil"/>
                <w:between w:val="nil"/>
              </w:pBdr>
              <w:spacing w:line="276" w:lineRule="auto"/>
              <w:rPr>
                <w:rFonts w:ascii="Arial" w:eastAsia="Arial" w:hAnsi="Arial" w:cs="Arial"/>
              </w:rPr>
            </w:pPr>
          </w:p>
        </w:tc>
        <w:tc>
          <w:tcPr>
            <w:tcW w:w="2150" w:type="dxa"/>
          </w:tcPr>
          <w:p w14:paraId="58E686D5"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w:t>
            </w:r>
          </w:p>
        </w:tc>
        <w:tc>
          <w:tcPr>
            <w:tcW w:w="2103" w:type="dxa"/>
          </w:tcPr>
          <w:p w14:paraId="1ECF7B2A"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99</w:t>
            </w:r>
          </w:p>
        </w:tc>
        <w:tc>
          <w:tcPr>
            <w:tcW w:w="2103" w:type="dxa"/>
          </w:tcPr>
          <w:p w14:paraId="18B4AF4F"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99</w:t>
            </w:r>
          </w:p>
        </w:tc>
      </w:tr>
    </w:tbl>
    <w:p w14:paraId="76FF712F"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40A61488"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IV. The significance value obtained which is less than 0.01 shows that it is significant at both 99% and 95% level of significance.</w:t>
      </w:r>
    </w:p>
    <w:p w14:paraId="3E6E7402"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2E6538F5"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7C46ECBC"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47F4F16A"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ADE58EF"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5F06921A"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A1FE203"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542E5C83"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19FFC1D"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419794F0"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F39A210"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110B28B7"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7425B358"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55E2004"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6FF2CC4" w14:textId="77777777" w:rsidR="005E691D" w:rsidRDefault="005E691D">
      <w:pPr>
        <w:pBdr>
          <w:top w:val="nil"/>
          <w:left w:val="nil"/>
          <w:bottom w:val="nil"/>
          <w:right w:val="nil"/>
          <w:between w:val="nil"/>
        </w:pBdr>
        <w:spacing w:after="240"/>
        <w:jc w:val="both"/>
        <w:rPr>
          <w:rFonts w:ascii="Arial" w:eastAsia="Arial" w:hAnsi="Arial" w:cs="Arial"/>
          <w:color w:val="000000"/>
        </w:rPr>
      </w:pPr>
    </w:p>
    <w:p w14:paraId="666549F2"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8 shows the observed foot shape of both male and female Subjects. The table showed the prevalence of foot shape in both the left and right foot. </w:t>
      </w:r>
    </w:p>
    <w:p w14:paraId="56D2B496"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lastRenderedPageBreak/>
        <w:t>Table 8:</w:t>
      </w:r>
      <w:r>
        <w:rPr>
          <w:rFonts w:ascii="Arial" w:eastAsia="Arial" w:hAnsi="Arial" w:cs="Arial"/>
          <w:color w:val="000000"/>
        </w:rPr>
        <w:t xml:space="preserve"> Showing the</w:t>
      </w:r>
      <w:r>
        <w:rPr>
          <w:rFonts w:ascii="Arial" w:eastAsia="Arial" w:hAnsi="Arial" w:cs="Arial"/>
          <w:b/>
          <w:color w:val="000000"/>
        </w:rPr>
        <w:t xml:space="preserve"> </w:t>
      </w:r>
      <w:r>
        <w:rPr>
          <w:rFonts w:ascii="Arial" w:eastAsia="Arial" w:hAnsi="Arial" w:cs="Arial"/>
          <w:color w:val="000000"/>
        </w:rPr>
        <w:t>Observed values of Greek and Egyptian foot shapes:</w:t>
      </w:r>
    </w:p>
    <w:tbl>
      <w:tblPr>
        <w:tblStyle w:val="a7"/>
        <w:tblW w:w="7958" w:type="dxa"/>
        <w:tblInd w:w="272" w:type="dxa"/>
        <w:tblBorders>
          <w:top w:val="single" w:sz="4" w:space="0" w:color="000000"/>
          <w:bottom w:val="single" w:sz="4" w:space="0" w:color="000000"/>
        </w:tblBorders>
        <w:tblLayout w:type="fixed"/>
        <w:tblLook w:val="04A0" w:firstRow="1" w:lastRow="0" w:firstColumn="1" w:lastColumn="0" w:noHBand="0" w:noVBand="1"/>
      </w:tblPr>
      <w:tblGrid>
        <w:gridCol w:w="3898"/>
        <w:gridCol w:w="1203"/>
        <w:gridCol w:w="1634"/>
        <w:gridCol w:w="1223"/>
      </w:tblGrid>
      <w:tr w:rsidR="005E691D" w14:paraId="4B68FB4E" w14:textId="77777777" w:rsidTr="005E691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98" w:type="dxa"/>
          </w:tcPr>
          <w:p w14:paraId="6C66B901"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Foot Shape</w:t>
            </w:r>
          </w:p>
        </w:tc>
        <w:tc>
          <w:tcPr>
            <w:tcW w:w="1203" w:type="dxa"/>
          </w:tcPr>
          <w:p w14:paraId="3BD44563"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Male</w:t>
            </w:r>
          </w:p>
        </w:tc>
        <w:tc>
          <w:tcPr>
            <w:tcW w:w="1634" w:type="dxa"/>
          </w:tcPr>
          <w:p w14:paraId="5976C1B4"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Female</w:t>
            </w:r>
          </w:p>
        </w:tc>
        <w:tc>
          <w:tcPr>
            <w:tcW w:w="1223" w:type="dxa"/>
          </w:tcPr>
          <w:p w14:paraId="3BF1EEF5" w14:textId="77777777" w:rsidR="005E691D" w:rsidRDefault="00911749">
            <w:pPr>
              <w:pBdr>
                <w:top w:val="nil"/>
                <w:left w:val="nil"/>
                <w:bottom w:val="nil"/>
                <w:right w:val="nil"/>
                <w:between w:val="nil"/>
              </w:pBd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Total</w:t>
            </w:r>
          </w:p>
        </w:tc>
      </w:tr>
      <w:tr w:rsidR="005E691D" w14:paraId="3FE9AB62" w14:textId="77777777" w:rsidTr="005E691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98" w:type="dxa"/>
          </w:tcPr>
          <w:p w14:paraId="157DB20F"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Greek Foot (Right)</w:t>
            </w:r>
          </w:p>
        </w:tc>
        <w:tc>
          <w:tcPr>
            <w:tcW w:w="1203" w:type="dxa"/>
          </w:tcPr>
          <w:p w14:paraId="1224B14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75</w:t>
            </w:r>
          </w:p>
        </w:tc>
        <w:tc>
          <w:tcPr>
            <w:tcW w:w="1634" w:type="dxa"/>
          </w:tcPr>
          <w:p w14:paraId="24B2DE98"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38</w:t>
            </w:r>
          </w:p>
        </w:tc>
        <w:tc>
          <w:tcPr>
            <w:tcW w:w="1223" w:type="dxa"/>
          </w:tcPr>
          <w:p w14:paraId="7D123E36"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113</w:t>
            </w:r>
          </w:p>
        </w:tc>
      </w:tr>
      <w:tr w:rsidR="005E691D" w14:paraId="63050EC8" w14:textId="77777777" w:rsidTr="005E691D">
        <w:trPr>
          <w:trHeight w:val="357"/>
        </w:trPr>
        <w:tc>
          <w:tcPr>
            <w:cnfStyle w:val="001000000000" w:firstRow="0" w:lastRow="0" w:firstColumn="1" w:lastColumn="0" w:oddVBand="0" w:evenVBand="0" w:oddHBand="0" w:evenHBand="0" w:firstRowFirstColumn="0" w:firstRowLastColumn="0" w:lastRowFirstColumn="0" w:lastRowLastColumn="0"/>
            <w:tcW w:w="3898" w:type="dxa"/>
          </w:tcPr>
          <w:p w14:paraId="02609B8F"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Greek Foot (Left)</w:t>
            </w:r>
          </w:p>
        </w:tc>
        <w:tc>
          <w:tcPr>
            <w:tcW w:w="1203" w:type="dxa"/>
          </w:tcPr>
          <w:p w14:paraId="4F3C5EF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83</w:t>
            </w:r>
          </w:p>
        </w:tc>
        <w:tc>
          <w:tcPr>
            <w:tcW w:w="1634" w:type="dxa"/>
          </w:tcPr>
          <w:p w14:paraId="5A141567"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26</w:t>
            </w:r>
          </w:p>
        </w:tc>
        <w:tc>
          <w:tcPr>
            <w:tcW w:w="1223" w:type="dxa"/>
          </w:tcPr>
          <w:p w14:paraId="4F8601EF"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109</w:t>
            </w:r>
          </w:p>
        </w:tc>
      </w:tr>
      <w:tr w:rsidR="005E691D" w14:paraId="7823B97F" w14:textId="77777777" w:rsidTr="005E691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98" w:type="dxa"/>
          </w:tcPr>
          <w:p w14:paraId="5414EA25"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Egyptian Foot (Right)</w:t>
            </w:r>
          </w:p>
        </w:tc>
        <w:tc>
          <w:tcPr>
            <w:tcW w:w="1203" w:type="dxa"/>
          </w:tcPr>
          <w:p w14:paraId="41675EF7"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25</w:t>
            </w:r>
          </w:p>
        </w:tc>
        <w:tc>
          <w:tcPr>
            <w:tcW w:w="1634" w:type="dxa"/>
          </w:tcPr>
          <w:p w14:paraId="35B2F52F"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62</w:t>
            </w:r>
          </w:p>
        </w:tc>
        <w:tc>
          <w:tcPr>
            <w:tcW w:w="1223" w:type="dxa"/>
          </w:tcPr>
          <w:p w14:paraId="2D74E28B"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87</w:t>
            </w:r>
          </w:p>
        </w:tc>
      </w:tr>
      <w:tr w:rsidR="005E691D" w14:paraId="5EFD94E3" w14:textId="77777777" w:rsidTr="005E691D">
        <w:trPr>
          <w:trHeight w:val="357"/>
        </w:trPr>
        <w:tc>
          <w:tcPr>
            <w:cnfStyle w:val="001000000000" w:firstRow="0" w:lastRow="0" w:firstColumn="1" w:lastColumn="0" w:oddVBand="0" w:evenVBand="0" w:oddHBand="0" w:evenHBand="0" w:firstRowFirstColumn="0" w:firstRowLastColumn="0" w:lastRowFirstColumn="0" w:lastRowLastColumn="0"/>
            <w:tcW w:w="3898" w:type="dxa"/>
          </w:tcPr>
          <w:p w14:paraId="0D903686"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Egyptian Foot (Left)</w:t>
            </w:r>
          </w:p>
        </w:tc>
        <w:tc>
          <w:tcPr>
            <w:tcW w:w="1203" w:type="dxa"/>
          </w:tcPr>
          <w:p w14:paraId="7088700B"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17</w:t>
            </w:r>
          </w:p>
        </w:tc>
        <w:tc>
          <w:tcPr>
            <w:tcW w:w="1634" w:type="dxa"/>
          </w:tcPr>
          <w:p w14:paraId="3D3F4D22"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74</w:t>
            </w:r>
          </w:p>
        </w:tc>
        <w:tc>
          <w:tcPr>
            <w:tcW w:w="1223" w:type="dxa"/>
          </w:tcPr>
          <w:p w14:paraId="407EE3FF" w14:textId="77777777" w:rsidR="005E691D" w:rsidRDefault="00911749">
            <w:pPr>
              <w:pBdr>
                <w:top w:val="nil"/>
                <w:left w:val="nil"/>
                <w:bottom w:val="nil"/>
                <w:right w:val="nil"/>
                <w:between w:val="nil"/>
              </w:pBdr>
              <w:spacing w:after="240" w:line="48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91</w:t>
            </w:r>
          </w:p>
        </w:tc>
      </w:tr>
      <w:tr w:rsidR="005E691D" w14:paraId="2BFCC15B" w14:textId="77777777" w:rsidTr="005E691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98" w:type="dxa"/>
          </w:tcPr>
          <w:p w14:paraId="4145ADD8" w14:textId="77777777" w:rsidR="005E691D" w:rsidRDefault="00911749">
            <w:pPr>
              <w:pBdr>
                <w:top w:val="nil"/>
                <w:left w:val="nil"/>
                <w:bottom w:val="nil"/>
                <w:right w:val="nil"/>
                <w:between w:val="nil"/>
              </w:pBdr>
              <w:spacing w:after="240" w:line="480" w:lineRule="auto"/>
              <w:jc w:val="both"/>
              <w:rPr>
                <w:rFonts w:ascii="Arial" w:eastAsia="Arial" w:hAnsi="Arial" w:cs="Arial"/>
              </w:rPr>
            </w:pPr>
            <w:r>
              <w:rPr>
                <w:rFonts w:ascii="Arial" w:eastAsia="Arial" w:hAnsi="Arial" w:cs="Arial"/>
                <w:b w:val="0"/>
              </w:rPr>
              <w:t>Total</w:t>
            </w:r>
          </w:p>
        </w:tc>
        <w:tc>
          <w:tcPr>
            <w:tcW w:w="1203" w:type="dxa"/>
          </w:tcPr>
          <w:p w14:paraId="292B0818"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200</w:t>
            </w:r>
          </w:p>
        </w:tc>
        <w:tc>
          <w:tcPr>
            <w:tcW w:w="1634" w:type="dxa"/>
          </w:tcPr>
          <w:p w14:paraId="72E24546"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200</w:t>
            </w:r>
          </w:p>
        </w:tc>
        <w:tc>
          <w:tcPr>
            <w:tcW w:w="1223" w:type="dxa"/>
          </w:tcPr>
          <w:p w14:paraId="6D889659" w14:textId="77777777" w:rsidR="005E691D" w:rsidRDefault="00911749">
            <w:pPr>
              <w:pBdr>
                <w:top w:val="nil"/>
                <w:left w:val="nil"/>
                <w:bottom w:val="nil"/>
                <w:right w:val="nil"/>
                <w:between w:val="nil"/>
              </w:pBdr>
              <w:spacing w:after="240" w:line="48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400</w:t>
            </w:r>
          </w:p>
        </w:tc>
      </w:tr>
    </w:tbl>
    <w:p w14:paraId="1A927EA0" w14:textId="77777777" w:rsidR="005E691D" w:rsidRDefault="00911749">
      <w:pPr>
        <w:pBdr>
          <w:top w:val="nil"/>
          <w:left w:val="nil"/>
          <w:bottom w:val="nil"/>
          <w:right w:val="nil"/>
          <w:between w:val="nil"/>
        </w:pBdr>
        <w:spacing w:after="240" w:line="480" w:lineRule="auto"/>
        <w:jc w:val="both"/>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*FW= foot width, FL = foot length</w:t>
      </w:r>
    </w:p>
    <w:p w14:paraId="01108D4E" w14:textId="77777777" w:rsidR="005E691D" w:rsidRDefault="0091174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highlight w:val="yellow"/>
        </w:rPr>
        <w:t xml:space="preserve">3.2 </w:t>
      </w:r>
      <w:r>
        <w:rPr>
          <w:rFonts w:ascii="Arial" w:eastAsia="Arial" w:hAnsi="Arial" w:cs="Arial"/>
          <w:b/>
          <w:color w:val="000000"/>
          <w:sz w:val="22"/>
          <w:szCs w:val="22"/>
          <w:highlight w:val="yellow"/>
        </w:rPr>
        <w:t>Discussion</w:t>
      </w:r>
    </w:p>
    <w:p w14:paraId="7309A041" w14:textId="7EA64E7A"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Significant differences between males and females in both foot width and foot length were observed in this research, with males showing larger dimensions across all parameters measured. The right foot width (RFW) and left foot width (LFW) for males were significantly higher than for females. These differences can be attributed to biological factors, such as the generally larger skeletal structure of males compared to females, which has been widely documented in other anatomical studies (S</w:t>
      </w:r>
      <w:r w:rsidR="001A062A">
        <w:rPr>
          <w:rFonts w:ascii="Arial" w:eastAsia="Arial" w:hAnsi="Arial" w:cs="Arial"/>
          <w:color w:val="000000"/>
          <w:highlight w:val="yellow"/>
        </w:rPr>
        <w:t>ulieman</w:t>
      </w:r>
      <w:r>
        <w:rPr>
          <w:rFonts w:ascii="Arial" w:eastAsia="Arial" w:hAnsi="Arial" w:cs="Arial"/>
          <w:color w:val="000000"/>
          <w:highlight w:val="yellow"/>
        </w:rPr>
        <w:t>, 20</w:t>
      </w:r>
      <w:r w:rsidR="001A062A">
        <w:rPr>
          <w:rFonts w:ascii="Arial" w:eastAsia="Arial" w:hAnsi="Arial" w:cs="Arial"/>
          <w:color w:val="000000"/>
          <w:highlight w:val="yellow"/>
        </w:rPr>
        <w:t>24</w:t>
      </w:r>
      <w:r>
        <w:rPr>
          <w:rFonts w:ascii="Arial" w:eastAsia="Arial" w:hAnsi="Arial" w:cs="Arial"/>
          <w:color w:val="000000"/>
          <w:highlight w:val="yellow"/>
        </w:rPr>
        <w:t xml:space="preserve">). The mean RFW for males was 97.76 ± 9.76 mm compared to 82.66 ± 5.03 mm for females, which was statistically significant with a p-value of 0.01. Similar trends were observed in right foot length for males (RFLM) which was 25.32 ± 1.22 and right foot length for females (RFLF) which was 22.18 ± 1.08. These findings are supported by the work of </w:t>
      </w:r>
      <w:r w:rsidR="00981D52">
        <w:rPr>
          <w:rFonts w:ascii="Arial" w:eastAsia="Arial" w:hAnsi="Arial" w:cs="Arial"/>
          <w:color w:val="000000"/>
          <w:highlight w:val="yellow"/>
        </w:rPr>
        <w:t>Ibeabuchi</w:t>
      </w:r>
      <w:r>
        <w:rPr>
          <w:rFonts w:ascii="Arial" w:eastAsia="Arial" w:hAnsi="Arial" w:cs="Arial"/>
          <w:color w:val="000000"/>
          <w:highlight w:val="yellow"/>
        </w:rPr>
        <w:t xml:space="preserve"> (201</w:t>
      </w:r>
      <w:r w:rsidR="00981D52">
        <w:rPr>
          <w:rFonts w:ascii="Arial" w:eastAsia="Arial" w:hAnsi="Arial" w:cs="Arial"/>
          <w:color w:val="000000"/>
          <w:highlight w:val="yellow"/>
        </w:rPr>
        <w:t>8</w:t>
      </w:r>
      <w:r>
        <w:rPr>
          <w:rFonts w:ascii="Arial" w:eastAsia="Arial" w:hAnsi="Arial" w:cs="Arial"/>
          <w:color w:val="000000"/>
          <w:highlight w:val="yellow"/>
        </w:rPr>
        <w:t>), who reported that males tend to have larger foot dimensions due to differences in bone density and muscle mass.</w:t>
      </w:r>
    </w:p>
    <w:p w14:paraId="5355E349" w14:textId="77777777"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Comparable studies have consistently reported sex-related differences in foot morphology across populations. Krauss et al. (2008) observed that male feet are generally longer and wider than female feet, while Wunderlich and Cavanagh (2001) emphasized the implications of these differences for shoe design, noting that poor accommodation of sex-based variations contributes to footwear-related discomfort. Similarly, Kanchan et al. (2018) found significant sexual dimorphism in footprint dimensions, suggesting th</w:t>
      </w:r>
      <w:r>
        <w:rPr>
          <w:rFonts w:ascii="Arial" w:eastAsia="Arial" w:hAnsi="Arial" w:cs="Arial"/>
          <w:color w:val="000000"/>
          <w:highlight w:val="yellow"/>
        </w:rPr>
        <w:t>at such parameters can even be used for stature estimation in forensic contexts.</w:t>
      </w:r>
    </w:p>
    <w:p w14:paraId="20FD4EB3" w14:textId="77777777"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It was important to test the data using the Kolmogorov-Smirnov normality test before further analysis was carried out. From the result obtained, it was clear that all the P-values were less than 0.05, indicating that the dataset was not normally distributed; therefore, logarithmic transformation was applied, after which normality was achieved.</w:t>
      </w:r>
    </w:p>
    <w:p w14:paraId="30C0E113" w14:textId="5CDB0211"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It was observed that the male subjects had higher mean values than female subjects. This coincides with the findings of </w:t>
      </w:r>
      <w:proofErr w:type="spellStart"/>
      <w:r>
        <w:rPr>
          <w:rFonts w:ascii="Arial" w:eastAsia="Arial" w:hAnsi="Arial" w:cs="Arial"/>
          <w:color w:val="000000"/>
          <w:highlight w:val="yellow"/>
        </w:rPr>
        <w:t>Ok</w:t>
      </w:r>
      <w:r w:rsidR="001A062A">
        <w:rPr>
          <w:rFonts w:ascii="Arial" w:eastAsia="Arial" w:hAnsi="Arial" w:cs="Arial"/>
          <w:color w:val="000000"/>
          <w:highlight w:val="yellow"/>
        </w:rPr>
        <w:t>ubike</w:t>
      </w:r>
      <w:proofErr w:type="spellEnd"/>
      <w:r>
        <w:rPr>
          <w:rFonts w:ascii="Arial" w:eastAsia="Arial" w:hAnsi="Arial" w:cs="Arial"/>
          <w:color w:val="000000"/>
          <w:highlight w:val="yellow"/>
        </w:rPr>
        <w:t xml:space="preserve"> (201</w:t>
      </w:r>
      <w:r w:rsidR="001A062A">
        <w:rPr>
          <w:rFonts w:ascii="Arial" w:eastAsia="Arial" w:hAnsi="Arial" w:cs="Arial"/>
          <w:color w:val="000000"/>
          <w:highlight w:val="yellow"/>
        </w:rPr>
        <w:t>8</w:t>
      </w:r>
      <w:r>
        <w:rPr>
          <w:rFonts w:ascii="Arial" w:eastAsia="Arial" w:hAnsi="Arial" w:cs="Arial"/>
          <w:color w:val="000000"/>
          <w:highlight w:val="yellow"/>
        </w:rPr>
        <w:t>), with male values being 97.76 ± 9.76 (RFW), 98.08 ± 9.72 (LFW), 25.32 ± 1.22 (RFL), and 25.04 ± 1.22 (LFL), whereas females recorded 82.66 ± 5.03 (RFW), 82.89 ± 4.78 (LFW), 22.18 ± 1.08 (RFL), and 22.25 ± 1.07 (LFL).  Earlier study by Fawehinmi and Paul (2008) that studied the foot length of Igbos and Hausas and found the mean foot length as 27.23 ± 1.53 cm for Igbo male and 25.33 ± 2.37 cm for Igbo females and mean foot length for the Hausa males was 27.24 ± 3.04 cm and 26.25 ± 1.19 cm for Hausa females,</w:t>
      </w:r>
      <w:r>
        <w:rPr>
          <w:rFonts w:ascii="Arial" w:eastAsia="Arial" w:hAnsi="Arial" w:cs="Arial"/>
          <w:color w:val="000000"/>
          <w:highlight w:val="yellow"/>
        </w:rPr>
        <w:t xml:space="preserve"> this corresponds to this study which shows that males have higher total foot length and width at all angles. The foot length of male subjects when compared with the data was highly correlated (0.923), while for females, the correlation value was 0.987. Foot width correlation was also high, with values of 0.999 for males and 0.977 for females, both significant at </w:t>
      </w:r>
      <w:r w:rsidR="00981D52">
        <w:rPr>
          <w:rFonts w:ascii="Arial" w:eastAsia="Arial" w:hAnsi="Arial" w:cs="Arial"/>
          <w:color w:val="000000"/>
          <w:highlight w:val="yellow"/>
        </w:rPr>
        <w:t>P (</w:t>
      </w:r>
      <w:r>
        <w:rPr>
          <w:rFonts w:ascii="Arial" w:eastAsia="Arial" w:hAnsi="Arial" w:cs="Arial"/>
          <w:color w:val="000000"/>
          <w:highlight w:val="yellow"/>
        </w:rPr>
        <w:t>0.01). This strong positive correlation indicates consistency of foot width and length between both feet in males and females within the Ijebu-Ode community. Such symmetry has been discussed in anthropometric studies as a marker of developmental stability (Krauss et al., 2008).</w:t>
      </w:r>
    </w:p>
    <w:p w14:paraId="72876AA5" w14:textId="77777777"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Table 8 shows the prevalence of foot shape in both the left and right foot. In males, the Greek foot was the predominant foot shape in the right foot with 75%, followed by the Egyptian foot with 25%. On the left, the Greek foot shape was dominant (83%) compared to Egyptian (17%). In females, the Egyptian foot was predominant on the right with 62%, followed by Greek (38%). In the left foot, the Egyptian type was predominant with 74%, and the Greek followed with 26%. The results of the chi-square test indicat</w:t>
      </w:r>
      <w:r>
        <w:rPr>
          <w:rFonts w:ascii="Arial" w:eastAsia="Arial" w:hAnsi="Arial" w:cs="Arial"/>
          <w:color w:val="000000"/>
          <w:highlight w:val="yellow"/>
        </w:rPr>
        <w:t>e that foot-shape distribution (Greek and Egyptian) is not equally distributed between males and females. This agrees with Hawes et al. (1994), who found ethnic and sex-related variations in forefoot shape that directly influence footwear comfort and design.</w:t>
      </w:r>
    </w:p>
    <w:p w14:paraId="5013267D" w14:textId="77777777" w:rsidR="005E691D" w:rsidRDefault="00911749">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lastRenderedPageBreak/>
        <w:t>This result is important for creating gender-specific shoe designs for the Ijebu-Ode community. In orthopedic health, knowledge of common foot shapes can assist healthcare providers in identifying and managing foot-related conditions more effectively (Nix et al., 2010). The distinct distribution of foot shapes could also reflect cultural or lifestyle differences between males and females in the community, such as variations in activity levels, walking patterns, or traditional footwear usage. Similar associa</w:t>
      </w:r>
      <w:r>
        <w:rPr>
          <w:rFonts w:ascii="Arial" w:eastAsia="Arial" w:hAnsi="Arial" w:cs="Arial"/>
          <w:color w:val="000000"/>
          <w:highlight w:val="yellow"/>
        </w:rPr>
        <w:t>tions between footwear characteristics and foot problems have been reported in other populations (</w:t>
      </w:r>
      <w:proofErr w:type="spellStart"/>
      <w:r>
        <w:rPr>
          <w:rFonts w:ascii="Arial" w:eastAsia="Arial" w:hAnsi="Arial" w:cs="Arial"/>
          <w:color w:val="000000"/>
          <w:highlight w:val="yellow"/>
        </w:rPr>
        <w:t>Menz</w:t>
      </w:r>
      <w:proofErr w:type="spellEnd"/>
      <w:r>
        <w:rPr>
          <w:rFonts w:ascii="Arial" w:eastAsia="Arial" w:hAnsi="Arial" w:cs="Arial"/>
          <w:color w:val="000000"/>
          <w:highlight w:val="yellow"/>
        </w:rPr>
        <w:t xml:space="preserve"> &amp; Morris, 2005).</w:t>
      </w:r>
    </w:p>
    <w:p w14:paraId="09B86EA4" w14:textId="2DBD8BCF" w:rsidR="005E691D" w:rsidRDefault="00911749">
      <w:pPr>
        <w:pBdr>
          <w:top w:val="nil"/>
          <w:left w:val="nil"/>
          <w:bottom w:val="nil"/>
          <w:right w:val="nil"/>
          <w:between w:val="nil"/>
        </w:pBdr>
        <w:jc w:val="both"/>
        <w:rPr>
          <w:rFonts w:ascii="Arial" w:eastAsia="Arial" w:hAnsi="Arial" w:cs="Arial"/>
          <w:color w:val="000000"/>
        </w:rPr>
      </w:pPr>
      <w:r>
        <w:rPr>
          <w:rFonts w:ascii="Arial" w:eastAsia="Arial" w:hAnsi="Arial" w:cs="Arial"/>
          <w:highlight w:val="yellow"/>
        </w:rPr>
        <w:t>This</w:t>
      </w:r>
      <w:r>
        <w:rPr>
          <w:rFonts w:ascii="Arial" w:eastAsia="Arial" w:hAnsi="Arial" w:cs="Arial"/>
          <w:color w:val="000000"/>
          <w:highlight w:val="yellow"/>
        </w:rPr>
        <w:t xml:space="preserve"> analysis enriches the body of anthropometric knowledge already available by providing a deeper understanding of foot morphological differences between genders, more specifically in the Ijebu-Ode community, with practical applications in healthcare, ergonomics, forensic science, and cultural preservation. Emphasizing traditional footwear that fits well can strengthen cultural identity and pride within the community (</w:t>
      </w:r>
      <w:proofErr w:type="spellStart"/>
      <w:r>
        <w:rPr>
          <w:rFonts w:ascii="Arial" w:eastAsia="Arial" w:hAnsi="Arial" w:cs="Arial"/>
          <w:color w:val="000000"/>
          <w:highlight w:val="yellow"/>
        </w:rPr>
        <w:t>Falola</w:t>
      </w:r>
      <w:proofErr w:type="spellEnd"/>
      <w:r>
        <w:rPr>
          <w:rFonts w:ascii="Arial" w:eastAsia="Arial" w:hAnsi="Arial" w:cs="Arial"/>
          <w:color w:val="000000"/>
          <w:highlight w:val="yellow"/>
        </w:rPr>
        <w:t xml:space="preserve"> &amp; Genova, 2009).</w:t>
      </w:r>
      <w:r>
        <w:rPr>
          <w:rFonts w:ascii="Arial" w:eastAsia="Arial" w:hAnsi="Arial" w:cs="Arial"/>
          <w:color w:val="000000"/>
        </w:rPr>
        <w:t xml:space="preserve"> Determination of personal identity is the first and the most importa</w:t>
      </w:r>
      <w:r>
        <w:rPr>
          <w:rFonts w:ascii="Arial" w:eastAsia="Arial" w:hAnsi="Arial" w:cs="Arial"/>
          <w:color w:val="000000"/>
        </w:rPr>
        <w:t xml:space="preserve">nt step in forensic science from number system to advanced biometrics. This identification follows two stage processes, the first stage involves the construction of a biological profile and the second is an attempt at a positive match. Forensic </w:t>
      </w:r>
      <w:r>
        <w:rPr>
          <w:rFonts w:ascii="Arial" w:eastAsia="Arial" w:hAnsi="Arial" w:cs="Arial"/>
        </w:rPr>
        <w:t>podiatry, a novel</w:t>
      </w:r>
      <w:r>
        <w:rPr>
          <w:rFonts w:ascii="Arial" w:eastAsia="Arial" w:hAnsi="Arial" w:cs="Arial"/>
          <w:color w:val="000000"/>
        </w:rPr>
        <w:t xml:space="preserve"> research branch of anthropometry involving human identification of the foot through understanding and measurement of the morphological shapes and </w:t>
      </w:r>
      <w:r>
        <w:rPr>
          <w:rFonts w:ascii="Arial" w:eastAsia="Arial" w:hAnsi="Arial" w:cs="Arial"/>
        </w:rPr>
        <w:t>dimensions, is of</w:t>
      </w:r>
      <w:r>
        <w:rPr>
          <w:rFonts w:ascii="Arial" w:eastAsia="Arial" w:hAnsi="Arial" w:cs="Arial"/>
          <w:color w:val="000000"/>
        </w:rPr>
        <w:t xml:space="preserve"> great application during calamity or disaster as well as our </w:t>
      </w:r>
      <w:r w:rsidR="00775117">
        <w:rPr>
          <w:rFonts w:ascii="Arial" w:eastAsia="Arial" w:hAnsi="Arial" w:cs="Arial"/>
          <w:color w:val="000000"/>
        </w:rPr>
        <w:t>day-to-day</w:t>
      </w:r>
      <w:r>
        <w:rPr>
          <w:rFonts w:ascii="Arial" w:eastAsia="Arial" w:hAnsi="Arial" w:cs="Arial"/>
          <w:color w:val="000000"/>
        </w:rPr>
        <w:t xml:space="preserve"> life (</w:t>
      </w:r>
      <w:proofErr w:type="spellStart"/>
      <w:r>
        <w:rPr>
          <w:rFonts w:ascii="Arial" w:eastAsia="Arial" w:hAnsi="Arial" w:cs="Arial"/>
          <w:color w:val="000000"/>
        </w:rPr>
        <w:t>Vidona</w:t>
      </w:r>
      <w:proofErr w:type="spellEnd"/>
      <w:r>
        <w:rPr>
          <w:rFonts w:ascii="Arial" w:eastAsia="Arial" w:hAnsi="Arial" w:cs="Arial"/>
          <w:color w:val="000000"/>
        </w:rPr>
        <w:t xml:space="preserve"> et al., 2019). </w:t>
      </w:r>
    </w:p>
    <w:p w14:paraId="03794C45" w14:textId="77777777" w:rsidR="005E691D" w:rsidRDefault="005E691D">
      <w:pPr>
        <w:pBdr>
          <w:top w:val="nil"/>
          <w:left w:val="nil"/>
          <w:bottom w:val="nil"/>
          <w:right w:val="nil"/>
          <w:between w:val="nil"/>
        </w:pBdr>
        <w:jc w:val="both"/>
        <w:rPr>
          <w:rFonts w:ascii="Arial" w:eastAsia="Arial" w:hAnsi="Arial" w:cs="Arial"/>
          <w:color w:val="000000"/>
        </w:rPr>
      </w:pPr>
    </w:p>
    <w:p w14:paraId="5F6F9981" w14:textId="77777777" w:rsidR="005E691D" w:rsidRDefault="005E691D">
      <w:pPr>
        <w:pBdr>
          <w:top w:val="nil"/>
          <w:left w:val="nil"/>
          <w:bottom w:val="nil"/>
          <w:right w:val="nil"/>
          <w:between w:val="nil"/>
        </w:pBdr>
        <w:jc w:val="both"/>
        <w:rPr>
          <w:rFonts w:ascii="Arial" w:eastAsia="Arial" w:hAnsi="Arial" w:cs="Arial"/>
          <w:color w:val="000000"/>
        </w:rPr>
      </w:pPr>
    </w:p>
    <w:p w14:paraId="5760CAAB" w14:textId="77777777" w:rsidR="005E691D" w:rsidRDefault="005E691D">
      <w:pPr>
        <w:pBdr>
          <w:top w:val="nil"/>
          <w:left w:val="nil"/>
          <w:bottom w:val="nil"/>
          <w:right w:val="nil"/>
          <w:between w:val="nil"/>
        </w:pBdr>
        <w:jc w:val="both"/>
        <w:rPr>
          <w:rFonts w:ascii="Arial" w:eastAsia="Arial" w:hAnsi="Arial" w:cs="Arial"/>
          <w:color w:val="000000"/>
        </w:rPr>
      </w:pPr>
    </w:p>
    <w:p w14:paraId="374BF609"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82A9108"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140AD0FA" w14:textId="77777777" w:rsidR="005E691D" w:rsidRDefault="0091174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study of foot shape prevalence in the Ijebu Ode community provides valuable insights into the morphological variations between male and female individuals of the community. Results indicate that males demonstrate larger values in foot width and length dimensions. Additionally, the prevalence of Greek foot shape (characterized by a longer second toe) is higher among males, whereas females predominantly exhibit the Egyptian foot shape (characterized by a longer big toe). Statistical analysis reveals a sig</w:t>
      </w:r>
      <w:r>
        <w:rPr>
          <w:rFonts w:ascii="Arial" w:eastAsia="Arial" w:hAnsi="Arial" w:cs="Arial"/>
          <w:color w:val="000000"/>
        </w:rPr>
        <w:t>nificant difference in foot dimensions between genders.</w:t>
      </w:r>
    </w:p>
    <w:p w14:paraId="7DFFBE0A" w14:textId="77777777" w:rsidR="005E691D" w:rsidRDefault="005E691D">
      <w:pPr>
        <w:keepNext/>
        <w:pBdr>
          <w:top w:val="nil"/>
          <w:left w:val="nil"/>
          <w:bottom w:val="nil"/>
          <w:right w:val="nil"/>
          <w:between w:val="nil"/>
        </w:pBdr>
        <w:jc w:val="both"/>
        <w:rPr>
          <w:rFonts w:ascii="Arial" w:eastAsia="Arial" w:hAnsi="Arial" w:cs="Arial"/>
          <w:color w:val="000000"/>
        </w:rPr>
      </w:pPr>
    </w:p>
    <w:p w14:paraId="572A80D0"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149C9D15"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5742E939" w14:textId="77777777" w:rsidR="005E691D" w:rsidRDefault="00911749">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color w:val="000000"/>
        </w:rPr>
        <w:t xml:space="preserve">According to international standards or university Standards, a written consent form was issued to every research participant underlining the data's aim, purpose, method, and confidentiality. The filled consent forms were retrieved and preserved by the authors. </w:t>
      </w:r>
    </w:p>
    <w:p w14:paraId="3CFA0B32" w14:textId="77777777" w:rsidR="005E691D" w:rsidRDefault="005E691D">
      <w:pPr>
        <w:keepNext/>
        <w:pBdr>
          <w:top w:val="nil"/>
          <w:left w:val="nil"/>
          <w:bottom w:val="nil"/>
          <w:right w:val="nil"/>
          <w:between w:val="nil"/>
        </w:pBdr>
        <w:jc w:val="both"/>
        <w:rPr>
          <w:rFonts w:ascii="Arial" w:eastAsia="Arial" w:hAnsi="Arial" w:cs="Arial"/>
          <w:color w:val="000000"/>
        </w:rPr>
      </w:pPr>
    </w:p>
    <w:p w14:paraId="5F8C4EAF" w14:textId="77777777" w:rsidR="005E691D" w:rsidRDefault="005E691D">
      <w:pPr>
        <w:keepNext/>
        <w:pBdr>
          <w:top w:val="nil"/>
          <w:left w:val="nil"/>
          <w:bottom w:val="nil"/>
          <w:right w:val="nil"/>
          <w:between w:val="nil"/>
        </w:pBdr>
        <w:jc w:val="both"/>
        <w:rPr>
          <w:rFonts w:ascii="Arial" w:eastAsia="Arial" w:hAnsi="Arial" w:cs="Arial"/>
          <w:color w:val="000000"/>
        </w:rPr>
      </w:pPr>
    </w:p>
    <w:p w14:paraId="24B38164"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1577AFCC"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2B9FF01D" w14:textId="77777777" w:rsidR="005E691D" w:rsidRDefault="00911749">
      <w:pPr>
        <w:keepNext/>
        <w:pBdr>
          <w:top w:val="nil"/>
          <w:left w:val="nil"/>
          <w:bottom w:val="nil"/>
          <w:right w:val="nil"/>
          <w:between w:val="nil"/>
        </w:pBdr>
        <w:jc w:val="both"/>
        <w:rPr>
          <w:rFonts w:ascii="Arial" w:eastAsia="Arial" w:hAnsi="Arial" w:cs="Arial"/>
          <w:color w:val="000000"/>
        </w:rPr>
      </w:pPr>
      <w:r>
        <w:rPr>
          <w:rFonts w:ascii="Arial" w:eastAsia="Arial" w:hAnsi="Arial" w:cs="Arial"/>
        </w:rPr>
        <w:t>This study</w:t>
      </w:r>
      <w:r>
        <w:rPr>
          <w:rFonts w:ascii="Arial" w:eastAsia="Arial" w:hAnsi="Arial" w:cs="Arial"/>
          <w:color w:val="000000"/>
        </w:rPr>
        <w:t xml:space="preserve"> was approved by the research and ethics committee of the Department of Human Anatomy, University of Port Harcourt, Port Harcourt, Nigeria.</w:t>
      </w:r>
    </w:p>
    <w:p w14:paraId="31CB5B8F"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61843A50"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28BE0633" w14:textId="77777777" w:rsidR="005E691D" w:rsidRDefault="00911749">
      <w:pPr>
        <w:rPr>
          <w:rFonts w:ascii="Arial" w:eastAsia="Arial" w:hAnsi="Arial" w:cs="Arial"/>
          <w:b/>
          <w:sz w:val="22"/>
          <w:szCs w:val="22"/>
          <w:highlight w:val="yellow"/>
        </w:rPr>
      </w:pPr>
      <w:bookmarkStart w:id="0" w:name="_heading=h.o8z76m6wd7ef" w:colFirst="0" w:colLast="0"/>
      <w:bookmarkEnd w:id="0"/>
      <w:r>
        <w:rPr>
          <w:rFonts w:ascii="Arial" w:eastAsia="Arial" w:hAnsi="Arial" w:cs="Arial"/>
          <w:b/>
          <w:sz w:val="22"/>
          <w:szCs w:val="22"/>
          <w:highlight w:val="yellow"/>
        </w:rPr>
        <w:t>DISCLAIMER (ARTIFICIAL INTELLIGENCE)</w:t>
      </w:r>
    </w:p>
    <w:p w14:paraId="1D00A507" w14:textId="77777777" w:rsidR="005E691D" w:rsidRDefault="00911749">
      <w:pPr>
        <w:rPr>
          <w:rFonts w:ascii="Arial" w:eastAsia="Arial" w:hAnsi="Arial" w:cs="Arial"/>
          <w:highlight w:val="yellow"/>
        </w:rPr>
      </w:pPr>
      <w:r>
        <w:rPr>
          <w:rFonts w:ascii="Arial" w:eastAsia="Arial" w:hAnsi="Arial" w:cs="Arial"/>
          <w:highlight w:val="yellow"/>
        </w:rPr>
        <w:t xml:space="preserve"> </w:t>
      </w:r>
    </w:p>
    <w:p w14:paraId="3CC7B07F" w14:textId="08A66637" w:rsidR="005E691D" w:rsidRDefault="00911749">
      <w:pPr>
        <w:jc w:val="both"/>
        <w:rPr>
          <w:rFonts w:ascii="Arial" w:eastAsia="Arial" w:hAnsi="Arial" w:cs="Arial"/>
          <w:highlight w:val="yellow"/>
        </w:rPr>
      </w:pPr>
      <w:r>
        <w:rPr>
          <w:rFonts w:ascii="Arial" w:eastAsia="Arial" w:hAnsi="Arial" w:cs="Arial"/>
          <w:highlight w:val="yellow"/>
        </w:rPr>
        <w:t xml:space="preserve">Author(s) hereby </w:t>
      </w:r>
      <w:r w:rsidR="006B079E">
        <w:rPr>
          <w:rFonts w:ascii="Arial" w:eastAsia="Arial" w:hAnsi="Arial" w:cs="Arial"/>
          <w:highlight w:val="yellow"/>
        </w:rPr>
        <w:t>declares</w:t>
      </w:r>
      <w:r>
        <w:rPr>
          <w:rFonts w:ascii="Arial" w:eastAsia="Arial" w:hAnsi="Arial" w:cs="Arial"/>
          <w:highlight w:val="yellow"/>
        </w:rPr>
        <w:t xml:space="preserve"> that NO generative AI technologies such as Large Language Models (ChatGPT, COPILOT, etc.) and text-to-image generators have been used during the writing or editing of this manuscript. </w:t>
      </w:r>
    </w:p>
    <w:p w14:paraId="53CABF65"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241D5591" w14:textId="77777777" w:rsidR="005E691D" w:rsidRDefault="0091174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4686748" w14:textId="77777777" w:rsidR="005E691D" w:rsidRDefault="005E691D">
      <w:pPr>
        <w:keepNext/>
        <w:pBdr>
          <w:top w:val="nil"/>
          <w:left w:val="nil"/>
          <w:bottom w:val="nil"/>
          <w:right w:val="nil"/>
          <w:between w:val="nil"/>
        </w:pBdr>
        <w:jc w:val="both"/>
        <w:rPr>
          <w:rFonts w:ascii="Arial" w:eastAsia="Arial" w:hAnsi="Arial" w:cs="Arial"/>
          <w:b/>
          <w:smallCaps/>
          <w:color w:val="000000"/>
          <w:sz w:val="22"/>
          <w:szCs w:val="22"/>
        </w:rPr>
      </w:pPr>
    </w:p>
    <w:p w14:paraId="044EF333" w14:textId="77777777" w:rsidR="005E691D" w:rsidRDefault="00911749">
      <w:pPr>
        <w:keepNext/>
        <w:numPr>
          <w:ilvl w:val="0"/>
          <w:numId w:val="3"/>
        </w:numPr>
        <w:pBdr>
          <w:top w:val="nil"/>
          <w:left w:val="nil"/>
          <w:bottom w:val="nil"/>
          <w:right w:val="nil"/>
          <w:between w:val="nil"/>
        </w:pBdr>
        <w:jc w:val="both"/>
        <w:rPr>
          <w:rFonts w:ascii="Arial" w:eastAsia="Arial" w:hAnsi="Arial" w:cs="Arial"/>
          <w:smallCaps/>
          <w:color w:val="000000"/>
          <w:sz w:val="22"/>
          <w:szCs w:val="22"/>
          <w:highlight w:val="yellow"/>
        </w:rPr>
      </w:pPr>
      <w:proofErr w:type="spellStart"/>
      <w:r>
        <w:rPr>
          <w:rFonts w:ascii="Arial" w:eastAsia="Arial" w:hAnsi="Arial" w:cs="Arial"/>
          <w:color w:val="000000"/>
          <w:sz w:val="22"/>
          <w:szCs w:val="22"/>
          <w:highlight w:val="yellow"/>
        </w:rPr>
        <w:t>Ridola</w:t>
      </w:r>
      <w:proofErr w:type="spellEnd"/>
      <w:r>
        <w:rPr>
          <w:rFonts w:ascii="Arial" w:eastAsia="Arial" w:hAnsi="Arial" w:cs="Arial"/>
          <w:color w:val="000000"/>
          <w:sz w:val="22"/>
          <w:szCs w:val="22"/>
          <w:highlight w:val="yellow"/>
        </w:rPr>
        <w:t xml:space="preserve">, Carlo &amp; Cappello, Francesco &amp; </w:t>
      </w:r>
      <w:proofErr w:type="spellStart"/>
      <w:r>
        <w:rPr>
          <w:rFonts w:ascii="Arial" w:eastAsia="Arial" w:hAnsi="Arial" w:cs="Arial"/>
          <w:color w:val="000000"/>
          <w:sz w:val="22"/>
          <w:szCs w:val="22"/>
          <w:highlight w:val="yellow"/>
        </w:rPr>
        <w:t>Marcianò</w:t>
      </w:r>
      <w:proofErr w:type="spellEnd"/>
      <w:r>
        <w:rPr>
          <w:rFonts w:ascii="Arial" w:eastAsia="Arial" w:hAnsi="Arial" w:cs="Arial"/>
          <w:color w:val="000000"/>
          <w:sz w:val="22"/>
          <w:szCs w:val="22"/>
          <w:highlight w:val="yellow"/>
        </w:rPr>
        <w:t>, Vito &amp; Francavilla, Vincenzo &amp; Montalbano, Antonella &amp; Farina-</w:t>
      </w:r>
      <w:proofErr w:type="spellStart"/>
      <w:r>
        <w:rPr>
          <w:rFonts w:ascii="Arial" w:eastAsia="Arial" w:hAnsi="Arial" w:cs="Arial"/>
          <w:color w:val="000000"/>
          <w:sz w:val="22"/>
          <w:szCs w:val="22"/>
          <w:highlight w:val="yellow"/>
        </w:rPr>
        <w:t>lipari</w:t>
      </w:r>
      <w:proofErr w:type="spellEnd"/>
      <w:r>
        <w:rPr>
          <w:rFonts w:ascii="Arial" w:eastAsia="Arial" w:hAnsi="Arial" w:cs="Arial"/>
          <w:color w:val="000000"/>
          <w:sz w:val="22"/>
          <w:szCs w:val="22"/>
          <w:highlight w:val="yellow"/>
        </w:rPr>
        <w:t>, Elvira &amp; Palma, Antonio. (2007). The synovial joints of the human foot. Italian journal of anatomy and embryology, 112. 61-80.</w:t>
      </w:r>
    </w:p>
    <w:p w14:paraId="63D4AE49"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proofErr w:type="spellStart"/>
      <w:r>
        <w:rPr>
          <w:rFonts w:ascii="Arial" w:eastAsia="Arial" w:hAnsi="Arial" w:cs="Arial"/>
          <w:color w:val="000000"/>
          <w:highlight w:val="yellow"/>
        </w:rPr>
        <w:t>Standring</w:t>
      </w:r>
      <w:proofErr w:type="spellEnd"/>
      <w:r>
        <w:rPr>
          <w:rFonts w:ascii="Arial" w:eastAsia="Arial" w:hAnsi="Arial" w:cs="Arial"/>
          <w:color w:val="000000"/>
          <w:highlight w:val="yellow"/>
        </w:rPr>
        <w:t xml:space="preserve">, S. (2016). </w:t>
      </w:r>
      <w:r>
        <w:rPr>
          <w:rFonts w:ascii="Arial" w:eastAsia="Arial" w:hAnsi="Arial" w:cs="Arial"/>
          <w:i/>
          <w:color w:val="000000"/>
          <w:highlight w:val="yellow"/>
        </w:rPr>
        <w:t>Gray’s Anatomy: The Anatomical Basis of Clinical Practice</w:t>
      </w:r>
      <w:r>
        <w:rPr>
          <w:rFonts w:ascii="Arial" w:eastAsia="Arial" w:hAnsi="Arial" w:cs="Arial"/>
          <w:color w:val="000000"/>
          <w:highlight w:val="yellow"/>
        </w:rPr>
        <w:t xml:space="preserve"> (41st ed.). Elsevier</w:t>
      </w:r>
    </w:p>
    <w:p w14:paraId="712F20A6"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Neumann, D. A. (2017). </w:t>
      </w:r>
      <w:r>
        <w:rPr>
          <w:rFonts w:ascii="Arial" w:eastAsia="Arial" w:hAnsi="Arial" w:cs="Arial"/>
          <w:i/>
          <w:color w:val="000000"/>
          <w:highlight w:val="yellow"/>
        </w:rPr>
        <w:t>Kinesiology of the Musculoskeletal System: Foundations for Rehabilitation</w:t>
      </w:r>
      <w:r>
        <w:rPr>
          <w:rFonts w:ascii="Arial" w:eastAsia="Arial" w:hAnsi="Arial" w:cs="Arial"/>
          <w:color w:val="000000"/>
          <w:highlight w:val="yellow"/>
        </w:rPr>
        <w:t xml:space="preserve"> (3rd ed.). Elsevier.</w:t>
      </w:r>
    </w:p>
    <w:p w14:paraId="3804835B" w14:textId="77777777" w:rsidR="005E691D" w:rsidRDefault="005E691D">
      <w:pPr>
        <w:keepNext/>
        <w:pBdr>
          <w:top w:val="nil"/>
          <w:left w:val="nil"/>
          <w:bottom w:val="nil"/>
          <w:right w:val="nil"/>
          <w:between w:val="nil"/>
        </w:pBdr>
        <w:ind w:left="720"/>
        <w:jc w:val="both"/>
        <w:rPr>
          <w:rFonts w:ascii="Arial" w:eastAsia="Arial" w:hAnsi="Arial" w:cs="Arial"/>
          <w:smallCaps/>
          <w:color w:val="000000"/>
          <w:sz w:val="22"/>
          <w:szCs w:val="22"/>
        </w:rPr>
      </w:pPr>
    </w:p>
    <w:p w14:paraId="20300810"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Ficke</w:t>
      </w:r>
      <w:proofErr w:type="spellEnd"/>
      <w:r>
        <w:rPr>
          <w:rFonts w:ascii="Arial" w:eastAsia="Arial" w:hAnsi="Arial" w:cs="Arial"/>
          <w:color w:val="000000"/>
        </w:rPr>
        <w:t xml:space="preserve"> J, Byerly DW. Anatomy, Bony Pelvis, and Lower Limb: Foot. [Updated 2023 Aug 7]. In: </w:t>
      </w:r>
      <w:proofErr w:type="spellStart"/>
      <w:r>
        <w:rPr>
          <w:rFonts w:ascii="Arial" w:eastAsia="Arial" w:hAnsi="Arial" w:cs="Arial"/>
          <w:color w:val="000000"/>
        </w:rPr>
        <w:t>StatPearls</w:t>
      </w:r>
      <w:proofErr w:type="spellEnd"/>
      <w:r>
        <w:rPr>
          <w:rFonts w:ascii="Arial" w:eastAsia="Arial" w:hAnsi="Arial" w:cs="Arial"/>
          <w:color w:val="000000"/>
        </w:rPr>
        <w:t xml:space="preserve"> [Internet]. Treasure Island (FL): </w:t>
      </w:r>
      <w:proofErr w:type="spellStart"/>
      <w:r>
        <w:rPr>
          <w:rFonts w:ascii="Arial" w:eastAsia="Arial" w:hAnsi="Arial" w:cs="Arial"/>
          <w:color w:val="000000"/>
        </w:rPr>
        <w:t>StatPearls</w:t>
      </w:r>
      <w:proofErr w:type="spellEnd"/>
      <w:r>
        <w:rPr>
          <w:rFonts w:ascii="Arial" w:eastAsia="Arial" w:hAnsi="Arial" w:cs="Arial"/>
          <w:color w:val="000000"/>
        </w:rPr>
        <w:t xml:space="preserve"> Publishing; 2025 Jan. </w:t>
      </w:r>
    </w:p>
    <w:p w14:paraId="6DB204A8"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Nix, S., Smith, M., &amp; Vicenzino, B. (2010). Prevalence of hallux valgus in the general population: a systematic review and meta-analysis. </w:t>
      </w:r>
      <w:r>
        <w:rPr>
          <w:rFonts w:ascii="Arial" w:eastAsia="Arial" w:hAnsi="Arial" w:cs="Arial"/>
          <w:i/>
          <w:color w:val="000000"/>
        </w:rPr>
        <w:t>J foot and ankle Res</w:t>
      </w:r>
      <w:r>
        <w:rPr>
          <w:rFonts w:ascii="Arial" w:eastAsia="Arial" w:hAnsi="Arial" w:cs="Arial"/>
          <w:color w:val="000000"/>
        </w:rPr>
        <w:t xml:space="preserve">, </w:t>
      </w:r>
      <w:r>
        <w:rPr>
          <w:rFonts w:ascii="Arial" w:eastAsia="Arial" w:hAnsi="Arial" w:cs="Arial"/>
          <w:i/>
          <w:color w:val="000000"/>
        </w:rPr>
        <w:t>3</w:t>
      </w:r>
      <w:r>
        <w:rPr>
          <w:rFonts w:ascii="Arial" w:eastAsia="Arial" w:hAnsi="Arial" w:cs="Arial"/>
          <w:color w:val="000000"/>
        </w:rPr>
        <w:t>, 1-9.</w:t>
      </w:r>
    </w:p>
    <w:p w14:paraId="61699FBC"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yellow"/>
        </w:rPr>
        <w:lastRenderedPageBreak/>
        <w:t xml:space="preserve">Nester, C. J., Hutchins, S., Bowker, P., &amp; Richards, J. (2001). The role of the human foot in supporting body weight and locomotion. </w:t>
      </w:r>
      <w:r>
        <w:rPr>
          <w:rFonts w:ascii="Arial" w:eastAsia="Arial" w:hAnsi="Arial" w:cs="Arial"/>
          <w:i/>
          <w:color w:val="000000"/>
          <w:highlight w:val="yellow"/>
        </w:rPr>
        <w:t>Clinical Biomechanics</w:t>
      </w:r>
      <w:r>
        <w:rPr>
          <w:rFonts w:ascii="Arial" w:eastAsia="Arial" w:hAnsi="Arial" w:cs="Arial"/>
          <w:color w:val="000000"/>
          <w:highlight w:val="yellow"/>
        </w:rPr>
        <w:t>, 16(3), 214–220</w:t>
      </w:r>
    </w:p>
    <w:p w14:paraId="2C21CF22"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Moore, K. L., </w:t>
      </w:r>
      <w:proofErr w:type="spellStart"/>
      <w:r>
        <w:rPr>
          <w:rFonts w:ascii="Arial" w:eastAsia="Arial" w:hAnsi="Arial" w:cs="Arial"/>
          <w:color w:val="000000"/>
        </w:rPr>
        <w:t>Dalley</w:t>
      </w:r>
      <w:proofErr w:type="spellEnd"/>
      <w:r>
        <w:rPr>
          <w:rFonts w:ascii="Arial" w:eastAsia="Arial" w:hAnsi="Arial" w:cs="Arial"/>
          <w:color w:val="000000"/>
        </w:rPr>
        <w:t xml:space="preserve">, A. F., &amp; </w:t>
      </w:r>
      <w:proofErr w:type="spellStart"/>
      <w:r>
        <w:rPr>
          <w:rFonts w:ascii="Arial" w:eastAsia="Arial" w:hAnsi="Arial" w:cs="Arial"/>
          <w:color w:val="000000"/>
        </w:rPr>
        <w:t>Agur</w:t>
      </w:r>
      <w:proofErr w:type="spellEnd"/>
      <w:r>
        <w:rPr>
          <w:rFonts w:ascii="Arial" w:eastAsia="Arial" w:hAnsi="Arial" w:cs="Arial"/>
          <w:color w:val="000000"/>
        </w:rPr>
        <w:t xml:space="preserve">, A. M. R. (2014). </w:t>
      </w:r>
      <w:r>
        <w:rPr>
          <w:rFonts w:ascii="Arial" w:eastAsia="Arial" w:hAnsi="Arial" w:cs="Arial"/>
          <w:i/>
          <w:color w:val="000000"/>
        </w:rPr>
        <w:t xml:space="preserve">Moore </w:t>
      </w:r>
      <w:proofErr w:type="spellStart"/>
      <w:r>
        <w:rPr>
          <w:rFonts w:ascii="Arial" w:eastAsia="Arial" w:hAnsi="Arial" w:cs="Arial"/>
          <w:i/>
          <w:color w:val="000000"/>
        </w:rPr>
        <w:t>anatomia</w:t>
      </w:r>
      <w:proofErr w:type="spellEnd"/>
      <w:r>
        <w:rPr>
          <w:rFonts w:ascii="Arial" w:eastAsia="Arial" w:hAnsi="Arial" w:cs="Arial"/>
          <w:i/>
          <w:color w:val="000000"/>
        </w:rPr>
        <w:t xml:space="preserve"> </w:t>
      </w:r>
      <w:proofErr w:type="spellStart"/>
      <w:r>
        <w:rPr>
          <w:rFonts w:ascii="Arial" w:eastAsia="Arial" w:hAnsi="Arial" w:cs="Arial"/>
          <w:i/>
          <w:color w:val="000000"/>
        </w:rPr>
        <w:t>orientada</w:t>
      </w:r>
      <w:proofErr w:type="spellEnd"/>
      <w:r>
        <w:rPr>
          <w:rFonts w:ascii="Arial" w:eastAsia="Arial" w:hAnsi="Arial" w:cs="Arial"/>
          <w:i/>
          <w:color w:val="000000"/>
        </w:rPr>
        <w:t xml:space="preserve"> para a </w:t>
      </w:r>
      <w:proofErr w:type="spellStart"/>
      <w:r>
        <w:rPr>
          <w:rFonts w:ascii="Arial" w:eastAsia="Arial" w:hAnsi="Arial" w:cs="Arial"/>
          <w:i/>
          <w:color w:val="000000"/>
        </w:rPr>
        <w:t>clínica</w:t>
      </w:r>
      <w:proofErr w:type="spellEnd"/>
      <w:r>
        <w:rPr>
          <w:rFonts w:ascii="Arial" w:eastAsia="Arial" w:hAnsi="Arial" w:cs="Arial"/>
          <w:color w:val="000000"/>
        </w:rPr>
        <w:t xml:space="preserve">. Guanabara </w:t>
      </w:r>
      <w:proofErr w:type="spellStart"/>
      <w:r>
        <w:rPr>
          <w:rFonts w:ascii="Arial" w:eastAsia="Arial" w:hAnsi="Arial" w:cs="Arial"/>
          <w:color w:val="000000"/>
        </w:rPr>
        <w:t>koogan</w:t>
      </w:r>
      <w:proofErr w:type="spellEnd"/>
      <w:r>
        <w:rPr>
          <w:rFonts w:ascii="Arial" w:eastAsia="Arial" w:hAnsi="Arial" w:cs="Arial"/>
          <w:color w:val="000000"/>
        </w:rPr>
        <w:t>.</w:t>
      </w:r>
    </w:p>
    <w:p w14:paraId="28140B0B" w14:textId="6FFD05C9" w:rsidR="005E691D" w:rsidRPr="001A062A" w:rsidRDefault="00775117">
      <w:pPr>
        <w:numPr>
          <w:ilvl w:val="0"/>
          <w:numId w:val="3"/>
        </w:numPr>
        <w:pBdr>
          <w:top w:val="nil"/>
          <w:left w:val="nil"/>
          <w:bottom w:val="nil"/>
          <w:right w:val="nil"/>
          <w:between w:val="nil"/>
        </w:pBdr>
        <w:jc w:val="both"/>
        <w:rPr>
          <w:rFonts w:ascii="Arial" w:eastAsia="Arial" w:hAnsi="Arial" w:cs="Arial"/>
          <w:color w:val="000000"/>
          <w:highlight w:val="yellow"/>
        </w:rPr>
      </w:pPr>
      <w:r w:rsidRPr="001A062A">
        <w:rPr>
          <w:rFonts w:ascii="Arial" w:eastAsia="Arial" w:hAnsi="Arial" w:cs="Arial"/>
          <w:color w:val="000000"/>
          <w:highlight w:val="yellow"/>
        </w:rPr>
        <w:t xml:space="preserve">Alabi, A. S., Oladipo, G. S., </w:t>
      </w:r>
      <w:proofErr w:type="spellStart"/>
      <w:r w:rsidRPr="001A062A">
        <w:rPr>
          <w:rFonts w:ascii="Arial" w:eastAsia="Arial" w:hAnsi="Arial" w:cs="Arial"/>
          <w:color w:val="000000"/>
          <w:highlight w:val="yellow"/>
        </w:rPr>
        <w:t>Didia</w:t>
      </w:r>
      <w:proofErr w:type="spellEnd"/>
      <w:r w:rsidRPr="001A062A">
        <w:rPr>
          <w:rFonts w:ascii="Arial" w:eastAsia="Arial" w:hAnsi="Arial" w:cs="Arial"/>
          <w:color w:val="000000"/>
          <w:highlight w:val="yellow"/>
        </w:rPr>
        <w:t xml:space="preserve">, B. C., &amp; </w:t>
      </w:r>
      <w:proofErr w:type="spellStart"/>
      <w:r w:rsidRPr="001A062A">
        <w:rPr>
          <w:rFonts w:ascii="Arial" w:eastAsia="Arial" w:hAnsi="Arial" w:cs="Arial"/>
          <w:color w:val="000000"/>
          <w:highlight w:val="yellow"/>
        </w:rPr>
        <w:t>Aigbogun</w:t>
      </w:r>
      <w:proofErr w:type="spellEnd"/>
      <w:r w:rsidRPr="001A062A">
        <w:rPr>
          <w:rFonts w:ascii="Arial" w:eastAsia="Arial" w:hAnsi="Arial" w:cs="Arial"/>
          <w:color w:val="000000"/>
          <w:highlight w:val="yellow"/>
        </w:rPr>
        <w:t>, E. O. (2016). Foot length and preference: Implication in footwear design. </w:t>
      </w:r>
      <w:r w:rsidRPr="001A062A">
        <w:rPr>
          <w:rFonts w:ascii="Arial" w:eastAsia="Arial" w:hAnsi="Arial" w:cs="Arial"/>
          <w:i/>
          <w:iCs/>
          <w:color w:val="000000"/>
          <w:highlight w:val="yellow"/>
        </w:rPr>
        <w:t>Global Journal of Anthropology Research</w:t>
      </w:r>
      <w:r w:rsidRPr="001A062A">
        <w:rPr>
          <w:rFonts w:ascii="Arial" w:eastAsia="Arial" w:hAnsi="Arial" w:cs="Arial"/>
          <w:color w:val="000000"/>
          <w:highlight w:val="yellow"/>
        </w:rPr>
        <w:t>, </w:t>
      </w:r>
      <w:r w:rsidRPr="001A062A">
        <w:rPr>
          <w:rFonts w:ascii="Arial" w:eastAsia="Arial" w:hAnsi="Arial" w:cs="Arial"/>
          <w:i/>
          <w:iCs/>
          <w:color w:val="000000"/>
          <w:highlight w:val="yellow"/>
        </w:rPr>
        <w:t>3</w:t>
      </w:r>
      <w:r w:rsidRPr="001A062A">
        <w:rPr>
          <w:rFonts w:ascii="Arial" w:eastAsia="Arial" w:hAnsi="Arial" w:cs="Arial"/>
          <w:color w:val="000000"/>
          <w:highlight w:val="yellow"/>
        </w:rPr>
        <w:t>(2), 25-</w:t>
      </w:r>
      <w:proofErr w:type="gramStart"/>
      <w:r w:rsidRPr="001A062A">
        <w:rPr>
          <w:rFonts w:ascii="Arial" w:eastAsia="Arial" w:hAnsi="Arial" w:cs="Arial"/>
          <w:color w:val="000000"/>
          <w:highlight w:val="yellow"/>
        </w:rPr>
        <w:t>30.</w:t>
      </w:r>
      <w:r w:rsidR="00911749" w:rsidRPr="001A062A">
        <w:rPr>
          <w:rFonts w:ascii="Arial" w:eastAsia="Arial" w:hAnsi="Arial" w:cs="Arial"/>
          <w:i/>
          <w:color w:val="000000"/>
          <w:highlight w:val="yellow"/>
        </w:rPr>
        <w:t>.</w:t>
      </w:r>
      <w:proofErr w:type="gramEnd"/>
    </w:p>
    <w:p w14:paraId="23F8679C"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Thomas MJ, Roddy E, Zhang W, </w:t>
      </w:r>
      <w:proofErr w:type="spellStart"/>
      <w:r>
        <w:rPr>
          <w:rFonts w:ascii="Arial" w:eastAsia="Arial" w:hAnsi="Arial" w:cs="Arial"/>
          <w:color w:val="000000"/>
          <w:highlight w:val="yellow"/>
        </w:rPr>
        <w:t>Menz</w:t>
      </w:r>
      <w:proofErr w:type="spellEnd"/>
      <w:r>
        <w:rPr>
          <w:rFonts w:ascii="Arial" w:eastAsia="Arial" w:hAnsi="Arial" w:cs="Arial"/>
          <w:color w:val="000000"/>
          <w:highlight w:val="yellow"/>
        </w:rPr>
        <w:t xml:space="preserve"> HB, Hannan MT, Peat GM. The population prevalence of foot and ankle pain in middle and old age: a systematic review. Pain. 2011 Dec;152(12):2870-2880. </w:t>
      </w:r>
      <w:proofErr w:type="spellStart"/>
      <w:r>
        <w:rPr>
          <w:rFonts w:ascii="Arial" w:eastAsia="Arial" w:hAnsi="Arial" w:cs="Arial"/>
          <w:color w:val="000000"/>
          <w:highlight w:val="yellow"/>
        </w:rPr>
        <w:t>doi</w:t>
      </w:r>
      <w:proofErr w:type="spellEnd"/>
      <w:r>
        <w:rPr>
          <w:rFonts w:ascii="Arial" w:eastAsia="Arial" w:hAnsi="Arial" w:cs="Arial"/>
          <w:color w:val="000000"/>
          <w:highlight w:val="yellow"/>
        </w:rPr>
        <w:t xml:space="preserve">: 10.1016/j.pain.2011.09.019. </w:t>
      </w:r>
      <w:proofErr w:type="spellStart"/>
      <w:r>
        <w:rPr>
          <w:rFonts w:ascii="Arial" w:eastAsia="Arial" w:hAnsi="Arial" w:cs="Arial"/>
          <w:color w:val="000000"/>
          <w:highlight w:val="yellow"/>
        </w:rPr>
        <w:t>Epub</w:t>
      </w:r>
      <w:proofErr w:type="spellEnd"/>
      <w:r>
        <w:rPr>
          <w:rFonts w:ascii="Arial" w:eastAsia="Arial" w:hAnsi="Arial" w:cs="Arial"/>
          <w:color w:val="000000"/>
          <w:highlight w:val="yellow"/>
        </w:rPr>
        <w:t xml:space="preserve"> 2011 Oct 21. PMID: 22019150.</w:t>
      </w:r>
    </w:p>
    <w:p w14:paraId="0BAB9182"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Ayub, Asad &amp; </w:t>
      </w:r>
      <w:proofErr w:type="spellStart"/>
      <w:r>
        <w:rPr>
          <w:rFonts w:ascii="Arial" w:eastAsia="Arial" w:hAnsi="Arial" w:cs="Arial"/>
          <w:color w:val="000000"/>
        </w:rPr>
        <w:t>Bibbo</w:t>
      </w:r>
      <w:proofErr w:type="spellEnd"/>
      <w:r>
        <w:rPr>
          <w:rFonts w:ascii="Arial" w:eastAsia="Arial" w:hAnsi="Arial" w:cs="Arial"/>
          <w:color w:val="000000"/>
        </w:rPr>
        <w:t xml:space="preserve">, Christopher. (2005). Common Foot Disorders. </w:t>
      </w:r>
      <w:proofErr w:type="spellStart"/>
      <w:r>
        <w:rPr>
          <w:rFonts w:ascii="Arial" w:eastAsia="Arial" w:hAnsi="Arial" w:cs="Arial"/>
          <w:i/>
          <w:color w:val="000000"/>
        </w:rPr>
        <w:t>Cli</w:t>
      </w:r>
      <w:proofErr w:type="spellEnd"/>
      <w:r>
        <w:rPr>
          <w:rFonts w:ascii="Arial" w:eastAsia="Arial" w:hAnsi="Arial" w:cs="Arial"/>
          <w:i/>
          <w:color w:val="000000"/>
        </w:rPr>
        <w:t xml:space="preserve"> med &amp; Res</w:t>
      </w:r>
      <w:r>
        <w:rPr>
          <w:rFonts w:ascii="Arial" w:eastAsia="Arial" w:hAnsi="Arial" w:cs="Arial"/>
          <w:color w:val="000000"/>
        </w:rPr>
        <w:t>. 3. 116-9. 10.3121/cmr.3.2.116.</w:t>
      </w:r>
    </w:p>
    <w:p w14:paraId="4FF9E6CB"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Kristina-Stankovic, </w:t>
      </w:r>
      <w:proofErr w:type="spellStart"/>
      <w:r>
        <w:rPr>
          <w:rFonts w:ascii="Arial" w:eastAsia="Arial" w:hAnsi="Arial" w:cs="Arial"/>
          <w:color w:val="000000"/>
        </w:rPr>
        <w:t>Brain.G</w:t>
      </w:r>
      <w:proofErr w:type="spellEnd"/>
      <w:r>
        <w:rPr>
          <w:rFonts w:ascii="Arial" w:eastAsia="Arial" w:hAnsi="Arial" w:cs="Arial"/>
          <w:color w:val="000000"/>
        </w:rPr>
        <w:t xml:space="preserve"> booth, </w:t>
      </w:r>
      <w:proofErr w:type="spellStart"/>
      <w:proofErr w:type="gramStart"/>
      <w:r>
        <w:rPr>
          <w:rFonts w:ascii="Arial" w:eastAsia="Arial" w:hAnsi="Arial" w:cs="Arial"/>
          <w:color w:val="000000"/>
        </w:rPr>
        <w:t>Femke</w:t>
      </w:r>
      <w:proofErr w:type="spellEnd"/>
      <w:r>
        <w:rPr>
          <w:rFonts w:ascii="Arial" w:eastAsia="Arial" w:hAnsi="Arial" w:cs="Arial"/>
          <w:color w:val="000000"/>
        </w:rPr>
        <w:t xml:space="preserve"> .</w:t>
      </w:r>
      <w:proofErr w:type="gramEnd"/>
      <w:r>
        <w:rPr>
          <w:rFonts w:ascii="Arial" w:eastAsia="Arial" w:hAnsi="Arial" w:cs="Arial"/>
          <w:color w:val="000000"/>
        </w:rPr>
        <w:t xml:space="preserve"> D. F, Phillipe Vermaelen (2018). Three-dimensional quantitative analysis of healthy foot shape. </w:t>
      </w:r>
      <w:r>
        <w:rPr>
          <w:rFonts w:ascii="Arial" w:eastAsia="Arial" w:hAnsi="Arial" w:cs="Arial"/>
          <w:i/>
          <w:color w:val="000000"/>
        </w:rPr>
        <w:t xml:space="preserve">J Foot and Ankle Res </w:t>
      </w:r>
      <w:proofErr w:type="gramStart"/>
      <w:r>
        <w:rPr>
          <w:rFonts w:ascii="Arial" w:eastAsia="Arial" w:hAnsi="Arial" w:cs="Arial"/>
          <w:i/>
          <w:color w:val="000000"/>
        </w:rPr>
        <w:t>p(</w:t>
      </w:r>
      <w:proofErr w:type="gramEnd"/>
      <w:r>
        <w:rPr>
          <w:rFonts w:ascii="Arial" w:eastAsia="Arial" w:hAnsi="Arial" w:cs="Arial"/>
          <w:i/>
          <w:color w:val="000000"/>
        </w:rPr>
        <w:t>18-45)</w:t>
      </w:r>
      <w:r>
        <w:rPr>
          <w:rFonts w:ascii="Arial" w:eastAsia="Arial" w:hAnsi="Arial" w:cs="Arial"/>
          <w:color w:val="000000"/>
        </w:rPr>
        <w:t>.</w:t>
      </w:r>
    </w:p>
    <w:p w14:paraId="4117C6EC"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Choi, J.Y., Woo, S.H., Oh, S.H. </w:t>
      </w:r>
      <w:r>
        <w:rPr>
          <w:rFonts w:ascii="Arial" w:eastAsia="Arial" w:hAnsi="Arial" w:cs="Arial"/>
          <w:i/>
          <w:color w:val="000000"/>
        </w:rPr>
        <w:t>et al.</w:t>
      </w:r>
      <w:r>
        <w:rPr>
          <w:rFonts w:ascii="Arial" w:eastAsia="Arial" w:hAnsi="Arial" w:cs="Arial"/>
          <w:color w:val="000000"/>
        </w:rPr>
        <w:t xml:space="preserve"> A comparative study of the feet of middle-aged women in Korea and the Maasai tribe. </w:t>
      </w:r>
      <w:r>
        <w:rPr>
          <w:rFonts w:ascii="Arial" w:eastAsia="Arial" w:hAnsi="Arial" w:cs="Arial"/>
          <w:i/>
          <w:color w:val="000000"/>
        </w:rPr>
        <w:t>J Foot Ankle Res</w:t>
      </w:r>
      <w:r>
        <w:rPr>
          <w:rFonts w:ascii="Arial" w:eastAsia="Arial" w:hAnsi="Arial" w:cs="Arial"/>
          <w:color w:val="000000"/>
        </w:rPr>
        <w:t xml:space="preserve"> </w:t>
      </w:r>
      <w:r>
        <w:rPr>
          <w:rFonts w:ascii="Arial" w:eastAsia="Arial" w:hAnsi="Arial" w:cs="Arial"/>
          <w:b/>
          <w:color w:val="000000"/>
        </w:rPr>
        <w:t>8</w:t>
      </w:r>
      <w:r>
        <w:rPr>
          <w:rFonts w:ascii="Arial" w:eastAsia="Arial" w:hAnsi="Arial" w:cs="Arial"/>
          <w:color w:val="000000"/>
        </w:rPr>
        <w:t>, 68 (2015). https://doi.org/10.1186/s13047-015-0126-1</w:t>
      </w:r>
    </w:p>
    <w:p w14:paraId="48372905"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Akintoye, S. A. (2010). A History of the Yoruba People. </w:t>
      </w:r>
      <w:proofErr w:type="gramStart"/>
      <w:r>
        <w:rPr>
          <w:rFonts w:ascii="Arial" w:eastAsia="Arial" w:hAnsi="Arial" w:cs="Arial"/>
          <w:color w:val="000000"/>
        </w:rPr>
        <w:t>p( 35</w:t>
      </w:r>
      <w:proofErr w:type="gramEnd"/>
      <w:r>
        <w:rPr>
          <w:rFonts w:ascii="Arial" w:eastAsia="Arial" w:hAnsi="Arial" w:cs="Arial"/>
          <w:color w:val="000000"/>
        </w:rPr>
        <w:t>-46).</w:t>
      </w:r>
    </w:p>
    <w:p w14:paraId="072D8421" w14:textId="77777777" w:rsidR="005E691D" w:rsidRDefault="00911749">
      <w:pPr>
        <w:keepNext/>
        <w:numPr>
          <w:ilvl w:val="0"/>
          <w:numId w:val="3"/>
        </w:numPr>
        <w:pBdr>
          <w:top w:val="nil"/>
          <w:left w:val="nil"/>
          <w:bottom w:val="nil"/>
          <w:right w:val="nil"/>
          <w:between w:val="nil"/>
        </w:pBdr>
        <w:jc w:val="both"/>
        <w:rPr>
          <w:rFonts w:ascii="Arial" w:eastAsia="Arial" w:hAnsi="Arial" w:cs="Arial"/>
          <w:smallCaps/>
          <w:color w:val="000000"/>
          <w:sz w:val="22"/>
          <w:szCs w:val="22"/>
          <w:highlight w:val="yellow"/>
        </w:rPr>
      </w:pPr>
      <w:r>
        <w:rPr>
          <w:rFonts w:ascii="Arial" w:eastAsia="Arial" w:hAnsi="Arial" w:cs="Arial"/>
          <w:color w:val="000000"/>
          <w:sz w:val="22"/>
          <w:szCs w:val="22"/>
          <w:highlight w:val="yellow"/>
        </w:rPr>
        <w:t xml:space="preserve">Nirenberg MS, Krishan K, Kanchan T. A metric study of insole foot impressions in footwear of identical twins. J forensic leg med. 2017; 52:116-21. </w:t>
      </w:r>
    </w:p>
    <w:p w14:paraId="78329B42" w14:textId="77777777" w:rsidR="005E691D" w:rsidRDefault="00911749">
      <w:pPr>
        <w:keepNext/>
        <w:numPr>
          <w:ilvl w:val="0"/>
          <w:numId w:val="3"/>
        </w:numPr>
        <w:pBdr>
          <w:top w:val="nil"/>
          <w:left w:val="nil"/>
          <w:bottom w:val="nil"/>
          <w:right w:val="nil"/>
          <w:between w:val="nil"/>
        </w:pBdr>
        <w:jc w:val="both"/>
        <w:rPr>
          <w:rFonts w:ascii="Arial" w:eastAsia="Arial" w:hAnsi="Arial" w:cs="Arial"/>
          <w:smallCaps/>
          <w:color w:val="000000"/>
          <w:sz w:val="22"/>
          <w:szCs w:val="22"/>
          <w:highlight w:val="yellow"/>
        </w:rPr>
      </w:pPr>
      <w:r>
        <w:rPr>
          <w:rFonts w:ascii="Arial" w:eastAsia="Arial" w:hAnsi="Arial" w:cs="Arial"/>
          <w:color w:val="000000"/>
          <w:sz w:val="22"/>
          <w:szCs w:val="22"/>
          <w:highlight w:val="yellow"/>
        </w:rPr>
        <w:t>Delgado-</w:t>
      </w:r>
      <w:proofErr w:type="spellStart"/>
      <w:r>
        <w:rPr>
          <w:rFonts w:ascii="Arial" w:eastAsia="Arial" w:hAnsi="Arial" w:cs="Arial"/>
          <w:color w:val="000000"/>
          <w:sz w:val="22"/>
          <w:szCs w:val="22"/>
          <w:highlight w:val="yellow"/>
        </w:rPr>
        <w:t>abellán</w:t>
      </w:r>
      <w:proofErr w:type="spellEnd"/>
      <w:r>
        <w:rPr>
          <w:rFonts w:ascii="Arial" w:eastAsia="Arial" w:hAnsi="Arial" w:cs="Arial"/>
          <w:color w:val="000000"/>
          <w:sz w:val="22"/>
          <w:szCs w:val="22"/>
          <w:highlight w:val="yellow"/>
        </w:rPr>
        <w:t xml:space="preserve"> l, </w:t>
      </w:r>
      <w:proofErr w:type="spellStart"/>
      <w:r>
        <w:rPr>
          <w:rFonts w:ascii="Arial" w:eastAsia="Arial" w:hAnsi="Arial" w:cs="Arial"/>
          <w:color w:val="000000"/>
          <w:sz w:val="22"/>
          <w:szCs w:val="22"/>
          <w:highlight w:val="yellow"/>
        </w:rPr>
        <w:t>aguado</w:t>
      </w:r>
      <w:proofErr w:type="spellEnd"/>
      <w:r>
        <w:rPr>
          <w:rFonts w:ascii="Arial" w:eastAsia="Arial" w:hAnsi="Arial" w:cs="Arial"/>
          <w:color w:val="000000"/>
          <w:sz w:val="22"/>
          <w:szCs w:val="22"/>
          <w:highlight w:val="yellow"/>
        </w:rPr>
        <w:t xml:space="preserve"> x, </w:t>
      </w:r>
      <w:proofErr w:type="spellStart"/>
      <w:r>
        <w:rPr>
          <w:rFonts w:ascii="Arial" w:eastAsia="Arial" w:hAnsi="Arial" w:cs="Arial"/>
          <w:color w:val="000000"/>
          <w:sz w:val="22"/>
          <w:szCs w:val="22"/>
          <w:highlight w:val="yellow"/>
        </w:rPr>
        <w:t>jiménez-ormeño</w:t>
      </w:r>
      <w:proofErr w:type="spellEnd"/>
      <w:r>
        <w:rPr>
          <w:rFonts w:ascii="Arial" w:eastAsia="Arial" w:hAnsi="Arial" w:cs="Arial"/>
          <w:color w:val="000000"/>
          <w:sz w:val="22"/>
          <w:szCs w:val="22"/>
          <w:highlight w:val="yellow"/>
        </w:rPr>
        <w:t xml:space="preserve"> </w:t>
      </w:r>
      <w:proofErr w:type="spellStart"/>
      <w:proofErr w:type="gramStart"/>
      <w:r>
        <w:rPr>
          <w:rFonts w:ascii="Arial" w:eastAsia="Arial" w:hAnsi="Arial" w:cs="Arial"/>
          <w:color w:val="000000"/>
          <w:sz w:val="22"/>
          <w:szCs w:val="22"/>
          <w:highlight w:val="yellow"/>
        </w:rPr>
        <w:t>e,mecerreyes</w:t>
      </w:r>
      <w:proofErr w:type="spellEnd"/>
      <w:proofErr w:type="gramEnd"/>
      <w:r>
        <w:rPr>
          <w:rFonts w:ascii="Arial" w:eastAsia="Arial" w:hAnsi="Arial" w:cs="Arial"/>
          <w:color w:val="000000"/>
          <w:sz w:val="22"/>
          <w:szCs w:val="22"/>
          <w:highlight w:val="yellow"/>
        </w:rPr>
        <w:t xml:space="preserve"> l, </w:t>
      </w:r>
      <w:proofErr w:type="spellStart"/>
      <w:r>
        <w:rPr>
          <w:rFonts w:ascii="Arial" w:eastAsia="Arial" w:hAnsi="Arial" w:cs="Arial"/>
          <w:color w:val="000000"/>
          <w:sz w:val="22"/>
          <w:szCs w:val="22"/>
          <w:highlight w:val="yellow"/>
        </w:rPr>
        <w:t>alegre</w:t>
      </w:r>
      <w:proofErr w:type="spellEnd"/>
      <w:r>
        <w:rPr>
          <w:rFonts w:ascii="Arial" w:eastAsia="Arial" w:hAnsi="Arial" w:cs="Arial"/>
          <w:color w:val="000000"/>
          <w:sz w:val="22"/>
          <w:szCs w:val="22"/>
          <w:highlight w:val="yellow"/>
        </w:rPr>
        <w:t xml:space="preserve"> </w:t>
      </w:r>
      <w:proofErr w:type="spellStart"/>
      <w:r>
        <w:rPr>
          <w:rFonts w:ascii="Arial" w:eastAsia="Arial" w:hAnsi="Arial" w:cs="Arial"/>
          <w:color w:val="000000"/>
          <w:sz w:val="22"/>
          <w:szCs w:val="22"/>
          <w:highlight w:val="yellow"/>
        </w:rPr>
        <w:t>lm</w:t>
      </w:r>
      <w:proofErr w:type="spellEnd"/>
      <w:r>
        <w:rPr>
          <w:rFonts w:ascii="Arial" w:eastAsia="Arial" w:hAnsi="Arial" w:cs="Arial"/>
          <w:color w:val="000000"/>
          <w:sz w:val="22"/>
          <w:szCs w:val="22"/>
          <w:highlight w:val="yellow"/>
        </w:rPr>
        <w:t>. Foot morphology in span-</w:t>
      </w:r>
      <w:proofErr w:type="spellStart"/>
      <w:r>
        <w:rPr>
          <w:rFonts w:ascii="Arial" w:eastAsia="Arial" w:hAnsi="Arial" w:cs="Arial"/>
          <w:color w:val="000000"/>
          <w:sz w:val="22"/>
          <w:szCs w:val="22"/>
          <w:highlight w:val="yellow"/>
        </w:rPr>
        <w:t>ish</w:t>
      </w:r>
      <w:proofErr w:type="spellEnd"/>
      <w:r>
        <w:rPr>
          <w:rFonts w:ascii="Arial" w:eastAsia="Arial" w:hAnsi="Arial" w:cs="Arial"/>
          <w:color w:val="000000"/>
          <w:sz w:val="22"/>
          <w:szCs w:val="22"/>
          <w:highlight w:val="yellow"/>
        </w:rPr>
        <w:t xml:space="preserve"> school children according to sex and age. Ergo-nomics. 2014; 57(5):787-97. </w:t>
      </w:r>
    </w:p>
    <w:p w14:paraId="632166B5" w14:textId="77777777" w:rsidR="001A062A" w:rsidRPr="001A062A" w:rsidRDefault="001A062A">
      <w:pPr>
        <w:keepNext/>
        <w:numPr>
          <w:ilvl w:val="0"/>
          <w:numId w:val="3"/>
        </w:numPr>
        <w:pBdr>
          <w:top w:val="nil"/>
          <w:left w:val="nil"/>
          <w:bottom w:val="nil"/>
          <w:right w:val="nil"/>
          <w:between w:val="nil"/>
        </w:pBdr>
        <w:jc w:val="both"/>
        <w:rPr>
          <w:rFonts w:ascii="Arial" w:eastAsia="Arial" w:hAnsi="Arial" w:cs="Arial"/>
          <w:smallCaps/>
          <w:color w:val="000000"/>
          <w:sz w:val="22"/>
          <w:szCs w:val="22"/>
          <w:highlight w:val="yellow"/>
        </w:rPr>
      </w:pPr>
      <w:proofErr w:type="spellStart"/>
      <w:r w:rsidRPr="001A062A">
        <w:rPr>
          <w:rFonts w:ascii="Arial" w:eastAsia="Arial" w:hAnsi="Arial" w:cs="Arial"/>
          <w:color w:val="000000"/>
          <w:highlight w:val="yellow"/>
        </w:rPr>
        <w:t>Okubike</w:t>
      </w:r>
      <w:proofErr w:type="spellEnd"/>
      <w:r w:rsidRPr="001A062A">
        <w:rPr>
          <w:rFonts w:ascii="Arial" w:eastAsia="Arial" w:hAnsi="Arial" w:cs="Arial"/>
          <w:color w:val="000000"/>
          <w:highlight w:val="yellow"/>
        </w:rPr>
        <w:t xml:space="preserve">, E. A., Ibeabuchi, N. M., </w:t>
      </w:r>
      <w:proofErr w:type="spellStart"/>
      <w:r w:rsidRPr="001A062A">
        <w:rPr>
          <w:rFonts w:ascii="Arial" w:eastAsia="Arial" w:hAnsi="Arial" w:cs="Arial"/>
          <w:color w:val="000000"/>
          <w:highlight w:val="yellow"/>
        </w:rPr>
        <w:t>Olabiyi</w:t>
      </w:r>
      <w:proofErr w:type="spellEnd"/>
      <w:r w:rsidRPr="001A062A">
        <w:rPr>
          <w:rFonts w:ascii="Arial" w:eastAsia="Arial" w:hAnsi="Arial" w:cs="Arial"/>
          <w:color w:val="000000"/>
          <w:highlight w:val="yellow"/>
        </w:rPr>
        <w:t>, O. A., &amp; Nandi, M. E. (2018). Stature estimation from footprint dimensions in an adult Nigerian student population. </w:t>
      </w:r>
      <w:r w:rsidRPr="001A062A">
        <w:rPr>
          <w:rFonts w:ascii="Arial" w:eastAsia="Arial" w:hAnsi="Arial" w:cs="Arial"/>
          <w:i/>
          <w:iCs/>
          <w:color w:val="000000"/>
          <w:highlight w:val="yellow"/>
        </w:rPr>
        <w:t>Journal of Forensic Science and Medicine</w:t>
      </w:r>
      <w:r w:rsidRPr="001A062A">
        <w:rPr>
          <w:rFonts w:ascii="Arial" w:eastAsia="Arial" w:hAnsi="Arial" w:cs="Arial"/>
          <w:color w:val="000000"/>
          <w:highlight w:val="yellow"/>
        </w:rPr>
        <w:t>, </w:t>
      </w:r>
      <w:r w:rsidRPr="001A062A">
        <w:rPr>
          <w:rFonts w:ascii="Arial" w:eastAsia="Arial" w:hAnsi="Arial" w:cs="Arial"/>
          <w:i/>
          <w:iCs/>
          <w:color w:val="000000"/>
          <w:highlight w:val="yellow"/>
        </w:rPr>
        <w:t>4</w:t>
      </w:r>
      <w:r w:rsidRPr="001A062A">
        <w:rPr>
          <w:rFonts w:ascii="Arial" w:eastAsia="Arial" w:hAnsi="Arial" w:cs="Arial"/>
          <w:color w:val="000000"/>
          <w:highlight w:val="yellow"/>
        </w:rPr>
        <w:t>(1), 7-17.</w:t>
      </w:r>
    </w:p>
    <w:p w14:paraId="3A3ED3D5" w14:textId="00C365B4" w:rsidR="005E691D" w:rsidRDefault="00911749">
      <w:pPr>
        <w:keepNext/>
        <w:numPr>
          <w:ilvl w:val="0"/>
          <w:numId w:val="3"/>
        </w:numPr>
        <w:pBdr>
          <w:top w:val="nil"/>
          <w:left w:val="nil"/>
          <w:bottom w:val="nil"/>
          <w:right w:val="nil"/>
          <w:between w:val="nil"/>
        </w:pBdr>
        <w:jc w:val="both"/>
        <w:rPr>
          <w:rFonts w:ascii="Arial" w:eastAsia="Arial" w:hAnsi="Arial" w:cs="Arial"/>
          <w:smallCaps/>
          <w:color w:val="000000"/>
          <w:sz w:val="22"/>
          <w:szCs w:val="22"/>
          <w:highlight w:val="yellow"/>
        </w:rPr>
      </w:pPr>
      <w:r w:rsidRPr="001A062A">
        <w:rPr>
          <w:rFonts w:ascii="Arial" w:eastAsia="Arial" w:hAnsi="Arial" w:cs="Arial"/>
          <w:color w:val="000000"/>
          <w:sz w:val="22"/>
          <w:szCs w:val="22"/>
          <w:highlight w:val="yellow"/>
        </w:rPr>
        <w:t xml:space="preserve">Yamane, t. (1967) </w:t>
      </w:r>
      <w:r>
        <w:rPr>
          <w:rFonts w:ascii="Arial" w:eastAsia="Arial" w:hAnsi="Arial" w:cs="Arial"/>
          <w:color w:val="000000"/>
          <w:sz w:val="22"/>
          <w:szCs w:val="22"/>
          <w:highlight w:val="yellow"/>
        </w:rPr>
        <w:t xml:space="preserve">statistics: an introductory analysis. 2nd edition, harper and row, new </w:t>
      </w:r>
      <w:proofErr w:type="spellStart"/>
      <w:r>
        <w:rPr>
          <w:rFonts w:ascii="Arial" w:eastAsia="Arial" w:hAnsi="Arial" w:cs="Arial"/>
          <w:color w:val="000000"/>
          <w:sz w:val="22"/>
          <w:szCs w:val="22"/>
          <w:highlight w:val="yellow"/>
        </w:rPr>
        <w:t>york</w:t>
      </w:r>
      <w:proofErr w:type="spellEnd"/>
      <w:r>
        <w:rPr>
          <w:rFonts w:ascii="Arial" w:eastAsia="Arial" w:hAnsi="Arial" w:cs="Arial"/>
          <w:color w:val="000000"/>
          <w:sz w:val="22"/>
          <w:szCs w:val="22"/>
          <w:highlight w:val="yellow"/>
        </w:rPr>
        <w:t>.</w:t>
      </w:r>
    </w:p>
    <w:p w14:paraId="17517789" w14:textId="6C3965B3" w:rsidR="005E691D" w:rsidRPr="00981D52" w:rsidRDefault="001A062A">
      <w:pPr>
        <w:numPr>
          <w:ilvl w:val="0"/>
          <w:numId w:val="3"/>
        </w:numPr>
        <w:pBdr>
          <w:top w:val="nil"/>
          <w:left w:val="nil"/>
          <w:bottom w:val="nil"/>
          <w:right w:val="nil"/>
          <w:between w:val="nil"/>
        </w:pBdr>
        <w:jc w:val="both"/>
        <w:rPr>
          <w:rFonts w:ascii="Arial" w:eastAsia="Arial" w:hAnsi="Arial" w:cs="Arial"/>
          <w:color w:val="000000"/>
          <w:highlight w:val="yellow"/>
        </w:rPr>
      </w:pPr>
      <w:r w:rsidRPr="00981D52">
        <w:rPr>
          <w:rFonts w:ascii="Arial" w:eastAsia="Arial" w:hAnsi="Arial" w:cs="Arial"/>
          <w:color w:val="000000"/>
          <w:highlight w:val="yellow"/>
        </w:rPr>
        <w:t xml:space="preserve">Suleiman, M. O., </w:t>
      </w:r>
      <w:proofErr w:type="spellStart"/>
      <w:r w:rsidRPr="00981D52">
        <w:rPr>
          <w:rFonts w:ascii="Arial" w:eastAsia="Arial" w:hAnsi="Arial" w:cs="Arial"/>
          <w:color w:val="000000"/>
          <w:highlight w:val="yellow"/>
        </w:rPr>
        <w:t>Danborno</w:t>
      </w:r>
      <w:proofErr w:type="spellEnd"/>
      <w:r w:rsidRPr="00981D52">
        <w:rPr>
          <w:rFonts w:ascii="Arial" w:eastAsia="Arial" w:hAnsi="Arial" w:cs="Arial"/>
          <w:color w:val="000000"/>
          <w:highlight w:val="yellow"/>
        </w:rPr>
        <w:t xml:space="preserve">, B., Musa, S. A., &amp; </w:t>
      </w:r>
      <w:proofErr w:type="spellStart"/>
      <w:r w:rsidRPr="00981D52">
        <w:rPr>
          <w:rFonts w:ascii="Arial" w:eastAsia="Arial" w:hAnsi="Arial" w:cs="Arial"/>
          <w:color w:val="000000"/>
          <w:highlight w:val="yellow"/>
        </w:rPr>
        <w:t>Timbuak</w:t>
      </w:r>
      <w:proofErr w:type="spellEnd"/>
      <w:r w:rsidRPr="00981D52">
        <w:rPr>
          <w:rFonts w:ascii="Arial" w:eastAsia="Arial" w:hAnsi="Arial" w:cs="Arial"/>
          <w:color w:val="000000"/>
          <w:highlight w:val="yellow"/>
        </w:rPr>
        <w:t>, J. A. (2024). Sexual dimorphism and determination using foot outlines, footprint angles, and foot indices. </w:t>
      </w:r>
      <w:r w:rsidRPr="00981D52">
        <w:rPr>
          <w:rFonts w:ascii="Arial" w:eastAsia="Arial" w:hAnsi="Arial" w:cs="Arial"/>
          <w:i/>
          <w:iCs/>
          <w:color w:val="000000"/>
          <w:highlight w:val="yellow"/>
        </w:rPr>
        <w:t xml:space="preserve">Forensic Science, Medicine </w:t>
      </w:r>
      <w:proofErr w:type="gramStart"/>
      <w:r w:rsidRPr="00981D52">
        <w:rPr>
          <w:rFonts w:ascii="Arial" w:eastAsia="Arial" w:hAnsi="Arial" w:cs="Arial"/>
          <w:i/>
          <w:iCs/>
          <w:color w:val="000000"/>
          <w:highlight w:val="yellow"/>
        </w:rPr>
        <w:t>And</w:t>
      </w:r>
      <w:proofErr w:type="gramEnd"/>
      <w:r w:rsidRPr="00981D52">
        <w:rPr>
          <w:rFonts w:ascii="Arial" w:eastAsia="Arial" w:hAnsi="Arial" w:cs="Arial"/>
          <w:i/>
          <w:iCs/>
          <w:color w:val="000000"/>
          <w:highlight w:val="yellow"/>
        </w:rPr>
        <w:t xml:space="preserve"> Pathology</w:t>
      </w:r>
      <w:r w:rsidRPr="00981D52">
        <w:rPr>
          <w:rFonts w:ascii="Arial" w:eastAsia="Arial" w:hAnsi="Arial" w:cs="Arial"/>
          <w:color w:val="000000"/>
          <w:highlight w:val="yellow"/>
        </w:rPr>
        <w:t>, </w:t>
      </w:r>
      <w:r w:rsidRPr="00981D52">
        <w:rPr>
          <w:rFonts w:ascii="Arial" w:eastAsia="Arial" w:hAnsi="Arial" w:cs="Arial"/>
          <w:i/>
          <w:iCs/>
          <w:color w:val="000000"/>
          <w:highlight w:val="yellow"/>
        </w:rPr>
        <w:t>20</w:t>
      </w:r>
      <w:r w:rsidRPr="00981D52">
        <w:rPr>
          <w:rFonts w:ascii="Arial" w:eastAsia="Arial" w:hAnsi="Arial" w:cs="Arial"/>
          <w:color w:val="000000"/>
          <w:highlight w:val="yellow"/>
        </w:rPr>
        <w:t>(2), 614-626.</w:t>
      </w:r>
    </w:p>
    <w:p w14:paraId="4CC733F5" w14:textId="77777777" w:rsidR="00981D52" w:rsidRPr="00981D52" w:rsidRDefault="00981D52">
      <w:pPr>
        <w:numPr>
          <w:ilvl w:val="0"/>
          <w:numId w:val="3"/>
        </w:numPr>
        <w:pBdr>
          <w:top w:val="nil"/>
          <w:left w:val="nil"/>
          <w:bottom w:val="nil"/>
          <w:right w:val="nil"/>
          <w:between w:val="nil"/>
        </w:pBdr>
        <w:jc w:val="both"/>
        <w:rPr>
          <w:rFonts w:ascii="Arial" w:eastAsia="Arial" w:hAnsi="Arial" w:cs="Arial"/>
          <w:color w:val="000000"/>
          <w:highlight w:val="yellow"/>
        </w:rPr>
      </w:pPr>
      <w:r w:rsidRPr="00981D52">
        <w:rPr>
          <w:rFonts w:ascii="Arial" w:eastAsia="Arial" w:hAnsi="Arial" w:cs="Arial"/>
          <w:color w:val="000000"/>
          <w:highlight w:val="yellow"/>
        </w:rPr>
        <w:t xml:space="preserve">Ibeabuchi, N. M., </w:t>
      </w:r>
      <w:proofErr w:type="spellStart"/>
      <w:r w:rsidRPr="00981D52">
        <w:rPr>
          <w:rFonts w:ascii="Arial" w:eastAsia="Arial" w:hAnsi="Arial" w:cs="Arial"/>
          <w:color w:val="000000"/>
          <w:highlight w:val="yellow"/>
        </w:rPr>
        <w:t>Okubike</w:t>
      </w:r>
      <w:proofErr w:type="spellEnd"/>
      <w:r w:rsidRPr="00981D52">
        <w:rPr>
          <w:rFonts w:ascii="Arial" w:eastAsia="Arial" w:hAnsi="Arial" w:cs="Arial"/>
          <w:color w:val="000000"/>
          <w:highlight w:val="yellow"/>
        </w:rPr>
        <w:t xml:space="preserve">, E. A., </w:t>
      </w:r>
      <w:proofErr w:type="spellStart"/>
      <w:r w:rsidRPr="00981D52">
        <w:rPr>
          <w:rFonts w:ascii="Arial" w:eastAsia="Arial" w:hAnsi="Arial" w:cs="Arial"/>
          <w:color w:val="000000"/>
          <w:highlight w:val="yellow"/>
        </w:rPr>
        <w:t>Olabiyi</w:t>
      </w:r>
      <w:proofErr w:type="spellEnd"/>
      <w:r w:rsidRPr="00981D52">
        <w:rPr>
          <w:rFonts w:ascii="Arial" w:eastAsia="Arial" w:hAnsi="Arial" w:cs="Arial"/>
          <w:color w:val="000000"/>
          <w:highlight w:val="yellow"/>
        </w:rPr>
        <w:t>, O. A., &amp; Nandi, M. E. (2018). Predictive equations and multiplication factors for stature estimation using foot dimensions of an adult Nigerian population. </w:t>
      </w:r>
      <w:r w:rsidRPr="00981D52">
        <w:rPr>
          <w:rFonts w:ascii="Arial" w:eastAsia="Arial" w:hAnsi="Arial" w:cs="Arial"/>
          <w:i/>
          <w:iCs/>
          <w:color w:val="000000"/>
          <w:highlight w:val="yellow"/>
        </w:rPr>
        <w:t>Egyptian Journal of Forensic Sciences</w:t>
      </w:r>
      <w:r w:rsidRPr="00981D52">
        <w:rPr>
          <w:rFonts w:ascii="Arial" w:eastAsia="Arial" w:hAnsi="Arial" w:cs="Arial"/>
          <w:color w:val="000000"/>
          <w:highlight w:val="yellow"/>
        </w:rPr>
        <w:t>, </w:t>
      </w:r>
      <w:r w:rsidRPr="00981D52">
        <w:rPr>
          <w:rFonts w:ascii="Arial" w:eastAsia="Arial" w:hAnsi="Arial" w:cs="Arial"/>
          <w:i/>
          <w:iCs/>
          <w:color w:val="000000"/>
          <w:highlight w:val="yellow"/>
        </w:rPr>
        <w:t>8</w:t>
      </w:r>
      <w:r w:rsidRPr="00981D52">
        <w:rPr>
          <w:rFonts w:ascii="Arial" w:eastAsia="Arial" w:hAnsi="Arial" w:cs="Arial"/>
          <w:color w:val="000000"/>
          <w:highlight w:val="yellow"/>
        </w:rPr>
        <w:t>(1), 63.</w:t>
      </w:r>
    </w:p>
    <w:p w14:paraId="22F85256" w14:textId="084EA972"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Krauss, I., Grau, S., </w:t>
      </w:r>
      <w:proofErr w:type="spellStart"/>
      <w:r>
        <w:rPr>
          <w:rFonts w:ascii="Arial" w:eastAsia="Arial" w:hAnsi="Arial" w:cs="Arial"/>
          <w:color w:val="000000"/>
          <w:highlight w:val="yellow"/>
        </w:rPr>
        <w:t>Mauch</w:t>
      </w:r>
      <w:proofErr w:type="spellEnd"/>
      <w:r>
        <w:rPr>
          <w:rFonts w:ascii="Arial" w:eastAsia="Arial" w:hAnsi="Arial" w:cs="Arial"/>
          <w:color w:val="000000"/>
          <w:highlight w:val="yellow"/>
        </w:rPr>
        <w:t xml:space="preserve">, M., </w:t>
      </w:r>
      <w:proofErr w:type="spellStart"/>
      <w:r>
        <w:rPr>
          <w:rFonts w:ascii="Arial" w:eastAsia="Arial" w:hAnsi="Arial" w:cs="Arial"/>
          <w:color w:val="000000"/>
          <w:highlight w:val="yellow"/>
        </w:rPr>
        <w:t>Maiwald</w:t>
      </w:r>
      <w:proofErr w:type="spellEnd"/>
      <w:r>
        <w:rPr>
          <w:rFonts w:ascii="Arial" w:eastAsia="Arial" w:hAnsi="Arial" w:cs="Arial"/>
          <w:color w:val="000000"/>
          <w:highlight w:val="yellow"/>
        </w:rPr>
        <w:t xml:space="preserve">, C., &amp; </w:t>
      </w:r>
      <w:proofErr w:type="spellStart"/>
      <w:r>
        <w:rPr>
          <w:rFonts w:ascii="Arial" w:eastAsia="Arial" w:hAnsi="Arial" w:cs="Arial"/>
          <w:color w:val="000000"/>
          <w:highlight w:val="yellow"/>
        </w:rPr>
        <w:t>Horstmann</w:t>
      </w:r>
      <w:proofErr w:type="spellEnd"/>
      <w:r>
        <w:rPr>
          <w:rFonts w:ascii="Arial" w:eastAsia="Arial" w:hAnsi="Arial" w:cs="Arial"/>
          <w:color w:val="000000"/>
          <w:highlight w:val="yellow"/>
        </w:rPr>
        <w:t xml:space="preserve">, T. (2008). Sex-related differences in foot shape. </w:t>
      </w:r>
      <w:r>
        <w:rPr>
          <w:rFonts w:ascii="Arial" w:eastAsia="Arial" w:hAnsi="Arial" w:cs="Arial"/>
          <w:i/>
          <w:color w:val="000000"/>
          <w:highlight w:val="yellow"/>
        </w:rPr>
        <w:t>Ergonomics</w:t>
      </w:r>
      <w:r>
        <w:rPr>
          <w:rFonts w:ascii="Arial" w:eastAsia="Arial" w:hAnsi="Arial" w:cs="Arial"/>
          <w:color w:val="000000"/>
          <w:highlight w:val="yellow"/>
        </w:rPr>
        <w:t>, 51(11), 1693–1709.</w:t>
      </w:r>
    </w:p>
    <w:p w14:paraId="2B7B6750"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Wunderlich, R. E., &amp; Cavanagh, P. R. (2001). Gender differences in adult foot shape: Implications for shoe design. </w:t>
      </w:r>
      <w:r>
        <w:rPr>
          <w:rFonts w:ascii="Arial" w:eastAsia="Arial" w:hAnsi="Arial" w:cs="Arial"/>
          <w:i/>
          <w:color w:val="000000"/>
          <w:highlight w:val="yellow"/>
        </w:rPr>
        <w:t>Medicine and Science in Sports and Exercise</w:t>
      </w:r>
      <w:r>
        <w:rPr>
          <w:rFonts w:ascii="Arial" w:eastAsia="Arial" w:hAnsi="Arial" w:cs="Arial"/>
          <w:color w:val="000000"/>
          <w:highlight w:val="yellow"/>
        </w:rPr>
        <w:t>, 33(4), 605–611.</w:t>
      </w:r>
    </w:p>
    <w:p w14:paraId="38373923"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Kanchan, T., Krishan, K., &amp; Shyam, A. (2018). Estimation of stature from footprint dimensions in an Indian population. </w:t>
      </w:r>
      <w:r>
        <w:rPr>
          <w:rFonts w:ascii="Arial" w:eastAsia="Arial" w:hAnsi="Arial" w:cs="Arial"/>
          <w:i/>
          <w:color w:val="000000"/>
          <w:highlight w:val="yellow"/>
        </w:rPr>
        <w:t>Medicine, Science and the Law</w:t>
      </w:r>
      <w:r>
        <w:rPr>
          <w:rFonts w:ascii="Arial" w:eastAsia="Arial" w:hAnsi="Arial" w:cs="Arial"/>
          <w:color w:val="000000"/>
          <w:highlight w:val="yellow"/>
        </w:rPr>
        <w:t>, 58(3), 166–172.</w:t>
      </w:r>
    </w:p>
    <w:p w14:paraId="3997BBB9" w14:textId="77777777" w:rsidR="005E691D" w:rsidRDefault="00911749">
      <w:pPr>
        <w:keepNext/>
        <w:numPr>
          <w:ilvl w:val="0"/>
          <w:numId w:val="3"/>
        </w:numPr>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color w:val="000000"/>
          <w:sz w:val="22"/>
          <w:szCs w:val="22"/>
        </w:rPr>
        <w:t xml:space="preserve">Fawehinmi HB, Paul CW (2008) Comparison of Anthropometric Characteristics Height, </w:t>
      </w:r>
      <w:proofErr w:type="spellStart"/>
      <w:r>
        <w:rPr>
          <w:rFonts w:ascii="Arial" w:eastAsia="Arial" w:hAnsi="Arial" w:cs="Arial"/>
          <w:color w:val="000000"/>
          <w:sz w:val="22"/>
          <w:szCs w:val="22"/>
        </w:rPr>
        <w:t>Armspan</w:t>
      </w:r>
      <w:proofErr w:type="spellEnd"/>
      <w:r>
        <w:rPr>
          <w:rFonts w:ascii="Arial" w:eastAsia="Arial" w:hAnsi="Arial" w:cs="Arial"/>
          <w:color w:val="000000"/>
          <w:sz w:val="22"/>
          <w:szCs w:val="22"/>
        </w:rPr>
        <w:t xml:space="preserve">, Knee Height and Foot Length between Ibo and Hausa Adults </w:t>
      </w:r>
      <w:proofErr w:type="spellStart"/>
      <w:r>
        <w:rPr>
          <w:rFonts w:ascii="Arial" w:eastAsia="Arial" w:hAnsi="Arial" w:cs="Arial"/>
          <w:color w:val="000000"/>
          <w:sz w:val="22"/>
          <w:szCs w:val="22"/>
        </w:rPr>
        <w:t>Biomec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Afri</w:t>
      </w:r>
      <w:proofErr w:type="spellEnd"/>
      <w:r>
        <w:rPr>
          <w:rFonts w:ascii="Arial" w:eastAsia="Arial" w:hAnsi="Arial" w:cs="Arial"/>
          <w:color w:val="000000"/>
          <w:sz w:val="22"/>
          <w:szCs w:val="22"/>
        </w:rPr>
        <w:t xml:space="preserve"> 6: 2-5. </w:t>
      </w:r>
    </w:p>
    <w:p w14:paraId="0D09710A"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Hawes, M. R., </w:t>
      </w:r>
      <w:proofErr w:type="spellStart"/>
      <w:r>
        <w:rPr>
          <w:rFonts w:ascii="Arial" w:eastAsia="Arial" w:hAnsi="Arial" w:cs="Arial"/>
          <w:color w:val="000000"/>
          <w:highlight w:val="yellow"/>
        </w:rPr>
        <w:t>Sovak</w:t>
      </w:r>
      <w:proofErr w:type="spellEnd"/>
      <w:r>
        <w:rPr>
          <w:rFonts w:ascii="Arial" w:eastAsia="Arial" w:hAnsi="Arial" w:cs="Arial"/>
          <w:color w:val="000000"/>
          <w:highlight w:val="yellow"/>
        </w:rPr>
        <w:t xml:space="preserve">, D., Miyashita, M., Kang, S. J., </w:t>
      </w:r>
      <w:proofErr w:type="spellStart"/>
      <w:r>
        <w:rPr>
          <w:rFonts w:ascii="Arial" w:eastAsia="Arial" w:hAnsi="Arial" w:cs="Arial"/>
          <w:color w:val="000000"/>
          <w:highlight w:val="yellow"/>
        </w:rPr>
        <w:t>Yoshihuku</w:t>
      </w:r>
      <w:proofErr w:type="spellEnd"/>
      <w:r>
        <w:rPr>
          <w:rFonts w:ascii="Arial" w:eastAsia="Arial" w:hAnsi="Arial" w:cs="Arial"/>
          <w:color w:val="000000"/>
          <w:highlight w:val="yellow"/>
        </w:rPr>
        <w:t xml:space="preserve">, Y., &amp; Tanaka, S. (1994). Ethnic differences in forefoot shape and the determination of shoe comfort. </w:t>
      </w:r>
      <w:r>
        <w:rPr>
          <w:rFonts w:ascii="Arial" w:eastAsia="Arial" w:hAnsi="Arial" w:cs="Arial"/>
          <w:i/>
          <w:color w:val="000000"/>
          <w:highlight w:val="yellow"/>
        </w:rPr>
        <w:t>Ergonomics</w:t>
      </w:r>
      <w:r>
        <w:rPr>
          <w:rFonts w:ascii="Arial" w:eastAsia="Arial" w:hAnsi="Arial" w:cs="Arial"/>
          <w:color w:val="000000"/>
          <w:highlight w:val="yellow"/>
        </w:rPr>
        <w:t>, 37(1), 187–196.</w:t>
      </w:r>
    </w:p>
    <w:p w14:paraId="3E425563"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proofErr w:type="spellStart"/>
      <w:r>
        <w:rPr>
          <w:rFonts w:ascii="Arial" w:eastAsia="Arial" w:hAnsi="Arial" w:cs="Arial"/>
          <w:color w:val="000000"/>
          <w:highlight w:val="yellow"/>
        </w:rPr>
        <w:t>Menz</w:t>
      </w:r>
      <w:proofErr w:type="spellEnd"/>
      <w:r>
        <w:rPr>
          <w:rFonts w:ascii="Arial" w:eastAsia="Arial" w:hAnsi="Arial" w:cs="Arial"/>
          <w:color w:val="000000"/>
          <w:highlight w:val="yellow"/>
        </w:rPr>
        <w:t xml:space="preserve">, H. B., &amp; Morris, M. E. (2005). Footwear characteristics and foot problems in older people. </w:t>
      </w:r>
      <w:r>
        <w:rPr>
          <w:rFonts w:ascii="Arial" w:eastAsia="Arial" w:hAnsi="Arial" w:cs="Arial"/>
          <w:i/>
          <w:color w:val="000000"/>
          <w:highlight w:val="yellow"/>
        </w:rPr>
        <w:t>Gerontology</w:t>
      </w:r>
      <w:r>
        <w:rPr>
          <w:rFonts w:ascii="Arial" w:eastAsia="Arial" w:hAnsi="Arial" w:cs="Arial"/>
          <w:color w:val="000000"/>
          <w:highlight w:val="yellow"/>
        </w:rPr>
        <w:t>, 51(5), 346–351.</w:t>
      </w:r>
    </w:p>
    <w:p w14:paraId="11D29F1E"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proofErr w:type="spellStart"/>
      <w:r>
        <w:rPr>
          <w:rFonts w:ascii="Arial" w:eastAsia="Arial" w:hAnsi="Arial" w:cs="Arial"/>
          <w:color w:val="000000"/>
          <w:highlight w:val="yellow"/>
        </w:rPr>
        <w:t>Falola</w:t>
      </w:r>
      <w:proofErr w:type="spellEnd"/>
      <w:r>
        <w:rPr>
          <w:rFonts w:ascii="Arial" w:eastAsia="Arial" w:hAnsi="Arial" w:cs="Arial"/>
          <w:color w:val="000000"/>
          <w:highlight w:val="yellow"/>
        </w:rPr>
        <w:t>, T., &amp; Genova, A. (2009). Historical Dictionary of Nigeria. Scarecrow.</w:t>
      </w:r>
    </w:p>
    <w:p w14:paraId="582F07CE" w14:textId="77777777" w:rsidR="005E691D" w:rsidRDefault="00911749">
      <w:pPr>
        <w:numPr>
          <w:ilvl w:val="0"/>
          <w:numId w:val="3"/>
        </w:numPr>
        <w:pBdr>
          <w:top w:val="nil"/>
          <w:left w:val="nil"/>
          <w:bottom w:val="nil"/>
          <w:right w:val="nil"/>
          <w:between w:val="nil"/>
        </w:pBdr>
        <w:jc w:val="both"/>
        <w:rPr>
          <w:rFonts w:ascii="Arial" w:eastAsia="Arial" w:hAnsi="Arial" w:cs="Arial"/>
          <w:color w:val="000000"/>
          <w:highlight w:val="yellow"/>
        </w:rPr>
      </w:pPr>
      <w:proofErr w:type="spellStart"/>
      <w:r>
        <w:rPr>
          <w:rFonts w:ascii="Arial" w:eastAsia="Arial" w:hAnsi="Arial" w:cs="Arial"/>
          <w:color w:val="000000"/>
          <w:highlight w:val="yellow"/>
        </w:rPr>
        <w:t>Vidona</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wb</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anibeze</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cip</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david</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lk</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monday</w:t>
      </w:r>
      <w:proofErr w:type="spellEnd"/>
      <w:r>
        <w:rPr>
          <w:rFonts w:ascii="Arial" w:eastAsia="Arial" w:hAnsi="Arial" w:cs="Arial"/>
          <w:color w:val="000000"/>
          <w:highlight w:val="yellow"/>
        </w:rPr>
        <w:t xml:space="preserve"> ab (2019) anthropological assessment of foot dimensions of the south-east ancestral divisions of </w:t>
      </w:r>
      <w:r>
        <w:rPr>
          <w:rFonts w:ascii="Arial" w:eastAsia="Arial" w:hAnsi="Arial" w:cs="Arial"/>
          <w:highlight w:val="yellow"/>
        </w:rPr>
        <w:t>Nigeria</w:t>
      </w:r>
      <w:r>
        <w:rPr>
          <w:rFonts w:ascii="Arial" w:eastAsia="Arial" w:hAnsi="Arial" w:cs="Arial"/>
          <w:color w:val="000000"/>
          <w:highlight w:val="yellow"/>
        </w:rPr>
        <w:t xml:space="preserve">. J anthropology rep 3:119. </w:t>
      </w:r>
    </w:p>
    <w:p w14:paraId="1F4B55BC" w14:textId="77777777" w:rsidR="005E691D" w:rsidRDefault="005E691D">
      <w:pPr>
        <w:keepNext/>
        <w:pBdr>
          <w:top w:val="nil"/>
          <w:left w:val="nil"/>
          <w:bottom w:val="nil"/>
          <w:right w:val="nil"/>
          <w:between w:val="nil"/>
        </w:pBdr>
        <w:jc w:val="both"/>
        <w:rPr>
          <w:rFonts w:ascii="Arial" w:eastAsia="Arial" w:hAnsi="Arial" w:cs="Arial"/>
          <w:color w:val="000000"/>
          <w:sz w:val="22"/>
          <w:szCs w:val="22"/>
        </w:rPr>
      </w:pPr>
    </w:p>
    <w:p w14:paraId="2824D65B" w14:textId="77777777" w:rsidR="005E691D" w:rsidRDefault="005E691D">
      <w:pPr>
        <w:keepNext/>
        <w:pBdr>
          <w:top w:val="nil"/>
          <w:left w:val="nil"/>
          <w:bottom w:val="nil"/>
          <w:right w:val="nil"/>
          <w:between w:val="nil"/>
        </w:pBdr>
        <w:jc w:val="both"/>
        <w:rPr>
          <w:rFonts w:ascii="Arial" w:eastAsia="Arial" w:hAnsi="Arial" w:cs="Arial"/>
          <w:smallCaps/>
          <w:color w:val="000000"/>
          <w:sz w:val="22"/>
          <w:szCs w:val="22"/>
        </w:rPr>
      </w:pPr>
    </w:p>
    <w:sectPr w:rsidR="005E691D">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1EDA8" w14:textId="77777777" w:rsidR="00911749" w:rsidRDefault="00911749">
      <w:r>
        <w:separator/>
      </w:r>
    </w:p>
  </w:endnote>
  <w:endnote w:type="continuationSeparator" w:id="0">
    <w:p w14:paraId="6705743F" w14:textId="77777777" w:rsidR="00911749" w:rsidRDefault="0091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EEFCF60-3523-4B40-B4D1-27C79CA1B00D}"/>
    <w:embedBold r:id="rId2" w:fontKey="{B80EA5AC-E2A8-4447-AF4E-84D379082D64}"/>
    <w:embedItalic r:id="rId3" w:fontKey="{B3F4A7B5-7F1F-6849-A457-490DB114C521}"/>
    <w:embedBoldItalic r:id="rId4" w:fontKey="{648B7E61-4ACB-084E-AB0A-1EF4CD83C3AB}"/>
  </w:font>
  <w:font w:name="Arial">
    <w:panose1 w:val="020B0604020202020204"/>
    <w:charset w:val="00"/>
    <w:family w:val="swiss"/>
    <w:pitch w:val="variable"/>
    <w:sig w:usb0="E0002EFF" w:usb1="C000785B" w:usb2="00000009" w:usb3="00000000" w:csb0="000001FF" w:csb1="00000000"/>
    <w:embedRegular r:id="rId5" w:fontKey="{DB9ECB10-5131-8440-BC56-D7412A0B9C69}"/>
    <w:embedBold r:id="rId6" w:fontKey="{4C8C7860-FB28-2849-A2C6-E5D993651AE0}"/>
    <w:embedItalic r:id="rId7" w:fontKey="{5DE8E5BC-5967-7846-A970-33B7F175B878}"/>
    <w:embedBoldItalic r:id="rId8" w:fontKey="{D7A02A5B-AF1E-B74D-9809-3CEEA1247732}"/>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11" w:fontKey="{C42BA436-1A51-ED4D-8FAA-7EA2249F3D9F}"/>
  </w:font>
  <w:font w:name="Calibri">
    <w:panose1 w:val="020F0502020204030204"/>
    <w:charset w:val="00"/>
    <w:family w:val="swiss"/>
    <w:pitch w:val="variable"/>
    <w:sig w:usb0="E4002EFF" w:usb1="C200247B" w:usb2="00000009" w:usb3="00000000" w:csb0="000001FF" w:csb1="00000000"/>
    <w:embedRegular r:id="rId12" w:fontKey="{E9C5A643-103E-584B-A979-F7417345D687}"/>
  </w:font>
  <w:font w:name="Symbol">
    <w:panose1 w:val="05050102010706020507"/>
    <w:charset w:val="02"/>
    <w:family w:val="decorative"/>
    <w:pitch w:val="variable"/>
    <w:sig w:usb0="00000000" w:usb1="10000000" w:usb2="00000000" w:usb3="00000000" w:csb0="80000000" w:csb1="00000000"/>
    <w:embedRegular r:id="rId13" w:fontKey="{4477786D-90F5-E143-86D1-9CC2D0E06FAC}"/>
    <w:embedItalic r:id="rId14" w:fontKey="{0569B6F2-5CA9-9947-90A8-7F5138F1C72C}"/>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6" w:fontKey="{3C758CCD-9E3F-A94C-AFC8-242815F56981}"/>
    <w:embedItalic r:id="rId17" w:fontKey="{B8FBE15B-85AC-0A45-B0D9-C820B4335381}"/>
  </w:font>
  <w:font w:name="Cambria Math">
    <w:panose1 w:val="02040503050406030204"/>
    <w:charset w:val="00"/>
    <w:family w:val="roman"/>
    <w:pitch w:val="variable"/>
    <w:sig w:usb0="E00002FF" w:usb1="420024FF" w:usb2="00000000" w:usb3="00000000" w:csb0="0000019F" w:csb1="00000000"/>
    <w:embedRegular r:id="rId18" w:fontKey="{53DE9B23-F682-6442-8CD5-37101DE9EAAC}"/>
    <w:embedItalic r:id="rId19" w:fontKey="{01433BD2-ECA9-D543-A1E3-0624F5C8E02D}"/>
  </w:font>
  <w:font w:name="Cambria">
    <w:panose1 w:val="02040503050406030204"/>
    <w:charset w:val="00"/>
    <w:family w:val="roman"/>
    <w:pitch w:val="variable"/>
    <w:sig w:usb0="E00002FF" w:usb1="400004FF" w:usb2="00000000" w:usb3="00000000" w:csb0="0000019F" w:csb1="00000000"/>
    <w:embedRegular r:id="rId20" w:fontKey="{30064C5E-016E-6B42-8A09-E45C1B192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F34EC" w14:textId="77777777" w:rsidR="005E691D" w:rsidRDefault="005E691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92CEC" w14:textId="77777777" w:rsidR="005E691D" w:rsidRDefault="005E691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698A" w14:textId="77777777" w:rsidR="005E691D" w:rsidRDefault="005E691D">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5F206" w14:textId="77777777" w:rsidR="005E691D" w:rsidRDefault="005E691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31D05" w14:textId="77777777" w:rsidR="00911749" w:rsidRDefault="00911749">
      <w:r>
        <w:separator/>
      </w:r>
    </w:p>
  </w:footnote>
  <w:footnote w:type="continuationSeparator" w:id="0">
    <w:p w14:paraId="4FDCE8AF" w14:textId="77777777" w:rsidR="00911749" w:rsidRDefault="00911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E42B7" w14:textId="77777777" w:rsidR="005E691D" w:rsidRDefault="00F97D6A">
    <w:pPr>
      <w:pBdr>
        <w:top w:val="nil"/>
        <w:left w:val="nil"/>
        <w:bottom w:val="nil"/>
        <w:right w:val="nil"/>
        <w:between w:val="nil"/>
      </w:pBdr>
      <w:tabs>
        <w:tab w:val="center" w:pos="4320"/>
        <w:tab w:val="right" w:pos="8640"/>
      </w:tabs>
      <w:rPr>
        <w:color w:val="000000"/>
      </w:rPr>
    </w:pPr>
    <w:r>
      <w:rPr>
        <w:noProof/>
        <w:color w:val="000000"/>
      </w:rPr>
    </w:r>
    <w:r w:rsidR="00F97D6A">
      <w:rPr>
        <w:noProof/>
        <w:color w:val="000000"/>
      </w:rPr>
      <w:pict w14:anchorId="66662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alt="" style="position:absolute;margin-left:0;margin-top:0;width:520.65pt;height:57.85pt;rotation:315;z-index:-251659264;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AAC54" w14:textId="77777777" w:rsidR="005E691D" w:rsidRDefault="00F97D6A">
    <w:pPr>
      <w:pBdr>
        <w:top w:val="nil"/>
        <w:left w:val="nil"/>
        <w:bottom w:val="nil"/>
        <w:right w:val="nil"/>
        <w:between w:val="nil"/>
      </w:pBdr>
      <w:tabs>
        <w:tab w:val="center" w:pos="4320"/>
        <w:tab w:val="right" w:pos="8640"/>
      </w:tabs>
      <w:rPr>
        <w:color w:val="000000"/>
      </w:rPr>
    </w:pPr>
    <w:r>
      <w:rPr>
        <w:noProof/>
        <w:color w:val="000000"/>
      </w:rPr>
    </w:r>
    <w:r w:rsidR="00F97D6A">
      <w:rPr>
        <w:noProof/>
        <w:color w:val="000000"/>
      </w:rPr>
      <w:pict w14:anchorId="797CA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alt="" style="position:absolute;margin-left:0;margin-top:0;width:520.65pt;height:57.85pt;rotation:315;z-index:-25166131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86419" w14:textId="77777777" w:rsidR="005E691D" w:rsidRDefault="00F97D6A">
    <w:pPr>
      <w:ind w:left="2160"/>
      <w:jc w:val="center"/>
      <w:rPr>
        <w:rFonts w:ascii="Times New Roman" w:eastAsia="Times New Roman" w:hAnsi="Times New Roman" w:cs="Times New Roman"/>
        <w:i/>
        <w:sz w:val="18"/>
        <w:szCs w:val="18"/>
      </w:rPr>
    </w:pPr>
    <w:r>
      <w:rPr>
        <w:noProof/>
      </w:rPr>
    </w:r>
    <w:r w:rsidR="00F97D6A">
      <w:rPr>
        <w:noProof/>
      </w:rPr>
      <w:pict w14:anchorId="4A905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alt="" style="position:absolute;left:0;text-align:left;margin-left:0;margin-top:0;width:520.65pt;height:57.85pt;rotation:315;z-index:-25166028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p w14:paraId="6684FFCD" w14:textId="77777777" w:rsidR="005E691D" w:rsidRDefault="0091174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7564AE5" w14:textId="77777777" w:rsidR="005E691D" w:rsidRDefault="0091174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483EA7D" w14:textId="77777777" w:rsidR="005E691D" w:rsidRDefault="0091174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3C79933" w14:textId="77777777" w:rsidR="005E691D" w:rsidRDefault="0091174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B4D0090" w14:textId="77777777" w:rsidR="005E691D" w:rsidRDefault="0091174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41B4F48" w14:textId="77777777" w:rsidR="005E691D" w:rsidRDefault="0091174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05182" w14:textId="77777777" w:rsidR="005E691D" w:rsidRDefault="00F97D6A">
    <w:pPr>
      <w:pBdr>
        <w:top w:val="nil"/>
        <w:left w:val="nil"/>
        <w:bottom w:val="nil"/>
        <w:right w:val="nil"/>
        <w:between w:val="nil"/>
      </w:pBdr>
      <w:tabs>
        <w:tab w:val="center" w:pos="4320"/>
        <w:tab w:val="right" w:pos="8640"/>
      </w:tabs>
      <w:rPr>
        <w:color w:val="000000"/>
      </w:rPr>
    </w:pPr>
    <w:r>
      <w:rPr>
        <w:noProof/>
        <w:color w:val="000000"/>
      </w:rPr>
    </w:r>
    <w:r w:rsidR="00F97D6A">
      <w:rPr>
        <w:noProof/>
        <w:color w:val="000000"/>
      </w:rPr>
      <w:pict w14:anchorId="40139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20.65pt;height:57.85pt;rotation:315;z-index:-25165619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E3A92" w14:textId="77777777" w:rsidR="005E691D" w:rsidRDefault="00F97D6A">
    <w:pPr>
      <w:pBdr>
        <w:top w:val="nil"/>
        <w:left w:val="nil"/>
        <w:bottom w:val="nil"/>
        <w:right w:val="nil"/>
        <w:between w:val="nil"/>
      </w:pBdr>
      <w:tabs>
        <w:tab w:val="center" w:pos="4320"/>
        <w:tab w:val="right" w:pos="8640"/>
      </w:tabs>
      <w:rPr>
        <w:color w:val="000000"/>
      </w:rPr>
    </w:pPr>
    <w:r>
      <w:rPr>
        <w:noProof/>
        <w:color w:val="000000"/>
      </w:rPr>
    </w:r>
    <w:r w:rsidR="00F97D6A">
      <w:rPr>
        <w:noProof/>
        <w:color w:val="000000"/>
      </w:rPr>
      <w:pict w14:anchorId="5B02F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520.65pt;height:57.85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8EE0A" w14:textId="77777777" w:rsidR="005E691D" w:rsidRDefault="00F97D6A">
    <w:pPr>
      <w:pBdr>
        <w:top w:val="nil"/>
        <w:left w:val="nil"/>
        <w:bottom w:val="nil"/>
        <w:right w:val="nil"/>
        <w:between w:val="nil"/>
      </w:pBdr>
      <w:tabs>
        <w:tab w:val="center" w:pos="4320"/>
        <w:tab w:val="right" w:pos="8640"/>
      </w:tabs>
      <w:rPr>
        <w:color w:val="000000"/>
      </w:rPr>
    </w:pPr>
    <w:r>
      <w:rPr>
        <w:noProof/>
        <w:color w:val="000000"/>
      </w:rPr>
    </w:r>
    <w:r w:rsidR="00F97D6A">
      <w:rPr>
        <w:noProof/>
        <w:color w:val="000000"/>
      </w:rPr>
      <w:pict w14:anchorId="58448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20.65pt;height:57.85pt;rotation:315;z-index:-25165721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06127,0;3306127,367348;3306127,734695;3306127,367348"/>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AD35B5"/>
    <w:multiLevelType w:val="multilevel"/>
    <w:tmpl w:val="1BCEF350"/>
    <w:lvl w:ilvl="0">
      <w:start w:val="2"/>
      <w:numFmt w:val="decimal"/>
      <w:pStyle w:val="Reference"/>
      <w:lvlText w:val="%1."/>
      <w:lvlJc w:val="left"/>
      <w:pPr>
        <w:ind w:left="360" w:hanging="360"/>
      </w:pPr>
      <w:rPr>
        <w:rFonts w:ascii="Times New Roman" w:eastAsia="Times New Roman" w:hAnsi="Times New Roman" w:cs="Times New Roman"/>
      </w:rPr>
    </w:lvl>
    <w:lvl w:ilvl="1">
      <w:start w:val="2"/>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1" w15:restartNumberingAfterBreak="0">
    <w:nsid w:val="519044E4"/>
    <w:multiLevelType w:val="multilevel"/>
    <w:tmpl w:val="6638CBDA"/>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 w15:restartNumberingAfterBreak="0">
    <w:nsid w:val="7F121869"/>
    <w:multiLevelType w:val="multilevel"/>
    <w:tmpl w:val="57B0764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36235936">
    <w:abstractNumId w:val="0"/>
  </w:num>
  <w:num w:numId="2" w16cid:durableId="176192214">
    <w:abstractNumId w:val="2"/>
  </w:num>
  <w:num w:numId="3" w16cid:durableId="1434665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91D"/>
    <w:rsid w:val="000F59A1"/>
    <w:rsid w:val="001A062A"/>
    <w:rsid w:val="004A19A0"/>
    <w:rsid w:val="0058399E"/>
    <w:rsid w:val="005E691D"/>
    <w:rsid w:val="00655B8E"/>
    <w:rsid w:val="006B079E"/>
    <w:rsid w:val="006D01EF"/>
    <w:rsid w:val="006E34C4"/>
    <w:rsid w:val="00775117"/>
    <w:rsid w:val="00911749"/>
    <w:rsid w:val="00981D52"/>
    <w:rsid w:val="00AC49D6"/>
    <w:rsid w:val="00F97D6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52D6C8"/>
  <w15:docId w15:val="{827F86B8-8D4F-AB4B-9FAB-03B22412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80A23"/>
    <w:rPr>
      <w:color w:val="605E5C"/>
      <w:shd w:val="clear" w:color="auto" w:fill="E1DFDD"/>
    </w:rPr>
  </w:style>
  <w:style w:type="paragraph" w:styleId="ListParagraph">
    <w:name w:val="List Paragraph"/>
    <w:basedOn w:val="Normal"/>
    <w:uiPriority w:val="99"/>
    <w:unhideWhenUsed/>
    <w:rsid w:val="00F96635"/>
    <w:pPr>
      <w:ind w:left="720"/>
      <w:contextualSpacing/>
    </w:pPr>
  </w:style>
  <w:style w:type="paragraph" w:styleId="NormalWeb">
    <w:name w:val="Normal (Web)"/>
    <w:basedOn w:val="Normal"/>
    <w:uiPriority w:val="99"/>
    <w:semiHidden/>
    <w:unhideWhenUsed/>
    <w:rsid w:val="00CB1D46"/>
    <w:pPr>
      <w:spacing w:before="100" w:beforeAutospacing="1" w:after="100" w:afterAutospacing="1"/>
    </w:pPr>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gyjdn2Cy8JVyJTcA5o01J0BBQ==">CgMxLjAyDmgubzh6NzZtNndkN2VmOAByITFlLWJPaDhTZ3huam5rZ0xsdjVSTzMzZ1I0aVBINmFNNg==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4DD2441-E1C1-B646-AE29-F66F0D8E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Michael Okon</cp:lastModifiedBy>
  <cp:revision>2</cp:revision>
  <dcterms:created xsi:type="dcterms:W3CDTF">2025-09-27T16:52:00Z</dcterms:created>
  <dcterms:modified xsi:type="dcterms:W3CDTF">2025-09-27T16:52:00Z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F94FEC713A4E41E2ABC633A10E7FE03D_12</vt:lpwstr>
  </property>
  <property fmtid="{D5CDD505-2E9C-101B-9397-08002B2CF9AE}" pid="4" name="GrammarlyDocumentId">
    <vt:lpwstr>2c46aa35-4b4f-4225-a22b-a835484f9744</vt:lpwstr>
  </property>
</Properties>
</file>