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4A0D6" w14:textId="0A28339B" w:rsidR="008A78D9" w:rsidRDefault="00AE52D8" w:rsidP="00157FDB">
      <w:pPr>
        <w:pStyle w:val="Author"/>
        <w:spacing w:line="240" w:lineRule="auto"/>
        <w:rPr>
          <w:rFonts w:ascii="Arial" w:hAnsi="Arial" w:cs="Arial"/>
          <w:bCs/>
          <w:iCs/>
          <w:color w:val="000000" w:themeColor="text1"/>
          <w:kern w:val="28"/>
          <w:sz w:val="36"/>
        </w:rPr>
      </w:pPr>
      <w:r w:rsidRPr="00AE52D8">
        <w:rPr>
          <w:rFonts w:ascii="Arial" w:hAnsi="Arial" w:cs="Arial"/>
          <w:bCs/>
          <w:iCs/>
          <w:color w:val="000000" w:themeColor="text1"/>
          <w:kern w:val="28"/>
          <w:sz w:val="36"/>
        </w:rPr>
        <w:t xml:space="preserve">Extending the Andersen Behavioral Model: Service Innovation, Treatment Adherence, and Patient Satisfaction in Malaria Care in Papua, Indonesia </w:t>
      </w:r>
    </w:p>
    <w:p w14:paraId="356CDCE5" w14:textId="77777777" w:rsidR="009D4A9A" w:rsidRPr="00097749" w:rsidRDefault="009D4A9A" w:rsidP="00157FDB">
      <w:pPr>
        <w:pStyle w:val="Author"/>
        <w:spacing w:line="240" w:lineRule="auto"/>
        <w:rPr>
          <w:rFonts w:ascii="Arial" w:hAnsi="Arial" w:cs="Arial"/>
          <w:bCs/>
          <w:iCs/>
          <w:color w:val="000000" w:themeColor="text1"/>
          <w:kern w:val="28"/>
          <w:sz w:val="36"/>
        </w:rPr>
      </w:pPr>
    </w:p>
    <w:p w14:paraId="01D4EECC" w14:textId="77777777" w:rsidR="00790ADA" w:rsidRPr="00097749" w:rsidRDefault="00790ADA" w:rsidP="00441B6F">
      <w:pPr>
        <w:pStyle w:val="Affiliation"/>
        <w:spacing w:after="0" w:line="240" w:lineRule="auto"/>
        <w:jc w:val="both"/>
        <w:rPr>
          <w:rFonts w:ascii="Arial" w:hAnsi="Arial" w:cs="Arial"/>
          <w:color w:val="000000" w:themeColor="text1"/>
        </w:rPr>
      </w:pPr>
    </w:p>
    <w:p w14:paraId="60D9BE6E" w14:textId="77777777" w:rsidR="002C57D2" w:rsidRPr="00097749" w:rsidRDefault="002C57D2" w:rsidP="00441B6F">
      <w:pPr>
        <w:pStyle w:val="Affiliation"/>
        <w:spacing w:after="0" w:line="240" w:lineRule="auto"/>
        <w:jc w:val="both"/>
        <w:rPr>
          <w:rFonts w:ascii="Arial" w:hAnsi="Arial" w:cs="Arial"/>
          <w:color w:val="000000" w:themeColor="text1"/>
        </w:rPr>
      </w:pPr>
    </w:p>
    <w:p w14:paraId="1C6B7641" w14:textId="77777777" w:rsidR="00B01FCD" w:rsidRPr="00097749" w:rsidRDefault="008C2CBE" w:rsidP="00441B6F">
      <w:pPr>
        <w:pStyle w:val="Copyright"/>
        <w:spacing w:after="0" w:line="240" w:lineRule="auto"/>
        <w:jc w:val="both"/>
        <w:rPr>
          <w:rFonts w:ascii="Arial" w:hAnsi="Arial" w:cs="Arial"/>
          <w:color w:val="000000" w:themeColor="text1"/>
        </w:rPr>
        <w:sectPr w:rsidR="00B01FCD" w:rsidRPr="00097749" w:rsidSect="002F3E8B">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FB6190">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097749">
        <w:rPr>
          <w:rFonts w:ascii="Arial" w:hAnsi="Arial" w:cs="Arial"/>
          <w:color w:val="000000" w:themeColor="text1"/>
        </w:rPr>
        <w:t>.</w:t>
      </w:r>
    </w:p>
    <w:p w14:paraId="61A4627E" w14:textId="77777777" w:rsidR="00B01FCD" w:rsidRPr="00097749" w:rsidRDefault="00B01FCD" w:rsidP="00441B6F">
      <w:pPr>
        <w:pStyle w:val="AbstHead"/>
        <w:spacing w:after="0"/>
        <w:jc w:val="both"/>
        <w:rPr>
          <w:rFonts w:ascii="Arial" w:hAnsi="Arial" w:cs="Arial"/>
          <w:color w:val="000000" w:themeColor="text1"/>
        </w:rPr>
      </w:pPr>
      <w:r w:rsidRPr="00097749">
        <w:rPr>
          <w:rFonts w:ascii="Arial" w:hAnsi="Arial" w:cs="Arial"/>
          <w:color w:val="000000" w:themeColor="text1"/>
        </w:rPr>
        <w:t>ABSTRACT</w:t>
      </w:r>
      <w:r w:rsidR="0066510A" w:rsidRPr="00097749">
        <w:rPr>
          <w:rFonts w:ascii="Arial" w:hAnsi="Arial" w:cs="Arial"/>
          <w:color w:val="000000" w:themeColor="text1"/>
        </w:rPr>
        <w:t xml:space="preserve"> </w:t>
      </w:r>
    </w:p>
    <w:p w14:paraId="7A637587" w14:textId="77777777" w:rsidR="00790ADA" w:rsidRPr="00097749"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97749" w:rsidRPr="00097749" w14:paraId="3C2EB660" w14:textId="77777777" w:rsidTr="001E44FE">
        <w:tc>
          <w:tcPr>
            <w:tcW w:w="9576" w:type="dxa"/>
            <w:shd w:val="clear" w:color="auto" w:fill="F2F2F2"/>
          </w:tcPr>
          <w:p w14:paraId="54A0C29D" w14:textId="77777777" w:rsidR="00BA1B01"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color w:val="000000" w:themeColor="text1"/>
                <w:szCs w:val="22"/>
              </w:rPr>
              <w:t xml:space="preserve">Aims: </w:t>
            </w:r>
            <w:r w:rsidR="001E314B" w:rsidRPr="00097749">
              <w:rPr>
                <w:rFonts w:ascii="Arial" w:eastAsia="Calibri" w:hAnsi="Arial" w:cs="Arial"/>
                <w:color w:val="000000" w:themeColor="text1"/>
                <w:szCs w:val="22"/>
              </w:rPr>
              <w:t>This study aims to examine the direct and indirect effects of treatment adherence on patient satisfaction, incorporating service innovation into Andersen Behavioral Model of Health Service Use</w:t>
            </w:r>
          </w:p>
          <w:p w14:paraId="3656E391" w14:textId="77777777" w:rsidR="00BA1B01"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bCs/>
                <w:color w:val="000000" w:themeColor="text1"/>
                <w:szCs w:val="22"/>
              </w:rPr>
              <w:t>Methodology:</w:t>
            </w:r>
            <w:r w:rsidRPr="00097749">
              <w:rPr>
                <w:rFonts w:ascii="Arial" w:eastAsia="Calibri" w:hAnsi="Arial" w:cs="Arial"/>
                <w:color w:val="000000" w:themeColor="text1"/>
                <w:szCs w:val="22"/>
              </w:rPr>
              <w:t xml:space="preserve"> </w:t>
            </w:r>
            <w:r w:rsidR="001E314B" w:rsidRPr="00097749">
              <w:rPr>
                <w:rFonts w:ascii="Arial" w:eastAsia="Calibri" w:hAnsi="Arial" w:cs="Arial"/>
                <w:color w:val="000000" w:themeColor="text1"/>
                <w:szCs w:val="22"/>
              </w:rPr>
              <w:t xml:space="preserve">A cross-sectional survey of 220 respondents was conducted at the </w:t>
            </w:r>
            <w:proofErr w:type="spellStart"/>
            <w:r w:rsidR="001E314B" w:rsidRPr="00097749">
              <w:rPr>
                <w:rFonts w:ascii="Arial" w:eastAsia="Calibri" w:hAnsi="Arial" w:cs="Arial"/>
                <w:color w:val="000000" w:themeColor="text1"/>
                <w:szCs w:val="22"/>
              </w:rPr>
              <w:t>Wania</w:t>
            </w:r>
            <w:proofErr w:type="spellEnd"/>
            <w:r w:rsidR="001E314B" w:rsidRPr="00097749">
              <w:rPr>
                <w:rFonts w:ascii="Arial" w:eastAsia="Calibri" w:hAnsi="Arial" w:cs="Arial"/>
                <w:color w:val="000000" w:themeColor="text1"/>
                <w:szCs w:val="22"/>
              </w:rPr>
              <w:t xml:space="preserve"> Health Center, </w:t>
            </w:r>
            <w:proofErr w:type="spellStart"/>
            <w:r w:rsidR="001E314B" w:rsidRPr="00097749">
              <w:rPr>
                <w:rFonts w:ascii="Arial" w:eastAsia="Calibri" w:hAnsi="Arial" w:cs="Arial"/>
                <w:color w:val="000000" w:themeColor="text1"/>
                <w:szCs w:val="22"/>
              </w:rPr>
              <w:t>Mimika</w:t>
            </w:r>
            <w:proofErr w:type="spellEnd"/>
            <w:r w:rsidR="001E314B" w:rsidRPr="00097749">
              <w:rPr>
                <w:rFonts w:ascii="Arial" w:eastAsia="Calibri" w:hAnsi="Arial" w:cs="Arial"/>
                <w:color w:val="000000" w:themeColor="text1"/>
                <w:szCs w:val="22"/>
              </w:rPr>
              <w:t xml:space="preserve"> District, Papua. Data were analyzed using </w:t>
            </w:r>
            <w:proofErr w:type="spellStart"/>
            <w:r w:rsidR="001E314B" w:rsidRPr="00097749">
              <w:rPr>
                <w:rFonts w:ascii="Arial" w:eastAsia="Calibri" w:hAnsi="Arial" w:cs="Arial"/>
                <w:color w:val="000000" w:themeColor="text1"/>
                <w:szCs w:val="22"/>
              </w:rPr>
              <w:t>SmartPLS</w:t>
            </w:r>
            <w:proofErr w:type="spellEnd"/>
            <w:r w:rsidR="001E314B" w:rsidRPr="00097749">
              <w:rPr>
                <w:rFonts w:ascii="Arial" w:eastAsia="Calibri" w:hAnsi="Arial" w:cs="Arial"/>
                <w:color w:val="000000" w:themeColor="text1"/>
                <w:szCs w:val="22"/>
              </w:rPr>
              <w:t xml:space="preserve"> 4 with reliability, validity, and structural relationships tested through bootstrapping (5,000 resamples)</w:t>
            </w:r>
            <w:r w:rsidRPr="00097749">
              <w:rPr>
                <w:rFonts w:ascii="Arial" w:eastAsia="Calibri" w:hAnsi="Arial" w:cs="Arial"/>
                <w:color w:val="000000" w:themeColor="text1"/>
                <w:szCs w:val="22"/>
              </w:rPr>
              <w:t>.</w:t>
            </w:r>
          </w:p>
          <w:p w14:paraId="3E65060C" w14:textId="77777777" w:rsidR="00BA1B01" w:rsidRPr="00097749" w:rsidRDefault="00BA1B01" w:rsidP="00441B6F">
            <w:pPr>
              <w:pStyle w:val="Body"/>
              <w:spacing w:after="0"/>
              <w:rPr>
                <w:rFonts w:ascii="Arial" w:eastAsia="Calibri" w:hAnsi="Arial" w:cs="Arial"/>
                <w:b/>
                <w:bCs/>
                <w:color w:val="000000" w:themeColor="text1"/>
                <w:szCs w:val="22"/>
              </w:rPr>
            </w:pPr>
            <w:r w:rsidRPr="00097749">
              <w:rPr>
                <w:rFonts w:ascii="Arial" w:eastAsia="Calibri" w:hAnsi="Arial" w:cs="Arial"/>
                <w:b/>
                <w:bCs/>
                <w:color w:val="000000" w:themeColor="text1"/>
                <w:szCs w:val="22"/>
              </w:rPr>
              <w:t>Results:</w:t>
            </w:r>
            <w:r w:rsidR="001E314B" w:rsidRPr="00097749">
              <w:rPr>
                <w:rFonts w:ascii="Arial" w:eastAsia="Calibri" w:hAnsi="Arial" w:cs="Arial"/>
                <w:b/>
                <w:bCs/>
                <w:color w:val="000000" w:themeColor="text1"/>
                <w:szCs w:val="22"/>
              </w:rPr>
              <w:t xml:space="preserve"> </w:t>
            </w:r>
            <w:r w:rsidR="001E314B" w:rsidRPr="00097749">
              <w:rPr>
                <w:rFonts w:ascii="Arial" w:eastAsia="Calibri" w:hAnsi="Arial" w:cs="Arial"/>
                <w:color w:val="000000" w:themeColor="text1"/>
                <w:szCs w:val="22"/>
              </w:rPr>
              <w:t>The results showed that predisposing and reinforcing factors of treatment adherence significantly improved patient satisfaction, while enabling factors had no effect. Service innovation, including streamlined malaria service, home visits, and digital monitoring, partially mediated adherence–satisfaction relationship. The model explained 77.6% of the variance in satisfaction</w:t>
            </w:r>
            <w:r w:rsidRPr="00097749">
              <w:rPr>
                <w:rFonts w:ascii="Arial" w:eastAsia="Calibri" w:hAnsi="Arial" w:cs="Arial"/>
                <w:color w:val="000000" w:themeColor="text1"/>
                <w:szCs w:val="22"/>
              </w:rPr>
              <w:t>.</w:t>
            </w:r>
          </w:p>
          <w:p w14:paraId="44A5C211" w14:textId="77777777" w:rsidR="001E314B"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bCs/>
                <w:color w:val="000000" w:themeColor="text1"/>
                <w:szCs w:val="22"/>
              </w:rPr>
              <w:t>Conclusion:</w:t>
            </w:r>
            <w:r w:rsidRPr="00097749">
              <w:rPr>
                <w:rFonts w:ascii="Arial" w:eastAsia="Calibri" w:hAnsi="Arial" w:cs="Arial"/>
                <w:color w:val="000000" w:themeColor="text1"/>
                <w:szCs w:val="22"/>
              </w:rPr>
              <w:t xml:space="preserve"> </w:t>
            </w:r>
            <w:r w:rsidR="001E314B" w:rsidRPr="00097749">
              <w:rPr>
                <w:rFonts w:ascii="Arial" w:eastAsia="Calibri" w:hAnsi="Arial" w:cs="Arial"/>
                <w:color w:val="000000" w:themeColor="text1"/>
                <w:szCs w:val="22"/>
              </w:rPr>
              <w:t>Service innovation enhances satisfaction both directly and indirectly, extending Andersen Behavioral Model and offering actionable insights for policymakers. The results underscore the need for patient-centered innovation to strengthen malaria elimination strategies in resource-limited settings.</w:t>
            </w:r>
          </w:p>
          <w:p w14:paraId="2612D97F" w14:textId="77777777" w:rsidR="00505F06" w:rsidRPr="00097749" w:rsidRDefault="00505F06" w:rsidP="00441B6F">
            <w:pPr>
              <w:pStyle w:val="Body"/>
              <w:spacing w:after="0"/>
              <w:rPr>
                <w:rFonts w:ascii="Arial" w:eastAsia="Calibri" w:hAnsi="Arial" w:cs="Arial"/>
                <w:color w:val="000000" w:themeColor="text1"/>
                <w:szCs w:val="22"/>
              </w:rPr>
            </w:pPr>
          </w:p>
        </w:tc>
      </w:tr>
    </w:tbl>
    <w:p w14:paraId="67176786" w14:textId="77777777" w:rsidR="00636EB2" w:rsidRPr="00097749" w:rsidRDefault="00636EB2" w:rsidP="00441B6F">
      <w:pPr>
        <w:pStyle w:val="Body"/>
        <w:spacing w:after="0"/>
        <w:rPr>
          <w:rFonts w:ascii="Arial" w:hAnsi="Arial" w:cs="Arial"/>
          <w:i/>
          <w:color w:val="000000" w:themeColor="text1"/>
        </w:rPr>
      </w:pPr>
    </w:p>
    <w:p w14:paraId="6FB59CDC" w14:textId="05AA9468" w:rsidR="00790ADA" w:rsidRPr="00097749" w:rsidRDefault="00A24E7E" w:rsidP="00441B6F">
      <w:pPr>
        <w:pStyle w:val="Body"/>
        <w:spacing w:after="0"/>
        <w:rPr>
          <w:rFonts w:ascii="Arial" w:hAnsi="Arial" w:cs="Arial"/>
          <w:i/>
          <w:color w:val="000000" w:themeColor="text1"/>
        </w:rPr>
      </w:pPr>
      <w:r w:rsidRPr="00097749">
        <w:rPr>
          <w:rFonts w:ascii="Arial" w:hAnsi="Arial" w:cs="Arial"/>
          <w:i/>
          <w:color w:val="000000" w:themeColor="text1"/>
        </w:rPr>
        <w:t xml:space="preserve">Keywords: </w:t>
      </w:r>
      <w:r w:rsidR="001E314B" w:rsidRPr="00097749">
        <w:rPr>
          <w:rFonts w:ascii="Arial" w:hAnsi="Arial" w:cs="Arial"/>
          <w:i/>
          <w:color w:val="000000" w:themeColor="text1"/>
        </w:rPr>
        <w:t>Service innovation; patient satisfaction; treatment adherence; malaria care; Indonesia</w:t>
      </w:r>
    </w:p>
    <w:p w14:paraId="51055892" w14:textId="77777777" w:rsidR="0024282C" w:rsidRPr="00097749" w:rsidRDefault="0024282C" w:rsidP="00441B6F">
      <w:pPr>
        <w:pStyle w:val="Body"/>
        <w:spacing w:after="0"/>
        <w:rPr>
          <w:rFonts w:ascii="Arial" w:hAnsi="Arial" w:cs="Arial"/>
          <w:i/>
          <w:color w:val="000000" w:themeColor="text1"/>
          <w:sz w:val="18"/>
        </w:rPr>
      </w:pPr>
    </w:p>
    <w:p w14:paraId="5523A949" w14:textId="77777777" w:rsidR="00505F06" w:rsidRPr="00097749" w:rsidRDefault="00505F06" w:rsidP="00441B6F">
      <w:pPr>
        <w:pStyle w:val="Body"/>
        <w:spacing w:after="0"/>
        <w:rPr>
          <w:rFonts w:ascii="Arial" w:hAnsi="Arial" w:cs="Arial"/>
          <w:i/>
          <w:color w:val="000000" w:themeColor="text1"/>
        </w:rPr>
      </w:pPr>
    </w:p>
    <w:p w14:paraId="542243F7" w14:textId="48859913" w:rsidR="007F7B32" w:rsidRPr="00097749" w:rsidRDefault="00902823" w:rsidP="00441B6F">
      <w:pPr>
        <w:pStyle w:val="AbstHead"/>
        <w:spacing w:after="0"/>
        <w:jc w:val="both"/>
        <w:rPr>
          <w:rFonts w:ascii="Arial" w:hAnsi="Arial" w:cs="Arial"/>
          <w:color w:val="000000" w:themeColor="text1"/>
        </w:rPr>
      </w:pPr>
      <w:r w:rsidRPr="00097749">
        <w:rPr>
          <w:rFonts w:ascii="Arial" w:hAnsi="Arial" w:cs="Arial"/>
          <w:color w:val="000000" w:themeColor="text1"/>
        </w:rPr>
        <w:t xml:space="preserve">1. </w:t>
      </w:r>
      <w:r w:rsidR="00B01FCD" w:rsidRPr="00097749">
        <w:rPr>
          <w:rFonts w:ascii="Arial" w:hAnsi="Arial" w:cs="Arial"/>
          <w:color w:val="000000" w:themeColor="text1"/>
        </w:rPr>
        <w:t>INTRODUCTION</w:t>
      </w:r>
      <w:r w:rsidR="007F7B32" w:rsidRPr="00097749">
        <w:rPr>
          <w:rFonts w:ascii="Arial" w:hAnsi="Arial" w:cs="Arial"/>
          <w:color w:val="000000" w:themeColor="text1"/>
        </w:rPr>
        <w:t xml:space="preserve"> </w:t>
      </w:r>
    </w:p>
    <w:p w14:paraId="41962A88" w14:textId="77777777" w:rsidR="00790ADA" w:rsidRPr="00097749" w:rsidRDefault="00790ADA" w:rsidP="00441B6F">
      <w:pPr>
        <w:pStyle w:val="AbstHead"/>
        <w:spacing w:after="0"/>
        <w:jc w:val="both"/>
        <w:rPr>
          <w:rFonts w:ascii="Arial" w:hAnsi="Arial" w:cs="Arial"/>
          <w:color w:val="000000" w:themeColor="text1"/>
        </w:rPr>
      </w:pPr>
    </w:p>
    <w:p w14:paraId="38EA680B" w14:textId="1D140D54" w:rsidR="00097749" w:rsidRPr="00097749" w:rsidRDefault="00097749" w:rsidP="00D95052">
      <w:pPr>
        <w:pStyle w:val="BodyText"/>
        <w:jc w:val="both"/>
        <w:rPr>
          <w:color w:val="000000" w:themeColor="text1"/>
        </w:rPr>
      </w:pPr>
      <w:r w:rsidRPr="00097749">
        <w:rPr>
          <w:color w:val="000000" w:themeColor="text1"/>
        </w:rPr>
        <w:t xml:space="preserve">Malaria remains one of the most persistent and devastating infectious diseases globally. According to the World Health Organization </w:t>
      </w:r>
      <w:r w:rsidR="00D95052">
        <w:rPr>
          <w:color w:val="000000" w:themeColor="text1"/>
        </w:rPr>
        <w:fldChar w:fldCharType="begin" w:fldLock="1"/>
      </w:r>
      <w:r w:rsidR="00DA1086">
        <w:rPr>
          <w:color w:val="000000" w:themeColor="text1"/>
        </w:rPr>
        <w:instrText>ADDIN CSL_CITATION {"citationItems":[{"id":"ITEM-1","itemData":{"ISBN":"9789240086173","author":[{"dropping-particle":"","family":"World Health Organization","given":"","non-dropping-particle":"","parse-names":false,"suffix":""}],"id":"ITEM-1","issued":{"date-parts":[["2023"]]},"publisher-place":"Geneva","title":"World malaria report 2023","type":"report"},"uris":["http://www.mendeley.com/documents/?uuid=3fb6d265-a1e3-4b60-b6d9-94a76e260352"]}],"mendeley":{"formattedCitation":"(World Health Organization, 2023)","plainTextFormattedCitation":"(World Health Organization, 2023)","previouslyFormattedCitation":"(World Health Organization, 2023)"},"properties":{"noteIndex":0},"schema":"https://github.com/citation-style-language/schema/raw/master/csl-citation.json"}</w:instrText>
      </w:r>
      <w:r w:rsidR="00D95052">
        <w:rPr>
          <w:color w:val="000000" w:themeColor="text1"/>
        </w:rPr>
        <w:fldChar w:fldCharType="separate"/>
      </w:r>
      <w:r w:rsidR="00D95052" w:rsidRPr="00D95052">
        <w:rPr>
          <w:noProof/>
          <w:color w:val="000000" w:themeColor="text1"/>
        </w:rPr>
        <w:t>(World Health Organization, 2023)</w:t>
      </w:r>
      <w:r w:rsidR="00D95052">
        <w:rPr>
          <w:color w:val="000000" w:themeColor="text1"/>
        </w:rPr>
        <w:fldChar w:fldCharType="end"/>
      </w:r>
      <w:r w:rsidR="00D95052">
        <w:rPr>
          <w:color w:val="000000" w:themeColor="text1"/>
        </w:rPr>
        <w:t xml:space="preserve">, </w:t>
      </w:r>
      <w:r w:rsidRPr="00097749">
        <w:rPr>
          <w:color w:val="000000" w:themeColor="text1"/>
        </w:rPr>
        <w:t>over 249 million malaria cases and approximately 608,000 deaths were recorded worldwide in 2022, with the burden falling disproportionately on low- and middle-income countries. Sub-Saharan Africa accounts for the majority of global cases, but Southeast Asia, particularly Indonesia, continues to report significant malaria prevalence. Despite decades of eradication campaigns, malaria remains a leading cause of morbidity, mortality, and socioeconomic loss in endemic regions. The disease disproportionately affects vulnerable populations such as pregnant women, infants, and young children, while also undermining the productivity of working-age adults, reinforcing cycles of poverty and ill health</w:t>
      </w:r>
      <w:r w:rsidR="00DA1086">
        <w:rPr>
          <w:color w:val="000000" w:themeColor="text1"/>
        </w:rPr>
        <w:t xml:space="preserve"> </w:t>
      </w:r>
      <w:r w:rsidR="00DA1086">
        <w:rPr>
          <w:color w:val="000000" w:themeColor="text1"/>
        </w:rPr>
        <w:fldChar w:fldCharType="begin" w:fldLock="1"/>
      </w:r>
      <w:r w:rsidR="000212A9">
        <w:rPr>
          <w:color w:val="000000" w:themeColor="text1"/>
        </w:rPr>
        <w:instrText>ADDIN CSL_CITATION {"citationItems":[{"id":"ITEM-1","itemData":{"DOI":"10.1136/bmjgh-2021-005169","author":[{"dropping-particle":"","family":"Tusting","given":"Lucy S","non-dropping-particle":"","parse-names":false,"suffix":""},{"dropping-particle":"","family":"Cairncross","given":"Sandy","non-dropping-particle":"","parse-names":false,"suffix":""},{"dropping-particle":"","family":"Ludolph","given":"Ramona","non-dropping-particle":"","parse-names":false,"suffix":""},{"dropping-particle":"","family":"Velayudhan","given":"Raman","non-dropping-particle":"","parse-names":false,"suffix":""},{"dropping-particle":"","family":"Wilson","given":"Anne L","non-dropping-particle":"","parse-names":false,"suffix":""},{"dropping-particle":"","family":"Lindsay","given":"Steven W","non-dropping-particle":"","parse-names":false,"suffix":""}],"container-title":"BMJ Global Health","id":"ITEM-1","issue":"e005169","issued":{"date-parts":[["2021"]]},"page":"1-3","title":"Assessing the health benefits of development interventions","type":"article-journal","volume":"6"},"uris":["http://www.mendeley.com/documents/?uuid=b22704d0-3fce-48bf-8418-baec0ed31235"]}],"mendeley":{"formattedCitation":"(Tusting et al., 2021)","plainTextFormattedCitation":"(Tusting et al., 2021)","previouslyFormattedCitation":"(Tusting et al., 2021)"},"properties":{"noteIndex":0},"schema":"https://github.com/citation-style-language/schema/raw/master/csl-citation.json"}</w:instrText>
      </w:r>
      <w:r w:rsidR="00DA1086">
        <w:rPr>
          <w:color w:val="000000" w:themeColor="text1"/>
        </w:rPr>
        <w:fldChar w:fldCharType="separate"/>
      </w:r>
      <w:r w:rsidR="00DA1086" w:rsidRPr="00DA1086">
        <w:rPr>
          <w:noProof/>
          <w:color w:val="000000" w:themeColor="text1"/>
        </w:rPr>
        <w:t>(Tusting et al., 2021)</w:t>
      </w:r>
      <w:r w:rsidR="00DA1086">
        <w:rPr>
          <w:color w:val="000000" w:themeColor="text1"/>
        </w:rPr>
        <w:fldChar w:fldCharType="end"/>
      </w:r>
      <w:r w:rsidR="00DA1086">
        <w:rPr>
          <w:color w:val="000000" w:themeColor="text1"/>
        </w:rPr>
        <w:t>.</w:t>
      </w:r>
      <w:r w:rsidRPr="00097749">
        <w:rPr>
          <w:color w:val="000000" w:themeColor="text1"/>
        </w:rPr>
        <w:t xml:space="preserve"> </w:t>
      </w:r>
    </w:p>
    <w:p w14:paraId="69925747" w14:textId="669FFCFB" w:rsidR="00097749" w:rsidRPr="009D442F" w:rsidRDefault="00097749" w:rsidP="009D442F">
      <w:pPr>
        <w:pStyle w:val="BodyText"/>
        <w:jc w:val="both"/>
        <w:rPr>
          <w:color w:val="FF0000"/>
        </w:rPr>
      </w:pPr>
      <w:r w:rsidRPr="00097749">
        <w:rPr>
          <w:color w:val="000000" w:themeColor="text1"/>
        </w:rPr>
        <w:t xml:space="preserve">In Indonesia, malaria continues to present a formidable public health challenge, specifically in eastern provinces. National elimination efforts have been in progress since the early 2000s, with the government setting a target of nationwide malaria elimination by 2030 </w:t>
      </w:r>
      <w:r w:rsidR="000212A9">
        <w:rPr>
          <w:color w:val="000000" w:themeColor="text1"/>
        </w:rPr>
        <w:fldChar w:fldCharType="begin" w:fldLock="1"/>
      </w:r>
      <w:r w:rsidR="00995809">
        <w:rPr>
          <w:color w:val="000000" w:themeColor="text1"/>
        </w:rPr>
        <w:instrText>ADDIN CSL_CITATION {"citationItems":[{"id":"ITEM-1","itemData":{"author":[{"dropping-particle":"","family":"Directorate General of Disease Prevention and Control, Ministry of Health","given":"Republic of Indonesia","non-dropping-particle":"","parse-names":false,"suffix":""}],"id":"ITEM-1","issued":{"date-parts":[["2023"]]},"title":"Malaria Annual Report 2022","type":"report"},"uris":["http://www.mendeley.com/documents/?uuid=ff214a23-567e-48e0-a2cf-a6b6d0b38c77"]}],"mendeley":{"formattedCitation":"(Directorate General of Disease Prevention and Control, Ministry of Health, 2023)","plainTextFormattedCitation":"(Directorate General of Disease Prevention and Control, Ministry of Health, 2023)","previouslyFormattedCitation":"(Directorate General of Disease Prevention and Control, Ministry of Health, 2023)"},"properties":{"noteIndex":0},"schema":"https://github.com/citation-style-language/schema/raw/master/csl-citation.json"}</w:instrText>
      </w:r>
      <w:r w:rsidR="000212A9">
        <w:rPr>
          <w:color w:val="000000" w:themeColor="text1"/>
        </w:rPr>
        <w:fldChar w:fldCharType="separate"/>
      </w:r>
      <w:r w:rsidR="000212A9" w:rsidRPr="000212A9">
        <w:rPr>
          <w:noProof/>
          <w:color w:val="000000" w:themeColor="text1"/>
        </w:rPr>
        <w:t>(Directorate General of Disease Prevention and Control, Ministry of Health, 2023)</w:t>
      </w:r>
      <w:r w:rsidR="000212A9">
        <w:rPr>
          <w:color w:val="000000" w:themeColor="text1"/>
        </w:rPr>
        <w:fldChar w:fldCharType="end"/>
      </w:r>
      <w:r w:rsidRPr="00097749">
        <w:rPr>
          <w:color w:val="000000" w:themeColor="text1"/>
        </w:rPr>
        <w:t xml:space="preserve">. Although some provinces in western Indonesia have achieved elimination, Papua and West Papua </w:t>
      </w:r>
      <w:r w:rsidRPr="00097749">
        <w:rPr>
          <w:color w:val="000000" w:themeColor="text1"/>
        </w:rPr>
        <w:lastRenderedPageBreak/>
        <w:t xml:space="preserve">continue to bear the brunt of malaria burden. </w:t>
      </w:r>
      <w:r w:rsidRPr="00D26D8E">
        <w:rPr>
          <w:color w:val="000000" w:themeColor="text1"/>
        </w:rPr>
        <w:t>Papua alone contributes nearly one-third of total malaria cases nationally</w:t>
      </w:r>
      <w:r w:rsidR="00D26D8E" w:rsidRPr="00D26D8E">
        <w:rPr>
          <w:color w:val="000000" w:themeColor="text1"/>
        </w:rPr>
        <w:t xml:space="preserve"> </w:t>
      </w:r>
      <w:r w:rsidR="00D26D8E" w:rsidRPr="00D26D8E">
        <w:rPr>
          <w:color w:val="000000" w:themeColor="text1"/>
        </w:rPr>
        <w:fldChar w:fldCharType="begin" w:fldLock="1"/>
      </w:r>
      <w:r w:rsidR="000B1038">
        <w:rPr>
          <w:color w:val="000000" w:themeColor="text1"/>
        </w:rPr>
        <w:instrText>ADDIN CSL_CITATION {"citationItems":[{"id":"ITEM-1","itemData":{"DOI":"https://doi.org/10.1186/s13012-019-0870-x","author":[{"dropping-particle":"","family":"Lestari","given":"Trisasi","non-dropping-particle":"","parse-names":false,"suffix":""},{"dropping-particle":"","family":"Graham","given":"Steve","non-dropping-particle":"","parse-names":false,"suffix":""},{"dropping-particle":"Van Den","family":"Boogard","given":"Christel","non-dropping-particle":"","parse-names":false,"suffix":""},{"dropping-particle":"","family":"Triasih","given":"Rina","non-dropping-particle":"","parse-names":false,"suffix":""},{"dropping-particle":"","family":"Poespoprodjo","given":"Jeanne Rini","non-dropping-particle":"","parse-names":false,"suffix":""},{"dropping-particle":"","family":"Ubra","given":"Reynold Rizal","non-dropping-particle":"","parse-names":false,"suffix":""},{"dropping-particle":"","family":"Kenangalem","given":"Enny","non-dropping-particle":"","parse-names":false,"suffix":""},{"dropping-particle":"","family":"Mahendradhata","given":"Yodi","non-dropping-particle":"","parse-names":false,"suffix":""},{"dropping-particle":"","family":"Anstey","given":"Nicholas M","non-dropping-particle":"","parse-names":false,"suffix":""},{"dropping-particle":"","family":"Bailie","given":"Ross S","non-dropping-particle":"","parse-names":false,"suffix":""},{"dropping-particle":"","family":"Ralph","given":"Anna P","non-dropping-particle":"","parse-names":false,"suffix":""}],"container-title":"Implementation Science","id":"ITEM-1","issue":"31","issued":{"date-parts":[["2019"]]},"page":"1-15","publisher":"Implementation Science","title":"Bridging the knowledge-practice gap in tuberculosis contact management in a high-burden setting : a mixed-methods protocol for a multicenter health system strengthening study","type":"article-journal","volume":"14"},"uris":["http://www.mendeley.com/documents/?uuid=e7c9f5ba-152f-4501-8602-804b25b9400d"]}],"mendeley":{"formattedCitation":"(Lestari et al., 2019)","plainTextFormattedCitation":"(Lestari et al., 2019)","previouslyFormattedCitation":"(Lestari et al., 2019)"},"properties":{"noteIndex":0},"schema":"https://github.com/citation-style-language/schema/raw/master/csl-citation.json"}</w:instrText>
      </w:r>
      <w:r w:rsidR="00D26D8E" w:rsidRPr="00D26D8E">
        <w:rPr>
          <w:color w:val="000000" w:themeColor="text1"/>
        </w:rPr>
        <w:fldChar w:fldCharType="separate"/>
      </w:r>
      <w:r w:rsidR="00D26D8E" w:rsidRPr="00D26D8E">
        <w:rPr>
          <w:noProof/>
          <w:color w:val="000000" w:themeColor="text1"/>
        </w:rPr>
        <w:t>(Lestari et al., 2019)</w:t>
      </w:r>
      <w:r w:rsidR="00D26D8E" w:rsidRPr="00D26D8E">
        <w:rPr>
          <w:color w:val="000000" w:themeColor="text1"/>
        </w:rPr>
        <w:fldChar w:fldCharType="end"/>
      </w:r>
      <w:r w:rsidR="00D26D8E" w:rsidRPr="00D26D8E">
        <w:rPr>
          <w:color w:val="000000" w:themeColor="text1"/>
        </w:rPr>
        <w:t>.</w:t>
      </w:r>
    </w:p>
    <w:p w14:paraId="20BEAE9F" w14:textId="22B903ED" w:rsidR="00995809" w:rsidRPr="00097749" w:rsidRDefault="00097749" w:rsidP="00995809">
      <w:pPr>
        <w:pStyle w:val="BodyText"/>
        <w:jc w:val="both"/>
        <w:rPr>
          <w:color w:val="000000" w:themeColor="text1"/>
        </w:rPr>
      </w:pPr>
      <w:proofErr w:type="spellStart"/>
      <w:r w:rsidRPr="00097749">
        <w:rPr>
          <w:color w:val="000000" w:themeColor="text1"/>
        </w:rPr>
        <w:t>Mimika</w:t>
      </w:r>
      <w:proofErr w:type="spellEnd"/>
      <w:r w:rsidRPr="00097749">
        <w:rPr>
          <w:color w:val="000000" w:themeColor="text1"/>
        </w:rPr>
        <w:t xml:space="preserve"> District in Central Papua Province exemplifies the challenges of malaria elimination in high-burden areas. Between 2019 and 2022, </w:t>
      </w:r>
      <w:proofErr w:type="spellStart"/>
      <w:r w:rsidRPr="00097749">
        <w:rPr>
          <w:color w:val="000000" w:themeColor="text1"/>
        </w:rPr>
        <w:t>Mimika</w:t>
      </w:r>
      <w:proofErr w:type="spellEnd"/>
      <w:r w:rsidRPr="00097749">
        <w:rPr>
          <w:color w:val="000000" w:themeColor="text1"/>
        </w:rPr>
        <w:t xml:space="preserve"> consistently accounted for 30–39% of Indonesia total malaria cases, with an average contribution of 33.6% per year. Data from the </w:t>
      </w:r>
      <w:r w:rsidR="00995809">
        <w:rPr>
          <w:color w:val="000000" w:themeColor="text1"/>
        </w:rPr>
        <w:fldChar w:fldCharType="begin" w:fldLock="1"/>
      </w:r>
      <w:r w:rsidR="00995809">
        <w:rPr>
          <w:color w:val="000000" w:themeColor="text1"/>
        </w:rPr>
        <w:instrText>ADDIN CSL_CITATION {"citationItems":[{"id":"ITEM-1","itemData":{"author":[{"dropping-particle":"","family":"Directorate General of Disease Prevention and Control, Ministry of Health","given":"Republic of Indonesia","non-dropping-particle":"","parse-names":false,"suffix":""}],"id":"ITEM-1","issued":{"date-parts":[["2023"]]},"title":"Malaria Annual Report 2022","type":"report"},"uris":["http://www.mendeley.com/documents/?uuid=ff214a23-567e-48e0-a2cf-a6b6d0b38c77"]}],"mendeley":{"formattedCitation":"(Directorate General of Disease Prevention and Control, Ministry of Health, 2023)","plainTextFormattedCitation":"(Directorate General of Disease Prevention and Control, Ministry of Health, 2023)","previouslyFormattedCitation":"(Directorate General of Disease Prevention and Control, Ministry of Health, 2023)"},"properties":{"noteIndex":0},"schema":"https://github.com/citation-style-language/schema/raw/master/csl-citation.json"}</w:instrText>
      </w:r>
      <w:r w:rsidR="00995809">
        <w:rPr>
          <w:color w:val="000000" w:themeColor="text1"/>
        </w:rPr>
        <w:fldChar w:fldCharType="separate"/>
      </w:r>
      <w:r w:rsidR="00995809" w:rsidRPr="00995809">
        <w:rPr>
          <w:noProof/>
          <w:color w:val="000000" w:themeColor="text1"/>
        </w:rPr>
        <w:t>(Directorate General of Disease Prevention and Control, Ministry of Health, 2023)</w:t>
      </w:r>
      <w:r w:rsidR="00995809">
        <w:rPr>
          <w:color w:val="000000" w:themeColor="text1"/>
        </w:rPr>
        <w:fldChar w:fldCharType="end"/>
      </w:r>
      <w:r w:rsidRPr="00097749">
        <w:rPr>
          <w:color w:val="000000" w:themeColor="text1"/>
        </w:rPr>
        <w:t xml:space="preserve"> showed that cases in the district rose sharply from 119,167 in 2021 to 132,547 in 2022, coinciding with a national increase of 36.3% in the same period. Epidemiological indicators confirm the severity of the problem. The Annual Parasite Incidence (API) in 2023 was 456.3 per 1,000 population, over 400 times the national elimination threshold of less than 1 per 1,000. Similarly, the positivity rate (PR) reached 41.8% in 2021, well above the national average, before declining slightly to 30.7% in 2023. </w:t>
      </w:r>
    </w:p>
    <w:p w14:paraId="4ADA4D1E" w14:textId="47EDEFD3" w:rsidR="003361EC" w:rsidRPr="00097749" w:rsidRDefault="00097749" w:rsidP="00F51C58">
      <w:pPr>
        <w:pStyle w:val="BodyText"/>
        <w:jc w:val="both"/>
        <w:rPr>
          <w:color w:val="000000" w:themeColor="text1"/>
        </w:rPr>
      </w:pPr>
      <w:r w:rsidRPr="00097749">
        <w:rPr>
          <w:color w:val="000000" w:themeColor="text1"/>
        </w:rPr>
        <w:t xml:space="preserve">The high prevalence of malaria in </w:t>
      </w:r>
      <w:proofErr w:type="spellStart"/>
      <w:r w:rsidRPr="00097749">
        <w:rPr>
          <w:color w:val="000000" w:themeColor="text1"/>
        </w:rPr>
        <w:t>Mimika</w:t>
      </w:r>
      <w:proofErr w:type="spellEnd"/>
      <w:r w:rsidRPr="00097749">
        <w:rPr>
          <w:color w:val="000000" w:themeColor="text1"/>
        </w:rPr>
        <w:t xml:space="preserve"> can be attributed to two interconnected problems, namely inadequate adherence to treatment regimens and inconsistent preventive practices. Non-adherence to prescribed antimalarial regimens, particularly primaquine for Plasmodium vivax, remains widespread. Patient often discontinue treatment after symptoms subside or when experiencing side effects, leading to relapse and sustained transmission</w:t>
      </w:r>
      <w:r w:rsidR="00995809">
        <w:rPr>
          <w:color w:val="000000" w:themeColor="text1"/>
        </w:rPr>
        <w:t xml:space="preserve"> </w:t>
      </w:r>
      <w:r w:rsidR="00995809">
        <w:rPr>
          <w:color w:val="000000" w:themeColor="text1"/>
        </w:rPr>
        <w:fldChar w:fldCharType="begin" w:fldLock="1"/>
      </w:r>
      <w:r w:rsidR="00FB63CF">
        <w:rPr>
          <w:color w:val="000000" w:themeColor="text1"/>
        </w:rPr>
        <w:instrText>ADDIN CSL_CITATION {"citationItems":[{"id":"ITEM-1","itemData":{"DOI":"10.1016/S1473-3099(21)00358-3","ISSN":"1473-3099","author":[{"dropping-particle":"","family":"Poespoprodjo","given":"Jeanne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Diseases","id":"ITEM-1","issue":"3","issued":{"date-parts":[["2022","3","1"]]},"note":"doi: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trial","type":"article-journal","volume":"22"},"uris":["http://www.mendeley.com/documents/?uuid=98076772-06c2-4046-950a-6bba70420feb"]}],"mendeley":{"formattedCitation":"(Poespoprodjo et al., 2022)","plainTextFormattedCitation":"(Poespoprodjo et al., 2022)","previouslyFormattedCitation":"(Poespoprodjo et al., 2022)"},"properties":{"noteIndex":0},"schema":"https://github.com/citation-style-language/schema/raw/master/csl-citation.json"}</w:instrText>
      </w:r>
      <w:r w:rsidR="00995809">
        <w:rPr>
          <w:color w:val="000000" w:themeColor="text1"/>
        </w:rPr>
        <w:fldChar w:fldCharType="separate"/>
      </w:r>
      <w:r w:rsidR="00995809" w:rsidRPr="00995809">
        <w:rPr>
          <w:noProof/>
          <w:color w:val="000000" w:themeColor="text1"/>
        </w:rPr>
        <w:t>(Poespoprodjo et al., 2022)</w:t>
      </w:r>
      <w:r w:rsidR="00995809">
        <w:rPr>
          <w:color w:val="000000" w:themeColor="text1"/>
        </w:rPr>
        <w:fldChar w:fldCharType="end"/>
      </w:r>
      <w:r w:rsidRPr="00097749">
        <w:rPr>
          <w:color w:val="000000" w:themeColor="text1"/>
        </w:rPr>
        <w:t xml:space="preserve">. At the same time, preventive behaviors such as consistent use of insecticide-treated bed nets, indoor residual spraying, and avoidance of mosquito bites are poorly practiced </w:t>
      </w:r>
      <w:r w:rsidR="00FB63CF">
        <w:rPr>
          <w:color w:val="000000" w:themeColor="text1"/>
        </w:rPr>
        <w:fldChar w:fldCharType="begin" w:fldLock="1"/>
      </w:r>
      <w:r w:rsidR="00C2231C">
        <w:rPr>
          <w:color w:val="000000" w:themeColor="text1"/>
        </w:rPr>
        <w:instrText>ADDIN CSL_CITATION {"citationItems":[{"id":"ITEM-1","itemData":{"DOI":"https://doi.org/10.64679/median.v2i01.17","author":[{"dropping-particle":"","family":"Miranti","given":"Ita","non-dropping-particle":"","parse-names":false,"suffix":""}],"container-title":"Media Edukasi Data Ilmiah dan Analisis","id":"ITEM-1","issued":{"date-parts":[["2019"]]},"page":"1-11","title":"Pemodelan Prevalensi Malaria di Indonesia (Dengan Regresi Lasso Terboboti Geografis)","type":"article-journal","volume":"01"},"uris":["http://www.mendeley.com/documents/?uuid=c09ac334-e875-4ac1-8dc7-182bafb23a86"]}],"mendeley":{"formattedCitation":"(Miranti, 2019)","plainTextFormattedCitation":"(Miranti, 2019)","previouslyFormattedCitation":"(Miranti, 2019)"},"properties":{"noteIndex":0},"schema":"https://github.com/citation-style-language/schema/raw/master/csl-citation.json"}</w:instrText>
      </w:r>
      <w:r w:rsidR="00FB63CF">
        <w:rPr>
          <w:color w:val="000000" w:themeColor="text1"/>
        </w:rPr>
        <w:fldChar w:fldCharType="separate"/>
      </w:r>
      <w:r w:rsidR="00FB63CF" w:rsidRPr="00FB63CF">
        <w:rPr>
          <w:noProof/>
          <w:color w:val="000000" w:themeColor="text1"/>
        </w:rPr>
        <w:t>(Miranti, 2019)</w:t>
      </w:r>
      <w:r w:rsidR="00FB63CF">
        <w:rPr>
          <w:color w:val="000000" w:themeColor="text1"/>
        </w:rPr>
        <w:fldChar w:fldCharType="end"/>
      </w:r>
      <w:r w:rsidR="00FB63CF">
        <w:rPr>
          <w:color w:val="000000" w:themeColor="text1"/>
        </w:rPr>
        <w:t xml:space="preserve">. </w:t>
      </w:r>
      <w:r w:rsidRPr="00097749">
        <w:rPr>
          <w:color w:val="000000" w:themeColor="text1"/>
        </w:rPr>
        <w:t>Collectively, these factors perpetuate high levels of transmission and hinder malaria control efforts.</w:t>
      </w:r>
    </w:p>
    <w:p w14:paraId="489E7BD4" w14:textId="24049B5F" w:rsidR="00097749" w:rsidRPr="00097749" w:rsidRDefault="00097749" w:rsidP="00C2231C">
      <w:pPr>
        <w:pStyle w:val="BodyText"/>
        <w:jc w:val="both"/>
        <w:rPr>
          <w:color w:val="000000" w:themeColor="text1"/>
        </w:rPr>
      </w:pPr>
      <w:r w:rsidRPr="00097749">
        <w:rPr>
          <w:color w:val="000000" w:themeColor="text1"/>
        </w:rPr>
        <w:t xml:space="preserve">Local government initiatives have attempted to address these challenges. </w:t>
      </w:r>
      <w:proofErr w:type="spellStart"/>
      <w:r w:rsidRPr="00097749">
        <w:rPr>
          <w:color w:val="000000" w:themeColor="text1"/>
        </w:rPr>
        <w:t>Mimika</w:t>
      </w:r>
      <w:proofErr w:type="spellEnd"/>
      <w:r w:rsidRPr="00097749">
        <w:rPr>
          <w:color w:val="000000" w:themeColor="text1"/>
        </w:rPr>
        <w:t xml:space="preserve"> District issued Regulation No. 49/2019 on malaria control and established Malaria Center through Decree No. 225/2019. The district was further designated as a “special area” for accelerated malaria elimination through Decree No. 519/2020. Collaborative programs between the District Health Office and PT Freeport Indonesia, such as mass blood surveys, have shown alarmingly high infection rates. For instance, a survey of 533 residents conducted in 2022–2023 found that 36% were infected with malaria, and while 73.5% requested for treatment at community health centers</w:t>
      </w:r>
      <w:r w:rsidR="00C2231C">
        <w:rPr>
          <w:color w:val="000000" w:themeColor="text1"/>
        </w:rPr>
        <w:t xml:space="preserve"> </w:t>
      </w:r>
      <w:r w:rsidRPr="00097749">
        <w:rPr>
          <w:color w:val="000000" w:themeColor="text1"/>
        </w:rPr>
        <w:t>only 10.3% completed prescribed medication. This data shows that although access to primary healthcare is relatively high, adherence to treatment remains critically low.</w:t>
      </w:r>
    </w:p>
    <w:p w14:paraId="030155E0" w14:textId="086F118B" w:rsidR="00097749" w:rsidRPr="00097749" w:rsidRDefault="00097749" w:rsidP="00C2231C">
      <w:pPr>
        <w:pStyle w:val="BodyText"/>
        <w:jc w:val="both"/>
        <w:rPr>
          <w:color w:val="000000" w:themeColor="text1"/>
        </w:rPr>
      </w:pPr>
      <w:r w:rsidRPr="00097749">
        <w:rPr>
          <w:color w:val="000000" w:themeColor="text1"/>
        </w:rPr>
        <w:t>The issue of treatment adherence in malaria care has been extensively studied in global literature.</w:t>
      </w:r>
      <w:r w:rsidR="00296070" w:rsidRPr="00296070">
        <w:rPr>
          <w:color w:val="000000" w:themeColor="text1"/>
        </w:rPr>
        <w:t xml:space="preserve"> </w:t>
      </w:r>
      <w:r w:rsidR="00296070">
        <w:rPr>
          <w:color w:val="000000" w:themeColor="text1"/>
        </w:rPr>
        <w:fldChar w:fldCharType="begin" w:fldLock="1"/>
      </w:r>
      <w:r w:rsidR="00296070">
        <w:rPr>
          <w:color w:val="000000" w:themeColor="text1"/>
        </w:rPr>
        <w:instrText>ADDIN CSL_CITATION {"citationItems":[{"id":"ITEM-1","itemData":{"author":[{"dropping-particle":"","family":"Green","given":"Lawrence","non-dropping-particle":"","parse-names":false,"suffix":""},{"dropping-particle":"","family":"Kreuter","given":"Marshall","non-dropping-particle":"","parse-names":false,"suffix":""}],"edition":"2","id":"ITEM-1","issued":{"date-parts":[["1991"]]},"publisher":"Mayfield Publishing Co.","publisher-place":"Palo Alto","title":"Health Promotion Planning: An Educational and Environmental Approach","type":"book"},"uris":["http://www.mendeley.com/documents/?uuid=9a897336-f5f8-4fc2-8af0-3fcee148012b"]}],"mendeley":{"formattedCitation":"(Green &amp; Kreuter, 1991)","manualFormatting":"Green &amp; Kreuter (1991)","plainTextFormattedCitation":"(Green &amp; Kreuter, 1991)","previouslyFormattedCitation":"(Green &amp; Kreuter, 1991)"},"properties":{"noteIndex":0},"schema":"https://github.com/citation-style-language/schema/raw/master/csl-citation.json"}</w:instrText>
      </w:r>
      <w:r w:rsidR="00296070">
        <w:rPr>
          <w:color w:val="000000" w:themeColor="text1"/>
        </w:rPr>
        <w:fldChar w:fldCharType="separate"/>
      </w:r>
      <w:r w:rsidR="00296070" w:rsidRPr="00C2231C">
        <w:rPr>
          <w:noProof/>
          <w:color w:val="000000" w:themeColor="text1"/>
        </w:rPr>
        <w:t xml:space="preserve">Green &amp; Kreuter </w:t>
      </w:r>
      <w:r w:rsidR="00296070">
        <w:rPr>
          <w:noProof/>
          <w:color w:val="000000" w:themeColor="text1"/>
        </w:rPr>
        <w:t>(</w:t>
      </w:r>
      <w:r w:rsidR="00296070" w:rsidRPr="00C2231C">
        <w:rPr>
          <w:noProof/>
          <w:color w:val="000000" w:themeColor="text1"/>
        </w:rPr>
        <w:t>1991)</w:t>
      </w:r>
      <w:r w:rsidR="00296070">
        <w:rPr>
          <w:color w:val="000000" w:themeColor="text1"/>
        </w:rPr>
        <w:fldChar w:fldCharType="end"/>
      </w:r>
      <w:r w:rsidRPr="00097749">
        <w:rPr>
          <w:color w:val="000000" w:themeColor="text1"/>
        </w:rPr>
        <w:t xml:space="preserve"> </w:t>
      </w:r>
      <w:r w:rsidR="000B1038">
        <w:rPr>
          <w:color w:val="000000" w:themeColor="text1"/>
        </w:rPr>
        <w:t xml:space="preserve">The </w:t>
      </w:r>
      <w:r w:rsidR="00C2231C" w:rsidRPr="00097749">
        <w:rPr>
          <w:color w:val="000000" w:themeColor="text1"/>
        </w:rPr>
        <w:t>PRECEDE-PROCEED model identified three categories of factors influencing health behavior, namely predisposing (knowledge, attitudes, beliefs), enabling (resources, access, availability), and reinforcing (support from family or providers)</w:t>
      </w:r>
      <w:r w:rsidR="00C2231C">
        <w:rPr>
          <w:color w:val="000000" w:themeColor="text1"/>
        </w:rPr>
        <w:t>.</w:t>
      </w:r>
      <w:r w:rsidRPr="00097749">
        <w:rPr>
          <w:color w:val="000000" w:themeColor="text1"/>
        </w:rPr>
        <w:t xml:space="preserve"> In the context of malaria, these factors determine whether patient initiates and completes treatment. More recent work </w:t>
      </w:r>
      <w:r w:rsidR="000B1038">
        <w:rPr>
          <w:color w:val="000000" w:themeColor="text1"/>
        </w:rPr>
        <w:t>has</w:t>
      </w:r>
      <w:r w:rsidRPr="00097749">
        <w:rPr>
          <w:color w:val="000000" w:themeColor="text1"/>
        </w:rPr>
        <w:t xml:space="preserve"> </w:t>
      </w:r>
      <w:r w:rsidR="00296070">
        <w:rPr>
          <w:color w:val="000000" w:themeColor="text1"/>
        </w:rPr>
        <w:fldChar w:fldCharType="begin" w:fldLock="1"/>
      </w:r>
      <w:r w:rsidR="0093716A">
        <w:rPr>
          <w:color w:val="000000" w:themeColor="text1"/>
        </w:rPr>
        <w:instrText>ADDIN CSL_CITATION {"citationItems":[{"id":"ITEM-1","itemData":{"DOI":"10.1177/23743735221103029","ISSN":"2374-3735","abstract":"Although there are studies on the use of social media and palliative and end-of-life care (PEOLC), there are no studies specifically investigating the content of online public feedback about PEOLC services. This study sought to understand experiences of end-of-life care provided in hospitals in the West of Scotland by exploring the main themes within the content of stories posted on a nationally endorsed nonprofit feedback online platform, Care Opinion, within a 2-year period. We used ?Appreciative Inquiry? as a theoretical framework for this study to determine what works well in end-of-life care, while also identifying areas for further improvement. Of the 1428 stories published on ?Care Opinion? from March 2019 to 2021 regarding hospitals in the West of Scotland, 48 (3.36%) were related to end-of-life care, of which all were included in data analysis. Using the software package NVivo and thematic analysis, we identified 4 key themes. We found that people overwhelmingly posted positive feedback about their experiences with end-of-life care. People reported positively about staff professionalism in providing compassionate and person-centered care to meet their loved ones needs at end of life. Other experiences of care related to challenges facing healthcare services, particularly during the COVID-19 pandemic. Quality appraisal of staff responses highlighted areas for improving feedback. This study can add to the aim of improving staff response to people?s concerns about end-of-life care. This study has provided a novel perspective of patients? experiences of end-of-life care in hospitals in the West of Scotland. Novel insights were the appreciation of quality of care, staff professionalism, effective communication, and meeting patient?s needs at end-of-life particularly by nursing staff.","author":[{"dropping-particle":"","family":"Khonsari","given":" Sahar","non-dropping-particle":"","parse-names":false,"suffix":""},{"dropping-particle":"","family":"O Neill","given":" Claire","non-dropping-particle":"","parse-names":false,"suffix":""},{"dropping-particle":"","family":"Mayland","given":" Catriona R","non-dropping-particle":"","parse-names":false,"suffix":""},{"dropping-particle":"","family":"Gilmour","given":" Fraser","non-dropping-particle":"","parse-names":false,"suffix":""},{"dropping-particle":"","family":"Aitken","given":" Marc","non-dropping-particle":"","parse-names":false,"suffix":""},{"dropping-particle":"","family":"Mckeown","given":" Alistair","non-dropping-particle":"","parse-names":false,"suffix":""},{"dropping-particle":"","family":"Russell","given":" Sian","non-dropping-particle":"","parse-names":false,"suffix":""},{"dropping-particle":"","family":"Mcalees","given":" Angela","non-dropping-particle":"","parse-names":false,"suffix":""},{"dropping-particle":"","family":"Gardner","given":" Morag","non-dropping-particle":"","parse-names":false,"suffix":""},{"dropping-particle":"","family":"Johnston","given":" Bridget","non-dropping-particle":"","parse-names":false,"suffix":""}],"container-title":"Journal of Patient Experience","id":"ITEM-1","issued":{"date-parts":[["2022","1","1"]]},"note":"doi: 10.1177/23743735221103029","page":"23743735221103029","publisher":"SAGE Publications Inc","title":"Views of Care at End of Life: A Secondary Analysis of Online Feedback Using Care Opinion","type":"article-journal","volume":"9"},"uris":["http://www.mendeley.com/documents/?uuid=7a1dbeae-f9b5-4dab-bff5-8d1d5b598413"]}],"mendeley":{"formattedCitation":"(Khonsari et al., 2022)","manualFormatting":"Khonsari et al. (2022)","plainTextFormattedCitation":"(Khonsari et al., 2022)","previouslyFormattedCitation":"(Khonsari et al., 2022)"},"properties":{"noteIndex":0},"schema":"https://github.com/citation-style-language/schema/raw/master/csl-citation.json"}</w:instrText>
      </w:r>
      <w:r w:rsidR="00296070">
        <w:rPr>
          <w:color w:val="000000" w:themeColor="text1"/>
        </w:rPr>
        <w:fldChar w:fldCharType="separate"/>
      </w:r>
      <w:r w:rsidR="00296070" w:rsidRPr="00296070">
        <w:rPr>
          <w:noProof/>
          <w:color w:val="000000" w:themeColor="text1"/>
        </w:rPr>
        <w:t xml:space="preserve">Khonsari et al. </w:t>
      </w:r>
      <w:r w:rsidR="00F46C2C">
        <w:rPr>
          <w:noProof/>
          <w:color w:val="000000" w:themeColor="text1"/>
        </w:rPr>
        <w:t>(</w:t>
      </w:r>
      <w:r w:rsidR="00296070" w:rsidRPr="00296070">
        <w:rPr>
          <w:noProof/>
          <w:color w:val="000000" w:themeColor="text1"/>
        </w:rPr>
        <w:t>2022)</w:t>
      </w:r>
      <w:r w:rsidR="00296070">
        <w:rPr>
          <w:color w:val="000000" w:themeColor="text1"/>
        </w:rPr>
        <w:fldChar w:fldCharType="end"/>
      </w:r>
      <w:r w:rsidR="00296070">
        <w:rPr>
          <w:color w:val="000000" w:themeColor="text1"/>
        </w:rPr>
        <w:t xml:space="preserve"> </w:t>
      </w:r>
      <w:r w:rsidRPr="00097749">
        <w:rPr>
          <w:color w:val="000000" w:themeColor="text1"/>
        </w:rPr>
        <w:t>reported that adherence is not only an individual responsibility but also a systemic outcome, shaped by healthcare service quality, provider engagement, and social support. Without supervision and follow-up, adherence rates tend to decline sharply, specifically for lengthy regimens such as the 14-day primaquine treatment required to eliminate hypnozoites of vivax.</w:t>
      </w:r>
    </w:p>
    <w:p w14:paraId="65482E64" w14:textId="2680AEE1" w:rsidR="00097749" w:rsidRPr="00097749" w:rsidRDefault="00097749" w:rsidP="00296070">
      <w:pPr>
        <w:pStyle w:val="BodyText"/>
        <w:jc w:val="both"/>
        <w:rPr>
          <w:color w:val="000000" w:themeColor="text1"/>
        </w:rPr>
      </w:pPr>
      <w:r w:rsidRPr="00097749">
        <w:rPr>
          <w:color w:val="000000" w:themeColor="text1"/>
        </w:rPr>
        <w:t xml:space="preserve">Studies in Papua have provided strong empirical evidence for the importance of supervision. </w:t>
      </w:r>
      <w:r w:rsidR="00296070">
        <w:rPr>
          <w:color w:val="000000" w:themeColor="text1"/>
        </w:rPr>
        <w:t>The</w:t>
      </w:r>
      <w:r w:rsidRPr="00097749">
        <w:rPr>
          <w:color w:val="000000" w:themeColor="text1"/>
        </w:rPr>
        <w:t xml:space="preserve"> supervised primaquine administration significantly reduced relapse rates compared to unsupervised regimens</w:t>
      </w:r>
      <w:r w:rsidR="00296070">
        <w:rPr>
          <w:color w:val="000000" w:themeColor="text1"/>
        </w:rPr>
        <w:t xml:space="preserve"> </w:t>
      </w:r>
      <w:r w:rsidR="00296070">
        <w:rPr>
          <w:color w:val="000000" w:themeColor="text1"/>
        </w:rPr>
        <w:fldChar w:fldCharType="begin" w:fldLock="1"/>
      </w:r>
      <w:r w:rsidR="00C714B7">
        <w:rPr>
          <w:color w:val="000000" w:themeColor="text1"/>
        </w:rPr>
        <w:instrText>ADDIN CSL_CITATION {"citationItems":[{"id":"ITEM-1","itemData":{"DOI":"10.1016/S1473-3099(21)00358-3","ISSN":"1473-3099","author":[{"dropping-particle":"","family":"Poespoprodjo","given":"Jeanne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Diseases","id":"ITEM-1","issue":"3","issued":{"date-parts":[["2022","3","1"]]},"note":"doi: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trial","type":"article-journal","volume":"22"},"uris":["http://www.mendeley.com/documents/?uuid=98076772-06c2-4046-950a-6bba70420feb"]}],"mendeley":{"formattedCitation":"(Poespoprodjo et al., 2022)","plainTextFormattedCitation":"(Poespoprodjo et al., 2022)","previouslyFormattedCitation":"(Poespoprodjo et al., 2022)"},"properties":{"noteIndex":0},"schema":"https://github.com/citation-style-language/schema/raw/master/csl-citation.json"}</w:instrText>
      </w:r>
      <w:r w:rsidR="00296070">
        <w:rPr>
          <w:color w:val="000000" w:themeColor="text1"/>
        </w:rPr>
        <w:fldChar w:fldCharType="separate"/>
      </w:r>
      <w:r w:rsidR="00296070" w:rsidRPr="00296070">
        <w:rPr>
          <w:noProof/>
          <w:color w:val="000000" w:themeColor="text1"/>
        </w:rPr>
        <w:t>(Poespoprodjo et al., 2022)</w:t>
      </w:r>
      <w:r w:rsidR="00296070">
        <w:rPr>
          <w:color w:val="000000" w:themeColor="text1"/>
        </w:rPr>
        <w:fldChar w:fldCharType="end"/>
      </w:r>
      <w:r w:rsidRPr="00097749">
        <w:rPr>
          <w:color w:val="000000" w:themeColor="text1"/>
        </w:rPr>
        <w:t xml:space="preserve">. Similarly, </w:t>
      </w:r>
      <w:r w:rsidR="00C714B7">
        <w:rPr>
          <w:color w:val="000000" w:themeColor="text1"/>
        </w:rPr>
        <w:fldChar w:fldCharType="begin" w:fldLock="1"/>
      </w:r>
      <w:r w:rsidR="0093716A">
        <w:rPr>
          <w:color w:val="000000" w:themeColor="text1"/>
        </w:rPr>
        <w:instrText>ADDIN CSL_CITATION {"citationItems":[{"id":"ITEM-1","itemData":{"DOI":"10.1186/s12936-025-05358-x","ISSN":"1475-2875","abstract":"Papua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Journal","id":"ITEM-1","issue":"1","issued":{"date-parts":[["2025"]]},"page":"177","title":"Enhanced data quality to improve malaria surveillance in Papua, Indonesia","type":"article-journal","volume":"24"},"uris":["http://www.mendeley.com/documents/?uuid=b2e31924-05c2-4d72-b3a5-7dd77885c151"]}],"mendeley":{"formattedCitation":"(Fransisca et al., 2025)","manualFormatting":"Fransisca et al. (2025)","plainTextFormattedCitation":"(Fransisca et al., 2025)","previouslyFormattedCitation":"(Fransisca et al., 2025)"},"properties":{"noteIndex":0},"schema":"https://github.com/citation-style-language/schema/raw/master/csl-citation.json"}</w:instrText>
      </w:r>
      <w:r w:rsidR="00C714B7">
        <w:rPr>
          <w:color w:val="000000" w:themeColor="text1"/>
        </w:rPr>
        <w:fldChar w:fldCharType="separate"/>
      </w:r>
      <w:r w:rsidR="00C714B7" w:rsidRPr="00C714B7">
        <w:rPr>
          <w:noProof/>
          <w:color w:val="000000" w:themeColor="text1"/>
        </w:rPr>
        <w:t xml:space="preserve">Fransisca et al. </w:t>
      </w:r>
      <w:r w:rsidR="00C714B7">
        <w:rPr>
          <w:noProof/>
          <w:color w:val="000000" w:themeColor="text1"/>
        </w:rPr>
        <w:t>(</w:t>
      </w:r>
      <w:r w:rsidR="00C714B7" w:rsidRPr="00C714B7">
        <w:rPr>
          <w:noProof/>
          <w:color w:val="000000" w:themeColor="text1"/>
        </w:rPr>
        <w:t>2025)</w:t>
      </w:r>
      <w:r w:rsidR="00C714B7">
        <w:rPr>
          <w:color w:val="000000" w:themeColor="text1"/>
        </w:rPr>
        <w:fldChar w:fldCharType="end"/>
      </w:r>
      <w:r w:rsidR="00C714B7">
        <w:rPr>
          <w:color w:val="000000" w:themeColor="text1"/>
        </w:rPr>
        <w:t xml:space="preserve"> </w:t>
      </w:r>
      <w:r w:rsidRPr="00097749">
        <w:rPr>
          <w:color w:val="000000" w:themeColor="text1"/>
        </w:rPr>
        <w:t>found that patient receiving home visits from healthcare workers had markedly higher adherence and satisfaction levels. These results suggest that innovative service delivery approaches, such as patient supervision, digital adherence reminders, and community-based monitoring, can play a critical role in overcoming adherence challenges in resource-limited settings.</w:t>
      </w:r>
    </w:p>
    <w:p w14:paraId="1D289F21" w14:textId="30E50A19" w:rsidR="00097749" w:rsidRPr="00097749" w:rsidRDefault="00097749" w:rsidP="0093716A">
      <w:pPr>
        <w:pStyle w:val="BodyText"/>
        <w:jc w:val="both"/>
        <w:rPr>
          <w:color w:val="000000" w:themeColor="text1"/>
        </w:rPr>
      </w:pPr>
      <w:r w:rsidRPr="00097749">
        <w:rPr>
          <w:color w:val="000000" w:themeColor="text1"/>
        </w:rPr>
        <w:t xml:space="preserve">Service innovation in healthcare comprises the introduction or adaptation of new processes, technologies, or organizational practices to improve service quality, accessibility, and </w:t>
      </w:r>
      <w:r w:rsidRPr="00097749">
        <w:rPr>
          <w:color w:val="000000" w:themeColor="text1"/>
        </w:rPr>
        <w:lastRenderedPageBreak/>
        <w:t>patient-centeredness</w:t>
      </w:r>
      <w:r w:rsidR="0093716A">
        <w:rPr>
          <w:color w:val="000000" w:themeColor="text1"/>
        </w:rPr>
        <w:t xml:space="preserve"> </w:t>
      </w:r>
      <w:r w:rsidR="0093716A">
        <w:rPr>
          <w:color w:val="000000" w:themeColor="text1"/>
        </w:rPr>
        <w:fldChar w:fldCharType="begin" w:fldLock="1"/>
      </w:r>
      <w:r w:rsidR="0093716A">
        <w:rPr>
          <w:color w:val="000000" w:themeColor="text1"/>
        </w:rPr>
        <w:instrText>ADDIN CSL_CITATION {"citationItems":[{"id":"ITEM-1","itemData":{"DOI":"https://doi.org/10.1111/emre.12365","author":[{"dropping-particle":"","family":"Desmarchelier","given":"Benoît","non-dropping-particle":"","parse-names":false,"suffix":""},{"dropping-particle":"","family":"Djellal","given":"Faridah","non-dropping-particle":"","parse-names":false,"suffix":""},{"dropping-particle":"","family":"Gallouj","given":"Faïz","non-dropping-particle":"","parse-names":false,"suffix":""}],"container-title":"European Management Review","id":"ITEM-1","issued":{"date-parts":[["2019"]]},"page":"439-448","title":"Users’ involvement in value co-creation: The more the better?","type":"article-journal","volume":"17"},"uris":["http://www.mendeley.com/documents/?uuid=c71ea64a-5e94-4131-af36-c060ae3d7566"]},{"id":"ITEM-2","itemData":{"DOI":"10.1080/10978526.2020.1802286","ISSN":"1097-8526","author":[{"dropping-particle":"","family":"Guarcello","given":"Claudio","non-dropping-particle":"","parse-names":false,"suffix":""},{"dropping-particle":"","family":"Vargas","given":"Eduardo Raupp","non-dropping-particle":"de","parse-names":false,"suffix":""}],"container-title":"Latin American Business Review","id":"ITEM-2","issue":"4","issued":{"date-parts":[["2020","10","1"]]},"note":"doi: 10.1080/10978526.2020.1802286","page":"353-369","publisher":"Routledge","title":"Service Innovation in Healthcare: A Systematic Literature Review","type":"article-journal","volume":"21"},"uris":["http://www.mendeley.com/documents/?uuid=4e7582ba-4c69-4b5b-a74c-2e02d8b7b436"]}],"mendeley":{"formattedCitation":"(Desmarchelier et al., 2019; Guarcello &amp; de Vargas, 2020)","plainTextFormattedCitation":"(Desmarchelier et al., 2019; Guarcello &amp; de Vargas, 2020)","previouslyFormattedCitation":"(Desmarchelier et al., 2019; Guarcello &amp; de Vargas, 2020)"},"properties":{"noteIndex":0},"schema":"https://github.com/citation-style-language/schema/raw/master/csl-citation.json"}</w:instrText>
      </w:r>
      <w:r w:rsidR="0093716A">
        <w:rPr>
          <w:color w:val="000000" w:themeColor="text1"/>
        </w:rPr>
        <w:fldChar w:fldCharType="separate"/>
      </w:r>
      <w:r w:rsidR="0093716A" w:rsidRPr="0093716A">
        <w:rPr>
          <w:noProof/>
          <w:color w:val="000000" w:themeColor="text1"/>
        </w:rPr>
        <w:t>(Desmarchelier et al., 2019; Guarcello &amp; de Vargas, 2020)</w:t>
      </w:r>
      <w:r w:rsidR="0093716A">
        <w:rPr>
          <w:color w:val="000000" w:themeColor="text1"/>
        </w:rPr>
        <w:fldChar w:fldCharType="end"/>
      </w:r>
      <w:r w:rsidRPr="00097749">
        <w:rPr>
          <w:color w:val="000000" w:themeColor="text1"/>
        </w:rPr>
        <w:t xml:space="preserve">. In primary healthcare, service innovation might include dedicated service corners for malaria, digital tools for monitoring adherence, redesigned patient flows to reduce waiting times, and outreach service such as home visits. Empirical studies </w:t>
      </w:r>
      <w:r w:rsidRPr="00097749">
        <w:rPr>
          <w:color w:val="000000" w:themeColor="text1"/>
          <w:lang w:val="id-ID"/>
        </w:rPr>
        <w:t>show</w:t>
      </w:r>
      <w:r w:rsidRPr="00097749">
        <w:rPr>
          <w:color w:val="000000" w:themeColor="text1"/>
        </w:rPr>
        <w:t xml:space="preserve"> that service innovation enhances both efficiency and patient satisfaction, particularly in contexts where resource constraints limit traditional approaches</w:t>
      </w:r>
      <w:r w:rsidR="000B1038">
        <w:rPr>
          <w:color w:val="000000" w:themeColor="text1"/>
        </w:rPr>
        <w:t xml:space="preserve"> </w:t>
      </w:r>
      <w:r w:rsidR="000B1038">
        <w:rPr>
          <w:color w:val="000000" w:themeColor="text1"/>
        </w:rPr>
        <w:fldChar w:fldCharType="begin" w:fldLock="1"/>
      </w:r>
      <w:r w:rsidR="002A69E8">
        <w:rPr>
          <w:color w:val="000000" w:themeColor="text1"/>
        </w:rPr>
        <w:instrText>ADDIN CSL_CITATION {"citationItems":[{"id":"ITEM-1","itemData":{"DOI":"https://doi.org/ 10.3390/ijerph20166594","author":[{"dropping-particle":"","family":"Moura","given":"Amanda Souza","non-dropping-particle":"","parse-names":false,"suffix":""},{"dropping-particle":"","family":"Gubert","given":"Muriel Bauermann","non-dropping-particle":"","parse-names":false,"suffix":""},{"dropping-particle":"","family":"Venancio","given":"Sonia Isoyama","non-dropping-particle":"","parse-names":false,"suffix":""},{"dropping-particle":"","family":"Buccini","given":"Gabriela","non-dropping-particle":"","parse-names":false,"suffix":""}],"container-title":"International Journal of Environment Research and Public Health","id":"ITEM-1","issue":"6594","issued":{"date-parts":[["2023"]]},"page":"1-3","title":"Correction : Moura et al . Implementation of the Strategy for Breastfeeding and Complementary Feeding in the Federal District in Brazil","type":"article-journal","volume":"20"},"uris":["http://www.mendeley.com/documents/?uuid=545f6fda-6f7a-4843-b9f8-5f4d8e0ca679"]}],"mendeley":{"formattedCitation":"(Moura et al., 2023)","plainTextFormattedCitation":"(Moura et al., 2023)","previouslyFormattedCitation":"(Moura et al., 2023)"},"properties":{"noteIndex":0},"schema":"https://github.com/citation-style-language/schema/raw/master/csl-citation.json"}</w:instrText>
      </w:r>
      <w:r w:rsidR="000B1038">
        <w:rPr>
          <w:color w:val="000000" w:themeColor="text1"/>
        </w:rPr>
        <w:fldChar w:fldCharType="separate"/>
      </w:r>
      <w:r w:rsidR="000B1038" w:rsidRPr="000B1038">
        <w:rPr>
          <w:noProof/>
          <w:color w:val="000000" w:themeColor="text1"/>
        </w:rPr>
        <w:t>(Moura et al., 2023)</w:t>
      </w:r>
      <w:r w:rsidR="000B1038">
        <w:rPr>
          <w:color w:val="000000" w:themeColor="text1"/>
        </w:rPr>
        <w:fldChar w:fldCharType="end"/>
      </w:r>
      <w:r w:rsidRPr="00097749">
        <w:rPr>
          <w:color w:val="000000" w:themeColor="text1"/>
        </w:rPr>
        <w:t>.</w:t>
      </w:r>
    </w:p>
    <w:p w14:paraId="3A6D7594" w14:textId="1971629E" w:rsidR="00097749" w:rsidRPr="00097749" w:rsidRDefault="00097749" w:rsidP="002A69E8">
      <w:pPr>
        <w:pStyle w:val="BodyText"/>
        <w:jc w:val="both"/>
        <w:rPr>
          <w:color w:val="000000" w:themeColor="text1"/>
        </w:rPr>
      </w:pPr>
      <w:r w:rsidRPr="00097749">
        <w:rPr>
          <w:color w:val="000000" w:themeColor="text1"/>
        </w:rPr>
        <w:t xml:space="preserve">Despite the growing recognition, few studies have empirically integrated service innovation into behavioral models of healthcare use. </w:t>
      </w:r>
      <w:r w:rsidR="002A69E8">
        <w:rPr>
          <w:color w:val="000000" w:themeColor="text1"/>
        </w:rPr>
        <w:fldChar w:fldCharType="begin" w:fldLock="1"/>
      </w:r>
      <w:r w:rsidR="00F17E7C">
        <w:rPr>
          <w:color w:val="000000" w:themeColor="text1"/>
        </w:rPr>
        <w:instrText>ADDIN CSL_CITATION {"citationItems":[{"id":"ITEM-1","itemData":{"DOI":"10.2307/2137284","ISSN":"00221465, 21506000","abstract":"[The Behavioral Model of Health Services Use was initially developed over 25 years ago. In the interim it has been subject to considerable application, reprobation, and alteration. I review its development and assess its continued relevance.]","author":[{"dropping-particle":"","family":"Andersen","given":"Ronald M","non-dropping-particle":"","parse-names":false,"suffix":""}],"container-title":"Journal of Health and Social Behavior","id":"ITEM-1","issue":"1","issued":{"date-parts":[["1995","10","14"]]},"page":"1-10","publisher":"[American Sociological Association, Sage Publications, Inc.]","title":"Revisiting the behavioral model and access to medical care: Does it matter?","type":"article-journal","volume":"36"},"uris":["http://www.mendeley.com/documents/?uuid=96c47c62-0f5f-4c17-a475-bb713b1dc26f"]}],"mendeley":{"formattedCitation":"(Andersen, 1995)","manualFormatting":"Andersen (1995)","plainTextFormattedCitation":"(Andersen, 1995)","previouslyFormattedCitation":"(Andersen, 1995)"},"properties":{"noteIndex":0},"schema":"https://github.com/citation-style-language/schema/raw/master/csl-citation.json"}</w:instrText>
      </w:r>
      <w:r w:rsidR="002A69E8">
        <w:rPr>
          <w:color w:val="000000" w:themeColor="text1"/>
        </w:rPr>
        <w:fldChar w:fldCharType="separate"/>
      </w:r>
      <w:r w:rsidR="002A69E8" w:rsidRPr="002A69E8">
        <w:rPr>
          <w:noProof/>
          <w:color w:val="000000" w:themeColor="text1"/>
        </w:rPr>
        <w:t xml:space="preserve">Andersen </w:t>
      </w:r>
      <w:r w:rsidR="002A69E8">
        <w:rPr>
          <w:noProof/>
          <w:color w:val="000000" w:themeColor="text1"/>
        </w:rPr>
        <w:t>(</w:t>
      </w:r>
      <w:r w:rsidR="002A69E8" w:rsidRPr="002A69E8">
        <w:rPr>
          <w:noProof/>
          <w:color w:val="000000" w:themeColor="text1"/>
        </w:rPr>
        <w:t>1995)</w:t>
      </w:r>
      <w:r w:rsidR="002A69E8">
        <w:rPr>
          <w:color w:val="000000" w:themeColor="text1"/>
        </w:rPr>
        <w:fldChar w:fldCharType="end"/>
      </w:r>
      <w:r w:rsidR="002A69E8">
        <w:rPr>
          <w:color w:val="000000" w:themeColor="text1"/>
        </w:rPr>
        <w:t xml:space="preserve"> </w:t>
      </w:r>
      <w:r w:rsidRPr="00097749">
        <w:rPr>
          <w:color w:val="000000" w:themeColor="text1"/>
        </w:rPr>
        <w:t>Behavioral Model of Health Service Use provided a robust theoretical framework for analyzing health service utilization. It categorized determinants into predisposing, enabling, and reinforcing factors, which collectively influence healthcare behaviors and outcomes. However, the model has not sufficiently accounted for the role of innovative service delivery in mediating the relationship between patient behavior and satisfaction. This gap is particularly relevant in malaria-endemic regions, where treatment adherence cannot be achieved through clinical prescriptions alone but requires supportive and innovative service environments.</w:t>
      </w:r>
    </w:p>
    <w:p w14:paraId="14447846" w14:textId="601351D0" w:rsidR="00097749" w:rsidRPr="00097749" w:rsidRDefault="00097749" w:rsidP="004A47C4">
      <w:pPr>
        <w:pStyle w:val="BodyText"/>
        <w:jc w:val="both"/>
        <w:rPr>
          <w:color w:val="000000" w:themeColor="text1"/>
        </w:rPr>
      </w:pPr>
      <w:r w:rsidRPr="00097749">
        <w:rPr>
          <w:color w:val="000000" w:themeColor="text1"/>
        </w:rPr>
        <w:t xml:space="preserve">Patient satisfaction, as an outcome variable, is critical for evaluating healthcare quality and predicting future use. Satisfaction influences trust, loyalty, and willingness to comply with treatment regimens </w:t>
      </w:r>
      <w:r w:rsidR="00F17E7C">
        <w:rPr>
          <w:color w:val="000000" w:themeColor="text1"/>
        </w:rPr>
        <w:fldChar w:fldCharType="begin" w:fldLock="1"/>
      </w:r>
      <w:r w:rsidR="004A47C4">
        <w:rPr>
          <w:color w:val="000000" w:themeColor="text1"/>
        </w:rPr>
        <w:instrText>ADDIN CSL_CITATION {"citationItems":[{"id":"ITEM-1","itemData":{"DOI":"10.1108/09526860910964834","ISSN":"0952-6862","abstract":"The aim of this paper is to build a comprehensive conceptual model to understand and measure variables affecting patient satisfaction‐based healthcare quality.A total of 24 articles from international journals were systematically reviewed for factors determining patient satisfaction and healthcare quality.Patient satisfaction is a multi‐dimensional healthcare construct affected by many variables. Healthcare quality affects patient satisfaction, which in turn influences positive patient behaviours such as loyalty. Patient satisfaction and healthcare service quality, though difficult to measure, can be operationalized using a multi‐disciplinary approach that combines patient inputs as well as expert judgement.The paper develops a conceptual model that needs to be confirmed empirically. Also, most research pertains to developed countries. Findings are presented that may not be generalized to developing nations, which may be quite different culturally.The paper has direct implications for health service providers. They are encouraged to regularly monitor healthcare quality and accordingly initiate service delivery improvements to maintain high levels of patient satisfaction.The paper collates and examines recent healthcare quality study findings. It presents a comprehensive, conceptual model encompassing research work and a holistic view of various aspects affecting patient satisfaction and healthcare quality. Although a large amount of healthcare quality research has been done, each studying a particular service, this paper comprehensively brings together various research findings.","author":[{"dropping-particle":"","family":"Naidu","given":"Aditi","non-dropping-particle":"","parse-names":false,"suffix":""}],"container-title":"International Journal of Health Care Quality Assurance","id":"ITEM-1","issue":"4","issued":{"date-parts":[["2009","6","12"]]},"page":"366-381","title":"Factors affecting patient satisfaction and healthcare quality","type":"article-journal","volume":"22"},"uris":["http://www.mendeley.com/documents/?uuid=affb73e5-234f-4a11-94ed-9582f6a08259"]}],"mendeley":{"formattedCitation":"(Naidu, 2009)","plainTextFormattedCitation":"(Naidu, 2009)","previouslyFormattedCitation":"(Naidu, 2009)"},"properties":{"noteIndex":0},"schema":"https://github.com/citation-style-language/schema/raw/master/csl-citation.json"}</w:instrText>
      </w:r>
      <w:r w:rsidR="00F17E7C">
        <w:rPr>
          <w:color w:val="000000" w:themeColor="text1"/>
        </w:rPr>
        <w:fldChar w:fldCharType="separate"/>
      </w:r>
      <w:r w:rsidR="00F17E7C" w:rsidRPr="00F17E7C">
        <w:rPr>
          <w:noProof/>
          <w:color w:val="000000" w:themeColor="text1"/>
        </w:rPr>
        <w:t>(Naidu, 2009)</w:t>
      </w:r>
      <w:r w:rsidR="00F17E7C">
        <w:rPr>
          <w:color w:val="000000" w:themeColor="text1"/>
        </w:rPr>
        <w:fldChar w:fldCharType="end"/>
      </w:r>
      <w:r w:rsidRPr="00097749">
        <w:rPr>
          <w:color w:val="000000" w:themeColor="text1"/>
        </w:rPr>
        <w:t>. In malaria care, satisfaction is not only tied to clinical recovery but also to patient experiences with service delivery, including responsiveness, empathy, and communication. However, the relationship between treatment adherence, service innovation, and satisfaction remains underexplored, specifically in LMICs. Previous studies often examine these elements in isolation, for example, the effect of adherence on clinical outcomes or the role of service quality on satisfaction, without considering the mediating function of service innovation.</w:t>
      </w:r>
    </w:p>
    <w:p w14:paraId="21C6D02D" w14:textId="77777777" w:rsidR="00097749" w:rsidRPr="00097749" w:rsidRDefault="00097749" w:rsidP="004A47C4">
      <w:pPr>
        <w:pStyle w:val="BodyText"/>
        <w:jc w:val="both"/>
        <w:rPr>
          <w:color w:val="000000" w:themeColor="text1"/>
        </w:rPr>
      </w:pPr>
      <w:r w:rsidRPr="00097749">
        <w:rPr>
          <w:color w:val="000000" w:themeColor="text1"/>
        </w:rPr>
        <w:t xml:space="preserve">By integrating service innovation into Andersen Behavioral Model, this study provides a novel perspective on how treatment adherence behaviors translate into patient satisfaction in malaria care. Specifically, it examined how predisposing, enabling, and reinforcing factors of adherence influence satisfaction directly and indirectly through service innovation. This study was conducted in </w:t>
      </w:r>
      <w:proofErr w:type="spellStart"/>
      <w:r w:rsidRPr="00097749">
        <w:rPr>
          <w:color w:val="000000" w:themeColor="text1"/>
        </w:rPr>
        <w:t>Mimika</w:t>
      </w:r>
      <w:proofErr w:type="spellEnd"/>
      <w:r w:rsidRPr="00097749">
        <w:rPr>
          <w:color w:val="000000" w:themeColor="text1"/>
        </w:rPr>
        <w:t xml:space="preserve"> District, Papua, one of the most malaria-endemic areas in Indonesia, providing both theoretical and practical contributions.</w:t>
      </w:r>
    </w:p>
    <w:p w14:paraId="632D1168" w14:textId="77777777" w:rsidR="00097749" w:rsidRDefault="00097749" w:rsidP="004A47C4">
      <w:pPr>
        <w:pStyle w:val="BodyText"/>
        <w:jc w:val="both"/>
        <w:rPr>
          <w:color w:val="000000" w:themeColor="text1"/>
        </w:rPr>
      </w:pPr>
      <w:r w:rsidRPr="00097749">
        <w:rPr>
          <w:color w:val="000000" w:themeColor="text1"/>
        </w:rPr>
        <w:t>From a theoretical standpoint, this study extends Andersen model by introducing service innovation as a mediating construct, thereby advancing the understanding of healthcare use in resource-limited settings. From a practical perspective, the results offer evidence-based guidance for policymakers and healthcare managers to design patient-centered innovation that addresses adherence challenges and improves satisfaction. Consequently, this study supports Indonesia broader objective of malaria elimination by 2030 and contributes to global discussions on strengthening healthcare delivery in endemic regions.</w:t>
      </w:r>
    </w:p>
    <w:p w14:paraId="617E29A4" w14:textId="7DB0B195" w:rsidR="009D442F" w:rsidRPr="00097749" w:rsidRDefault="009D442F" w:rsidP="004A47C4">
      <w:pPr>
        <w:pStyle w:val="BodyText"/>
        <w:jc w:val="both"/>
        <w:rPr>
          <w:color w:val="000000" w:themeColor="text1"/>
        </w:rPr>
      </w:pPr>
      <w:r w:rsidRPr="00097749">
        <w:rPr>
          <w:color w:val="000000" w:themeColor="text1"/>
        </w:rPr>
        <w:t>As shown in Table 1, previous studies have separately examined treatment adherence, service innovation, and patient satisfaction across various contexts. However, limited studies have integrated these dimensions into a unified theoretical model, particularly in malaria-endemic regions of Indonesia. This study addressed the gap by incorporating service innovation as a mediating construct within Andersen Behavioral Model, thereby contributing both to theory development and practical strategies for malaria elimination in Papua.</w:t>
      </w:r>
    </w:p>
    <w:p w14:paraId="5301B26C" w14:textId="77777777" w:rsidR="00097749" w:rsidRPr="00D426CC" w:rsidRDefault="00097749" w:rsidP="00097749">
      <w:pPr>
        <w:pStyle w:val="BodyText"/>
        <w:jc w:val="center"/>
        <w:rPr>
          <w:b/>
          <w:bCs/>
          <w:color w:val="000000" w:themeColor="text1"/>
          <w:lang w:val="en-ID" w:eastAsia="en-ID"/>
        </w:rPr>
      </w:pPr>
      <w:r w:rsidRPr="00D426CC">
        <w:rPr>
          <w:b/>
          <w:bCs/>
          <w:color w:val="000000" w:themeColor="text1"/>
          <w:lang w:val="en-ID" w:eastAsia="en-ID"/>
        </w:rPr>
        <w:t>Table 1. Summary of Previous Studies on Treatment Adherence, Service Innovation, and Patient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1"/>
        <w:gridCol w:w="1373"/>
        <w:gridCol w:w="1725"/>
        <w:gridCol w:w="1754"/>
        <w:gridCol w:w="1975"/>
      </w:tblGrid>
      <w:tr w:rsidR="00AE3B20" w:rsidRPr="00D426CC" w14:paraId="48FA9D81" w14:textId="77777777" w:rsidTr="00D426CC">
        <w:trPr>
          <w:tblHeader/>
          <w:tblCellSpacing w:w="15" w:type="dxa"/>
        </w:trPr>
        <w:tc>
          <w:tcPr>
            <w:tcW w:w="0" w:type="auto"/>
            <w:tcBorders>
              <w:top w:val="single" w:sz="4" w:space="0" w:color="auto"/>
              <w:bottom w:val="single" w:sz="4" w:space="0" w:color="auto"/>
            </w:tcBorders>
            <w:hideMark/>
          </w:tcPr>
          <w:p w14:paraId="0326CBCE" w14:textId="77777777" w:rsidR="00097749" w:rsidRPr="00D426CC" w:rsidRDefault="00097749" w:rsidP="00D426CC">
            <w:pPr>
              <w:jc w:val="center"/>
              <w:rPr>
                <w:b/>
                <w:bCs/>
                <w:color w:val="000000" w:themeColor="text1"/>
                <w:szCs w:val="24"/>
                <w:lang w:val="en-ID" w:eastAsia="en-ID"/>
              </w:rPr>
            </w:pPr>
            <w:r w:rsidRPr="00D426CC">
              <w:rPr>
                <w:b/>
                <w:bCs/>
                <w:color w:val="000000" w:themeColor="text1"/>
                <w:szCs w:val="24"/>
                <w:lang w:val="en-ID" w:eastAsia="en-ID"/>
              </w:rPr>
              <w:t>Author(s), Year</w:t>
            </w:r>
          </w:p>
        </w:tc>
        <w:tc>
          <w:tcPr>
            <w:tcW w:w="0" w:type="auto"/>
            <w:tcBorders>
              <w:top w:val="single" w:sz="4" w:space="0" w:color="auto"/>
              <w:bottom w:val="single" w:sz="4" w:space="0" w:color="auto"/>
            </w:tcBorders>
            <w:hideMark/>
          </w:tcPr>
          <w:p w14:paraId="026546E7" w14:textId="77777777" w:rsidR="00097749" w:rsidRPr="00D426CC" w:rsidRDefault="00097749" w:rsidP="00D426CC">
            <w:pPr>
              <w:jc w:val="center"/>
              <w:rPr>
                <w:b/>
                <w:bCs/>
                <w:color w:val="000000" w:themeColor="text1"/>
                <w:szCs w:val="24"/>
                <w:lang w:val="en-ID" w:eastAsia="en-ID"/>
              </w:rPr>
            </w:pPr>
            <w:r w:rsidRPr="00D426CC">
              <w:rPr>
                <w:b/>
                <w:bCs/>
                <w:color w:val="000000" w:themeColor="text1"/>
                <w:szCs w:val="24"/>
                <w:lang w:val="en-ID" w:eastAsia="en-ID"/>
              </w:rPr>
              <w:t>Context &amp; Sample</w:t>
            </w:r>
          </w:p>
        </w:tc>
        <w:tc>
          <w:tcPr>
            <w:tcW w:w="0" w:type="auto"/>
            <w:tcBorders>
              <w:top w:val="single" w:sz="4" w:space="0" w:color="auto"/>
              <w:bottom w:val="single" w:sz="4" w:space="0" w:color="auto"/>
            </w:tcBorders>
            <w:hideMark/>
          </w:tcPr>
          <w:p w14:paraId="025DADB8" w14:textId="77777777" w:rsidR="00097749" w:rsidRPr="00D426CC" w:rsidRDefault="00097749" w:rsidP="00D426CC">
            <w:pPr>
              <w:jc w:val="center"/>
              <w:rPr>
                <w:b/>
                <w:bCs/>
                <w:color w:val="000000" w:themeColor="text1"/>
                <w:szCs w:val="24"/>
                <w:lang w:val="en-ID" w:eastAsia="en-ID"/>
              </w:rPr>
            </w:pPr>
            <w:r w:rsidRPr="00D426CC">
              <w:rPr>
                <w:b/>
                <w:bCs/>
                <w:color w:val="000000" w:themeColor="text1"/>
                <w:szCs w:val="24"/>
                <w:lang w:val="en-ID" w:eastAsia="en-ID"/>
              </w:rPr>
              <w:t>Focus Variables</w:t>
            </w:r>
          </w:p>
        </w:tc>
        <w:tc>
          <w:tcPr>
            <w:tcW w:w="0" w:type="auto"/>
            <w:tcBorders>
              <w:top w:val="single" w:sz="4" w:space="0" w:color="auto"/>
              <w:bottom w:val="single" w:sz="4" w:space="0" w:color="auto"/>
            </w:tcBorders>
            <w:hideMark/>
          </w:tcPr>
          <w:p w14:paraId="5EDE0CE2" w14:textId="77777777" w:rsidR="00097749" w:rsidRPr="00D426CC" w:rsidRDefault="00097749" w:rsidP="00D426CC">
            <w:pPr>
              <w:jc w:val="center"/>
              <w:rPr>
                <w:b/>
                <w:bCs/>
                <w:color w:val="000000" w:themeColor="text1"/>
                <w:szCs w:val="24"/>
                <w:lang w:val="id-ID" w:eastAsia="en-ID"/>
              </w:rPr>
            </w:pPr>
            <w:r w:rsidRPr="00D426CC">
              <w:rPr>
                <w:b/>
                <w:bCs/>
                <w:color w:val="000000" w:themeColor="text1"/>
                <w:szCs w:val="24"/>
                <w:lang w:val="en-ID" w:eastAsia="en-ID"/>
              </w:rPr>
              <w:t xml:space="preserve">Key </w:t>
            </w:r>
            <w:r w:rsidRPr="00D426CC">
              <w:rPr>
                <w:b/>
                <w:bCs/>
                <w:color w:val="000000" w:themeColor="text1"/>
                <w:szCs w:val="24"/>
                <w:lang w:val="id-ID" w:eastAsia="en-ID"/>
              </w:rPr>
              <w:t>Results</w:t>
            </w:r>
          </w:p>
        </w:tc>
        <w:tc>
          <w:tcPr>
            <w:tcW w:w="0" w:type="auto"/>
            <w:tcBorders>
              <w:top w:val="single" w:sz="4" w:space="0" w:color="auto"/>
              <w:bottom w:val="single" w:sz="4" w:space="0" w:color="auto"/>
            </w:tcBorders>
            <w:hideMark/>
          </w:tcPr>
          <w:p w14:paraId="07A1104A" w14:textId="77777777" w:rsidR="00097749" w:rsidRPr="00D426CC" w:rsidRDefault="00097749" w:rsidP="00D426CC">
            <w:pPr>
              <w:jc w:val="center"/>
              <w:rPr>
                <w:b/>
                <w:bCs/>
                <w:color w:val="000000" w:themeColor="text1"/>
                <w:szCs w:val="24"/>
                <w:lang w:val="en-ID" w:eastAsia="en-ID"/>
              </w:rPr>
            </w:pPr>
            <w:r w:rsidRPr="00D426CC">
              <w:rPr>
                <w:b/>
                <w:bCs/>
                <w:color w:val="000000" w:themeColor="text1"/>
                <w:szCs w:val="24"/>
                <w:lang w:val="en-ID" w:eastAsia="en-ID"/>
              </w:rPr>
              <w:t>Relevance to Present Study</w:t>
            </w:r>
          </w:p>
        </w:tc>
      </w:tr>
      <w:tr w:rsidR="00AE3B20" w:rsidRPr="00097749" w14:paraId="1CEA61B8" w14:textId="77777777" w:rsidTr="00D426CC">
        <w:trPr>
          <w:tblCellSpacing w:w="15" w:type="dxa"/>
        </w:trPr>
        <w:tc>
          <w:tcPr>
            <w:tcW w:w="0" w:type="auto"/>
            <w:hideMark/>
          </w:tcPr>
          <w:p w14:paraId="517947A9" w14:textId="1AF6386D" w:rsidR="00097749" w:rsidRPr="00097749" w:rsidRDefault="004A47C4" w:rsidP="00D426CC">
            <w:pPr>
              <w:rPr>
                <w:color w:val="000000" w:themeColor="text1"/>
                <w:szCs w:val="24"/>
                <w:lang w:val="en-ID" w:eastAsia="en-ID"/>
              </w:rPr>
            </w:pPr>
            <w:r>
              <w:rPr>
                <w:b/>
                <w:bCs/>
                <w:color w:val="000000" w:themeColor="text1"/>
                <w:szCs w:val="24"/>
                <w:lang w:val="en-ID" w:eastAsia="en-ID"/>
              </w:rPr>
              <w:fldChar w:fldCharType="begin" w:fldLock="1"/>
            </w:r>
            <w:r w:rsidR="00086091">
              <w:rPr>
                <w:b/>
                <w:bCs/>
                <w:color w:val="000000" w:themeColor="text1"/>
                <w:szCs w:val="24"/>
                <w:lang w:val="en-ID" w:eastAsia="en-ID"/>
              </w:rPr>
              <w:instrText>ADDIN CSL_CITATION {"citationItems":[{"id":"ITEM-1","itemData":{"DOI":"10.1016/S1473-3099(21)00358-3","ISSN":"1473-3099","author":[{"dropping-particle":"","family":"Poespoprodjo","given":"Jeanne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Diseases","id":"ITEM-1","issue":"3","issued":{"date-parts":[["2022","3","1"]]},"note":"doi: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trial","type":"article-journal","volume":"22"},"uris":["http://www.mendeley.com/documents/?uuid=98076772-06c2-4046-950a-6bba70420feb"]}],"mendeley":{"formattedCitation":"(Poespoprodjo et al., 2022)","manualFormatting":"Poespoprodjo et al. (2022)","plainTextFormattedCitation":"(Poespoprodjo et al., 2022)","previouslyFormattedCitation":"(Poespoprodjo et al., 2022)"},"properties":{"noteIndex":0},"schema":"https://github.com/citation-style-language/schema/raw/master/csl-citation.json"}</w:instrText>
            </w:r>
            <w:r>
              <w:rPr>
                <w:b/>
                <w:bCs/>
                <w:color w:val="000000" w:themeColor="text1"/>
                <w:szCs w:val="24"/>
                <w:lang w:val="en-ID" w:eastAsia="en-ID"/>
              </w:rPr>
              <w:fldChar w:fldCharType="separate"/>
            </w:r>
            <w:r w:rsidRPr="004A47C4">
              <w:rPr>
                <w:bCs/>
                <w:noProof/>
                <w:color w:val="000000" w:themeColor="text1"/>
                <w:szCs w:val="24"/>
                <w:lang w:val="en-ID" w:eastAsia="en-ID"/>
              </w:rPr>
              <w:t xml:space="preserve">Poespoprodjo et al. </w:t>
            </w:r>
            <w:r w:rsidR="00086091">
              <w:rPr>
                <w:bCs/>
                <w:noProof/>
                <w:color w:val="000000" w:themeColor="text1"/>
                <w:szCs w:val="24"/>
                <w:lang w:val="en-ID" w:eastAsia="en-ID"/>
              </w:rPr>
              <w:t>(</w:t>
            </w:r>
            <w:r w:rsidRPr="004A47C4">
              <w:rPr>
                <w:bCs/>
                <w:noProof/>
                <w:color w:val="000000" w:themeColor="text1"/>
                <w:szCs w:val="24"/>
                <w:lang w:val="en-ID" w:eastAsia="en-ID"/>
              </w:rPr>
              <w:t>2022)</w:t>
            </w:r>
            <w:r>
              <w:rPr>
                <w:b/>
                <w:bCs/>
                <w:color w:val="000000" w:themeColor="text1"/>
                <w:szCs w:val="24"/>
                <w:lang w:val="en-ID" w:eastAsia="en-ID"/>
              </w:rPr>
              <w:fldChar w:fldCharType="end"/>
            </w:r>
          </w:p>
        </w:tc>
        <w:tc>
          <w:tcPr>
            <w:tcW w:w="0" w:type="auto"/>
            <w:hideMark/>
          </w:tcPr>
          <w:p w14:paraId="34BF0A84"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 xml:space="preserve">Papua, Indonesia; </w:t>
            </w:r>
            <w:r w:rsidRPr="00097749">
              <w:rPr>
                <w:color w:val="000000" w:themeColor="text1"/>
                <w:szCs w:val="24"/>
                <w:lang w:val="en-ID" w:eastAsia="en-ID"/>
              </w:rPr>
              <w:lastRenderedPageBreak/>
              <w:t>cluster RCT</w:t>
            </w:r>
          </w:p>
        </w:tc>
        <w:tc>
          <w:tcPr>
            <w:tcW w:w="0" w:type="auto"/>
            <w:hideMark/>
          </w:tcPr>
          <w:p w14:paraId="200347EA"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lastRenderedPageBreak/>
              <w:t xml:space="preserve">Supervised vs. unsupervised </w:t>
            </w:r>
            <w:r w:rsidRPr="00097749">
              <w:rPr>
                <w:color w:val="000000" w:themeColor="text1"/>
                <w:szCs w:val="24"/>
                <w:lang w:val="en-ID" w:eastAsia="en-ID"/>
              </w:rPr>
              <w:lastRenderedPageBreak/>
              <w:t>primaquine treatment</w:t>
            </w:r>
          </w:p>
        </w:tc>
        <w:tc>
          <w:tcPr>
            <w:tcW w:w="0" w:type="auto"/>
            <w:hideMark/>
          </w:tcPr>
          <w:p w14:paraId="38EAAD4E"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lastRenderedPageBreak/>
              <w:t xml:space="preserve">Supervised treatment reduced </w:t>
            </w:r>
            <w:r w:rsidRPr="00097749">
              <w:rPr>
                <w:color w:val="000000" w:themeColor="text1"/>
                <w:szCs w:val="24"/>
                <w:lang w:val="en-ID" w:eastAsia="en-ID"/>
              </w:rPr>
              <w:lastRenderedPageBreak/>
              <w:t>relapse rates significantly</w:t>
            </w:r>
          </w:p>
        </w:tc>
        <w:tc>
          <w:tcPr>
            <w:tcW w:w="0" w:type="auto"/>
            <w:hideMark/>
          </w:tcPr>
          <w:p w14:paraId="1E076640"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lastRenderedPageBreak/>
              <w:t xml:space="preserve">Shows the importance of </w:t>
            </w:r>
            <w:r w:rsidRPr="00097749">
              <w:rPr>
                <w:color w:val="000000" w:themeColor="text1"/>
                <w:szCs w:val="24"/>
                <w:lang w:val="en-ID" w:eastAsia="en-ID"/>
              </w:rPr>
              <w:lastRenderedPageBreak/>
              <w:t>reinforcing factors (provider supervision) in adherence &amp; satisfaction</w:t>
            </w:r>
          </w:p>
        </w:tc>
      </w:tr>
      <w:tr w:rsidR="00AE3B20" w:rsidRPr="00097749" w14:paraId="63C37E10" w14:textId="77777777" w:rsidTr="00D426CC">
        <w:trPr>
          <w:tblCellSpacing w:w="15" w:type="dxa"/>
        </w:trPr>
        <w:tc>
          <w:tcPr>
            <w:tcW w:w="0" w:type="auto"/>
            <w:hideMark/>
          </w:tcPr>
          <w:p w14:paraId="60E3E96F" w14:textId="28DAC924" w:rsidR="00097749" w:rsidRPr="00097749" w:rsidRDefault="004A47C4" w:rsidP="00D426CC">
            <w:pPr>
              <w:rPr>
                <w:color w:val="000000" w:themeColor="text1"/>
                <w:szCs w:val="24"/>
                <w:lang w:val="en-ID" w:eastAsia="en-ID"/>
              </w:rPr>
            </w:pPr>
            <w:r>
              <w:rPr>
                <w:b/>
                <w:bCs/>
                <w:color w:val="000000" w:themeColor="text1"/>
                <w:szCs w:val="24"/>
                <w:lang w:val="en-ID" w:eastAsia="en-ID"/>
              </w:rPr>
              <w:lastRenderedPageBreak/>
              <w:fldChar w:fldCharType="begin" w:fldLock="1"/>
            </w:r>
            <w:r w:rsidR="00D426CC">
              <w:rPr>
                <w:b/>
                <w:bCs/>
                <w:color w:val="000000" w:themeColor="text1"/>
                <w:szCs w:val="24"/>
                <w:lang w:val="en-ID" w:eastAsia="en-ID"/>
              </w:rPr>
              <w:instrText>ADDIN CSL_CITATION {"citationItems":[{"id":"ITEM-1","itemData":{"DOI":"10.1093/jpepsy/jsy044","author":[{"dropping-particle":"","family":"Psihogios","given":"Alexandra M","non-dropping-particle":"","parse-names":false,"suffix":""},{"dropping-particle":"","family":"Fellmeth","given":"Heather","non-dropping-particle":"","parse-names":false,"suffix":""},{"dropping-particle":"","family":"Lisa","given":"A","non-dropping-particle":"","parse-names":false,"suffix":""},{"dropping-particle":"","family":"Barakat","given":"Lamia P","non-dropping-particle":"","parse-names":false,"suffix":""}],"container-title":"Journal ofPediatric Psychology","id":"ITEM-1","issue":"1","issued":{"date-parts":[["2019"]]},"page":"84-97","title":"Family functioning and medical adherence across children and adolescents with chronic health conditions: A meta-analysis","type":"article-journal","volume":"44"},"uris":["http://www.mendeley.com/documents/?uuid=d14666c6-eaa3-4f54-a778-73e467a4b92d"]}],"mendeley":{"formattedCitation":"(Psihogios et al., 2019)","manualFormatting":"Psihogios et al. (2019)","plainTextFormattedCitation":"(Psihogios et al., 2019)","previouslyFormattedCitation":"(Psihogios et al., 2019)"},"properties":{"noteIndex":0},"schema":"https://github.com/citation-style-language/schema/raw/master/csl-citation.json"}</w:instrText>
            </w:r>
            <w:r>
              <w:rPr>
                <w:b/>
                <w:bCs/>
                <w:color w:val="000000" w:themeColor="text1"/>
                <w:szCs w:val="24"/>
                <w:lang w:val="en-ID" w:eastAsia="en-ID"/>
              </w:rPr>
              <w:fldChar w:fldCharType="separate"/>
            </w:r>
            <w:r w:rsidRPr="004A47C4">
              <w:rPr>
                <w:bCs/>
                <w:noProof/>
                <w:color w:val="000000" w:themeColor="text1"/>
                <w:szCs w:val="24"/>
                <w:lang w:val="en-ID" w:eastAsia="en-ID"/>
              </w:rPr>
              <w:t xml:space="preserve">Psihogios et al. </w:t>
            </w:r>
            <w:r w:rsidR="00086091">
              <w:rPr>
                <w:bCs/>
                <w:noProof/>
                <w:color w:val="000000" w:themeColor="text1"/>
                <w:szCs w:val="24"/>
                <w:lang w:val="en-ID" w:eastAsia="en-ID"/>
              </w:rPr>
              <w:t>(</w:t>
            </w:r>
            <w:r w:rsidRPr="004A47C4">
              <w:rPr>
                <w:bCs/>
                <w:noProof/>
                <w:color w:val="000000" w:themeColor="text1"/>
                <w:szCs w:val="24"/>
                <w:lang w:val="en-ID" w:eastAsia="en-ID"/>
              </w:rPr>
              <w:t>2019)</w:t>
            </w:r>
            <w:r>
              <w:rPr>
                <w:b/>
                <w:bCs/>
                <w:color w:val="000000" w:themeColor="text1"/>
                <w:szCs w:val="24"/>
                <w:lang w:val="en-ID" w:eastAsia="en-ID"/>
              </w:rPr>
              <w:fldChar w:fldCharType="end"/>
            </w:r>
          </w:p>
        </w:tc>
        <w:tc>
          <w:tcPr>
            <w:tcW w:w="0" w:type="auto"/>
            <w:hideMark/>
          </w:tcPr>
          <w:p w14:paraId="227F3924"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Meta-analysis; chronic conditions in children</w:t>
            </w:r>
          </w:p>
        </w:tc>
        <w:tc>
          <w:tcPr>
            <w:tcW w:w="0" w:type="auto"/>
            <w:hideMark/>
          </w:tcPr>
          <w:p w14:paraId="05BFF08D"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Family functioning and adherence</w:t>
            </w:r>
          </w:p>
        </w:tc>
        <w:tc>
          <w:tcPr>
            <w:tcW w:w="0" w:type="auto"/>
            <w:hideMark/>
          </w:tcPr>
          <w:p w14:paraId="2F7BF5DD"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Strong family functioning improved adherence</w:t>
            </w:r>
          </w:p>
        </w:tc>
        <w:tc>
          <w:tcPr>
            <w:tcW w:w="0" w:type="auto"/>
            <w:hideMark/>
          </w:tcPr>
          <w:p w14:paraId="4193F24E"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Supports inclusion of reinforcing factors in Andersen model</w:t>
            </w:r>
          </w:p>
        </w:tc>
      </w:tr>
      <w:tr w:rsidR="00AE3B20" w:rsidRPr="00097749" w14:paraId="6662052D" w14:textId="77777777" w:rsidTr="00D426CC">
        <w:trPr>
          <w:tblCellSpacing w:w="15" w:type="dxa"/>
        </w:trPr>
        <w:tc>
          <w:tcPr>
            <w:tcW w:w="0" w:type="auto"/>
            <w:hideMark/>
          </w:tcPr>
          <w:p w14:paraId="5DC822F2" w14:textId="5B92639F" w:rsidR="00097749" w:rsidRPr="00097749" w:rsidRDefault="00205190" w:rsidP="00D426CC">
            <w:pPr>
              <w:rPr>
                <w:color w:val="000000" w:themeColor="text1"/>
                <w:szCs w:val="24"/>
                <w:lang w:val="en-ID" w:eastAsia="en-ID"/>
              </w:rPr>
            </w:pPr>
            <w:r>
              <w:rPr>
                <w:color w:val="000000" w:themeColor="text1"/>
                <w:szCs w:val="24"/>
                <w:lang w:val="en-ID" w:eastAsia="en-ID"/>
              </w:rPr>
              <w:fldChar w:fldCharType="begin" w:fldLock="1"/>
            </w:r>
            <w:r w:rsidR="00D426CC">
              <w:rPr>
                <w:color w:val="000000" w:themeColor="text1"/>
                <w:szCs w:val="24"/>
                <w:lang w:val="en-ID" w:eastAsia="en-ID"/>
              </w:rPr>
              <w:instrText>ADDIN CSL_CITATION {"citationItems":[{"id":"ITEM-1","itemData":{"DOI":"10.1186/s12936-025-05358-x","ISSN":"1475-2875","abstract":"Papua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Journal","id":"ITEM-1","issue":"1","issued":{"date-parts":[["2025"]]},"page":"177","title":"Enhanced data quality to improve malaria surveillance in Papua, Indonesia","type":"article-journal","volume":"24"},"uris":["http://www.mendeley.com/documents/?uuid=b2e31924-05c2-4d72-b3a5-7dd77885c151"]}],"mendeley":{"formattedCitation":"(Fransisca et al., 2025)","manualFormatting":"Fransisca et al. (2025)","plainTextFormattedCitation":"(Fransisca et al., 2025)","previouslyFormattedCitation":"(Fransisca et al., 2025)"},"properties":{"noteIndex":0},"schema":"https://github.com/citation-style-language/schema/raw/master/csl-citation.json"}</w:instrText>
            </w:r>
            <w:r>
              <w:rPr>
                <w:color w:val="000000" w:themeColor="text1"/>
                <w:szCs w:val="24"/>
                <w:lang w:val="en-ID" w:eastAsia="en-ID"/>
              </w:rPr>
              <w:fldChar w:fldCharType="separate"/>
            </w:r>
            <w:r w:rsidRPr="00205190">
              <w:rPr>
                <w:noProof/>
                <w:color w:val="000000" w:themeColor="text1"/>
                <w:szCs w:val="24"/>
                <w:lang w:val="en-ID" w:eastAsia="en-ID"/>
              </w:rPr>
              <w:t xml:space="preserve">Fransisca et al. </w:t>
            </w:r>
            <w:r w:rsidR="00086091">
              <w:rPr>
                <w:noProof/>
                <w:color w:val="000000" w:themeColor="text1"/>
                <w:szCs w:val="24"/>
                <w:lang w:val="en-ID" w:eastAsia="en-ID"/>
              </w:rPr>
              <w:t>(</w:t>
            </w:r>
            <w:r w:rsidRPr="00205190">
              <w:rPr>
                <w:noProof/>
                <w:color w:val="000000" w:themeColor="text1"/>
                <w:szCs w:val="24"/>
                <w:lang w:val="en-ID" w:eastAsia="en-ID"/>
              </w:rPr>
              <w:t>2025)</w:t>
            </w:r>
            <w:r>
              <w:rPr>
                <w:color w:val="000000" w:themeColor="text1"/>
                <w:szCs w:val="24"/>
                <w:lang w:val="en-ID" w:eastAsia="en-ID"/>
              </w:rPr>
              <w:fldChar w:fldCharType="end"/>
            </w:r>
          </w:p>
        </w:tc>
        <w:tc>
          <w:tcPr>
            <w:tcW w:w="0" w:type="auto"/>
            <w:hideMark/>
          </w:tcPr>
          <w:p w14:paraId="61F196C6"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Malaria Corner, Timika</w:t>
            </w:r>
          </w:p>
        </w:tc>
        <w:tc>
          <w:tcPr>
            <w:tcW w:w="0" w:type="auto"/>
            <w:hideMark/>
          </w:tcPr>
          <w:p w14:paraId="0C32033F"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Service innovation (safe &amp; supervised primaquine treatment)</w:t>
            </w:r>
          </w:p>
        </w:tc>
        <w:tc>
          <w:tcPr>
            <w:tcW w:w="0" w:type="auto"/>
            <w:hideMark/>
          </w:tcPr>
          <w:p w14:paraId="75B34F24"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Innovation improved adherence and patient trust</w:t>
            </w:r>
          </w:p>
        </w:tc>
        <w:tc>
          <w:tcPr>
            <w:tcW w:w="0" w:type="auto"/>
            <w:hideMark/>
          </w:tcPr>
          <w:p w14:paraId="7AF00E50" w14:textId="77777777" w:rsidR="00097749" w:rsidRPr="00097749" w:rsidRDefault="00097749" w:rsidP="00D426CC">
            <w:pPr>
              <w:rPr>
                <w:color w:val="000000" w:themeColor="text1"/>
                <w:szCs w:val="24"/>
                <w:lang w:val="en-ID" w:eastAsia="en-ID"/>
              </w:rPr>
            </w:pPr>
            <w:r w:rsidRPr="00097749">
              <w:rPr>
                <w:color w:val="000000" w:themeColor="text1"/>
                <w:szCs w:val="24"/>
                <w:lang w:val="id-ID" w:eastAsia="en-ID"/>
              </w:rPr>
              <w:t>Shows</w:t>
            </w:r>
            <w:r w:rsidRPr="00097749">
              <w:rPr>
                <w:color w:val="000000" w:themeColor="text1"/>
                <w:szCs w:val="24"/>
                <w:lang w:val="en-ID" w:eastAsia="en-ID"/>
              </w:rPr>
              <w:t xml:space="preserve"> mediating role of service innovation in malaria programs</w:t>
            </w:r>
          </w:p>
        </w:tc>
      </w:tr>
      <w:tr w:rsidR="00AE3B20" w:rsidRPr="00097749" w14:paraId="728B4FC0" w14:textId="77777777" w:rsidTr="00D426CC">
        <w:trPr>
          <w:tblCellSpacing w:w="15" w:type="dxa"/>
        </w:trPr>
        <w:tc>
          <w:tcPr>
            <w:tcW w:w="0" w:type="auto"/>
            <w:hideMark/>
          </w:tcPr>
          <w:p w14:paraId="596D81C3" w14:textId="3AE4D8F0" w:rsidR="00097749" w:rsidRPr="00097749" w:rsidRDefault="00205190" w:rsidP="00D426CC">
            <w:pPr>
              <w:rPr>
                <w:color w:val="000000" w:themeColor="text1"/>
                <w:szCs w:val="24"/>
                <w:lang w:val="en-ID" w:eastAsia="en-ID"/>
              </w:rPr>
            </w:pPr>
            <w:r>
              <w:rPr>
                <w:color w:val="000000" w:themeColor="text1"/>
                <w:szCs w:val="24"/>
                <w:lang w:val="en-ID" w:eastAsia="en-ID"/>
              </w:rPr>
              <w:fldChar w:fldCharType="begin" w:fldLock="1"/>
            </w:r>
            <w:r w:rsidR="00D426CC">
              <w:rPr>
                <w:color w:val="000000" w:themeColor="text1"/>
                <w:szCs w:val="24"/>
                <w:lang w:val="en-ID" w:eastAsia="en-ID"/>
              </w:rPr>
              <w:instrText>ADDIN CSL_CITATION {"citationItems":[{"id":"ITEM-1","itemData":{"DOI":"10.1177/0972063421994987","ISSN":"0972-0634","abstract":"COVID-19 once again has shown the world the importance of an urgent need for revitalising the health system based on a strong primary healthcare foundation. It is clear that without a community-based grassroots level care delivery system, Test, Trace and Isolation may not be an effective operational possibility. Politics of health with consequent austerity programme and dependence on secondary hospital care?based system has proved to be ineffective and costly in meeting the changing demands for healthcare of the population. Demographic and epidemiological transition with the increasing burden of chronic care; unfinished agenda of Millennium Development Goals (MDGs) and the new challenge of achieving Sustainable Development Gaos (SDGs), including Universal Health Care; improving quality along with access to care; and addressing the existing inequity in healthcare service, politicians and public health leaders must realise and invest in people-centred, need-based primary healthcare. Significant and sustained productivity gains can be made through various innovations that can change how quality services are delivered and reduce inequity. In order for primary healthcare to become fit for purpose, it must improve its allocative, technical and service delivery efficiencies; effectiveness and responsiveness of care; access, quality and equity of care; and have an inbuilt monitoring and accountability framework. The system must create a conducive political, social and service delivery environment for innovations. Today, developing countries, as well as developed countries, are all strengthening their primary healthcare system through various innovations to maximise the use of scarce resources to reach all people who need care and minimising cost, wastage and inefficiencies.","author":[{"dropping-particle":"","family":"Islam","given":"Q. M","non-dropping-particle":"","parse-names":false,"suffix":""}],"container-title":"Journal of Health Management","id":"ITEM-1","issue":"1","issued":{"date-parts":[["2021","3","1"]]},"note":"doi: 10.1177/0972063421994987","page":"129-142","publisher":"SAGE Publications India","title":"Innovation in primary healthcare in the twenty-first century","type":"article-journal","volume":"23"},"uris":["http://www.mendeley.com/documents/?uuid=a25d03d6-ad08-4717-8064-9d4ae92c3de5"]}],"mendeley":{"formattedCitation":"(Islam, 2021)","manualFormatting":"Islam (2021)","plainTextFormattedCitation":"(Islam, 2021)","previouslyFormattedCitation":"(Islam, 2021)"},"properties":{"noteIndex":0},"schema":"https://github.com/citation-style-language/schema/raw/master/csl-citation.json"}</w:instrText>
            </w:r>
            <w:r>
              <w:rPr>
                <w:color w:val="000000" w:themeColor="text1"/>
                <w:szCs w:val="24"/>
                <w:lang w:val="en-ID" w:eastAsia="en-ID"/>
              </w:rPr>
              <w:fldChar w:fldCharType="separate"/>
            </w:r>
            <w:r w:rsidRPr="00205190">
              <w:rPr>
                <w:noProof/>
                <w:color w:val="000000" w:themeColor="text1"/>
                <w:szCs w:val="24"/>
                <w:lang w:val="en-ID" w:eastAsia="en-ID"/>
              </w:rPr>
              <w:t xml:space="preserve">Islam </w:t>
            </w:r>
            <w:r w:rsidR="00086091">
              <w:rPr>
                <w:noProof/>
                <w:color w:val="000000" w:themeColor="text1"/>
                <w:szCs w:val="24"/>
                <w:lang w:val="en-ID" w:eastAsia="en-ID"/>
              </w:rPr>
              <w:t>(</w:t>
            </w:r>
            <w:r w:rsidRPr="00205190">
              <w:rPr>
                <w:noProof/>
                <w:color w:val="000000" w:themeColor="text1"/>
                <w:szCs w:val="24"/>
                <w:lang w:val="en-ID" w:eastAsia="en-ID"/>
              </w:rPr>
              <w:t>2021)</w:t>
            </w:r>
            <w:r>
              <w:rPr>
                <w:color w:val="000000" w:themeColor="text1"/>
                <w:szCs w:val="24"/>
                <w:lang w:val="en-ID" w:eastAsia="en-ID"/>
              </w:rPr>
              <w:fldChar w:fldCharType="end"/>
            </w:r>
          </w:p>
        </w:tc>
        <w:tc>
          <w:tcPr>
            <w:tcW w:w="0" w:type="auto"/>
            <w:hideMark/>
          </w:tcPr>
          <w:p w14:paraId="5917FDB0"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Global primary healthcare</w:t>
            </w:r>
          </w:p>
        </w:tc>
        <w:tc>
          <w:tcPr>
            <w:tcW w:w="0" w:type="auto"/>
            <w:hideMark/>
          </w:tcPr>
          <w:p w14:paraId="086C3FB4"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Service innovation &amp; delivery</w:t>
            </w:r>
          </w:p>
        </w:tc>
        <w:tc>
          <w:tcPr>
            <w:tcW w:w="0" w:type="auto"/>
            <w:hideMark/>
          </w:tcPr>
          <w:p w14:paraId="3BD48C0C"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Innovation enhances efficiency and patient-centeredness</w:t>
            </w:r>
          </w:p>
        </w:tc>
        <w:tc>
          <w:tcPr>
            <w:tcW w:w="0" w:type="auto"/>
            <w:hideMark/>
          </w:tcPr>
          <w:p w14:paraId="640D6FEA"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Theoretical foundation for introducing service innovation into Andersen model</w:t>
            </w:r>
          </w:p>
        </w:tc>
      </w:tr>
      <w:tr w:rsidR="00AE3B20" w:rsidRPr="00097749" w14:paraId="7A699EB8" w14:textId="77777777" w:rsidTr="00D426CC">
        <w:trPr>
          <w:tblCellSpacing w:w="15" w:type="dxa"/>
        </w:trPr>
        <w:tc>
          <w:tcPr>
            <w:tcW w:w="0" w:type="auto"/>
            <w:hideMark/>
          </w:tcPr>
          <w:p w14:paraId="657F8098" w14:textId="5E17FC9C" w:rsidR="00097749" w:rsidRPr="00097749" w:rsidRDefault="0093716A" w:rsidP="00D426CC">
            <w:pPr>
              <w:rPr>
                <w:color w:val="000000" w:themeColor="text1"/>
                <w:szCs w:val="24"/>
                <w:lang w:val="en-ID" w:eastAsia="en-ID"/>
              </w:rPr>
            </w:pPr>
            <w:r>
              <w:rPr>
                <w:b/>
                <w:bCs/>
                <w:color w:val="000000" w:themeColor="text1"/>
                <w:szCs w:val="24"/>
                <w:lang w:val="en-ID" w:eastAsia="en-ID"/>
              </w:rPr>
              <w:fldChar w:fldCharType="begin" w:fldLock="1"/>
            </w:r>
            <w:r w:rsidR="00D426CC">
              <w:rPr>
                <w:b/>
                <w:bCs/>
                <w:color w:val="000000" w:themeColor="text1"/>
                <w:szCs w:val="24"/>
                <w:lang w:val="en-ID" w:eastAsia="en-ID"/>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Review","type":"article-journal","volume":"21"},"uris":["http://www.mendeley.com/documents/?uuid=4e7582ba-4c69-4b5b-a74c-2e02d8b7b436"]}],"mendeley":{"formattedCitation":"(Guarcello &amp; de Vargas, 2020)","manualFormatting":"Guarcello &amp; de Vargas (2020)","plainTextFormattedCitation":"(Guarcello &amp; de Vargas, 2020)","previouslyFormattedCitation":"(Guarcello &amp; de Vargas, 2020)"},"properties":{"noteIndex":0},"schema":"https://github.com/citation-style-language/schema/raw/master/csl-citation.json"}</w:instrText>
            </w:r>
            <w:r>
              <w:rPr>
                <w:b/>
                <w:bCs/>
                <w:color w:val="000000" w:themeColor="text1"/>
                <w:szCs w:val="24"/>
                <w:lang w:val="en-ID" w:eastAsia="en-ID"/>
              </w:rPr>
              <w:fldChar w:fldCharType="separate"/>
            </w:r>
            <w:r w:rsidRPr="0093716A">
              <w:rPr>
                <w:bCs/>
                <w:noProof/>
                <w:color w:val="000000" w:themeColor="text1"/>
                <w:szCs w:val="24"/>
                <w:lang w:val="en-ID" w:eastAsia="en-ID"/>
              </w:rPr>
              <w:t xml:space="preserve">Guarcello &amp; de Vargas </w:t>
            </w:r>
            <w:r w:rsidR="00086091">
              <w:rPr>
                <w:bCs/>
                <w:noProof/>
                <w:color w:val="000000" w:themeColor="text1"/>
                <w:szCs w:val="24"/>
                <w:lang w:val="en-ID" w:eastAsia="en-ID"/>
              </w:rPr>
              <w:t>(</w:t>
            </w:r>
            <w:r w:rsidRPr="0093716A">
              <w:rPr>
                <w:bCs/>
                <w:noProof/>
                <w:color w:val="000000" w:themeColor="text1"/>
                <w:szCs w:val="24"/>
                <w:lang w:val="en-ID" w:eastAsia="en-ID"/>
              </w:rPr>
              <w:t>2020)</w:t>
            </w:r>
            <w:r>
              <w:rPr>
                <w:b/>
                <w:bCs/>
                <w:color w:val="000000" w:themeColor="text1"/>
                <w:szCs w:val="24"/>
                <w:lang w:val="en-ID" w:eastAsia="en-ID"/>
              </w:rPr>
              <w:fldChar w:fldCharType="end"/>
            </w:r>
          </w:p>
        </w:tc>
        <w:tc>
          <w:tcPr>
            <w:tcW w:w="0" w:type="auto"/>
            <w:hideMark/>
          </w:tcPr>
          <w:p w14:paraId="67752D32"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Systematic review; healthcare systems</w:t>
            </w:r>
          </w:p>
        </w:tc>
        <w:tc>
          <w:tcPr>
            <w:tcW w:w="0" w:type="auto"/>
            <w:hideMark/>
          </w:tcPr>
          <w:p w14:paraId="1553B92C"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Service innovation outcomes</w:t>
            </w:r>
          </w:p>
        </w:tc>
        <w:tc>
          <w:tcPr>
            <w:tcW w:w="0" w:type="auto"/>
            <w:hideMark/>
          </w:tcPr>
          <w:p w14:paraId="47F396F0"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Service innovation linked to quality improvement &amp; satisfaction</w:t>
            </w:r>
          </w:p>
        </w:tc>
        <w:tc>
          <w:tcPr>
            <w:tcW w:w="0" w:type="auto"/>
            <w:hideMark/>
          </w:tcPr>
          <w:p w14:paraId="66F259BD"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Provides evidence that innovation mediates quality–satisfaction link</w:t>
            </w:r>
          </w:p>
        </w:tc>
      </w:tr>
      <w:tr w:rsidR="00AE3B20" w:rsidRPr="00097749" w14:paraId="4911445F" w14:textId="77777777" w:rsidTr="00D426CC">
        <w:trPr>
          <w:tblCellSpacing w:w="15" w:type="dxa"/>
        </w:trPr>
        <w:tc>
          <w:tcPr>
            <w:tcW w:w="0" w:type="auto"/>
            <w:tcBorders>
              <w:bottom w:val="single" w:sz="4" w:space="0" w:color="auto"/>
            </w:tcBorders>
            <w:hideMark/>
          </w:tcPr>
          <w:p w14:paraId="73463BAB" w14:textId="7F055F30" w:rsidR="00097749" w:rsidRPr="00097749" w:rsidRDefault="00AE3B20" w:rsidP="00D426CC">
            <w:pPr>
              <w:rPr>
                <w:color w:val="000000" w:themeColor="text1"/>
                <w:szCs w:val="24"/>
                <w:lang w:val="en-ID" w:eastAsia="en-ID"/>
              </w:rPr>
            </w:pPr>
            <w:r>
              <w:rPr>
                <w:b/>
                <w:bCs/>
                <w:color w:val="000000" w:themeColor="text1"/>
                <w:szCs w:val="24"/>
                <w:lang w:val="en-ID" w:eastAsia="en-ID"/>
              </w:rPr>
              <w:fldChar w:fldCharType="begin" w:fldLock="1"/>
            </w:r>
            <w:r w:rsidR="00D426CC">
              <w:rPr>
                <w:b/>
                <w:bCs/>
                <w:color w:val="000000" w:themeColor="text1"/>
                <w:szCs w:val="24"/>
                <w:lang w:val="en-ID" w:eastAsia="en-ID"/>
              </w:rPr>
              <w:instrText>ADDIN CSL_CITATION {"citationItems":[{"id":"ITEM-1","itemData":{"DOI":"10.1177/23743735221103029","ISSN":"2374-3735","abstract":"Although there are studies on the use of social media and palliative and end-of-life care (PEOLC), there are no studies specifically investigating the content of online public feedback about PEOLC services. This study sought to understand experiences of end-of-life care provided in hospitals in the West of Scotland by exploring the main themes within the content of stories posted on a nationally endorsed nonprofit feedback online platform, Care Opinion, within a 2-year period. We used ?Appreciative Inquiry? as a theoretical framework for this study to determine what works well in end-of-life care, while also identifying areas for further improvement. Of the 1428 stories published on ?Care Opinion? from March 2019 to 2021 regarding hospitals in the West of Scotland, 48 (3.36%) were related to end-of-life care, of which all were included in data analysis. Using the software package NVivo and thematic analysis, we identified 4 key themes. We found that people overwhelmingly posted positive feedback about their experiences with end-of-life care. People reported positively about staff professionalism in providing compassionate and person-centered care to meet their loved ones needs at end of life. Other experiences of care related to challenges facing healthcare services, particularly during the COVID-19 pandemic. Quality appraisal of staff responses highlighted areas for improving feedback. This study can add to the aim of improving staff response to people?s concerns about end-of-life care. This study has provided a novel perspective of patients? experiences of end-of-life care in hospitals in the West of Scotland. Novel insights were the appreciation of quality of care, staff professionalism, effective communication, and meeting patient?s needs at end-of-life particularly by nursing staff.","author":[{"dropping-particle":"","family":"Khonsari","given":" Sahar","non-dropping-particle":"","parse-names":false,"suffix":""},{"dropping-particle":"","family":"O Neill","given":" Claire","non-dropping-particle":"","parse-names":false,"suffix":""},{"dropping-particle":"","family":"Mayland","given":" Catriona R","non-dropping-particle":"","parse-names":false,"suffix":""},{"dropping-particle":"","family":"Gilmour","given":" Fraser","non-dropping-particle":"","parse-names":false,"suffix":""},{"dropping-particle":"","family":"Aitken","given":" Marc","non-dropping-particle":"","parse-names":false,"suffix":""},{"dropping-particle":"","family":"Mckeown","given":" Alistair","non-dropping-particle":"","parse-names":false,"suffix":""},{"dropping-particle":"","family":"Russell","given":" Sian","non-dropping-particle":"","parse-names":false,"suffix":""},{"dropping-particle":"","family":"Mcalees","given":" Angela","non-dropping-particle":"","parse-names":false,"suffix":""},{"dropping-particle":"","family":"Gardner","given":" Morag","non-dropping-particle":"","parse-names":false,"suffix":""},{"dropping-particle":"","family":"Johnston","given":" Bridget","non-dropping-particle":"","parse-names":false,"suffix":""}],"container-title":"Journal of Patient Experience","id":"ITEM-1","issued":{"date-parts":[["2022","1","1"]]},"note":"doi: 10.1177/23743735221103029","page":"23743735221103029","publisher":"SAGE Publications Inc","title":"Views of Care at End of Life: A Secondary Analysis of Online Feedback Using Care Opinion","type":"article-journal","volume":"9"},"uris":["http://www.mendeley.com/documents/?uuid=7a1dbeae-f9b5-4dab-bff5-8d1d5b598413"]}],"mendeley":{"formattedCitation":"(Khonsari et al., 2022)","manualFormatting":"Khonsari et al. (2022)","plainTextFormattedCitation":"(Khonsari et al., 2022)","previouslyFormattedCitation":"(Khonsari et al., 2022)"},"properties":{"noteIndex":0},"schema":"https://github.com/citation-style-language/schema/raw/master/csl-citation.json"}</w:instrText>
            </w:r>
            <w:r>
              <w:rPr>
                <w:b/>
                <w:bCs/>
                <w:color w:val="000000" w:themeColor="text1"/>
                <w:szCs w:val="24"/>
                <w:lang w:val="en-ID" w:eastAsia="en-ID"/>
              </w:rPr>
              <w:fldChar w:fldCharType="separate"/>
            </w:r>
            <w:r w:rsidRPr="00AE3B20">
              <w:rPr>
                <w:bCs/>
                <w:noProof/>
                <w:color w:val="000000" w:themeColor="text1"/>
                <w:szCs w:val="24"/>
                <w:lang w:val="en-ID" w:eastAsia="en-ID"/>
              </w:rPr>
              <w:t xml:space="preserve">Khonsari et al. </w:t>
            </w:r>
            <w:r w:rsidR="00086091">
              <w:rPr>
                <w:bCs/>
                <w:noProof/>
                <w:color w:val="000000" w:themeColor="text1"/>
                <w:szCs w:val="24"/>
                <w:lang w:val="en-ID" w:eastAsia="en-ID"/>
              </w:rPr>
              <w:t>(</w:t>
            </w:r>
            <w:r w:rsidRPr="00AE3B20">
              <w:rPr>
                <w:bCs/>
                <w:noProof/>
                <w:color w:val="000000" w:themeColor="text1"/>
                <w:szCs w:val="24"/>
                <w:lang w:val="en-ID" w:eastAsia="en-ID"/>
              </w:rPr>
              <w:t>2022)</w:t>
            </w:r>
            <w:r>
              <w:rPr>
                <w:b/>
                <w:bCs/>
                <w:color w:val="000000" w:themeColor="text1"/>
                <w:szCs w:val="24"/>
                <w:lang w:val="en-ID" w:eastAsia="en-ID"/>
              </w:rPr>
              <w:fldChar w:fldCharType="end"/>
            </w:r>
          </w:p>
        </w:tc>
        <w:tc>
          <w:tcPr>
            <w:tcW w:w="0" w:type="auto"/>
            <w:tcBorders>
              <w:bottom w:val="single" w:sz="4" w:space="0" w:color="auto"/>
            </w:tcBorders>
            <w:hideMark/>
          </w:tcPr>
          <w:p w14:paraId="686BF6E5"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Review, LMIC healthcare</w:t>
            </w:r>
          </w:p>
        </w:tc>
        <w:tc>
          <w:tcPr>
            <w:tcW w:w="0" w:type="auto"/>
            <w:tcBorders>
              <w:bottom w:val="single" w:sz="4" w:space="0" w:color="auto"/>
            </w:tcBorders>
            <w:hideMark/>
          </w:tcPr>
          <w:p w14:paraId="10EB9F10"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Patient satisfaction determinants</w:t>
            </w:r>
          </w:p>
        </w:tc>
        <w:tc>
          <w:tcPr>
            <w:tcW w:w="0" w:type="auto"/>
            <w:tcBorders>
              <w:bottom w:val="single" w:sz="4" w:space="0" w:color="auto"/>
            </w:tcBorders>
            <w:hideMark/>
          </w:tcPr>
          <w:p w14:paraId="3A41E38F"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Satisfaction influenced by adherence &amp; service quality</w:t>
            </w:r>
          </w:p>
        </w:tc>
        <w:tc>
          <w:tcPr>
            <w:tcW w:w="0" w:type="auto"/>
            <w:tcBorders>
              <w:bottom w:val="single" w:sz="4" w:space="0" w:color="auto"/>
            </w:tcBorders>
            <w:hideMark/>
          </w:tcPr>
          <w:p w14:paraId="0CC3A803" w14:textId="77777777" w:rsidR="00097749" w:rsidRPr="00097749" w:rsidRDefault="00097749" w:rsidP="00D426CC">
            <w:pPr>
              <w:rPr>
                <w:color w:val="000000" w:themeColor="text1"/>
                <w:szCs w:val="24"/>
                <w:lang w:val="en-ID" w:eastAsia="en-ID"/>
              </w:rPr>
            </w:pPr>
            <w:r w:rsidRPr="00097749">
              <w:rPr>
                <w:color w:val="000000" w:themeColor="text1"/>
                <w:szCs w:val="24"/>
                <w:lang w:val="en-ID" w:eastAsia="en-ID"/>
              </w:rPr>
              <w:t>Justifies linking adherence with satisfaction in malaria care</w:t>
            </w:r>
          </w:p>
        </w:tc>
      </w:tr>
    </w:tbl>
    <w:p w14:paraId="6C8C7A74" w14:textId="77777777" w:rsidR="00790ADA" w:rsidRPr="00097749" w:rsidRDefault="00790ADA" w:rsidP="00441B6F">
      <w:pPr>
        <w:pStyle w:val="Body"/>
        <w:spacing w:after="0"/>
        <w:rPr>
          <w:rFonts w:ascii="Arial" w:hAnsi="Arial" w:cs="Arial"/>
          <w:color w:val="000000" w:themeColor="text1"/>
        </w:rPr>
      </w:pPr>
    </w:p>
    <w:p w14:paraId="64429B04" w14:textId="0750FBB7" w:rsidR="007F7B32" w:rsidRPr="00097749" w:rsidRDefault="00902823" w:rsidP="00441B6F">
      <w:pPr>
        <w:pStyle w:val="AbstHead"/>
        <w:spacing w:after="0"/>
        <w:jc w:val="both"/>
        <w:rPr>
          <w:rFonts w:ascii="Arial" w:hAnsi="Arial" w:cs="Arial"/>
          <w:color w:val="000000" w:themeColor="text1"/>
        </w:rPr>
      </w:pPr>
      <w:r w:rsidRPr="00097749">
        <w:rPr>
          <w:rFonts w:ascii="Arial" w:hAnsi="Arial" w:cs="Arial"/>
          <w:color w:val="000000" w:themeColor="text1"/>
        </w:rPr>
        <w:t>2. material and method</w:t>
      </w:r>
      <w:r w:rsidR="00000F8F" w:rsidRPr="00097749">
        <w:rPr>
          <w:rFonts w:ascii="Arial" w:hAnsi="Arial" w:cs="Arial"/>
          <w:color w:val="000000" w:themeColor="text1"/>
        </w:rPr>
        <w:t xml:space="preserve">s </w:t>
      </w:r>
    </w:p>
    <w:p w14:paraId="72E82497" w14:textId="055F68BF" w:rsidR="009D442F" w:rsidRPr="00097749" w:rsidRDefault="009D442F" w:rsidP="00441B6F">
      <w:pPr>
        <w:pStyle w:val="AbstHead"/>
        <w:spacing w:after="0"/>
        <w:jc w:val="both"/>
        <w:rPr>
          <w:rFonts w:ascii="Arial" w:hAnsi="Arial" w:cs="Arial"/>
          <w:color w:val="000000" w:themeColor="text1"/>
        </w:rPr>
      </w:pPr>
    </w:p>
    <w:p w14:paraId="7A0C2ECA" w14:textId="77777777" w:rsidR="00097749" w:rsidRPr="00097749" w:rsidRDefault="00097749" w:rsidP="00097749">
      <w:pPr>
        <w:pStyle w:val="BodyText"/>
        <w:rPr>
          <w:b/>
          <w:bCs/>
          <w:color w:val="000000" w:themeColor="text1"/>
        </w:rPr>
      </w:pPr>
      <w:r w:rsidRPr="00097749">
        <w:rPr>
          <w:b/>
          <w:bCs/>
          <w:color w:val="000000" w:themeColor="text1"/>
        </w:rPr>
        <w:t>2.1 Treatment Adherence in Malaria Care</w:t>
      </w:r>
    </w:p>
    <w:p w14:paraId="406C06AD" w14:textId="5E97EFBD" w:rsidR="00097749" w:rsidRPr="00097749" w:rsidRDefault="00097749" w:rsidP="00543BC0">
      <w:pPr>
        <w:pStyle w:val="BodyText"/>
        <w:jc w:val="both"/>
        <w:rPr>
          <w:color w:val="000000" w:themeColor="text1"/>
        </w:rPr>
      </w:pPr>
      <w:r w:rsidRPr="00097749">
        <w:rPr>
          <w:color w:val="000000" w:themeColor="text1"/>
        </w:rPr>
        <w:t>Treatment adherence refers to the extent to which patient follow prescribed regimens in terms of dosage, timing, and duration. In malaria management, adherence is particularly critical because incomplete or inconsistent use of antimalarial drugs increases the risk of relapse, transmission, and drug resistance. Globally, this concept remains a pressing challenge for malaria elimination programs. Studies in Africa and Southeast Asia have shown that patient frequently discontinue treatment prematurely, often after symptoms subside, undermining the effectiveness of treatment and increasing recurrence rates</w:t>
      </w:r>
      <w:r w:rsidR="00543BC0">
        <w:rPr>
          <w:color w:val="000000" w:themeColor="text1"/>
        </w:rPr>
        <w:t xml:space="preserve"> </w:t>
      </w:r>
      <w:r w:rsidR="00543BC0">
        <w:rPr>
          <w:color w:val="000000" w:themeColor="text1"/>
        </w:rPr>
        <w:fldChar w:fldCharType="begin" w:fldLock="1"/>
      </w:r>
      <w:r w:rsidR="00543BC0">
        <w:rPr>
          <w:color w:val="000000" w:themeColor="text1"/>
        </w:rPr>
        <w:instrText>ADDIN CSL_CITATION {"citationItems":[{"id":"ITEM-1","itemData":{"ISBN":"9789240086173","author":[{"dropping-particle":"","family":"World Health Organization","given":"","non-dropping-particle":"","parse-names":false,"suffix":""}],"id":"ITEM-1","issued":{"date-parts":[["2023"]]},"publisher-place":"Geneva","title":"World malaria report 2023","type":"report"},"uris":["http://www.mendeley.com/documents/?uuid=3fb6d265-a1e3-4b60-b6d9-94a76e260352"]}],"mendeley":{"formattedCitation":"(World Health Organization, 2023)","plainTextFormattedCitation":"(World Health Organization, 2023)","previouslyFormattedCitation":"(World Health Organization, 2023)"},"properties":{"noteIndex":0},"schema":"https://github.com/citation-style-language/schema/raw/master/csl-citation.json"}</w:instrText>
      </w:r>
      <w:r w:rsidR="00543BC0">
        <w:rPr>
          <w:color w:val="000000" w:themeColor="text1"/>
        </w:rPr>
        <w:fldChar w:fldCharType="separate"/>
      </w:r>
      <w:r w:rsidR="00543BC0" w:rsidRPr="00543BC0">
        <w:rPr>
          <w:noProof/>
          <w:color w:val="000000" w:themeColor="text1"/>
        </w:rPr>
        <w:t>(World Health Organization, 2023)</w:t>
      </w:r>
      <w:r w:rsidR="00543BC0">
        <w:rPr>
          <w:color w:val="000000" w:themeColor="text1"/>
        </w:rPr>
        <w:fldChar w:fldCharType="end"/>
      </w:r>
      <w:r w:rsidR="00543BC0">
        <w:rPr>
          <w:color w:val="000000" w:themeColor="text1"/>
        </w:rPr>
        <w:t>.</w:t>
      </w:r>
    </w:p>
    <w:p w14:paraId="0B48E81A" w14:textId="2C8C9017" w:rsidR="00097749" w:rsidRPr="00097749" w:rsidRDefault="00097749" w:rsidP="00543BC0">
      <w:pPr>
        <w:pStyle w:val="BodyText"/>
        <w:jc w:val="both"/>
        <w:rPr>
          <w:color w:val="000000" w:themeColor="text1"/>
        </w:rPr>
      </w:pPr>
      <w:r w:rsidRPr="00097749">
        <w:rPr>
          <w:color w:val="000000" w:themeColor="text1"/>
        </w:rPr>
        <w:t>In Indonesia, specifically Papua, adherence challenges are magnified by the burden of Plasmodium vivax infections, which require a 14-day course of primaquine to eliminate hypnozoites. Many patient stop treatment midway due to side effects such as nausea and dizziness or the perception of being cured</w:t>
      </w:r>
      <w:r w:rsidR="00543BC0">
        <w:rPr>
          <w:color w:val="000000" w:themeColor="text1"/>
        </w:rPr>
        <w:t xml:space="preserve"> </w:t>
      </w:r>
      <w:r w:rsidR="00543BC0">
        <w:rPr>
          <w:color w:val="000000" w:themeColor="text1"/>
        </w:rPr>
        <w:fldChar w:fldCharType="begin" w:fldLock="1"/>
      </w:r>
      <w:r w:rsidR="00543BC0">
        <w:rPr>
          <w:color w:val="000000" w:themeColor="text1"/>
        </w:rPr>
        <w:instrText>ADDIN CSL_CITATION {"citationItems":[{"id":"ITEM-1","itemData":{"DOI":"10.1016/S1473-3099(21)00358-3","ISSN":"1473-3099","author":[{"dropping-particle":"","family":"Poespoprodjo","given":"Jeanne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Diseases","id":"ITEM-1","issue":"3","issued":{"date-parts":[["2022","3","1"]]},"note":"doi: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trial","type":"article-journal","volume":"22"},"uris":["http://www.mendeley.com/documents/?uuid=98076772-06c2-4046-950a-6bba70420feb"]}],"mendeley":{"formattedCitation":"(Poespoprodjo et al., 2022)","plainTextFormattedCitation":"(Poespoprodjo et al., 2022)","previouslyFormattedCitation":"(Poespoprodjo et al., 2022)"},"properties":{"noteIndex":0},"schema":"https://github.com/citation-style-language/schema/raw/master/csl-citation.json"}</w:instrText>
      </w:r>
      <w:r w:rsidR="00543BC0">
        <w:rPr>
          <w:color w:val="000000" w:themeColor="text1"/>
        </w:rPr>
        <w:fldChar w:fldCharType="separate"/>
      </w:r>
      <w:r w:rsidR="00543BC0" w:rsidRPr="00543BC0">
        <w:rPr>
          <w:noProof/>
          <w:color w:val="000000" w:themeColor="text1"/>
        </w:rPr>
        <w:t>(Poespoprodjo et al., 2022)</w:t>
      </w:r>
      <w:r w:rsidR="00543BC0">
        <w:rPr>
          <w:color w:val="000000" w:themeColor="text1"/>
        </w:rPr>
        <w:fldChar w:fldCharType="end"/>
      </w:r>
      <w:r w:rsidRPr="00097749">
        <w:rPr>
          <w:color w:val="000000" w:themeColor="text1"/>
        </w:rPr>
        <w:t xml:space="preserve">. This premature discontinuation drives relapse and consistent transmission. Mass Blood Surveys in </w:t>
      </w:r>
      <w:proofErr w:type="spellStart"/>
      <w:r w:rsidRPr="00097749">
        <w:rPr>
          <w:color w:val="000000" w:themeColor="text1"/>
        </w:rPr>
        <w:t>Mimika</w:t>
      </w:r>
      <w:proofErr w:type="spellEnd"/>
      <w:r w:rsidRPr="00097749">
        <w:rPr>
          <w:color w:val="000000" w:themeColor="text1"/>
        </w:rPr>
        <w:t xml:space="preserve"> (2022–2023) found that only about 10% of respondents completed treatment, while the majority either discontinued medication or failed to return for follow-up blood checks.</w:t>
      </w:r>
    </w:p>
    <w:p w14:paraId="06FCEB57" w14:textId="2C469C4A" w:rsidR="00097749" w:rsidRPr="00097749" w:rsidRDefault="00097749" w:rsidP="00543BC0">
      <w:pPr>
        <w:pStyle w:val="BodyText"/>
        <w:jc w:val="both"/>
        <w:rPr>
          <w:color w:val="000000" w:themeColor="text1"/>
        </w:rPr>
      </w:pPr>
      <w:r w:rsidRPr="00097749">
        <w:rPr>
          <w:color w:val="000000" w:themeColor="text1"/>
        </w:rPr>
        <w:t xml:space="preserve">Determinants of adherence are multifaceted. According to </w:t>
      </w:r>
      <w:r w:rsidR="00543BC0">
        <w:rPr>
          <w:color w:val="000000" w:themeColor="text1"/>
        </w:rPr>
        <w:fldChar w:fldCharType="begin" w:fldLock="1"/>
      </w:r>
      <w:r w:rsidR="00543BC0">
        <w:rPr>
          <w:color w:val="000000" w:themeColor="text1"/>
        </w:rPr>
        <w:instrText>ADDIN CSL_CITATION {"citationItems":[{"id":"ITEM-1","itemData":{"author":[{"dropping-particle":"","family":"Green","given":"Lawrence","non-dropping-particle":"","parse-names":false,"suffix":""},{"dropping-particle":"","family":"Kreuter","given":"Marshall","non-dropping-particle":"","parse-names":false,"suffix":""}],"edition":"2","id":"ITEM-1","issued":{"date-parts":[["1991"]]},"publisher":"Mayfield Publishing Co.","publisher-place":"Palo Alto","title":"Health Promotion Planning: An Educational and Environmental Approach","type":"book"},"uris":["http://www.mendeley.com/documents/?uuid=9a897336-f5f8-4fc2-8af0-3fcee148012b"]}],"mendeley":{"formattedCitation":"(Green &amp; Kreuter, 1991)","manualFormatting":"Green &amp; Kreuter (1991)","plainTextFormattedCitation":"(Green &amp; Kreuter, 1991)","previouslyFormattedCitation":"(Green &amp; Kreuter, 1991)"},"properties":{"noteIndex":0},"schema":"https://github.com/citation-style-language/schema/raw/master/csl-citation.json"}</w:instrText>
      </w:r>
      <w:r w:rsidR="00543BC0">
        <w:rPr>
          <w:color w:val="000000" w:themeColor="text1"/>
        </w:rPr>
        <w:fldChar w:fldCharType="separate"/>
      </w:r>
      <w:r w:rsidR="00543BC0" w:rsidRPr="00543BC0">
        <w:rPr>
          <w:noProof/>
          <w:color w:val="000000" w:themeColor="text1"/>
        </w:rPr>
        <w:t xml:space="preserve">Green &amp; Kreuter </w:t>
      </w:r>
      <w:r w:rsidR="00543BC0">
        <w:rPr>
          <w:noProof/>
          <w:color w:val="000000" w:themeColor="text1"/>
        </w:rPr>
        <w:t>(</w:t>
      </w:r>
      <w:r w:rsidR="00543BC0" w:rsidRPr="00543BC0">
        <w:rPr>
          <w:noProof/>
          <w:color w:val="000000" w:themeColor="text1"/>
        </w:rPr>
        <w:t>1991)</w:t>
      </w:r>
      <w:r w:rsidR="00543BC0">
        <w:rPr>
          <w:color w:val="000000" w:themeColor="text1"/>
        </w:rPr>
        <w:fldChar w:fldCharType="end"/>
      </w:r>
      <w:r w:rsidRPr="00097749">
        <w:rPr>
          <w:color w:val="000000" w:themeColor="text1"/>
        </w:rPr>
        <w:t xml:space="preserve"> </w:t>
      </w:r>
      <w:r w:rsidR="00543BC0">
        <w:rPr>
          <w:color w:val="000000" w:themeColor="text1"/>
        </w:rPr>
        <w:t xml:space="preserve">the </w:t>
      </w:r>
      <w:r w:rsidRPr="00097749">
        <w:rPr>
          <w:color w:val="000000" w:themeColor="text1"/>
        </w:rPr>
        <w:t xml:space="preserve">PRECEDE-PROCEED model, adherence is shaped by predisposing (knowledge, attitudes, </w:t>
      </w:r>
      <w:r w:rsidRPr="00097749">
        <w:rPr>
          <w:color w:val="000000" w:themeColor="text1"/>
        </w:rPr>
        <w:lastRenderedPageBreak/>
        <w:t xml:space="preserve">motivation), enabling (availability of resources, accessibility of healthcare), and reinforcing factors (social support and provider engagement). Empirical evidence across various chronic and infectious diseases confirms the importance of these factors. For example, while </w:t>
      </w:r>
      <w:r w:rsidR="00543BC0">
        <w:rPr>
          <w:color w:val="000000" w:themeColor="text1"/>
        </w:rPr>
        <w:fldChar w:fldCharType="begin" w:fldLock="1"/>
      </w:r>
      <w:r w:rsidR="00137B7B">
        <w:rPr>
          <w:color w:val="000000" w:themeColor="text1"/>
        </w:rPr>
        <w:instrText>ADDIN CSL_CITATION {"citationItems":[{"id":"ITEM-1","itemData":{"DOI":"10.1093/jpepsy/jsy044","author":[{"dropping-particle":"","family":"Psihogios","given":"Alexandra M","non-dropping-particle":"","parse-names":false,"suffix":""},{"dropping-particle":"","family":"Fellmeth","given":"Heather","non-dropping-particle":"","parse-names":false,"suffix":""},{"dropping-particle":"","family":"Lisa","given":"A","non-dropping-particle":"","parse-names":false,"suffix":""},{"dropping-particle":"","family":"Barakat","given":"Lamia P","non-dropping-particle":"","parse-names":false,"suffix":""}],"container-title":"Journal ofPediatric Psychology","id":"ITEM-1","issue":"1","issued":{"date-parts":[["2019"]]},"page":"84-97","title":"Family functioning and medical adherence across children and adolescents with chronic health conditions: A meta-analysis","type":"article-journal","volume":"44"},"uris":["http://www.mendeley.com/documents/?uuid=d14666c6-eaa3-4f54-a778-73e467a4b92d"]}],"mendeley":{"formattedCitation":"(Psihogios et al., 2019)","manualFormatting":"Psihogios et al. (2019)","plainTextFormattedCitation":"(Psihogios et al., 2019)","previouslyFormattedCitation":"(Psihogios et al., 2019)"},"properties":{"noteIndex":0},"schema":"https://github.com/citation-style-language/schema/raw/master/csl-citation.json"}</w:instrText>
      </w:r>
      <w:r w:rsidR="00543BC0">
        <w:rPr>
          <w:color w:val="000000" w:themeColor="text1"/>
        </w:rPr>
        <w:fldChar w:fldCharType="separate"/>
      </w:r>
      <w:r w:rsidR="00543BC0" w:rsidRPr="00543BC0">
        <w:rPr>
          <w:noProof/>
          <w:color w:val="000000" w:themeColor="text1"/>
        </w:rPr>
        <w:t xml:space="preserve">Psihogios et al. </w:t>
      </w:r>
      <w:r w:rsidR="00543BC0">
        <w:rPr>
          <w:noProof/>
          <w:color w:val="000000" w:themeColor="text1"/>
        </w:rPr>
        <w:t>(</w:t>
      </w:r>
      <w:r w:rsidR="00543BC0" w:rsidRPr="00543BC0">
        <w:rPr>
          <w:noProof/>
          <w:color w:val="000000" w:themeColor="text1"/>
        </w:rPr>
        <w:t>2019)</w:t>
      </w:r>
      <w:r w:rsidR="00543BC0">
        <w:rPr>
          <w:color w:val="000000" w:themeColor="text1"/>
        </w:rPr>
        <w:fldChar w:fldCharType="end"/>
      </w:r>
      <w:r w:rsidRPr="00097749">
        <w:rPr>
          <w:color w:val="000000" w:themeColor="text1"/>
        </w:rPr>
        <w:t xml:space="preserve"> emphasiz</w:t>
      </w:r>
      <w:r w:rsidR="00137B7B">
        <w:rPr>
          <w:color w:val="000000" w:themeColor="text1"/>
        </w:rPr>
        <w:t>ing</w:t>
      </w:r>
      <w:r w:rsidRPr="00097749">
        <w:rPr>
          <w:color w:val="000000" w:themeColor="text1"/>
        </w:rPr>
        <w:t xml:space="preserve"> the role of family functioning in pediatric chronic conditions. In malaria care, reinforcing factors such as direct supervision and provider support appear specifically influential</w:t>
      </w:r>
      <w:r w:rsidR="00137B7B">
        <w:rPr>
          <w:color w:val="000000" w:themeColor="text1"/>
        </w:rPr>
        <w:t>;</w:t>
      </w:r>
      <w:r w:rsidRPr="00097749">
        <w:rPr>
          <w:color w:val="000000" w:themeColor="text1"/>
        </w:rPr>
        <w:t xml:space="preserve"> for example, </w:t>
      </w:r>
      <w:r w:rsidR="00137B7B">
        <w:rPr>
          <w:color w:val="000000" w:themeColor="text1"/>
        </w:rPr>
        <w:fldChar w:fldCharType="begin" w:fldLock="1"/>
      </w:r>
      <w:r w:rsidR="00B66230">
        <w:rPr>
          <w:color w:val="000000" w:themeColor="text1"/>
        </w:rPr>
        <w:instrText>ADDIN CSL_CITATION {"citationItems":[{"id":"ITEM-1","itemData":{"DOI":"10.1093/jpepsy/jsy044","author":[{"dropping-particle":"","family":"Psihogios","given":"Alexandra M","non-dropping-particle":"","parse-names":false,"suffix":""},{"dropping-particle":"","family":"Fellmeth","given":"Heather","non-dropping-particle":"","parse-names":false,"suffix":""},{"dropping-particle":"","family":"Lisa","given":"A","non-dropping-particle":"","parse-names":false,"suffix":""},{"dropping-particle":"","family":"Barakat","given":"Lamia P","non-dropping-particle":"","parse-names":false,"suffix":""}],"container-title":"Journal ofPediatric Psychology","id":"ITEM-1","issue":"1","issued":{"date-parts":[["2019"]]},"page":"84-97","title":"Family functioning and medical adherence across children and adolescents with chronic health conditions: A meta-analysis","type":"article-journal","volume":"44"},"uris":["http://www.mendeley.com/documents/?uuid=d14666c6-eaa3-4f54-a778-73e467a4b92d"]}],"mendeley":{"formattedCitation":"(Psihogios et al., 2019)","manualFormatting":"Psihogios et al. (2019)","plainTextFormattedCitation":"(Psihogios et al., 2019)","previouslyFormattedCitation":"(Psihogios et al., 2019)"},"properties":{"noteIndex":0},"schema":"https://github.com/citation-style-language/schema/raw/master/csl-citation.json"}</w:instrText>
      </w:r>
      <w:r w:rsidR="00137B7B">
        <w:rPr>
          <w:color w:val="000000" w:themeColor="text1"/>
        </w:rPr>
        <w:fldChar w:fldCharType="separate"/>
      </w:r>
      <w:r w:rsidR="00137B7B" w:rsidRPr="00137B7B">
        <w:rPr>
          <w:noProof/>
          <w:color w:val="000000" w:themeColor="text1"/>
        </w:rPr>
        <w:t xml:space="preserve">Psihogios et al. </w:t>
      </w:r>
      <w:r w:rsidR="00137B7B">
        <w:rPr>
          <w:noProof/>
          <w:color w:val="000000" w:themeColor="text1"/>
        </w:rPr>
        <w:t>(</w:t>
      </w:r>
      <w:r w:rsidR="00137B7B" w:rsidRPr="00137B7B">
        <w:rPr>
          <w:noProof/>
          <w:color w:val="000000" w:themeColor="text1"/>
        </w:rPr>
        <w:t>2019)</w:t>
      </w:r>
      <w:r w:rsidR="00137B7B">
        <w:rPr>
          <w:color w:val="000000" w:themeColor="text1"/>
        </w:rPr>
        <w:fldChar w:fldCharType="end"/>
      </w:r>
      <w:r w:rsidR="00137B7B">
        <w:rPr>
          <w:color w:val="000000" w:themeColor="text1"/>
        </w:rPr>
        <w:t xml:space="preserve"> </w:t>
      </w:r>
      <w:r w:rsidRPr="00097749">
        <w:rPr>
          <w:color w:val="000000" w:themeColor="text1"/>
        </w:rPr>
        <w:t>reported significantly reduced relapse rates with supervised treatment.</w:t>
      </w:r>
    </w:p>
    <w:p w14:paraId="2FDD1D6E" w14:textId="77777777" w:rsidR="00097749" w:rsidRPr="00097749" w:rsidRDefault="00097749" w:rsidP="00C25A84">
      <w:pPr>
        <w:pStyle w:val="BodyText"/>
        <w:jc w:val="both"/>
        <w:rPr>
          <w:color w:val="000000" w:themeColor="text1"/>
        </w:rPr>
      </w:pPr>
      <w:r w:rsidRPr="00097749">
        <w:rPr>
          <w:color w:val="000000" w:themeColor="text1"/>
        </w:rPr>
        <w:t>Despite these insights, adherence interventions in many malaria programs have often focused narrowly on drug distribution and health education, without adequately addressing systemic barriers or integrating innovative service models. This limitation underscores the need to examine how adherence interacts with service delivery approaches such as service innovation.</w:t>
      </w:r>
    </w:p>
    <w:p w14:paraId="50BEE0F9" w14:textId="77777777" w:rsidR="00097749" w:rsidRPr="00097749" w:rsidRDefault="00097749" w:rsidP="00097749">
      <w:pPr>
        <w:pStyle w:val="BodyText"/>
        <w:rPr>
          <w:b/>
          <w:bCs/>
          <w:color w:val="000000" w:themeColor="text1"/>
        </w:rPr>
      </w:pPr>
      <w:r w:rsidRPr="00097749">
        <w:rPr>
          <w:b/>
          <w:bCs/>
          <w:color w:val="000000" w:themeColor="text1"/>
        </w:rPr>
        <w:t>2.2 Service Innovation in Healthcare</w:t>
      </w:r>
    </w:p>
    <w:p w14:paraId="45C98C65" w14:textId="4CE28234" w:rsidR="00097749" w:rsidRPr="00097749" w:rsidRDefault="00097749" w:rsidP="00B66230">
      <w:pPr>
        <w:pStyle w:val="BodyText"/>
        <w:jc w:val="both"/>
        <w:rPr>
          <w:color w:val="000000" w:themeColor="text1"/>
        </w:rPr>
      </w:pPr>
      <w:r w:rsidRPr="00097749">
        <w:rPr>
          <w:color w:val="000000" w:themeColor="text1"/>
        </w:rPr>
        <w:t xml:space="preserve">Service innovation has become a central theme in healthcare reform, driven by the demand for more efficient, accessible, and patient-centered care. It refers to the introduction or adaptation of new processes, technologies, or organizational practices that enhance service delivery </w:t>
      </w:r>
      <w:r w:rsidR="00B66230">
        <w:rPr>
          <w:color w:val="000000" w:themeColor="text1"/>
        </w:rPr>
        <w:fldChar w:fldCharType="begin" w:fldLock="1"/>
      </w:r>
      <w:r w:rsidR="00697D4B">
        <w:rPr>
          <w:color w:val="000000" w:themeColor="text1"/>
        </w:rPr>
        <w:instrText>ADDIN CSL_CITATION {"citationItems":[{"id":"ITEM-1","itemData":{"DOI":"https://doi.org/10.1111/emre.12365","author":[{"dropping-particle":"","family":"Desmarchelier","given":"Benoît","non-dropping-particle":"","parse-names":false,"suffix":""},{"dropping-particle":"","family":"Djellal","given":"Faridah","non-dropping-particle":"","parse-names":false,"suffix":""},{"dropping-particle":"","family":"Gallouj","given":"Faïz","non-dropping-particle":"","parse-names":false,"suffix":""}],"container-title":"European Management Review","id":"ITEM-1","issued":{"date-parts":[["2019"]]},"page":"439-448","title":"Users’ involvement in value co-creation: The more the better?","type":"article-journal","volume":"17"},"uris":["http://www.mendeley.com/documents/?uuid=c71ea64a-5e94-4131-af36-c060ae3d7566"]}],"mendeley":{"formattedCitation":"(Desmarchelier et al., 2019)","plainTextFormattedCitation":"(Desmarchelier et al., 2019)","previouslyFormattedCitation":"(Desmarchelier et al., 2019)"},"properties":{"noteIndex":0},"schema":"https://github.com/citation-style-language/schema/raw/master/csl-citation.json"}</w:instrText>
      </w:r>
      <w:r w:rsidR="00B66230">
        <w:rPr>
          <w:color w:val="000000" w:themeColor="text1"/>
        </w:rPr>
        <w:fldChar w:fldCharType="separate"/>
      </w:r>
      <w:r w:rsidR="00B66230" w:rsidRPr="00B66230">
        <w:rPr>
          <w:noProof/>
          <w:color w:val="000000" w:themeColor="text1"/>
        </w:rPr>
        <w:t>(Desmarchelier et al., 2019)</w:t>
      </w:r>
      <w:r w:rsidR="00B66230">
        <w:rPr>
          <w:color w:val="000000" w:themeColor="text1"/>
        </w:rPr>
        <w:fldChar w:fldCharType="end"/>
      </w:r>
      <w:r w:rsidR="00B66230">
        <w:rPr>
          <w:color w:val="000000" w:themeColor="text1"/>
        </w:rPr>
        <w:t>.</w:t>
      </w:r>
      <w:r w:rsidRPr="00097749">
        <w:rPr>
          <w:color w:val="000000" w:themeColor="text1"/>
        </w:rPr>
        <w:t xml:space="preserve"> In contrast to technological innovation in pharmaceuticals or medical devices, service innovation emphasizes process and system changes, such as digital platforms for patient monitoring, redesigned care pathways, or community-based service models.</w:t>
      </w:r>
    </w:p>
    <w:p w14:paraId="601BD3A9" w14:textId="09E57C8D" w:rsidR="00097749" w:rsidRPr="00097749" w:rsidRDefault="00097749" w:rsidP="0093716A">
      <w:pPr>
        <w:pStyle w:val="BodyText"/>
        <w:jc w:val="both"/>
        <w:rPr>
          <w:color w:val="000000" w:themeColor="text1"/>
        </w:rPr>
      </w:pPr>
      <w:r w:rsidRPr="00097749">
        <w:rPr>
          <w:color w:val="000000" w:themeColor="text1"/>
        </w:rPr>
        <w:t>In healthcare systems worldwide, service innovation has show</w:t>
      </w:r>
      <w:r w:rsidR="000C5FCE">
        <w:rPr>
          <w:color w:val="000000" w:themeColor="text1"/>
        </w:rPr>
        <w:t>n</w:t>
      </w:r>
      <w:r w:rsidRPr="00097749">
        <w:rPr>
          <w:color w:val="000000" w:themeColor="text1"/>
        </w:rPr>
        <w:t xml:space="preserve"> benefits in terms of improving efficiency, reducing costs, and enhancing patient satisfaction. A systematic review by </w:t>
      </w:r>
      <w:r w:rsidR="0093716A">
        <w:rPr>
          <w:color w:val="000000" w:themeColor="text1"/>
        </w:rPr>
        <w:fldChar w:fldCharType="begin" w:fldLock="1"/>
      </w:r>
      <w:r w:rsidR="0093716A">
        <w:rPr>
          <w:color w:val="000000" w:themeColor="text1"/>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Review","type":"article-journal","volume":"21"},"uris":["http://www.mendeley.com/documents/?uuid=4e7582ba-4c69-4b5b-a74c-2e02d8b7b436"]}],"mendeley":{"formattedCitation":"(Guarcello &amp; de Vargas, 2020)","plainTextFormattedCitation":"(Guarcello &amp; de Vargas, 2020)","previouslyFormattedCitation":"(Guarcello &amp; de Vargas, 2020)"},"properties":{"noteIndex":0},"schema":"https://github.com/citation-style-language/schema/raw/master/csl-citation.json"}</w:instrText>
      </w:r>
      <w:r w:rsidR="0093716A">
        <w:rPr>
          <w:color w:val="000000" w:themeColor="text1"/>
        </w:rPr>
        <w:fldChar w:fldCharType="separate"/>
      </w:r>
      <w:r w:rsidR="0093716A" w:rsidRPr="0093716A">
        <w:rPr>
          <w:noProof/>
          <w:color w:val="000000" w:themeColor="text1"/>
        </w:rPr>
        <w:t>(Guarcello &amp; de Vargas, 2020)</w:t>
      </w:r>
      <w:r w:rsidR="0093716A">
        <w:rPr>
          <w:color w:val="000000" w:themeColor="text1"/>
        </w:rPr>
        <w:fldChar w:fldCharType="end"/>
      </w:r>
      <w:r w:rsidR="0093716A">
        <w:rPr>
          <w:color w:val="000000" w:themeColor="text1"/>
        </w:rPr>
        <w:t xml:space="preserve"> </w:t>
      </w:r>
      <w:r w:rsidRPr="00097749">
        <w:rPr>
          <w:color w:val="000000" w:themeColor="text1"/>
        </w:rPr>
        <w:t>confirmed that service innovation contributes significantly to service quality and patient-centered outcomes. In LMICs, where resource constraints limit traditional approaches, innovative service delivery strategies are specifically vital. For example,</w:t>
      </w:r>
      <w:r w:rsidR="000C5FCE">
        <w:rPr>
          <w:color w:val="000000" w:themeColor="text1"/>
        </w:rPr>
        <w:t xml:space="preserve"> </w:t>
      </w:r>
      <w:r w:rsidR="007B0FD4">
        <w:rPr>
          <w:color w:val="000000" w:themeColor="text1"/>
        </w:rPr>
        <w:fldChar w:fldCharType="begin" w:fldLock="1"/>
      </w:r>
      <w:r w:rsidR="000C5FCE">
        <w:rPr>
          <w:color w:val="000000" w:themeColor="text1"/>
        </w:rPr>
        <w:instrText>ADDIN CSL_CITATION {"citationItems":[{"id":"ITEM-1","itemData":{"DOI":"https://doi.org/ 10.3390/ijerph20166594","author":[{"dropping-particle":"","family":"Moura","given":"Amanda Souza","non-dropping-particle":"","parse-names":false,"suffix":""},{"dropping-particle":"","family":"Gubert","given":"Muriel Bauermann","non-dropping-particle":"","parse-names":false,"suffix":""},{"dropping-particle":"","family":"Venancio","given":"Sonia Isoyama","non-dropping-particle":"","parse-names":false,"suffix":""},{"dropping-particle":"","family":"Buccini","given":"Gabriela","non-dropping-particle":"","parse-names":false,"suffix":""}],"container-title":"International Journal of Environment Research and Public Health","id":"ITEM-1","issue":"6594","issued":{"date-parts":[["2023"]]},"page":"1-3","title":"Correction : Moura et al . Implementation of the Strategy for Breastfeeding and Complementary Feeding in the Federal District in Brazil","type":"article-journal","volume":"20"},"uris":["http://www.mendeley.com/documents/?uuid=545f6fda-6f7a-4843-b9f8-5f4d8e0ca679"]}],"mendeley":{"formattedCitation":"(Moura et al., 2023)","manualFormatting":"Moura et al. (2023)","plainTextFormattedCitation":"(Moura et al., 2023)","previouslyFormattedCitation":"(Moura et al., 2023)"},"properties":{"noteIndex":0},"schema":"https://github.com/citation-style-language/schema/raw/master/csl-citation.json"}</w:instrText>
      </w:r>
      <w:r w:rsidR="007B0FD4">
        <w:rPr>
          <w:color w:val="000000" w:themeColor="text1"/>
        </w:rPr>
        <w:fldChar w:fldCharType="separate"/>
      </w:r>
      <w:r w:rsidR="007B0FD4" w:rsidRPr="007B0FD4">
        <w:rPr>
          <w:noProof/>
          <w:color w:val="000000" w:themeColor="text1"/>
        </w:rPr>
        <w:t xml:space="preserve">Moura et al. </w:t>
      </w:r>
      <w:r w:rsidR="000C5FCE">
        <w:rPr>
          <w:noProof/>
          <w:color w:val="000000" w:themeColor="text1"/>
        </w:rPr>
        <w:t>(</w:t>
      </w:r>
      <w:r w:rsidR="007B0FD4" w:rsidRPr="007B0FD4">
        <w:rPr>
          <w:noProof/>
          <w:color w:val="000000" w:themeColor="text1"/>
        </w:rPr>
        <w:t>2023)</w:t>
      </w:r>
      <w:r w:rsidR="007B0FD4">
        <w:rPr>
          <w:color w:val="000000" w:themeColor="text1"/>
        </w:rPr>
        <w:fldChar w:fldCharType="end"/>
      </w:r>
      <w:r w:rsidR="007B0FD4">
        <w:rPr>
          <w:color w:val="000000" w:themeColor="text1"/>
        </w:rPr>
        <w:t xml:space="preserve"> </w:t>
      </w:r>
      <w:r w:rsidRPr="00097749">
        <w:rPr>
          <w:color w:val="000000" w:themeColor="text1"/>
        </w:rPr>
        <w:t>described how digital innovation improved healthcare performance in Brazil</w:t>
      </w:r>
      <w:r w:rsidR="008F5464">
        <w:rPr>
          <w:color w:val="000000" w:themeColor="text1"/>
        </w:rPr>
        <w:t>.</w:t>
      </w:r>
    </w:p>
    <w:p w14:paraId="2693D37C" w14:textId="4242D475" w:rsidR="00097749" w:rsidRPr="00097749" w:rsidRDefault="00097749" w:rsidP="008A394F">
      <w:pPr>
        <w:pStyle w:val="BodyText"/>
        <w:jc w:val="both"/>
        <w:rPr>
          <w:color w:val="000000" w:themeColor="text1"/>
        </w:rPr>
      </w:pPr>
      <w:r w:rsidRPr="00097749">
        <w:rPr>
          <w:color w:val="000000" w:themeColor="text1"/>
        </w:rPr>
        <w:t>In Indonesia, service innovation in malaria care has included initiatives such as the establishment of Malaria Corners in community health centers, digital SMS/WhatsApp reminders for treatment adherence, and outreach service through home visits. A study by</w:t>
      </w:r>
      <w:r w:rsidR="00697D4B">
        <w:rPr>
          <w:color w:val="000000" w:themeColor="text1"/>
        </w:rPr>
        <w:t xml:space="preserve"> </w:t>
      </w:r>
      <w:r w:rsidR="00697D4B">
        <w:rPr>
          <w:color w:val="000000" w:themeColor="text1"/>
        </w:rPr>
        <w:fldChar w:fldCharType="begin" w:fldLock="1"/>
      </w:r>
      <w:r w:rsidR="008A394F">
        <w:rPr>
          <w:color w:val="000000" w:themeColor="text1"/>
        </w:rPr>
        <w:instrText>ADDIN CSL_CITATION {"citationItems":[{"id":"ITEM-1","itemData":{"DOI":"10.1186/s12936-025-05358-x","ISSN":"1475-2875","abstract":"Papua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Journal","id":"ITEM-1","issue":"1","issued":{"date-parts":[["2025"]]},"page":"177","title":"Enhanced data quality to improve malaria surveillance in Papua, Indonesia","type":"article-journal","volume":"24"},"uris":["http://www.mendeley.com/documents/?uuid=b2e31924-05c2-4d72-b3a5-7dd77885c151"]}],"mendeley":{"formattedCitation":"(Fransisca et al., 2025)","manualFormatting":"Fransisca et al. (2025)","plainTextFormattedCitation":"(Fransisca et al., 2025)","previouslyFormattedCitation":"(Fransisca et al., 2025)"},"properties":{"noteIndex":0},"schema":"https://github.com/citation-style-language/schema/raw/master/csl-citation.json"}</w:instrText>
      </w:r>
      <w:r w:rsidR="00697D4B">
        <w:rPr>
          <w:color w:val="000000" w:themeColor="text1"/>
        </w:rPr>
        <w:fldChar w:fldCharType="separate"/>
      </w:r>
      <w:r w:rsidR="00697D4B" w:rsidRPr="00697D4B">
        <w:rPr>
          <w:noProof/>
          <w:color w:val="000000" w:themeColor="text1"/>
        </w:rPr>
        <w:t xml:space="preserve">Fransisca et al. </w:t>
      </w:r>
      <w:r w:rsidR="00697D4B">
        <w:rPr>
          <w:noProof/>
          <w:color w:val="000000" w:themeColor="text1"/>
        </w:rPr>
        <w:t>(</w:t>
      </w:r>
      <w:r w:rsidR="00697D4B" w:rsidRPr="00697D4B">
        <w:rPr>
          <w:noProof/>
          <w:color w:val="000000" w:themeColor="text1"/>
        </w:rPr>
        <w:t>2025)</w:t>
      </w:r>
      <w:r w:rsidR="00697D4B">
        <w:rPr>
          <w:color w:val="000000" w:themeColor="text1"/>
        </w:rPr>
        <w:fldChar w:fldCharType="end"/>
      </w:r>
      <w:r w:rsidR="00697D4B">
        <w:rPr>
          <w:color w:val="000000" w:themeColor="text1"/>
        </w:rPr>
        <w:t xml:space="preserve"> </w:t>
      </w:r>
      <w:r w:rsidRPr="00097749">
        <w:rPr>
          <w:color w:val="000000" w:themeColor="text1"/>
        </w:rPr>
        <w:t>in Timika showed that supervised primaquine treatment within Malaria Corners not only improved adherence but also increased patient trust in health service. These results suggest that service innovation can serve as a mediating mechanism, translating adherence behaviors into higher levels of satisfaction by improving the overall care experience.</w:t>
      </w:r>
    </w:p>
    <w:p w14:paraId="102514C4" w14:textId="77777777" w:rsidR="00097749" w:rsidRPr="00097749" w:rsidRDefault="00097749" w:rsidP="008A394F">
      <w:pPr>
        <w:pStyle w:val="BodyText"/>
        <w:jc w:val="both"/>
        <w:rPr>
          <w:color w:val="000000" w:themeColor="text1"/>
        </w:rPr>
      </w:pPr>
      <w:r w:rsidRPr="00097749">
        <w:rPr>
          <w:color w:val="000000" w:themeColor="text1"/>
        </w:rPr>
        <w:t>Service innovation studies in the Indonesian context remain fragmented. Although there is evidence of successful local interventions, few studies have systematically evaluated the pathways through which innovation affects patient outcomes, such as satisfaction. This gap underscores the need for a more integrated theoretical approach that connects service innovation with established behavioral models of healthcare use.</w:t>
      </w:r>
    </w:p>
    <w:p w14:paraId="799A5913" w14:textId="77777777" w:rsidR="00097749" w:rsidRPr="00097749" w:rsidRDefault="00097749" w:rsidP="00097749">
      <w:pPr>
        <w:pStyle w:val="BodyText"/>
        <w:rPr>
          <w:b/>
          <w:bCs/>
          <w:color w:val="000000" w:themeColor="text1"/>
        </w:rPr>
      </w:pPr>
      <w:r w:rsidRPr="00097749">
        <w:rPr>
          <w:b/>
          <w:bCs/>
          <w:color w:val="000000" w:themeColor="text1"/>
        </w:rPr>
        <w:t>2.3 Patient Satisfaction as a Healthcare Outcome</w:t>
      </w:r>
    </w:p>
    <w:p w14:paraId="31581EBF" w14:textId="276AF3EB" w:rsidR="00097749" w:rsidRPr="00097749" w:rsidRDefault="00097749" w:rsidP="00AE3B20">
      <w:pPr>
        <w:pStyle w:val="BodyText"/>
        <w:jc w:val="both"/>
        <w:rPr>
          <w:color w:val="000000" w:themeColor="text1"/>
        </w:rPr>
      </w:pPr>
      <w:r w:rsidRPr="00097749">
        <w:rPr>
          <w:color w:val="000000" w:themeColor="text1"/>
        </w:rPr>
        <w:t xml:space="preserve">Patient satisfaction is widely regarded as a central indicator of healthcare quality and performance. It is defined as the extent to which patient expectations are met or exceeded by healthcare service, influencing treatment adherence, trust, and continued utilization </w:t>
      </w:r>
      <w:r w:rsidR="00AE3B20">
        <w:rPr>
          <w:color w:val="000000" w:themeColor="text1"/>
        </w:rPr>
        <w:fldChar w:fldCharType="begin" w:fldLock="1"/>
      </w:r>
      <w:r w:rsidR="00543BC0">
        <w:rPr>
          <w:color w:val="000000" w:themeColor="text1"/>
        </w:rPr>
        <w:instrText>ADDIN CSL_CITATION {"citationItems":[{"id":"ITEM-1","itemData":{"DOI":"10.1108/09526860910964834","ISSN":"0952-6862","abstract":"The aim of this paper is to build a comprehensive conceptual model to understand and measure variables affecting patient satisfaction‐based healthcare quality.A total of 24 articles from international journals were systematically reviewed for factors determining patient satisfaction and healthcare quality.Patient satisfaction is a multi‐dimensional healthcare construct affected by many variables. Healthcare quality affects patient satisfaction, which in turn influences positive patient behaviours such as loyalty. Patient satisfaction and healthcare service quality, though difficult to measure, can be operationalized using a multi‐disciplinary approach that combines patient inputs as well as expert judgement.The paper develops a conceptual model that needs to be confirmed empirically. Also, most research pertains to developed countries. Findings are presented that may not be generalized to developing nations, which may be quite different culturally.The paper has direct implications for health service providers. They are encouraged to regularly monitor healthcare quality and accordingly initiate service delivery improvements to maintain high levels of patient satisfaction.The paper collates and examines recent healthcare quality study findings. It presents a comprehensive, conceptual model encompassing research work and a holistic view of various aspects affecting patient satisfaction and healthcare quality. Although a large amount of healthcare quality research has been done, each studying a particular service, this paper comprehensively brings together various research findings.","author":[{"dropping-particle":"","family":"Naidu","given":"Aditi","non-dropping-particle":"","parse-names":false,"suffix":""}],"container-title":"International Journal of Health Care Quality Assurance","id":"ITEM-1","issue":"4","issued":{"date-parts":[["2009","6","12"]]},"page":"366-381","title":"Factors affecting patient satisfaction and healthcare quality","type":"article-journal","volume":"22"},"uris":["http://www.mendeley.com/documents/?uuid=affb73e5-234f-4a11-94ed-9582f6a08259"]}],"mendeley":{"formattedCitation":"(Naidu, 2009)","plainTextFormattedCitation":"(Naidu, 2009)","previouslyFormattedCitation":"(Naidu, 2009)"},"properties":{"noteIndex":0},"schema":"https://github.com/citation-style-language/schema/raw/master/csl-citation.json"}</w:instrText>
      </w:r>
      <w:r w:rsidR="00AE3B20">
        <w:rPr>
          <w:color w:val="000000" w:themeColor="text1"/>
        </w:rPr>
        <w:fldChar w:fldCharType="separate"/>
      </w:r>
      <w:r w:rsidR="00AE3B20" w:rsidRPr="00AE3B20">
        <w:rPr>
          <w:noProof/>
          <w:color w:val="000000" w:themeColor="text1"/>
        </w:rPr>
        <w:t>(Naidu, 2009)</w:t>
      </w:r>
      <w:r w:rsidR="00AE3B20">
        <w:rPr>
          <w:color w:val="000000" w:themeColor="text1"/>
        </w:rPr>
        <w:fldChar w:fldCharType="end"/>
      </w:r>
      <w:r w:rsidRPr="00097749">
        <w:rPr>
          <w:color w:val="000000" w:themeColor="text1"/>
        </w:rPr>
        <w:t>. In LMICs, where healthcare systems often face challenges such as long waiting times, shortages of providers, and limited infrastructure, patient satisfaction becomes an even more critical benchmark of service performance</w:t>
      </w:r>
      <w:r w:rsidR="00AE3B20">
        <w:rPr>
          <w:color w:val="000000" w:themeColor="text1"/>
        </w:rPr>
        <w:t xml:space="preserve"> </w:t>
      </w:r>
      <w:r w:rsidR="00AE3B20">
        <w:rPr>
          <w:color w:val="000000" w:themeColor="text1"/>
        </w:rPr>
        <w:fldChar w:fldCharType="begin" w:fldLock="1"/>
      </w:r>
      <w:r w:rsidR="00AE3B20">
        <w:rPr>
          <w:color w:val="000000" w:themeColor="text1"/>
        </w:rPr>
        <w:instrText>ADDIN CSL_CITATION {"citationItems":[{"id":"ITEM-1","itemData":{"DOI":"10.1177/23743735221103029","ISSN":"2374-3735","abstract":"Although there are studies on the use of social media and palliative and end-of-life care (PEOLC), there are no studies specifically investigating the content of online public feedback about PEOLC services. This study sought to understand experiences of end-of-life care provided in hospitals in the West of Scotland by exploring the main themes within the content of stories posted on a nationally endorsed nonprofit feedback online platform, Care Opinion, within a 2-year period. We used ?Appreciative Inquiry? as a theoretical framework for this study to determine what works well in end-of-life care, while also identifying areas for further improvement. Of the 1428 stories published on ?Care Opinion? from March 2019 to 2021 regarding hospitals in the West of Scotland, 48 (3.36%) were related to end-of-life care, of which all were included in data analysis. Using the software package NVivo and thematic analysis, we identified 4 key themes. We found that people overwhelmingly posted positive feedback about their experiences with end-of-life care. People reported positively about staff professionalism in providing compassionate and person-centered care to meet their loved ones needs at end of life. Other experiences of care related to challenges facing healthcare services, particularly during the COVID-19 pandemic. Quality appraisal of staff responses highlighted areas for improving feedback. This study can add to the aim of improving staff response to people?s concerns about end-of-life care. This study has provided a novel perspective of patients? experiences of end-of-life care in hospitals in the West of Scotland. Novel insights were the appreciation of quality of care, staff professionalism, effective communication, and meeting patient?s needs at end-of-life particularly by nursing staff.","author":[{"dropping-particle":"","family":"Khonsari","given":" Sahar","non-dropping-particle":"","parse-names":false,"suffix":""},{"dropping-particle":"","family":"O Neill","given":" Claire","non-dropping-particle":"","parse-names":false,"suffix":""},{"dropping-particle":"","family":"Mayland","given":" Catriona R","non-dropping-particle":"","parse-names":false,"suffix":""},{"dropping-particle":"","family":"Gilmour","given":" Fraser","non-dropping-particle":"","parse-names":false,"suffix":""},{"dropping-particle":"","family":"Aitken","given":" Marc","non-dropping-particle":"","parse-names":false,"suffix":""},{"dropping-particle":"","family":"Mckeown","given":" Alistair","non-dropping-particle":"","parse-names":false,"suffix":""},{"dropping-particle":"","family":"Russell","given":" Sian","non-dropping-particle":"","parse-names":false,"suffix":""},{"dropping-particle":"","family":"Mcalees","given":" Angela","non-dropping-particle":"","parse-names":false,"suffix":""},{"dropping-particle":"","family":"Gardner","given":" Morag","non-dropping-particle":"","parse-names":false,"suffix":""},{"dropping-particle":"","family":"Johnston","given":" Bridget","non-dropping-particle":"","parse-names":false,"suffix":""}],"container-title":"Journal of Patient Experience","id":"ITEM-1","issued":{"date-parts":[["2022","1","1"]]},"note":"doi: 10.1177/23743735221103029","page":"23743735221103029","publisher":"SAGE Publications Inc","title":"Views of Care at End of Life: A Secondary Analysis of Online Feedback Using Care Opinion","type":"article-journal","volume":"9"},"uris":["http://www.mendeley.com/documents/?uuid=7a1dbeae-f9b5-4dab-bff5-8d1d5b598413"]}],"mendeley":{"formattedCitation":"(Khonsari et al., 2022)","plainTextFormattedCitation":"(Khonsari et al., 2022)","previouslyFormattedCitation":"(Khonsari et al., 2022)"},"properties":{"noteIndex":0},"schema":"https://github.com/citation-style-language/schema/raw/master/csl-citation.json"}</w:instrText>
      </w:r>
      <w:r w:rsidR="00AE3B20">
        <w:rPr>
          <w:color w:val="000000" w:themeColor="text1"/>
        </w:rPr>
        <w:fldChar w:fldCharType="separate"/>
      </w:r>
      <w:r w:rsidR="00AE3B20" w:rsidRPr="00AE3B20">
        <w:rPr>
          <w:noProof/>
          <w:color w:val="000000" w:themeColor="text1"/>
        </w:rPr>
        <w:t>(Khonsari et al., 2022)</w:t>
      </w:r>
      <w:r w:rsidR="00AE3B20">
        <w:rPr>
          <w:color w:val="000000" w:themeColor="text1"/>
        </w:rPr>
        <w:fldChar w:fldCharType="end"/>
      </w:r>
      <w:r w:rsidR="00AE3B20">
        <w:rPr>
          <w:color w:val="000000" w:themeColor="text1"/>
        </w:rPr>
        <w:t>.</w:t>
      </w:r>
    </w:p>
    <w:p w14:paraId="4CE2A33A" w14:textId="618C8072" w:rsidR="00097749" w:rsidRPr="00097749" w:rsidRDefault="00097749" w:rsidP="008A394F">
      <w:pPr>
        <w:pStyle w:val="BodyText"/>
        <w:jc w:val="both"/>
        <w:rPr>
          <w:color w:val="000000" w:themeColor="text1"/>
        </w:rPr>
      </w:pPr>
      <w:r w:rsidRPr="00097749">
        <w:rPr>
          <w:color w:val="000000" w:themeColor="text1"/>
        </w:rPr>
        <w:t xml:space="preserve">In the context of malaria, satisfaction is shaped not only by clinical recovery but also by patient experiences with service delivery. Long waiting times, lack of empathy from </w:t>
      </w:r>
      <w:r w:rsidRPr="00097749">
        <w:rPr>
          <w:color w:val="000000" w:themeColor="text1"/>
        </w:rPr>
        <w:lastRenderedPageBreak/>
        <w:t xml:space="preserve">providers, and poor communication often reduce satisfaction even when treatment is clinically effective. Conversely, innovative service that improve responsiveness, reliability, and provider–patient relationships can significantly enhance satisfaction </w:t>
      </w:r>
      <w:r w:rsidR="008A394F">
        <w:rPr>
          <w:color w:val="000000" w:themeColor="text1"/>
        </w:rPr>
        <w:fldChar w:fldCharType="begin" w:fldLock="1"/>
      </w:r>
      <w:r w:rsidR="00CF0934">
        <w:rPr>
          <w:color w:val="000000" w:themeColor="text1"/>
        </w:rPr>
        <w:instrText>ADDIN CSL_CITATION {"citationItems":[{"id":"ITEM-1","itemData":{"DOI":"https://doi.org/10.35829/magisma.v10i2.230","author":[{"dropping-particle":"","family":"Sucahyo","given":"Imam","non-dropping-particle":"","parse-names":false,"suffix":""},{"dropping-particle":"","family":"Solovida","given":"Grace Tiana","non-dropping-particle":"","parse-names":false,"suffix":""}],"container-title":"MAGISMA:Jurnal Ilmiah Ekonomi dan Bisnis","id":"ITEM-1","issue":"2","issued":{"date-parts":[["2022"]]},"page":"215-231","title":"Analisis pengaruh servicescape dan inovasi layanan terhadap kepuasan masyarakat dengan kepercayaan sebagai variabel mediasi (Studi tentang pelayanan pendaftaran Haji di Kota Semarang)","type":"article-journal","volume":"X"},"uris":["http://www.mendeley.com/documents/?uuid=193fc4e6-91b6-473e-ab4e-d8bc45445d35"]}],"mendeley":{"formattedCitation":"(Sucahyo &amp; Solovida, 2022)","plainTextFormattedCitation":"(Sucahyo &amp; Solovida, 2022)","previouslyFormattedCitation":"(Sucahyo &amp; Solovida, 2022)"},"properties":{"noteIndex":0},"schema":"https://github.com/citation-style-language/schema/raw/master/csl-citation.json"}</w:instrText>
      </w:r>
      <w:r w:rsidR="008A394F">
        <w:rPr>
          <w:color w:val="000000" w:themeColor="text1"/>
        </w:rPr>
        <w:fldChar w:fldCharType="separate"/>
      </w:r>
      <w:r w:rsidR="008A394F" w:rsidRPr="008A394F">
        <w:rPr>
          <w:noProof/>
          <w:color w:val="000000" w:themeColor="text1"/>
        </w:rPr>
        <w:t>(Sucahyo &amp; Solovida, 2022)</w:t>
      </w:r>
      <w:r w:rsidR="008A394F">
        <w:rPr>
          <w:color w:val="000000" w:themeColor="text1"/>
        </w:rPr>
        <w:fldChar w:fldCharType="end"/>
      </w:r>
      <w:r w:rsidRPr="00097749">
        <w:rPr>
          <w:color w:val="000000" w:themeColor="text1"/>
        </w:rPr>
        <w:t>. Relatively few studies have explicitly examined satisfaction as an outcome in malaria programs, leaving a gap in understanding how service delivery innovation contribute to patient-centered malaria care.</w:t>
      </w:r>
    </w:p>
    <w:p w14:paraId="2D9CD458" w14:textId="77777777" w:rsidR="00097749" w:rsidRPr="00097749" w:rsidRDefault="00097749" w:rsidP="00097749">
      <w:pPr>
        <w:pStyle w:val="BodyText"/>
        <w:rPr>
          <w:b/>
          <w:bCs/>
          <w:color w:val="000000" w:themeColor="text1"/>
        </w:rPr>
      </w:pPr>
      <w:r w:rsidRPr="00097749">
        <w:rPr>
          <w:b/>
          <w:bCs/>
          <w:color w:val="000000" w:themeColor="text1"/>
        </w:rPr>
        <w:t>2.4 Andersen Behavioral Model of Health Service Use</w:t>
      </w:r>
    </w:p>
    <w:p w14:paraId="748AF980" w14:textId="745BF6F7" w:rsidR="00097749" w:rsidRPr="00097749" w:rsidRDefault="00097749" w:rsidP="00CF0934">
      <w:pPr>
        <w:pStyle w:val="BodyText"/>
        <w:jc w:val="both"/>
        <w:rPr>
          <w:color w:val="000000" w:themeColor="text1"/>
        </w:rPr>
      </w:pPr>
      <w:r w:rsidRPr="00097749">
        <w:rPr>
          <w:color w:val="000000" w:themeColor="text1"/>
        </w:rPr>
        <w:t xml:space="preserve">Andersen Behavioral Model has long served as a theoretical framework for analyzing healthcare utilization. It categorizes determinants into predisposing (demographics, beliefs, attitudes), enabling (resources, access, availability), and reinforcing factors (social support, provider engagement). The model has been applied across diverse healthcare contexts, including chronic disease management, maternal health, and infectious disease treatment </w:t>
      </w:r>
      <w:r w:rsidR="00CF0934">
        <w:rPr>
          <w:color w:val="000000" w:themeColor="text1"/>
        </w:rPr>
        <w:fldChar w:fldCharType="begin" w:fldLock="1"/>
      </w:r>
      <w:r w:rsidR="00C33E31">
        <w:rPr>
          <w:color w:val="000000" w:themeColor="text1"/>
        </w:rPr>
        <w:instrText>ADDIN CSL_CITATION {"citationItems":[{"id":"ITEM-1","itemData":{"DOI":"https://doi.org/10.3205/psm000089","author":[{"dropping-particle":"","family":"Babitsch","given":"Birgit","non-dropping-particle":"","parse-names":false,"suffix":""},{"dropping-particle":"","family":"Gohl","given":"Daniela","non-dropping-particle":"","parse-names":false,"suffix":""},{"dropping-particle":"von","family":"Lengerke","given":"Thomas","non-dropping-particle":"","parse-names":false,"suffix":""}],"container-title":"GMS Psycho-Social-Medicine 2012,","id":"ITEM-1","issued":{"date-parts":[["2012"]]},"page":"1-15","title":"Re-revisiting Andersen’s Behavioral Model of health services use: A systematic review of studies from","type":"article-journal","volume":"9"},"uris":["http://www.mendeley.com/documents/?uuid=c33133ab-1daa-4052-9b1e-e3abe4394795"]}],"mendeley":{"formattedCitation":"(Babitsch et al., 2012)","plainTextFormattedCitation":"(Babitsch et al., 2012)","previouslyFormattedCitation":"(Babitsch et al., 2012)"},"properties":{"noteIndex":0},"schema":"https://github.com/citation-style-language/schema/raw/master/csl-citation.json"}</w:instrText>
      </w:r>
      <w:r w:rsidR="00CF0934">
        <w:rPr>
          <w:color w:val="000000" w:themeColor="text1"/>
        </w:rPr>
        <w:fldChar w:fldCharType="separate"/>
      </w:r>
      <w:r w:rsidR="00CF0934" w:rsidRPr="00CF0934">
        <w:rPr>
          <w:noProof/>
          <w:color w:val="000000" w:themeColor="text1"/>
        </w:rPr>
        <w:t>(Babitsch et al., 2012)</w:t>
      </w:r>
      <w:r w:rsidR="00CF0934">
        <w:rPr>
          <w:color w:val="000000" w:themeColor="text1"/>
        </w:rPr>
        <w:fldChar w:fldCharType="end"/>
      </w:r>
      <w:r w:rsidR="00CF0934">
        <w:rPr>
          <w:color w:val="000000" w:themeColor="text1"/>
        </w:rPr>
        <w:t>.</w:t>
      </w:r>
    </w:p>
    <w:p w14:paraId="129292EC" w14:textId="0AC0250B" w:rsidR="00097749" w:rsidRPr="00097749" w:rsidRDefault="00097749" w:rsidP="00CF0934">
      <w:pPr>
        <w:pStyle w:val="BodyText"/>
        <w:jc w:val="both"/>
        <w:rPr>
          <w:color w:val="000000" w:themeColor="text1"/>
        </w:rPr>
      </w:pPr>
      <w:r w:rsidRPr="00097749">
        <w:rPr>
          <w:color w:val="000000" w:themeColor="text1"/>
        </w:rPr>
        <w:t xml:space="preserve">In Indonesia, the model has been used to examine healthcare-seeking behaviors, but the integration with concepts of service innovation remains limited. Although </w:t>
      </w:r>
      <w:r w:rsidR="00CF0934">
        <w:rPr>
          <w:color w:val="000000" w:themeColor="text1"/>
        </w:rPr>
        <w:t xml:space="preserve">the </w:t>
      </w:r>
      <w:r w:rsidRPr="00097749">
        <w:rPr>
          <w:color w:val="000000" w:themeColor="text1"/>
        </w:rPr>
        <w:t>Andersen model emphasizes individual and systemic determinants of healthcare utilization, it does not explicitly account for the dynamic role of innovation in shaping patient experiences and outcomes. This omission presents an opportunity for theoretical advancement.</w:t>
      </w:r>
    </w:p>
    <w:p w14:paraId="1C1B1F1C" w14:textId="6AA89B98" w:rsidR="00097749" w:rsidRPr="00097749" w:rsidRDefault="00097749" w:rsidP="00CF0934">
      <w:pPr>
        <w:pStyle w:val="BodyText"/>
        <w:jc w:val="both"/>
        <w:rPr>
          <w:color w:val="000000" w:themeColor="text1"/>
        </w:rPr>
      </w:pPr>
      <w:r w:rsidRPr="00097749">
        <w:rPr>
          <w:color w:val="000000" w:themeColor="text1"/>
        </w:rPr>
        <w:t xml:space="preserve">By positioning service innovation as a mediating construct within </w:t>
      </w:r>
      <w:r w:rsidR="00CF0934">
        <w:rPr>
          <w:color w:val="000000" w:themeColor="text1"/>
        </w:rPr>
        <w:t xml:space="preserve">the </w:t>
      </w:r>
      <w:r w:rsidRPr="00097749">
        <w:rPr>
          <w:color w:val="000000" w:themeColor="text1"/>
        </w:rPr>
        <w:t>Andersen framework, studies can better capture the complex interactions between adherence behaviors and satisfaction outcomes. For example, predisposing and reinforcing factors may influence adherence, which in turn is amplified by service innovation such as home visits or digital reminders, ultimately leading to higher satisfaction. Integrating these elements allows for a more comprehensive understanding of how healthcare systems in malaria-endemic regions can foster patient-centered outcomes.</w:t>
      </w:r>
    </w:p>
    <w:p w14:paraId="57853190" w14:textId="77777777" w:rsidR="00097749" w:rsidRPr="00097749" w:rsidRDefault="00097749" w:rsidP="00097749">
      <w:pPr>
        <w:pStyle w:val="BodyText"/>
        <w:rPr>
          <w:b/>
          <w:bCs/>
          <w:color w:val="000000" w:themeColor="text1"/>
        </w:rPr>
      </w:pPr>
      <w:r w:rsidRPr="00097749">
        <w:rPr>
          <w:b/>
          <w:bCs/>
          <w:color w:val="000000" w:themeColor="text1"/>
        </w:rPr>
        <w:t>2.5 Gap and Contribution of the Study</w:t>
      </w:r>
    </w:p>
    <w:p w14:paraId="2BCB4A97" w14:textId="7E03693B" w:rsidR="00097749" w:rsidRPr="00097749" w:rsidRDefault="00097749" w:rsidP="0093716A">
      <w:pPr>
        <w:pStyle w:val="BodyText"/>
        <w:jc w:val="both"/>
        <w:rPr>
          <w:color w:val="000000" w:themeColor="text1"/>
        </w:rPr>
      </w:pPr>
      <w:r w:rsidRPr="00097749">
        <w:rPr>
          <w:color w:val="000000" w:themeColor="text1"/>
        </w:rPr>
        <w:t xml:space="preserve">Although previous studies have examined treatment adherence, service innovation, and patient satisfaction, the majority were conducted in isolation rather than within an integrated framework. The literature provides ample evidence that adherence plays a crucial role in improving health </w:t>
      </w:r>
      <w:r w:rsidRPr="00A82E98">
        <w:rPr>
          <w:color w:val="000000" w:themeColor="text1"/>
        </w:rPr>
        <w:t xml:space="preserve">outcomes </w:t>
      </w:r>
      <w:r w:rsidR="0093716A" w:rsidRPr="00A82E98">
        <w:rPr>
          <w:color w:val="000000" w:themeColor="text1"/>
        </w:rPr>
        <w:fldChar w:fldCharType="begin" w:fldLock="1"/>
      </w:r>
      <w:r w:rsidR="0093716A" w:rsidRPr="00A82E98">
        <w:rPr>
          <w:color w:val="000000" w:themeColor="text1"/>
        </w:rPr>
        <w:instrText>ADDIN CSL_CITATION {"citationItems":[{"id":"ITEM-1","itemData":{"DOI":"10.1016/S1473-3099(21)00358-3","ISSN":"1473-3099","author":[{"dropping-particle":"","family":"Poespoprodjo","given":"Jeanne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Diseases","id":"ITEM-1","issue":"3","issued":{"date-parts":[["2022","3","1"]]},"note":"doi: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trial","type":"article-journal","volume":"22"},"uris":["http://www.mendeley.com/documents/?uuid=98076772-06c2-4046-950a-6bba70420feb"]}],"mendeley":{"formattedCitation":"(Poespoprodjo et al., 2022)","plainTextFormattedCitation":"(Poespoprodjo et al., 2022)","previouslyFormattedCitation":"(Poespoprodjo et al., 2022)"},"properties":{"noteIndex":0},"schema":"https://github.com/citation-style-language/schema/raw/master/csl-citation.json"}</w:instrText>
      </w:r>
      <w:r w:rsidR="0093716A" w:rsidRPr="00A82E98">
        <w:rPr>
          <w:color w:val="000000" w:themeColor="text1"/>
        </w:rPr>
        <w:fldChar w:fldCharType="separate"/>
      </w:r>
      <w:r w:rsidR="0093716A" w:rsidRPr="00A82E98">
        <w:rPr>
          <w:noProof/>
          <w:color w:val="000000" w:themeColor="text1"/>
        </w:rPr>
        <w:t>(Poespoprodjo et al., 2022)</w:t>
      </w:r>
      <w:r w:rsidR="0093716A" w:rsidRPr="00A82E98">
        <w:rPr>
          <w:color w:val="000000" w:themeColor="text1"/>
        </w:rPr>
        <w:fldChar w:fldCharType="end"/>
      </w:r>
      <w:r w:rsidR="00D666F1" w:rsidRPr="00A82E98">
        <w:rPr>
          <w:color w:val="000000" w:themeColor="text1"/>
        </w:rPr>
        <w:t xml:space="preserve"> and</w:t>
      </w:r>
      <w:r w:rsidRPr="00A82E98">
        <w:rPr>
          <w:color w:val="000000" w:themeColor="text1"/>
        </w:rPr>
        <w:t xml:space="preserve"> service innovation enhances patient experiences and trust in health systems</w:t>
      </w:r>
      <w:r w:rsidR="0093716A" w:rsidRPr="00A82E98">
        <w:rPr>
          <w:color w:val="000000" w:themeColor="text1"/>
        </w:rPr>
        <w:t xml:space="preserve"> </w:t>
      </w:r>
      <w:r w:rsidR="0093716A" w:rsidRPr="00A82E98">
        <w:rPr>
          <w:color w:val="000000" w:themeColor="text1"/>
        </w:rPr>
        <w:fldChar w:fldCharType="begin" w:fldLock="1"/>
      </w:r>
      <w:r w:rsidR="0093716A" w:rsidRPr="00A82E98">
        <w:rPr>
          <w:color w:val="000000" w:themeColor="text1"/>
        </w:rPr>
        <w:instrText>ADDIN CSL_CITATION {"citationItems":[{"id":"ITEM-1","itemData":{"DOI":"10.1186/s12936-025-05358-x","ISSN":"1475-2875","abstract":"Papua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Journal","id":"ITEM-1","issue":"1","issued":{"date-parts":[["2025"]]},"page":"177","title":"Enhanced data quality to improve malaria surveillance in Papua, Indonesia","type":"article-journal","volume":"24"},"uris":["http://www.mendeley.com/documents/?uuid=b2e31924-05c2-4d72-b3a5-7dd77885c151"]},{"id":"ITEM-2","itemData":{"DOI":"10.1080/10978526.2020.1802286","ISSN":"1097-8526","author":[{"dropping-particle":"","family":"Guarcello","given":"Claudio","non-dropping-particle":"","parse-names":false,"suffix":""},{"dropping-particle":"","family":"Vargas","given":"Eduardo Raupp","non-dropping-particle":"de","parse-names":false,"suffix":""}],"container-title":"Latin American Business Review","id":"ITEM-2","issue":"4","issued":{"date-parts":[["2020","10","1"]]},"note":"doi: 10.1080/10978526.2020.1802286","page":"353-369","publisher":"Routledge","title":"Service Innovation in Healthcare: A Systematic Literature Review","type":"article-journal","volume":"21"},"uris":["http://www.mendeley.com/documents/?uuid=4e7582ba-4c69-4b5b-a74c-2e02d8b7b436"]}],"mendeley":{"formattedCitation":"(Fransisca et al., 2025; Guarcello &amp; de Vargas, 2020)","plainTextFormattedCitation":"(Fransisca et al., 2025; Guarcello &amp; de Vargas, 2020)","previouslyFormattedCitation":"(Fransisca et al., 2025; Guarcello &amp; de Vargas, 2020)"},"properties":{"noteIndex":0},"schema":"https://github.com/citation-style-language/schema/raw/master/csl-citation.json"}</w:instrText>
      </w:r>
      <w:r w:rsidR="0093716A" w:rsidRPr="00A82E98">
        <w:rPr>
          <w:color w:val="000000" w:themeColor="text1"/>
        </w:rPr>
        <w:fldChar w:fldCharType="separate"/>
      </w:r>
      <w:r w:rsidR="0093716A" w:rsidRPr="00A82E98">
        <w:rPr>
          <w:noProof/>
          <w:color w:val="000000" w:themeColor="text1"/>
        </w:rPr>
        <w:t>(Fransisca et al., 2025; Guarcello &amp; de Vargas, 2020)</w:t>
      </w:r>
      <w:r w:rsidR="0093716A" w:rsidRPr="00A82E98">
        <w:rPr>
          <w:color w:val="000000" w:themeColor="text1"/>
        </w:rPr>
        <w:fldChar w:fldCharType="end"/>
      </w:r>
      <w:r w:rsidR="00D666F1" w:rsidRPr="00A82E98">
        <w:rPr>
          <w:color w:val="000000" w:themeColor="text1"/>
        </w:rPr>
        <w:t xml:space="preserve">. </w:t>
      </w:r>
      <w:r w:rsidRPr="00A82E98">
        <w:rPr>
          <w:color w:val="000000" w:themeColor="text1"/>
        </w:rPr>
        <w:t>However, the relationship</w:t>
      </w:r>
      <w:r w:rsidRPr="00097749">
        <w:rPr>
          <w:color w:val="000000" w:themeColor="text1"/>
        </w:rPr>
        <w:t xml:space="preserve"> between these three dimensions has rarely been studied together, specifically in the context of malaria-endemic regions. </w:t>
      </w:r>
      <w:r w:rsidR="00A82E98">
        <w:rPr>
          <w:color w:val="000000" w:themeColor="text1"/>
        </w:rPr>
        <w:t xml:space="preserve">The </w:t>
      </w:r>
      <w:r w:rsidRPr="00097749">
        <w:rPr>
          <w:color w:val="000000" w:themeColor="text1"/>
        </w:rPr>
        <w:t>Andersen Behavioral Model has long been used to explain patterns of healthcare utilization by focusing on predisposing, enabling, and reinforcing factors</w:t>
      </w:r>
      <w:r w:rsidR="00A82E98">
        <w:rPr>
          <w:color w:val="000000" w:themeColor="text1"/>
        </w:rPr>
        <w:t>.</w:t>
      </w:r>
      <w:r w:rsidRPr="00097749">
        <w:rPr>
          <w:color w:val="000000" w:themeColor="text1"/>
        </w:rPr>
        <w:t xml:space="preserve"> </w:t>
      </w:r>
      <w:r w:rsidR="00A82E98">
        <w:rPr>
          <w:color w:val="000000" w:themeColor="text1"/>
        </w:rPr>
        <w:t>Still,</w:t>
      </w:r>
      <w:r w:rsidRPr="00097749">
        <w:rPr>
          <w:color w:val="000000" w:themeColor="text1"/>
        </w:rPr>
        <w:t xml:space="preserve"> the model does not explicitly incorporate the role of service innovation as a mediating mechanism that could transform adherence behaviors into positive patient experiences. This omission represents a theoretical gap that limits current understanding of how healthcare systems can adapt to contemporary challenges.</w:t>
      </w:r>
    </w:p>
    <w:p w14:paraId="30F93E33" w14:textId="77777777" w:rsidR="00097749" w:rsidRPr="00097749" w:rsidRDefault="00097749" w:rsidP="00A82E98">
      <w:pPr>
        <w:pStyle w:val="BodyText"/>
        <w:jc w:val="both"/>
        <w:rPr>
          <w:color w:val="000000" w:themeColor="text1"/>
        </w:rPr>
      </w:pPr>
      <w:r w:rsidRPr="00097749">
        <w:rPr>
          <w:color w:val="000000" w:themeColor="text1"/>
        </w:rPr>
        <w:t xml:space="preserve">Empirical studies exploring the relationships in low- and middle-income countries remain scarce, and there is even less evidence from malaria-endemic settings such as Papua, Indonesia. Most service innovation studies have been conducted in high-income contexts or focused on non-communicable diseases, leaving a knowledge gap regarding communicable diseases that require strict adherence, such as malaria. Papua has consistently recorded the highest malaria incidence in Indonesia, with </w:t>
      </w:r>
      <w:proofErr w:type="spellStart"/>
      <w:r w:rsidRPr="00097749">
        <w:rPr>
          <w:color w:val="000000" w:themeColor="text1"/>
        </w:rPr>
        <w:t>Mimika</w:t>
      </w:r>
      <w:proofErr w:type="spellEnd"/>
      <w:r w:rsidRPr="00097749">
        <w:rPr>
          <w:color w:val="000000" w:themeColor="text1"/>
        </w:rPr>
        <w:t xml:space="preserve"> District as one of the most heavily affected areas. This situation provides a compelling case to investigate how adherence and service innovation jointly shape patient satisfaction.</w:t>
      </w:r>
    </w:p>
    <w:p w14:paraId="64D3FEF8" w14:textId="27B5F8DD" w:rsidR="00097749" w:rsidRPr="00097749" w:rsidRDefault="00097749" w:rsidP="00A82E98">
      <w:pPr>
        <w:pStyle w:val="BodyText"/>
        <w:jc w:val="both"/>
        <w:rPr>
          <w:color w:val="000000" w:themeColor="text1"/>
        </w:rPr>
      </w:pPr>
      <w:r w:rsidRPr="00097749">
        <w:rPr>
          <w:color w:val="000000" w:themeColor="text1"/>
        </w:rPr>
        <w:t xml:space="preserve">Based on the discussion above, this study aims to bridge existing gaps by extending </w:t>
      </w:r>
      <w:r w:rsidR="00A82E98">
        <w:rPr>
          <w:color w:val="000000" w:themeColor="text1"/>
        </w:rPr>
        <w:t xml:space="preserve">the </w:t>
      </w:r>
      <w:r w:rsidRPr="00097749">
        <w:rPr>
          <w:color w:val="000000" w:themeColor="text1"/>
        </w:rPr>
        <w:t xml:space="preserve">Andersen Behavioral Model with the inclusion of service innovation as a mediating construct, </w:t>
      </w:r>
      <w:r w:rsidRPr="00097749">
        <w:rPr>
          <w:color w:val="000000" w:themeColor="text1"/>
        </w:rPr>
        <w:lastRenderedPageBreak/>
        <w:t>providing both theoretical advancement and practical relevance. From a theoretical perspective, it enriches the model by capturing the dynamic interactions between adherence determinants and patient-centered outcomes. Meanwhile, from a practical standpoint, this study offers policymakers and healthcare managers evidence-based insights on how innovative service delivery can address persistent adherence challenges and improve satisfaction among malaria patient</w:t>
      </w:r>
      <w:r w:rsidR="00A82E98">
        <w:rPr>
          <w:color w:val="000000" w:themeColor="text1"/>
        </w:rPr>
        <w:t>s</w:t>
      </w:r>
      <w:r w:rsidRPr="00097749">
        <w:rPr>
          <w:color w:val="000000" w:themeColor="text1"/>
        </w:rPr>
        <w:t xml:space="preserve"> in resource-limited environments. Therefore, the results will not only contribute to the scholarly discourse on health service use but also support Indonesia</w:t>
      </w:r>
      <w:r w:rsidR="00A82E98">
        <w:rPr>
          <w:color w:val="000000" w:themeColor="text1"/>
        </w:rPr>
        <w:t>’s</w:t>
      </w:r>
      <w:r w:rsidRPr="00097749">
        <w:rPr>
          <w:color w:val="000000" w:themeColor="text1"/>
        </w:rPr>
        <w:t xml:space="preserve"> national strategy for malaria elimination and broader global health efforts in endemic regions.</w:t>
      </w:r>
    </w:p>
    <w:p w14:paraId="33E96522" w14:textId="77777777" w:rsidR="00097749" w:rsidRPr="00097749" w:rsidRDefault="00097749" w:rsidP="00097749">
      <w:pPr>
        <w:pStyle w:val="BodyText"/>
        <w:rPr>
          <w:b/>
          <w:bCs/>
          <w:color w:val="000000" w:themeColor="text1"/>
        </w:rPr>
      </w:pPr>
      <w:r w:rsidRPr="00097749">
        <w:rPr>
          <w:b/>
          <w:bCs/>
          <w:color w:val="000000" w:themeColor="text1"/>
        </w:rPr>
        <w:t>2.6 Conceptual Framework</w:t>
      </w:r>
    </w:p>
    <w:p w14:paraId="1BD9988E" w14:textId="07933C0A" w:rsidR="00097749" w:rsidRPr="00097749" w:rsidRDefault="00097749" w:rsidP="00C33E31">
      <w:pPr>
        <w:pStyle w:val="BodyText"/>
        <w:jc w:val="both"/>
        <w:rPr>
          <w:color w:val="000000" w:themeColor="text1"/>
        </w:rPr>
      </w:pPr>
      <w:r w:rsidRPr="00097749">
        <w:rPr>
          <w:color w:val="000000" w:themeColor="text1"/>
        </w:rPr>
        <w:t xml:space="preserve">The conceptual framework of this study integrates Andersen Behavioral Model of Health Service Use with the construct of service innovation. Traditionally, the model explains healthcare use through three key determinants, namely predisposing, enabling, and reinforcing factors. Predisposing factors include knowledge, beliefs, and attitudes that shape an individual readiness to engage in healthcare service. Enabling factors represent the resources and conditions that facilitate or hinder access to service, such as infrastructure, waiting times, affordability, or availability of healthcare staff. Reinforcing factors consist of ongoing support from family members, healthcare providers, and social networks that sustain treatment adherence and health-seeking behavior </w:t>
      </w:r>
      <w:r w:rsidR="00C33E31">
        <w:rPr>
          <w:color w:val="000000" w:themeColor="text1"/>
        </w:rPr>
        <w:fldChar w:fldCharType="begin" w:fldLock="1"/>
      </w:r>
      <w:r w:rsidR="00FC0935">
        <w:rPr>
          <w:color w:val="000000" w:themeColor="text1"/>
        </w:rPr>
        <w:instrText>ADDIN CSL_CITATION {"citationItems":[{"id":"ITEM-1","itemData":{"DOI":"https://doi.org/10.3205/psm000089","author":[{"dropping-particle":"","family":"Babitsch","given":"Birgit","non-dropping-particle":"","parse-names":false,"suffix":""},{"dropping-particle":"","family":"Gohl","given":"Daniela","non-dropping-particle":"","parse-names":false,"suffix":""},{"dropping-particle":"von","family":"Lengerke","given":"Thomas","non-dropping-particle":"","parse-names":false,"suffix":""}],"container-title":"GMS Psycho-Social-Medicine 2012,","id":"ITEM-1","issued":{"date-parts":[["2012"]]},"page":"1-15","title":"Re-revisiting Andersen’s Behavioral Model of health services use: A systematic review of studies from","type":"article-journal","volume":"9"},"uris":["http://www.mendeley.com/documents/?uuid=c33133ab-1daa-4052-9b1e-e3abe4394795"]},{"id":"ITEM-2","itemData":{"DOI":"10.2307/2137284","ISSN":"00221465, 21506000","abstract":"[The Behavioral Model of Health Services Use was initially developed over 25 years ago. In the interim it has been subject to considerable application, reprobation, and alteration. I review its development and assess its continued relevance.]","author":[{"dropping-particle":"","family":"Andersen","given":"Ronald M","non-dropping-particle":"","parse-names":false,"suffix":""}],"container-title":"Journal of Health and Social Behavior","id":"ITEM-2","issue":"1","issued":{"date-parts":[["1995","10","14"]]},"page":"1-10","publisher":"[American Sociological Association, Sage Publications, Inc.]","title":"Revisiting the behavioral model and access to medical care: Does it matter?","type":"article-journal","volume":"36"},"uris":["http://www.mendeley.com/documents/?uuid=96c47c62-0f5f-4c17-a475-bb713b1dc26f"]}],"mendeley":{"formattedCitation":"(Andersen, 1995; Babitsch et al., 2012)","plainTextFormattedCitation":"(Andersen, 1995; Babitsch et al., 2012)","previouslyFormattedCitation":"(Andersen, 1995; Babitsch et al., 2012)"},"properties":{"noteIndex":0},"schema":"https://github.com/citation-style-language/schema/raw/master/csl-citation.json"}</w:instrText>
      </w:r>
      <w:r w:rsidR="00C33E31">
        <w:rPr>
          <w:color w:val="000000" w:themeColor="text1"/>
        </w:rPr>
        <w:fldChar w:fldCharType="separate"/>
      </w:r>
      <w:r w:rsidR="00C33E31" w:rsidRPr="00C33E31">
        <w:rPr>
          <w:noProof/>
          <w:color w:val="000000" w:themeColor="text1"/>
        </w:rPr>
        <w:t>(Andersen, 1995; Babitsch et al., 2012)</w:t>
      </w:r>
      <w:r w:rsidR="00C33E31">
        <w:rPr>
          <w:color w:val="000000" w:themeColor="text1"/>
        </w:rPr>
        <w:fldChar w:fldCharType="end"/>
      </w:r>
      <w:r w:rsidR="00C33E31">
        <w:rPr>
          <w:color w:val="000000" w:themeColor="text1"/>
        </w:rPr>
        <w:t>.</w:t>
      </w:r>
    </w:p>
    <w:p w14:paraId="05BE32D7" w14:textId="5777C948" w:rsidR="00097749" w:rsidRPr="00097749" w:rsidRDefault="00097749" w:rsidP="00FC0935">
      <w:pPr>
        <w:pStyle w:val="BodyText"/>
        <w:jc w:val="both"/>
        <w:rPr>
          <w:color w:val="000000" w:themeColor="text1"/>
        </w:rPr>
      </w:pPr>
      <w:r w:rsidRPr="00097749">
        <w:rPr>
          <w:color w:val="000000" w:themeColor="text1"/>
        </w:rPr>
        <w:t xml:space="preserve">In the context of malaria care in Papua, these three categories collectively influence treatment adherence, which is essential to prevent relapse and ensure long-term effectiveness of malaria elimination programs </w:t>
      </w:r>
      <w:r w:rsidR="00FC0935">
        <w:rPr>
          <w:color w:val="000000" w:themeColor="text1"/>
        </w:rPr>
        <w:fldChar w:fldCharType="begin" w:fldLock="1"/>
      </w:r>
      <w:r w:rsidR="00E447E9">
        <w:rPr>
          <w:color w:val="000000" w:themeColor="text1"/>
        </w:rPr>
        <w:instrText>ADDIN CSL_CITATION {"citationItems":[{"id":"ITEM-1","itemData":{"DOI":"10.1186/s12936-025-05358-x","ISSN":"1475-2875","abstract":"Papua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Journal","id":"ITEM-1","issue":"1","issued":{"date-parts":[["2025"]]},"page":"177","title":"Enhanced data quality to improve malaria surveillance in Papua, Indonesia","type":"article-journal","volume":"24"},"uris":["http://www.mendeley.com/documents/?uuid=b2e31924-05c2-4d72-b3a5-7dd77885c151"]},{"id":"ITEM-2","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Diseases","id":"ITEM-2","issue":"3","issued":{"date-parts":[["2022","3","1"]]},"note":"doi: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trial","type":"article-journal","volume":"22"},"uris":["http://www.mendeley.com/documents/?uuid=98076772-06c2-4046-950a-6bba70420feb"]}],"mendeley":{"formattedCitation":"(Fransisca et al., 2025; Poespoprodjo et al., 2022)","plainTextFormattedCitation":"(Fransisca et al., 2025; Poespoprodjo et al., 2022)","previouslyFormattedCitation":"(Fransisca et al., 2025; Poespoprodjo et al., 2022)"},"properties":{"noteIndex":0},"schema":"https://github.com/citation-style-language/schema/raw/master/csl-citation.json"}</w:instrText>
      </w:r>
      <w:r w:rsidR="00FC0935">
        <w:rPr>
          <w:color w:val="000000" w:themeColor="text1"/>
        </w:rPr>
        <w:fldChar w:fldCharType="separate"/>
      </w:r>
      <w:r w:rsidR="00FC0935" w:rsidRPr="00FC0935">
        <w:rPr>
          <w:noProof/>
          <w:color w:val="000000" w:themeColor="text1"/>
        </w:rPr>
        <w:t>(Fransisca et al., 2025; Poespoprodjo et al., 2022)</w:t>
      </w:r>
      <w:r w:rsidR="00FC0935">
        <w:rPr>
          <w:color w:val="000000" w:themeColor="text1"/>
        </w:rPr>
        <w:fldChar w:fldCharType="end"/>
      </w:r>
      <w:r w:rsidR="00FC0935">
        <w:rPr>
          <w:color w:val="000000" w:themeColor="text1"/>
        </w:rPr>
        <w:t xml:space="preserve">. </w:t>
      </w:r>
      <w:r w:rsidRPr="00097749">
        <w:rPr>
          <w:color w:val="000000" w:themeColor="text1"/>
        </w:rPr>
        <w:t>However, adherence behaviors alone may not directly translate into patient satisfaction unless mediated by innovative approaches in service delivery. Service innovation is introduced in this study as a mediating construct, capturing new or adapted processes, including malaria corners, digital adherence reminders, mobile health interventions, and home visits that improve efficiency, responsiveness, and patient-centeredne</w:t>
      </w:r>
      <w:r w:rsidRPr="00FC0935">
        <w:rPr>
          <w:color w:val="000000" w:themeColor="text1"/>
        </w:rPr>
        <w:t xml:space="preserve">ss </w:t>
      </w:r>
      <w:r w:rsidR="0093716A" w:rsidRPr="00FC0935">
        <w:rPr>
          <w:color w:val="000000" w:themeColor="text1"/>
        </w:rPr>
        <w:fldChar w:fldCharType="begin" w:fldLock="1"/>
      </w:r>
      <w:r w:rsidR="00CE060A">
        <w:rPr>
          <w:color w:val="000000" w:themeColor="text1"/>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Review","type":"article-journal","volume":"21"},"uris":["http://www.mendeley.com/documents/?uuid=4e7582ba-4c69-4b5b-a74c-2e02d8b7b436"]},{"id":"ITEM-2","itemData":{"DOI":"10.1177/0972063421994987","ISSN":"0972-0634","abstract":"COVID-19 once again has shown the world the importance of an urgent need for revitalising the health system based on a strong primary healthcare foundation. It is clear that without a community-based grassroots level care delivery system, Test, Trace and Isolation may not be an effective operational possibility. Politics of health with consequent austerity programme and dependence on secondary hospital care?based system has proved to be ineffective and costly in meeting the changing demands for healthcare of the population. Demographic and epidemiological transition with the increasing burden of chronic care; unfinished agenda of Millennium Development Goals (MDGs) and the new challenge of achieving Sustainable Development Gaos (SDGs), including Universal Health Care; improving quality along with access to care; and addressing the existing inequity in healthcare service, politicians and public health leaders must realise and invest in people-centred, need-based primary healthcare. Significant and sustained productivity gains can be made through various innovations that can change how quality services are delivered and reduce inequity. In order for primary healthcare to become fit for purpose, it must improve its allocative, technical and service delivery efficiencies; effectiveness and responsiveness of care; access, quality and equity of care; and have an inbuilt monitoring and accountability framework. The system must create a conducive political, social and service delivery environment for innovations. Today, developing countries, as well as developed countries, are all strengthening their primary healthcare system through various innovations to maximise the use of scarce resources to reach all people who need care and minimising cost, wastage and inefficiencies.","author":[{"dropping-particle":"","family":"Islam","given":"Q. M","non-dropping-particle":"","parse-names":false,"suffix":""}],"container-title":"Journal of Health Management","id":"ITEM-2","issue":"1","issued":{"date-parts":[["2021","3","1"]]},"note":"doi: 10.1177/0972063421994987","page":"129-142","publisher":"SAGE Publications India","title":"Innovation in primary healthcare in the twenty-first century","type":"article-journal","volume":"23"},"uris":["http://www.mendeley.com/documents/?uuid=a25d03d6-ad08-4717-8064-9d4ae92c3de5"]}],"mendeley":{"formattedCitation":"(Guarcello &amp; de Vargas, 2020; Islam, 2021)","plainTextFormattedCitation":"(Guarcello &amp; de Vargas, 2020; Islam, 2021)","previouslyFormattedCitation":"(Guarcello &amp; de Vargas, 2020; Islam, 2021)"},"properties":{"noteIndex":0},"schema":"https://github.com/citation-style-language/schema/raw/master/csl-citation.json"}</w:instrText>
      </w:r>
      <w:r w:rsidR="0093716A" w:rsidRPr="00FC0935">
        <w:rPr>
          <w:color w:val="000000" w:themeColor="text1"/>
        </w:rPr>
        <w:fldChar w:fldCharType="separate"/>
      </w:r>
      <w:r w:rsidR="00E447E9" w:rsidRPr="00E447E9">
        <w:rPr>
          <w:noProof/>
          <w:color w:val="000000" w:themeColor="text1"/>
        </w:rPr>
        <w:t>(Guarcello &amp; de Vargas, 2020; Islam, 2021)</w:t>
      </w:r>
      <w:r w:rsidR="0093716A" w:rsidRPr="00FC0935">
        <w:rPr>
          <w:color w:val="000000" w:themeColor="text1"/>
        </w:rPr>
        <w:fldChar w:fldCharType="end"/>
      </w:r>
      <w:r w:rsidR="00E447E9">
        <w:rPr>
          <w:color w:val="000000" w:themeColor="text1"/>
        </w:rPr>
        <w:t>.</w:t>
      </w:r>
      <w:r w:rsidRPr="00097749">
        <w:rPr>
          <w:color w:val="000000" w:themeColor="text1"/>
        </w:rPr>
        <w:t xml:space="preserve"> </w:t>
      </w:r>
    </w:p>
    <w:p w14:paraId="6CB11EDF" w14:textId="0EE737AF" w:rsidR="00097749" w:rsidRPr="00097749" w:rsidRDefault="00097749" w:rsidP="00CE060A">
      <w:pPr>
        <w:pStyle w:val="BodyText"/>
        <w:jc w:val="both"/>
        <w:rPr>
          <w:color w:val="000000" w:themeColor="text1"/>
        </w:rPr>
      </w:pPr>
      <w:r w:rsidRPr="00097749">
        <w:rPr>
          <w:color w:val="000000" w:themeColor="text1"/>
        </w:rPr>
        <w:t>The framework positions service innovation as the “missing link” that transforms adherence determinants into positive patient experiences. Predisposing and reinforcing factors are expected to influence satisfaction both directly and indirectly through service innovation, while enabling factors may have weaker effects, as evidenced in previous studies where infrastructure alone was insufficient to ensure satisfaction</w:t>
      </w:r>
      <w:r w:rsidR="00FC5075">
        <w:rPr>
          <w:color w:val="000000" w:themeColor="text1"/>
        </w:rPr>
        <w:t xml:space="preserve"> </w:t>
      </w:r>
      <w:r w:rsidR="00CE060A">
        <w:rPr>
          <w:color w:val="000000" w:themeColor="text1"/>
        </w:rPr>
        <w:fldChar w:fldCharType="begin" w:fldLock="1"/>
      </w:r>
      <w:r w:rsidR="00DD41A8">
        <w:rPr>
          <w:color w:val="000000" w:themeColor="text1"/>
        </w:rPr>
        <w:instrText>ADDIN CSL_CITATION {"citationItems":[{"id":"ITEM-1","itemData":{"DOI":"https://doi.org/10.35829/magisma.v10i2.230","author":[{"dropping-particle":"","family":"Sucahyo","given":"Imam","non-dropping-particle":"","parse-names":false,"suffix":""},{"dropping-particle":"","family":"Solovida","given":"Grace Tiana","non-dropping-particle":"","parse-names":false,"suffix":""}],"container-title":"MAGISMA:Jurnal Ilmiah Ekonomi dan Bisnis","id":"ITEM-1","issue":"2","issued":{"date-parts":[["2022"]]},"page":"215-231","title":"Analisis pengaruh servicescape dan inovasi layanan terhadap kepuasan masyarakat dengan kepercayaan sebagai variabel mediasi (Studi tentang pelayanan pendaftaran Haji di Kota Semarang)","type":"article-journal","volume":"X"},"uris":["http://www.mendeley.com/documents/?uuid=193fc4e6-91b6-473e-ab4e-d8bc45445d35"]},{"id":"ITEM-2","itemData":{"DOI":"10.1177/23743735221103029","ISSN":"2374-3735","abstract":"Although there are studies on the use of social media and palliative and end-of-life care (PEOLC), there are no studies specifically investigating the content of online public feedback about PEOLC services. This study sought to understand experiences of end-of-life care provided in hospitals in the West of Scotland by exploring the main themes within the content of stories posted on a nationally endorsed nonprofit feedback online platform, Care Opinion, within a 2-year period. We used ?Appreciative Inquiry? as a theoretical framework for this study to determine what works well in end-of-life care, while also identifying areas for further improvement. Of the 1428 stories published on ?Care Opinion? from March 2019 to 2021 regarding hospitals in the West of Scotland, 48 (3.36%) were related to end-of-life care, of which all were included in data analysis. Using the software package NVivo and thematic analysis, we identified 4 key themes. We found that people overwhelmingly posted positive feedback about their experiences with end-of-life care. People reported positively about staff professionalism in providing compassionate and person-centered care to meet their loved ones needs at end of life. Other experiences of care related to challenges facing healthcare services, particularly during the COVID-19 pandemic. Quality appraisal of staff responses highlighted areas for improving feedback. This study can add to the aim of improving staff response to people?s concerns about end-of-life care. This study has provided a novel perspective of patients? experiences of end-of-life care in hospitals in the West of Scotland. Novel insights were the appreciation of quality of care, staff professionalism, effective communication, and meeting patient?s needs at end-of-life particularly by nursing staff.","author":[{"dropping-particle":"","family":"Khonsari","given":" Sahar","non-dropping-particle":"","parse-names":false,"suffix":""},{"dropping-particle":"","family":"O Neill","given":" Claire","non-dropping-particle":"","parse-names":false,"suffix":""},{"dropping-particle":"","family":"Mayland","given":" Catriona R","non-dropping-particle":"","parse-names":false,"suffix":""},{"dropping-particle":"","family":"Gilmour","given":" Fraser","non-dropping-particle":"","parse-names":false,"suffix":""},{"dropping-particle":"","family":"Aitken","given":" Marc","non-dropping-particle":"","parse-names":false,"suffix":""},{"dropping-particle":"","family":"Mckeown","given":" Alistair","non-dropping-particle":"","parse-names":false,"suffix":""},{"dropping-particle":"","family":"Russell","given":" Sian","non-dropping-particle":"","parse-names":false,"suffix":""},{"dropping-particle":"","family":"Mcalees","given":" Angela","non-dropping-particle":"","parse-names":false,"suffix":""},{"dropping-particle":"","family":"Gardner","given":" Morag","non-dropping-particle":"","parse-names":false,"suffix":""},{"dropping-particle":"","family":"Johnston","given":" Bridget","non-dropping-particle":"","parse-names":false,"suffix":""}],"container-title":"Journal of Patient Experience","id":"ITEM-2","issued":{"date-parts":[["2022","1","1"]]},"note":"doi: 10.1177/23743735221103029","page":"23743735221103029","publisher":"SAGE Publications Inc","title":"Views of Care at End of Life: A Secondary Analysis of Online Feedback Using Care Opinion","type":"article-journal","volume":"9"},"uris":["http://www.mendeley.com/documents/?uuid=7a1dbeae-f9b5-4dab-bff5-8d1d5b598413"]}],"mendeley":{"formattedCitation":"(Khonsari et al., 2022; Sucahyo &amp; Solovida, 2022)","plainTextFormattedCitation":"(Khonsari et al., 2022; Sucahyo &amp; Solovida, 2022)","previouslyFormattedCitation":"(Khonsari et al., 2022; Sucahyo &amp; Solovida, 2022)"},"properties":{"noteIndex":0},"schema":"https://github.com/citation-style-language/schema/raw/master/csl-citation.json"}</w:instrText>
      </w:r>
      <w:r w:rsidR="00CE060A">
        <w:rPr>
          <w:color w:val="000000" w:themeColor="text1"/>
        </w:rPr>
        <w:fldChar w:fldCharType="separate"/>
      </w:r>
      <w:r w:rsidR="00CE060A" w:rsidRPr="00CE060A">
        <w:rPr>
          <w:noProof/>
          <w:color w:val="000000" w:themeColor="text1"/>
        </w:rPr>
        <w:t>(Khonsari et al., 2022; Sucahyo &amp; Solovida, 2022)</w:t>
      </w:r>
      <w:r w:rsidR="00CE060A">
        <w:rPr>
          <w:color w:val="000000" w:themeColor="text1"/>
        </w:rPr>
        <w:fldChar w:fldCharType="end"/>
      </w:r>
      <w:r w:rsidR="00CE060A">
        <w:rPr>
          <w:color w:val="000000" w:themeColor="text1"/>
        </w:rPr>
        <w:t>.</w:t>
      </w:r>
      <w:r w:rsidRPr="00097749">
        <w:rPr>
          <w:color w:val="000000" w:themeColor="text1"/>
        </w:rPr>
        <w:t xml:space="preserve"> The model contributes theoretically by extending </w:t>
      </w:r>
      <w:r w:rsidR="00CE060A">
        <w:rPr>
          <w:color w:val="000000" w:themeColor="text1"/>
        </w:rPr>
        <w:t xml:space="preserve">the </w:t>
      </w:r>
      <w:r w:rsidRPr="00097749">
        <w:rPr>
          <w:color w:val="000000" w:themeColor="text1"/>
        </w:rPr>
        <w:t xml:space="preserve">Andersen model to include innovation as a mediating mechanism and practically by offering insights into service design for malaria-endemic regions, including </w:t>
      </w:r>
      <w:proofErr w:type="spellStart"/>
      <w:r w:rsidRPr="00097749">
        <w:rPr>
          <w:color w:val="000000" w:themeColor="text1"/>
        </w:rPr>
        <w:t>Mimika</w:t>
      </w:r>
      <w:proofErr w:type="spellEnd"/>
      <w:r w:rsidRPr="00097749">
        <w:rPr>
          <w:color w:val="000000" w:themeColor="text1"/>
        </w:rPr>
        <w:t>, Papua.</w:t>
      </w:r>
    </w:p>
    <w:p w14:paraId="61FA36C3" w14:textId="10EDC1FD" w:rsidR="00097749" w:rsidRPr="00097749" w:rsidRDefault="008223D7" w:rsidP="00097749">
      <w:pPr>
        <w:pStyle w:val="BodyText"/>
        <w:rPr>
          <w:b/>
          <w:bCs/>
          <w:color w:val="000000" w:themeColor="text1"/>
        </w:rPr>
      </w:pPr>
      <w:r>
        <w:rPr>
          <w:b/>
          <w:bCs/>
          <w:color w:val="000000" w:themeColor="text1"/>
        </w:rPr>
        <w:t xml:space="preserve">2.7 </w:t>
      </w:r>
      <w:r w:rsidR="00097749" w:rsidRPr="00097749">
        <w:rPr>
          <w:b/>
          <w:bCs/>
          <w:color w:val="000000" w:themeColor="text1"/>
        </w:rPr>
        <w:t>Hypotheses Development</w:t>
      </w:r>
    </w:p>
    <w:p w14:paraId="5713CA74" w14:textId="77777777" w:rsidR="00097749" w:rsidRPr="00097749" w:rsidRDefault="00097749" w:rsidP="00097749">
      <w:pPr>
        <w:pStyle w:val="BodyText"/>
        <w:rPr>
          <w:color w:val="000000" w:themeColor="text1"/>
        </w:rPr>
      </w:pPr>
      <w:r w:rsidRPr="00097749">
        <w:rPr>
          <w:color w:val="000000" w:themeColor="text1"/>
        </w:rPr>
        <w:t>Based on the conceptual framework, ten hypotheses were proposed. Each is supported by previous theoretical reports and empirical results.</w:t>
      </w:r>
    </w:p>
    <w:p w14:paraId="242B05E2" w14:textId="27D5C09B" w:rsidR="00097749" w:rsidRDefault="00097749" w:rsidP="00855B67">
      <w:pPr>
        <w:pStyle w:val="BodyText"/>
        <w:spacing w:after="0"/>
        <w:jc w:val="both"/>
        <w:rPr>
          <w:color w:val="000000" w:themeColor="text1"/>
        </w:rPr>
      </w:pPr>
      <w:r w:rsidRPr="00097749">
        <w:rPr>
          <w:color w:val="000000" w:themeColor="text1"/>
        </w:rPr>
        <w:t>Patient with higher knowledge, positive attitudes, and motivation tends to complete treatment, which enhances satisfaction. Evidence from chronic and infectious diseases showed that health literacy and motivation drive both adherence and satisfaction</w:t>
      </w:r>
      <w:r w:rsidR="001D52F7">
        <w:rPr>
          <w:color w:val="000000" w:themeColor="text1"/>
        </w:rPr>
        <w:t xml:space="preserve"> </w:t>
      </w:r>
      <w:r w:rsidR="00DD41A8">
        <w:rPr>
          <w:color w:val="000000" w:themeColor="text1"/>
        </w:rPr>
        <w:fldChar w:fldCharType="begin" w:fldLock="1"/>
      </w:r>
      <w:r w:rsidR="001D52F7">
        <w:rPr>
          <w:color w:val="000000" w:themeColor="text1"/>
        </w:rPr>
        <w:instrText>ADDIN CSL_CITATION {"citationItems":[{"id":"ITEM-1","itemData":{"author":[{"dropping-particle":"","family":"Green","given":"Lawrence","non-dropping-particle":"","parse-names":false,"suffix":""},{"dropping-particle":"","family":"Kreuter","given":"Marshall","non-dropping-particle":"","parse-names":false,"suffix":""}],"edition":"2","id":"ITEM-1","issued":{"date-parts":[["1991"]]},"publisher":"Mayfield Publishing Co.","publisher-place":"Palo Alto","title":"Health Promotion Planning: An Educational and Environmental Approach","type":"book"},"uris":["http://www.mendeley.com/documents/?uuid=9a897336-f5f8-4fc2-8af0-3fcee148012b"]},{"id":"ITEM-2","itemData":{"DOI":"10.1177/23743735221103029","ISSN":"2374-3735","abstract":"Although there are studies on the use of social media and palliative and end-of-life care (PEOLC), there are no studies specifically investigating the content of online public feedback about PEOLC services. This study sought to understand experiences of end-of-life care provided in hospitals in the West of Scotland by exploring the main themes within the content of stories posted on a nationally endorsed nonprofit feedback online platform, Care Opinion, within a 2-year period. We used ?Appreciative Inquiry? as a theoretical framework for this study to determine what works well in end-of-life care, while also identifying areas for further improvement. Of the 1428 stories published on ?Care Opinion? from March 2019 to 2021 regarding hospitals in the West of Scotland, 48 (3.36%) were related to end-of-life care, of which all were included in data analysis. Using the software package NVivo and thematic analysis, we identified 4 key themes. We found that people overwhelmingly posted positive feedback about their experiences with end-of-life care. People reported positively about staff professionalism in providing compassionate and person-centered care to meet their loved ones needs at end of life. Other experiences of care related to challenges facing healthcare services, particularly during the COVID-19 pandemic. Quality appraisal of staff responses highlighted areas for improving feedback. This study can add to the aim of improving staff response to people?s concerns about end-of-life care. This study has provided a novel perspective of patients? experiences of end-of-life care in hospitals in the West of Scotland. Novel insights were the appreciation of quality of care, staff professionalism, effective communication, and meeting patient?s needs at end-of-life particularly by nursing staff.","author":[{"dropping-particle":"","family":"Khonsari","given":" Sahar","non-dropping-particle":"","parse-names":false,"suffix":""},{"dropping-particle":"","family":"O Neill","given":" Claire","non-dropping-particle":"","parse-names":false,"suffix":""},{"dropping-particle":"","family":"Mayland","given":" Catriona R","non-dropping-particle":"","parse-names":false,"suffix":""},{"dropping-particle":"","family":"Gilmour","given":" Fraser","non-dropping-particle":"","parse-names":false,"suffix":""},{"dropping-particle":"","family":"Aitken","given":" Marc","non-dropping-particle":"","parse-names":false,"suffix":""},{"dropping-particle":"","family":"Mckeown","given":" Alistair","non-dropping-particle":"","parse-names":false,"suffix":""},{"dropping-particle":"","family":"Russell","given":" Sian","non-dropping-particle":"","parse-names":false,"suffix":""},{"dropping-particle":"","family":"Mcalees","given":" Angela","non-dropping-particle":"","parse-names":false,"suffix":""},{"dropping-particle":"","family":"Gardner","given":" Morag","non-dropping-particle":"","parse-names":false,"suffix":""},{"dropping-particle":"","family":"Johnston","given":" Bridget","non-dropping-particle":"","parse-names":false,"suffix":""}],"container-title":"Journal of Patient Experience","id":"ITEM-2","issued":{"date-parts":[["2022","1","1"]]},"note":"doi: 10.1177/23743735221103029","page":"23743735221103029","publisher":"SAGE Publications Inc","title":"Views of Care at End of Life: A Secondary Analysis of Online Feedback Using Care Opinion","type":"article-journal","volume":"9"},"uris":["http://www.mendeley.com/documents/?uuid=7a1dbeae-f9b5-4dab-bff5-8d1d5b598413"]},{"id":"ITEM-3","itemData":{"DOI":"10.1093/jpepsy/jsy044","author":[{"dropping-particle":"","family":"Psihogios","given":"Alexandra M","non-dropping-particle":"","parse-names":false,"suffix":""},{"dropping-particle":"","family":"Fellmeth","given":"Heather","non-dropping-particle":"","parse-names":false,"suffix":""},{"dropping-particle":"","family":"Lisa","given":"A","non-dropping-particle":"","parse-names":false,"suffix":""},{"dropping-particle":"","family":"Barakat","given":"Lamia P","non-dropping-particle":"","parse-names":false,"suffix":""}],"container-title":"Journal ofPediatric Psychology","id":"ITEM-3","issue":"1","issued":{"date-parts":[["2019"]]},"page":"84-97","title":"Family functioning and medical adherence across children and adolescents with chronic health conditions: A meta-analysis","type":"article-journal","volume":"44"},"uris":["http://www.mendeley.com/documents/?uuid=d14666c6-eaa3-4f54-a778-73e467a4b92d"]}],"mendeley":{"formattedCitation":"(Green &amp; Kreuter, 1991; Khonsari et al., 2022; Psihogios et al., 2019)","plainTextFormattedCitation":"(Green &amp; Kreuter, 1991; Khonsari et al., 2022; Psihogios et al., 2019)","previouslyFormattedCitation":"(Green &amp; Kreuter, 1991; Khonsari et al., 2022; Psihogios et al., 2019)"},"properties":{"noteIndex":0},"schema":"https://github.com/citation-style-language/schema/raw/master/csl-citation.json"}</w:instrText>
      </w:r>
      <w:r w:rsidR="00DD41A8">
        <w:rPr>
          <w:color w:val="000000" w:themeColor="text1"/>
        </w:rPr>
        <w:fldChar w:fldCharType="separate"/>
      </w:r>
      <w:r w:rsidR="00DD41A8" w:rsidRPr="00DD41A8">
        <w:rPr>
          <w:noProof/>
          <w:color w:val="000000" w:themeColor="text1"/>
        </w:rPr>
        <w:t>(Green &amp; Kreuter, 1991; Khonsari et al., 2022; Psihogios et al., 2019)</w:t>
      </w:r>
      <w:r w:rsidR="00DD41A8">
        <w:rPr>
          <w:color w:val="000000" w:themeColor="text1"/>
        </w:rPr>
        <w:fldChar w:fldCharType="end"/>
      </w:r>
      <w:r w:rsidRPr="00097749">
        <w:rPr>
          <w:color w:val="000000" w:themeColor="text1"/>
        </w:rPr>
        <w:t>.</w:t>
      </w:r>
    </w:p>
    <w:p w14:paraId="3EC54FC1" w14:textId="579FBC42" w:rsidR="001D52F7" w:rsidRDefault="001D52F7" w:rsidP="00D426CC">
      <w:pPr>
        <w:pStyle w:val="BodyText"/>
        <w:spacing w:after="0"/>
        <w:rPr>
          <w:color w:val="000000" w:themeColor="text1"/>
        </w:rPr>
      </w:pPr>
      <w:r w:rsidRPr="00097749">
        <w:rPr>
          <w:color w:val="000000" w:themeColor="text1"/>
        </w:rPr>
        <w:t>H1: Predisposing factors of treatment adherence positively influence patient satisfaction.</w:t>
      </w:r>
    </w:p>
    <w:p w14:paraId="4FB673FA" w14:textId="77777777" w:rsidR="00D426CC" w:rsidRPr="00097749" w:rsidRDefault="00D426CC" w:rsidP="00D426CC">
      <w:pPr>
        <w:pStyle w:val="BodyText"/>
        <w:spacing w:after="0"/>
        <w:rPr>
          <w:color w:val="000000" w:themeColor="text1"/>
        </w:rPr>
      </w:pPr>
    </w:p>
    <w:p w14:paraId="485EF5B0" w14:textId="73AACBE9" w:rsidR="00097749" w:rsidRPr="00097749" w:rsidRDefault="00097749" w:rsidP="00855B67">
      <w:pPr>
        <w:pStyle w:val="BodyText"/>
        <w:spacing w:after="0"/>
        <w:jc w:val="both"/>
        <w:rPr>
          <w:color w:val="000000" w:themeColor="text1"/>
        </w:rPr>
      </w:pPr>
      <w:r w:rsidRPr="00097749">
        <w:rPr>
          <w:color w:val="000000" w:themeColor="text1"/>
        </w:rPr>
        <w:t xml:space="preserve">Access to healthcare resources, short waiting times, and supportive infrastructure are expected to improve satisfaction. However, studies in LMICs suggest mixed results, with infrastructure sometimes failing to predict satisfaction when interpersonal dimensions are weak </w:t>
      </w:r>
      <w:r w:rsidR="001D52F7">
        <w:rPr>
          <w:color w:val="000000" w:themeColor="text1"/>
        </w:rPr>
        <w:fldChar w:fldCharType="begin" w:fldLock="1"/>
      </w:r>
      <w:r w:rsidR="00281838">
        <w:rPr>
          <w:color w:val="000000" w:themeColor="text1"/>
        </w:rPr>
        <w:instrText>ADDIN CSL_CITATION {"citationItems":[{"id":"ITEM-1","itemData":{"DOI":"10.2307/2137284","ISSN":"00221465, 21506000","abstract":"[The Behavioral Model of Health Services Use was initially developed over 25 years ago. In the interim it has been subject to considerable application, reprobation, and alteration. I review its development and assess its continued relevance.]","author":[{"dropping-particle":"","family":"Andersen","given":"Ronald M","non-dropping-particle":"","parse-names":false,"suffix":""}],"container-title":"Journal of Health and Social Behavior","id":"ITEM-1","issue":"1","issued":{"date-parts":[["1995","10","14"]]},"page":"1-10","publisher":"[American Sociological Association, Sage Publications, Inc.]","title":"Revisiting the behavioral model and access to medical care: Does it matter?","type":"article-journal","volume":"36"},"uris":["http://www.mendeley.com/documents/?uuid=96c47c62-0f5f-4c17-a475-bb713b1dc26f"]},{"id":"ITEM-2","itemData":{"DOI":"https://doi.org/10.3205/psm000089","author":[{"dropping-particle":"","family":"Babitsch","given":"Birgit","non-dropping-particle":"","parse-names":false,"suffix":""},{"dropping-particle":"","family":"Gohl","given":"Daniela","non-dropping-particle":"","parse-names":false,"suffix":""},{"dropping-particle":"von","family":"Lengerke","given":"Thomas","non-dropping-particle":"","parse-names":false,"suffix":""}],"container-title":"GMS Psycho-Social-Medicine 2012,","id":"ITEM-2","issued":{"date-parts":[["2012"]]},"page":"1-15","title":"Re-revisiting Andersen’s Behavioral Model of health services use: A systematic review of studies from","type":"article-journal","volume":"9"},"uris":["http://www.mendeley.com/documents/?uuid=c33133ab-1daa-4052-9b1e-e3abe4394795"]},{"id":"ITEM-3","itemData":{"DOI":"10.1177/23743735221103029","ISSN":"2374-3735","abstract":"Although there are studies on the use of social media and palliative and end-of-life care (PEOLC), there are no studies specifically investigating the content of online public feedback about PEOLC services. This study sought to understand experiences of end-of-life care provided in hospitals in the West of Scotland by exploring the main themes within the content of stories posted on a nationally endorsed nonprofit feedback online platform, Care Opinion, within a 2-year period. We used ?Appreciative Inquiry? as a theoretical framework for this study to determine what works well in end-of-life care, while also identifying areas for further improvement. Of the 1428 stories published on ?Care Opinion? from March 2019 to 2021 regarding hospitals in the West of Scotland, 48 (3.36%) were related to end-of-life care, of which all were included in data analysis. Using the software package NVivo and thematic analysis, we identified 4 key themes. We found that people overwhelmingly posted positive feedback about their experiences with end-of-life care. People reported positively about staff professionalism in providing compassionate and person-centered care to meet their loved ones needs at end of life. Other experiences of care related to challenges facing healthcare services, particularly during the COVID-19 pandemic. Quality appraisal of staff responses highlighted areas for improving feedback. This study can add to the aim of improving staff response to people?s concerns about end-of-life care. This study has provided a novel perspective of patients? experiences of end-of-life care in hospitals in the West of Scotland. Novel insights were the appreciation of quality of care, staff professionalism, effective communication, and meeting patient?s needs at end-of-life particularly by nursing staff.","author":[{"dropping-particle":"","family":"Khonsari","given":" Sahar","non-dropping-particle":"","parse-names":false,"suffix":""},{"dropping-particle":"","family":"O Neill","given":" Claire","non-dropping-particle":"","parse-names":false,"suffix":""},{"dropping-particle":"","family":"Mayland","given":" Catriona R","non-dropping-particle":"","parse-names":false,"suffix":""},{"dropping-particle":"","family":"Gilmour","given":" Fraser","non-dropping-particle":"","parse-names":false,"suffix":""},{"dropping-particle":"","family":"Aitken","given":" Marc","non-dropping-particle":"","parse-names":false,"suffix":""},{"dropping-particle":"","family":"Mckeown","given":" Alistair","non-dropping-particle":"","parse-names":false,"suffix":""},{"dropping-particle":"","family":"Russell","given":" Sian","non-dropping-particle":"","parse-names":false,"suffix":""},{"dropping-particle":"","family":"Mcalees","given":" Angela","non-dropping-particle":"","parse-names":false,"suffix":""},{"dropping-particle":"","family":"Gardner","given":" Morag","non-dropping-particle":"","parse-names":false,"suffix":""},{"dropping-particle":"","family":"Johnston","given":" Bridget","non-dropping-particle":"","parse-names":false,"suffix":""}],"container-title":"Journal of Patient Experience","id":"ITEM-3","issued":{"date-parts":[["2022","1","1"]]},"note":"doi: 10.1177/23743735221103029","page":"23743735221103029","publisher":"SAGE Publications Inc","title":"Views of Care at End of Life: A Secondary Analysis of Online Feedback Using Care Opinion","type":"article-journal","volume":"9"},"uris":["http://www.mendeley.com/documents/?uuid=7a1dbeae-f9b5-4dab-bff5-8d1d5b598413"]}],"mendeley":{"formattedCitation":"(Andersen, 1995; Babitsch et al., 2012; Khonsari et al., 2022)","plainTextFormattedCitation":"(Andersen, 1995; Babitsch et al., 2012; Khonsari et al., 2022)","previouslyFormattedCitation":"(Andersen, 1995; Babitsch et al., 2012; Khonsari et al., 2022)"},"properties":{"noteIndex":0},"schema":"https://github.com/citation-style-language/schema/raw/master/csl-citation.json"}</w:instrText>
      </w:r>
      <w:r w:rsidR="001D52F7">
        <w:rPr>
          <w:color w:val="000000" w:themeColor="text1"/>
        </w:rPr>
        <w:fldChar w:fldCharType="separate"/>
      </w:r>
      <w:r w:rsidR="001D52F7" w:rsidRPr="001D52F7">
        <w:rPr>
          <w:noProof/>
          <w:color w:val="000000" w:themeColor="text1"/>
        </w:rPr>
        <w:t>(Andersen, 1995; Babitsch et al., 2012; Khonsari et al., 2022)</w:t>
      </w:r>
      <w:r w:rsidR="001D52F7">
        <w:rPr>
          <w:color w:val="000000" w:themeColor="text1"/>
        </w:rPr>
        <w:fldChar w:fldCharType="end"/>
      </w:r>
      <w:r w:rsidR="001D52F7">
        <w:rPr>
          <w:color w:val="000000" w:themeColor="text1"/>
        </w:rPr>
        <w:t>.</w:t>
      </w:r>
    </w:p>
    <w:p w14:paraId="64213F66" w14:textId="258C2898" w:rsidR="00855B67" w:rsidRPr="00097749" w:rsidRDefault="001D52F7" w:rsidP="001D52F7">
      <w:pPr>
        <w:pStyle w:val="BodyText"/>
        <w:rPr>
          <w:color w:val="000000" w:themeColor="text1"/>
        </w:rPr>
      </w:pPr>
      <w:r w:rsidRPr="00097749">
        <w:rPr>
          <w:color w:val="000000" w:themeColor="text1"/>
        </w:rPr>
        <w:lastRenderedPageBreak/>
        <w:t>H2: Enabling factors of treatment adherence positively influence patient satisfaction.</w:t>
      </w:r>
    </w:p>
    <w:p w14:paraId="0294DE60" w14:textId="3E10AD07" w:rsidR="00097749" w:rsidRPr="00097749" w:rsidRDefault="00097749" w:rsidP="00855B67">
      <w:pPr>
        <w:pStyle w:val="BodyText"/>
        <w:spacing w:after="0"/>
        <w:jc w:val="both"/>
        <w:rPr>
          <w:color w:val="000000" w:themeColor="text1"/>
        </w:rPr>
      </w:pPr>
      <w:r w:rsidRPr="00097749">
        <w:rPr>
          <w:color w:val="000000" w:themeColor="text1"/>
        </w:rPr>
        <w:t xml:space="preserve">Social support from family, community, and providers sustains adherence and strengthens trust, leading to higher satisfaction. Previous studies emphasized the importance of family participation and provider supervision in TB and malaria care </w:t>
      </w:r>
      <w:r w:rsidR="00281838">
        <w:rPr>
          <w:color w:val="000000" w:themeColor="text1"/>
        </w:rPr>
        <w:fldChar w:fldCharType="begin" w:fldLock="1"/>
      </w:r>
      <w:r w:rsidR="00E4308B">
        <w:rPr>
          <w:color w:val="000000" w:themeColor="text1"/>
        </w:rPr>
        <w:instrText>ADDIN CSL_CITATION {"citationItems":[{"id":"ITEM-1","itemData":{"DOI":"10.1093/jpepsy/jsy044","author":[{"dropping-particle":"","family":"Psihogios","given":"Alexandra M","non-dropping-particle":"","parse-names":false,"suffix":""},{"dropping-particle":"","family":"Fellmeth","given":"Heather","non-dropping-particle":"","parse-names":false,"suffix":""},{"dropping-particle":"","family":"Lisa","given":"A","non-dropping-particle":"","parse-names":false,"suffix":""},{"dropping-particle":"","family":"Barakat","given":"Lamia P","non-dropping-particle":"","parse-names":false,"suffix":""}],"container-title":"Journal ofPediatric Psychology","id":"ITEM-1","issue":"1","issued":{"date-parts":[["2019"]]},"page":"84-97","title":"Family functioning and medical adherence across children and adolescents with chronic health conditions: A meta-analysis","type":"article-journal","volume":"44"},"uris":["http://www.mendeley.com/documents/?uuid=d14666c6-eaa3-4f54-a778-73e467a4b92d"]},{"id":"ITEM-2","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Diseases","id":"ITEM-2","issue":"3","issued":{"date-parts":[["2022","3","1"]]},"note":"doi: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trial","type":"article-journal","volume":"22"},"uris":["http://www.mendeley.com/documents/?uuid=98076772-06c2-4046-950a-6bba70420feb"]},{"id":"ITEM-3","itemData":{"DOI":"10.1186/s12936-025-05358-x","ISSN":"1475-2875","abstract":"Papua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Journal","id":"ITEM-3","issue":"1","issued":{"date-parts":[["2025"]]},"page":"177","title":"Enhanced data quality to improve malaria surveillance in Papua, Indonesia","type":"article-journal","volume":"24"},"uris":["http://www.mendeley.com/documents/?uuid=b2e31924-05c2-4d72-b3a5-7dd77885c151"]}],"mendeley":{"formattedCitation":"(Fransisca et al., 2025; Poespoprodjo et al., 2022; Psihogios et al., 2019)","plainTextFormattedCitation":"(Fransisca et al., 2025; Poespoprodjo et al., 2022; Psihogios et al., 2019)","previouslyFormattedCitation":"(Fransisca et al., 2025; Poespoprodjo et al., 2022; Psihogios et al., 2019)"},"properties":{"noteIndex":0},"schema":"https://github.com/citation-style-language/schema/raw/master/csl-citation.json"}</w:instrText>
      </w:r>
      <w:r w:rsidR="00281838">
        <w:rPr>
          <w:color w:val="000000" w:themeColor="text1"/>
        </w:rPr>
        <w:fldChar w:fldCharType="separate"/>
      </w:r>
      <w:r w:rsidR="00281838" w:rsidRPr="00281838">
        <w:rPr>
          <w:noProof/>
          <w:color w:val="000000" w:themeColor="text1"/>
        </w:rPr>
        <w:t>(Fransisca et al., 2025; Poespoprodjo et al., 2022; Psihogios et al., 2019)</w:t>
      </w:r>
      <w:r w:rsidR="00281838">
        <w:rPr>
          <w:color w:val="000000" w:themeColor="text1"/>
        </w:rPr>
        <w:fldChar w:fldCharType="end"/>
      </w:r>
      <w:r w:rsidRPr="00097749">
        <w:rPr>
          <w:color w:val="000000" w:themeColor="text1"/>
        </w:rPr>
        <w:t>.</w:t>
      </w:r>
    </w:p>
    <w:p w14:paraId="4D7E0370" w14:textId="0CFE22D8" w:rsidR="00855B67" w:rsidRDefault="001D52F7" w:rsidP="00D426CC">
      <w:pPr>
        <w:pStyle w:val="BodyText"/>
        <w:rPr>
          <w:color w:val="000000" w:themeColor="text1"/>
        </w:rPr>
      </w:pPr>
      <w:r w:rsidRPr="00097749">
        <w:rPr>
          <w:color w:val="000000" w:themeColor="text1"/>
        </w:rPr>
        <w:t>H3: Reinforcing factors of treatment adherence positively influence patient satisfaction.</w:t>
      </w:r>
    </w:p>
    <w:p w14:paraId="09D55C2F" w14:textId="6A8A0F68" w:rsidR="00097749" w:rsidRPr="00097749" w:rsidRDefault="00097749" w:rsidP="00855B67">
      <w:pPr>
        <w:pStyle w:val="BodyText"/>
        <w:spacing w:after="0"/>
        <w:jc w:val="both"/>
        <w:rPr>
          <w:color w:val="000000" w:themeColor="text1"/>
        </w:rPr>
      </w:pPr>
      <w:r w:rsidRPr="00097749">
        <w:rPr>
          <w:color w:val="000000" w:themeColor="text1"/>
        </w:rPr>
        <w:t>Patient</w:t>
      </w:r>
      <w:r w:rsidR="00855B67">
        <w:rPr>
          <w:color w:val="000000" w:themeColor="text1"/>
        </w:rPr>
        <w:t>s</w:t>
      </w:r>
      <w:r w:rsidRPr="00097749">
        <w:rPr>
          <w:color w:val="000000" w:themeColor="text1"/>
        </w:rPr>
        <w:t xml:space="preserve"> with greater awareness and motivation are more receptive to innovative health service</w:t>
      </w:r>
      <w:r w:rsidR="00855B67">
        <w:rPr>
          <w:color w:val="000000" w:themeColor="text1"/>
        </w:rPr>
        <w:t>s</w:t>
      </w:r>
      <w:r w:rsidRPr="00097749">
        <w:rPr>
          <w:color w:val="000000" w:themeColor="text1"/>
        </w:rPr>
        <w:t xml:space="preserve">. Studies showed that health knowledge fosters acceptance of digital monitoring, supervised treatment, and patient-centered service delivery </w:t>
      </w:r>
      <w:r w:rsidR="00E4308B">
        <w:rPr>
          <w:color w:val="000000" w:themeColor="text1"/>
        </w:rPr>
        <w:fldChar w:fldCharType="begin" w:fldLock="1"/>
      </w:r>
      <w:r w:rsidR="00791FF8">
        <w:rPr>
          <w:color w:val="000000" w:themeColor="text1"/>
        </w:rPr>
        <w:instrText>ADDIN CSL_CITATION {"citationItems":[{"id":"ITEM-1","itemData":{"DOI":"10.1177/0972063421994987","ISSN":"0972-0634","abstract":"COVID-19 once again has shown the world the importance of an urgent need for revitalising the health system based on a strong primary healthcare foundation. It is clear that without a community-based grassroots level care delivery system, Test, Trace and Isolation may not be an effective operational possibility. Politics of health with consequent austerity programme and dependence on secondary hospital care?based system has proved to be ineffective and costly in meeting the changing demands for healthcare of the population. Demographic and epidemiological transition with the increasing burden of chronic care; unfinished agenda of Millennium Development Goals (MDGs) and the new challenge of achieving Sustainable Development Gaos (SDGs), including Universal Health Care; improving quality along with access to care; and addressing the existing inequity in healthcare service, politicians and public health leaders must realise and invest in people-centred, need-based primary healthcare. Significant and sustained productivity gains can be made through various innovations that can change how quality services are delivered and reduce inequity. In order for primary healthcare to become fit for purpose, it must improve its allocative, technical and service delivery efficiencies; effectiveness and responsiveness of care; access, quality and equity of care; and have an inbuilt monitoring and accountability framework. The system must create a conducive political, social and service delivery environment for innovations. Today, developing countries, as well as developed countries, are all strengthening their primary healthcare system through various innovations to maximise the use of scarce resources to reach all people who need care and minimising cost, wastage and inefficiencies.","author":[{"dropping-particle":"","family":"Islam","given":"Q. M","non-dropping-particle":"","parse-names":false,"suffix":""}],"container-title":"Journal of Health Management","id":"ITEM-1","issue":"1","issued":{"date-parts":[["2021","3","1"]]},"note":"doi: 10.1177/0972063421994987","page":"129-142","publisher":"SAGE Publications India","title":"Innovation in primary healthcare in the twenty-first century","type":"article-journal","volume":"23"},"uris":["http://www.mendeley.com/documents/?uuid=a25d03d6-ad08-4717-8064-9d4ae92c3de5"]},{"id":"ITEM-2","itemData":{"DOI":"https://doi.org/ 10.3390/ijerph20166594","author":[{"dropping-particle":"","family":"Moura","given":"Amanda Souza","non-dropping-particle":"","parse-names":false,"suffix":""},{"dropping-particle":"","family":"Gubert","given":"Muriel Bauermann","non-dropping-particle":"","parse-names":false,"suffix":""},{"dropping-particle":"","family":"Venancio","given":"Sonia Isoyama","non-dropping-particle":"","parse-names":false,"suffix":""},{"dropping-particle":"","family":"Buccini","given":"Gabriela","non-dropping-particle":"","parse-names":false,"suffix":""}],"container-title":"International Journal of Environment Research and Public Health","id":"ITEM-2","issue":"6594","issued":{"date-parts":[["2023"]]},"page":"1-3","title":"Correction : Moura et al . Implementation of the Strategy for Breastfeeding and Complementary Feeding in the Federal District in Brazil","type":"article-journal","volume":"20"},"uris":["http://www.mendeley.com/documents/?uuid=545f6fda-6f7a-4843-b9f8-5f4d8e0ca679"]},{"id":"ITEM-3","itemData":{"DOI":"10.1080/10978526.2020.1802286","ISSN":"1097-8526","author":[{"dropping-particle":"","family":"Guarcello","given":"Claudio","non-dropping-particle":"","parse-names":false,"suffix":""},{"dropping-particle":"","family":"Vargas","given":"Eduardo Raupp","non-dropping-particle":"de","parse-names":false,"suffix":""}],"container-title":"Latin American Business Review","id":"ITEM-3","issue":"4","issued":{"date-parts":[["2020","10","1"]]},"note":"doi: 10.1080/10978526.2020.1802286","page":"353-369","publisher":"Routledge","title":"Service Innovation in Healthcare: A Systematic Literature Review","type":"article-journal","volume":"21"},"uris":["http://www.mendeley.com/documents/?uuid=4e7582ba-4c69-4b5b-a74c-2e02d8b7b436"]}],"mendeley":{"formattedCitation":"(Guarcello &amp; de Vargas, 2020; Islam, 2021; Moura et al., 2023)","plainTextFormattedCitation":"(Guarcello &amp; de Vargas, 2020; Islam, 2021; Moura et al., 2023)","previouslyFormattedCitation":"(Guarcello &amp; de Vargas, 2020; Islam, 2021; Moura et al., 2023)"},"properties":{"noteIndex":0},"schema":"https://github.com/citation-style-language/schema/raw/master/csl-citation.json"}</w:instrText>
      </w:r>
      <w:r w:rsidR="00E4308B">
        <w:rPr>
          <w:color w:val="000000" w:themeColor="text1"/>
        </w:rPr>
        <w:fldChar w:fldCharType="separate"/>
      </w:r>
      <w:r w:rsidR="00E4308B" w:rsidRPr="00E4308B">
        <w:rPr>
          <w:noProof/>
          <w:color w:val="000000" w:themeColor="text1"/>
        </w:rPr>
        <w:t>(Guarcello &amp; de Vargas, 2020; Islam, 2021; Moura et al., 2023)</w:t>
      </w:r>
      <w:r w:rsidR="00E4308B">
        <w:rPr>
          <w:color w:val="000000" w:themeColor="text1"/>
        </w:rPr>
        <w:fldChar w:fldCharType="end"/>
      </w:r>
      <w:r w:rsidR="00E4308B">
        <w:rPr>
          <w:color w:val="000000" w:themeColor="text1"/>
        </w:rPr>
        <w:t>.</w:t>
      </w:r>
    </w:p>
    <w:p w14:paraId="6CDBA712" w14:textId="0C8B60DC" w:rsidR="00855B67" w:rsidRPr="00097749" w:rsidRDefault="001D52F7" w:rsidP="00D426CC">
      <w:pPr>
        <w:pStyle w:val="BodyText"/>
        <w:rPr>
          <w:color w:val="000000" w:themeColor="text1"/>
        </w:rPr>
      </w:pPr>
      <w:r w:rsidRPr="00097749">
        <w:rPr>
          <w:color w:val="000000" w:themeColor="text1"/>
        </w:rPr>
        <w:t>H4: Predisposing factors positively influence service innovation.</w:t>
      </w:r>
    </w:p>
    <w:p w14:paraId="417A4ED1" w14:textId="4EC173BC" w:rsidR="00097749" w:rsidRPr="00097749" w:rsidRDefault="00097749" w:rsidP="00855B67">
      <w:pPr>
        <w:pStyle w:val="BodyText"/>
        <w:spacing w:after="0"/>
        <w:jc w:val="both"/>
        <w:rPr>
          <w:color w:val="000000" w:themeColor="text1"/>
        </w:rPr>
      </w:pPr>
      <w:r w:rsidRPr="00097749">
        <w:rPr>
          <w:color w:val="000000" w:themeColor="text1"/>
        </w:rPr>
        <w:t>Adequate facilities, staff capacity, and access to resources should facilitate the adoption of innovative service</w:t>
      </w:r>
      <w:r w:rsidR="00791FF8">
        <w:rPr>
          <w:color w:val="000000" w:themeColor="text1"/>
        </w:rPr>
        <w:t>s</w:t>
      </w:r>
      <w:r w:rsidRPr="00097749">
        <w:rPr>
          <w:color w:val="000000" w:themeColor="text1"/>
        </w:rPr>
        <w:t>.</w:t>
      </w:r>
      <w:r w:rsidR="00791FF8">
        <w:rPr>
          <w:color w:val="000000" w:themeColor="text1"/>
        </w:rPr>
        <w:t xml:space="preserve"> </w:t>
      </w:r>
      <w:r w:rsidRPr="00097749">
        <w:rPr>
          <w:color w:val="000000" w:themeColor="text1"/>
        </w:rPr>
        <w:t xml:space="preserve">Empirical evidence suggests that organizational readiness and infrastructure play enabling roles in the implementation of health innovation </w:t>
      </w:r>
      <w:r w:rsidR="00791FF8">
        <w:rPr>
          <w:color w:val="000000" w:themeColor="text1"/>
        </w:rPr>
        <w:fldChar w:fldCharType="begin" w:fldLock="1"/>
      </w:r>
      <w:r w:rsidR="00855B67">
        <w:rPr>
          <w:color w:val="000000" w:themeColor="text1"/>
        </w:rPr>
        <w:instrText>ADDIN CSL_CITATION {"citationItems":[{"id":"ITEM-1","itemData":{"DOI":"https://doi.org/ 10.3390/ijerph20166594","author":[{"dropping-particle":"","family":"Moura","given":"Amanda Souza","non-dropping-particle":"","parse-names":false,"suffix":""},{"dropping-particle":"","family":"Gubert","given":"Muriel Bauermann","non-dropping-particle":"","parse-names":false,"suffix":""},{"dropping-particle":"","family":"Venancio","given":"Sonia Isoyama","non-dropping-particle":"","parse-names":false,"suffix":""},{"dropping-particle":"","family":"Buccini","given":"Gabriela","non-dropping-particle":"","parse-names":false,"suffix":""}],"container-title":"International Journal of Environment Research and Public Health","id":"ITEM-1","issue":"6594","issued":{"date-parts":[["2023"]]},"page":"1-3","title":"Correction : Moura et al . Implementation of the Strategy for Breastfeeding and Complementary Feeding in the Federal District in Brazil","type":"article-journal","volume":"20"},"uris":["http://www.mendeley.com/documents/?uuid=545f6fda-6f7a-4843-b9f8-5f4d8e0ca679"]},{"id":"ITEM-2","itemData":{"DOI":"https://doi.org/10.1111/emre.12365","author":[{"dropping-particle":"","family":"Desmarchelier","given":"Benoît","non-dropping-particle":"","parse-names":false,"suffix":""},{"dropping-particle":"","family":"Djellal","given":"Faridah","non-dropping-particle":"","parse-names":false,"suffix":""},{"dropping-particle":"","family":"Gallouj","given":"Faïz","non-dropping-particle":"","parse-names":false,"suffix":""}],"container-title":"European Management Review","id":"ITEM-2","issued":{"date-parts":[["2019"]]},"page":"439-448","title":"Users’ involvement in value co-creation: The more the better?","type":"article-journal","volume":"17"},"uris":["http://www.mendeley.com/documents/?uuid=c71ea64a-5e94-4131-af36-c060ae3d7566"]},{"id":"ITEM-3","itemData":{"DOI":"10.1080/10978526.2020.1802286","ISSN":"1097-8526","author":[{"dropping-particle":"","family":"Guarcello","given":"Claudio","non-dropping-particle":"","parse-names":false,"suffix":""},{"dropping-particle":"","family":"Vargas","given":"Eduardo Raupp","non-dropping-particle":"de","parse-names":false,"suffix":""}],"container-title":"Latin American Business Review","id":"ITEM-3","issue":"4","issued":{"date-parts":[["2020","10","1"]]},"note":"doi: 10.1080/10978526.2020.1802286","page":"353-369","publisher":"Routledge","title":"Service Innovation in Healthcare: A Systematic Literature Review","type":"article-journal","volume":"21"},"uris":["http://www.mendeley.com/documents/?uuid=4e7582ba-4c69-4b5b-a74c-2e02d8b7b436"]}],"mendeley":{"formattedCitation":"(Desmarchelier et al., 2019; Guarcello &amp; de Vargas, 2020; Moura et al., 2023)","plainTextFormattedCitation":"(Desmarchelier et al., 2019; Guarcello &amp; de Vargas, 2020; Moura et al., 2023)","previouslyFormattedCitation":"(Desmarchelier et al., 2019; Guarcello &amp; de Vargas, 2020; Moura et al., 2023)"},"properties":{"noteIndex":0},"schema":"https://github.com/citation-style-language/schema/raw/master/csl-citation.json"}</w:instrText>
      </w:r>
      <w:r w:rsidR="00791FF8">
        <w:rPr>
          <w:color w:val="000000" w:themeColor="text1"/>
        </w:rPr>
        <w:fldChar w:fldCharType="separate"/>
      </w:r>
      <w:r w:rsidR="00791FF8" w:rsidRPr="00791FF8">
        <w:rPr>
          <w:noProof/>
          <w:color w:val="000000" w:themeColor="text1"/>
        </w:rPr>
        <w:t>(Desmarchelier et al., 2019; Guarcello &amp; de Vargas, 2020; Moura et al., 2023)</w:t>
      </w:r>
      <w:r w:rsidR="00791FF8">
        <w:rPr>
          <w:color w:val="000000" w:themeColor="text1"/>
        </w:rPr>
        <w:fldChar w:fldCharType="end"/>
      </w:r>
      <w:r w:rsidR="00791FF8">
        <w:rPr>
          <w:color w:val="000000" w:themeColor="text1"/>
        </w:rPr>
        <w:t>.</w:t>
      </w:r>
    </w:p>
    <w:p w14:paraId="7A150AD2" w14:textId="37F70DB8" w:rsidR="00855B67" w:rsidRPr="00097749" w:rsidRDefault="001D52F7" w:rsidP="001D52F7">
      <w:pPr>
        <w:pStyle w:val="BodyText"/>
        <w:rPr>
          <w:color w:val="000000" w:themeColor="text1"/>
        </w:rPr>
      </w:pPr>
      <w:r w:rsidRPr="00097749">
        <w:rPr>
          <w:color w:val="000000" w:themeColor="text1"/>
        </w:rPr>
        <w:t>H5: Enabling factors positively influence service innovation.</w:t>
      </w:r>
    </w:p>
    <w:p w14:paraId="6EDBF1E2" w14:textId="7C91C674" w:rsidR="00097749" w:rsidRPr="00097749" w:rsidRDefault="00097749" w:rsidP="00BF2B29">
      <w:pPr>
        <w:pStyle w:val="BodyText"/>
        <w:spacing w:after="0"/>
        <w:jc w:val="both"/>
        <w:rPr>
          <w:color w:val="000000" w:themeColor="text1"/>
        </w:rPr>
      </w:pPr>
      <w:r w:rsidRPr="00097749">
        <w:rPr>
          <w:color w:val="000000" w:themeColor="text1"/>
        </w:rPr>
        <w:t xml:space="preserve">Supportive families and healthcare providers tend to foster or adopt innovative practices. Evidence from Indonesia shows that family and provider engagement improve the uptake of supervised treatment and digital reminders </w:t>
      </w:r>
      <w:r w:rsidR="00855B67">
        <w:rPr>
          <w:color w:val="000000" w:themeColor="text1"/>
        </w:rPr>
        <w:fldChar w:fldCharType="begin" w:fldLock="1"/>
      </w:r>
      <w:r w:rsidR="00BF2B29">
        <w:rPr>
          <w:color w:val="000000" w:themeColor="text1"/>
        </w:rPr>
        <w:instrText>ADDIN CSL_CITATION {"citationItems":[{"id":"ITEM-1","itemData":{"DOI":"10.1016/S1473-3099(21)00358-3","ISSN":"1473-3099","author":[{"dropping-particle":"","family":"Poespoprodjo","given":"Jeanne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Diseases","id":"ITEM-1","issue":"3","issued":{"date-parts":[["2022","3","1"]]},"note":"doi: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trial","type":"article-journal","volume":"22"},"uris":["http://www.mendeley.com/documents/?uuid=98076772-06c2-4046-950a-6bba70420feb"]},{"id":"ITEM-2","itemData":{"DOI":"10.1186/s12936-025-05358-x","ISSN":"1475-2875","abstract":"Papua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Journal","id":"ITEM-2","issue":"1","issued":{"date-parts":[["2025"]]},"page":"177","title":"Enhanced data quality to improve malaria surveillance in Papua, Indonesia","type":"article-journal","volume":"24"},"uris":["http://www.mendeley.com/documents/?uuid=b2e31924-05c2-4d72-b3a5-7dd77885c151"]},{"id":"ITEM-3","itemData":{"DOI":"https://doi.org/10.35829/magisma.v10i2.230","author":[{"dropping-particle":"","family":"Sucahyo","given":"Imam","non-dropping-particle":"","parse-names":false,"suffix":""},{"dropping-particle":"","family":"Solovida","given":"Grace Tiana","non-dropping-particle":"","parse-names":false,"suffix":""}],"container-title":"MAGISMA:Jurnal Ilmiah Ekonomi dan Bisnis","id":"ITEM-3","issue":"2","issued":{"date-parts":[["2022"]]},"page":"215-231","title":"Analisis pengaruh servicescape dan inovasi layanan terhadap kepuasan masyarakat dengan kepercayaan sebagai variabel mediasi (Studi tentang pelayanan pendaftaran Haji di Kota Semarang)","type":"article-journal","volume":"X"},"uris":["http://www.mendeley.com/documents/?uuid=193fc4e6-91b6-473e-ab4e-d8bc45445d35"]}],"mendeley":{"formattedCitation":"(Fransisca et al., 2025; Poespoprodjo et al., 2022; Sucahyo &amp; Solovida, 2022)","plainTextFormattedCitation":"(Fransisca et al., 2025; Poespoprodjo et al., 2022; Sucahyo &amp; Solovida, 2022)","previouslyFormattedCitation":"(Fransisca et al., 2025; Poespoprodjo et al., 2022; Sucahyo &amp; Solovida, 2022)"},"properties":{"noteIndex":0},"schema":"https://github.com/citation-style-language/schema/raw/master/csl-citation.json"}</w:instrText>
      </w:r>
      <w:r w:rsidR="00855B67">
        <w:rPr>
          <w:color w:val="000000" w:themeColor="text1"/>
        </w:rPr>
        <w:fldChar w:fldCharType="separate"/>
      </w:r>
      <w:r w:rsidR="00855B67" w:rsidRPr="00855B67">
        <w:rPr>
          <w:noProof/>
          <w:color w:val="000000" w:themeColor="text1"/>
        </w:rPr>
        <w:t>(Fransisca et al., 2025; Poespoprodjo et al., 2022; Sucahyo &amp; Solovida, 2022)</w:t>
      </w:r>
      <w:r w:rsidR="00855B67">
        <w:rPr>
          <w:color w:val="000000" w:themeColor="text1"/>
        </w:rPr>
        <w:fldChar w:fldCharType="end"/>
      </w:r>
      <w:r w:rsidR="00855B67">
        <w:rPr>
          <w:color w:val="000000" w:themeColor="text1"/>
        </w:rPr>
        <w:t xml:space="preserve">. </w:t>
      </w:r>
    </w:p>
    <w:p w14:paraId="321FA9A7" w14:textId="77777777" w:rsidR="001D52F7" w:rsidRPr="00097749" w:rsidRDefault="001D52F7" w:rsidP="001D52F7">
      <w:pPr>
        <w:pStyle w:val="BodyText"/>
        <w:rPr>
          <w:color w:val="000000" w:themeColor="text1"/>
        </w:rPr>
      </w:pPr>
      <w:r w:rsidRPr="00097749">
        <w:rPr>
          <w:color w:val="000000" w:themeColor="text1"/>
        </w:rPr>
        <w:t>H6: Reinforcing factors positively influence service innovation.</w:t>
      </w:r>
    </w:p>
    <w:p w14:paraId="26C52E4B" w14:textId="42BB44A4" w:rsidR="00097749" w:rsidRPr="00097749" w:rsidRDefault="00097749" w:rsidP="00EA2317">
      <w:pPr>
        <w:pStyle w:val="BodyText"/>
        <w:spacing w:after="0"/>
        <w:jc w:val="both"/>
        <w:rPr>
          <w:color w:val="000000" w:themeColor="text1"/>
        </w:rPr>
      </w:pPr>
      <w:r w:rsidRPr="00097749">
        <w:rPr>
          <w:color w:val="000000" w:themeColor="text1"/>
        </w:rPr>
        <w:t>Innovative processes, including malaria corners, home-based monitoring, and digital health platforms, enhance patient experiences and satisfaction by improving accessibility a</w:t>
      </w:r>
      <w:r w:rsidR="00BF2B29">
        <w:rPr>
          <w:color w:val="000000" w:themeColor="text1"/>
        </w:rPr>
        <w:t>nd</w:t>
      </w:r>
      <w:r w:rsidRPr="00097749">
        <w:rPr>
          <w:color w:val="000000" w:themeColor="text1"/>
        </w:rPr>
        <w:t xml:space="preserve"> responsiveness </w:t>
      </w:r>
      <w:r w:rsidR="00BF2B29">
        <w:rPr>
          <w:color w:val="000000" w:themeColor="text1"/>
        </w:rPr>
        <w:fldChar w:fldCharType="begin" w:fldLock="1"/>
      </w:r>
      <w:r w:rsidR="005E7E14">
        <w:rPr>
          <w:color w:val="000000" w:themeColor="text1"/>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Review","type":"article-journal","volume":"21"},"uris":["http://www.mendeley.com/documents/?uuid=4e7582ba-4c69-4b5b-a74c-2e02d8b7b436"]},{"id":"ITEM-2","itemData":{"DOI":"10.1177/0972063421994987","ISSN":"0972-0634","abstract":"COVID-19 once again has shown the world the importance of an urgent need for revitalising the health system based on a strong primary healthcare foundation. It is clear that without a community-based grassroots level care delivery system, Test, Trace and Isolation may not be an effective operational possibility. Politics of health with consequent austerity programme and dependence on secondary hospital care?based system has proved to be ineffective and costly in meeting the changing demands for healthcare of the population. Demographic and epidemiological transition with the increasing burden of chronic care; unfinished agenda of Millennium Development Goals (MDGs) and the new challenge of achieving Sustainable Development Gaos (SDGs), including Universal Health Care; improving quality along with access to care; and addressing the existing inequity in healthcare service, politicians and public health leaders must realise and invest in people-centred, need-based primary healthcare. Significant and sustained productivity gains can be made through various innovations that can change how quality services are delivered and reduce inequity. In order for primary healthcare to become fit for purpose, it must improve its allocative, technical and service delivery efficiencies; effectiveness and responsiveness of care; access, quality and equity of care; and have an inbuilt monitoring and accountability framework. The system must create a conducive political, social and service delivery environment for innovations. Today, developing countries, as well as developed countries, are all strengthening their primary healthcare system through various innovations to maximise the use of scarce resources to reach all people who need care and minimising cost, wastage and inefficiencies.","author":[{"dropping-particle":"","family":"Islam","given":"Q. M","non-dropping-particle":"","parse-names":false,"suffix":""}],"container-title":"Journal of Health Management","id":"ITEM-2","issue":"1","issued":{"date-parts":[["2021","3","1"]]},"note":"doi: 10.1177/0972063421994987","page":"129-142","publisher":"SAGE Publications India","title":"Innovation in primary healthcare in the twenty-first century","type":"article-journal","volume":"23"},"uris":["http://www.mendeley.com/documents/?uuid=a25d03d6-ad08-4717-8064-9d4ae92c3de5"]},{"id":"ITEM-3","itemData":{"DOI":"10.1186/s12936-025-05358-x","ISSN":"1475-2875","abstract":"Papua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Journal","id":"ITEM-3","issue":"1","issued":{"date-parts":[["2025"]]},"page":"177","title":"Enhanced data quality to improve malaria surveillance in Papua, Indonesia","type":"article-journal","volume":"24"},"uris":["http://www.mendeley.com/documents/?uuid=b2e31924-05c2-4d72-b3a5-7dd77885c151"]},{"id":"ITEM-4","itemData":{"DOI":"https://doi.org/ 10.3390/ijerph20166594","author":[{"dropping-particle":"","family":"Moura","given":"Amanda Souza","non-dropping-particle":"","parse-names":false,"suffix":""},{"dropping-particle":"","family":"Gubert","given":"Muriel Bauermann","non-dropping-particle":"","parse-names":false,"suffix":""},{"dropping-particle":"","family":"Venancio","given":"Sonia Isoyama","non-dropping-particle":"","parse-names":false,"suffix":""},{"dropping-particle":"","family":"Buccini","given":"Gabriela","non-dropping-particle":"","parse-names":false,"suffix":""}],"container-title":"International Journal of Environment Research and Public Health","id":"ITEM-4","issue":"6594","issued":{"date-parts":[["2023"]]},"page":"1-3","title":"Correction : Moura et al . Implementation of the Strategy for Breastfeeding and Complementary Feeding in the Federal District in Brazil","type":"article-journal","volume":"20"},"uris":["http://www.mendeley.com/documents/?uuid=545f6fda-6f7a-4843-b9f8-5f4d8e0ca679"]}],"mendeley":{"formattedCitation":"(Fransisca et al., 2025; Guarcello &amp; de Vargas, 2020; Islam, 2021; Moura et al., 2023)","plainTextFormattedCitation":"(Fransisca et al., 2025; Guarcello &amp; de Vargas, 2020; Islam, 2021; Moura et al., 2023)","previouslyFormattedCitation":"(Fransisca et al., 2025; Guarcello &amp; de Vargas, 2020; Islam, 2021; Moura et al., 2023)"},"properties":{"noteIndex":0},"schema":"https://github.com/citation-style-language/schema/raw/master/csl-citation.json"}</w:instrText>
      </w:r>
      <w:r w:rsidR="00BF2B29">
        <w:rPr>
          <w:color w:val="000000" w:themeColor="text1"/>
        </w:rPr>
        <w:fldChar w:fldCharType="separate"/>
      </w:r>
      <w:r w:rsidR="00BF2B29" w:rsidRPr="00BF2B29">
        <w:rPr>
          <w:noProof/>
          <w:color w:val="000000" w:themeColor="text1"/>
        </w:rPr>
        <w:t>(Fransisca et al., 2025; Guarcello &amp; de Vargas, 2020; Islam, 2021; Moura et al., 2023)</w:t>
      </w:r>
      <w:r w:rsidR="00BF2B29">
        <w:rPr>
          <w:color w:val="000000" w:themeColor="text1"/>
        </w:rPr>
        <w:fldChar w:fldCharType="end"/>
      </w:r>
      <w:r w:rsidR="00BF2B29">
        <w:rPr>
          <w:color w:val="000000" w:themeColor="text1"/>
        </w:rPr>
        <w:t xml:space="preserve">. </w:t>
      </w:r>
    </w:p>
    <w:p w14:paraId="1CB077C2" w14:textId="77777777" w:rsidR="001D52F7" w:rsidRPr="00097749" w:rsidRDefault="001D52F7" w:rsidP="001D52F7">
      <w:pPr>
        <w:pStyle w:val="BodyText"/>
        <w:rPr>
          <w:color w:val="000000" w:themeColor="text1"/>
        </w:rPr>
      </w:pPr>
      <w:r w:rsidRPr="00097749">
        <w:rPr>
          <w:color w:val="000000" w:themeColor="text1"/>
        </w:rPr>
        <w:t>H7: Service innovation positively influences patient satisfaction.</w:t>
      </w:r>
    </w:p>
    <w:p w14:paraId="5B18C123" w14:textId="55CCB51F" w:rsidR="00097749" w:rsidRPr="00097749" w:rsidRDefault="00097749" w:rsidP="005E7E14">
      <w:pPr>
        <w:pStyle w:val="BodyText"/>
        <w:spacing w:after="0"/>
        <w:jc w:val="both"/>
        <w:rPr>
          <w:color w:val="000000" w:themeColor="text1"/>
        </w:rPr>
      </w:pPr>
      <w:r w:rsidRPr="00097749">
        <w:rPr>
          <w:color w:val="000000" w:themeColor="text1"/>
        </w:rPr>
        <w:t xml:space="preserve">Predisposing factors such as awareness and motivation may only improve satisfaction when supported by innovative service that facilitate treatment completion and communication </w:t>
      </w:r>
      <w:r w:rsidR="00D426CC">
        <w:rPr>
          <w:color w:val="000000" w:themeColor="text1"/>
        </w:rPr>
        <w:fldChar w:fldCharType="begin" w:fldLock="1"/>
      </w:r>
      <w:r w:rsidR="00E564BC">
        <w:rPr>
          <w:color w:val="000000" w:themeColor="text1"/>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id":"ITEM-2","itemData":{"DOI":"https://doi.org/10.35829/magisma.v10i2.230","author":[{"dropping-particle":"","family":"Sucahyo","given":"Imam","non-dropping-particle":"","parse-names":false,"suffix":""},{"dropping-particle":"","family":"Solovida","given":"Grace Tiana","non-dropping-particle":"","parse-names":false,"suffix":""}],"container-title":"MAGISMA:Jurnal Ilmiah Ekonomi dan Bisnis","id":"ITEM-2","issue":"2","issued":{"date-parts":[["2022"]]},"page":"215-231","title":"Analisis pengaruh servicescape dan inovasi layanan terhadap kepuasan masyarakat dengan kepercayaan sebagai variabel mediasi (Studi tentang pelayanan pendaftaran Haji di Kota Semarang)","type":"article-journal","volume":"X"},"uris":["http://www.mendeley.com/documents/?uuid=193fc4e6-91b6-473e-ab4e-d8bc45445d35"]},{"id":"ITEM-3","itemData":{"DOI":"https://doi.org/10.1111/emre.12365","author":[{"dropping-particle":"","family":"Desmarchelier","given":"Benoît","non-dropping-particle":"","parse-names":false,"suffix":""},{"dropping-particle":"","family":"Djellal","given":"Faridah","non-dropping-particle":"","parse-names":false,"suffix":""},{"dropping-particle":"","family":"Gallouj","given":"Faïz","non-dropping-particle":"","parse-names":false,"suffix":""}],"container-title":"European Management Review","id":"ITEM-3","issued":{"date-parts":[["2019"]]},"page":"439-448","title":"Users’ involvement in value co-creation: The more the better?","type":"article-journal","volume":"17"},"uris":["http://www.mendeley.com/documents/?uuid=c71ea64a-5e94-4131-af36-c060ae3d7566"]},{"id":"ITEM-4","itemData":{"DOI":"10.1186/s12936-025-05358-x","ISSN":"1475-2875","abstract":"Papua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Journal","id":"ITEM-4","issue":"1","issued":{"date-parts":[["2025"]]},"page":"177","title":"Enhanced data quality to improve malaria surveillance in Papua, Indonesia","type":"article-journal","volume":"24"},"uris":["http://www.mendeley.com/documents/?uuid=b2e31924-05c2-4d72-b3a5-7dd77885c151"]}],"mendeley":{"formattedCitation":"(Desmarchelier et al., 2019; Fransisca et al., 2025; Guarcello &amp; de Vargas, 2020; Sucahyo &amp; Solovida, 2022)","plainTextFormattedCitation":"(Desmarchelier et al., 2019; Fransisca et al., 2025; Guarcello &amp; de Vargas, 2020; Sucahyo &amp; Solovida, 2022)","previouslyFormattedCitation":"(Desmarchelier et al., 2019; Fransisca et al., 2025; Guarcello &amp; de Vargas, 2020; Sucahyo &amp; Solovida, 2022)"},"properties":{"noteIndex":0},"schema":"https://github.com/citation-style-language/schema/raw/master/csl-citation.json"}</w:instrText>
      </w:r>
      <w:r w:rsidR="00D426CC">
        <w:rPr>
          <w:color w:val="000000" w:themeColor="text1"/>
        </w:rPr>
        <w:fldChar w:fldCharType="separate"/>
      </w:r>
      <w:r w:rsidR="00D426CC" w:rsidRPr="00D426CC">
        <w:rPr>
          <w:noProof/>
          <w:color w:val="000000" w:themeColor="text1"/>
        </w:rPr>
        <w:t>(Desmarchelier et al., 2019; Fransisca et al., 2025; Guarcello &amp; de Vargas, 2020; Sucahyo &amp; Solovida, 2022)</w:t>
      </w:r>
      <w:r w:rsidR="00D426CC">
        <w:rPr>
          <w:color w:val="000000" w:themeColor="text1"/>
        </w:rPr>
        <w:fldChar w:fldCharType="end"/>
      </w:r>
      <w:r w:rsidRPr="00097749">
        <w:rPr>
          <w:color w:val="000000" w:themeColor="text1"/>
        </w:rPr>
        <w:t>.</w:t>
      </w:r>
    </w:p>
    <w:p w14:paraId="393639EC" w14:textId="77777777" w:rsidR="001D52F7" w:rsidRPr="00097749" w:rsidRDefault="001D52F7" w:rsidP="001D52F7">
      <w:pPr>
        <w:pStyle w:val="BodyText"/>
        <w:rPr>
          <w:color w:val="000000" w:themeColor="text1"/>
        </w:rPr>
      </w:pPr>
      <w:r w:rsidRPr="00097749">
        <w:rPr>
          <w:color w:val="000000" w:themeColor="text1"/>
        </w:rPr>
        <w:t>H8: Service innovation mediates the relationship between predisposing factors and patient satisfaction.</w:t>
      </w:r>
    </w:p>
    <w:p w14:paraId="702AEC79" w14:textId="2E1CBD24" w:rsidR="00097749" w:rsidRPr="00097749" w:rsidRDefault="00097749" w:rsidP="005E7E14">
      <w:pPr>
        <w:pStyle w:val="BodyText"/>
        <w:spacing w:after="0"/>
        <w:jc w:val="both"/>
        <w:rPr>
          <w:color w:val="000000" w:themeColor="text1"/>
        </w:rPr>
      </w:pPr>
      <w:r w:rsidRPr="00097749">
        <w:rPr>
          <w:color w:val="000000" w:themeColor="text1"/>
        </w:rPr>
        <w:t xml:space="preserve">Although enabling resources alone may not directly predict satisfaction, the influence can be channeled through innovation, such as fast-track service or digital reminders that improve perceived responsiveness </w:t>
      </w:r>
      <w:r w:rsidR="00E564BC">
        <w:rPr>
          <w:color w:val="000000" w:themeColor="text1"/>
        </w:rPr>
        <w:fldChar w:fldCharType="begin" w:fldLock="1"/>
      </w:r>
      <w:r w:rsidR="00FF515E">
        <w:rPr>
          <w:color w:val="000000" w:themeColor="text1"/>
        </w:rPr>
        <w:instrText>ADDIN CSL_CITATION {"citationItems":[{"id":"ITEM-1","itemData":{"DOI":"10.1177/0972063421994987","ISSN":"0972-0634","abstract":"COVID-19 once again has shown the world the importance of an urgent need for revitalising the health system based on a strong primary healthcare foundation. It is clear that without a community-based grassroots level care delivery system, Test, Trace and Isolation may not be an effective operational possibility. Politics of health with consequent austerity programme and dependence on secondary hospital care?based system has proved to be ineffective and costly in meeting the changing demands for healthcare of the population. Demographic and epidemiological transition with the increasing burden of chronic care; unfinished agenda of Millennium Development Goals (MDGs) and the new challenge of achieving Sustainable Development Gaos (SDGs), including Universal Health Care; improving quality along with access to care; and addressing the existing inequity in healthcare service, politicians and public health leaders must realise and invest in people-centred, need-based primary healthcare. Significant and sustained productivity gains can be made through various innovations that can change how quality services are delivered and reduce inequity. In order for primary healthcare to become fit for purpose, it must improve its allocative, technical and service delivery efficiencies; effectiveness and responsiveness of care; access, quality and equity of care; and have an inbuilt monitoring and accountability framework. The system must create a conducive political, social and service delivery environment for innovations. Today, developing countries, as well as developed countries, are all strengthening their primary healthcare system through various innovations to maximise the use of scarce resources to reach all people who need care and minimising cost, wastage and inefficiencies.","author":[{"dropping-particle":"","family":"Islam","given":"Q. M","non-dropping-particle":"","parse-names":false,"suffix":""}],"container-title":"Journal of Health Management","id":"ITEM-1","issue":"1","issued":{"date-parts":[["2021","3","1"]]},"note":"doi: 10.1177/0972063421994987","page":"129-142","publisher":"SAGE Publications India","title":"Innovation in primary healthcare in the twenty-first century","type":"article-journal","volume":"23"},"uris":["http://www.mendeley.com/documents/?uuid=a25d03d6-ad08-4717-8064-9d4ae92c3de5"]},{"id":"ITEM-2","itemData":{"DOI":"https://doi.org/ 10.3390/ijerph20166594","author":[{"dropping-particle":"","family":"Moura","given":"Amanda Souza","non-dropping-particle":"","parse-names":false,"suffix":""},{"dropping-particle":"","family":"Gubert","given":"Muriel Bauermann","non-dropping-particle":"","parse-names":false,"suffix":""},{"dropping-particle":"","family":"Venancio","given":"Sonia Isoyama","non-dropping-particle":"","parse-names":false,"suffix":""},{"dropping-particle":"","family":"Buccini","given":"Gabriela","non-dropping-particle":"","parse-names":false,"suffix":""}],"container-title":"International Journal of Environment Research and Public Health","id":"ITEM-2","issue":"6594","issued":{"date-parts":[["2023"]]},"page":"1-3","title":"Correction : Moura et al . Implementation of the Strategy for Breastfeeding and Complementary Feeding in the Federal District in Brazil","type":"article-journal","volume":"20"},"uris":["http://www.mendeley.com/documents/?uuid=545f6fda-6f7a-4843-b9f8-5f4d8e0ca679"]}],"mendeley":{"formattedCitation":"(Islam, 2021; Moura et al., 2023)","plainTextFormattedCitation":"(Islam, 2021; Moura et al., 2023)","previouslyFormattedCitation":"(Islam, 2021; Moura et al., 2023)"},"properties":{"noteIndex":0},"schema":"https://github.com/citation-style-language/schema/raw/master/csl-citation.json"}</w:instrText>
      </w:r>
      <w:r w:rsidR="00E564BC">
        <w:rPr>
          <w:color w:val="000000" w:themeColor="text1"/>
        </w:rPr>
        <w:fldChar w:fldCharType="separate"/>
      </w:r>
      <w:r w:rsidR="00E564BC" w:rsidRPr="00E564BC">
        <w:rPr>
          <w:noProof/>
          <w:color w:val="000000" w:themeColor="text1"/>
        </w:rPr>
        <w:t>(Islam, 2021; Moura et al., 2023)</w:t>
      </w:r>
      <w:r w:rsidR="00E564BC">
        <w:rPr>
          <w:color w:val="000000" w:themeColor="text1"/>
        </w:rPr>
        <w:fldChar w:fldCharType="end"/>
      </w:r>
      <w:r w:rsidR="00E564BC">
        <w:rPr>
          <w:color w:val="000000" w:themeColor="text1"/>
        </w:rPr>
        <w:t>.</w:t>
      </w:r>
    </w:p>
    <w:p w14:paraId="39C56FEC" w14:textId="77777777" w:rsidR="001D52F7" w:rsidRPr="00097749" w:rsidRDefault="001D52F7" w:rsidP="001D52F7">
      <w:pPr>
        <w:pStyle w:val="BodyText"/>
        <w:rPr>
          <w:color w:val="000000" w:themeColor="text1"/>
        </w:rPr>
      </w:pPr>
      <w:r w:rsidRPr="00097749">
        <w:rPr>
          <w:color w:val="000000" w:themeColor="text1"/>
        </w:rPr>
        <w:t>H9: Service innovation mediates the relationship between enabling factors and patient satisfaction.</w:t>
      </w:r>
    </w:p>
    <w:p w14:paraId="6A241F3A" w14:textId="6D8ABE5B" w:rsidR="00097749" w:rsidRDefault="00097749" w:rsidP="005E7E14">
      <w:pPr>
        <w:pStyle w:val="BodyText"/>
        <w:spacing w:after="0"/>
        <w:jc w:val="both"/>
        <w:rPr>
          <w:color w:val="000000" w:themeColor="text1"/>
        </w:rPr>
      </w:pPr>
      <w:r w:rsidRPr="00097749">
        <w:rPr>
          <w:color w:val="000000" w:themeColor="text1"/>
        </w:rPr>
        <w:t xml:space="preserve">Reinforcing factors such as family and provider support become more effective when operationalized through innovative practices, including supervised treatment and home visits, which directly impact satisfaction </w:t>
      </w:r>
      <w:r w:rsidR="00FF515E">
        <w:rPr>
          <w:color w:val="000000" w:themeColor="text1"/>
        </w:rPr>
        <w:fldChar w:fldCharType="begin" w:fldLock="1"/>
      </w:r>
      <w:r w:rsidR="00FF515E">
        <w:rPr>
          <w:color w:val="000000" w:themeColor="text1"/>
        </w:rPr>
        <w:instrText>ADDIN CSL_CITATION {"citationItems":[{"id":"ITEM-1","itemData":{"DOI":"10.1016/S1473-3099(21)00358-3","ISSN":"1473-3099","author":[{"dropping-particle":"","family":"Poespoprodjo","given":"Jeanne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Diseases","id":"ITEM-1","issue":"3","issued":{"date-parts":[["2022","3","1"]]},"note":"doi: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trial","type":"article-journal","volume":"22"},"uris":["http://www.mendeley.com/documents/?uuid=98076772-06c2-4046-950a-6bba70420feb"]},{"id":"ITEM-2","itemData":{"DOI":"10.1186/s12936-025-05358-x","ISSN":"1475-2875","abstract":"Papua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Journal","id":"ITEM-2","issue":"1","issued":{"date-parts":[["2025"]]},"page":"177","title":"Enhanced data quality to improve malaria surveillance in Papua, Indonesia","type":"article-journal","volume":"24"},"uris":["http://www.mendeley.com/documents/?uuid=b2e31924-05c2-4d72-b3a5-7dd77885c151"]},{"id":"ITEM-3","itemData":{"DOI":"https://doi.org/10.35829/magisma.v10i2.230","author":[{"dropping-particle":"","family":"Sucahyo","given":"Imam","non-dropping-particle":"","parse-names":false,"suffix":""},{"dropping-particle":"","family":"Solovida","given":"Grace Tiana","non-dropping-particle":"","parse-names":false,"suffix":""}],"container-title":"MAGISMA:Jurnal Ilmiah Ekonomi dan Bisnis","id":"ITEM-3","issue":"2","issued":{"date-parts":[["2022"]]},"page":"215-231","title":"Analisis pengaruh servicescape dan inovasi layanan terhadap kepuasan masyarakat dengan kepercayaan sebagai variabel mediasi (Studi tentang pelayanan pendaftaran Haji di Kota Semarang)","type":"article-journal","volume":"X"},"uris":["http://www.mendeley.com/documents/?uuid=193fc4e6-91b6-473e-ab4e-d8bc45445d35"]}],"mendeley":{"formattedCitation":"(Fransisca et al., 2025; Poespoprodjo et al., 2022; Sucahyo &amp; Solovida, 2022)","plainTextFormattedCitation":"(Fransisca et al., 2025; Poespoprodjo et al., 2022; Sucahyo &amp; Solovida, 2022)"},"properties":{"noteIndex":0},"schema":"https://github.com/citation-style-language/schema/raw/master/csl-citation.json"}</w:instrText>
      </w:r>
      <w:r w:rsidR="00FF515E">
        <w:rPr>
          <w:color w:val="000000" w:themeColor="text1"/>
        </w:rPr>
        <w:fldChar w:fldCharType="separate"/>
      </w:r>
      <w:r w:rsidR="00FF515E" w:rsidRPr="00FF515E">
        <w:rPr>
          <w:noProof/>
          <w:color w:val="000000" w:themeColor="text1"/>
        </w:rPr>
        <w:t>(Fransisca et al., 2025; Poespoprodjo et al., 2022; Sucahyo &amp; Solovida, 2022)</w:t>
      </w:r>
      <w:r w:rsidR="00FF515E">
        <w:rPr>
          <w:color w:val="000000" w:themeColor="text1"/>
        </w:rPr>
        <w:fldChar w:fldCharType="end"/>
      </w:r>
      <w:r w:rsidR="00FF515E">
        <w:rPr>
          <w:color w:val="000000" w:themeColor="text1"/>
        </w:rPr>
        <w:t xml:space="preserve">. </w:t>
      </w:r>
    </w:p>
    <w:p w14:paraId="35007A0A" w14:textId="1C605DB1" w:rsidR="00DD41A8" w:rsidRPr="00097749" w:rsidRDefault="001D52F7" w:rsidP="00097749">
      <w:pPr>
        <w:pStyle w:val="BodyText"/>
        <w:rPr>
          <w:color w:val="000000" w:themeColor="text1"/>
        </w:rPr>
      </w:pPr>
      <w:r w:rsidRPr="00097749">
        <w:rPr>
          <w:color w:val="000000" w:themeColor="text1"/>
        </w:rPr>
        <w:t>H10: Service innovation mediates the relationship between reinforcing factors and patient satisfaction.</w:t>
      </w:r>
    </w:p>
    <w:p w14:paraId="414FB94C" w14:textId="5A0F87BA" w:rsidR="00DE5A8E" w:rsidRDefault="00097749" w:rsidP="00D426CC">
      <w:pPr>
        <w:pStyle w:val="BodyText"/>
        <w:jc w:val="both"/>
        <w:rPr>
          <w:color w:val="000000" w:themeColor="text1"/>
        </w:rPr>
      </w:pPr>
      <w:r w:rsidRPr="00097749">
        <w:rPr>
          <w:color w:val="000000" w:themeColor="text1"/>
        </w:rPr>
        <w:t>These hypotheses collectively form a coherent model connecting behavioral determinants of adherence with patient satisfaction through the mediating role of service innovation. This framework not only advances Andersen model theoretically but also provides a robust empirical basis for designing patient-centered malaria interventions in resource-limited contexts such as Papua.</w:t>
      </w:r>
    </w:p>
    <w:p w14:paraId="69930951" w14:textId="4549D22F" w:rsidR="00D426CC" w:rsidRPr="00D426CC" w:rsidRDefault="00D426CC" w:rsidP="00D426CC">
      <w:pPr>
        <w:pStyle w:val="BodyText"/>
        <w:jc w:val="both"/>
        <w:rPr>
          <w:b/>
          <w:bCs/>
          <w:color w:val="000000" w:themeColor="text1"/>
        </w:rPr>
      </w:pPr>
      <w:r w:rsidRPr="00D426CC">
        <w:rPr>
          <w:b/>
          <w:bCs/>
          <w:color w:val="000000" w:themeColor="text1"/>
        </w:rPr>
        <w:lastRenderedPageBreak/>
        <w:t>METHODS</w:t>
      </w:r>
    </w:p>
    <w:p w14:paraId="40E5A9FE" w14:textId="013DC215" w:rsidR="00097749" w:rsidRPr="00097749" w:rsidRDefault="00097749" w:rsidP="00097749">
      <w:pPr>
        <w:pStyle w:val="BodyText"/>
        <w:rPr>
          <w:b/>
          <w:bCs/>
          <w:color w:val="000000" w:themeColor="text1"/>
        </w:rPr>
      </w:pPr>
      <w:r w:rsidRPr="00097749">
        <w:rPr>
          <w:b/>
          <w:bCs/>
          <w:color w:val="000000" w:themeColor="text1"/>
        </w:rPr>
        <w:t>Study Design</w:t>
      </w:r>
    </w:p>
    <w:p w14:paraId="45B75A34" w14:textId="20A98C8C" w:rsidR="00097749" w:rsidRPr="00097749" w:rsidRDefault="00097749" w:rsidP="005E7E14">
      <w:pPr>
        <w:pStyle w:val="BodyText"/>
        <w:jc w:val="both"/>
        <w:rPr>
          <w:color w:val="000000" w:themeColor="text1"/>
        </w:rPr>
      </w:pPr>
      <w:r w:rsidRPr="00097749">
        <w:rPr>
          <w:color w:val="000000" w:themeColor="text1"/>
        </w:rPr>
        <w:t xml:space="preserve">This study used a quantitative cross-sectional design, which is appropriate for examining associations between latent variables at a single point in time. The design allows the identification of direct and indirect effects among constructs, including the mediating role of service innovation, without requiring longitudinal follow-up. This approach has been widely used in health service studies where the aim is to validate conceptual models and test hypothesized relationships </w:t>
      </w:r>
      <w:r w:rsidR="005E7E14">
        <w:rPr>
          <w:color w:val="000000" w:themeColor="text1"/>
        </w:rPr>
        <w:fldChar w:fldCharType="begin" w:fldLock="1"/>
      </w:r>
      <w:r w:rsidR="00FF5F59">
        <w:rPr>
          <w:color w:val="000000" w:themeColor="text1"/>
        </w:rPr>
        <w:instrText>ADDIN CSL_CITATION {"citationItems":[{"id":"ITEM-1","itemData":{"ISBN":"3527287728","author":[{"dropping-particle":"","family":"Hair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E.","non-dropping-particle":"","parse-names":false,"suffix":""}],"edition":"8","id":"ITEM-1","issued":{"date-parts":[["2019"]]},"number-of-pages":"834","publisher":"Cengage Learning","publisher-place":"Cheriton House, North Way","title":"Multivariate Data Analysis","type":"book"},"uris":["http://www.mendeley.com/documents/?uuid=e8a80598-1f25-49eb-8412-3bb111c64370"]},{"id":"ITEM-2","itemData":{"DOI":"https://doi.org/10.3205/psm000089","author":[{"dropping-particle":"","family":"Babitsch","given":"Birgit","non-dropping-particle":"","parse-names":false,"suffix":""},{"dropping-particle":"","family":"Gohl","given":"Daniela","non-dropping-particle":"","parse-names":false,"suffix":""},{"dropping-particle":"von","family":"Lengerke","given":"Thomas","non-dropping-particle":"","parse-names":false,"suffix":""}],"container-title":"GMS Psycho-Social-Medicine 2012,","id":"ITEM-2","issued":{"date-parts":[["2012"]]},"page":"1-15","title":"Re-revisiting Andersen’s Behavioral Model of health services use: A systematic review of studies from","type":"article-journal","volume":"9"},"uris":["http://www.mendeley.com/documents/?uuid=c33133ab-1daa-4052-9b1e-e3abe4394795"]}],"mendeley":{"formattedCitation":"(Babitsch et al., 2012; Hair Jr. et al., 2019)","plainTextFormattedCitation":"(Babitsch et al., 2012; Hair Jr. et al., 2019)","previouslyFormattedCitation":"(Babitsch et al., 2012; Hair Jr. et al., 2019)"},"properties":{"noteIndex":0},"schema":"https://github.com/citation-style-language/schema/raw/master/csl-citation.json"}</w:instrText>
      </w:r>
      <w:r w:rsidR="005E7E14">
        <w:rPr>
          <w:color w:val="000000" w:themeColor="text1"/>
        </w:rPr>
        <w:fldChar w:fldCharType="separate"/>
      </w:r>
      <w:r w:rsidR="005E7E14" w:rsidRPr="005E7E14">
        <w:rPr>
          <w:noProof/>
          <w:color w:val="000000" w:themeColor="text1"/>
        </w:rPr>
        <w:t>(Babitsch et al., 2012; Hair Jr. et al., 2019)</w:t>
      </w:r>
      <w:r w:rsidR="005E7E14">
        <w:rPr>
          <w:color w:val="000000" w:themeColor="text1"/>
        </w:rPr>
        <w:fldChar w:fldCharType="end"/>
      </w:r>
    </w:p>
    <w:p w14:paraId="260C4A12" w14:textId="5A8FF239" w:rsidR="00097749" w:rsidRPr="00097749" w:rsidRDefault="00097749" w:rsidP="00097749">
      <w:pPr>
        <w:pStyle w:val="BodyText"/>
        <w:rPr>
          <w:b/>
          <w:bCs/>
          <w:color w:val="000000" w:themeColor="text1"/>
        </w:rPr>
      </w:pPr>
      <w:r w:rsidRPr="00097749">
        <w:rPr>
          <w:b/>
          <w:bCs/>
          <w:color w:val="000000" w:themeColor="text1"/>
        </w:rPr>
        <w:t>Study Setting</w:t>
      </w:r>
    </w:p>
    <w:p w14:paraId="40824B76" w14:textId="573B9346" w:rsidR="00097749" w:rsidRPr="00097749" w:rsidRDefault="00097749" w:rsidP="00FF5F59">
      <w:pPr>
        <w:pStyle w:val="BodyText"/>
        <w:jc w:val="both"/>
        <w:rPr>
          <w:color w:val="000000" w:themeColor="text1"/>
        </w:rPr>
      </w:pPr>
      <w:r w:rsidRPr="00097749">
        <w:rPr>
          <w:color w:val="000000" w:themeColor="text1"/>
        </w:rPr>
        <w:t>This study was conducted at Wania Community Health Center (</w:t>
      </w:r>
      <w:proofErr w:type="spellStart"/>
      <w:r w:rsidRPr="00CF344D">
        <w:rPr>
          <w:i/>
          <w:iCs/>
          <w:color w:val="000000" w:themeColor="text1"/>
        </w:rPr>
        <w:t>Puskesmas</w:t>
      </w:r>
      <w:proofErr w:type="spellEnd"/>
      <w:r w:rsidRPr="00CF344D">
        <w:rPr>
          <w:i/>
          <w:iCs/>
          <w:color w:val="000000" w:themeColor="text1"/>
        </w:rPr>
        <w:t xml:space="preserve"> </w:t>
      </w:r>
      <w:proofErr w:type="spellStart"/>
      <w:r w:rsidRPr="00097749">
        <w:rPr>
          <w:color w:val="000000" w:themeColor="text1"/>
        </w:rPr>
        <w:t>Wania</w:t>
      </w:r>
      <w:proofErr w:type="spellEnd"/>
      <w:r w:rsidRPr="00097749">
        <w:rPr>
          <w:color w:val="000000" w:themeColor="text1"/>
        </w:rPr>
        <w:t xml:space="preserve">), located in </w:t>
      </w:r>
      <w:proofErr w:type="spellStart"/>
      <w:r w:rsidRPr="00097749">
        <w:rPr>
          <w:color w:val="000000" w:themeColor="text1"/>
        </w:rPr>
        <w:t>Mimika</w:t>
      </w:r>
      <w:proofErr w:type="spellEnd"/>
      <w:r w:rsidRPr="00097749">
        <w:rPr>
          <w:color w:val="000000" w:themeColor="text1"/>
        </w:rPr>
        <w:t xml:space="preserve"> District, Central Papua Province, Indonesia. This site was selected because it consistently reported the highest malaria incidence in the region over the past three years, with an Annual Parasite Incidence (API) exceeding 400 per 1,000 population, which is 400 times higher than the national elimination target of less than 1 per 1,000 </w:t>
      </w:r>
      <w:r w:rsidR="00FF5F59">
        <w:rPr>
          <w:color w:val="000000" w:themeColor="text1"/>
        </w:rPr>
        <w:fldChar w:fldCharType="begin" w:fldLock="1"/>
      </w:r>
      <w:r w:rsidR="00661DDF">
        <w:rPr>
          <w:color w:val="000000" w:themeColor="text1"/>
        </w:rPr>
        <w:instrText>ADDIN CSL_CITATION {"citationItems":[{"id":"ITEM-1","itemData":{"author":[{"dropping-particle":"","family":"Directorate General of Disease Prevention and Control, Ministry of Health","given":"Republic of Indonesia","non-dropping-particle":"","parse-names":false,"suffix":""}],"id":"ITEM-1","issued":{"date-parts":[["2023"]]},"title":"Malaria Annual Report 2022","type":"report"},"uris":["http://www.mendeley.com/documents/?uuid=ff214a23-567e-48e0-a2cf-a6b6d0b38c77"]}],"mendeley":{"formattedCitation":"(Directorate General of Disease Prevention and Control, Ministry of Health, 2023)","plainTextFormattedCitation":"(Directorate General of Disease Prevention and Control, Ministry of Health, 2023)","previouslyFormattedCitation":"(Directorate General of Disease Prevention and Control, Ministry of Health, 2023)"},"properties":{"noteIndex":0},"schema":"https://github.com/citation-style-language/schema/raw/master/csl-citation.json"}</w:instrText>
      </w:r>
      <w:r w:rsidR="00FF5F59">
        <w:rPr>
          <w:color w:val="000000" w:themeColor="text1"/>
        </w:rPr>
        <w:fldChar w:fldCharType="separate"/>
      </w:r>
      <w:r w:rsidR="00FF5F59" w:rsidRPr="00FF5F59">
        <w:rPr>
          <w:noProof/>
          <w:color w:val="000000" w:themeColor="text1"/>
        </w:rPr>
        <w:t>(Directorate General of Disease Prevention and Control, Ministry of Health, 2023)</w:t>
      </w:r>
      <w:r w:rsidR="00FF5F59">
        <w:rPr>
          <w:color w:val="000000" w:themeColor="text1"/>
        </w:rPr>
        <w:fldChar w:fldCharType="end"/>
      </w:r>
      <w:r w:rsidRPr="00097749">
        <w:rPr>
          <w:color w:val="000000" w:themeColor="text1"/>
        </w:rPr>
        <w:t>. Among the ten community health centers in Timika, Wania recorded the largest number of malaria cases, making it an appropriate setting for this study.</w:t>
      </w:r>
    </w:p>
    <w:p w14:paraId="6195CD2D" w14:textId="2610A521" w:rsidR="00097749" w:rsidRPr="00097749" w:rsidRDefault="00097749" w:rsidP="00097749">
      <w:pPr>
        <w:pStyle w:val="BodyText"/>
        <w:rPr>
          <w:b/>
          <w:bCs/>
          <w:color w:val="000000" w:themeColor="text1"/>
        </w:rPr>
      </w:pPr>
      <w:r w:rsidRPr="00097749">
        <w:rPr>
          <w:b/>
          <w:bCs/>
          <w:color w:val="000000" w:themeColor="text1"/>
        </w:rPr>
        <w:t>Population and Sampling</w:t>
      </w:r>
    </w:p>
    <w:p w14:paraId="4AED12FC" w14:textId="77777777" w:rsidR="00097749" w:rsidRPr="00097749" w:rsidRDefault="00097749" w:rsidP="006F0D34">
      <w:pPr>
        <w:pStyle w:val="BodyText"/>
        <w:jc w:val="both"/>
        <w:rPr>
          <w:color w:val="000000" w:themeColor="text1"/>
        </w:rPr>
      </w:pPr>
      <w:r w:rsidRPr="00097749">
        <w:rPr>
          <w:color w:val="000000" w:themeColor="text1"/>
        </w:rPr>
        <w:t xml:space="preserve">The population consisted of all patient diagnosed with malaria at </w:t>
      </w:r>
      <w:proofErr w:type="spellStart"/>
      <w:r w:rsidRPr="00097E0E">
        <w:rPr>
          <w:i/>
          <w:iCs/>
          <w:color w:val="000000" w:themeColor="text1"/>
        </w:rPr>
        <w:t>Puskesmas</w:t>
      </w:r>
      <w:proofErr w:type="spellEnd"/>
      <w:r w:rsidRPr="00097E0E">
        <w:rPr>
          <w:i/>
          <w:iCs/>
          <w:color w:val="000000" w:themeColor="text1"/>
        </w:rPr>
        <w:t xml:space="preserve"> </w:t>
      </w:r>
      <w:proofErr w:type="spellStart"/>
      <w:r w:rsidRPr="00097749">
        <w:rPr>
          <w:color w:val="000000" w:themeColor="text1"/>
        </w:rPr>
        <w:t>Wania</w:t>
      </w:r>
      <w:proofErr w:type="spellEnd"/>
      <w:r w:rsidRPr="00097749">
        <w:rPr>
          <w:color w:val="000000" w:themeColor="text1"/>
        </w:rPr>
        <w:t xml:space="preserve"> between 2021 and 2023. From this population, a sample of 220 respondents was determined using Slovin’s formula with a 5% margin of error, ensuring adequate representation. A simple random sampling technique was used to minimize bias and enhance the generalizability of the results.</w:t>
      </w:r>
    </w:p>
    <w:p w14:paraId="03FE2D02" w14:textId="6BD829A8" w:rsidR="00097749" w:rsidRPr="00097749" w:rsidRDefault="00097749" w:rsidP="00097749">
      <w:pPr>
        <w:pStyle w:val="BodyText"/>
        <w:rPr>
          <w:b/>
          <w:bCs/>
          <w:color w:val="000000" w:themeColor="text1"/>
        </w:rPr>
      </w:pPr>
      <w:r w:rsidRPr="00097749">
        <w:rPr>
          <w:b/>
          <w:bCs/>
          <w:color w:val="000000" w:themeColor="text1"/>
        </w:rPr>
        <w:t>Inclusion Criteria</w:t>
      </w:r>
    </w:p>
    <w:p w14:paraId="491168F0" w14:textId="77777777" w:rsidR="00097749" w:rsidRPr="00097749" w:rsidRDefault="00097749" w:rsidP="006F0D34">
      <w:pPr>
        <w:pStyle w:val="BodyText"/>
        <w:jc w:val="both"/>
        <w:rPr>
          <w:color w:val="000000" w:themeColor="text1"/>
        </w:rPr>
      </w:pPr>
      <w:r w:rsidRPr="00097749">
        <w:rPr>
          <w:color w:val="000000" w:themeColor="text1"/>
        </w:rPr>
        <w:t xml:space="preserve">Respondents were outpatient diagnosed with Plasmodium vivax malaria who were residents within the catchment area of </w:t>
      </w:r>
      <w:proofErr w:type="spellStart"/>
      <w:r w:rsidRPr="00097E0E">
        <w:rPr>
          <w:i/>
          <w:iCs/>
          <w:color w:val="000000" w:themeColor="text1"/>
        </w:rPr>
        <w:t>Puskesmas</w:t>
      </w:r>
      <w:proofErr w:type="spellEnd"/>
      <w:r w:rsidRPr="00097749">
        <w:rPr>
          <w:color w:val="000000" w:themeColor="text1"/>
        </w:rPr>
        <w:t xml:space="preserve"> </w:t>
      </w:r>
      <w:proofErr w:type="spellStart"/>
      <w:r w:rsidRPr="00097749">
        <w:rPr>
          <w:color w:val="000000" w:themeColor="text1"/>
        </w:rPr>
        <w:t>Wania</w:t>
      </w:r>
      <w:proofErr w:type="spellEnd"/>
      <w:r w:rsidRPr="00097749">
        <w:rPr>
          <w:color w:val="000000" w:themeColor="text1"/>
        </w:rPr>
        <w:t>, as verified by the National Identity Card or Family Card. Eligible respondents were patient aged 14 years and above presenting with mild malaria symptoms during the data collection period (November 2023–January 2024), as well as parents or guardians of children who had been diagnosed with malaria during the same timeframe. Only those who showed the ability to read and write, and who did not suffer from severe hearing or visual impairments that could interfere with participation, were considered for inclusion. Furthermore, respondents were required to provide written informed consent, ensuring voluntary participation in the study. These criteria ensured that the sample reflected patient or caregivers directly affected by malaria vivax and capable of reliably responding to the survey.</w:t>
      </w:r>
    </w:p>
    <w:p w14:paraId="3BF39668" w14:textId="5ADC3EF0" w:rsidR="00097749" w:rsidRPr="00097749" w:rsidRDefault="00097749" w:rsidP="00097749">
      <w:pPr>
        <w:pStyle w:val="BodyText"/>
        <w:rPr>
          <w:b/>
          <w:bCs/>
          <w:color w:val="000000" w:themeColor="text1"/>
        </w:rPr>
      </w:pPr>
      <w:r w:rsidRPr="00097749">
        <w:rPr>
          <w:b/>
          <w:bCs/>
          <w:color w:val="000000" w:themeColor="text1"/>
        </w:rPr>
        <w:t>Data Sources and Collection</w:t>
      </w:r>
    </w:p>
    <w:p w14:paraId="0ADDD7BF" w14:textId="77777777" w:rsidR="00097749" w:rsidRPr="00097749" w:rsidRDefault="00097749" w:rsidP="006F0D34">
      <w:pPr>
        <w:pStyle w:val="BodyText"/>
        <w:jc w:val="both"/>
        <w:rPr>
          <w:color w:val="000000" w:themeColor="text1"/>
        </w:rPr>
      </w:pPr>
      <w:r w:rsidRPr="00097749">
        <w:rPr>
          <w:color w:val="000000" w:themeColor="text1"/>
        </w:rPr>
        <w:t xml:space="preserve">This study used both primary and secondary data to provide a comprehensive understanding of malaria care in </w:t>
      </w:r>
      <w:proofErr w:type="spellStart"/>
      <w:r w:rsidRPr="00097749">
        <w:rPr>
          <w:color w:val="000000" w:themeColor="text1"/>
        </w:rPr>
        <w:t>Mimika</w:t>
      </w:r>
      <w:proofErr w:type="spellEnd"/>
      <w:r w:rsidRPr="00097749">
        <w:rPr>
          <w:color w:val="000000" w:themeColor="text1"/>
        </w:rPr>
        <w:t xml:space="preserve">. Primary data were collected through structured questionnaires administered in face-to-face interviews with respondents selected through simple random sampling. Trained enumerators assisted respondents during the process to minimize potential difficulties related to literacy. The questionnaires were designed to capture the three dimensions of treatment adherence, namely predisposing, enabling, and reinforcing factors, along with service innovation practices and patient satisfaction, using Likert-scale items adapted from validated instruments. Meanwhile, secondary data were obtained from the </w:t>
      </w:r>
      <w:proofErr w:type="spellStart"/>
      <w:r w:rsidRPr="00097749">
        <w:rPr>
          <w:color w:val="000000" w:themeColor="text1"/>
        </w:rPr>
        <w:t>Mimika</w:t>
      </w:r>
      <w:proofErr w:type="spellEnd"/>
      <w:r w:rsidRPr="00097749">
        <w:rPr>
          <w:color w:val="000000" w:themeColor="text1"/>
        </w:rPr>
        <w:t xml:space="preserve"> District Health Office, including official malaria surveillance reports, case records from </w:t>
      </w:r>
      <w:proofErr w:type="spellStart"/>
      <w:r w:rsidRPr="00097E0E">
        <w:rPr>
          <w:i/>
          <w:iCs/>
          <w:color w:val="000000" w:themeColor="text1"/>
        </w:rPr>
        <w:t>Puskesmas</w:t>
      </w:r>
      <w:proofErr w:type="spellEnd"/>
      <w:r w:rsidRPr="00097749">
        <w:rPr>
          <w:color w:val="000000" w:themeColor="text1"/>
        </w:rPr>
        <w:t xml:space="preserve"> </w:t>
      </w:r>
      <w:proofErr w:type="spellStart"/>
      <w:r w:rsidRPr="00097749">
        <w:rPr>
          <w:color w:val="000000" w:themeColor="text1"/>
        </w:rPr>
        <w:t>Wania</w:t>
      </w:r>
      <w:proofErr w:type="spellEnd"/>
      <w:r w:rsidRPr="00097749">
        <w:rPr>
          <w:color w:val="000000" w:themeColor="text1"/>
        </w:rPr>
        <w:t xml:space="preserve"> spanning 2021 to 2023, and the results of a mass blood survey conducted between November 2022 and February 2023 by the District Health Office in collaboration with PT Freeport Indonesia. These secondary sources provided </w:t>
      </w:r>
      <w:r w:rsidRPr="00097749">
        <w:rPr>
          <w:color w:val="000000" w:themeColor="text1"/>
        </w:rPr>
        <w:lastRenderedPageBreak/>
        <w:t>contextual information and served to triangulate the results from the primary data, thereby strengthening the validity of the study.</w:t>
      </w:r>
    </w:p>
    <w:p w14:paraId="79289C92" w14:textId="7D86B0D0" w:rsidR="00097749" w:rsidRPr="00097749" w:rsidRDefault="00097749" w:rsidP="00097749">
      <w:pPr>
        <w:pStyle w:val="BodyText"/>
        <w:rPr>
          <w:b/>
          <w:bCs/>
          <w:color w:val="000000" w:themeColor="text1"/>
        </w:rPr>
      </w:pPr>
      <w:r w:rsidRPr="00097749">
        <w:rPr>
          <w:b/>
          <w:bCs/>
          <w:color w:val="000000" w:themeColor="text1"/>
        </w:rPr>
        <w:t>Instrument Reliability and Validity</w:t>
      </w:r>
    </w:p>
    <w:p w14:paraId="260B7EA2" w14:textId="77777777" w:rsidR="00097749" w:rsidRPr="00097749" w:rsidRDefault="00097749" w:rsidP="00661DDF">
      <w:pPr>
        <w:pStyle w:val="BodyText"/>
        <w:jc w:val="both"/>
        <w:rPr>
          <w:color w:val="000000" w:themeColor="text1"/>
        </w:rPr>
      </w:pPr>
      <w:r w:rsidRPr="00097749">
        <w:rPr>
          <w:color w:val="000000" w:themeColor="text1"/>
        </w:rPr>
        <w:t xml:space="preserve">To ensure the robustness of the measurement model, reliability and validity tests were conducted using </w:t>
      </w:r>
      <w:proofErr w:type="spellStart"/>
      <w:r w:rsidRPr="00097749">
        <w:rPr>
          <w:color w:val="000000" w:themeColor="text1"/>
        </w:rPr>
        <w:t>SmartPLS</w:t>
      </w:r>
      <w:proofErr w:type="spellEnd"/>
      <w:r w:rsidRPr="00097749">
        <w:rPr>
          <w:color w:val="000000" w:themeColor="text1"/>
        </w:rPr>
        <w:t xml:space="preserve"> version 4. Reliability was assessed through Cronbach’s Alpha, Composite Reliability (CR), and </w:t>
      </w:r>
      <w:proofErr w:type="spellStart"/>
      <w:r w:rsidRPr="00097749">
        <w:rPr>
          <w:color w:val="000000" w:themeColor="text1"/>
        </w:rPr>
        <w:t>rho_A</w:t>
      </w:r>
      <w:proofErr w:type="spellEnd"/>
      <w:r w:rsidRPr="00097749">
        <w:rPr>
          <w:color w:val="000000" w:themeColor="text1"/>
        </w:rPr>
        <w:t xml:space="preserve">, while validity was tested through Average Variance Extracted (AVE), </w:t>
      </w:r>
      <w:proofErr w:type="spellStart"/>
      <w:r w:rsidRPr="00097749">
        <w:rPr>
          <w:color w:val="000000" w:themeColor="text1"/>
        </w:rPr>
        <w:t>Fornell</w:t>
      </w:r>
      <w:proofErr w:type="spellEnd"/>
      <w:r w:rsidRPr="00097749">
        <w:rPr>
          <w:color w:val="000000" w:themeColor="text1"/>
        </w:rPr>
        <w:t>–</w:t>
      </w:r>
      <w:proofErr w:type="spellStart"/>
      <w:r w:rsidRPr="00097749">
        <w:rPr>
          <w:color w:val="000000" w:themeColor="text1"/>
        </w:rPr>
        <w:t>Larcker</w:t>
      </w:r>
      <w:proofErr w:type="spellEnd"/>
      <w:r w:rsidRPr="00097749">
        <w:rPr>
          <w:color w:val="000000" w:themeColor="text1"/>
        </w:rPr>
        <w:t xml:space="preserve"> criterion, and </w:t>
      </w:r>
      <w:proofErr w:type="spellStart"/>
      <w:r w:rsidRPr="00097749">
        <w:rPr>
          <w:color w:val="000000" w:themeColor="text1"/>
        </w:rPr>
        <w:t>Heterotrait</w:t>
      </w:r>
      <w:proofErr w:type="spellEnd"/>
      <w:r w:rsidRPr="00097749">
        <w:rPr>
          <w:color w:val="000000" w:themeColor="text1"/>
        </w:rPr>
        <w:t>–</w:t>
      </w:r>
      <w:proofErr w:type="spellStart"/>
      <w:r w:rsidRPr="00097749">
        <w:rPr>
          <w:color w:val="000000" w:themeColor="text1"/>
        </w:rPr>
        <w:t>Monotrait</w:t>
      </w:r>
      <w:proofErr w:type="spellEnd"/>
      <w:r w:rsidRPr="00097749">
        <w:rPr>
          <w:color w:val="000000" w:themeColor="text1"/>
        </w:rPr>
        <w:t xml:space="preserve"> Ratio (HTMT).</w:t>
      </w:r>
    </w:p>
    <w:p w14:paraId="2205CE6A" w14:textId="77777777" w:rsidR="00097749" w:rsidRPr="00097E0E" w:rsidRDefault="00097749" w:rsidP="00097749">
      <w:pPr>
        <w:spacing w:before="100" w:beforeAutospacing="1" w:after="100" w:afterAutospacing="1"/>
        <w:jc w:val="center"/>
        <w:outlineLvl w:val="2"/>
        <w:rPr>
          <w:b/>
          <w:bCs/>
          <w:color w:val="000000" w:themeColor="text1"/>
          <w:lang w:val="en-ID" w:eastAsia="en-ID"/>
        </w:rPr>
      </w:pPr>
      <w:r w:rsidRPr="00097E0E">
        <w:rPr>
          <w:b/>
          <w:bCs/>
          <w:color w:val="000000" w:themeColor="text1"/>
          <w:lang w:val="en-ID" w:eastAsia="en-ID"/>
        </w:rPr>
        <w:t>Table 2. Summary of Construct Reliability and Validity</w:t>
      </w: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1399"/>
        <w:gridCol w:w="1302"/>
        <w:gridCol w:w="1435"/>
        <w:gridCol w:w="1511"/>
        <w:gridCol w:w="1202"/>
        <w:gridCol w:w="2694"/>
      </w:tblGrid>
      <w:tr w:rsidR="00097749" w:rsidRPr="00661DDF" w14:paraId="2845DDD7" w14:textId="77777777" w:rsidTr="007B535D">
        <w:trPr>
          <w:tblHeader/>
          <w:tblCellSpacing w:w="15" w:type="dxa"/>
        </w:trPr>
        <w:tc>
          <w:tcPr>
            <w:tcW w:w="0" w:type="auto"/>
            <w:tcBorders>
              <w:top w:val="single" w:sz="4" w:space="0" w:color="auto"/>
              <w:bottom w:val="single" w:sz="4" w:space="0" w:color="auto"/>
            </w:tcBorders>
            <w:vAlign w:val="center"/>
            <w:hideMark/>
          </w:tcPr>
          <w:p w14:paraId="53CC8FE0" w14:textId="77777777" w:rsidR="00097749" w:rsidRPr="00661DDF" w:rsidRDefault="00097749" w:rsidP="007B535D">
            <w:pPr>
              <w:jc w:val="center"/>
              <w:rPr>
                <w:b/>
                <w:bCs/>
                <w:color w:val="000000" w:themeColor="text1"/>
                <w:lang w:val="en-ID" w:eastAsia="en-ID"/>
              </w:rPr>
            </w:pPr>
            <w:r w:rsidRPr="00661DDF">
              <w:rPr>
                <w:b/>
                <w:bCs/>
                <w:color w:val="000000" w:themeColor="text1"/>
                <w:lang w:val="en-ID" w:eastAsia="en-ID"/>
              </w:rPr>
              <w:t>Construct</w:t>
            </w:r>
          </w:p>
        </w:tc>
        <w:tc>
          <w:tcPr>
            <w:tcW w:w="0" w:type="auto"/>
            <w:tcBorders>
              <w:top w:val="single" w:sz="4" w:space="0" w:color="auto"/>
              <w:bottom w:val="single" w:sz="4" w:space="0" w:color="auto"/>
            </w:tcBorders>
            <w:vAlign w:val="center"/>
            <w:hideMark/>
          </w:tcPr>
          <w:p w14:paraId="69B85645" w14:textId="77777777" w:rsidR="00097749" w:rsidRPr="00661DDF" w:rsidRDefault="00097749" w:rsidP="007B535D">
            <w:pPr>
              <w:jc w:val="center"/>
              <w:rPr>
                <w:b/>
                <w:bCs/>
                <w:color w:val="000000" w:themeColor="text1"/>
                <w:lang w:val="en-ID" w:eastAsia="en-ID"/>
              </w:rPr>
            </w:pPr>
            <w:r w:rsidRPr="00661DDF">
              <w:rPr>
                <w:b/>
                <w:bCs/>
                <w:color w:val="000000" w:themeColor="text1"/>
                <w:lang w:val="en-ID" w:eastAsia="en-ID"/>
              </w:rPr>
              <w:t>Cronbach’s Alpha</w:t>
            </w:r>
          </w:p>
        </w:tc>
        <w:tc>
          <w:tcPr>
            <w:tcW w:w="0" w:type="auto"/>
            <w:tcBorders>
              <w:top w:val="single" w:sz="4" w:space="0" w:color="auto"/>
              <w:bottom w:val="single" w:sz="4" w:space="0" w:color="auto"/>
            </w:tcBorders>
            <w:vAlign w:val="center"/>
            <w:hideMark/>
          </w:tcPr>
          <w:p w14:paraId="5FD2835C" w14:textId="77777777" w:rsidR="00097749" w:rsidRPr="00661DDF" w:rsidRDefault="00097749" w:rsidP="007B535D">
            <w:pPr>
              <w:jc w:val="center"/>
              <w:rPr>
                <w:b/>
                <w:bCs/>
                <w:color w:val="000000" w:themeColor="text1"/>
                <w:lang w:val="en-ID" w:eastAsia="en-ID"/>
              </w:rPr>
            </w:pPr>
            <w:r w:rsidRPr="00661DDF">
              <w:rPr>
                <w:b/>
                <w:bCs/>
                <w:color w:val="000000" w:themeColor="text1"/>
                <w:lang w:val="en-ID" w:eastAsia="en-ID"/>
              </w:rPr>
              <w:t>Composite Reliability (CR)</w:t>
            </w:r>
          </w:p>
        </w:tc>
        <w:tc>
          <w:tcPr>
            <w:tcW w:w="0" w:type="auto"/>
            <w:tcBorders>
              <w:top w:val="single" w:sz="4" w:space="0" w:color="auto"/>
              <w:bottom w:val="single" w:sz="4" w:space="0" w:color="auto"/>
            </w:tcBorders>
            <w:vAlign w:val="center"/>
            <w:hideMark/>
          </w:tcPr>
          <w:p w14:paraId="2A0648A6" w14:textId="77777777" w:rsidR="00097749" w:rsidRPr="00661DDF" w:rsidRDefault="00097749" w:rsidP="007B535D">
            <w:pPr>
              <w:jc w:val="center"/>
              <w:rPr>
                <w:b/>
                <w:bCs/>
                <w:color w:val="000000" w:themeColor="text1"/>
                <w:lang w:val="en-ID" w:eastAsia="en-ID"/>
              </w:rPr>
            </w:pPr>
            <w:r w:rsidRPr="00661DDF">
              <w:rPr>
                <w:b/>
                <w:bCs/>
                <w:color w:val="000000" w:themeColor="text1"/>
                <w:lang w:val="en-ID" w:eastAsia="en-ID"/>
              </w:rPr>
              <w:t>Average Variance Extracted (AVE)</w:t>
            </w:r>
          </w:p>
        </w:tc>
        <w:tc>
          <w:tcPr>
            <w:tcW w:w="1172" w:type="dxa"/>
            <w:tcBorders>
              <w:top w:val="single" w:sz="4" w:space="0" w:color="auto"/>
              <w:bottom w:val="single" w:sz="4" w:space="0" w:color="auto"/>
            </w:tcBorders>
            <w:vAlign w:val="center"/>
            <w:hideMark/>
          </w:tcPr>
          <w:p w14:paraId="4E1DD52E" w14:textId="77777777" w:rsidR="00097749" w:rsidRPr="00661DDF" w:rsidRDefault="00097749" w:rsidP="007B535D">
            <w:pPr>
              <w:jc w:val="center"/>
              <w:rPr>
                <w:b/>
                <w:bCs/>
                <w:color w:val="000000" w:themeColor="text1"/>
                <w:lang w:val="en-ID" w:eastAsia="en-ID"/>
              </w:rPr>
            </w:pPr>
            <w:r w:rsidRPr="00661DDF">
              <w:rPr>
                <w:b/>
                <w:bCs/>
                <w:color w:val="000000" w:themeColor="text1"/>
                <w:lang w:val="en-ID" w:eastAsia="en-ID"/>
              </w:rPr>
              <w:t>HTMT Range</w:t>
            </w:r>
          </w:p>
        </w:tc>
        <w:tc>
          <w:tcPr>
            <w:tcW w:w="2649" w:type="dxa"/>
            <w:tcBorders>
              <w:top w:val="single" w:sz="4" w:space="0" w:color="auto"/>
              <w:bottom w:val="single" w:sz="4" w:space="0" w:color="auto"/>
            </w:tcBorders>
            <w:vAlign w:val="center"/>
            <w:hideMark/>
          </w:tcPr>
          <w:p w14:paraId="69882D7C" w14:textId="77777777" w:rsidR="00097749" w:rsidRPr="00661DDF" w:rsidRDefault="00097749" w:rsidP="007B535D">
            <w:pPr>
              <w:jc w:val="center"/>
              <w:rPr>
                <w:b/>
                <w:bCs/>
                <w:color w:val="000000" w:themeColor="text1"/>
                <w:lang w:val="en-ID" w:eastAsia="en-ID"/>
              </w:rPr>
            </w:pPr>
            <w:r w:rsidRPr="00661DDF">
              <w:rPr>
                <w:b/>
                <w:bCs/>
                <w:color w:val="000000" w:themeColor="text1"/>
                <w:lang w:val="en-ID" w:eastAsia="en-ID"/>
              </w:rPr>
              <w:t>Notes</w:t>
            </w:r>
          </w:p>
        </w:tc>
      </w:tr>
      <w:tr w:rsidR="00097749" w:rsidRPr="00661DDF" w14:paraId="65C98A7F" w14:textId="77777777" w:rsidTr="007B535D">
        <w:trPr>
          <w:tblCellSpacing w:w="15" w:type="dxa"/>
        </w:trPr>
        <w:tc>
          <w:tcPr>
            <w:tcW w:w="0" w:type="auto"/>
            <w:vAlign w:val="center"/>
            <w:hideMark/>
          </w:tcPr>
          <w:p w14:paraId="1B5C5B3F" w14:textId="77777777" w:rsidR="00097749" w:rsidRPr="00661DDF" w:rsidRDefault="00097749" w:rsidP="007B535D">
            <w:pPr>
              <w:rPr>
                <w:color w:val="000000" w:themeColor="text1"/>
                <w:lang w:val="en-ID" w:eastAsia="en-ID"/>
              </w:rPr>
            </w:pPr>
            <w:r w:rsidRPr="00661DDF">
              <w:rPr>
                <w:color w:val="000000" w:themeColor="text1"/>
                <w:lang w:val="en-ID" w:eastAsia="en-ID"/>
              </w:rPr>
              <w:t>Predisposing Factors</w:t>
            </w:r>
          </w:p>
        </w:tc>
        <w:tc>
          <w:tcPr>
            <w:tcW w:w="0" w:type="auto"/>
            <w:vAlign w:val="center"/>
            <w:hideMark/>
          </w:tcPr>
          <w:p w14:paraId="41254712"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0.791</w:t>
            </w:r>
          </w:p>
        </w:tc>
        <w:tc>
          <w:tcPr>
            <w:tcW w:w="0" w:type="auto"/>
            <w:vAlign w:val="center"/>
            <w:hideMark/>
          </w:tcPr>
          <w:p w14:paraId="4E244672"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0.862</w:t>
            </w:r>
          </w:p>
        </w:tc>
        <w:tc>
          <w:tcPr>
            <w:tcW w:w="0" w:type="auto"/>
            <w:vAlign w:val="center"/>
            <w:hideMark/>
          </w:tcPr>
          <w:p w14:paraId="60AF5323"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0.590</w:t>
            </w:r>
          </w:p>
        </w:tc>
        <w:tc>
          <w:tcPr>
            <w:tcW w:w="1172" w:type="dxa"/>
            <w:vAlign w:val="center"/>
            <w:hideMark/>
          </w:tcPr>
          <w:p w14:paraId="411549BF"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0.492–0.701</w:t>
            </w:r>
          </w:p>
        </w:tc>
        <w:tc>
          <w:tcPr>
            <w:tcW w:w="2649" w:type="dxa"/>
            <w:vAlign w:val="center"/>
            <w:hideMark/>
          </w:tcPr>
          <w:p w14:paraId="68BAEAAB" w14:textId="77777777" w:rsidR="00097749" w:rsidRPr="00661DDF" w:rsidRDefault="00097749" w:rsidP="007B535D">
            <w:pPr>
              <w:rPr>
                <w:color w:val="000000" w:themeColor="text1"/>
                <w:lang w:val="en-ID" w:eastAsia="en-ID"/>
              </w:rPr>
            </w:pPr>
            <w:r w:rsidRPr="00661DDF">
              <w:rPr>
                <w:color w:val="000000" w:themeColor="text1"/>
                <w:lang w:val="en-ID" w:eastAsia="en-ID"/>
              </w:rPr>
              <w:t>Reliable, convergent &amp; discriminant validity achieved</w:t>
            </w:r>
          </w:p>
        </w:tc>
      </w:tr>
      <w:tr w:rsidR="00097749" w:rsidRPr="00661DDF" w14:paraId="06C6F8D2" w14:textId="77777777" w:rsidTr="007B535D">
        <w:trPr>
          <w:tblCellSpacing w:w="15" w:type="dxa"/>
        </w:trPr>
        <w:tc>
          <w:tcPr>
            <w:tcW w:w="0" w:type="auto"/>
            <w:vAlign w:val="center"/>
            <w:hideMark/>
          </w:tcPr>
          <w:p w14:paraId="7FD304F2" w14:textId="77777777" w:rsidR="00097749" w:rsidRPr="00661DDF" w:rsidRDefault="00097749" w:rsidP="007B535D">
            <w:pPr>
              <w:rPr>
                <w:color w:val="000000" w:themeColor="text1"/>
                <w:lang w:val="en-ID" w:eastAsia="en-ID"/>
              </w:rPr>
            </w:pPr>
            <w:r w:rsidRPr="00661DDF">
              <w:rPr>
                <w:color w:val="000000" w:themeColor="text1"/>
                <w:lang w:val="en-ID" w:eastAsia="en-ID"/>
              </w:rPr>
              <w:t>Enabling Factors</w:t>
            </w:r>
          </w:p>
        </w:tc>
        <w:tc>
          <w:tcPr>
            <w:tcW w:w="0" w:type="auto"/>
            <w:vAlign w:val="center"/>
            <w:hideMark/>
          </w:tcPr>
          <w:p w14:paraId="5D71BDCF"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0.812</w:t>
            </w:r>
          </w:p>
        </w:tc>
        <w:tc>
          <w:tcPr>
            <w:tcW w:w="0" w:type="auto"/>
            <w:vAlign w:val="center"/>
            <w:hideMark/>
          </w:tcPr>
          <w:p w14:paraId="6F8B9ED0"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0.875</w:t>
            </w:r>
          </w:p>
        </w:tc>
        <w:tc>
          <w:tcPr>
            <w:tcW w:w="0" w:type="auto"/>
            <w:vAlign w:val="center"/>
            <w:hideMark/>
          </w:tcPr>
          <w:p w14:paraId="5A5891FD"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0.612</w:t>
            </w:r>
          </w:p>
        </w:tc>
        <w:tc>
          <w:tcPr>
            <w:tcW w:w="1172" w:type="dxa"/>
            <w:vAlign w:val="center"/>
            <w:hideMark/>
          </w:tcPr>
          <w:p w14:paraId="12E57DA4"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0.501–0.729</w:t>
            </w:r>
          </w:p>
        </w:tc>
        <w:tc>
          <w:tcPr>
            <w:tcW w:w="2649" w:type="dxa"/>
            <w:vAlign w:val="center"/>
            <w:hideMark/>
          </w:tcPr>
          <w:p w14:paraId="0911B12E" w14:textId="77777777" w:rsidR="00097749" w:rsidRPr="00661DDF" w:rsidRDefault="00097749" w:rsidP="007B535D">
            <w:pPr>
              <w:rPr>
                <w:color w:val="000000" w:themeColor="text1"/>
                <w:lang w:val="en-ID" w:eastAsia="en-ID"/>
              </w:rPr>
            </w:pPr>
            <w:r w:rsidRPr="00661DDF">
              <w:rPr>
                <w:color w:val="000000" w:themeColor="text1"/>
                <w:lang w:val="en-ID" w:eastAsia="en-ID"/>
              </w:rPr>
              <w:t>Reliable, convergent &amp; discriminant validity achieved</w:t>
            </w:r>
          </w:p>
        </w:tc>
      </w:tr>
      <w:tr w:rsidR="00097749" w:rsidRPr="00661DDF" w14:paraId="6305C432" w14:textId="77777777" w:rsidTr="007B535D">
        <w:trPr>
          <w:tblCellSpacing w:w="15" w:type="dxa"/>
        </w:trPr>
        <w:tc>
          <w:tcPr>
            <w:tcW w:w="0" w:type="auto"/>
            <w:vAlign w:val="center"/>
            <w:hideMark/>
          </w:tcPr>
          <w:p w14:paraId="1A44523B" w14:textId="77777777" w:rsidR="00097749" w:rsidRPr="00661DDF" w:rsidRDefault="00097749" w:rsidP="007B535D">
            <w:pPr>
              <w:rPr>
                <w:color w:val="000000" w:themeColor="text1"/>
                <w:lang w:val="en-ID" w:eastAsia="en-ID"/>
              </w:rPr>
            </w:pPr>
            <w:r w:rsidRPr="00661DDF">
              <w:rPr>
                <w:color w:val="000000" w:themeColor="text1"/>
                <w:lang w:val="en-ID" w:eastAsia="en-ID"/>
              </w:rPr>
              <w:t>Reinforcing Factors</w:t>
            </w:r>
          </w:p>
        </w:tc>
        <w:tc>
          <w:tcPr>
            <w:tcW w:w="0" w:type="auto"/>
            <w:vAlign w:val="center"/>
            <w:hideMark/>
          </w:tcPr>
          <w:p w14:paraId="4A134EEA"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0.833</w:t>
            </w:r>
          </w:p>
        </w:tc>
        <w:tc>
          <w:tcPr>
            <w:tcW w:w="0" w:type="auto"/>
            <w:vAlign w:val="center"/>
            <w:hideMark/>
          </w:tcPr>
          <w:p w14:paraId="61C74AA9"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0.889</w:t>
            </w:r>
          </w:p>
        </w:tc>
        <w:tc>
          <w:tcPr>
            <w:tcW w:w="0" w:type="auto"/>
            <w:vAlign w:val="center"/>
            <w:hideMark/>
          </w:tcPr>
          <w:p w14:paraId="35882590"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0.631</w:t>
            </w:r>
          </w:p>
        </w:tc>
        <w:tc>
          <w:tcPr>
            <w:tcW w:w="1172" w:type="dxa"/>
            <w:vAlign w:val="center"/>
            <w:hideMark/>
          </w:tcPr>
          <w:p w14:paraId="4315DBEE"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0.537–0.814</w:t>
            </w:r>
          </w:p>
        </w:tc>
        <w:tc>
          <w:tcPr>
            <w:tcW w:w="2649" w:type="dxa"/>
            <w:vAlign w:val="center"/>
            <w:hideMark/>
          </w:tcPr>
          <w:p w14:paraId="38A31267" w14:textId="77777777" w:rsidR="00097749" w:rsidRPr="00661DDF" w:rsidRDefault="00097749" w:rsidP="007B535D">
            <w:pPr>
              <w:rPr>
                <w:color w:val="000000" w:themeColor="text1"/>
                <w:lang w:val="en-ID" w:eastAsia="en-ID"/>
              </w:rPr>
            </w:pPr>
            <w:r w:rsidRPr="00661DDF">
              <w:rPr>
                <w:color w:val="000000" w:themeColor="text1"/>
                <w:lang w:val="en-ID" w:eastAsia="en-ID"/>
              </w:rPr>
              <w:t>Reliable, convergent &amp; discriminant validity achieved</w:t>
            </w:r>
          </w:p>
        </w:tc>
      </w:tr>
      <w:tr w:rsidR="00097749" w:rsidRPr="00661DDF" w14:paraId="65D9EE0E" w14:textId="77777777" w:rsidTr="007B535D">
        <w:trPr>
          <w:tblCellSpacing w:w="15" w:type="dxa"/>
        </w:trPr>
        <w:tc>
          <w:tcPr>
            <w:tcW w:w="0" w:type="auto"/>
            <w:vAlign w:val="center"/>
            <w:hideMark/>
          </w:tcPr>
          <w:p w14:paraId="6F4496A4" w14:textId="77777777" w:rsidR="00097749" w:rsidRPr="00661DDF" w:rsidRDefault="00097749" w:rsidP="007B535D">
            <w:pPr>
              <w:rPr>
                <w:color w:val="000000" w:themeColor="text1"/>
                <w:lang w:val="en-ID" w:eastAsia="en-ID"/>
              </w:rPr>
            </w:pPr>
            <w:r w:rsidRPr="00661DDF">
              <w:rPr>
                <w:color w:val="000000" w:themeColor="text1"/>
                <w:lang w:val="en-ID" w:eastAsia="en-ID"/>
              </w:rPr>
              <w:t>Service Innovation</w:t>
            </w:r>
          </w:p>
        </w:tc>
        <w:tc>
          <w:tcPr>
            <w:tcW w:w="0" w:type="auto"/>
            <w:vAlign w:val="center"/>
            <w:hideMark/>
          </w:tcPr>
          <w:p w14:paraId="355401AC"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0.902</w:t>
            </w:r>
          </w:p>
        </w:tc>
        <w:tc>
          <w:tcPr>
            <w:tcW w:w="0" w:type="auto"/>
            <w:vAlign w:val="center"/>
            <w:hideMark/>
          </w:tcPr>
          <w:p w14:paraId="72D0F321"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0.934</w:t>
            </w:r>
          </w:p>
        </w:tc>
        <w:tc>
          <w:tcPr>
            <w:tcW w:w="0" w:type="auto"/>
            <w:vAlign w:val="center"/>
            <w:hideMark/>
          </w:tcPr>
          <w:p w14:paraId="550C3C69"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0.689</w:t>
            </w:r>
          </w:p>
        </w:tc>
        <w:tc>
          <w:tcPr>
            <w:tcW w:w="1172" w:type="dxa"/>
            <w:vAlign w:val="center"/>
            <w:hideMark/>
          </w:tcPr>
          <w:p w14:paraId="51767910"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0.562–0.871</w:t>
            </w:r>
          </w:p>
        </w:tc>
        <w:tc>
          <w:tcPr>
            <w:tcW w:w="2649" w:type="dxa"/>
            <w:vAlign w:val="center"/>
            <w:hideMark/>
          </w:tcPr>
          <w:p w14:paraId="490F2A63" w14:textId="77777777" w:rsidR="00097749" w:rsidRPr="00661DDF" w:rsidRDefault="00097749" w:rsidP="007B535D">
            <w:pPr>
              <w:rPr>
                <w:color w:val="000000" w:themeColor="text1"/>
                <w:lang w:val="en-ID" w:eastAsia="en-ID"/>
              </w:rPr>
            </w:pPr>
            <w:r w:rsidRPr="00661DDF">
              <w:rPr>
                <w:color w:val="000000" w:themeColor="text1"/>
                <w:lang w:val="en-ID" w:eastAsia="en-ID"/>
              </w:rPr>
              <w:t>Excellent reliability, strong convergent &amp; discriminant validity</w:t>
            </w:r>
          </w:p>
        </w:tc>
      </w:tr>
      <w:tr w:rsidR="00097749" w:rsidRPr="00661DDF" w14:paraId="3900A685" w14:textId="77777777" w:rsidTr="007B535D">
        <w:trPr>
          <w:tblCellSpacing w:w="15" w:type="dxa"/>
        </w:trPr>
        <w:tc>
          <w:tcPr>
            <w:tcW w:w="0" w:type="auto"/>
            <w:tcBorders>
              <w:bottom w:val="single" w:sz="4" w:space="0" w:color="auto"/>
            </w:tcBorders>
            <w:vAlign w:val="center"/>
            <w:hideMark/>
          </w:tcPr>
          <w:p w14:paraId="748E83F9" w14:textId="77777777" w:rsidR="00097749" w:rsidRPr="00661DDF" w:rsidRDefault="00097749" w:rsidP="007B535D">
            <w:pPr>
              <w:rPr>
                <w:color w:val="000000" w:themeColor="text1"/>
                <w:lang w:val="en-ID" w:eastAsia="en-ID"/>
              </w:rPr>
            </w:pPr>
            <w:r w:rsidRPr="00661DDF">
              <w:rPr>
                <w:color w:val="000000" w:themeColor="text1"/>
                <w:lang w:val="en-ID" w:eastAsia="en-ID"/>
              </w:rPr>
              <w:t>Patient Satisfaction</w:t>
            </w:r>
          </w:p>
        </w:tc>
        <w:tc>
          <w:tcPr>
            <w:tcW w:w="0" w:type="auto"/>
            <w:tcBorders>
              <w:bottom w:val="single" w:sz="4" w:space="0" w:color="auto"/>
            </w:tcBorders>
            <w:vAlign w:val="center"/>
            <w:hideMark/>
          </w:tcPr>
          <w:p w14:paraId="1A69CF16"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0.950</w:t>
            </w:r>
          </w:p>
        </w:tc>
        <w:tc>
          <w:tcPr>
            <w:tcW w:w="0" w:type="auto"/>
            <w:tcBorders>
              <w:bottom w:val="single" w:sz="4" w:space="0" w:color="auto"/>
            </w:tcBorders>
            <w:vAlign w:val="center"/>
            <w:hideMark/>
          </w:tcPr>
          <w:p w14:paraId="683A3A8F"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0.956</w:t>
            </w:r>
          </w:p>
        </w:tc>
        <w:tc>
          <w:tcPr>
            <w:tcW w:w="0" w:type="auto"/>
            <w:tcBorders>
              <w:bottom w:val="single" w:sz="4" w:space="0" w:color="auto"/>
            </w:tcBorders>
            <w:vAlign w:val="center"/>
            <w:hideMark/>
          </w:tcPr>
          <w:p w14:paraId="1CE5694D"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0.719</w:t>
            </w:r>
          </w:p>
        </w:tc>
        <w:tc>
          <w:tcPr>
            <w:tcW w:w="1172" w:type="dxa"/>
            <w:tcBorders>
              <w:bottom w:val="single" w:sz="4" w:space="0" w:color="auto"/>
            </w:tcBorders>
            <w:vAlign w:val="center"/>
            <w:hideMark/>
          </w:tcPr>
          <w:p w14:paraId="28057149" w14:textId="77777777" w:rsidR="00097749" w:rsidRPr="00661DDF" w:rsidRDefault="00097749" w:rsidP="00661DDF">
            <w:pPr>
              <w:jc w:val="center"/>
              <w:rPr>
                <w:color w:val="000000" w:themeColor="text1"/>
                <w:lang w:val="en-ID" w:eastAsia="en-ID"/>
              </w:rPr>
            </w:pPr>
            <w:r w:rsidRPr="00661DDF">
              <w:rPr>
                <w:color w:val="000000" w:themeColor="text1"/>
                <w:lang w:val="en-ID" w:eastAsia="en-ID"/>
              </w:rPr>
              <w:t>0.613–0.894</w:t>
            </w:r>
          </w:p>
        </w:tc>
        <w:tc>
          <w:tcPr>
            <w:tcW w:w="2649" w:type="dxa"/>
            <w:tcBorders>
              <w:bottom w:val="single" w:sz="4" w:space="0" w:color="auto"/>
            </w:tcBorders>
            <w:vAlign w:val="center"/>
            <w:hideMark/>
          </w:tcPr>
          <w:p w14:paraId="73D7CDD7" w14:textId="77777777" w:rsidR="00097749" w:rsidRPr="00661DDF" w:rsidRDefault="00097749" w:rsidP="007B535D">
            <w:pPr>
              <w:rPr>
                <w:color w:val="000000" w:themeColor="text1"/>
                <w:lang w:val="en-ID" w:eastAsia="en-ID"/>
              </w:rPr>
            </w:pPr>
            <w:r w:rsidRPr="00661DDF">
              <w:rPr>
                <w:color w:val="000000" w:themeColor="text1"/>
                <w:lang w:val="en-ID" w:eastAsia="en-ID"/>
              </w:rPr>
              <w:t>Excellent reliability, strong convergent &amp; discriminant validity</w:t>
            </w:r>
          </w:p>
        </w:tc>
      </w:tr>
    </w:tbl>
    <w:p w14:paraId="192FB122" w14:textId="77777777" w:rsidR="00097E0E" w:rsidRDefault="00097E0E" w:rsidP="00661DDF">
      <w:pPr>
        <w:pStyle w:val="BodyText"/>
        <w:jc w:val="both"/>
        <w:rPr>
          <w:color w:val="000000" w:themeColor="text1"/>
        </w:rPr>
      </w:pPr>
    </w:p>
    <w:p w14:paraId="21F25706" w14:textId="77777777" w:rsidR="00097E0E" w:rsidRDefault="00097749" w:rsidP="00661DDF">
      <w:pPr>
        <w:pStyle w:val="BodyText"/>
        <w:jc w:val="both"/>
        <w:rPr>
          <w:color w:val="000000" w:themeColor="text1"/>
        </w:rPr>
      </w:pPr>
      <w:r w:rsidRPr="00097749">
        <w:rPr>
          <w:color w:val="000000" w:themeColor="text1"/>
        </w:rPr>
        <w:t xml:space="preserve">The results show that all constructs exceeded the minimum thresholds recommended by </w:t>
      </w:r>
      <w:r w:rsidR="00661DDF">
        <w:rPr>
          <w:color w:val="000000" w:themeColor="text1"/>
        </w:rPr>
        <w:fldChar w:fldCharType="begin" w:fldLock="1"/>
      </w:r>
      <w:r w:rsidR="006474D9">
        <w:rPr>
          <w:color w:val="000000" w:themeColor="text1"/>
        </w:rPr>
        <w:instrText>ADDIN CSL_CITATION {"citationItems":[{"id":"ITEM-1","itemData":{"ISBN":"3527287728","author":[{"dropping-particle":"","family":"Hair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E.","non-dropping-particle":"","parse-names":false,"suffix":""}],"edition":"8","id":"ITEM-1","issued":{"date-parts":[["2019"]]},"number-of-pages":"834","publisher":"Cengage Learning","publisher-place":"Cheriton House, North Way","title":"Multivariate Data Analysis","type":"book"},"uris":["http://www.mendeley.com/documents/?uuid=e8a80598-1f25-49eb-8412-3bb111c64370"]}],"mendeley":{"formattedCitation":"(Hair Jr. et al., 2019)","plainTextFormattedCitation":"(Hair Jr. et al., 2019)","previouslyFormattedCitation":"(Hair Jr. et al., 2019)"},"properties":{"noteIndex":0},"schema":"https://github.com/citation-style-language/schema/raw/master/csl-citation.json"}</w:instrText>
      </w:r>
      <w:r w:rsidR="00661DDF">
        <w:rPr>
          <w:color w:val="000000" w:themeColor="text1"/>
        </w:rPr>
        <w:fldChar w:fldCharType="separate"/>
      </w:r>
      <w:r w:rsidR="00661DDF" w:rsidRPr="00661DDF">
        <w:rPr>
          <w:noProof/>
          <w:color w:val="000000" w:themeColor="text1"/>
        </w:rPr>
        <w:t>(Hair Jr. et al., 2019)</w:t>
      </w:r>
      <w:r w:rsidR="00661DDF">
        <w:rPr>
          <w:color w:val="000000" w:themeColor="text1"/>
        </w:rPr>
        <w:fldChar w:fldCharType="end"/>
      </w:r>
      <w:r w:rsidR="00661DDF">
        <w:rPr>
          <w:color w:val="000000" w:themeColor="text1"/>
        </w:rPr>
        <w:t xml:space="preserve">. </w:t>
      </w:r>
      <w:r w:rsidRPr="00097749">
        <w:rPr>
          <w:color w:val="000000" w:themeColor="text1"/>
        </w:rPr>
        <w:t xml:space="preserve">Cronbach’s Alpha values ranged from 0.791 to 0.950, exceeding the acceptable level of 0.70. </w:t>
      </w:r>
      <w:r w:rsidRPr="00097749">
        <w:rPr>
          <w:color w:val="000000" w:themeColor="text1"/>
          <w:lang w:val="id-ID"/>
        </w:rPr>
        <w:t>CR</w:t>
      </w:r>
      <w:r w:rsidRPr="00097749">
        <w:rPr>
          <w:color w:val="000000" w:themeColor="text1"/>
        </w:rPr>
        <w:t xml:space="preserve"> values were also high, ranging from 0.862 to 0.956, confirming strong internal consistency. </w:t>
      </w:r>
      <w:r w:rsidRPr="00097749">
        <w:rPr>
          <w:color w:val="000000" w:themeColor="text1"/>
          <w:lang w:val="id-ID"/>
        </w:rPr>
        <w:t>AVE</w:t>
      </w:r>
      <w:r w:rsidRPr="00097749">
        <w:rPr>
          <w:color w:val="000000" w:themeColor="text1"/>
        </w:rPr>
        <w:t xml:space="preserve"> values ranged between 0.59 and 0.719, which are above the threshold of 0.50, </w:t>
      </w:r>
      <w:r w:rsidRPr="00097749">
        <w:rPr>
          <w:color w:val="000000" w:themeColor="text1"/>
          <w:lang w:val="id-ID"/>
        </w:rPr>
        <w:t>showing</w:t>
      </w:r>
      <w:r w:rsidRPr="00097749">
        <w:rPr>
          <w:color w:val="000000" w:themeColor="text1"/>
        </w:rPr>
        <w:t xml:space="preserve"> good convergent validity.</w:t>
      </w:r>
      <w:r w:rsidR="00097E0E">
        <w:rPr>
          <w:color w:val="000000" w:themeColor="text1"/>
        </w:rPr>
        <w:t xml:space="preserve"> </w:t>
      </w:r>
    </w:p>
    <w:p w14:paraId="692CB6D5" w14:textId="55AB268A" w:rsidR="00097749" w:rsidRPr="00097749" w:rsidRDefault="00097749" w:rsidP="00661DDF">
      <w:pPr>
        <w:pStyle w:val="BodyText"/>
        <w:jc w:val="both"/>
        <w:rPr>
          <w:color w:val="000000" w:themeColor="text1"/>
        </w:rPr>
      </w:pPr>
      <w:r w:rsidRPr="00097749">
        <w:rPr>
          <w:color w:val="000000" w:themeColor="text1"/>
        </w:rPr>
        <w:t>Discriminant validity was established using multiple criteria. The Fornell–Larcker analysis showed that the square root of AVE for each construct was higher than the correlations with others, confirming adequate discriminant validity. HTMT values for all construct pairs were below 0.90, ranging from 0.492 to 0.894, further confirming discriminant validity. Additionally, cross-loading analysis showed that all items loaded more strongly on the respective constructs than on others, meeting the recommended cut-off of 0.70.</w:t>
      </w:r>
    </w:p>
    <w:p w14:paraId="736F0442" w14:textId="77777777" w:rsidR="00097749" w:rsidRPr="00097E0E" w:rsidRDefault="00097749" w:rsidP="00097749">
      <w:pPr>
        <w:pStyle w:val="BodyText"/>
        <w:jc w:val="center"/>
        <w:rPr>
          <w:b/>
          <w:bCs/>
          <w:color w:val="000000" w:themeColor="text1"/>
          <w:lang w:val="en-ID" w:eastAsia="en-ID"/>
        </w:rPr>
      </w:pPr>
      <w:r w:rsidRPr="00097E0E">
        <w:rPr>
          <w:b/>
          <w:bCs/>
          <w:color w:val="000000" w:themeColor="text1"/>
          <w:lang w:val="en-ID" w:eastAsia="en-ID"/>
        </w:rPr>
        <w:t>Table 3. Cross-Loading of Indicators</w:t>
      </w:r>
    </w:p>
    <w:tbl>
      <w:tblPr>
        <w:tblW w:w="9610" w:type="dxa"/>
        <w:tblCellSpacing w:w="15" w:type="dxa"/>
        <w:tblCellMar>
          <w:top w:w="15" w:type="dxa"/>
          <w:left w:w="15" w:type="dxa"/>
          <w:bottom w:w="15" w:type="dxa"/>
          <w:right w:w="15" w:type="dxa"/>
        </w:tblCellMar>
        <w:tblLook w:val="04A0" w:firstRow="1" w:lastRow="0" w:firstColumn="1" w:lastColumn="0" w:noHBand="0" w:noVBand="1"/>
      </w:tblPr>
      <w:tblGrid>
        <w:gridCol w:w="3163"/>
        <w:gridCol w:w="1482"/>
        <w:gridCol w:w="1060"/>
        <w:gridCol w:w="1327"/>
        <w:gridCol w:w="1225"/>
        <w:gridCol w:w="1353"/>
      </w:tblGrid>
      <w:tr w:rsidR="00097749" w:rsidRPr="00463A15" w14:paraId="3B26DF67" w14:textId="77777777" w:rsidTr="007B535D">
        <w:trPr>
          <w:tblCellSpacing w:w="15" w:type="dxa"/>
        </w:trPr>
        <w:tc>
          <w:tcPr>
            <w:tcW w:w="3119" w:type="dxa"/>
            <w:tcBorders>
              <w:top w:val="single" w:sz="4" w:space="0" w:color="auto"/>
              <w:bottom w:val="single" w:sz="4" w:space="0" w:color="auto"/>
            </w:tcBorders>
            <w:vAlign w:val="center"/>
            <w:hideMark/>
          </w:tcPr>
          <w:p w14:paraId="050353FD" w14:textId="77777777" w:rsidR="00097749" w:rsidRPr="00463A15" w:rsidRDefault="00097749" w:rsidP="007B535D">
            <w:pPr>
              <w:jc w:val="center"/>
              <w:rPr>
                <w:b/>
                <w:bCs/>
                <w:color w:val="000000" w:themeColor="text1"/>
                <w:lang w:val="en-ID" w:eastAsia="en-ID"/>
              </w:rPr>
            </w:pPr>
            <w:r w:rsidRPr="00463A15">
              <w:rPr>
                <w:b/>
                <w:bCs/>
                <w:color w:val="000000" w:themeColor="text1"/>
                <w:lang w:val="en-ID" w:eastAsia="en-ID"/>
              </w:rPr>
              <w:t>Indicator</w:t>
            </w:r>
          </w:p>
        </w:tc>
        <w:tc>
          <w:tcPr>
            <w:tcW w:w="0" w:type="auto"/>
            <w:tcBorders>
              <w:top w:val="single" w:sz="4" w:space="0" w:color="auto"/>
              <w:bottom w:val="single" w:sz="4" w:space="0" w:color="auto"/>
            </w:tcBorders>
            <w:vAlign w:val="center"/>
            <w:hideMark/>
          </w:tcPr>
          <w:p w14:paraId="6BB9B5B3" w14:textId="77777777" w:rsidR="00097749" w:rsidRPr="00463A15" w:rsidRDefault="00097749" w:rsidP="007B535D">
            <w:pPr>
              <w:jc w:val="center"/>
              <w:rPr>
                <w:b/>
                <w:bCs/>
                <w:color w:val="000000" w:themeColor="text1"/>
                <w:lang w:val="en-ID" w:eastAsia="en-ID"/>
              </w:rPr>
            </w:pPr>
            <w:r w:rsidRPr="00463A15">
              <w:rPr>
                <w:b/>
                <w:bCs/>
                <w:color w:val="000000" w:themeColor="text1"/>
                <w:lang w:val="en-ID" w:eastAsia="en-ID"/>
              </w:rPr>
              <w:t>Predisposing Factors</w:t>
            </w:r>
          </w:p>
        </w:tc>
        <w:tc>
          <w:tcPr>
            <w:tcW w:w="0" w:type="auto"/>
            <w:tcBorders>
              <w:top w:val="single" w:sz="4" w:space="0" w:color="auto"/>
              <w:bottom w:val="single" w:sz="4" w:space="0" w:color="auto"/>
            </w:tcBorders>
            <w:vAlign w:val="center"/>
            <w:hideMark/>
          </w:tcPr>
          <w:p w14:paraId="4E7C74FC" w14:textId="77777777" w:rsidR="00097749" w:rsidRPr="00463A15" w:rsidRDefault="00097749" w:rsidP="007B535D">
            <w:pPr>
              <w:jc w:val="center"/>
              <w:rPr>
                <w:b/>
                <w:bCs/>
                <w:color w:val="000000" w:themeColor="text1"/>
                <w:lang w:val="en-ID" w:eastAsia="en-ID"/>
              </w:rPr>
            </w:pPr>
            <w:r w:rsidRPr="00463A15">
              <w:rPr>
                <w:b/>
                <w:bCs/>
                <w:color w:val="000000" w:themeColor="text1"/>
                <w:lang w:val="en-ID" w:eastAsia="en-ID"/>
              </w:rPr>
              <w:t>Enabling Factors</w:t>
            </w:r>
          </w:p>
        </w:tc>
        <w:tc>
          <w:tcPr>
            <w:tcW w:w="0" w:type="auto"/>
            <w:tcBorders>
              <w:top w:val="single" w:sz="4" w:space="0" w:color="auto"/>
              <w:bottom w:val="single" w:sz="4" w:space="0" w:color="auto"/>
            </w:tcBorders>
            <w:vAlign w:val="center"/>
            <w:hideMark/>
          </w:tcPr>
          <w:p w14:paraId="17A0C330" w14:textId="77777777" w:rsidR="00097749" w:rsidRPr="00463A15" w:rsidRDefault="00097749" w:rsidP="007B535D">
            <w:pPr>
              <w:jc w:val="center"/>
              <w:rPr>
                <w:b/>
                <w:bCs/>
                <w:color w:val="000000" w:themeColor="text1"/>
                <w:lang w:val="en-ID" w:eastAsia="en-ID"/>
              </w:rPr>
            </w:pPr>
            <w:r w:rsidRPr="00463A15">
              <w:rPr>
                <w:b/>
                <w:bCs/>
                <w:color w:val="000000" w:themeColor="text1"/>
                <w:lang w:val="en-ID" w:eastAsia="en-ID"/>
              </w:rPr>
              <w:t>Reinforcing Factors</w:t>
            </w:r>
          </w:p>
        </w:tc>
        <w:tc>
          <w:tcPr>
            <w:tcW w:w="0" w:type="auto"/>
            <w:tcBorders>
              <w:top w:val="single" w:sz="4" w:space="0" w:color="auto"/>
              <w:bottom w:val="single" w:sz="4" w:space="0" w:color="auto"/>
            </w:tcBorders>
            <w:vAlign w:val="center"/>
            <w:hideMark/>
          </w:tcPr>
          <w:p w14:paraId="0D6CC189" w14:textId="77777777" w:rsidR="00097749" w:rsidRPr="00463A15" w:rsidRDefault="00097749" w:rsidP="007B535D">
            <w:pPr>
              <w:jc w:val="center"/>
              <w:rPr>
                <w:b/>
                <w:bCs/>
                <w:color w:val="000000" w:themeColor="text1"/>
                <w:lang w:val="en-ID" w:eastAsia="en-ID"/>
              </w:rPr>
            </w:pPr>
            <w:r w:rsidRPr="00463A15">
              <w:rPr>
                <w:b/>
                <w:bCs/>
                <w:color w:val="000000" w:themeColor="text1"/>
                <w:lang w:val="en-ID" w:eastAsia="en-ID"/>
              </w:rPr>
              <w:t>Service Innovation</w:t>
            </w:r>
          </w:p>
        </w:tc>
        <w:tc>
          <w:tcPr>
            <w:tcW w:w="0" w:type="auto"/>
            <w:tcBorders>
              <w:top w:val="single" w:sz="4" w:space="0" w:color="auto"/>
              <w:bottom w:val="single" w:sz="4" w:space="0" w:color="auto"/>
            </w:tcBorders>
            <w:vAlign w:val="center"/>
            <w:hideMark/>
          </w:tcPr>
          <w:p w14:paraId="204967FC" w14:textId="77777777" w:rsidR="00097749" w:rsidRPr="00463A15" w:rsidRDefault="00097749" w:rsidP="007B535D">
            <w:pPr>
              <w:jc w:val="center"/>
              <w:rPr>
                <w:b/>
                <w:bCs/>
                <w:color w:val="000000" w:themeColor="text1"/>
                <w:lang w:val="en-ID" w:eastAsia="en-ID"/>
              </w:rPr>
            </w:pPr>
            <w:r w:rsidRPr="00463A15">
              <w:rPr>
                <w:b/>
                <w:bCs/>
                <w:color w:val="000000" w:themeColor="text1"/>
                <w:lang w:val="en-ID" w:eastAsia="en-ID"/>
              </w:rPr>
              <w:t>Patient Satisfaction</w:t>
            </w:r>
          </w:p>
        </w:tc>
      </w:tr>
      <w:tr w:rsidR="00097749" w:rsidRPr="00463A15" w14:paraId="69BECD88" w14:textId="77777777" w:rsidTr="007B535D">
        <w:trPr>
          <w:tblCellSpacing w:w="15" w:type="dxa"/>
        </w:trPr>
        <w:tc>
          <w:tcPr>
            <w:tcW w:w="3119" w:type="dxa"/>
            <w:vAlign w:val="center"/>
            <w:hideMark/>
          </w:tcPr>
          <w:p w14:paraId="5D553660" w14:textId="77777777" w:rsidR="00097749" w:rsidRPr="00463A15" w:rsidRDefault="00097749" w:rsidP="007B535D">
            <w:pPr>
              <w:rPr>
                <w:color w:val="000000" w:themeColor="text1"/>
                <w:lang w:val="en-ID" w:eastAsia="en-ID"/>
              </w:rPr>
            </w:pPr>
            <w:r w:rsidRPr="00463A15">
              <w:rPr>
                <w:color w:val="000000" w:themeColor="text1"/>
                <w:lang w:val="en-ID" w:eastAsia="en-ID"/>
              </w:rPr>
              <w:t>PF1 – Knowledge of malaria treatment</w:t>
            </w:r>
          </w:p>
        </w:tc>
        <w:tc>
          <w:tcPr>
            <w:tcW w:w="0" w:type="auto"/>
            <w:vAlign w:val="center"/>
            <w:hideMark/>
          </w:tcPr>
          <w:p w14:paraId="2913F76A" w14:textId="77777777" w:rsidR="00097749" w:rsidRPr="00463A15" w:rsidRDefault="00097749" w:rsidP="007B535D">
            <w:pPr>
              <w:rPr>
                <w:color w:val="000000" w:themeColor="text1"/>
                <w:lang w:val="en-ID" w:eastAsia="en-ID"/>
              </w:rPr>
            </w:pPr>
            <w:r w:rsidRPr="00463A15">
              <w:rPr>
                <w:b/>
                <w:bCs/>
                <w:color w:val="000000" w:themeColor="text1"/>
                <w:lang w:val="en-ID" w:eastAsia="en-ID"/>
              </w:rPr>
              <w:t>0.782</w:t>
            </w:r>
          </w:p>
        </w:tc>
        <w:tc>
          <w:tcPr>
            <w:tcW w:w="0" w:type="auto"/>
            <w:vAlign w:val="center"/>
            <w:hideMark/>
          </w:tcPr>
          <w:p w14:paraId="7E075E9E" w14:textId="77777777" w:rsidR="00097749" w:rsidRPr="00463A15" w:rsidRDefault="00097749" w:rsidP="007B535D">
            <w:pPr>
              <w:rPr>
                <w:color w:val="000000" w:themeColor="text1"/>
                <w:lang w:val="en-ID" w:eastAsia="en-ID"/>
              </w:rPr>
            </w:pPr>
            <w:r w:rsidRPr="00463A15">
              <w:rPr>
                <w:color w:val="000000" w:themeColor="text1"/>
                <w:lang w:val="en-ID" w:eastAsia="en-ID"/>
              </w:rPr>
              <w:t>0.412</w:t>
            </w:r>
          </w:p>
        </w:tc>
        <w:tc>
          <w:tcPr>
            <w:tcW w:w="0" w:type="auto"/>
            <w:vAlign w:val="center"/>
            <w:hideMark/>
          </w:tcPr>
          <w:p w14:paraId="7BC5CDAE" w14:textId="77777777" w:rsidR="00097749" w:rsidRPr="00463A15" w:rsidRDefault="00097749" w:rsidP="007B535D">
            <w:pPr>
              <w:rPr>
                <w:color w:val="000000" w:themeColor="text1"/>
                <w:lang w:val="en-ID" w:eastAsia="en-ID"/>
              </w:rPr>
            </w:pPr>
            <w:r w:rsidRPr="00463A15">
              <w:rPr>
                <w:color w:val="000000" w:themeColor="text1"/>
                <w:lang w:val="en-ID" w:eastAsia="en-ID"/>
              </w:rPr>
              <w:t>0.398</w:t>
            </w:r>
          </w:p>
        </w:tc>
        <w:tc>
          <w:tcPr>
            <w:tcW w:w="0" w:type="auto"/>
            <w:vAlign w:val="center"/>
            <w:hideMark/>
          </w:tcPr>
          <w:p w14:paraId="6E7076D5" w14:textId="77777777" w:rsidR="00097749" w:rsidRPr="00463A15" w:rsidRDefault="00097749" w:rsidP="007B535D">
            <w:pPr>
              <w:rPr>
                <w:color w:val="000000" w:themeColor="text1"/>
                <w:lang w:val="en-ID" w:eastAsia="en-ID"/>
              </w:rPr>
            </w:pPr>
            <w:r w:rsidRPr="00463A15">
              <w:rPr>
                <w:color w:val="000000" w:themeColor="text1"/>
                <w:lang w:val="en-ID" w:eastAsia="en-ID"/>
              </w:rPr>
              <w:t>0.523</w:t>
            </w:r>
          </w:p>
        </w:tc>
        <w:tc>
          <w:tcPr>
            <w:tcW w:w="0" w:type="auto"/>
            <w:vAlign w:val="center"/>
            <w:hideMark/>
          </w:tcPr>
          <w:p w14:paraId="6B8BB580" w14:textId="77777777" w:rsidR="00097749" w:rsidRPr="00463A15" w:rsidRDefault="00097749" w:rsidP="007B535D">
            <w:pPr>
              <w:rPr>
                <w:color w:val="000000" w:themeColor="text1"/>
                <w:lang w:val="en-ID" w:eastAsia="en-ID"/>
              </w:rPr>
            </w:pPr>
            <w:r w:rsidRPr="00463A15">
              <w:rPr>
                <w:color w:val="000000" w:themeColor="text1"/>
                <w:lang w:val="en-ID" w:eastAsia="en-ID"/>
              </w:rPr>
              <w:t>0.497</w:t>
            </w:r>
          </w:p>
        </w:tc>
      </w:tr>
      <w:tr w:rsidR="00097749" w:rsidRPr="00463A15" w14:paraId="67BB1E64" w14:textId="77777777" w:rsidTr="007B535D">
        <w:trPr>
          <w:tblCellSpacing w:w="15" w:type="dxa"/>
        </w:trPr>
        <w:tc>
          <w:tcPr>
            <w:tcW w:w="3119" w:type="dxa"/>
            <w:vAlign w:val="center"/>
            <w:hideMark/>
          </w:tcPr>
          <w:p w14:paraId="57DFD91C" w14:textId="77777777" w:rsidR="00097749" w:rsidRPr="00463A15" w:rsidRDefault="00097749" w:rsidP="007B535D">
            <w:pPr>
              <w:rPr>
                <w:color w:val="000000" w:themeColor="text1"/>
                <w:lang w:val="en-ID" w:eastAsia="en-ID"/>
              </w:rPr>
            </w:pPr>
            <w:r w:rsidRPr="00463A15">
              <w:rPr>
                <w:color w:val="000000" w:themeColor="text1"/>
                <w:lang w:val="en-ID" w:eastAsia="en-ID"/>
              </w:rPr>
              <w:t>PF2 – Attitude toward completing medication</w:t>
            </w:r>
          </w:p>
        </w:tc>
        <w:tc>
          <w:tcPr>
            <w:tcW w:w="0" w:type="auto"/>
            <w:vAlign w:val="center"/>
            <w:hideMark/>
          </w:tcPr>
          <w:p w14:paraId="4198E6EE" w14:textId="77777777" w:rsidR="00097749" w:rsidRPr="00463A15" w:rsidRDefault="00097749" w:rsidP="007B535D">
            <w:pPr>
              <w:rPr>
                <w:color w:val="000000" w:themeColor="text1"/>
                <w:lang w:val="en-ID" w:eastAsia="en-ID"/>
              </w:rPr>
            </w:pPr>
            <w:r w:rsidRPr="00463A15">
              <w:rPr>
                <w:b/>
                <w:bCs/>
                <w:color w:val="000000" w:themeColor="text1"/>
                <w:lang w:val="en-ID" w:eastAsia="en-ID"/>
              </w:rPr>
              <w:t>0.801</w:t>
            </w:r>
          </w:p>
        </w:tc>
        <w:tc>
          <w:tcPr>
            <w:tcW w:w="0" w:type="auto"/>
            <w:vAlign w:val="center"/>
            <w:hideMark/>
          </w:tcPr>
          <w:p w14:paraId="21E0178C" w14:textId="77777777" w:rsidR="00097749" w:rsidRPr="00463A15" w:rsidRDefault="00097749" w:rsidP="007B535D">
            <w:pPr>
              <w:rPr>
                <w:color w:val="000000" w:themeColor="text1"/>
                <w:lang w:val="en-ID" w:eastAsia="en-ID"/>
              </w:rPr>
            </w:pPr>
            <w:r w:rsidRPr="00463A15">
              <w:rPr>
                <w:color w:val="000000" w:themeColor="text1"/>
                <w:lang w:val="en-ID" w:eastAsia="en-ID"/>
              </w:rPr>
              <w:t>0.436</w:t>
            </w:r>
          </w:p>
        </w:tc>
        <w:tc>
          <w:tcPr>
            <w:tcW w:w="0" w:type="auto"/>
            <w:vAlign w:val="center"/>
            <w:hideMark/>
          </w:tcPr>
          <w:p w14:paraId="2CF41C98" w14:textId="77777777" w:rsidR="00097749" w:rsidRPr="00463A15" w:rsidRDefault="00097749" w:rsidP="007B535D">
            <w:pPr>
              <w:rPr>
                <w:color w:val="000000" w:themeColor="text1"/>
                <w:lang w:val="en-ID" w:eastAsia="en-ID"/>
              </w:rPr>
            </w:pPr>
            <w:r w:rsidRPr="00463A15">
              <w:rPr>
                <w:color w:val="000000" w:themeColor="text1"/>
                <w:lang w:val="en-ID" w:eastAsia="en-ID"/>
              </w:rPr>
              <w:t>0.421</w:t>
            </w:r>
          </w:p>
        </w:tc>
        <w:tc>
          <w:tcPr>
            <w:tcW w:w="0" w:type="auto"/>
            <w:vAlign w:val="center"/>
            <w:hideMark/>
          </w:tcPr>
          <w:p w14:paraId="2BF9B8AE" w14:textId="77777777" w:rsidR="00097749" w:rsidRPr="00463A15" w:rsidRDefault="00097749" w:rsidP="007B535D">
            <w:pPr>
              <w:rPr>
                <w:color w:val="000000" w:themeColor="text1"/>
                <w:lang w:val="en-ID" w:eastAsia="en-ID"/>
              </w:rPr>
            </w:pPr>
            <w:r w:rsidRPr="00463A15">
              <w:rPr>
                <w:color w:val="000000" w:themeColor="text1"/>
                <w:lang w:val="en-ID" w:eastAsia="en-ID"/>
              </w:rPr>
              <w:t>0.544</w:t>
            </w:r>
          </w:p>
        </w:tc>
        <w:tc>
          <w:tcPr>
            <w:tcW w:w="0" w:type="auto"/>
            <w:vAlign w:val="center"/>
            <w:hideMark/>
          </w:tcPr>
          <w:p w14:paraId="262EAD4D" w14:textId="77777777" w:rsidR="00097749" w:rsidRPr="00463A15" w:rsidRDefault="00097749" w:rsidP="007B535D">
            <w:pPr>
              <w:rPr>
                <w:color w:val="000000" w:themeColor="text1"/>
                <w:lang w:val="en-ID" w:eastAsia="en-ID"/>
              </w:rPr>
            </w:pPr>
            <w:r w:rsidRPr="00463A15">
              <w:rPr>
                <w:color w:val="000000" w:themeColor="text1"/>
                <w:lang w:val="en-ID" w:eastAsia="en-ID"/>
              </w:rPr>
              <w:t>0.518</w:t>
            </w:r>
          </w:p>
        </w:tc>
      </w:tr>
      <w:tr w:rsidR="00097749" w:rsidRPr="00463A15" w14:paraId="51341BB0" w14:textId="77777777" w:rsidTr="007B535D">
        <w:trPr>
          <w:tblCellSpacing w:w="15" w:type="dxa"/>
        </w:trPr>
        <w:tc>
          <w:tcPr>
            <w:tcW w:w="3119" w:type="dxa"/>
            <w:vAlign w:val="center"/>
            <w:hideMark/>
          </w:tcPr>
          <w:p w14:paraId="1089BDBE" w14:textId="77777777" w:rsidR="00097749" w:rsidRPr="00463A15" w:rsidRDefault="00097749" w:rsidP="007B535D">
            <w:pPr>
              <w:rPr>
                <w:color w:val="000000" w:themeColor="text1"/>
                <w:lang w:val="en-ID" w:eastAsia="en-ID"/>
              </w:rPr>
            </w:pPr>
            <w:r w:rsidRPr="00463A15">
              <w:rPr>
                <w:color w:val="000000" w:themeColor="text1"/>
                <w:lang w:val="en-ID" w:eastAsia="en-ID"/>
              </w:rPr>
              <w:t>PF3 – Motivation to adhere to treatment</w:t>
            </w:r>
          </w:p>
        </w:tc>
        <w:tc>
          <w:tcPr>
            <w:tcW w:w="0" w:type="auto"/>
            <w:vAlign w:val="center"/>
            <w:hideMark/>
          </w:tcPr>
          <w:p w14:paraId="0F40EC95" w14:textId="77777777" w:rsidR="00097749" w:rsidRPr="00463A15" w:rsidRDefault="00097749" w:rsidP="007B535D">
            <w:pPr>
              <w:rPr>
                <w:color w:val="000000" w:themeColor="text1"/>
                <w:lang w:val="en-ID" w:eastAsia="en-ID"/>
              </w:rPr>
            </w:pPr>
            <w:r w:rsidRPr="00463A15">
              <w:rPr>
                <w:b/>
                <w:bCs/>
                <w:color w:val="000000" w:themeColor="text1"/>
                <w:lang w:val="en-ID" w:eastAsia="en-ID"/>
              </w:rPr>
              <w:t>0.768</w:t>
            </w:r>
          </w:p>
        </w:tc>
        <w:tc>
          <w:tcPr>
            <w:tcW w:w="0" w:type="auto"/>
            <w:vAlign w:val="center"/>
            <w:hideMark/>
          </w:tcPr>
          <w:p w14:paraId="48C0B957" w14:textId="77777777" w:rsidR="00097749" w:rsidRPr="00463A15" w:rsidRDefault="00097749" w:rsidP="007B535D">
            <w:pPr>
              <w:rPr>
                <w:color w:val="000000" w:themeColor="text1"/>
                <w:lang w:val="en-ID" w:eastAsia="en-ID"/>
              </w:rPr>
            </w:pPr>
            <w:r w:rsidRPr="00463A15">
              <w:rPr>
                <w:color w:val="000000" w:themeColor="text1"/>
                <w:lang w:val="en-ID" w:eastAsia="en-ID"/>
              </w:rPr>
              <w:t>0.389</w:t>
            </w:r>
          </w:p>
        </w:tc>
        <w:tc>
          <w:tcPr>
            <w:tcW w:w="0" w:type="auto"/>
            <w:vAlign w:val="center"/>
            <w:hideMark/>
          </w:tcPr>
          <w:p w14:paraId="249314B3" w14:textId="77777777" w:rsidR="00097749" w:rsidRPr="00463A15" w:rsidRDefault="00097749" w:rsidP="007B535D">
            <w:pPr>
              <w:rPr>
                <w:color w:val="000000" w:themeColor="text1"/>
                <w:lang w:val="en-ID" w:eastAsia="en-ID"/>
              </w:rPr>
            </w:pPr>
            <w:r w:rsidRPr="00463A15">
              <w:rPr>
                <w:color w:val="000000" w:themeColor="text1"/>
                <w:lang w:val="en-ID" w:eastAsia="en-ID"/>
              </w:rPr>
              <w:t>0.406</w:t>
            </w:r>
          </w:p>
        </w:tc>
        <w:tc>
          <w:tcPr>
            <w:tcW w:w="0" w:type="auto"/>
            <w:vAlign w:val="center"/>
            <w:hideMark/>
          </w:tcPr>
          <w:p w14:paraId="398DE58E" w14:textId="77777777" w:rsidR="00097749" w:rsidRPr="00463A15" w:rsidRDefault="00097749" w:rsidP="007B535D">
            <w:pPr>
              <w:rPr>
                <w:color w:val="000000" w:themeColor="text1"/>
                <w:lang w:val="en-ID" w:eastAsia="en-ID"/>
              </w:rPr>
            </w:pPr>
            <w:r w:rsidRPr="00463A15">
              <w:rPr>
                <w:color w:val="000000" w:themeColor="text1"/>
                <w:lang w:val="en-ID" w:eastAsia="en-ID"/>
              </w:rPr>
              <w:t>0.517</w:t>
            </w:r>
          </w:p>
        </w:tc>
        <w:tc>
          <w:tcPr>
            <w:tcW w:w="0" w:type="auto"/>
            <w:vAlign w:val="center"/>
            <w:hideMark/>
          </w:tcPr>
          <w:p w14:paraId="13AC39DA" w14:textId="77777777" w:rsidR="00097749" w:rsidRPr="00463A15" w:rsidRDefault="00097749" w:rsidP="007B535D">
            <w:pPr>
              <w:rPr>
                <w:color w:val="000000" w:themeColor="text1"/>
                <w:lang w:val="en-ID" w:eastAsia="en-ID"/>
              </w:rPr>
            </w:pPr>
            <w:r w:rsidRPr="00463A15">
              <w:rPr>
                <w:color w:val="000000" w:themeColor="text1"/>
                <w:lang w:val="en-ID" w:eastAsia="en-ID"/>
              </w:rPr>
              <w:t>0.502</w:t>
            </w:r>
          </w:p>
        </w:tc>
      </w:tr>
      <w:tr w:rsidR="00097749" w:rsidRPr="00463A15" w14:paraId="56D52549" w14:textId="77777777" w:rsidTr="007B535D">
        <w:trPr>
          <w:tblCellSpacing w:w="15" w:type="dxa"/>
        </w:trPr>
        <w:tc>
          <w:tcPr>
            <w:tcW w:w="3119" w:type="dxa"/>
            <w:vAlign w:val="center"/>
            <w:hideMark/>
          </w:tcPr>
          <w:p w14:paraId="57171151" w14:textId="77777777" w:rsidR="00097749" w:rsidRPr="00463A15" w:rsidRDefault="00097749" w:rsidP="007B535D">
            <w:pPr>
              <w:rPr>
                <w:color w:val="000000" w:themeColor="text1"/>
                <w:lang w:val="en-ID" w:eastAsia="en-ID"/>
              </w:rPr>
            </w:pPr>
            <w:r w:rsidRPr="00463A15">
              <w:rPr>
                <w:color w:val="000000" w:themeColor="text1"/>
                <w:lang w:val="en-ID" w:eastAsia="en-ID"/>
              </w:rPr>
              <w:lastRenderedPageBreak/>
              <w:t>EF1 – Availability of medicines</w:t>
            </w:r>
          </w:p>
        </w:tc>
        <w:tc>
          <w:tcPr>
            <w:tcW w:w="0" w:type="auto"/>
            <w:vAlign w:val="center"/>
            <w:hideMark/>
          </w:tcPr>
          <w:p w14:paraId="2B003D39" w14:textId="77777777" w:rsidR="00097749" w:rsidRPr="00463A15" w:rsidRDefault="00097749" w:rsidP="007B535D">
            <w:pPr>
              <w:rPr>
                <w:color w:val="000000" w:themeColor="text1"/>
                <w:lang w:val="en-ID" w:eastAsia="en-ID"/>
              </w:rPr>
            </w:pPr>
            <w:r w:rsidRPr="00463A15">
              <w:rPr>
                <w:color w:val="000000" w:themeColor="text1"/>
                <w:lang w:val="en-ID" w:eastAsia="en-ID"/>
              </w:rPr>
              <w:t>0.423</w:t>
            </w:r>
          </w:p>
        </w:tc>
        <w:tc>
          <w:tcPr>
            <w:tcW w:w="0" w:type="auto"/>
            <w:vAlign w:val="center"/>
            <w:hideMark/>
          </w:tcPr>
          <w:p w14:paraId="433983A8" w14:textId="77777777" w:rsidR="00097749" w:rsidRPr="00463A15" w:rsidRDefault="00097749" w:rsidP="007B535D">
            <w:pPr>
              <w:rPr>
                <w:color w:val="000000" w:themeColor="text1"/>
                <w:lang w:val="en-ID" w:eastAsia="en-ID"/>
              </w:rPr>
            </w:pPr>
            <w:r w:rsidRPr="00463A15">
              <w:rPr>
                <w:b/>
                <w:bCs/>
                <w:color w:val="000000" w:themeColor="text1"/>
                <w:lang w:val="en-ID" w:eastAsia="en-ID"/>
              </w:rPr>
              <w:t>0.794</w:t>
            </w:r>
          </w:p>
        </w:tc>
        <w:tc>
          <w:tcPr>
            <w:tcW w:w="0" w:type="auto"/>
            <w:vAlign w:val="center"/>
            <w:hideMark/>
          </w:tcPr>
          <w:p w14:paraId="107C969B" w14:textId="77777777" w:rsidR="00097749" w:rsidRPr="00463A15" w:rsidRDefault="00097749" w:rsidP="007B535D">
            <w:pPr>
              <w:rPr>
                <w:color w:val="000000" w:themeColor="text1"/>
                <w:lang w:val="en-ID" w:eastAsia="en-ID"/>
              </w:rPr>
            </w:pPr>
            <w:r w:rsidRPr="00463A15">
              <w:rPr>
                <w:color w:val="000000" w:themeColor="text1"/>
                <w:lang w:val="en-ID" w:eastAsia="en-ID"/>
              </w:rPr>
              <w:t>0.412</w:t>
            </w:r>
          </w:p>
        </w:tc>
        <w:tc>
          <w:tcPr>
            <w:tcW w:w="0" w:type="auto"/>
            <w:vAlign w:val="center"/>
            <w:hideMark/>
          </w:tcPr>
          <w:p w14:paraId="16AA723B" w14:textId="77777777" w:rsidR="00097749" w:rsidRPr="00463A15" w:rsidRDefault="00097749" w:rsidP="007B535D">
            <w:pPr>
              <w:rPr>
                <w:color w:val="000000" w:themeColor="text1"/>
                <w:lang w:val="en-ID" w:eastAsia="en-ID"/>
              </w:rPr>
            </w:pPr>
            <w:r w:rsidRPr="00463A15">
              <w:rPr>
                <w:color w:val="000000" w:themeColor="text1"/>
                <w:lang w:val="en-ID" w:eastAsia="en-ID"/>
              </w:rPr>
              <w:t>0.501</w:t>
            </w:r>
          </w:p>
        </w:tc>
        <w:tc>
          <w:tcPr>
            <w:tcW w:w="0" w:type="auto"/>
            <w:vAlign w:val="center"/>
            <w:hideMark/>
          </w:tcPr>
          <w:p w14:paraId="23ED0492" w14:textId="77777777" w:rsidR="00097749" w:rsidRPr="00463A15" w:rsidRDefault="00097749" w:rsidP="007B535D">
            <w:pPr>
              <w:rPr>
                <w:color w:val="000000" w:themeColor="text1"/>
                <w:lang w:val="en-ID" w:eastAsia="en-ID"/>
              </w:rPr>
            </w:pPr>
            <w:r w:rsidRPr="00463A15">
              <w:rPr>
                <w:color w:val="000000" w:themeColor="text1"/>
                <w:lang w:val="en-ID" w:eastAsia="en-ID"/>
              </w:rPr>
              <w:t>0.479</w:t>
            </w:r>
          </w:p>
        </w:tc>
      </w:tr>
      <w:tr w:rsidR="00097749" w:rsidRPr="00463A15" w14:paraId="348DFEB5" w14:textId="77777777" w:rsidTr="007B535D">
        <w:trPr>
          <w:tblCellSpacing w:w="15" w:type="dxa"/>
        </w:trPr>
        <w:tc>
          <w:tcPr>
            <w:tcW w:w="3119" w:type="dxa"/>
            <w:vAlign w:val="center"/>
            <w:hideMark/>
          </w:tcPr>
          <w:p w14:paraId="4A044FF7" w14:textId="77777777" w:rsidR="00097749" w:rsidRPr="00463A15" w:rsidRDefault="00097749" w:rsidP="007B535D">
            <w:pPr>
              <w:rPr>
                <w:color w:val="000000" w:themeColor="text1"/>
                <w:lang w:val="en-ID" w:eastAsia="en-ID"/>
              </w:rPr>
            </w:pPr>
            <w:r w:rsidRPr="00463A15">
              <w:rPr>
                <w:color w:val="000000" w:themeColor="text1"/>
                <w:lang w:val="en-ID" w:eastAsia="en-ID"/>
              </w:rPr>
              <w:t>EF2 – Accessibility of healthcare service</w:t>
            </w:r>
          </w:p>
        </w:tc>
        <w:tc>
          <w:tcPr>
            <w:tcW w:w="0" w:type="auto"/>
            <w:vAlign w:val="center"/>
            <w:hideMark/>
          </w:tcPr>
          <w:p w14:paraId="227C8688" w14:textId="77777777" w:rsidR="00097749" w:rsidRPr="00463A15" w:rsidRDefault="00097749" w:rsidP="007B535D">
            <w:pPr>
              <w:rPr>
                <w:color w:val="000000" w:themeColor="text1"/>
                <w:lang w:val="en-ID" w:eastAsia="en-ID"/>
              </w:rPr>
            </w:pPr>
            <w:r w:rsidRPr="00463A15">
              <w:rPr>
                <w:color w:val="000000" w:themeColor="text1"/>
                <w:lang w:val="en-ID" w:eastAsia="en-ID"/>
              </w:rPr>
              <w:t>0.439</w:t>
            </w:r>
          </w:p>
        </w:tc>
        <w:tc>
          <w:tcPr>
            <w:tcW w:w="0" w:type="auto"/>
            <w:vAlign w:val="center"/>
            <w:hideMark/>
          </w:tcPr>
          <w:p w14:paraId="1E41D40B" w14:textId="77777777" w:rsidR="00097749" w:rsidRPr="00463A15" w:rsidRDefault="00097749" w:rsidP="007B535D">
            <w:pPr>
              <w:rPr>
                <w:color w:val="000000" w:themeColor="text1"/>
                <w:lang w:val="en-ID" w:eastAsia="en-ID"/>
              </w:rPr>
            </w:pPr>
            <w:r w:rsidRPr="00463A15">
              <w:rPr>
                <w:b/>
                <w:bCs/>
                <w:color w:val="000000" w:themeColor="text1"/>
                <w:lang w:val="en-ID" w:eastAsia="en-ID"/>
              </w:rPr>
              <w:t>0.811</w:t>
            </w:r>
          </w:p>
        </w:tc>
        <w:tc>
          <w:tcPr>
            <w:tcW w:w="0" w:type="auto"/>
            <w:vAlign w:val="center"/>
            <w:hideMark/>
          </w:tcPr>
          <w:p w14:paraId="5E706C28" w14:textId="77777777" w:rsidR="00097749" w:rsidRPr="00463A15" w:rsidRDefault="00097749" w:rsidP="007B535D">
            <w:pPr>
              <w:rPr>
                <w:color w:val="000000" w:themeColor="text1"/>
                <w:lang w:val="en-ID" w:eastAsia="en-ID"/>
              </w:rPr>
            </w:pPr>
            <w:r w:rsidRPr="00463A15">
              <w:rPr>
                <w:color w:val="000000" w:themeColor="text1"/>
                <w:lang w:val="en-ID" w:eastAsia="en-ID"/>
              </w:rPr>
              <w:t>0.428</w:t>
            </w:r>
          </w:p>
        </w:tc>
        <w:tc>
          <w:tcPr>
            <w:tcW w:w="0" w:type="auto"/>
            <w:vAlign w:val="center"/>
            <w:hideMark/>
          </w:tcPr>
          <w:p w14:paraId="19F22349" w14:textId="77777777" w:rsidR="00097749" w:rsidRPr="00463A15" w:rsidRDefault="00097749" w:rsidP="007B535D">
            <w:pPr>
              <w:rPr>
                <w:color w:val="000000" w:themeColor="text1"/>
                <w:lang w:val="en-ID" w:eastAsia="en-ID"/>
              </w:rPr>
            </w:pPr>
            <w:r w:rsidRPr="00463A15">
              <w:rPr>
                <w:color w:val="000000" w:themeColor="text1"/>
                <w:lang w:val="en-ID" w:eastAsia="en-ID"/>
              </w:rPr>
              <w:t>0.514</w:t>
            </w:r>
          </w:p>
        </w:tc>
        <w:tc>
          <w:tcPr>
            <w:tcW w:w="0" w:type="auto"/>
            <w:vAlign w:val="center"/>
            <w:hideMark/>
          </w:tcPr>
          <w:p w14:paraId="79405872" w14:textId="77777777" w:rsidR="00097749" w:rsidRPr="00463A15" w:rsidRDefault="00097749" w:rsidP="007B535D">
            <w:pPr>
              <w:rPr>
                <w:color w:val="000000" w:themeColor="text1"/>
                <w:lang w:val="en-ID" w:eastAsia="en-ID"/>
              </w:rPr>
            </w:pPr>
            <w:r w:rsidRPr="00463A15">
              <w:rPr>
                <w:color w:val="000000" w:themeColor="text1"/>
                <w:lang w:val="en-ID" w:eastAsia="en-ID"/>
              </w:rPr>
              <w:t>0.498</w:t>
            </w:r>
          </w:p>
        </w:tc>
      </w:tr>
      <w:tr w:rsidR="00097749" w:rsidRPr="00463A15" w14:paraId="46E7F1F2" w14:textId="77777777" w:rsidTr="007B535D">
        <w:trPr>
          <w:tblCellSpacing w:w="15" w:type="dxa"/>
        </w:trPr>
        <w:tc>
          <w:tcPr>
            <w:tcW w:w="3119" w:type="dxa"/>
            <w:vAlign w:val="center"/>
            <w:hideMark/>
          </w:tcPr>
          <w:p w14:paraId="467131CE" w14:textId="77777777" w:rsidR="00097749" w:rsidRPr="00463A15" w:rsidRDefault="00097749" w:rsidP="007B535D">
            <w:pPr>
              <w:rPr>
                <w:color w:val="000000" w:themeColor="text1"/>
                <w:lang w:val="en-ID" w:eastAsia="en-ID"/>
              </w:rPr>
            </w:pPr>
            <w:r w:rsidRPr="00463A15">
              <w:rPr>
                <w:color w:val="000000" w:themeColor="text1"/>
                <w:lang w:val="en-ID" w:eastAsia="en-ID"/>
              </w:rPr>
              <w:t>EF3 – Affordability of treatment</w:t>
            </w:r>
          </w:p>
        </w:tc>
        <w:tc>
          <w:tcPr>
            <w:tcW w:w="0" w:type="auto"/>
            <w:vAlign w:val="center"/>
            <w:hideMark/>
          </w:tcPr>
          <w:p w14:paraId="7F9093AF" w14:textId="77777777" w:rsidR="00097749" w:rsidRPr="00463A15" w:rsidRDefault="00097749" w:rsidP="007B535D">
            <w:pPr>
              <w:rPr>
                <w:color w:val="000000" w:themeColor="text1"/>
                <w:lang w:val="en-ID" w:eastAsia="en-ID"/>
              </w:rPr>
            </w:pPr>
            <w:r w:rsidRPr="00463A15">
              <w:rPr>
                <w:color w:val="000000" w:themeColor="text1"/>
                <w:lang w:val="en-ID" w:eastAsia="en-ID"/>
              </w:rPr>
              <w:t>0.418</w:t>
            </w:r>
          </w:p>
        </w:tc>
        <w:tc>
          <w:tcPr>
            <w:tcW w:w="0" w:type="auto"/>
            <w:vAlign w:val="center"/>
            <w:hideMark/>
          </w:tcPr>
          <w:p w14:paraId="687E9755" w14:textId="77777777" w:rsidR="00097749" w:rsidRPr="00463A15" w:rsidRDefault="00097749" w:rsidP="007B535D">
            <w:pPr>
              <w:rPr>
                <w:color w:val="000000" w:themeColor="text1"/>
                <w:lang w:val="en-ID" w:eastAsia="en-ID"/>
              </w:rPr>
            </w:pPr>
            <w:r w:rsidRPr="00463A15">
              <w:rPr>
                <w:b/>
                <w:bCs/>
                <w:color w:val="000000" w:themeColor="text1"/>
                <w:lang w:val="en-ID" w:eastAsia="en-ID"/>
              </w:rPr>
              <w:t>0.786</w:t>
            </w:r>
          </w:p>
        </w:tc>
        <w:tc>
          <w:tcPr>
            <w:tcW w:w="0" w:type="auto"/>
            <w:vAlign w:val="center"/>
            <w:hideMark/>
          </w:tcPr>
          <w:p w14:paraId="5B809455" w14:textId="77777777" w:rsidR="00097749" w:rsidRPr="00463A15" w:rsidRDefault="00097749" w:rsidP="007B535D">
            <w:pPr>
              <w:rPr>
                <w:color w:val="000000" w:themeColor="text1"/>
                <w:lang w:val="en-ID" w:eastAsia="en-ID"/>
              </w:rPr>
            </w:pPr>
            <w:r w:rsidRPr="00463A15">
              <w:rPr>
                <w:color w:val="000000" w:themeColor="text1"/>
                <w:lang w:val="en-ID" w:eastAsia="en-ID"/>
              </w:rPr>
              <w:t>0.419</w:t>
            </w:r>
          </w:p>
        </w:tc>
        <w:tc>
          <w:tcPr>
            <w:tcW w:w="0" w:type="auto"/>
            <w:vAlign w:val="center"/>
            <w:hideMark/>
          </w:tcPr>
          <w:p w14:paraId="6EC775C4" w14:textId="77777777" w:rsidR="00097749" w:rsidRPr="00463A15" w:rsidRDefault="00097749" w:rsidP="007B535D">
            <w:pPr>
              <w:rPr>
                <w:color w:val="000000" w:themeColor="text1"/>
                <w:lang w:val="en-ID" w:eastAsia="en-ID"/>
              </w:rPr>
            </w:pPr>
            <w:r w:rsidRPr="00463A15">
              <w:rPr>
                <w:color w:val="000000" w:themeColor="text1"/>
                <w:lang w:val="en-ID" w:eastAsia="en-ID"/>
              </w:rPr>
              <w:t>0.506</w:t>
            </w:r>
          </w:p>
        </w:tc>
        <w:tc>
          <w:tcPr>
            <w:tcW w:w="0" w:type="auto"/>
            <w:vAlign w:val="center"/>
            <w:hideMark/>
          </w:tcPr>
          <w:p w14:paraId="74FDC7D3" w14:textId="77777777" w:rsidR="00097749" w:rsidRPr="00463A15" w:rsidRDefault="00097749" w:rsidP="007B535D">
            <w:pPr>
              <w:rPr>
                <w:color w:val="000000" w:themeColor="text1"/>
                <w:lang w:val="en-ID" w:eastAsia="en-ID"/>
              </w:rPr>
            </w:pPr>
            <w:r w:rsidRPr="00463A15">
              <w:rPr>
                <w:color w:val="000000" w:themeColor="text1"/>
                <w:lang w:val="en-ID" w:eastAsia="en-ID"/>
              </w:rPr>
              <w:t>0.485</w:t>
            </w:r>
          </w:p>
        </w:tc>
      </w:tr>
      <w:tr w:rsidR="00097749" w:rsidRPr="00463A15" w14:paraId="4A67EE91" w14:textId="77777777" w:rsidTr="007B535D">
        <w:trPr>
          <w:tblCellSpacing w:w="15" w:type="dxa"/>
        </w:trPr>
        <w:tc>
          <w:tcPr>
            <w:tcW w:w="3119" w:type="dxa"/>
            <w:vAlign w:val="center"/>
            <w:hideMark/>
          </w:tcPr>
          <w:p w14:paraId="4B39BA56" w14:textId="77777777" w:rsidR="00097749" w:rsidRPr="00463A15" w:rsidRDefault="00097749" w:rsidP="007B535D">
            <w:pPr>
              <w:rPr>
                <w:color w:val="000000" w:themeColor="text1"/>
                <w:lang w:val="en-ID" w:eastAsia="en-ID"/>
              </w:rPr>
            </w:pPr>
            <w:r w:rsidRPr="00463A15">
              <w:rPr>
                <w:color w:val="000000" w:themeColor="text1"/>
                <w:lang w:val="en-ID" w:eastAsia="en-ID"/>
              </w:rPr>
              <w:t>RF1 – Family support during treatment</w:t>
            </w:r>
          </w:p>
        </w:tc>
        <w:tc>
          <w:tcPr>
            <w:tcW w:w="0" w:type="auto"/>
            <w:vAlign w:val="center"/>
            <w:hideMark/>
          </w:tcPr>
          <w:p w14:paraId="00AE64E4" w14:textId="77777777" w:rsidR="00097749" w:rsidRPr="00463A15" w:rsidRDefault="00097749" w:rsidP="007B535D">
            <w:pPr>
              <w:rPr>
                <w:color w:val="000000" w:themeColor="text1"/>
                <w:lang w:val="en-ID" w:eastAsia="en-ID"/>
              </w:rPr>
            </w:pPr>
            <w:r w:rsidRPr="00463A15">
              <w:rPr>
                <w:color w:val="000000" w:themeColor="text1"/>
                <w:lang w:val="en-ID" w:eastAsia="en-ID"/>
              </w:rPr>
              <w:t>0.427</w:t>
            </w:r>
          </w:p>
        </w:tc>
        <w:tc>
          <w:tcPr>
            <w:tcW w:w="0" w:type="auto"/>
            <w:vAlign w:val="center"/>
            <w:hideMark/>
          </w:tcPr>
          <w:p w14:paraId="3D6124AB" w14:textId="77777777" w:rsidR="00097749" w:rsidRPr="00463A15" w:rsidRDefault="00097749" w:rsidP="007B535D">
            <w:pPr>
              <w:rPr>
                <w:color w:val="000000" w:themeColor="text1"/>
                <w:lang w:val="en-ID" w:eastAsia="en-ID"/>
              </w:rPr>
            </w:pPr>
            <w:r w:rsidRPr="00463A15">
              <w:rPr>
                <w:color w:val="000000" w:themeColor="text1"/>
                <w:lang w:val="en-ID" w:eastAsia="en-ID"/>
              </w:rPr>
              <w:t>0.423</w:t>
            </w:r>
          </w:p>
        </w:tc>
        <w:tc>
          <w:tcPr>
            <w:tcW w:w="0" w:type="auto"/>
            <w:vAlign w:val="center"/>
            <w:hideMark/>
          </w:tcPr>
          <w:p w14:paraId="52C8838C" w14:textId="77777777" w:rsidR="00097749" w:rsidRPr="00463A15" w:rsidRDefault="00097749" w:rsidP="007B535D">
            <w:pPr>
              <w:rPr>
                <w:color w:val="000000" w:themeColor="text1"/>
                <w:lang w:val="en-ID" w:eastAsia="en-ID"/>
              </w:rPr>
            </w:pPr>
            <w:r w:rsidRPr="00463A15">
              <w:rPr>
                <w:b/>
                <w:bCs/>
                <w:color w:val="000000" w:themeColor="text1"/>
                <w:lang w:val="en-ID" w:eastAsia="en-ID"/>
              </w:rPr>
              <w:t>0.803</w:t>
            </w:r>
          </w:p>
        </w:tc>
        <w:tc>
          <w:tcPr>
            <w:tcW w:w="0" w:type="auto"/>
            <w:vAlign w:val="center"/>
            <w:hideMark/>
          </w:tcPr>
          <w:p w14:paraId="716B657A" w14:textId="77777777" w:rsidR="00097749" w:rsidRPr="00463A15" w:rsidRDefault="00097749" w:rsidP="007B535D">
            <w:pPr>
              <w:rPr>
                <w:color w:val="000000" w:themeColor="text1"/>
                <w:lang w:val="en-ID" w:eastAsia="en-ID"/>
              </w:rPr>
            </w:pPr>
            <w:r w:rsidRPr="00463A15">
              <w:rPr>
                <w:color w:val="000000" w:themeColor="text1"/>
                <w:lang w:val="en-ID" w:eastAsia="en-ID"/>
              </w:rPr>
              <w:t>0.537</w:t>
            </w:r>
          </w:p>
        </w:tc>
        <w:tc>
          <w:tcPr>
            <w:tcW w:w="0" w:type="auto"/>
            <w:vAlign w:val="center"/>
            <w:hideMark/>
          </w:tcPr>
          <w:p w14:paraId="4020EE6F" w14:textId="77777777" w:rsidR="00097749" w:rsidRPr="00463A15" w:rsidRDefault="00097749" w:rsidP="007B535D">
            <w:pPr>
              <w:rPr>
                <w:color w:val="000000" w:themeColor="text1"/>
                <w:lang w:val="en-ID" w:eastAsia="en-ID"/>
              </w:rPr>
            </w:pPr>
            <w:r w:rsidRPr="00463A15">
              <w:rPr>
                <w:color w:val="000000" w:themeColor="text1"/>
                <w:lang w:val="en-ID" w:eastAsia="en-ID"/>
              </w:rPr>
              <w:t>0.521</w:t>
            </w:r>
          </w:p>
        </w:tc>
      </w:tr>
      <w:tr w:rsidR="00097749" w:rsidRPr="00463A15" w14:paraId="3287FE6F" w14:textId="77777777" w:rsidTr="007B535D">
        <w:trPr>
          <w:tblCellSpacing w:w="15" w:type="dxa"/>
        </w:trPr>
        <w:tc>
          <w:tcPr>
            <w:tcW w:w="3119" w:type="dxa"/>
            <w:vAlign w:val="center"/>
            <w:hideMark/>
          </w:tcPr>
          <w:p w14:paraId="10380D24" w14:textId="77777777" w:rsidR="00097749" w:rsidRPr="00463A15" w:rsidRDefault="00097749" w:rsidP="007B535D">
            <w:pPr>
              <w:rPr>
                <w:color w:val="000000" w:themeColor="text1"/>
                <w:lang w:val="en-ID" w:eastAsia="en-ID"/>
              </w:rPr>
            </w:pPr>
            <w:r w:rsidRPr="00463A15">
              <w:rPr>
                <w:color w:val="000000" w:themeColor="text1"/>
                <w:lang w:val="en-ID" w:eastAsia="en-ID"/>
              </w:rPr>
              <w:t>RF2 – Encouragement from healthcare workers</w:t>
            </w:r>
          </w:p>
        </w:tc>
        <w:tc>
          <w:tcPr>
            <w:tcW w:w="0" w:type="auto"/>
            <w:vAlign w:val="center"/>
            <w:hideMark/>
          </w:tcPr>
          <w:p w14:paraId="515CD719" w14:textId="77777777" w:rsidR="00097749" w:rsidRPr="00463A15" w:rsidRDefault="00097749" w:rsidP="007B535D">
            <w:pPr>
              <w:rPr>
                <w:color w:val="000000" w:themeColor="text1"/>
                <w:lang w:val="en-ID" w:eastAsia="en-ID"/>
              </w:rPr>
            </w:pPr>
            <w:r w:rsidRPr="00463A15">
              <w:rPr>
                <w:color w:val="000000" w:themeColor="text1"/>
                <w:lang w:val="en-ID" w:eastAsia="en-ID"/>
              </w:rPr>
              <w:t>0.445</w:t>
            </w:r>
          </w:p>
        </w:tc>
        <w:tc>
          <w:tcPr>
            <w:tcW w:w="0" w:type="auto"/>
            <w:vAlign w:val="center"/>
            <w:hideMark/>
          </w:tcPr>
          <w:p w14:paraId="71B4BCAF" w14:textId="77777777" w:rsidR="00097749" w:rsidRPr="00463A15" w:rsidRDefault="00097749" w:rsidP="007B535D">
            <w:pPr>
              <w:rPr>
                <w:color w:val="000000" w:themeColor="text1"/>
                <w:lang w:val="en-ID" w:eastAsia="en-ID"/>
              </w:rPr>
            </w:pPr>
            <w:r w:rsidRPr="00463A15">
              <w:rPr>
                <w:color w:val="000000" w:themeColor="text1"/>
                <w:lang w:val="en-ID" w:eastAsia="en-ID"/>
              </w:rPr>
              <w:t>0.439</w:t>
            </w:r>
          </w:p>
        </w:tc>
        <w:tc>
          <w:tcPr>
            <w:tcW w:w="0" w:type="auto"/>
            <w:vAlign w:val="center"/>
            <w:hideMark/>
          </w:tcPr>
          <w:p w14:paraId="3DB78747" w14:textId="77777777" w:rsidR="00097749" w:rsidRPr="00463A15" w:rsidRDefault="00097749" w:rsidP="007B535D">
            <w:pPr>
              <w:rPr>
                <w:color w:val="000000" w:themeColor="text1"/>
                <w:lang w:val="en-ID" w:eastAsia="en-ID"/>
              </w:rPr>
            </w:pPr>
            <w:r w:rsidRPr="00463A15">
              <w:rPr>
                <w:b/>
                <w:bCs/>
                <w:color w:val="000000" w:themeColor="text1"/>
                <w:lang w:val="en-ID" w:eastAsia="en-ID"/>
              </w:rPr>
              <w:t>0.816</w:t>
            </w:r>
          </w:p>
        </w:tc>
        <w:tc>
          <w:tcPr>
            <w:tcW w:w="0" w:type="auto"/>
            <w:vAlign w:val="center"/>
            <w:hideMark/>
          </w:tcPr>
          <w:p w14:paraId="44CD7274" w14:textId="77777777" w:rsidR="00097749" w:rsidRPr="00463A15" w:rsidRDefault="00097749" w:rsidP="007B535D">
            <w:pPr>
              <w:rPr>
                <w:color w:val="000000" w:themeColor="text1"/>
                <w:lang w:val="en-ID" w:eastAsia="en-ID"/>
              </w:rPr>
            </w:pPr>
            <w:r w:rsidRPr="00463A15">
              <w:rPr>
                <w:color w:val="000000" w:themeColor="text1"/>
                <w:lang w:val="en-ID" w:eastAsia="en-ID"/>
              </w:rPr>
              <w:t>0.551</w:t>
            </w:r>
          </w:p>
        </w:tc>
        <w:tc>
          <w:tcPr>
            <w:tcW w:w="0" w:type="auto"/>
            <w:vAlign w:val="center"/>
            <w:hideMark/>
          </w:tcPr>
          <w:p w14:paraId="18ACA6CE" w14:textId="77777777" w:rsidR="00097749" w:rsidRPr="00463A15" w:rsidRDefault="00097749" w:rsidP="007B535D">
            <w:pPr>
              <w:rPr>
                <w:color w:val="000000" w:themeColor="text1"/>
                <w:lang w:val="en-ID" w:eastAsia="en-ID"/>
              </w:rPr>
            </w:pPr>
            <w:r w:rsidRPr="00463A15">
              <w:rPr>
                <w:color w:val="000000" w:themeColor="text1"/>
                <w:lang w:val="en-ID" w:eastAsia="en-ID"/>
              </w:rPr>
              <w:t>0.538</w:t>
            </w:r>
          </w:p>
        </w:tc>
      </w:tr>
      <w:tr w:rsidR="00097749" w:rsidRPr="00463A15" w14:paraId="43EBCF0E" w14:textId="77777777" w:rsidTr="007B535D">
        <w:trPr>
          <w:tblCellSpacing w:w="15" w:type="dxa"/>
        </w:trPr>
        <w:tc>
          <w:tcPr>
            <w:tcW w:w="3119" w:type="dxa"/>
            <w:vAlign w:val="center"/>
            <w:hideMark/>
          </w:tcPr>
          <w:p w14:paraId="2638BABF" w14:textId="77777777" w:rsidR="00097749" w:rsidRPr="00463A15" w:rsidRDefault="00097749" w:rsidP="007B535D">
            <w:pPr>
              <w:rPr>
                <w:color w:val="000000" w:themeColor="text1"/>
                <w:lang w:val="en-ID" w:eastAsia="en-ID"/>
              </w:rPr>
            </w:pPr>
            <w:r w:rsidRPr="00463A15">
              <w:rPr>
                <w:color w:val="000000" w:themeColor="text1"/>
                <w:lang w:val="en-ID" w:eastAsia="en-ID"/>
              </w:rPr>
              <w:t>RF3 – Community reinforcement</w:t>
            </w:r>
          </w:p>
        </w:tc>
        <w:tc>
          <w:tcPr>
            <w:tcW w:w="0" w:type="auto"/>
            <w:vAlign w:val="center"/>
            <w:hideMark/>
          </w:tcPr>
          <w:p w14:paraId="696103BB" w14:textId="77777777" w:rsidR="00097749" w:rsidRPr="00463A15" w:rsidRDefault="00097749" w:rsidP="007B535D">
            <w:pPr>
              <w:rPr>
                <w:color w:val="000000" w:themeColor="text1"/>
                <w:lang w:val="en-ID" w:eastAsia="en-ID"/>
              </w:rPr>
            </w:pPr>
            <w:r w:rsidRPr="00463A15">
              <w:rPr>
                <w:color w:val="000000" w:themeColor="text1"/>
                <w:lang w:val="en-ID" w:eastAsia="en-ID"/>
              </w:rPr>
              <w:t>0.436</w:t>
            </w:r>
          </w:p>
        </w:tc>
        <w:tc>
          <w:tcPr>
            <w:tcW w:w="0" w:type="auto"/>
            <w:vAlign w:val="center"/>
            <w:hideMark/>
          </w:tcPr>
          <w:p w14:paraId="49D90EAD" w14:textId="77777777" w:rsidR="00097749" w:rsidRPr="00463A15" w:rsidRDefault="00097749" w:rsidP="007B535D">
            <w:pPr>
              <w:rPr>
                <w:color w:val="000000" w:themeColor="text1"/>
                <w:lang w:val="en-ID" w:eastAsia="en-ID"/>
              </w:rPr>
            </w:pPr>
            <w:r w:rsidRPr="00463A15">
              <w:rPr>
                <w:color w:val="000000" w:themeColor="text1"/>
                <w:lang w:val="en-ID" w:eastAsia="en-ID"/>
              </w:rPr>
              <w:t>0.428</w:t>
            </w:r>
          </w:p>
        </w:tc>
        <w:tc>
          <w:tcPr>
            <w:tcW w:w="0" w:type="auto"/>
            <w:vAlign w:val="center"/>
            <w:hideMark/>
          </w:tcPr>
          <w:p w14:paraId="2714D259" w14:textId="77777777" w:rsidR="00097749" w:rsidRPr="00463A15" w:rsidRDefault="00097749" w:rsidP="007B535D">
            <w:pPr>
              <w:rPr>
                <w:color w:val="000000" w:themeColor="text1"/>
                <w:lang w:val="en-ID" w:eastAsia="en-ID"/>
              </w:rPr>
            </w:pPr>
            <w:r w:rsidRPr="00463A15">
              <w:rPr>
                <w:b/>
                <w:bCs/>
                <w:color w:val="000000" w:themeColor="text1"/>
                <w:lang w:val="en-ID" w:eastAsia="en-ID"/>
              </w:rPr>
              <w:t>0.789</w:t>
            </w:r>
          </w:p>
        </w:tc>
        <w:tc>
          <w:tcPr>
            <w:tcW w:w="0" w:type="auto"/>
            <w:vAlign w:val="center"/>
            <w:hideMark/>
          </w:tcPr>
          <w:p w14:paraId="64D66F74" w14:textId="77777777" w:rsidR="00097749" w:rsidRPr="00463A15" w:rsidRDefault="00097749" w:rsidP="007B535D">
            <w:pPr>
              <w:rPr>
                <w:color w:val="000000" w:themeColor="text1"/>
                <w:lang w:val="en-ID" w:eastAsia="en-ID"/>
              </w:rPr>
            </w:pPr>
            <w:r w:rsidRPr="00463A15">
              <w:rPr>
                <w:color w:val="000000" w:themeColor="text1"/>
                <w:lang w:val="en-ID" w:eastAsia="en-ID"/>
              </w:rPr>
              <w:t>0.532</w:t>
            </w:r>
          </w:p>
        </w:tc>
        <w:tc>
          <w:tcPr>
            <w:tcW w:w="0" w:type="auto"/>
            <w:vAlign w:val="center"/>
            <w:hideMark/>
          </w:tcPr>
          <w:p w14:paraId="117EAE27" w14:textId="77777777" w:rsidR="00097749" w:rsidRPr="00463A15" w:rsidRDefault="00097749" w:rsidP="007B535D">
            <w:pPr>
              <w:rPr>
                <w:color w:val="000000" w:themeColor="text1"/>
                <w:lang w:val="en-ID" w:eastAsia="en-ID"/>
              </w:rPr>
            </w:pPr>
            <w:r w:rsidRPr="00463A15">
              <w:rPr>
                <w:color w:val="000000" w:themeColor="text1"/>
                <w:lang w:val="en-ID" w:eastAsia="en-ID"/>
              </w:rPr>
              <w:t>0.515</w:t>
            </w:r>
          </w:p>
        </w:tc>
      </w:tr>
      <w:tr w:rsidR="00097749" w:rsidRPr="00463A15" w14:paraId="450BB7F5" w14:textId="77777777" w:rsidTr="007B535D">
        <w:trPr>
          <w:tblCellSpacing w:w="15" w:type="dxa"/>
        </w:trPr>
        <w:tc>
          <w:tcPr>
            <w:tcW w:w="3119" w:type="dxa"/>
            <w:vAlign w:val="center"/>
            <w:hideMark/>
          </w:tcPr>
          <w:p w14:paraId="48733177" w14:textId="77777777" w:rsidR="00097749" w:rsidRPr="00463A15" w:rsidRDefault="00097749" w:rsidP="007B535D">
            <w:pPr>
              <w:rPr>
                <w:color w:val="000000" w:themeColor="text1"/>
                <w:lang w:val="en-ID" w:eastAsia="en-ID"/>
              </w:rPr>
            </w:pPr>
            <w:r w:rsidRPr="00463A15">
              <w:rPr>
                <w:color w:val="000000" w:themeColor="text1"/>
                <w:lang w:val="en-ID" w:eastAsia="en-ID"/>
              </w:rPr>
              <w:t>SI1 – Malaria corner service</w:t>
            </w:r>
          </w:p>
        </w:tc>
        <w:tc>
          <w:tcPr>
            <w:tcW w:w="0" w:type="auto"/>
            <w:vAlign w:val="center"/>
            <w:hideMark/>
          </w:tcPr>
          <w:p w14:paraId="063D72DB" w14:textId="77777777" w:rsidR="00097749" w:rsidRPr="00463A15" w:rsidRDefault="00097749" w:rsidP="007B535D">
            <w:pPr>
              <w:rPr>
                <w:color w:val="000000" w:themeColor="text1"/>
                <w:lang w:val="en-ID" w:eastAsia="en-ID"/>
              </w:rPr>
            </w:pPr>
            <w:r w:rsidRPr="00463A15">
              <w:rPr>
                <w:color w:val="000000" w:themeColor="text1"/>
                <w:lang w:val="en-ID" w:eastAsia="en-ID"/>
              </w:rPr>
              <w:t>0.521</w:t>
            </w:r>
          </w:p>
        </w:tc>
        <w:tc>
          <w:tcPr>
            <w:tcW w:w="0" w:type="auto"/>
            <w:vAlign w:val="center"/>
            <w:hideMark/>
          </w:tcPr>
          <w:p w14:paraId="7E6C001D" w14:textId="77777777" w:rsidR="00097749" w:rsidRPr="00463A15" w:rsidRDefault="00097749" w:rsidP="007B535D">
            <w:pPr>
              <w:rPr>
                <w:color w:val="000000" w:themeColor="text1"/>
                <w:lang w:val="en-ID" w:eastAsia="en-ID"/>
              </w:rPr>
            </w:pPr>
            <w:r w:rsidRPr="00463A15">
              <w:rPr>
                <w:color w:val="000000" w:themeColor="text1"/>
                <w:lang w:val="en-ID" w:eastAsia="en-ID"/>
              </w:rPr>
              <w:t>0.516</w:t>
            </w:r>
          </w:p>
        </w:tc>
        <w:tc>
          <w:tcPr>
            <w:tcW w:w="0" w:type="auto"/>
            <w:vAlign w:val="center"/>
            <w:hideMark/>
          </w:tcPr>
          <w:p w14:paraId="104D6075" w14:textId="77777777" w:rsidR="00097749" w:rsidRPr="00463A15" w:rsidRDefault="00097749" w:rsidP="007B535D">
            <w:pPr>
              <w:rPr>
                <w:color w:val="000000" w:themeColor="text1"/>
                <w:lang w:val="en-ID" w:eastAsia="en-ID"/>
              </w:rPr>
            </w:pPr>
            <w:r w:rsidRPr="00463A15">
              <w:rPr>
                <w:color w:val="000000" w:themeColor="text1"/>
                <w:lang w:val="en-ID" w:eastAsia="en-ID"/>
              </w:rPr>
              <w:t>0.541</w:t>
            </w:r>
          </w:p>
        </w:tc>
        <w:tc>
          <w:tcPr>
            <w:tcW w:w="0" w:type="auto"/>
            <w:vAlign w:val="center"/>
            <w:hideMark/>
          </w:tcPr>
          <w:p w14:paraId="037A2F2A" w14:textId="77777777" w:rsidR="00097749" w:rsidRPr="00463A15" w:rsidRDefault="00097749" w:rsidP="007B535D">
            <w:pPr>
              <w:rPr>
                <w:color w:val="000000" w:themeColor="text1"/>
                <w:lang w:val="en-ID" w:eastAsia="en-ID"/>
              </w:rPr>
            </w:pPr>
            <w:r w:rsidRPr="00463A15">
              <w:rPr>
                <w:b/>
                <w:bCs/>
                <w:color w:val="000000" w:themeColor="text1"/>
                <w:lang w:val="en-ID" w:eastAsia="en-ID"/>
              </w:rPr>
              <w:t>0.842</w:t>
            </w:r>
          </w:p>
        </w:tc>
        <w:tc>
          <w:tcPr>
            <w:tcW w:w="0" w:type="auto"/>
            <w:vAlign w:val="center"/>
            <w:hideMark/>
          </w:tcPr>
          <w:p w14:paraId="01701CC1" w14:textId="77777777" w:rsidR="00097749" w:rsidRPr="00463A15" w:rsidRDefault="00097749" w:rsidP="007B535D">
            <w:pPr>
              <w:rPr>
                <w:color w:val="000000" w:themeColor="text1"/>
                <w:lang w:val="en-ID" w:eastAsia="en-ID"/>
              </w:rPr>
            </w:pPr>
            <w:r w:rsidRPr="00463A15">
              <w:rPr>
                <w:color w:val="000000" w:themeColor="text1"/>
                <w:lang w:val="en-ID" w:eastAsia="en-ID"/>
              </w:rPr>
              <w:t>0.613</w:t>
            </w:r>
          </w:p>
        </w:tc>
      </w:tr>
      <w:tr w:rsidR="00097749" w:rsidRPr="00463A15" w14:paraId="154E7CA1" w14:textId="77777777" w:rsidTr="007B535D">
        <w:trPr>
          <w:tblCellSpacing w:w="15" w:type="dxa"/>
        </w:trPr>
        <w:tc>
          <w:tcPr>
            <w:tcW w:w="3119" w:type="dxa"/>
            <w:vAlign w:val="center"/>
            <w:hideMark/>
          </w:tcPr>
          <w:p w14:paraId="6D9D1369" w14:textId="77777777" w:rsidR="00097749" w:rsidRPr="00463A15" w:rsidRDefault="00097749" w:rsidP="007B535D">
            <w:pPr>
              <w:rPr>
                <w:color w:val="000000" w:themeColor="text1"/>
                <w:lang w:val="en-ID" w:eastAsia="en-ID"/>
              </w:rPr>
            </w:pPr>
            <w:r w:rsidRPr="00463A15">
              <w:rPr>
                <w:color w:val="000000" w:themeColor="text1"/>
                <w:lang w:val="en-ID" w:eastAsia="en-ID"/>
              </w:rPr>
              <w:t>SI2 – Digital adherence reminders</w:t>
            </w:r>
          </w:p>
        </w:tc>
        <w:tc>
          <w:tcPr>
            <w:tcW w:w="0" w:type="auto"/>
            <w:vAlign w:val="center"/>
            <w:hideMark/>
          </w:tcPr>
          <w:p w14:paraId="3DFE8D8B" w14:textId="77777777" w:rsidR="00097749" w:rsidRPr="00463A15" w:rsidRDefault="00097749" w:rsidP="007B535D">
            <w:pPr>
              <w:rPr>
                <w:color w:val="000000" w:themeColor="text1"/>
                <w:lang w:val="en-ID" w:eastAsia="en-ID"/>
              </w:rPr>
            </w:pPr>
            <w:r w:rsidRPr="00463A15">
              <w:rPr>
                <w:color w:val="000000" w:themeColor="text1"/>
                <w:lang w:val="en-ID" w:eastAsia="en-ID"/>
              </w:rPr>
              <w:t>0.534</w:t>
            </w:r>
          </w:p>
        </w:tc>
        <w:tc>
          <w:tcPr>
            <w:tcW w:w="0" w:type="auto"/>
            <w:vAlign w:val="center"/>
            <w:hideMark/>
          </w:tcPr>
          <w:p w14:paraId="6988E4A3" w14:textId="77777777" w:rsidR="00097749" w:rsidRPr="00463A15" w:rsidRDefault="00097749" w:rsidP="007B535D">
            <w:pPr>
              <w:rPr>
                <w:color w:val="000000" w:themeColor="text1"/>
                <w:lang w:val="en-ID" w:eastAsia="en-ID"/>
              </w:rPr>
            </w:pPr>
            <w:r w:rsidRPr="00463A15">
              <w:rPr>
                <w:color w:val="000000" w:themeColor="text1"/>
                <w:lang w:val="en-ID" w:eastAsia="en-ID"/>
              </w:rPr>
              <w:t>0.523</w:t>
            </w:r>
          </w:p>
        </w:tc>
        <w:tc>
          <w:tcPr>
            <w:tcW w:w="0" w:type="auto"/>
            <w:vAlign w:val="center"/>
            <w:hideMark/>
          </w:tcPr>
          <w:p w14:paraId="43B82492" w14:textId="77777777" w:rsidR="00097749" w:rsidRPr="00463A15" w:rsidRDefault="00097749" w:rsidP="007B535D">
            <w:pPr>
              <w:rPr>
                <w:color w:val="000000" w:themeColor="text1"/>
                <w:lang w:val="en-ID" w:eastAsia="en-ID"/>
              </w:rPr>
            </w:pPr>
            <w:r w:rsidRPr="00463A15">
              <w:rPr>
                <w:color w:val="000000" w:themeColor="text1"/>
                <w:lang w:val="en-ID" w:eastAsia="en-ID"/>
              </w:rPr>
              <w:t>0.552</w:t>
            </w:r>
          </w:p>
        </w:tc>
        <w:tc>
          <w:tcPr>
            <w:tcW w:w="0" w:type="auto"/>
            <w:vAlign w:val="center"/>
            <w:hideMark/>
          </w:tcPr>
          <w:p w14:paraId="0A5FC956" w14:textId="77777777" w:rsidR="00097749" w:rsidRPr="00463A15" w:rsidRDefault="00097749" w:rsidP="007B535D">
            <w:pPr>
              <w:rPr>
                <w:color w:val="000000" w:themeColor="text1"/>
                <w:lang w:val="en-ID" w:eastAsia="en-ID"/>
              </w:rPr>
            </w:pPr>
            <w:r w:rsidRPr="00463A15">
              <w:rPr>
                <w:b/>
                <w:bCs/>
                <w:color w:val="000000" w:themeColor="text1"/>
                <w:lang w:val="en-ID" w:eastAsia="en-ID"/>
              </w:rPr>
              <w:t>0.857</w:t>
            </w:r>
          </w:p>
        </w:tc>
        <w:tc>
          <w:tcPr>
            <w:tcW w:w="0" w:type="auto"/>
            <w:vAlign w:val="center"/>
            <w:hideMark/>
          </w:tcPr>
          <w:p w14:paraId="17BBA8FC" w14:textId="77777777" w:rsidR="00097749" w:rsidRPr="00463A15" w:rsidRDefault="00097749" w:rsidP="007B535D">
            <w:pPr>
              <w:rPr>
                <w:color w:val="000000" w:themeColor="text1"/>
                <w:lang w:val="en-ID" w:eastAsia="en-ID"/>
              </w:rPr>
            </w:pPr>
            <w:r w:rsidRPr="00463A15">
              <w:rPr>
                <w:color w:val="000000" w:themeColor="text1"/>
                <w:lang w:val="en-ID" w:eastAsia="en-ID"/>
              </w:rPr>
              <w:t>0.624</w:t>
            </w:r>
          </w:p>
        </w:tc>
      </w:tr>
      <w:tr w:rsidR="00097749" w:rsidRPr="00463A15" w14:paraId="703EACE0" w14:textId="77777777" w:rsidTr="007B535D">
        <w:trPr>
          <w:tblCellSpacing w:w="15" w:type="dxa"/>
        </w:trPr>
        <w:tc>
          <w:tcPr>
            <w:tcW w:w="3119" w:type="dxa"/>
            <w:vAlign w:val="center"/>
            <w:hideMark/>
          </w:tcPr>
          <w:p w14:paraId="7F0FDEFD" w14:textId="77777777" w:rsidR="00097749" w:rsidRPr="00463A15" w:rsidRDefault="00097749" w:rsidP="007B535D">
            <w:pPr>
              <w:rPr>
                <w:color w:val="000000" w:themeColor="text1"/>
                <w:lang w:val="en-ID" w:eastAsia="en-ID"/>
              </w:rPr>
            </w:pPr>
            <w:r w:rsidRPr="00463A15">
              <w:rPr>
                <w:color w:val="000000" w:themeColor="text1"/>
                <w:lang w:val="en-ID" w:eastAsia="en-ID"/>
              </w:rPr>
              <w:t>SI3 – Home visits by healthcare providers</w:t>
            </w:r>
          </w:p>
        </w:tc>
        <w:tc>
          <w:tcPr>
            <w:tcW w:w="0" w:type="auto"/>
            <w:vAlign w:val="center"/>
            <w:hideMark/>
          </w:tcPr>
          <w:p w14:paraId="1EEA7A16" w14:textId="77777777" w:rsidR="00097749" w:rsidRPr="00463A15" w:rsidRDefault="00097749" w:rsidP="007B535D">
            <w:pPr>
              <w:rPr>
                <w:color w:val="000000" w:themeColor="text1"/>
                <w:lang w:val="en-ID" w:eastAsia="en-ID"/>
              </w:rPr>
            </w:pPr>
            <w:r w:rsidRPr="00463A15">
              <w:rPr>
                <w:color w:val="000000" w:themeColor="text1"/>
                <w:lang w:val="en-ID" w:eastAsia="en-ID"/>
              </w:rPr>
              <w:t>0.529</w:t>
            </w:r>
          </w:p>
        </w:tc>
        <w:tc>
          <w:tcPr>
            <w:tcW w:w="0" w:type="auto"/>
            <w:vAlign w:val="center"/>
            <w:hideMark/>
          </w:tcPr>
          <w:p w14:paraId="245A604E" w14:textId="77777777" w:rsidR="00097749" w:rsidRPr="00463A15" w:rsidRDefault="00097749" w:rsidP="007B535D">
            <w:pPr>
              <w:rPr>
                <w:color w:val="000000" w:themeColor="text1"/>
                <w:lang w:val="en-ID" w:eastAsia="en-ID"/>
              </w:rPr>
            </w:pPr>
            <w:r w:rsidRPr="00463A15">
              <w:rPr>
                <w:color w:val="000000" w:themeColor="text1"/>
                <w:lang w:val="en-ID" w:eastAsia="en-ID"/>
              </w:rPr>
              <w:t>0.519</w:t>
            </w:r>
          </w:p>
        </w:tc>
        <w:tc>
          <w:tcPr>
            <w:tcW w:w="0" w:type="auto"/>
            <w:vAlign w:val="center"/>
            <w:hideMark/>
          </w:tcPr>
          <w:p w14:paraId="3A2D60A9" w14:textId="77777777" w:rsidR="00097749" w:rsidRPr="00463A15" w:rsidRDefault="00097749" w:rsidP="007B535D">
            <w:pPr>
              <w:rPr>
                <w:color w:val="000000" w:themeColor="text1"/>
                <w:lang w:val="en-ID" w:eastAsia="en-ID"/>
              </w:rPr>
            </w:pPr>
            <w:r w:rsidRPr="00463A15">
              <w:rPr>
                <w:color w:val="000000" w:themeColor="text1"/>
                <w:lang w:val="en-ID" w:eastAsia="en-ID"/>
              </w:rPr>
              <w:t>0.546</w:t>
            </w:r>
          </w:p>
        </w:tc>
        <w:tc>
          <w:tcPr>
            <w:tcW w:w="0" w:type="auto"/>
            <w:vAlign w:val="center"/>
            <w:hideMark/>
          </w:tcPr>
          <w:p w14:paraId="79E20271" w14:textId="77777777" w:rsidR="00097749" w:rsidRPr="00463A15" w:rsidRDefault="00097749" w:rsidP="007B535D">
            <w:pPr>
              <w:rPr>
                <w:color w:val="000000" w:themeColor="text1"/>
                <w:lang w:val="en-ID" w:eastAsia="en-ID"/>
              </w:rPr>
            </w:pPr>
            <w:r w:rsidRPr="00463A15">
              <w:rPr>
                <w:b/>
                <w:bCs/>
                <w:color w:val="000000" w:themeColor="text1"/>
                <w:lang w:val="en-ID" w:eastAsia="en-ID"/>
              </w:rPr>
              <w:t>0.849</w:t>
            </w:r>
          </w:p>
        </w:tc>
        <w:tc>
          <w:tcPr>
            <w:tcW w:w="0" w:type="auto"/>
            <w:vAlign w:val="center"/>
            <w:hideMark/>
          </w:tcPr>
          <w:p w14:paraId="6E849B17" w14:textId="77777777" w:rsidR="00097749" w:rsidRPr="00463A15" w:rsidRDefault="00097749" w:rsidP="007B535D">
            <w:pPr>
              <w:rPr>
                <w:color w:val="000000" w:themeColor="text1"/>
                <w:lang w:val="en-ID" w:eastAsia="en-ID"/>
              </w:rPr>
            </w:pPr>
            <w:r w:rsidRPr="00463A15">
              <w:rPr>
                <w:color w:val="000000" w:themeColor="text1"/>
                <w:lang w:val="en-ID" w:eastAsia="en-ID"/>
              </w:rPr>
              <w:t>0.618</w:t>
            </w:r>
          </w:p>
        </w:tc>
      </w:tr>
      <w:tr w:rsidR="00097749" w:rsidRPr="00463A15" w14:paraId="71E5C36B" w14:textId="77777777" w:rsidTr="007B535D">
        <w:trPr>
          <w:tblCellSpacing w:w="15" w:type="dxa"/>
        </w:trPr>
        <w:tc>
          <w:tcPr>
            <w:tcW w:w="3119" w:type="dxa"/>
            <w:vAlign w:val="center"/>
            <w:hideMark/>
          </w:tcPr>
          <w:p w14:paraId="2F7B0064" w14:textId="77777777" w:rsidR="00097749" w:rsidRPr="00463A15" w:rsidRDefault="00097749" w:rsidP="007B535D">
            <w:pPr>
              <w:rPr>
                <w:color w:val="000000" w:themeColor="text1"/>
                <w:lang w:val="en-ID" w:eastAsia="en-ID"/>
              </w:rPr>
            </w:pPr>
            <w:r w:rsidRPr="00463A15">
              <w:rPr>
                <w:color w:val="000000" w:themeColor="text1"/>
                <w:lang w:val="en-ID" w:eastAsia="en-ID"/>
              </w:rPr>
              <w:t>SI4 – Service responsiveness</w:t>
            </w:r>
          </w:p>
        </w:tc>
        <w:tc>
          <w:tcPr>
            <w:tcW w:w="0" w:type="auto"/>
            <w:vAlign w:val="center"/>
            <w:hideMark/>
          </w:tcPr>
          <w:p w14:paraId="1CCACF47" w14:textId="77777777" w:rsidR="00097749" w:rsidRPr="00463A15" w:rsidRDefault="00097749" w:rsidP="007B535D">
            <w:pPr>
              <w:rPr>
                <w:color w:val="000000" w:themeColor="text1"/>
                <w:lang w:val="en-ID" w:eastAsia="en-ID"/>
              </w:rPr>
            </w:pPr>
            <w:r w:rsidRPr="00463A15">
              <w:rPr>
                <w:color w:val="000000" w:themeColor="text1"/>
                <w:lang w:val="en-ID" w:eastAsia="en-ID"/>
              </w:rPr>
              <w:t>0.548</w:t>
            </w:r>
          </w:p>
        </w:tc>
        <w:tc>
          <w:tcPr>
            <w:tcW w:w="0" w:type="auto"/>
            <w:vAlign w:val="center"/>
            <w:hideMark/>
          </w:tcPr>
          <w:p w14:paraId="2B7E8D31" w14:textId="77777777" w:rsidR="00097749" w:rsidRPr="00463A15" w:rsidRDefault="00097749" w:rsidP="007B535D">
            <w:pPr>
              <w:rPr>
                <w:color w:val="000000" w:themeColor="text1"/>
                <w:lang w:val="en-ID" w:eastAsia="en-ID"/>
              </w:rPr>
            </w:pPr>
            <w:r w:rsidRPr="00463A15">
              <w:rPr>
                <w:color w:val="000000" w:themeColor="text1"/>
                <w:lang w:val="en-ID" w:eastAsia="en-ID"/>
              </w:rPr>
              <w:t>0.537</w:t>
            </w:r>
          </w:p>
        </w:tc>
        <w:tc>
          <w:tcPr>
            <w:tcW w:w="0" w:type="auto"/>
            <w:vAlign w:val="center"/>
            <w:hideMark/>
          </w:tcPr>
          <w:p w14:paraId="30FB65B2" w14:textId="77777777" w:rsidR="00097749" w:rsidRPr="00463A15" w:rsidRDefault="00097749" w:rsidP="007B535D">
            <w:pPr>
              <w:rPr>
                <w:color w:val="000000" w:themeColor="text1"/>
                <w:lang w:val="en-ID" w:eastAsia="en-ID"/>
              </w:rPr>
            </w:pPr>
            <w:r w:rsidRPr="00463A15">
              <w:rPr>
                <w:color w:val="000000" w:themeColor="text1"/>
                <w:lang w:val="en-ID" w:eastAsia="en-ID"/>
              </w:rPr>
              <w:t>0.563</w:t>
            </w:r>
          </w:p>
        </w:tc>
        <w:tc>
          <w:tcPr>
            <w:tcW w:w="0" w:type="auto"/>
            <w:vAlign w:val="center"/>
            <w:hideMark/>
          </w:tcPr>
          <w:p w14:paraId="37792FC9" w14:textId="77777777" w:rsidR="00097749" w:rsidRPr="00463A15" w:rsidRDefault="00097749" w:rsidP="007B535D">
            <w:pPr>
              <w:rPr>
                <w:color w:val="000000" w:themeColor="text1"/>
                <w:lang w:val="en-ID" w:eastAsia="en-ID"/>
              </w:rPr>
            </w:pPr>
            <w:r w:rsidRPr="00463A15">
              <w:rPr>
                <w:b/>
                <w:bCs/>
                <w:color w:val="000000" w:themeColor="text1"/>
                <w:lang w:val="en-ID" w:eastAsia="en-ID"/>
              </w:rPr>
              <w:t>0.861</w:t>
            </w:r>
          </w:p>
        </w:tc>
        <w:tc>
          <w:tcPr>
            <w:tcW w:w="0" w:type="auto"/>
            <w:vAlign w:val="center"/>
            <w:hideMark/>
          </w:tcPr>
          <w:p w14:paraId="3F2B0EDB" w14:textId="77777777" w:rsidR="00097749" w:rsidRPr="00463A15" w:rsidRDefault="00097749" w:rsidP="007B535D">
            <w:pPr>
              <w:rPr>
                <w:color w:val="000000" w:themeColor="text1"/>
                <w:lang w:val="en-ID" w:eastAsia="en-ID"/>
              </w:rPr>
            </w:pPr>
            <w:r w:rsidRPr="00463A15">
              <w:rPr>
                <w:color w:val="000000" w:themeColor="text1"/>
                <w:lang w:val="en-ID" w:eastAsia="en-ID"/>
              </w:rPr>
              <w:t>0.631</w:t>
            </w:r>
          </w:p>
        </w:tc>
      </w:tr>
      <w:tr w:rsidR="00097749" w:rsidRPr="00463A15" w14:paraId="5485049A" w14:textId="77777777" w:rsidTr="007B535D">
        <w:trPr>
          <w:tblCellSpacing w:w="15" w:type="dxa"/>
        </w:trPr>
        <w:tc>
          <w:tcPr>
            <w:tcW w:w="3119" w:type="dxa"/>
            <w:vAlign w:val="center"/>
            <w:hideMark/>
          </w:tcPr>
          <w:p w14:paraId="1686D43D" w14:textId="77777777" w:rsidR="00097749" w:rsidRPr="00463A15" w:rsidRDefault="00097749" w:rsidP="007B535D">
            <w:pPr>
              <w:rPr>
                <w:color w:val="000000" w:themeColor="text1"/>
                <w:lang w:val="en-ID" w:eastAsia="en-ID"/>
              </w:rPr>
            </w:pPr>
            <w:r w:rsidRPr="00463A15">
              <w:rPr>
                <w:color w:val="000000" w:themeColor="text1"/>
                <w:lang w:val="en-ID" w:eastAsia="en-ID"/>
              </w:rPr>
              <w:t>PS1 – Perceived service quality</w:t>
            </w:r>
          </w:p>
        </w:tc>
        <w:tc>
          <w:tcPr>
            <w:tcW w:w="0" w:type="auto"/>
            <w:vAlign w:val="center"/>
            <w:hideMark/>
          </w:tcPr>
          <w:p w14:paraId="4D88DF15" w14:textId="77777777" w:rsidR="00097749" w:rsidRPr="00463A15" w:rsidRDefault="00097749" w:rsidP="007B535D">
            <w:pPr>
              <w:rPr>
                <w:color w:val="000000" w:themeColor="text1"/>
                <w:lang w:val="en-ID" w:eastAsia="en-ID"/>
              </w:rPr>
            </w:pPr>
            <w:r w:rsidRPr="00463A15">
              <w:rPr>
                <w:color w:val="000000" w:themeColor="text1"/>
                <w:lang w:val="en-ID" w:eastAsia="en-ID"/>
              </w:rPr>
              <w:t>0.518</w:t>
            </w:r>
          </w:p>
        </w:tc>
        <w:tc>
          <w:tcPr>
            <w:tcW w:w="0" w:type="auto"/>
            <w:vAlign w:val="center"/>
            <w:hideMark/>
          </w:tcPr>
          <w:p w14:paraId="16E307F1" w14:textId="77777777" w:rsidR="00097749" w:rsidRPr="00463A15" w:rsidRDefault="00097749" w:rsidP="007B535D">
            <w:pPr>
              <w:rPr>
                <w:color w:val="000000" w:themeColor="text1"/>
                <w:lang w:val="en-ID" w:eastAsia="en-ID"/>
              </w:rPr>
            </w:pPr>
            <w:r w:rsidRPr="00463A15">
              <w:rPr>
                <w:color w:val="000000" w:themeColor="text1"/>
                <w:lang w:val="en-ID" w:eastAsia="en-ID"/>
              </w:rPr>
              <w:t>0.506</w:t>
            </w:r>
          </w:p>
        </w:tc>
        <w:tc>
          <w:tcPr>
            <w:tcW w:w="0" w:type="auto"/>
            <w:vAlign w:val="center"/>
            <w:hideMark/>
          </w:tcPr>
          <w:p w14:paraId="1EB45DD4" w14:textId="77777777" w:rsidR="00097749" w:rsidRPr="00463A15" w:rsidRDefault="00097749" w:rsidP="007B535D">
            <w:pPr>
              <w:rPr>
                <w:color w:val="000000" w:themeColor="text1"/>
                <w:lang w:val="en-ID" w:eastAsia="en-ID"/>
              </w:rPr>
            </w:pPr>
            <w:r w:rsidRPr="00463A15">
              <w:rPr>
                <w:color w:val="000000" w:themeColor="text1"/>
                <w:lang w:val="en-ID" w:eastAsia="en-ID"/>
              </w:rPr>
              <w:t>0.532</w:t>
            </w:r>
          </w:p>
        </w:tc>
        <w:tc>
          <w:tcPr>
            <w:tcW w:w="0" w:type="auto"/>
            <w:vAlign w:val="center"/>
            <w:hideMark/>
          </w:tcPr>
          <w:p w14:paraId="0880471D" w14:textId="77777777" w:rsidR="00097749" w:rsidRPr="00463A15" w:rsidRDefault="00097749" w:rsidP="007B535D">
            <w:pPr>
              <w:rPr>
                <w:color w:val="000000" w:themeColor="text1"/>
                <w:lang w:val="en-ID" w:eastAsia="en-ID"/>
              </w:rPr>
            </w:pPr>
            <w:r w:rsidRPr="00463A15">
              <w:rPr>
                <w:color w:val="000000" w:themeColor="text1"/>
                <w:lang w:val="en-ID" w:eastAsia="en-ID"/>
              </w:rPr>
              <w:t>0.648</w:t>
            </w:r>
          </w:p>
        </w:tc>
        <w:tc>
          <w:tcPr>
            <w:tcW w:w="0" w:type="auto"/>
            <w:vAlign w:val="center"/>
            <w:hideMark/>
          </w:tcPr>
          <w:p w14:paraId="3C34E6BF" w14:textId="77777777" w:rsidR="00097749" w:rsidRPr="00463A15" w:rsidRDefault="00097749" w:rsidP="007B535D">
            <w:pPr>
              <w:rPr>
                <w:color w:val="000000" w:themeColor="text1"/>
                <w:lang w:val="en-ID" w:eastAsia="en-ID"/>
              </w:rPr>
            </w:pPr>
            <w:r w:rsidRPr="00463A15">
              <w:rPr>
                <w:b/>
                <w:bCs/>
                <w:color w:val="000000" w:themeColor="text1"/>
                <w:lang w:val="en-ID" w:eastAsia="en-ID"/>
              </w:rPr>
              <w:t>0.884</w:t>
            </w:r>
          </w:p>
        </w:tc>
      </w:tr>
      <w:tr w:rsidR="00097749" w:rsidRPr="00463A15" w14:paraId="79F006DA" w14:textId="77777777" w:rsidTr="007B535D">
        <w:trPr>
          <w:tblCellSpacing w:w="15" w:type="dxa"/>
        </w:trPr>
        <w:tc>
          <w:tcPr>
            <w:tcW w:w="3119" w:type="dxa"/>
            <w:vAlign w:val="center"/>
            <w:hideMark/>
          </w:tcPr>
          <w:p w14:paraId="0E0E7246" w14:textId="77777777" w:rsidR="00097749" w:rsidRPr="00463A15" w:rsidRDefault="00097749" w:rsidP="007B535D">
            <w:pPr>
              <w:rPr>
                <w:color w:val="000000" w:themeColor="text1"/>
                <w:lang w:val="en-ID" w:eastAsia="en-ID"/>
              </w:rPr>
            </w:pPr>
            <w:r w:rsidRPr="00463A15">
              <w:rPr>
                <w:color w:val="000000" w:themeColor="text1"/>
                <w:lang w:val="en-ID" w:eastAsia="en-ID"/>
              </w:rPr>
              <w:t>PS2 – Trust in healthcare providers</w:t>
            </w:r>
          </w:p>
        </w:tc>
        <w:tc>
          <w:tcPr>
            <w:tcW w:w="0" w:type="auto"/>
            <w:vAlign w:val="center"/>
            <w:hideMark/>
          </w:tcPr>
          <w:p w14:paraId="5B42913D" w14:textId="77777777" w:rsidR="00097749" w:rsidRPr="00463A15" w:rsidRDefault="00097749" w:rsidP="007B535D">
            <w:pPr>
              <w:rPr>
                <w:color w:val="000000" w:themeColor="text1"/>
                <w:lang w:val="en-ID" w:eastAsia="en-ID"/>
              </w:rPr>
            </w:pPr>
            <w:r w:rsidRPr="00463A15">
              <w:rPr>
                <w:color w:val="000000" w:themeColor="text1"/>
                <w:lang w:val="en-ID" w:eastAsia="en-ID"/>
              </w:rPr>
              <w:t>0.526</w:t>
            </w:r>
          </w:p>
        </w:tc>
        <w:tc>
          <w:tcPr>
            <w:tcW w:w="0" w:type="auto"/>
            <w:vAlign w:val="center"/>
            <w:hideMark/>
          </w:tcPr>
          <w:p w14:paraId="23CAB8A3" w14:textId="77777777" w:rsidR="00097749" w:rsidRPr="00463A15" w:rsidRDefault="00097749" w:rsidP="007B535D">
            <w:pPr>
              <w:rPr>
                <w:color w:val="000000" w:themeColor="text1"/>
                <w:lang w:val="en-ID" w:eastAsia="en-ID"/>
              </w:rPr>
            </w:pPr>
            <w:r w:rsidRPr="00463A15">
              <w:rPr>
                <w:color w:val="000000" w:themeColor="text1"/>
                <w:lang w:val="en-ID" w:eastAsia="en-ID"/>
              </w:rPr>
              <w:t>0.514</w:t>
            </w:r>
          </w:p>
        </w:tc>
        <w:tc>
          <w:tcPr>
            <w:tcW w:w="0" w:type="auto"/>
            <w:vAlign w:val="center"/>
            <w:hideMark/>
          </w:tcPr>
          <w:p w14:paraId="331A1923" w14:textId="77777777" w:rsidR="00097749" w:rsidRPr="00463A15" w:rsidRDefault="00097749" w:rsidP="007B535D">
            <w:pPr>
              <w:rPr>
                <w:color w:val="000000" w:themeColor="text1"/>
                <w:lang w:val="en-ID" w:eastAsia="en-ID"/>
              </w:rPr>
            </w:pPr>
            <w:r w:rsidRPr="00463A15">
              <w:rPr>
                <w:color w:val="000000" w:themeColor="text1"/>
                <w:lang w:val="en-ID" w:eastAsia="en-ID"/>
              </w:rPr>
              <w:t>0.539</w:t>
            </w:r>
          </w:p>
        </w:tc>
        <w:tc>
          <w:tcPr>
            <w:tcW w:w="0" w:type="auto"/>
            <w:vAlign w:val="center"/>
            <w:hideMark/>
          </w:tcPr>
          <w:p w14:paraId="0B4317FA" w14:textId="77777777" w:rsidR="00097749" w:rsidRPr="00463A15" w:rsidRDefault="00097749" w:rsidP="007B535D">
            <w:pPr>
              <w:rPr>
                <w:color w:val="000000" w:themeColor="text1"/>
                <w:lang w:val="en-ID" w:eastAsia="en-ID"/>
              </w:rPr>
            </w:pPr>
            <w:r w:rsidRPr="00463A15">
              <w:rPr>
                <w:color w:val="000000" w:themeColor="text1"/>
                <w:lang w:val="en-ID" w:eastAsia="en-ID"/>
              </w:rPr>
              <w:t>0.656</w:t>
            </w:r>
          </w:p>
        </w:tc>
        <w:tc>
          <w:tcPr>
            <w:tcW w:w="0" w:type="auto"/>
            <w:vAlign w:val="center"/>
            <w:hideMark/>
          </w:tcPr>
          <w:p w14:paraId="27FB9781" w14:textId="77777777" w:rsidR="00097749" w:rsidRPr="00463A15" w:rsidRDefault="00097749" w:rsidP="007B535D">
            <w:pPr>
              <w:rPr>
                <w:color w:val="000000" w:themeColor="text1"/>
                <w:lang w:val="en-ID" w:eastAsia="en-ID"/>
              </w:rPr>
            </w:pPr>
            <w:r w:rsidRPr="00463A15">
              <w:rPr>
                <w:b/>
                <w:bCs/>
                <w:color w:val="000000" w:themeColor="text1"/>
                <w:lang w:val="en-ID" w:eastAsia="en-ID"/>
              </w:rPr>
              <w:t>0.892</w:t>
            </w:r>
          </w:p>
        </w:tc>
      </w:tr>
      <w:tr w:rsidR="00097749" w:rsidRPr="00463A15" w14:paraId="774BDA17" w14:textId="77777777" w:rsidTr="007B535D">
        <w:trPr>
          <w:tblCellSpacing w:w="15" w:type="dxa"/>
        </w:trPr>
        <w:tc>
          <w:tcPr>
            <w:tcW w:w="3119" w:type="dxa"/>
            <w:vAlign w:val="center"/>
            <w:hideMark/>
          </w:tcPr>
          <w:p w14:paraId="0843D4FB" w14:textId="77777777" w:rsidR="00097749" w:rsidRPr="00463A15" w:rsidRDefault="00097749" w:rsidP="007B535D">
            <w:pPr>
              <w:rPr>
                <w:color w:val="000000" w:themeColor="text1"/>
                <w:lang w:val="en-ID" w:eastAsia="en-ID"/>
              </w:rPr>
            </w:pPr>
            <w:r w:rsidRPr="00463A15">
              <w:rPr>
                <w:color w:val="000000" w:themeColor="text1"/>
                <w:lang w:val="en-ID" w:eastAsia="en-ID"/>
              </w:rPr>
              <w:t>PS3 – Overall satisfaction with malaria care</w:t>
            </w:r>
          </w:p>
        </w:tc>
        <w:tc>
          <w:tcPr>
            <w:tcW w:w="0" w:type="auto"/>
            <w:vAlign w:val="center"/>
            <w:hideMark/>
          </w:tcPr>
          <w:p w14:paraId="2D4E575C" w14:textId="77777777" w:rsidR="00097749" w:rsidRPr="00463A15" w:rsidRDefault="00097749" w:rsidP="007B535D">
            <w:pPr>
              <w:rPr>
                <w:color w:val="000000" w:themeColor="text1"/>
                <w:lang w:val="en-ID" w:eastAsia="en-ID"/>
              </w:rPr>
            </w:pPr>
            <w:r w:rsidRPr="00463A15">
              <w:rPr>
                <w:color w:val="000000" w:themeColor="text1"/>
                <w:lang w:val="en-ID" w:eastAsia="en-ID"/>
              </w:rPr>
              <w:t>0.533</w:t>
            </w:r>
          </w:p>
        </w:tc>
        <w:tc>
          <w:tcPr>
            <w:tcW w:w="0" w:type="auto"/>
            <w:vAlign w:val="center"/>
            <w:hideMark/>
          </w:tcPr>
          <w:p w14:paraId="317A2469" w14:textId="77777777" w:rsidR="00097749" w:rsidRPr="00463A15" w:rsidRDefault="00097749" w:rsidP="007B535D">
            <w:pPr>
              <w:rPr>
                <w:color w:val="000000" w:themeColor="text1"/>
                <w:lang w:val="en-ID" w:eastAsia="en-ID"/>
              </w:rPr>
            </w:pPr>
            <w:r w:rsidRPr="00463A15">
              <w:rPr>
                <w:color w:val="000000" w:themeColor="text1"/>
                <w:lang w:val="en-ID" w:eastAsia="en-ID"/>
              </w:rPr>
              <w:t>0.521</w:t>
            </w:r>
          </w:p>
        </w:tc>
        <w:tc>
          <w:tcPr>
            <w:tcW w:w="0" w:type="auto"/>
            <w:vAlign w:val="center"/>
            <w:hideMark/>
          </w:tcPr>
          <w:p w14:paraId="35D3AEA1" w14:textId="77777777" w:rsidR="00097749" w:rsidRPr="00463A15" w:rsidRDefault="00097749" w:rsidP="007B535D">
            <w:pPr>
              <w:rPr>
                <w:color w:val="000000" w:themeColor="text1"/>
                <w:lang w:val="en-ID" w:eastAsia="en-ID"/>
              </w:rPr>
            </w:pPr>
            <w:r w:rsidRPr="00463A15">
              <w:rPr>
                <w:color w:val="000000" w:themeColor="text1"/>
                <w:lang w:val="en-ID" w:eastAsia="en-ID"/>
              </w:rPr>
              <w:t>0.545</w:t>
            </w:r>
          </w:p>
        </w:tc>
        <w:tc>
          <w:tcPr>
            <w:tcW w:w="0" w:type="auto"/>
            <w:vAlign w:val="center"/>
            <w:hideMark/>
          </w:tcPr>
          <w:p w14:paraId="14DF3234" w14:textId="77777777" w:rsidR="00097749" w:rsidRPr="00463A15" w:rsidRDefault="00097749" w:rsidP="007B535D">
            <w:pPr>
              <w:rPr>
                <w:color w:val="000000" w:themeColor="text1"/>
                <w:lang w:val="en-ID" w:eastAsia="en-ID"/>
              </w:rPr>
            </w:pPr>
            <w:r w:rsidRPr="00463A15">
              <w:rPr>
                <w:color w:val="000000" w:themeColor="text1"/>
                <w:lang w:val="en-ID" w:eastAsia="en-ID"/>
              </w:rPr>
              <w:t>0.663</w:t>
            </w:r>
          </w:p>
        </w:tc>
        <w:tc>
          <w:tcPr>
            <w:tcW w:w="0" w:type="auto"/>
            <w:vAlign w:val="center"/>
            <w:hideMark/>
          </w:tcPr>
          <w:p w14:paraId="5195B4F4" w14:textId="77777777" w:rsidR="00097749" w:rsidRPr="00463A15" w:rsidRDefault="00097749" w:rsidP="007B535D">
            <w:pPr>
              <w:rPr>
                <w:color w:val="000000" w:themeColor="text1"/>
                <w:lang w:val="en-ID" w:eastAsia="en-ID"/>
              </w:rPr>
            </w:pPr>
            <w:r w:rsidRPr="00463A15">
              <w:rPr>
                <w:b/>
                <w:bCs/>
                <w:color w:val="000000" w:themeColor="text1"/>
                <w:lang w:val="en-ID" w:eastAsia="en-ID"/>
              </w:rPr>
              <w:t>0.897</w:t>
            </w:r>
          </w:p>
        </w:tc>
      </w:tr>
      <w:tr w:rsidR="00097749" w:rsidRPr="00463A15" w14:paraId="3344087C" w14:textId="77777777" w:rsidTr="007B535D">
        <w:trPr>
          <w:tblCellSpacing w:w="15" w:type="dxa"/>
        </w:trPr>
        <w:tc>
          <w:tcPr>
            <w:tcW w:w="3119" w:type="dxa"/>
            <w:tcBorders>
              <w:bottom w:val="single" w:sz="4" w:space="0" w:color="auto"/>
            </w:tcBorders>
            <w:vAlign w:val="center"/>
            <w:hideMark/>
          </w:tcPr>
          <w:p w14:paraId="33FAA250" w14:textId="77777777" w:rsidR="00097749" w:rsidRPr="00463A15" w:rsidRDefault="00097749" w:rsidP="007B535D">
            <w:pPr>
              <w:rPr>
                <w:color w:val="000000" w:themeColor="text1"/>
                <w:lang w:val="en-ID" w:eastAsia="en-ID"/>
              </w:rPr>
            </w:pPr>
            <w:r w:rsidRPr="00463A15">
              <w:rPr>
                <w:color w:val="000000" w:themeColor="text1"/>
                <w:lang w:val="en-ID" w:eastAsia="en-ID"/>
              </w:rPr>
              <w:t>PS4 – Willingness to return/recommend service</w:t>
            </w:r>
          </w:p>
        </w:tc>
        <w:tc>
          <w:tcPr>
            <w:tcW w:w="0" w:type="auto"/>
            <w:tcBorders>
              <w:bottom w:val="single" w:sz="4" w:space="0" w:color="auto"/>
            </w:tcBorders>
            <w:vAlign w:val="center"/>
            <w:hideMark/>
          </w:tcPr>
          <w:p w14:paraId="31319794" w14:textId="77777777" w:rsidR="00097749" w:rsidRPr="00463A15" w:rsidRDefault="00097749" w:rsidP="007B535D">
            <w:pPr>
              <w:rPr>
                <w:color w:val="000000" w:themeColor="text1"/>
                <w:lang w:val="en-ID" w:eastAsia="en-ID"/>
              </w:rPr>
            </w:pPr>
            <w:r w:rsidRPr="00463A15">
              <w:rPr>
                <w:color w:val="000000" w:themeColor="text1"/>
                <w:lang w:val="en-ID" w:eastAsia="en-ID"/>
              </w:rPr>
              <w:t>0.541</w:t>
            </w:r>
          </w:p>
        </w:tc>
        <w:tc>
          <w:tcPr>
            <w:tcW w:w="0" w:type="auto"/>
            <w:tcBorders>
              <w:bottom w:val="single" w:sz="4" w:space="0" w:color="auto"/>
            </w:tcBorders>
            <w:vAlign w:val="center"/>
            <w:hideMark/>
          </w:tcPr>
          <w:p w14:paraId="5690CB4D" w14:textId="77777777" w:rsidR="00097749" w:rsidRPr="00463A15" w:rsidRDefault="00097749" w:rsidP="007B535D">
            <w:pPr>
              <w:rPr>
                <w:color w:val="000000" w:themeColor="text1"/>
                <w:lang w:val="en-ID" w:eastAsia="en-ID"/>
              </w:rPr>
            </w:pPr>
            <w:r w:rsidRPr="00463A15">
              <w:rPr>
                <w:color w:val="000000" w:themeColor="text1"/>
                <w:lang w:val="en-ID" w:eastAsia="en-ID"/>
              </w:rPr>
              <w:t>0.529</w:t>
            </w:r>
          </w:p>
        </w:tc>
        <w:tc>
          <w:tcPr>
            <w:tcW w:w="0" w:type="auto"/>
            <w:tcBorders>
              <w:bottom w:val="single" w:sz="4" w:space="0" w:color="auto"/>
            </w:tcBorders>
            <w:vAlign w:val="center"/>
            <w:hideMark/>
          </w:tcPr>
          <w:p w14:paraId="0BD42E34" w14:textId="77777777" w:rsidR="00097749" w:rsidRPr="00463A15" w:rsidRDefault="00097749" w:rsidP="007B535D">
            <w:pPr>
              <w:rPr>
                <w:color w:val="000000" w:themeColor="text1"/>
                <w:lang w:val="en-ID" w:eastAsia="en-ID"/>
              </w:rPr>
            </w:pPr>
            <w:r w:rsidRPr="00463A15">
              <w:rPr>
                <w:color w:val="000000" w:themeColor="text1"/>
                <w:lang w:val="en-ID" w:eastAsia="en-ID"/>
              </w:rPr>
              <w:t>0.552</w:t>
            </w:r>
          </w:p>
        </w:tc>
        <w:tc>
          <w:tcPr>
            <w:tcW w:w="0" w:type="auto"/>
            <w:tcBorders>
              <w:bottom w:val="single" w:sz="4" w:space="0" w:color="auto"/>
            </w:tcBorders>
            <w:vAlign w:val="center"/>
            <w:hideMark/>
          </w:tcPr>
          <w:p w14:paraId="65FD4393" w14:textId="77777777" w:rsidR="00097749" w:rsidRPr="00463A15" w:rsidRDefault="00097749" w:rsidP="007B535D">
            <w:pPr>
              <w:rPr>
                <w:color w:val="000000" w:themeColor="text1"/>
                <w:lang w:val="en-ID" w:eastAsia="en-ID"/>
              </w:rPr>
            </w:pPr>
            <w:r w:rsidRPr="00463A15">
              <w:rPr>
                <w:color w:val="000000" w:themeColor="text1"/>
                <w:lang w:val="en-ID" w:eastAsia="en-ID"/>
              </w:rPr>
              <w:t>0.672</w:t>
            </w:r>
          </w:p>
        </w:tc>
        <w:tc>
          <w:tcPr>
            <w:tcW w:w="0" w:type="auto"/>
            <w:tcBorders>
              <w:bottom w:val="single" w:sz="4" w:space="0" w:color="auto"/>
            </w:tcBorders>
            <w:vAlign w:val="center"/>
            <w:hideMark/>
          </w:tcPr>
          <w:p w14:paraId="40165191" w14:textId="77777777" w:rsidR="00097749" w:rsidRPr="00463A15" w:rsidRDefault="00097749" w:rsidP="007B535D">
            <w:pPr>
              <w:rPr>
                <w:color w:val="000000" w:themeColor="text1"/>
                <w:lang w:val="en-ID" w:eastAsia="en-ID"/>
              </w:rPr>
            </w:pPr>
            <w:r w:rsidRPr="00463A15">
              <w:rPr>
                <w:b/>
                <w:bCs/>
                <w:color w:val="000000" w:themeColor="text1"/>
                <w:lang w:val="en-ID" w:eastAsia="en-ID"/>
              </w:rPr>
              <w:t>0.901</w:t>
            </w:r>
          </w:p>
        </w:tc>
      </w:tr>
    </w:tbl>
    <w:p w14:paraId="54064A99" w14:textId="77777777" w:rsidR="00097749" w:rsidRPr="00097749" w:rsidRDefault="00097749" w:rsidP="00097749">
      <w:pPr>
        <w:pStyle w:val="BodyText"/>
        <w:spacing w:after="0"/>
        <w:rPr>
          <w:color w:val="000000" w:themeColor="text1"/>
        </w:rPr>
      </w:pPr>
    </w:p>
    <w:p w14:paraId="1068A959" w14:textId="77777777" w:rsidR="00097749" w:rsidRPr="00097749" w:rsidRDefault="00097749" w:rsidP="00463A15">
      <w:pPr>
        <w:pStyle w:val="BodyText"/>
        <w:jc w:val="both"/>
        <w:rPr>
          <w:color w:val="000000" w:themeColor="text1"/>
        </w:rPr>
      </w:pPr>
      <w:r w:rsidRPr="00097749">
        <w:rPr>
          <w:color w:val="000000" w:themeColor="text1"/>
        </w:rPr>
        <w:t>Based on the results, the measurement model is both reliable and valid, ensuring that the constructs of treatment adherence (predisposing, enabling, and reinforcing factors), service innovation, and patient satisfaction were measured consistently and with adequate construct validity.</w:t>
      </w:r>
    </w:p>
    <w:p w14:paraId="1A35860A" w14:textId="77777777" w:rsidR="00097749" w:rsidRPr="00097749" w:rsidRDefault="00097749" w:rsidP="00441B6F">
      <w:pPr>
        <w:pStyle w:val="Body"/>
        <w:spacing w:after="0"/>
        <w:rPr>
          <w:rFonts w:ascii="Arial" w:hAnsi="Arial" w:cs="Arial"/>
          <w:color w:val="000000" w:themeColor="text1"/>
        </w:rPr>
      </w:pPr>
    </w:p>
    <w:p w14:paraId="1263E4C8" w14:textId="77777777" w:rsidR="00902823" w:rsidRPr="00097749" w:rsidRDefault="00000F8F" w:rsidP="00441B6F">
      <w:pPr>
        <w:pStyle w:val="Head1"/>
        <w:spacing w:after="0"/>
        <w:jc w:val="both"/>
        <w:rPr>
          <w:rFonts w:ascii="Arial" w:hAnsi="Arial" w:cs="Arial"/>
          <w:color w:val="000000" w:themeColor="text1"/>
        </w:rPr>
      </w:pPr>
      <w:r w:rsidRPr="00097749">
        <w:rPr>
          <w:rFonts w:ascii="Arial" w:hAnsi="Arial" w:cs="Arial"/>
          <w:color w:val="000000" w:themeColor="text1"/>
        </w:rPr>
        <w:t>3</w:t>
      </w:r>
      <w:r w:rsidR="00902823" w:rsidRPr="00097749">
        <w:rPr>
          <w:rFonts w:ascii="Arial" w:hAnsi="Arial" w:cs="Arial"/>
          <w:color w:val="000000" w:themeColor="text1"/>
        </w:rPr>
        <w:t xml:space="preserve">. </w:t>
      </w:r>
      <w:r w:rsidRPr="00097749">
        <w:rPr>
          <w:rFonts w:ascii="Arial" w:hAnsi="Arial" w:cs="Arial"/>
          <w:color w:val="000000" w:themeColor="text1"/>
        </w:rPr>
        <w:t>results and discussion</w:t>
      </w:r>
    </w:p>
    <w:p w14:paraId="1D4C9A82" w14:textId="77777777" w:rsidR="00790ADA" w:rsidRDefault="00790ADA" w:rsidP="00441B6F">
      <w:pPr>
        <w:pStyle w:val="Head1"/>
        <w:spacing w:after="0"/>
        <w:jc w:val="both"/>
        <w:rPr>
          <w:rFonts w:ascii="Arial" w:hAnsi="Arial" w:cs="Arial"/>
          <w:color w:val="000000" w:themeColor="text1"/>
        </w:rPr>
      </w:pPr>
    </w:p>
    <w:p w14:paraId="5E698D19" w14:textId="7E7B8504" w:rsidR="006474D9" w:rsidRPr="00097749" w:rsidRDefault="006474D9" w:rsidP="00441B6F">
      <w:pPr>
        <w:pStyle w:val="Head1"/>
        <w:spacing w:after="0"/>
        <w:jc w:val="both"/>
        <w:rPr>
          <w:rFonts w:ascii="Arial" w:hAnsi="Arial" w:cs="Arial"/>
          <w:color w:val="000000" w:themeColor="text1"/>
        </w:rPr>
      </w:pPr>
      <w:r>
        <w:rPr>
          <w:rFonts w:ascii="Arial" w:hAnsi="Arial" w:cs="Arial"/>
          <w:color w:val="000000" w:themeColor="text1"/>
        </w:rPr>
        <w:t>Results</w:t>
      </w:r>
    </w:p>
    <w:p w14:paraId="1ED03C81"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.1 Respondent Characteristics</w:t>
      </w:r>
    </w:p>
    <w:p w14:paraId="35ADDB15" w14:textId="77777777" w:rsidR="00097749" w:rsidRPr="00097749" w:rsidRDefault="00097749" w:rsidP="00DE5A8E">
      <w:pPr>
        <w:pStyle w:val="BodyText"/>
        <w:jc w:val="both"/>
        <w:rPr>
          <w:color w:val="000000" w:themeColor="text1"/>
        </w:rPr>
      </w:pPr>
      <w:r w:rsidRPr="00097749">
        <w:rPr>
          <w:color w:val="000000" w:themeColor="text1"/>
        </w:rPr>
        <w:t xml:space="preserve">A total of 220 respondents participated in this study, representing patient and caregivers at </w:t>
      </w:r>
      <w:proofErr w:type="spellStart"/>
      <w:r w:rsidRPr="00097749">
        <w:rPr>
          <w:color w:val="000000" w:themeColor="text1"/>
        </w:rPr>
        <w:t>Wania</w:t>
      </w:r>
      <w:proofErr w:type="spellEnd"/>
      <w:r w:rsidRPr="00097749">
        <w:rPr>
          <w:color w:val="000000" w:themeColor="text1"/>
        </w:rPr>
        <w:t xml:space="preserve"> Health Center, </w:t>
      </w:r>
      <w:proofErr w:type="spellStart"/>
      <w:r w:rsidRPr="00097749">
        <w:rPr>
          <w:color w:val="000000" w:themeColor="text1"/>
        </w:rPr>
        <w:t>Mimika</w:t>
      </w:r>
      <w:proofErr w:type="spellEnd"/>
      <w:r w:rsidRPr="00097749">
        <w:rPr>
          <w:color w:val="000000" w:themeColor="text1"/>
        </w:rPr>
        <w:t xml:space="preserve"> District, Papua. The sample was gender-balanced, with 52.7% females and 47.3% males, reflecting the common pattern of women being more actively in search of healthcare. Most respondents were aged 14–34 years (51.4%) or 35–56 years (45%), </w:t>
      </w:r>
      <w:r w:rsidRPr="00097749">
        <w:rPr>
          <w:color w:val="000000" w:themeColor="text1"/>
          <w:lang w:val="id-ID"/>
        </w:rPr>
        <w:t>showing</w:t>
      </w:r>
      <w:r w:rsidRPr="00097749">
        <w:rPr>
          <w:color w:val="000000" w:themeColor="text1"/>
        </w:rPr>
        <w:t xml:space="preserve"> that malaria predominantly affects the productive age group. Education levels were relatively high, with 53.2% holding a bachelor’s degree, while 65.9% reported stable employment. Furthermore, 69.5% were parents of children diagnosed with malaria, underlining the family-level burden of the disease in endemic regions. These demographic characteristics confirm that the study sample represents both direct patient and caregivers, which enriches perspectives on service quality and satisfaction in malaria care.</w:t>
      </w:r>
    </w:p>
    <w:p w14:paraId="69BA93A3"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.2 Measurement Model Evaluation</w:t>
      </w:r>
    </w:p>
    <w:p w14:paraId="35BEBA58" w14:textId="77777777" w:rsidR="00097749" w:rsidRPr="00097749" w:rsidRDefault="00097749" w:rsidP="00DE5A8E">
      <w:pPr>
        <w:pStyle w:val="BodyText"/>
        <w:jc w:val="both"/>
        <w:rPr>
          <w:color w:val="000000" w:themeColor="text1"/>
        </w:rPr>
      </w:pPr>
      <w:r w:rsidRPr="00097749">
        <w:rPr>
          <w:color w:val="000000" w:themeColor="text1"/>
        </w:rPr>
        <w:t xml:space="preserve">The reliability and validity of constructs were confirmed before hypothesis testing. Cronbach’s Alpha values exceeded 0.79, and </w:t>
      </w:r>
      <w:r w:rsidRPr="00097749">
        <w:rPr>
          <w:color w:val="000000" w:themeColor="text1"/>
          <w:lang w:val="id-ID"/>
        </w:rPr>
        <w:t>CR</w:t>
      </w:r>
      <w:r w:rsidRPr="00097749">
        <w:rPr>
          <w:color w:val="000000" w:themeColor="text1"/>
        </w:rPr>
        <w:t xml:space="preserve"> ranged from 0.86 to 0.95, confirming strong internal consistency. </w:t>
      </w:r>
      <w:r w:rsidRPr="00097749">
        <w:rPr>
          <w:color w:val="000000" w:themeColor="text1"/>
          <w:lang w:val="id-ID"/>
        </w:rPr>
        <w:t>AVE</w:t>
      </w:r>
      <w:r w:rsidRPr="00097749">
        <w:rPr>
          <w:color w:val="000000" w:themeColor="text1"/>
        </w:rPr>
        <w:t xml:space="preserve"> values exceeded 0.59, supporting convergent validity. Discriminant validity was also fulfilled through the Fornell–Larcker criterion and HTMT (&lt;0.90), while cross-loading analysis confirmed that each indicator loaded highest on the </w:t>
      </w:r>
      <w:r w:rsidRPr="00097749">
        <w:rPr>
          <w:color w:val="000000" w:themeColor="text1"/>
        </w:rPr>
        <w:lastRenderedPageBreak/>
        <w:t>intended construct. These results show that the measurement model is strong and suitable for testing the structural model.</w:t>
      </w:r>
    </w:p>
    <w:p w14:paraId="70FF8B8C"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.3 Structural Model Results</w:t>
      </w:r>
    </w:p>
    <w:p w14:paraId="169961F0" w14:textId="77777777" w:rsidR="00097749" w:rsidRPr="00097749" w:rsidRDefault="00097749" w:rsidP="00097749">
      <w:pPr>
        <w:pStyle w:val="BodyText"/>
        <w:rPr>
          <w:color w:val="000000" w:themeColor="text1"/>
        </w:rPr>
      </w:pPr>
      <w:r w:rsidRPr="00097749">
        <w:rPr>
          <w:color w:val="000000" w:themeColor="text1"/>
        </w:rPr>
        <w:t>Using PLS-SEM with 5,000 bootstrap resamples, the structural model was assessed. The results are summarized in Table 4.</w:t>
      </w:r>
    </w:p>
    <w:p w14:paraId="154EF335" w14:textId="77777777" w:rsidR="00097749" w:rsidRPr="00097E0E" w:rsidRDefault="00097749" w:rsidP="00097749">
      <w:pPr>
        <w:pStyle w:val="BodyText"/>
        <w:jc w:val="center"/>
        <w:rPr>
          <w:b/>
          <w:bCs/>
          <w:color w:val="000000" w:themeColor="text1"/>
          <w:lang w:val="en-ID" w:eastAsia="en-ID"/>
        </w:rPr>
      </w:pPr>
      <w:r w:rsidRPr="00097E0E">
        <w:rPr>
          <w:b/>
          <w:bCs/>
          <w:color w:val="000000" w:themeColor="text1"/>
          <w:lang w:val="en-ID" w:eastAsia="en-ID"/>
        </w:rPr>
        <w:t>Table 4. Structural Model Path Coefficients</w:t>
      </w:r>
    </w:p>
    <w:tbl>
      <w:tblPr>
        <w:tblW w:w="855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54"/>
        <w:gridCol w:w="4820"/>
        <w:gridCol w:w="567"/>
        <w:gridCol w:w="850"/>
        <w:gridCol w:w="1559"/>
      </w:tblGrid>
      <w:tr w:rsidR="00097E0E" w:rsidRPr="00DE5A8E" w14:paraId="2954AA83" w14:textId="77777777" w:rsidTr="00097E0E">
        <w:trPr>
          <w:tblCellSpacing w:w="15" w:type="dxa"/>
        </w:trPr>
        <w:tc>
          <w:tcPr>
            <w:tcW w:w="709" w:type="dxa"/>
            <w:tcBorders>
              <w:top w:val="single" w:sz="4" w:space="0" w:color="auto"/>
              <w:bottom w:val="single" w:sz="4" w:space="0" w:color="auto"/>
            </w:tcBorders>
            <w:vAlign w:val="center"/>
            <w:hideMark/>
          </w:tcPr>
          <w:p w14:paraId="10D4E284" w14:textId="77777777" w:rsidR="00097E0E" w:rsidRPr="00DE5A8E" w:rsidRDefault="00097E0E" w:rsidP="007B535D">
            <w:pPr>
              <w:jc w:val="center"/>
              <w:rPr>
                <w:b/>
                <w:bCs/>
                <w:color w:val="000000" w:themeColor="text1"/>
                <w:lang w:val="en-ID" w:eastAsia="en-ID"/>
              </w:rPr>
            </w:pPr>
            <w:r w:rsidRPr="00DE5A8E">
              <w:rPr>
                <w:b/>
                <w:bCs/>
                <w:color w:val="000000" w:themeColor="text1"/>
                <w:lang w:val="en-ID" w:eastAsia="en-ID"/>
              </w:rPr>
              <w:t>Hypothesis</w:t>
            </w:r>
          </w:p>
        </w:tc>
        <w:tc>
          <w:tcPr>
            <w:tcW w:w="4790" w:type="dxa"/>
            <w:tcBorders>
              <w:top w:val="single" w:sz="4" w:space="0" w:color="auto"/>
              <w:bottom w:val="single" w:sz="4" w:space="0" w:color="auto"/>
            </w:tcBorders>
            <w:vAlign w:val="center"/>
            <w:hideMark/>
          </w:tcPr>
          <w:p w14:paraId="5202A683" w14:textId="77777777" w:rsidR="00097E0E" w:rsidRPr="00DE5A8E" w:rsidRDefault="00097E0E" w:rsidP="007B535D">
            <w:pPr>
              <w:jc w:val="center"/>
              <w:rPr>
                <w:b/>
                <w:bCs/>
                <w:color w:val="000000" w:themeColor="text1"/>
                <w:lang w:val="en-ID" w:eastAsia="en-ID"/>
              </w:rPr>
            </w:pPr>
            <w:r w:rsidRPr="00DE5A8E">
              <w:rPr>
                <w:b/>
                <w:bCs/>
                <w:color w:val="000000" w:themeColor="text1"/>
                <w:lang w:val="en-ID" w:eastAsia="en-ID"/>
              </w:rPr>
              <w:t>Path</w:t>
            </w:r>
          </w:p>
        </w:tc>
        <w:tc>
          <w:tcPr>
            <w:tcW w:w="537" w:type="dxa"/>
            <w:tcBorders>
              <w:top w:val="single" w:sz="4" w:space="0" w:color="auto"/>
              <w:bottom w:val="single" w:sz="4" w:space="0" w:color="auto"/>
            </w:tcBorders>
            <w:vAlign w:val="center"/>
            <w:hideMark/>
          </w:tcPr>
          <w:p w14:paraId="4ABAD125" w14:textId="1D6158C4" w:rsidR="00097E0E" w:rsidRPr="00DE5A8E" w:rsidRDefault="00097E0E" w:rsidP="007B535D">
            <w:pPr>
              <w:jc w:val="center"/>
              <w:rPr>
                <w:b/>
                <w:bCs/>
                <w:color w:val="000000" w:themeColor="text1"/>
                <w:lang w:val="en-ID" w:eastAsia="en-ID"/>
              </w:rPr>
            </w:pPr>
            <w:r w:rsidRPr="00DE5A8E">
              <w:rPr>
                <w:b/>
                <w:bCs/>
                <w:color w:val="000000" w:themeColor="text1"/>
                <w:lang w:val="en-ID" w:eastAsia="en-ID"/>
              </w:rPr>
              <w:t xml:space="preserve">β </w:t>
            </w:r>
          </w:p>
        </w:tc>
        <w:tc>
          <w:tcPr>
            <w:tcW w:w="820" w:type="dxa"/>
            <w:tcBorders>
              <w:top w:val="single" w:sz="4" w:space="0" w:color="auto"/>
              <w:bottom w:val="single" w:sz="4" w:space="0" w:color="auto"/>
            </w:tcBorders>
            <w:vAlign w:val="center"/>
            <w:hideMark/>
          </w:tcPr>
          <w:p w14:paraId="369984FB" w14:textId="77777777" w:rsidR="00097E0E" w:rsidRPr="00DE5A8E" w:rsidRDefault="00097E0E" w:rsidP="007B535D">
            <w:pPr>
              <w:jc w:val="center"/>
              <w:rPr>
                <w:b/>
                <w:bCs/>
                <w:color w:val="000000" w:themeColor="text1"/>
                <w:lang w:val="en-ID" w:eastAsia="en-ID"/>
              </w:rPr>
            </w:pPr>
            <w:r w:rsidRPr="00DE5A8E">
              <w:rPr>
                <w:b/>
                <w:bCs/>
                <w:color w:val="000000" w:themeColor="text1"/>
                <w:lang w:val="en-ID" w:eastAsia="en-ID"/>
              </w:rPr>
              <w:t>p-value</w:t>
            </w:r>
          </w:p>
        </w:tc>
        <w:tc>
          <w:tcPr>
            <w:tcW w:w="1514" w:type="dxa"/>
            <w:tcBorders>
              <w:top w:val="single" w:sz="4" w:space="0" w:color="auto"/>
              <w:bottom w:val="single" w:sz="4" w:space="0" w:color="auto"/>
            </w:tcBorders>
            <w:vAlign w:val="center"/>
            <w:hideMark/>
          </w:tcPr>
          <w:p w14:paraId="3A8F5FA2" w14:textId="13E4D4FD" w:rsidR="00097E0E" w:rsidRPr="00DE5A8E" w:rsidRDefault="00097E0E" w:rsidP="007B535D">
            <w:pPr>
              <w:jc w:val="center"/>
              <w:rPr>
                <w:b/>
                <w:bCs/>
                <w:color w:val="000000" w:themeColor="text1"/>
                <w:lang w:val="en-ID" w:eastAsia="en-ID"/>
              </w:rPr>
            </w:pPr>
            <w:r>
              <w:rPr>
                <w:b/>
                <w:bCs/>
                <w:color w:val="000000" w:themeColor="text1"/>
                <w:lang w:val="en-ID" w:eastAsia="en-ID"/>
              </w:rPr>
              <w:t>Decision</w:t>
            </w:r>
          </w:p>
        </w:tc>
      </w:tr>
      <w:tr w:rsidR="00097E0E" w:rsidRPr="00DE5A8E" w14:paraId="3C77B1EE" w14:textId="77777777" w:rsidTr="00097E0E">
        <w:trPr>
          <w:tblCellSpacing w:w="15" w:type="dxa"/>
        </w:trPr>
        <w:tc>
          <w:tcPr>
            <w:tcW w:w="709" w:type="dxa"/>
            <w:vAlign w:val="center"/>
            <w:hideMark/>
          </w:tcPr>
          <w:p w14:paraId="301E2335" w14:textId="77777777" w:rsidR="00097E0E" w:rsidRPr="00DE5A8E" w:rsidRDefault="00097E0E" w:rsidP="007B535D">
            <w:pPr>
              <w:rPr>
                <w:color w:val="000000" w:themeColor="text1"/>
                <w:lang w:val="en-ID" w:eastAsia="en-ID"/>
              </w:rPr>
            </w:pPr>
            <w:r w:rsidRPr="00DE5A8E">
              <w:rPr>
                <w:color w:val="000000" w:themeColor="text1"/>
                <w:lang w:val="en-ID" w:eastAsia="en-ID"/>
              </w:rPr>
              <w:t>H1</w:t>
            </w:r>
          </w:p>
        </w:tc>
        <w:tc>
          <w:tcPr>
            <w:tcW w:w="4790" w:type="dxa"/>
            <w:vAlign w:val="center"/>
            <w:hideMark/>
          </w:tcPr>
          <w:p w14:paraId="0F3963E6" w14:textId="77777777" w:rsidR="00097E0E" w:rsidRPr="00DE5A8E" w:rsidRDefault="00097E0E" w:rsidP="007B535D">
            <w:pPr>
              <w:rPr>
                <w:color w:val="000000" w:themeColor="text1"/>
                <w:lang w:val="en-ID" w:eastAsia="en-ID"/>
              </w:rPr>
            </w:pPr>
            <w:r w:rsidRPr="00DE5A8E">
              <w:rPr>
                <w:color w:val="000000" w:themeColor="text1"/>
                <w:lang w:val="en-ID" w:eastAsia="en-ID"/>
              </w:rPr>
              <w:t>Predisposing → Patient Satisfaction</w:t>
            </w:r>
          </w:p>
        </w:tc>
        <w:tc>
          <w:tcPr>
            <w:tcW w:w="537" w:type="dxa"/>
            <w:vAlign w:val="center"/>
            <w:hideMark/>
          </w:tcPr>
          <w:p w14:paraId="27BA3883"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0.312</w:t>
            </w:r>
          </w:p>
        </w:tc>
        <w:tc>
          <w:tcPr>
            <w:tcW w:w="820" w:type="dxa"/>
            <w:vAlign w:val="center"/>
            <w:hideMark/>
          </w:tcPr>
          <w:p w14:paraId="3895445B"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&lt;0.001</w:t>
            </w:r>
          </w:p>
        </w:tc>
        <w:tc>
          <w:tcPr>
            <w:tcW w:w="1514" w:type="dxa"/>
            <w:vAlign w:val="center"/>
            <w:hideMark/>
          </w:tcPr>
          <w:p w14:paraId="516C2296" w14:textId="0B2508A0" w:rsidR="00097E0E" w:rsidRPr="00DE5A8E" w:rsidRDefault="00097E0E" w:rsidP="007B535D">
            <w:pPr>
              <w:jc w:val="center"/>
              <w:rPr>
                <w:color w:val="000000" w:themeColor="text1"/>
                <w:lang w:val="en-ID" w:eastAsia="en-ID"/>
              </w:rPr>
            </w:pPr>
            <w:r>
              <w:rPr>
                <w:color w:val="000000" w:themeColor="text1"/>
                <w:lang w:val="en-ID" w:eastAsia="en-ID"/>
              </w:rPr>
              <w:t>Supported</w:t>
            </w:r>
          </w:p>
        </w:tc>
      </w:tr>
      <w:tr w:rsidR="00097E0E" w:rsidRPr="00DE5A8E" w14:paraId="18FE21B1" w14:textId="77777777" w:rsidTr="00097E0E">
        <w:trPr>
          <w:tblCellSpacing w:w="15" w:type="dxa"/>
        </w:trPr>
        <w:tc>
          <w:tcPr>
            <w:tcW w:w="709" w:type="dxa"/>
            <w:vAlign w:val="center"/>
            <w:hideMark/>
          </w:tcPr>
          <w:p w14:paraId="56F1BE58" w14:textId="77777777" w:rsidR="00097E0E" w:rsidRPr="00DE5A8E" w:rsidRDefault="00097E0E" w:rsidP="007B535D">
            <w:pPr>
              <w:rPr>
                <w:color w:val="000000" w:themeColor="text1"/>
                <w:lang w:val="en-ID" w:eastAsia="en-ID"/>
              </w:rPr>
            </w:pPr>
            <w:r w:rsidRPr="00DE5A8E">
              <w:rPr>
                <w:color w:val="000000" w:themeColor="text1"/>
                <w:lang w:val="en-ID" w:eastAsia="en-ID"/>
              </w:rPr>
              <w:t>H2</w:t>
            </w:r>
          </w:p>
        </w:tc>
        <w:tc>
          <w:tcPr>
            <w:tcW w:w="4790" w:type="dxa"/>
            <w:vAlign w:val="center"/>
            <w:hideMark/>
          </w:tcPr>
          <w:p w14:paraId="1320095E" w14:textId="77777777" w:rsidR="00097E0E" w:rsidRPr="00DE5A8E" w:rsidRDefault="00097E0E" w:rsidP="007B535D">
            <w:pPr>
              <w:rPr>
                <w:color w:val="000000" w:themeColor="text1"/>
                <w:lang w:val="en-ID" w:eastAsia="en-ID"/>
              </w:rPr>
            </w:pPr>
            <w:r w:rsidRPr="00DE5A8E">
              <w:rPr>
                <w:color w:val="000000" w:themeColor="text1"/>
                <w:lang w:val="en-ID" w:eastAsia="en-ID"/>
              </w:rPr>
              <w:t>Enabling → Patient Satisfaction</w:t>
            </w:r>
          </w:p>
        </w:tc>
        <w:tc>
          <w:tcPr>
            <w:tcW w:w="537" w:type="dxa"/>
            <w:vAlign w:val="center"/>
            <w:hideMark/>
          </w:tcPr>
          <w:p w14:paraId="4F1414FE"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0.087</w:t>
            </w:r>
          </w:p>
        </w:tc>
        <w:tc>
          <w:tcPr>
            <w:tcW w:w="820" w:type="dxa"/>
            <w:vAlign w:val="center"/>
            <w:hideMark/>
          </w:tcPr>
          <w:p w14:paraId="62215134"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0.262</w:t>
            </w:r>
          </w:p>
        </w:tc>
        <w:tc>
          <w:tcPr>
            <w:tcW w:w="1514" w:type="dxa"/>
            <w:vAlign w:val="center"/>
            <w:hideMark/>
          </w:tcPr>
          <w:p w14:paraId="333525F6" w14:textId="01F74DAA" w:rsidR="00097E0E" w:rsidRPr="00DE5A8E" w:rsidRDefault="00097E0E" w:rsidP="007B535D">
            <w:pPr>
              <w:jc w:val="center"/>
              <w:rPr>
                <w:color w:val="000000" w:themeColor="text1"/>
                <w:lang w:val="en-ID" w:eastAsia="en-ID"/>
              </w:rPr>
            </w:pPr>
            <w:r>
              <w:rPr>
                <w:color w:val="000000" w:themeColor="text1"/>
                <w:lang w:val="en-ID" w:eastAsia="en-ID"/>
              </w:rPr>
              <w:t>Not supported</w:t>
            </w:r>
          </w:p>
        </w:tc>
      </w:tr>
      <w:tr w:rsidR="00097E0E" w:rsidRPr="00DE5A8E" w14:paraId="6A5E1071" w14:textId="77777777" w:rsidTr="00097E0E">
        <w:trPr>
          <w:tblCellSpacing w:w="15" w:type="dxa"/>
        </w:trPr>
        <w:tc>
          <w:tcPr>
            <w:tcW w:w="709" w:type="dxa"/>
            <w:vAlign w:val="center"/>
            <w:hideMark/>
          </w:tcPr>
          <w:p w14:paraId="685F362D" w14:textId="77777777" w:rsidR="00097E0E" w:rsidRPr="00DE5A8E" w:rsidRDefault="00097E0E" w:rsidP="007B535D">
            <w:pPr>
              <w:rPr>
                <w:color w:val="000000" w:themeColor="text1"/>
                <w:lang w:val="en-ID" w:eastAsia="en-ID"/>
              </w:rPr>
            </w:pPr>
            <w:r w:rsidRPr="00DE5A8E">
              <w:rPr>
                <w:color w:val="000000" w:themeColor="text1"/>
                <w:lang w:val="en-ID" w:eastAsia="en-ID"/>
              </w:rPr>
              <w:t>H3</w:t>
            </w:r>
          </w:p>
        </w:tc>
        <w:tc>
          <w:tcPr>
            <w:tcW w:w="4790" w:type="dxa"/>
            <w:vAlign w:val="center"/>
            <w:hideMark/>
          </w:tcPr>
          <w:p w14:paraId="27AE4300" w14:textId="77777777" w:rsidR="00097E0E" w:rsidRPr="00DE5A8E" w:rsidRDefault="00097E0E" w:rsidP="007B535D">
            <w:pPr>
              <w:rPr>
                <w:color w:val="000000" w:themeColor="text1"/>
                <w:lang w:val="en-ID" w:eastAsia="en-ID"/>
              </w:rPr>
            </w:pPr>
            <w:r w:rsidRPr="00DE5A8E">
              <w:rPr>
                <w:color w:val="000000" w:themeColor="text1"/>
                <w:lang w:val="en-ID" w:eastAsia="en-ID"/>
              </w:rPr>
              <w:t>Reinforcing → Patient Satisfaction</w:t>
            </w:r>
          </w:p>
        </w:tc>
        <w:tc>
          <w:tcPr>
            <w:tcW w:w="537" w:type="dxa"/>
            <w:vAlign w:val="center"/>
            <w:hideMark/>
          </w:tcPr>
          <w:p w14:paraId="634D2AFE"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0.294</w:t>
            </w:r>
          </w:p>
        </w:tc>
        <w:tc>
          <w:tcPr>
            <w:tcW w:w="820" w:type="dxa"/>
            <w:vAlign w:val="center"/>
            <w:hideMark/>
          </w:tcPr>
          <w:p w14:paraId="54735D36"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&lt;0.001</w:t>
            </w:r>
          </w:p>
        </w:tc>
        <w:tc>
          <w:tcPr>
            <w:tcW w:w="1514" w:type="dxa"/>
            <w:vAlign w:val="center"/>
            <w:hideMark/>
          </w:tcPr>
          <w:p w14:paraId="68CBB7FB" w14:textId="5FA9AB87" w:rsidR="00097E0E" w:rsidRPr="00DE5A8E" w:rsidRDefault="00097E0E" w:rsidP="007B535D">
            <w:pPr>
              <w:jc w:val="center"/>
              <w:rPr>
                <w:color w:val="000000" w:themeColor="text1"/>
                <w:lang w:val="en-ID" w:eastAsia="en-ID"/>
              </w:rPr>
            </w:pPr>
            <w:r>
              <w:rPr>
                <w:color w:val="000000" w:themeColor="text1"/>
                <w:lang w:val="en-ID" w:eastAsia="en-ID"/>
              </w:rPr>
              <w:t>Supported</w:t>
            </w:r>
          </w:p>
        </w:tc>
      </w:tr>
      <w:tr w:rsidR="00097E0E" w:rsidRPr="00DE5A8E" w14:paraId="153120AE" w14:textId="77777777" w:rsidTr="00097E0E">
        <w:trPr>
          <w:tblCellSpacing w:w="15" w:type="dxa"/>
        </w:trPr>
        <w:tc>
          <w:tcPr>
            <w:tcW w:w="709" w:type="dxa"/>
            <w:vAlign w:val="center"/>
            <w:hideMark/>
          </w:tcPr>
          <w:p w14:paraId="35A9AD59" w14:textId="77777777" w:rsidR="00097E0E" w:rsidRPr="00DE5A8E" w:rsidRDefault="00097E0E" w:rsidP="007B535D">
            <w:pPr>
              <w:rPr>
                <w:color w:val="000000" w:themeColor="text1"/>
                <w:lang w:val="en-ID" w:eastAsia="en-ID"/>
              </w:rPr>
            </w:pPr>
            <w:r w:rsidRPr="00DE5A8E">
              <w:rPr>
                <w:color w:val="000000" w:themeColor="text1"/>
                <w:lang w:val="en-ID" w:eastAsia="en-ID"/>
              </w:rPr>
              <w:t>H4</w:t>
            </w:r>
          </w:p>
        </w:tc>
        <w:tc>
          <w:tcPr>
            <w:tcW w:w="4790" w:type="dxa"/>
            <w:vAlign w:val="center"/>
            <w:hideMark/>
          </w:tcPr>
          <w:p w14:paraId="496BF132" w14:textId="77777777" w:rsidR="00097E0E" w:rsidRPr="00DE5A8E" w:rsidRDefault="00097E0E" w:rsidP="007B535D">
            <w:pPr>
              <w:rPr>
                <w:color w:val="000000" w:themeColor="text1"/>
                <w:lang w:val="en-ID" w:eastAsia="en-ID"/>
              </w:rPr>
            </w:pPr>
            <w:r w:rsidRPr="00DE5A8E">
              <w:rPr>
                <w:color w:val="000000" w:themeColor="text1"/>
                <w:lang w:val="en-ID" w:eastAsia="en-ID"/>
              </w:rPr>
              <w:t>Predisposing → Service Innovation</w:t>
            </w:r>
          </w:p>
        </w:tc>
        <w:tc>
          <w:tcPr>
            <w:tcW w:w="537" w:type="dxa"/>
            <w:vAlign w:val="center"/>
            <w:hideMark/>
          </w:tcPr>
          <w:p w14:paraId="4D10D80A"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0.278</w:t>
            </w:r>
          </w:p>
        </w:tc>
        <w:tc>
          <w:tcPr>
            <w:tcW w:w="820" w:type="dxa"/>
            <w:vAlign w:val="center"/>
            <w:hideMark/>
          </w:tcPr>
          <w:p w14:paraId="2C538893"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&lt;0.001</w:t>
            </w:r>
          </w:p>
        </w:tc>
        <w:tc>
          <w:tcPr>
            <w:tcW w:w="1514" w:type="dxa"/>
            <w:vAlign w:val="center"/>
            <w:hideMark/>
          </w:tcPr>
          <w:p w14:paraId="1BAB498B" w14:textId="797E4517" w:rsidR="00097E0E" w:rsidRPr="00DE5A8E" w:rsidRDefault="00097E0E" w:rsidP="007B535D">
            <w:pPr>
              <w:jc w:val="center"/>
              <w:rPr>
                <w:color w:val="000000" w:themeColor="text1"/>
                <w:lang w:val="en-ID" w:eastAsia="en-ID"/>
              </w:rPr>
            </w:pPr>
            <w:r>
              <w:rPr>
                <w:color w:val="000000" w:themeColor="text1"/>
                <w:lang w:val="en-ID" w:eastAsia="en-ID"/>
              </w:rPr>
              <w:t>Supported</w:t>
            </w:r>
          </w:p>
        </w:tc>
      </w:tr>
      <w:tr w:rsidR="00097E0E" w:rsidRPr="00DE5A8E" w14:paraId="34949B8E" w14:textId="77777777" w:rsidTr="00097E0E">
        <w:trPr>
          <w:tblCellSpacing w:w="15" w:type="dxa"/>
        </w:trPr>
        <w:tc>
          <w:tcPr>
            <w:tcW w:w="709" w:type="dxa"/>
            <w:vAlign w:val="center"/>
            <w:hideMark/>
          </w:tcPr>
          <w:p w14:paraId="18BF7C1E" w14:textId="77777777" w:rsidR="00097E0E" w:rsidRPr="00DE5A8E" w:rsidRDefault="00097E0E" w:rsidP="007B535D">
            <w:pPr>
              <w:rPr>
                <w:color w:val="000000" w:themeColor="text1"/>
                <w:lang w:val="en-ID" w:eastAsia="en-ID"/>
              </w:rPr>
            </w:pPr>
            <w:r w:rsidRPr="00DE5A8E">
              <w:rPr>
                <w:color w:val="000000" w:themeColor="text1"/>
                <w:lang w:val="en-ID" w:eastAsia="en-ID"/>
              </w:rPr>
              <w:t>H5</w:t>
            </w:r>
          </w:p>
        </w:tc>
        <w:tc>
          <w:tcPr>
            <w:tcW w:w="4790" w:type="dxa"/>
            <w:vAlign w:val="center"/>
            <w:hideMark/>
          </w:tcPr>
          <w:p w14:paraId="05095AA0" w14:textId="77777777" w:rsidR="00097E0E" w:rsidRPr="00DE5A8E" w:rsidRDefault="00097E0E" w:rsidP="007B535D">
            <w:pPr>
              <w:rPr>
                <w:color w:val="000000" w:themeColor="text1"/>
                <w:lang w:val="en-ID" w:eastAsia="en-ID"/>
              </w:rPr>
            </w:pPr>
            <w:r w:rsidRPr="00DE5A8E">
              <w:rPr>
                <w:color w:val="000000" w:themeColor="text1"/>
                <w:lang w:val="en-ID" w:eastAsia="en-ID"/>
              </w:rPr>
              <w:t>Enabling → Service Innovation</w:t>
            </w:r>
          </w:p>
        </w:tc>
        <w:tc>
          <w:tcPr>
            <w:tcW w:w="537" w:type="dxa"/>
            <w:vAlign w:val="center"/>
            <w:hideMark/>
          </w:tcPr>
          <w:p w14:paraId="52E669CA"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0.112</w:t>
            </w:r>
          </w:p>
        </w:tc>
        <w:tc>
          <w:tcPr>
            <w:tcW w:w="820" w:type="dxa"/>
            <w:vAlign w:val="center"/>
            <w:hideMark/>
          </w:tcPr>
          <w:p w14:paraId="6C988FEA"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0.142</w:t>
            </w:r>
          </w:p>
        </w:tc>
        <w:tc>
          <w:tcPr>
            <w:tcW w:w="1514" w:type="dxa"/>
            <w:vAlign w:val="center"/>
            <w:hideMark/>
          </w:tcPr>
          <w:p w14:paraId="33D60543" w14:textId="06CA8C9E" w:rsidR="00097E0E" w:rsidRPr="00DE5A8E" w:rsidRDefault="00097E0E" w:rsidP="007B535D">
            <w:pPr>
              <w:jc w:val="center"/>
              <w:rPr>
                <w:color w:val="000000" w:themeColor="text1"/>
                <w:lang w:val="en-ID" w:eastAsia="en-ID"/>
              </w:rPr>
            </w:pPr>
            <w:r>
              <w:rPr>
                <w:color w:val="000000" w:themeColor="text1"/>
                <w:lang w:val="en-ID" w:eastAsia="en-ID"/>
              </w:rPr>
              <w:t>Not supported</w:t>
            </w:r>
          </w:p>
        </w:tc>
      </w:tr>
      <w:tr w:rsidR="00097E0E" w:rsidRPr="00DE5A8E" w14:paraId="3C1B387A" w14:textId="77777777" w:rsidTr="00097E0E">
        <w:trPr>
          <w:tblCellSpacing w:w="15" w:type="dxa"/>
        </w:trPr>
        <w:tc>
          <w:tcPr>
            <w:tcW w:w="709" w:type="dxa"/>
            <w:vAlign w:val="center"/>
            <w:hideMark/>
          </w:tcPr>
          <w:p w14:paraId="4420639D" w14:textId="77777777" w:rsidR="00097E0E" w:rsidRPr="00DE5A8E" w:rsidRDefault="00097E0E" w:rsidP="007B535D">
            <w:pPr>
              <w:rPr>
                <w:color w:val="000000" w:themeColor="text1"/>
                <w:lang w:val="en-ID" w:eastAsia="en-ID"/>
              </w:rPr>
            </w:pPr>
            <w:r w:rsidRPr="00DE5A8E">
              <w:rPr>
                <w:color w:val="000000" w:themeColor="text1"/>
                <w:lang w:val="en-ID" w:eastAsia="en-ID"/>
              </w:rPr>
              <w:t>H6</w:t>
            </w:r>
          </w:p>
        </w:tc>
        <w:tc>
          <w:tcPr>
            <w:tcW w:w="4790" w:type="dxa"/>
            <w:vAlign w:val="center"/>
            <w:hideMark/>
          </w:tcPr>
          <w:p w14:paraId="299A4D63" w14:textId="77777777" w:rsidR="00097E0E" w:rsidRPr="00DE5A8E" w:rsidRDefault="00097E0E" w:rsidP="007B535D">
            <w:pPr>
              <w:rPr>
                <w:color w:val="000000" w:themeColor="text1"/>
                <w:lang w:val="en-ID" w:eastAsia="en-ID"/>
              </w:rPr>
            </w:pPr>
            <w:r w:rsidRPr="00DE5A8E">
              <w:rPr>
                <w:color w:val="000000" w:themeColor="text1"/>
                <w:lang w:val="en-ID" w:eastAsia="en-ID"/>
              </w:rPr>
              <w:t>Reinforcing → Service Innovation</w:t>
            </w:r>
          </w:p>
        </w:tc>
        <w:tc>
          <w:tcPr>
            <w:tcW w:w="537" w:type="dxa"/>
            <w:vAlign w:val="center"/>
            <w:hideMark/>
          </w:tcPr>
          <w:p w14:paraId="1F979028"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0.325</w:t>
            </w:r>
          </w:p>
        </w:tc>
        <w:tc>
          <w:tcPr>
            <w:tcW w:w="820" w:type="dxa"/>
            <w:vAlign w:val="center"/>
            <w:hideMark/>
          </w:tcPr>
          <w:p w14:paraId="5ABC1696"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&lt;0.001</w:t>
            </w:r>
          </w:p>
        </w:tc>
        <w:tc>
          <w:tcPr>
            <w:tcW w:w="1514" w:type="dxa"/>
            <w:vAlign w:val="center"/>
            <w:hideMark/>
          </w:tcPr>
          <w:p w14:paraId="7CBB64E9" w14:textId="1F7E49B4" w:rsidR="00097E0E" w:rsidRPr="00DE5A8E" w:rsidRDefault="00097E0E" w:rsidP="007B535D">
            <w:pPr>
              <w:jc w:val="center"/>
              <w:rPr>
                <w:color w:val="000000" w:themeColor="text1"/>
                <w:lang w:val="en-ID" w:eastAsia="en-ID"/>
              </w:rPr>
            </w:pPr>
            <w:r>
              <w:rPr>
                <w:color w:val="000000" w:themeColor="text1"/>
                <w:lang w:val="en-ID" w:eastAsia="en-ID"/>
              </w:rPr>
              <w:t>Supported</w:t>
            </w:r>
          </w:p>
        </w:tc>
      </w:tr>
      <w:tr w:rsidR="00097E0E" w:rsidRPr="00DE5A8E" w14:paraId="754810C9" w14:textId="77777777" w:rsidTr="00097E0E">
        <w:trPr>
          <w:tblCellSpacing w:w="15" w:type="dxa"/>
        </w:trPr>
        <w:tc>
          <w:tcPr>
            <w:tcW w:w="709" w:type="dxa"/>
            <w:vAlign w:val="center"/>
            <w:hideMark/>
          </w:tcPr>
          <w:p w14:paraId="7B5287A5" w14:textId="77777777" w:rsidR="00097E0E" w:rsidRPr="00DE5A8E" w:rsidRDefault="00097E0E" w:rsidP="007B535D">
            <w:pPr>
              <w:rPr>
                <w:color w:val="000000" w:themeColor="text1"/>
                <w:lang w:val="en-ID" w:eastAsia="en-ID"/>
              </w:rPr>
            </w:pPr>
            <w:r w:rsidRPr="00DE5A8E">
              <w:rPr>
                <w:color w:val="000000" w:themeColor="text1"/>
                <w:lang w:val="en-ID" w:eastAsia="en-ID"/>
              </w:rPr>
              <w:t>H7</w:t>
            </w:r>
          </w:p>
        </w:tc>
        <w:tc>
          <w:tcPr>
            <w:tcW w:w="4790" w:type="dxa"/>
            <w:vAlign w:val="center"/>
            <w:hideMark/>
          </w:tcPr>
          <w:p w14:paraId="282AB14A" w14:textId="77777777" w:rsidR="00097E0E" w:rsidRPr="00DE5A8E" w:rsidRDefault="00097E0E" w:rsidP="007B535D">
            <w:pPr>
              <w:rPr>
                <w:color w:val="000000" w:themeColor="text1"/>
                <w:lang w:val="en-ID" w:eastAsia="en-ID"/>
              </w:rPr>
            </w:pPr>
            <w:r w:rsidRPr="00DE5A8E">
              <w:rPr>
                <w:color w:val="000000" w:themeColor="text1"/>
                <w:lang w:val="en-ID" w:eastAsia="en-ID"/>
              </w:rPr>
              <w:t>Service Innovation → Patient Satisfaction</w:t>
            </w:r>
          </w:p>
        </w:tc>
        <w:tc>
          <w:tcPr>
            <w:tcW w:w="537" w:type="dxa"/>
            <w:vAlign w:val="center"/>
            <w:hideMark/>
          </w:tcPr>
          <w:p w14:paraId="08E0308A"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0.416</w:t>
            </w:r>
          </w:p>
        </w:tc>
        <w:tc>
          <w:tcPr>
            <w:tcW w:w="820" w:type="dxa"/>
            <w:vAlign w:val="center"/>
            <w:hideMark/>
          </w:tcPr>
          <w:p w14:paraId="3514CB5F"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&lt;0.001</w:t>
            </w:r>
          </w:p>
        </w:tc>
        <w:tc>
          <w:tcPr>
            <w:tcW w:w="1514" w:type="dxa"/>
            <w:vAlign w:val="center"/>
            <w:hideMark/>
          </w:tcPr>
          <w:p w14:paraId="79CAD486" w14:textId="6F9A6A24" w:rsidR="00097E0E" w:rsidRPr="00DE5A8E" w:rsidRDefault="00097E0E" w:rsidP="007B535D">
            <w:pPr>
              <w:jc w:val="center"/>
              <w:rPr>
                <w:color w:val="000000" w:themeColor="text1"/>
                <w:lang w:val="en-ID" w:eastAsia="en-ID"/>
              </w:rPr>
            </w:pPr>
            <w:r>
              <w:rPr>
                <w:color w:val="000000" w:themeColor="text1"/>
                <w:lang w:val="en-ID" w:eastAsia="en-ID"/>
              </w:rPr>
              <w:t>Supported</w:t>
            </w:r>
          </w:p>
        </w:tc>
      </w:tr>
      <w:tr w:rsidR="00097E0E" w:rsidRPr="00DE5A8E" w14:paraId="7466054F" w14:textId="77777777" w:rsidTr="00097E0E">
        <w:trPr>
          <w:tblCellSpacing w:w="15" w:type="dxa"/>
        </w:trPr>
        <w:tc>
          <w:tcPr>
            <w:tcW w:w="709" w:type="dxa"/>
            <w:vAlign w:val="center"/>
            <w:hideMark/>
          </w:tcPr>
          <w:p w14:paraId="68B8F5D0" w14:textId="77777777" w:rsidR="00097E0E" w:rsidRPr="00DE5A8E" w:rsidRDefault="00097E0E" w:rsidP="007B535D">
            <w:pPr>
              <w:rPr>
                <w:color w:val="000000" w:themeColor="text1"/>
                <w:lang w:val="en-ID" w:eastAsia="en-ID"/>
              </w:rPr>
            </w:pPr>
            <w:r w:rsidRPr="00DE5A8E">
              <w:rPr>
                <w:color w:val="000000" w:themeColor="text1"/>
                <w:lang w:val="en-ID" w:eastAsia="en-ID"/>
              </w:rPr>
              <w:t>H8</w:t>
            </w:r>
          </w:p>
        </w:tc>
        <w:tc>
          <w:tcPr>
            <w:tcW w:w="4790" w:type="dxa"/>
            <w:vAlign w:val="center"/>
            <w:hideMark/>
          </w:tcPr>
          <w:p w14:paraId="1ABB2413" w14:textId="77777777" w:rsidR="00097E0E" w:rsidRPr="00DE5A8E" w:rsidRDefault="00097E0E" w:rsidP="007B535D">
            <w:pPr>
              <w:rPr>
                <w:color w:val="000000" w:themeColor="text1"/>
                <w:lang w:val="en-ID" w:eastAsia="en-ID"/>
              </w:rPr>
            </w:pPr>
            <w:r w:rsidRPr="00DE5A8E">
              <w:rPr>
                <w:color w:val="000000" w:themeColor="text1"/>
                <w:lang w:val="en-ID" w:eastAsia="en-ID"/>
              </w:rPr>
              <w:t>Predisposing → Satisfaction (Mediated by Service Innovation)</w:t>
            </w:r>
          </w:p>
        </w:tc>
        <w:tc>
          <w:tcPr>
            <w:tcW w:w="537" w:type="dxa"/>
            <w:vAlign w:val="center"/>
            <w:hideMark/>
          </w:tcPr>
          <w:p w14:paraId="1863BBE1"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0.116</w:t>
            </w:r>
          </w:p>
        </w:tc>
        <w:tc>
          <w:tcPr>
            <w:tcW w:w="820" w:type="dxa"/>
            <w:vAlign w:val="center"/>
            <w:hideMark/>
          </w:tcPr>
          <w:p w14:paraId="2DC5E3E9"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0.001</w:t>
            </w:r>
          </w:p>
        </w:tc>
        <w:tc>
          <w:tcPr>
            <w:tcW w:w="1514" w:type="dxa"/>
            <w:vAlign w:val="center"/>
            <w:hideMark/>
          </w:tcPr>
          <w:p w14:paraId="1BC51FEA" w14:textId="3361F958" w:rsidR="00097E0E" w:rsidRPr="00DE5A8E" w:rsidRDefault="00097E0E" w:rsidP="007B535D">
            <w:pPr>
              <w:jc w:val="center"/>
              <w:rPr>
                <w:color w:val="000000" w:themeColor="text1"/>
                <w:lang w:val="en-ID" w:eastAsia="en-ID"/>
              </w:rPr>
            </w:pPr>
            <w:r>
              <w:rPr>
                <w:color w:val="000000" w:themeColor="text1"/>
                <w:lang w:val="en-ID" w:eastAsia="en-ID"/>
              </w:rPr>
              <w:t>Supported</w:t>
            </w:r>
          </w:p>
        </w:tc>
      </w:tr>
      <w:tr w:rsidR="00097E0E" w:rsidRPr="00DE5A8E" w14:paraId="328424C1" w14:textId="77777777" w:rsidTr="00097E0E">
        <w:trPr>
          <w:tblCellSpacing w:w="15" w:type="dxa"/>
        </w:trPr>
        <w:tc>
          <w:tcPr>
            <w:tcW w:w="709" w:type="dxa"/>
            <w:vAlign w:val="center"/>
            <w:hideMark/>
          </w:tcPr>
          <w:p w14:paraId="08E69579" w14:textId="77777777" w:rsidR="00097E0E" w:rsidRPr="00DE5A8E" w:rsidRDefault="00097E0E" w:rsidP="007B535D">
            <w:pPr>
              <w:rPr>
                <w:color w:val="000000" w:themeColor="text1"/>
                <w:lang w:val="en-ID" w:eastAsia="en-ID"/>
              </w:rPr>
            </w:pPr>
            <w:r w:rsidRPr="00DE5A8E">
              <w:rPr>
                <w:color w:val="000000" w:themeColor="text1"/>
                <w:lang w:val="en-ID" w:eastAsia="en-ID"/>
              </w:rPr>
              <w:t>H9</w:t>
            </w:r>
          </w:p>
        </w:tc>
        <w:tc>
          <w:tcPr>
            <w:tcW w:w="4790" w:type="dxa"/>
            <w:vAlign w:val="center"/>
            <w:hideMark/>
          </w:tcPr>
          <w:p w14:paraId="1100FA7B" w14:textId="77777777" w:rsidR="00097E0E" w:rsidRPr="00DE5A8E" w:rsidRDefault="00097E0E" w:rsidP="007B535D">
            <w:pPr>
              <w:rPr>
                <w:color w:val="000000" w:themeColor="text1"/>
                <w:lang w:val="en-ID" w:eastAsia="en-ID"/>
              </w:rPr>
            </w:pPr>
            <w:r w:rsidRPr="00DE5A8E">
              <w:rPr>
                <w:color w:val="000000" w:themeColor="text1"/>
                <w:lang w:val="en-ID" w:eastAsia="en-ID"/>
              </w:rPr>
              <w:t>Enabling → Satisfaction (Mediated by Service Innovation)</w:t>
            </w:r>
          </w:p>
        </w:tc>
        <w:tc>
          <w:tcPr>
            <w:tcW w:w="537" w:type="dxa"/>
            <w:vAlign w:val="center"/>
            <w:hideMark/>
          </w:tcPr>
          <w:p w14:paraId="6D960B03"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0.046</w:t>
            </w:r>
          </w:p>
        </w:tc>
        <w:tc>
          <w:tcPr>
            <w:tcW w:w="820" w:type="dxa"/>
            <w:vAlign w:val="center"/>
            <w:hideMark/>
          </w:tcPr>
          <w:p w14:paraId="6F4EAECA"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0.327</w:t>
            </w:r>
          </w:p>
        </w:tc>
        <w:tc>
          <w:tcPr>
            <w:tcW w:w="1514" w:type="dxa"/>
            <w:vAlign w:val="center"/>
            <w:hideMark/>
          </w:tcPr>
          <w:p w14:paraId="3894761E" w14:textId="1397F1CA" w:rsidR="00097E0E" w:rsidRPr="00DE5A8E" w:rsidRDefault="00097E0E" w:rsidP="007B535D">
            <w:pPr>
              <w:jc w:val="center"/>
              <w:rPr>
                <w:color w:val="000000" w:themeColor="text1"/>
                <w:lang w:val="en-ID" w:eastAsia="en-ID"/>
              </w:rPr>
            </w:pPr>
            <w:r>
              <w:rPr>
                <w:color w:val="000000" w:themeColor="text1"/>
                <w:lang w:val="en-ID" w:eastAsia="en-ID"/>
              </w:rPr>
              <w:t>Not supported</w:t>
            </w:r>
          </w:p>
        </w:tc>
      </w:tr>
      <w:tr w:rsidR="00097E0E" w:rsidRPr="00DE5A8E" w14:paraId="7EC14A41" w14:textId="77777777" w:rsidTr="00097E0E">
        <w:trPr>
          <w:tblCellSpacing w:w="15" w:type="dxa"/>
        </w:trPr>
        <w:tc>
          <w:tcPr>
            <w:tcW w:w="709" w:type="dxa"/>
            <w:tcBorders>
              <w:bottom w:val="single" w:sz="4" w:space="0" w:color="auto"/>
            </w:tcBorders>
            <w:vAlign w:val="center"/>
            <w:hideMark/>
          </w:tcPr>
          <w:p w14:paraId="1282E160" w14:textId="77777777" w:rsidR="00097E0E" w:rsidRPr="00DE5A8E" w:rsidRDefault="00097E0E" w:rsidP="007B535D">
            <w:pPr>
              <w:rPr>
                <w:color w:val="000000" w:themeColor="text1"/>
                <w:lang w:val="en-ID" w:eastAsia="en-ID"/>
              </w:rPr>
            </w:pPr>
            <w:r w:rsidRPr="00DE5A8E">
              <w:rPr>
                <w:color w:val="000000" w:themeColor="text1"/>
                <w:lang w:val="en-ID" w:eastAsia="en-ID"/>
              </w:rPr>
              <w:t>H10</w:t>
            </w:r>
          </w:p>
        </w:tc>
        <w:tc>
          <w:tcPr>
            <w:tcW w:w="4790" w:type="dxa"/>
            <w:tcBorders>
              <w:bottom w:val="single" w:sz="4" w:space="0" w:color="auto"/>
            </w:tcBorders>
            <w:vAlign w:val="center"/>
            <w:hideMark/>
          </w:tcPr>
          <w:p w14:paraId="420CCA82" w14:textId="77777777" w:rsidR="00097E0E" w:rsidRPr="00DE5A8E" w:rsidRDefault="00097E0E" w:rsidP="007B535D">
            <w:pPr>
              <w:rPr>
                <w:color w:val="000000" w:themeColor="text1"/>
                <w:lang w:val="en-ID" w:eastAsia="en-ID"/>
              </w:rPr>
            </w:pPr>
            <w:r w:rsidRPr="00DE5A8E">
              <w:rPr>
                <w:color w:val="000000" w:themeColor="text1"/>
                <w:lang w:val="en-ID" w:eastAsia="en-ID"/>
              </w:rPr>
              <w:t>Reinforcing → Satisfaction (Mediated by Service Innovation)</w:t>
            </w:r>
          </w:p>
        </w:tc>
        <w:tc>
          <w:tcPr>
            <w:tcW w:w="537" w:type="dxa"/>
            <w:tcBorders>
              <w:bottom w:val="single" w:sz="4" w:space="0" w:color="auto"/>
            </w:tcBorders>
            <w:vAlign w:val="center"/>
            <w:hideMark/>
          </w:tcPr>
          <w:p w14:paraId="7FC1C4A0"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0.135</w:t>
            </w:r>
          </w:p>
        </w:tc>
        <w:tc>
          <w:tcPr>
            <w:tcW w:w="820" w:type="dxa"/>
            <w:tcBorders>
              <w:bottom w:val="single" w:sz="4" w:space="0" w:color="auto"/>
            </w:tcBorders>
            <w:vAlign w:val="center"/>
            <w:hideMark/>
          </w:tcPr>
          <w:p w14:paraId="0B8CB483" w14:textId="77777777" w:rsidR="00097E0E" w:rsidRPr="00DE5A8E" w:rsidRDefault="00097E0E" w:rsidP="007B535D">
            <w:pPr>
              <w:jc w:val="center"/>
              <w:rPr>
                <w:color w:val="000000" w:themeColor="text1"/>
                <w:lang w:val="en-ID" w:eastAsia="en-ID"/>
              </w:rPr>
            </w:pPr>
            <w:r w:rsidRPr="00DE5A8E">
              <w:rPr>
                <w:color w:val="000000" w:themeColor="text1"/>
                <w:lang w:val="en-ID" w:eastAsia="en-ID"/>
              </w:rPr>
              <w:t>&lt;0.001</w:t>
            </w:r>
          </w:p>
        </w:tc>
        <w:tc>
          <w:tcPr>
            <w:tcW w:w="1514" w:type="dxa"/>
            <w:tcBorders>
              <w:bottom w:val="single" w:sz="4" w:space="0" w:color="auto"/>
            </w:tcBorders>
            <w:vAlign w:val="center"/>
            <w:hideMark/>
          </w:tcPr>
          <w:p w14:paraId="2FF5AB81" w14:textId="332976E5" w:rsidR="00097E0E" w:rsidRPr="00DE5A8E" w:rsidRDefault="00097E0E" w:rsidP="007B535D">
            <w:pPr>
              <w:jc w:val="center"/>
              <w:rPr>
                <w:color w:val="000000" w:themeColor="text1"/>
                <w:lang w:val="en-ID" w:eastAsia="en-ID"/>
              </w:rPr>
            </w:pPr>
            <w:r>
              <w:rPr>
                <w:color w:val="000000" w:themeColor="text1"/>
                <w:lang w:val="en-ID" w:eastAsia="en-ID"/>
              </w:rPr>
              <w:t>Supported</w:t>
            </w:r>
          </w:p>
        </w:tc>
      </w:tr>
    </w:tbl>
    <w:p w14:paraId="3E9D6C3B" w14:textId="77777777" w:rsidR="00097749" w:rsidRPr="00097749" w:rsidRDefault="00097749" w:rsidP="006474D9">
      <w:pPr>
        <w:pStyle w:val="BodyText"/>
        <w:jc w:val="both"/>
        <w:rPr>
          <w:color w:val="000000" w:themeColor="text1"/>
        </w:rPr>
      </w:pPr>
      <w:r w:rsidRPr="00097749">
        <w:rPr>
          <w:color w:val="000000" w:themeColor="text1"/>
        </w:rPr>
        <w:t>The structural model explains 77.6% of the variance in patient satisfaction (R² = 0.776) and 65.2% of the variance in service innovation (R² = 0.652), which shows substantial predictive power and confirms the adequacy of the model. The results underscore the importance of integrating behavioral determinants of treatment adherence with innovative service delivery mechanisms to improve patient-centered outcomes in malaria care.</w:t>
      </w:r>
    </w:p>
    <w:p w14:paraId="384DF6CA" w14:textId="624DD7D6" w:rsidR="00097749" w:rsidRPr="00097749" w:rsidRDefault="00097749" w:rsidP="006474D9">
      <w:pPr>
        <w:pStyle w:val="BodyText"/>
        <w:jc w:val="both"/>
        <w:rPr>
          <w:color w:val="000000" w:themeColor="text1"/>
        </w:rPr>
      </w:pPr>
      <w:r w:rsidRPr="00097749">
        <w:rPr>
          <w:color w:val="000000" w:themeColor="text1"/>
        </w:rPr>
        <w:t xml:space="preserve">First, the results show the central role of predisposing factors. The significant positive direct effect (β = 0.312, p &lt; 0.001) and additional indirect effect through service innovation (β = 0.116, p &lt; 0.001) </w:t>
      </w:r>
      <w:r w:rsidRPr="00097749">
        <w:rPr>
          <w:color w:val="000000" w:themeColor="text1"/>
          <w:lang w:val="id-ID"/>
        </w:rPr>
        <w:t>show</w:t>
      </w:r>
      <w:r w:rsidRPr="00097749">
        <w:rPr>
          <w:color w:val="000000" w:themeColor="text1"/>
        </w:rPr>
        <w:t xml:space="preserve"> that patient knowledge, attitudes, and motivation strongly shape both adherence behaviors and satisfaction levels. This result is consistent with behavioral theories of health service use</w:t>
      </w:r>
      <w:r w:rsidR="006474D9">
        <w:rPr>
          <w:color w:val="000000" w:themeColor="text1"/>
        </w:rPr>
        <w:t xml:space="preserve"> </w:t>
      </w:r>
      <w:r w:rsidR="006474D9">
        <w:rPr>
          <w:color w:val="000000" w:themeColor="text1"/>
        </w:rPr>
        <w:fldChar w:fldCharType="begin" w:fldLock="1"/>
      </w:r>
      <w:r w:rsidR="00C15C78">
        <w:rPr>
          <w:color w:val="000000" w:themeColor="text1"/>
        </w:rPr>
        <w:instrText>ADDIN CSL_CITATION {"citationItems":[{"id":"ITEM-1","itemData":{"DOI":"https://doi.org/10.3205/psm000089","author":[{"dropping-particle":"","family":"Babitsch","given":"Birgit","non-dropping-particle":"","parse-names":false,"suffix":""},{"dropping-particle":"","family":"Gohl","given":"Daniela","non-dropping-particle":"","parse-names":false,"suffix":""},{"dropping-particle":"von","family":"Lengerke","given":"Thomas","non-dropping-particle":"","parse-names":false,"suffix":""}],"container-title":"GMS Psycho-Social-Medicine 2012,","id":"ITEM-1","issued":{"date-parts":[["2012"]]},"page":"1-15","title":"Re-revisiting Andersen’s Behavioral Model of health services use: A systematic review of studies from","type":"article-journal","volume":"9"},"uris":["http://www.mendeley.com/documents/?uuid=c33133ab-1daa-4052-9b1e-e3abe4394795"]}],"mendeley":{"formattedCitation":"(Babitsch et al., 2012)","plainTextFormattedCitation":"(Babitsch et al., 2012)","previouslyFormattedCitation":"(Babitsch et al., 2012)"},"properties":{"noteIndex":0},"schema":"https://github.com/citation-style-language/schema/raw/master/csl-citation.json"}</w:instrText>
      </w:r>
      <w:r w:rsidR="006474D9">
        <w:rPr>
          <w:color w:val="000000" w:themeColor="text1"/>
        </w:rPr>
        <w:fldChar w:fldCharType="separate"/>
      </w:r>
      <w:r w:rsidR="006474D9" w:rsidRPr="006474D9">
        <w:rPr>
          <w:noProof/>
          <w:color w:val="000000" w:themeColor="text1"/>
        </w:rPr>
        <w:t>(Babitsch et al., 2012)</w:t>
      </w:r>
      <w:r w:rsidR="006474D9">
        <w:rPr>
          <w:color w:val="000000" w:themeColor="text1"/>
        </w:rPr>
        <w:fldChar w:fldCharType="end"/>
      </w:r>
      <w:r w:rsidRPr="00097749">
        <w:rPr>
          <w:color w:val="000000" w:themeColor="text1"/>
        </w:rPr>
        <w:t>, suggesting that patient who possess higher awareness of malaria risks and treatment protocols tend to perceive service as satisfactory, specifically when service innovation facilitates treatment completion.</w:t>
      </w:r>
    </w:p>
    <w:p w14:paraId="220177AE" w14:textId="7982D0EF" w:rsidR="00097749" w:rsidRPr="00097749" w:rsidRDefault="00097749" w:rsidP="00C15C78">
      <w:pPr>
        <w:pStyle w:val="BodyText"/>
        <w:jc w:val="both"/>
        <w:rPr>
          <w:color w:val="000000" w:themeColor="text1"/>
        </w:rPr>
      </w:pPr>
      <w:r w:rsidRPr="00097749">
        <w:rPr>
          <w:color w:val="000000" w:themeColor="text1"/>
        </w:rPr>
        <w:t>Second, reinforcing factors were identified as another strong determinant of satisfaction. The direct pathway (β = 0.294, p &lt; 0.001) combined with a significant indirect pathway through service innovation (β = 0.135, p &lt; 0.001) produced the largest total effect (β = 0.429). This result suggests that continuous support from family members, healthcare providers, and social networks significantly enhances patient experiences. It also validates previous studies emphasizing the role of social reinforcement in chronic disease management</w:t>
      </w:r>
      <w:r w:rsidR="00C15C78">
        <w:rPr>
          <w:color w:val="000000" w:themeColor="text1"/>
        </w:rPr>
        <w:t xml:space="preserve"> </w:t>
      </w:r>
      <w:r w:rsidR="00C15C78">
        <w:rPr>
          <w:color w:val="000000" w:themeColor="text1"/>
        </w:rPr>
        <w:fldChar w:fldCharType="begin" w:fldLock="1"/>
      </w:r>
      <w:r w:rsidR="00C15C78">
        <w:rPr>
          <w:color w:val="000000" w:themeColor="text1"/>
        </w:rPr>
        <w:instrText>ADDIN CSL_CITATION {"citationItems":[{"id":"ITEM-1","itemData":{"DOI":"10.1093/jpepsy/jsy044","author":[{"dropping-particle":"","family":"Psihogios","given":"Alexandra M","non-dropping-particle":"","parse-names":false,"suffix":""},{"dropping-particle":"","family":"Fellmeth","given":"Heather","non-dropping-particle":"","parse-names":false,"suffix":""},{"dropping-particle":"","family":"Lisa","given":"A","non-dropping-particle":"","parse-names":false,"suffix":""},{"dropping-particle":"","family":"Barakat","given":"Lamia P","non-dropping-particle":"","parse-names":false,"suffix":""}],"container-title":"Journal ofPediatric Psychology","id":"ITEM-1","issue":"1","issued":{"date-parts":[["2019"]]},"page":"84-97","title":"Family functioning and medical adherence across children and adolescents with chronic health conditions: A meta-analysis","type":"article-journal","volume":"44"},"uris":["http://www.mendeley.com/documents/?uuid=d14666c6-eaa3-4f54-a778-73e467a4b92d"]}],"mendeley":{"formattedCitation":"(Psihogios et al., 2019)","plainTextFormattedCitation":"(Psihogios et al., 2019)","previouslyFormattedCitation":"(Psihogios et al., 2019)"},"properties":{"noteIndex":0},"schema":"https://github.com/citation-style-language/schema/raw/master/csl-citation.json"}</w:instrText>
      </w:r>
      <w:r w:rsidR="00C15C78">
        <w:rPr>
          <w:color w:val="000000" w:themeColor="text1"/>
        </w:rPr>
        <w:fldChar w:fldCharType="separate"/>
      </w:r>
      <w:r w:rsidR="00C15C78" w:rsidRPr="00C15C78">
        <w:rPr>
          <w:noProof/>
          <w:color w:val="000000" w:themeColor="text1"/>
        </w:rPr>
        <w:t>(Psihogios et al., 2019)</w:t>
      </w:r>
      <w:r w:rsidR="00C15C78">
        <w:rPr>
          <w:color w:val="000000" w:themeColor="text1"/>
        </w:rPr>
        <w:fldChar w:fldCharType="end"/>
      </w:r>
      <w:r w:rsidRPr="00097749">
        <w:rPr>
          <w:color w:val="000000" w:themeColor="text1"/>
        </w:rPr>
        <w:t>. Importantly, this underscores the need for interventions that strengthen community and family engagement in malaria care.</w:t>
      </w:r>
    </w:p>
    <w:p w14:paraId="2D590EF3" w14:textId="371ADB3C" w:rsidR="00097749" w:rsidRPr="00097749" w:rsidRDefault="00097749" w:rsidP="00C15C78">
      <w:pPr>
        <w:pStyle w:val="BodyText"/>
        <w:jc w:val="both"/>
        <w:rPr>
          <w:color w:val="000000" w:themeColor="text1"/>
        </w:rPr>
      </w:pPr>
      <w:r w:rsidRPr="00097749">
        <w:rPr>
          <w:color w:val="000000" w:themeColor="text1"/>
        </w:rPr>
        <w:t>Third, enabling factors showed neither significant direct nor indirect effects on patient satisfaction (β = 0.133, ns). Although access to facilities, availability of doctors, and waiting times are important dimensions of healthcare quality, these factors alone do not guarantee improved satisfaction in resource-limited settings. Previous studies have shown that infrastructure investments are insufficient without parallel efforts to enhance patient-centered innovation and adherence monitoring</w:t>
      </w:r>
      <w:r w:rsidR="00C15C78">
        <w:rPr>
          <w:color w:val="000000" w:themeColor="text1"/>
        </w:rPr>
        <w:t xml:space="preserve"> </w:t>
      </w:r>
      <w:r w:rsidR="00C15C78">
        <w:rPr>
          <w:color w:val="000000" w:themeColor="text1"/>
        </w:rPr>
        <w:fldChar w:fldCharType="begin" w:fldLock="1"/>
      </w:r>
      <w:r w:rsidR="00C15C78">
        <w:rPr>
          <w:color w:val="000000" w:themeColor="text1"/>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Review","type":"article-journal","volume":"21"},"uris":["http://www.mendeley.com/documents/?uuid=4e7582ba-4c69-4b5b-a74c-2e02d8b7b436"]}],"mendeley":{"formattedCitation":"(Guarcello &amp; de Vargas, 2020)","plainTextFormattedCitation":"(Guarcello &amp; de Vargas, 2020)","previouslyFormattedCitation":"(Guarcello &amp; de Vargas, 2020)"},"properties":{"noteIndex":0},"schema":"https://github.com/citation-style-language/schema/raw/master/csl-citation.json"}</w:instrText>
      </w:r>
      <w:r w:rsidR="00C15C78">
        <w:rPr>
          <w:color w:val="000000" w:themeColor="text1"/>
        </w:rPr>
        <w:fldChar w:fldCharType="separate"/>
      </w:r>
      <w:r w:rsidR="00C15C78" w:rsidRPr="00C15C78">
        <w:rPr>
          <w:noProof/>
          <w:color w:val="000000" w:themeColor="text1"/>
        </w:rPr>
        <w:t>(Guarcello &amp; de Vargas, 2020)</w:t>
      </w:r>
      <w:r w:rsidR="00C15C78">
        <w:rPr>
          <w:color w:val="000000" w:themeColor="text1"/>
        </w:rPr>
        <w:fldChar w:fldCharType="end"/>
      </w:r>
      <w:r w:rsidR="00C15C78">
        <w:rPr>
          <w:color w:val="000000" w:themeColor="text1"/>
        </w:rPr>
        <w:t>.</w:t>
      </w:r>
      <w:r w:rsidRPr="00097749">
        <w:rPr>
          <w:color w:val="000000" w:themeColor="text1"/>
        </w:rPr>
        <w:t xml:space="preserve"> </w:t>
      </w:r>
    </w:p>
    <w:p w14:paraId="4C9F57B8" w14:textId="5CC2639E" w:rsidR="00097749" w:rsidRPr="00097749" w:rsidRDefault="00097749" w:rsidP="00C15C78">
      <w:pPr>
        <w:pStyle w:val="BodyText"/>
        <w:jc w:val="both"/>
        <w:rPr>
          <w:color w:val="000000" w:themeColor="text1"/>
        </w:rPr>
      </w:pPr>
      <w:r w:rsidRPr="00097749">
        <w:rPr>
          <w:color w:val="000000" w:themeColor="text1"/>
        </w:rPr>
        <w:lastRenderedPageBreak/>
        <w:t xml:space="preserve">Fourth, service innovation showed a strong and direct positive effect on satisfaction (β = 0.416, p &lt; 0.001). As a mediating construct, service innovation transforms the effects of predisposing and reinforcing factors into enhanced patient experiences. Innovation, such as malaria corners, digital reminders, supervised treatment, and home visits, plays a critical role in addressing adherence gaps and improving perceptions of care quality. This result is consistent with literature emphasizing that innovative, responsive, and context-specific interventions are essential in high-burden settings </w:t>
      </w:r>
      <w:r w:rsidR="00C15C78">
        <w:rPr>
          <w:color w:val="000000" w:themeColor="text1"/>
        </w:rPr>
        <w:fldChar w:fldCharType="begin" w:fldLock="1"/>
      </w:r>
      <w:r w:rsidR="00C15C78">
        <w:rPr>
          <w:color w:val="000000" w:themeColor="text1"/>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Review","type":"article-journal","volume":"21"},"uris":["http://www.mendeley.com/documents/?uuid=4e7582ba-4c69-4b5b-a74c-2e02d8b7b436"]}],"mendeley":{"formattedCitation":"(Guarcello &amp; de Vargas, 2020)","plainTextFormattedCitation":"(Guarcello &amp; de Vargas, 2020)","previouslyFormattedCitation":"(Guarcello &amp; de Vargas, 2020)"},"properties":{"noteIndex":0},"schema":"https://github.com/citation-style-language/schema/raw/master/csl-citation.json"}</w:instrText>
      </w:r>
      <w:r w:rsidR="00C15C78">
        <w:rPr>
          <w:color w:val="000000" w:themeColor="text1"/>
        </w:rPr>
        <w:fldChar w:fldCharType="separate"/>
      </w:r>
      <w:r w:rsidR="00C15C78" w:rsidRPr="00C15C78">
        <w:rPr>
          <w:noProof/>
          <w:color w:val="000000" w:themeColor="text1"/>
        </w:rPr>
        <w:t>(Guarcello &amp; de Vargas, 2020)</w:t>
      </w:r>
      <w:r w:rsidR="00C15C78">
        <w:rPr>
          <w:color w:val="000000" w:themeColor="text1"/>
        </w:rPr>
        <w:fldChar w:fldCharType="end"/>
      </w:r>
      <w:r w:rsidR="00C15C78">
        <w:rPr>
          <w:color w:val="000000" w:themeColor="text1"/>
        </w:rPr>
        <w:t>.</w:t>
      </w:r>
    </w:p>
    <w:p w14:paraId="17F506B6" w14:textId="021263E5" w:rsidR="00097749" w:rsidRPr="00097749" w:rsidRDefault="00097749" w:rsidP="00C15C78">
      <w:pPr>
        <w:pStyle w:val="BodyText"/>
        <w:jc w:val="both"/>
        <w:rPr>
          <w:color w:val="000000" w:themeColor="text1"/>
        </w:rPr>
      </w:pPr>
      <w:r w:rsidRPr="00097749">
        <w:rPr>
          <w:color w:val="000000" w:themeColor="text1"/>
        </w:rPr>
        <w:t xml:space="preserve">The model, in general, advances both theory and practice. Theoretically, it extends </w:t>
      </w:r>
      <w:r w:rsidR="00C15C78">
        <w:rPr>
          <w:color w:val="000000" w:themeColor="text1"/>
        </w:rPr>
        <w:t xml:space="preserve">the </w:t>
      </w:r>
      <w:r w:rsidRPr="00097749">
        <w:rPr>
          <w:color w:val="000000" w:themeColor="text1"/>
        </w:rPr>
        <w:t>Andersen Behavioral Model of Health Service Use by incorporating service innovation as a mediating mechanism. Practically, the results suggest that malaria elimination strategies should not only emphasize improving infrastructure but should also prioritize behavioral reinforcement and innovative service design to ensure sustained adherence and higher patient satisfaction.</w:t>
      </w:r>
    </w:p>
    <w:p w14:paraId="1A540763" w14:textId="77777777" w:rsidR="00097749" w:rsidRPr="00097749" w:rsidRDefault="00097749" w:rsidP="00C15C78">
      <w:pPr>
        <w:pStyle w:val="BodyText"/>
        <w:jc w:val="both"/>
        <w:rPr>
          <w:color w:val="000000" w:themeColor="text1"/>
        </w:rPr>
      </w:pPr>
      <w:r w:rsidRPr="00097749">
        <w:rPr>
          <w:color w:val="000000" w:themeColor="text1"/>
        </w:rPr>
        <w:t>The full model results show that predisposing and reinforcing factors have significant effects on patient satisfaction both directly and indirectly through service innovation, while enabling factors have no significant impact. Service innovation accounts for substantial variance in satisfaction (R² = 0.776), confirming the role as a key mediator in malaria care delivery in Papua.</w:t>
      </w:r>
    </w:p>
    <w:p w14:paraId="24AC0DC6" w14:textId="77777777" w:rsidR="00097749" w:rsidRPr="00097749" w:rsidRDefault="00097749" w:rsidP="00C15C78">
      <w:pPr>
        <w:pStyle w:val="BodyText"/>
        <w:jc w:val="both"/>
        <w:rPr>
          <w:color w:val="000000" w:themeColor="text1"/>
          <w:lang w:val="en-ID" w:eastAsia="en-ID"/>
        </w:rPr>
      </w:pPr>
      <w:r w:rsidRPr="00097749">
        <w:rPr>
          <w:color w:val="000000" w:themeColor="text1"/>
          <w:lang w:val="en-ID" w:eastAsia="en-ID"/>
        </w:rPr>
        <w:t xml:space="preserve">Table 5 shows the total effects (direct and indirect) of predisposing, enabling, and reinforcing factors on patient satisfaction, with service innovation as a mediator. The results </w:t>
      </w:r>
      <w:r w:rsidRPr="00097749">
        <w:rPr>
          <w:color w:val="000000" w:themeColor="text1"/>
          <w:lang w:val="id-ID" w:eastAsia="en-ID"/>
        </w:rPr>
        <w:t>show</w:t>
      </w:r>
      <w:r w:rsidRPr="00097749">
        <w:rPr>
          <w:color w:val="000000" w:themeColor="text1"/>
          <w:lang w:val="en-ID" w:eastAsia="en-ID"/>
        </w:rPr>
        <w:t xml:space="preserve"> that predisposing and reinforcing factors exert the strongest influence on patient satisfaction, both directly and indirectly, while enabling factors remain weak and statistically insignificant. Service innovation shows a strong direct effect, confirming the critical role as a driver of satisfaction.</w:t>
      </w:r>
    </w:p>
    <w:p w14:paraId="7799303B" w14:textId="77777777" w:rsidR="00097749" w:rsidRPr="00611AF6" w:rsidRDefault="00097749" w:rsidP="00097749">
      <w:pPr>
        <w:pStyle w:val="BodyText"/>
        <w:jc w:val="center"/>
        <w:rPr>
          <w:b/>
          <w:bCs/>
          <w:color w:val="000000" w:themeColor="text1"/>
          <w:lang w:val="en-ID" w:eastAsia="en-ID"/>
        </w:rPr>
      </w:pPr>
      <w:r w:rsidRPr="00611AF6">
        <w:rPr>
          <w:b/>
          <w:bCs/>
          <w:color w:val="000000" w:themeColor="text1"/>
          <w:lang w:val="en-ID" w:eastAsia="en-ID"/>
        </w:rPr>
        <w:t>Table 5. Total Effects on Patient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3"/>
        <w:gridCol w:w="1360"/>
        <w:gridCol w:w="2597"/>
        <w:gridCol w:w="1255"/>
        <w:gridCol w:w="1313"/>
      </w:tblGrid>
      <w:tr w:rsidR="00097749" w:rsidRPr="00097749" w14:paraId="0BF66F4E" w14:textId="77777777" w:rsidTr="007B535D">
        <w:trPr>
          <w:tblHeader/>
          <w:tblCellSpacing w:w="15" w:type="dxa"/>
        </w:trPr>
        <w:tc>
          <w:tcPr>
            <w:tcW w:w="0" w:type="auto"/>
            <w:tcBorders>
              <w:top w:val="single" w:sz="4" w:space="0" w:color="auto"/>
              <w:bottom w:val="single" w:sz="4" w:space="0" w:color="auto"/>
            </w:tcBorders>
            <w:vAlign w:val="center"/>
            <w:hideMark/>
          </w:tcPr>
          <w:p w14:paraId="4ADC3654"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Predictor</w:t>
            </w:r>
          </w:p>
        </w:tc>
        <w:tc>
          <w:tcPr>
            <w:tcW w:w="0" w:type="auto"/>
            <w:tcBorders>
              <w:top w:val="single" w:sz="4" w:space="0" w:color="auto"/>
              <w:bottom w:val="single" w:sz="4" w:space="0" w:color="auto"/>
            </w:tcBorders>
            <w:vAlign w:val="center"/>
            <w:hideMark/>
          </w:tcPr>
          <w:p w14:paraId="7D1D07C2"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Direct Effect (β)</w:t>
            </w:r>
          </w:p>
        </w:tc>
        <w:tc>
          <w:tcPr>
            <w:tcW w:w="0" w:type="auto"/>
            <w:tcBorders>
              <w:top w:val="single" w:sz="4" w:space="0" w:color="auto"/>
              <w:bottom w:val="single" w:sz="4" w:space="0" w:color="auto"/>
            </w:tcBorders>
            <w:vAlign w:val="center"/>
            <w:hideMark/>
          </w:tcPr>
          <w:p w14:paraId="5DBF961C"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Indirect Effect via Innovation (β)</w:t>
            </w:r>
          </w:p>
        </w:tc>
        <w:tc>
          <w:tcPr>
            <w:tcW w:w="0" w:type="auto"/>
            <w:tcBorders>
              <w:top w:val="single" w:sz="4" w:space="0" w:color="auto"/>
              <w:bottom w:val="single" w:sz="4" w:space="0" w:color="auto"/>
            </w:tcBorders>
            <w:vAlign w:val="center"/>
            <w:hideMark/>
          </w:tcPr>
          <w:p w14:paraId="19EE9B19"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Total Effect (β)</w:t>
            </w:r>
          </w:p>
        </w:tc>
        <w:tc>
          <w:tcPr>
            <w:tcW w:w="0" w:type="auto"/>
            <w:tcBorders>
              <w:top w:val="single" w:sz="4" w:space="0" w:color="auto"/>
              <w:bottom w:val="single" w:sz="4" w:space="0" w:color="auto"/>
            </w:tcBorders>
            <w:vAlign w:val="center"/>
            <w:hideMark/>
          </w:tcPr>
          <w:p w14:paraId="71C0C946"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Significance</w:t>
            </w:r>
          </w:p>
        </w:tc>
      </w:tr>
      <w:tr w:rsidR="00097749" w:rsidRPr="00097749" w14:paraId="54B0051F" w14:textId="77777777" w:rsidTr="007B535D">
        <w:trPr>
          <w:tblCellSpacing w:w="15" w:type="dxa"/>
        </w:trPr>
        <w:tc>
          <w:tcPr>
            <w:tcW w:w="0" w:type="auto"/>
            <w:vAlign w:val="center"/>
            <w:hideMark/>
          </w:tcPr>
          <w:p w14:paraId="0818B3F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Factors</w:t>
            </w:r>
          </w:p>
        </w:tc>
        <w:tc>
          <w:tcPr>
            <w:tcW w:w="0" w:type="auto"/>
            <w:vAlign w:val="center"/>
            <w:hideMark/>
          </w:tcPr>
          <w:p w14:paraId="36BCE026"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0.312***</w:t>
            </w:r>
          </w:p>
        </w:tc>
        <w:tc>
          <w:tcPr>
            <w:tcW w:w="0" w:type="auto"/>
            <w:vAlign w:val="center"/>
            <w:hideMark/>
          </w:tcPr>
          <w:p w14:paraId="06EFEE5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0.116***</w:t>
            </w:r>
          </w:p>
        </w:tc>
        <w:tc>
          <w:tcPr>
            <w:tcW w:w="0" w:type="auto"/>
            <w:vAlign w:val="center"/>
            <w:hideMark/>
          </w:tcPr>
          <w:p w14:paraId="3D9765F5"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0.428</w:t>
            </w:r>
            <w:r w:rsidRPr="00097749">
              <w:rPr>
                <w:color w:val="000000" w:themeColor="text1"/>
                <w:szCs w:val="24"/>
                <w:lang w:val="en-ID" w:eastAsia="en-ID"/>
              </w:rPr>
              <w:t>*</w:t>
            </w:r>
          </w:p>
        </w:tc>
        <w:tc>
          <w:tcPr>
            <w:tcW w:w="0" w:type="auto"/>
            <w:vAlign w:val="center"/>
            <w:hideMark/>
          </w:tcPr>
          <w:p w14:paraId="742F467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r w:rsidR="00097749" w:rsidRPr="00097749" w14:paraId="2F86CC26" w14:textId="77777777" w:rsidTr="007B535D">
        <w:trPr>
          <w:tblCellSpacing w:w="15" w:type="dxa"/>
        </w:trPr>
        <w:tc>
          <w:tcPr>
            <w:tcW w:w="0" w:type="auto"/>
            <w:vAlign w:val="center"/>
            <w:hideMark/>
          </w:tcPr>
          <w:p w14:paraId="7FC15CA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Factors</w:t>
            </w:r>
          </w:p>
        </w:tc>
        <w:tc>
          <w:tcPr>
            <w:tcW w:w="0" w:type="auto"/>
            <w:vAlign w:val="center"/>
            <w:hideMark/>
          </w:tcPr>
          <w:p w14:paraId="380DB16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0.087 (ns)</w:t>
            </w:r>
          </w:p>
        </w:tc>
        <w:tc>
          <w:tcPr>
            <w:tcW w:w="0" w:type="auto"/>
            <w:vAlign w:val="center"/>
            <w:hideMark/>
          </w:tcPr>
          <w:p w14:paraId="005B211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0.046 (ns)</w:t>
            </w:r>
          </w:p>
        </w:tc>
        <w:tc>
          <w:tcPr>
            <w:tcW w:w="0" w:type="auto"/>
            <w:vAlign w:val="center"/>
            <w:hideMark/>
          </w:tcPr>
          <w:p w14:paraId="43107DE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0.133 (ns)</w:t>
            </w:r>
          </w:p>
        </w:tc>
        <w:tc>
          <w:tcPr>
            <w:tcW w:w="0" w:type="auto"/>
            <w:vAlign w:val="center"/>
            <w:hideMark/>
          </w:tcPr>
          <w:p w14:paraId="6ABB53B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Not supported</w:t>
            </w:r>
          </w:p>
        </w:tc>
      </w:tr>
      <w:tr w:rsidR="00097749" w:rsidRPr="00097749" w14:paraId="511EC904" w14:textId="77777777" w:rsidTr="007B535D">
        <w:trPr>
          <w:tblCellSpacing w:w="15" w:type="dxa"/>
        </w:trPr>
        <w:tc>
          <w:tcPr>
            <w:tcW w:w="0" w:type="auto"/>
            <w:vAlign w:val="center"/>
            <w:hideMark/>
          </w:tcPr>
          <w:p w14:paraId="6152AAA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Factors</w:t>
            </w:r>
          </w:p>
        </w:tc>
        <w:tc>
          <w:tcPr>
            <w:tcW w:w="0" w:type="auto"/>
            <w:vAlign w:val="center"/>
            <w:hideMark/>
          </w:tcPr>
          <w:p w14:paraId="3B693171"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0.294***</w:t>
            </w:r>
          </w:p>
        </w:tc>
        <w:tc>
          <w:tcPr>
            <w:tcW w:w="0" w:type="auto"/>
            <w:vAlign w:val="center"/>
            <w:hideMark/>
          </w:tcPr>
          <w:p w14:paraId="4D9A8A0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0.135***</w:t>
            </w:r>
          </w:p>
        </w:tc>
        <w:tc>
          <w:tcPr>
            <w:tcW w:w="0" w:type="auto"/>
            <w:vAlign w:val="center"/>
            <w:hideMark/>
          </w:tcPr>
          <w:p w14:paraId="3CAEF1EF"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0.429</w:t>
            </w:r>
            <w:r w:rsidRPr="00097749">
              <w:rPr>
                <w:color w:val="000000" w:themeColor="text1"/>
                <w:szCs w:val="24"/>
                <w:lang w:val="en-ID" w:eastAsia="en-ID"/>
              </w:rPr>
              <w:t>*</w:t>
            </w:r>
          </w:p>
        </w:tc>
        <w:tc>
          <w:tcPr>
            <w:tcW w:w="0" w:type="auto"/>
            <w:vAlign w:val="center"/>
            <w:hideMark/>
          </w:tcPr>
          <w:p w14:paraId="1E84362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r w:rsidR="00097749" w:rsidRPr="00097749" w14:paraId="59C271A1" w14:textId="77777777" w:rsidTr="007B535D">
        <w:trPr>
          <w:tblCellSpacing w:w="15" w:type="dxa"/>
        </w:trPr>
        <w:tc>
          <w:tcPr>
            <w:tcW w:w="0" w:type="auto"/>
            <w:tcBorders>
              <w:bottom w:val="single" w:sz="4" w:space="0" w:color="auto"/>
            </w:tcBorders>
            <w:vAlign w:val="center"/>
            <w:hideMark/>
          </w:tcPr>
          <w:p w14:paraId="25127D8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w:t>
            </w:r>
          </w:p>
        </w:tc>
        <w:tc>
          <w:tcPr>
            <w:tcW w:w="0" w:type="auto"/>
            <w:tcBorders>
              <w:bottom w:val="single" w:sz="4" w:space="0" w:color="auto"/>
            </w:tcBorders>
            <w:vAlign w:val="center"/>
            <w:hideMark/>
          </w:tcPr>
          <w:p w14:paraId="5166DDD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0.416***</w:t>
            </w:r>
          </w:p>
        </w:tc>
        <w:tc>
          <w:tcPr>
            <w:tcW w:w="0" w:type="auto"/>
            <w:tcBorders>
              <w:bottom w:val="single" w:sz="4" w:space="0" w:color="auto"/>
            </w:tcBorders>
            <w:vAlign w:val="center"/>
            <w:hideMark/>
          </w:tcPr>
          <w:p w14:paraId="725A531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w:t>
            </w:r>
          </w:p>
        </w:tc>
        <w:tc>
          <w:tcPr>
            <w:tcW w:w="0" w:type="auto"/>
            <w:tcBorders>
              <w:bottom w:val="single" w:sz="4" w:space="0" w:color="auto"/>
            </w:tcBorders>
            <w:vAlign w:val="center"/>
            <w:hideMark/>
          </w:tcPr>
          <w:p w14:paraId="0E331B43"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0.416</w:t>
            </w:r>
            <w:r w:rsidRPr="00097749">
              <w:rPr>
                <w:color w:val="000000" w:themeColor="text1"/>
                <w:szCs w:val="24"/>
                <w:lang w:val="en-ID" w:eastAsia="en-ID"/>
              </w:rPr>
              <w:t>*</w:t>
            </w:r>
          </w:p>
        </w:tc>
        <w:tc>
          <w:tcPr>
            <w:tcW w:w="0" w:type="auto"/>
            <w:tcBorders>
              <w:bottom w:val="single" w:sz="4" w:space="0" w:color="auto"/>
            </w:tcBorders>
            <w:vAlign w:val="center"/>
            <w:hideMark/>
          </w:tcPr>
          <w:p w14:paraId="59A994E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bl>
    <w:p w14:paraId="138E162B" w14:textId="77777777" w:rsidR="00097749" w:rsidRPr="00097749" w:rsidRDefault="00097749" w:rsidP="00097749">
      <w:pPr>
        <w:spacing w:before="100" w:beforeAutospacing="1" w:after="100" w:afterAutospacing="1"/>
        <w:rPr>
          <w:color w:val="000000" w:themeColor="text1"/>
          <w:szCs w:val="24"/>
          <w:lang w:val="en-ID" w:eastAsia="en-ID"/>
        </w:rPr>
      </w:pPr>
      <w:r w:rsidRPr="00097749">
        <w:rPr>
          <w:color w:val="000000" w:themeColor="text1"/>
          <w:szCs w:val="24"/>
          <w:lang w:val="en-ID" w:eastAsia="en-ID"/>
        </w:rPr>
        <w:t>Notes: *** p &lt; 0.001; ns = not significant.</w:t>
      </w:r>
    </w:p>
    <w:p w14:paraId="4CF51995" w14:textId="77777777" w:rsidR="00097749" w:rsidRPr="00097749" w:rsidRDefault="00097749" w:rsidP="00C15C78">
      <w:pPr>
        <w:pStyle w:val="BodyText"/>
        <w:jc w:val="both"/>
        <w:rPr>
          <w:color w:val="000000" w:themeColor="text1"/>
          <w:lang w:val="en-ID" w:eastAsia="en-ID"/>
        </w:rPr>
      </w:pPr>
      <w:r w:rsidRPr="00097749">
        <w:rPr>
          <w:color w:val="000000" w:themeColor="text1"/>
          <w:lang w:val="en-ID" w:eastAsia="en-ID"/>
        </w:rPr>
        <w:t>Predisposing and reinforcing factors showed the strongest total effects (β &gt; 0.42) on patient satisfaction, underscoring the importance of individual attitudes, knowledge, and social support. However, enabling factors remain weak and insignificant. Service innovation was identified as the strongest single predictor, reinforcing the mediating role in transforming adherence-related determinants into improved patient-</w:t>
      </w:r>
      <w:proofErr w:type="spellStart"/>
      <w:r w:rsidRPr="00097749">
        <w:rPr>
          <w:color w:val="000000" w:themeColor="text1"/>
          <w:lang w:val="en-ID" w:eastAsia="en-ID"/>
        </w:rPr>
        <w:t>centered</w:t>
      </w:r>
      <w:proofErr w:type="spellEnd"/>
      <w:r w:rsidRPr="00097749">
        <w:rPr>
          <w:color w:val="000000" w:themeColor="text1"/>
          <w:lang w:val="en-ID" w:eastAsia="en-ID"/>
        </w:rPr>
        <w:t xml:space="preserve"> outcomes.</w:t>
      </w:r>
    </w:p>
    <w:p w14:paraId="71E3382D" w14:textId="77777777" w:rsidR="00097749" w:rsidRPr="00097749" w:rsidRDefault="00097749" w:rsidP="00097749">
      <w:pPr>
        <w:pStyle w:val="BodyText"/>
        <w:rPr>
          <w:b/>
          <w:bCs/>
          <w:color w:val="000000" w:themeColor="text1"/>
        </w:rPr>
      </w:pPr>
      <w:r w:rsidRPr="00097749">
        <w:rPr>
          <w:b/>
          <w:bCs/>
          <w:color w:val="000000" w:themeColor="text1"/>
        </w:rPr>
        <w:t>Discussion</w:t>
      </w:r>
    </w:p>
    <w:p w14:paraId="34EF0864" w14:textId="239C4E7C" w:rsidR="00097749" w:rsidRPr="00097749" w:rsidRDefault="00097749" w:rsidP="00C15C78">
      <w:pPr>
        <w:pStyle w:val="BodyText"/>
        <w:jc w:val="both"/>
        <w:rPr>
          <w:color w:val="000000" w:themeColor="text1"/>
        </w:rPr>
      </w:pPr>
      <w:r w:rsidRPr="00097749">
        <w:rPr>
          <w:color w:val="000000" w:themeColor="text1"/>
        </w:rPr>
        <w:t xml:space="preserve">The results obtained from this study show three key insights. First, predisposing and reinforcing factors significantly influence patient satisfaction, consistent with </w:t>
      </w:r>
      <w:r w:rsidR="00C15C78">
        <w:rPr>
          <w:color w:val="000000" w:themeColor="text1"/>
        </w:rPr>
        <w:t xml:space="preserve">the </w:t>
      </w:r>
      <w:r w:rsidRPr="00097749">
        <w:rPr>
          <w:color w:val="000000" w:themeColor="text1"/>
        </w:rPr>
        <w:t xml:space="preserve">Andersen Behavioral Model. This suggests that knowledge, motivation, and social support are critical drivers of treatment adherence and satisfaction. In contrast, enabling factors </w:t>
      </w:r>
      <w:r w:rsidR="00C15C78">
        <w:rPr>
          <w:color w:val="000000" w:themeColor="text1"/>
        </w:rPr>
        <w:t>such as</w:t>
      </w:r>
      <w:r w:rsidRPr="00097749">
        <w:rPr>
          <w:color w:val="000000" w:themeColor="text1"/>
        </w:rPr>
        <w:t xml:space="preserve"> </w:t>
      </w:r>
      <w:r w:rsidRPr="00097749">
        <w:rPr>
          <w:color w:val="000000" w:themeColor="text1"/>
        </w:rPr>
        <w:lastRenderedPageBreak/>
        <w:t xml:space="preserve">infrastructure, waiting times, and affordability show no significant effect, </w:t>
      </w:r>
      <w:r w:rsidRPr="00097749">
        <w:rPr>
          <w:color w:val="000000" w:themeColor="text1"/>
          <w:lang w:val="id-ID"/>
        </w:rPr>
        <w:t>indicating</w:t>
      </w:r>
      <w:r w:rsidRPr="00097749">
        <w:rPr>
          <w:color w:val="000000" w:themeColor="text1"/>
        </w:rPr>
        <w:t xml:space="preserve"> that physical access alone does not guarantee satisfaction in resource-limited settings.</w:t>
      </w:r>
    </w:p>
    <w:p w14:paraId="5121A97C" w14:textId="0550E9E9" w:rsidR="00097749" w:rsidRPr="00097749" w:rsidRDefault="00097749" w:rsidP="00C15C78">
      <w:pPr>
        <w:pStyle w:val="BodyText"/>
        <w:jc w:val="both"/>
        <w:rPr>
          <w:color w:val="000000" w:themeColor="text1"/>
        </w:rPr>
      </w:pPr>
      <w:r w:rsidRPr="00097749">
        <w:rPr>
          <w:color w:val="000000" w:themeColor="text1"/>
        </w:rPr>
        <w:t xml:space="preserve">Second, service innovation was identified to be a strong predictor of satisfaction, both directly and as a mediator. </w:t>
      </w:r>
      <w:r w:rsidR="00C15C78">
        <w:rPr>
          <w:color w:val="000000" w:themeColor="text1"/>
        </w:rPr>
        <w:t>Innovations like malaria corners, home visits, and digital adherence reminders enhance the perceived quality of care and bridge</w:t>
      </w:r>
      <w:r w:rsidRPr="00097749">
        <w:rPr>
          <w:color w:val="000000" w:themeColor="text1"/>
        </w:rPr>
        <w:t xml:space="preserve"> the gap between adherence determinants and patient experience. This confirms the report by </w:t>
      </w:r>
      <w:r w:rsidR="00C15C78">
        <w:rPr>
          <w:color w:val="000000" w:themeColor="text1"/>
        </w:rPr>
        <w:fldChar w:fldCharType="begin" w:fldLock="1"/>
      </w:r>
      <w:r w:rsidR="00E4521D">
        <w:rPr>
          <w:color w:val="000000" w:themeColor="text1"/>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Review","type":"article-journal","volume":"21"},"uris":["http://www.mendeley.com/documents/?uuid=4e7582ba-4c69-4b5b-a74c-2e02d8b7b436"]},{"id":"ITEM-2","itemData":{"DOI":"10.1186/s12936-025-05358-x","ISSN":"1475-2875","abstract":"Papua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Journal","id":"ITEM-2","issue":"1","issued":{"date-parts":[["2025"]]},"page":"177","title":"Enhanced data quality to improve malaria surveillance in Papua, Indonesia","type":"article-journal","volume":"24"},"uris":["http://www.mendeley.com/documents/?uuid=b2e31924-05c2-4d72-b3a5-7dd77885c151"]}],"mendeley":{"formattedCitation":"(Fransisca et al., 2025; Guarcello &amp; de Vargas, 2020)","plainTextFormattedCitation":"(Fransisca et al., 2025; Guarcello &amp; de Vargas, 2020)","previouslyFormattedCitation":"(Fransisca et al., 2025; Guarcello &amp; de Vargas, 2020)"},"properties":{"noteIndex":0},"schema":"https://github.com/citation-style-language/schema/raw/master/csl-citation.json"}</w:instrText>
      </w:r>
      <w:r w:rsidR="00C15C78">
        <w:rPr>
          <w:color w:val="000000" w:themeColor="text1"/>
        </w:rPr>
        <w:fldChar w:fldCharType="separate"/>
      </w:r>
      <w:r w:rsidR="00C15C78" w:rsidRPr="00C15C78">
        <w:rPr>
          <w:noProof/>
          <w:color w:val="000000" w:themeColor="text1"/>
        </w:rPr>
        <w:t>(Fransisca et al., 2025; Guarcello &amp; de Vargas, 2020)</w:t>
      </w:r>
      <w:r w:rsidR="00C15C78">
        <w:rPr>
          <w:color w:val="000000" w:themeColor="text1"/>
        </w:rPr>
        <w:fldChar w:fldCharType="end"/>
      </w:r>
      <w:r w:rsidRPr="00097749">
        <w:rPr>
          <w:color w:val="000000" w:themeColor="text1"/>
        </w:rPr>
        <w:t xml:space="preserve"> that service innovation fosters patient-centered healthcare and drives satisfaction.</w:t>
      </w:r>
    </w:p>
    <w:p w14:paraId="136FECFD" w14:textId="33C3DEB8" w:rsidR="00097749" w:rsidRPr="00097749" w:rsidRDefault="00097749" w:rsidP="00E4521D">
      <w:pPr>
        <w:pStyle w:val="BodyText"/>
        <w:jc w:val="both"/>
        <w:rPr>
          <w:color w:val="000000" w:themeColor="text1"/>
        </w:rPr>
      </w:pPr>
      <w:r w:rsidRPr="00097749">
        <w:rPr>
          <w:color w:val="000000" w:themeColor="text1"/>
        </w:rPr>
        <w:t xml:space="preserve">Third, the mediation analysis provides novel evidence that predisposing and reinforcing factors affect satisfaction through service innovation, while enabling factors do not benefit from the mediating pathway. This reinforces the concept that service innovation is the “missing link” transforming behavioral determinants into positive healthcare outcomes. The results extend </w:t>
      </w:r>
      <w:r w:rsidR="005B2A6D">
        <w:rPr>
          <w:color w:val="000000" w:themeColor="text1"/>
        </w:rPr>
        <w:t xml:space="preserve">the </w:t>
      </w:r>
      <w:r w:rsidRPr="00097749">
        <w:rPr>
          <w:color w:val="000000" w:themeColor="text1"/>
        </w:rPr>
        <w:t>Andersen model by showing the mediating role of service innovation in malaria-endemic contexts, offering theoretical advancement and practical policy implications</w:t>
      </w:r>
      <w:r w:rsidR="00526F44">
        <w:rPr>
          <w:color w:val="000000" w:themeColor="text1"/>
        </w:rPr>
        <w:t xml:space="preserve"> </w:t>
      </w:r>
      <w:r w:rsidR="00526F44">
        <w:rPr>
          <w:color w:val="000000" w:themeColor="text1"/>
        </w:rPr>
        <w:fldChar w:fldCharType="begin" w:fldLock="1"/>
      </w:r>
      <w:r w:rsidR="00D426CC">
        <w:rPr>
          <w:color w:val="000000" w:themeColor="text1"/>
        </w:rPr>
        <w:instrText>ADDIN CSL_CITATION {"citationItems":[{"id":"ITEM-1","itemData":{"DOI":"https://doi.org/10.1186/s12913-025-12794-7","author":[{"dropping-particle":"","family":"Yeboah","given":"Joseph G.","non-dropping-particle":"","parse-names":false,"suffix":""},{"dropping-particle":"","family":"Amponsah","given":"Kojo Tei","non-dropping-particle":"","parse-names":false,"suffix":""}],"container-title":"BMC Health Services Research","id":"ITEM-1","issue":"803","issued":{"date-parts":[["2025"]]},"page":"1-12","title":"The mediating role of service innovation in the relationship between customer orientation and patient satisfaction","type":"article-journal","volume":"25"},"uris":["http://www.mendeley.com/documents/?uuid=ad7d52eb-fc10-4a60-a4bd-bfa0ea8cd9d5"]}],"mendeley":{"formattedCitation":"(Yeboah &amp; Amponsah, 2025)","plainTextFormattedCitation":"(Yeboah &amp; Amponsah, 2025)","previouslyFormattedCitation":"(Yeboah &amp; Amponsah, 2025)"},"properties":{"noteIndex":0},"schema":"https://github.com/citation-style-language/schema/raw/master/csl-citation.json"}</w:instrText>
      </w:r>
      <w:r w:rsidR="00526F44">
        <w:rPr>
          <w:color w:val="000000" w:themeColor="text1"/>
        </w:rPr>
        <w:fldChar w:fldCharType="separate"/>
      </w:r>
      <w:r w:rsidR="00526F44" w:rsidRPr="00526F44">
        <w:rPr>
          <w:noProof/>
          <w:color w:val="000000" w:themeColor="text1"/>
        </w:rPr>
        <w:t>(Yeboah &amp; Amponsah, 2025)</w:t>
      </w:r>
      <w:r w:rsidR="00526F44">
        <w:rPr>
          <w:color w:val="000000" w:themeColor="text1"/>
        </w:rPr>
        <w:fldChar w:fldCharType="end"/>
      </w:r>
      <w:r w:rsidRPr="00097749">
        <w:rPr>
          <w:color w:val="000000" w:themeColor="text1"/>
        </w:rPr>
        <w:t>.</w:t>
      </w:r>
    </w:p>
    <w:p w14:paraId="47E371D0" w14:textId="5D70FD3A" w:rsidR="00097749" w:rsidRPr="00097749" w:rsidRDefault="00097749" w:rsidP="005B2A6D">
      <w:pPr>
        <w:pStyle w:val="BodyText"/>
        <w:jc w:val="both"/>
        <w:rPr>
          <w:color w:val="000000" w:themeColor="text1"/>
        </w:rPr>
      </w:pPr>
      <w:r w:rsidRPr="00097749">
        <w:rPr>
          <w:color w:val="000000" w:themeColor="text1"/>
        </w:rPr>
        <w:t xml:space="preserve">Previous empirical evidence supports the results obtained in this study. In the Indonesian context, </w:t>
      </w:r>
      <w:r w:rsidR="00E4521D">
        <w:rPr>
          <w:color w:val="000000" w:themeColor="text1"/>
        </w:rPr>
        <w:fldChar w:fldCharType="begin" w:fldLock="1"/>
      </w:r>
      <w:r w:rsidR="00CF7D6C">
        <w:rPr>
          <w:color w:val="000000" w:themeColor="text1"/>
        </w:rPr>
        <w:instrText>ADDIN CSL_CITATION {"citationItems":[{"id":"ITEM-1","itemData":{"DOI":"10.1016/S1473-3099(21)00358-3","ISSN":"1473-3099","author":[{"dropping-particle":"","family":"Poespoprodjo","given":"Jeanne Rini","non-dropping-particle":"","parse-names":false,"suffix":""},{"dropping-particle":"","family":"Burdam","given":"Faustina Helena","non-dropping-particle":"","parse-names":false,"suffix":""},{"dropping-particle":"","family":"Candrawati","given":"Freis","non-dropping-particle":"","parse-names":false,"suffix":""},{"dropping-particle":"","family":"Ley","given":"Benedikt","non-dropping-particle":"","parse-names":false,"suffix":""},{"dropping-particle":"","family":"Meagher","given":"Niamh","non-dropping-particle":"","parse-names":false,"suffix":""},{"dropping-particle":"","family":"Kenangalem","given":"Enny","non-dropping-particle":"","parse-names":false,"suffix":""},{"dropping-particle":"","family":"Indrawanti","given":"Ratni","non-dropping-particle":"","parse-names":false,"suffix":""},{"dropping-particle":"","family":"Trianty","given":"Leily","non-dropping-particle":"","parse-names":false,"suffix":""},{"dropping-particle":"","family":"Thriemer","given":"Kamala","non-dropping-particle":"","parse-names":false,"suffix":""},{"dropping-particle":"","family":"Price","given":"David J","non-dropping-particle":"","parse-names":false,"suffix":""},{"dropping-particle":"","family":"Simpson","given":"Julie A","non-dropping-particle":"","parse-names":false,"suffix":""},{"dropping-particle":"","family":"Price","given":"Ric N","non-dropping-particle":"","parse-names":false,"suffix":""}],"container-title":"The Lancet Infectious Diseases","id":"ITEM-1","issue":"3","issued":{"date-parts":[["2022","3","1"]]},"note":"doi: 10.1016/S1473-3099(21)00358-3","page":"367-376","publisher":"Elsevier","title":"Supervised versus unsupervised primaquine radical cure for the treatment of falciparum and vivax malaria in Papua, Indonesia: a cluster-randomised, controlled, open-label superiority trial","type":"article-journal","volume":"22"},"uris":["http://www.mendeley.com/documents/?uuid=98076772-06c2-4046-950a-6bba70420feb"]}],"mendeley":{"formattedCitation":"(Poespoprodjo et al., 2022)","manualFormatting":"Poespoprodjo et al. (2022)","plainTextFormattedCitation":"(Poespoprodjo et al., 2022)","previouslyFormattedCitation":"(Poespoprodjo et al., 2022)"},"properties":{"noteIndex":0},"schema":"https://github.com/citation-style-language/schema/raw/master/csl-citation.json"}</w:instrText>
      </w:r>
      <w:r w:rsidR="00E4521D">
        <w:rPr>
          <w:color w:val="000000" w:themeColor="text1"/>
        </w:rPr>
        <w:fldChar w:fldCharType="separate"/>
      </w:r>
      <w:r w:rsidR="00E4521D" w:rsidRPr="00E4521D">
        <w:rPr>
          <w:noProof/>
          <w:color w:val="000000" w:themeColor="text1"/>
        </w:rPr>
        <w:t xml:space="preserve">Poespoprodjo et al. </w:t>
      </w:r>
      <w:r w:rsidR="00E4521D">
        <w:rPr>
          <w:noProof/>
          <w:color w:val="000000" w:themeColor="text1"/>
        </w:rPr>
        <w:t>(</w:t>
      </w:r>
      <w:r w:rsidR="00E4521D" w:rsidRPr="00E4521D">
        <w:rPr>
          <w:noProof/>
          <w:color w:val="000000" w:themeColor="text1"/>
        </w:rPr>
        <w:t>2022)</w:t>
      </w:r>
      <w:r w:rsidR="00E4521D">
        <w:rPr>
          <w:color w:val="000000" w:themeColor="text1"/>
        </w:rPr>
        <w:fldChar w:fldCharType="end"/>
      </w:r>
      <w:r w:rsidR="00E4521D">
        <w:rPr>
          <w:color w:val="000000" w:themeColor="text1"/>
        </w:rPr>
        <w:t xml:space="preserve"> </w:t>
      </w:r>
      <w:r w:rsidRPr="00097749">
        <w:rPr>
          <w:color w:val="000000" w:themeColor="text1"/>
        </w:rPr>
        <w:t xml:space="preserve">showed that supervised treatment with primaquine significantly reduced relapse rates among malaria patient, underscoring the importance of reinforcing factors such as provider supervision in ensuring adherence and satisfaction. Similarly </w:t>
      </w:r>
      <w:r w:rsidR="00CF7D6C">
        <w:rPr>
          <w:color w:val="000000" w:themeColor="text1"/>
        </w:rPr>
        <w:fldChar w:fldCharType="begin" w:fldLock="1"/>
      </w:r>
      <w:r w:rsidR="005B2A6D">
        <w:rPr>
          <w:color w:val="000000" w:themeColor="text1"/>
        </w:rPr>
        <w:instrText>ADDIN CSL_CITATION {"citationItems":[{"id":"ITEM-1","itemData":{"DOI":"10.1093/jpepsy/jsy044","author":[{"dropping-particle":"","family":"Psihogios","given":"Alexandra M","non-dropping-particle":"","parse-names":false,"suffix":""},{"dropping-particle":"","family":"Fellmeth","given":"Heather","non-dropping-particle":"","parse-names":false,"suffix":""},{"dropping-particle":"","family":"Lisa","given":"A","non-dropping-particle":"","parse-names":false,"suffix":""},{"dropping-particle":"","family":"Barakat","given":"Lamia P","non-dropping-particle":"","parse-names":false,"suffix":""}],"container-title":"Journal ofPediatric Psychology","id":"ITEM-1","issue":"1","issued":{"date-parts":[["2019"]]},"page":"84-97","title":"Family functioning and medical adherence across children and adolescents with chronic health conditions: A meta-analysis","type":"article-journal","volume":"44"},"uris":["http://www.mendeley.com/documents/?uuid=d14666c6-eaa3-4f54-a778-73e467a4b92d"]}],"mendeley":{"formattedCitation":"(Psihogios et al., 2019)","manualFormatting":"Psihogios et al. (2019)","plainTextFormattedCitation":"(Psihogios et al., 2019)","previouslyFormattedCitation":"(Psihogios et al., 2019)"},"properties":{"noteIndex":0},"schema":"https://github.com/citation-style-language/schema/raw/master/csl-citation.json"}</w:instrText>
      </w:r>
      <w:r w:rsidR="00CF7D6C">
        <w:rPr>
          <w:color w:val="000000" w:themeColor="text1"/>
        </w:rPr>
        <w:fldChar w:fldCharType="separate"/>
      </w:r>
      <w:r w:rsidR="00CF7D6C" w:rsidRPr="00CF7D6C">
        <w:rPr>
          <w:noProof/>
          <w:color w:val="000000" w:themeColor="text1"/>
        </w:rPr>
        <w:t xml:space="preserve">Psihogios et al. </w:t>
      </w:r>
      <w:r w:rsidR="005B2A6D">
        <w:rPr>
          <w:noProof/>
          <w:color w:val="000000" w:themeColor="text1"/>
        </w:rPr>
        <w:t>(</w:t>
      </w:r>
      <w:r w:rsidR="00CF7D6C" w:rsidRPr="00CF7D6C">
        <w:rPr>
          <w:noProof/>
          <w:color w:val="000000" w:themeColor="text1"/>
        </w:rPr>
        <w:t>2019)</w:t>
      </w:r>
      <w:r w:rsidR="00CF7D6C">
        <w:rPr>
          <w:color w:val="000000" w:themeColor="text1"/>
        </w:rPr>
        <w:fldChar w:fldCharType="end"/>
      </w:r>
      <w:r w:rsidRPr="00097749">
        <w:rPr>
          <w:color w:val="000000" w:themeColor="text1"/>
        </w:rPr>
        <w:t xml:space="preserve">, through a meta-analysis on children with chronic conditions, further confirmed that strong family functioning consistently supports adherence, strengthening the integration of reinforcing factors within </w:t>
      </w:r>
      <w:r w:rsidR="005B2A6D">
        <w:rPr>
          <w:color w:val="000000" w:themeColor="text1"/>
        </w:rPr>
        <w:t xml:space="preserve">the </w:t>
      </w:r>
      <w:r w:rsidRPr="00097749">
        <w:rPr>
          <w:color w:val="000000" w:themeColor="text1"/>
        </w:rPr>
        <w:t>Andersen model.</w:t>
      </w:r>
    </w:p>
    <w:p w14:paraId="7B921279" w14:textId="6C591C8C" w:rsidR="00097749" w:rsidRPr="00097749" w:rsidRDefault="00097749" w:rsidP="005B2A6D">
      <w:pPr>
        <w:pStyle w:val="BodyText"/>
        <w:jc w:val="both"/>
        <w:rPr>
          <w:color w:val="000000" w:themeColor="text1"/>
        </w:rPr>
      </w:pPr>
      <w:r w:rsidRPr="00097749">
        <w:rPr>
          <w:color w:val="000000" w:themeColor="text1"/>
        </w:rPr>
        <w:t xml:space="preserve">Parallel insights can be drawn from service innovation studies. </w:t>
      </w:r>
      <w:r w:rsidR="005B2A6D">
        <w:rPr>
          <w:color w:val="000000" w:themeColor="text1"/>
        </w:rPr>
        <w:fldChar w:fldCharType="begin" w:fldLock="1"/>
      </w:r>
      <w:r w:rsidR="005B2A6D">
        <w:rPr>
          <w:color w:val="000000" w:themeColor="text1"/>
        </w:rPr>
        <w:instrText>ADDIN CSL_CITATION {"citationItems":[{"id":"ITEM-1","itemData":{"DOI":"10.1186/s12936-025-05358-x","ISSN":"1475-2875","abstract":"Papua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Journal","id":"ITEM-1","issue":"1","issued":{"date-parts":[["2025"]]},"page":"177","title":"Enhanced data quality to improve malaria surveillance in Papua, Indonesia","type":"article-journal","volume":"24"},"uris":["http://www.mendeley.com/documents/?uuid=b2e31924-05c2-4d72-b3a5-7dd77885c151"]}],"mendeley":{"formattedCitation":"(Fransisca et al., 2025)","manualFormatting":"Fransisca et al. (2025)","plainTextFormattedCitation":"(Fransisca et al., 2025)","previouslyFormattedCitation":"(Fransisca et al., 2025)"},"properties":{"noteIndex":0},"schema":"https://github.com/citation-style-language/schema/raw/master/csl-citation.json"}</w:instrText>
      </w:r>
      <w:r w:rsidR="005B2A6D">
        <w:rPr>
          <w:color w:val="000000" w:themeColor="text1"/>
        </w:rPr>
        <w:fldChar w:fldCharType="separate"/>
      </w:r>
      <w:r w:rsidR="005B2A6D" w:rsidRPr="005B2A6D">
        <w:rPr>
          <w:noProof/>
          <w:color w:val="000000" w:themeColor="text1"/>
        </w:rPr>
        <w:t xml:space="preserve">Fransisca et al. </w:t>
      </w:r>
      <w:r w:rsidR="005B2A6D">
        <w:rPr>
          <w:noProof/>
          <w:color w:val="000000" w:themeColor="text1"/>
        </w:rPr>
        <w:t>(</w:t>
      </w:r>
      <w:r w:rsidR="005B2A6D" w:rsidRPr="005B2A6D">
        <w:rPr>
          <w:noProof/>
          <w:color w:val="000000" w:themeColor="text1"/>
        </w:rPr>
        <w:t>2025)</w:t>
      </w:r>
      <w:r w:rsidR="005B2A6D">
        <w:rPr>
          <w:color w:val="000000" w:themeColor="text1"/>
        </w:rPr>
        <w:fldChar w:fldCharType="end"/>
      </w:r>
      <w:r w:rsidR="005B2A6D">
        <w:rPr>
          <w:color w:val="000000" w:themeColor="text1"/>
        </w:rPr>
        <w:t xml:space="preserve"> </w:t>
      </w:r>
      <w:r w:rsidRPr="00097749">
        <w:rPr>
          <w:color w:val="000000" w:themeColor="text1"/>
        </w:rPr>
        <w:t xml:space="preserve">provided evidence from Timika, Papua, where the introduction of the “Malaria Corner” as a supervised treatment space enhanced adherence and patient trust, clearly showing how </w:t>
      </w:r>
      <w:r w:rsidRPr="005B2A6D">
        <w:rPr>
          <w:color w:val="000000" w:themeColor="text1"/>
        </w:rPr>
        <w:t xml:space="preserve">innovation mediates adherence and satisfaction. On a broader scale, </w:t>
      </w:r>
      <w:r w:rsidR="00C97053" w:rsidRPr="005B2A6D">
        <w:rPr>
          <w:color w:val="000000" w:themeColor="text1"/>
        </w:rPr>
        <w:fldChar w:fldCharType="begin" w:fldLock="1"/>
      </w:r>
      <w:r w:rsidR="006070F5">
        <w:rPr>
          <w:color w:val="000000" w:themeColor="text1"/>
        </w:rPr>
        <w:instrText>ADDIN CSL_CITATION {"citationItems":[{"id":"ITEM-1","itemData":{"DOI":"10.1080/10978526.2020.1802286","ISSN":"1097-8526","author":[{"dropping-particle":"","family":"Guarcello","given":"Claudio","non-dropping-particle":"","parse-names":false,"suffix":""},{"dropping-particle":"","family":"Vargas","given":"Eduardo Raupp","non-dropping-particle":"de","parse-names":false,"suffix":""}],"container-title":"Latin American Business Review","id":"ITEM-1","issue":"4","issued":{"date-parts":[["2020","10","1"]]},"note":"doi: 10.1080/10978526.2020.1802286","page":"353-369","publisher":"Routledge","title":"Service Innovation in Healthcare: A Systematic Literature Review","type":"article-journal","volume":"21"},"uris":["http://www.mendeley.com/documents/?uuid=4e7582ba-4c69-4b5b-a74c-2e02d8b7b436"]}],"mendeley":{"formattedCitation":"(Guarcello &amp; de Vargas, 2020)","manualFormatting":"Guarcello &amp; de Vargas (2020)","plainTextFormattedCitation":"(Guarcello &amp; de Vargas, 2020)","previouslyFormattedCitation":"(Guarcello &amp; de Vargas, 2020)"},"properties":{"noteIndex":0},"schema":"https://github.com/citation-style-language/schema/raw/master/csl-citation.json"}</w:instrText>
      </w:r>
      <w:r w:rsidR="00C97053" w:rsidRPr="005B2A6D">
        <w:rPr>
          <w:color w:val="000000" w:themeColor="text1"/>
        </w:rPr>
        <w:fldChar w:fldCharType="separate"/>
      </w:r>
      <w:r w:rsidR="00C97053" w:rsidRPr="005B2A6D">
        <w:rPr>
          <w:noProof/>
          <w:color w:val="000000" w:themeColor="text1"/>
        </w:rPr>
        <w:t xml:space="preserve">Guarcello &amp; de Vargas </w:t>
      </w:r>
      <w:r w:rsidR="00FE1D32">
        <w:rPr>
          <w:noProof/>
          <w:color w:val="000000" w:themeColor="text1"/>
        </w:rPr>
        <w:t>(</w:t>
      </w:r>
      <w:r w:rsidR="00C97053" w:rsidRPr="005B2A6D">
        <w:rPr>
          <w:noProof/>
          <w:color w:val="000000" w:themeColor="text1"/>
        </w:rPr>
        <w:t>2020)</w:t>
      </w:r>
      <w:r w:rsidR="00C97053" w:rsidRPr="005B2A6D">
        <w:rPr>
          <w:color w:val="000000" w:themeColor="text1"/>
        </w:rPr>
        <w:fldChar w:fldCharType="end"/>
      </w:r>
      <w:r w:rsidR="00C97053">
        <w:rPr>
          <w:color w:val="000000" w:themeColor="text1"/>
        </w:rPr>
        <w:t xml:space="preserve"> </w:t>
      </w:r>
      <w:r w:rsidRPr="00097749">
        <w:rPr>
          <w:color w:val="000000" w:themeColor="text1"/>
        </w:rPr>
        <w:t xml:space="preserve">synthesized results across healthcare systems, concluding that service innovation consistently improves service quality and satisfaction. </w:t>
      </w:r>
      <w:r w:rsidR="005B2A6D">
        <w:rPr>
          <w:color w:val="000000" w:themeColor="text1"/>
        </w:rPr>
        <w:fldChar w:fldCharType="begin" w:fldLock="1"/>
      </w:r>
      <w:r w:rsidR="006070F5">
        <w:rPr>
          <w:color w:val="000000" w:themeColor="text1"/>
        </w:rPr>
        <w:instrText>ADDIN CSL_CITATION {"citationItems":[{"id":"ITEM-1","itemData":{"DOI":"10.1177/0972063421994987","ISSN":"0972-0634","abstract":"COVID-19 once again has shown the world the importance of an urgent need for revitalising the health system based on a strong primary healthcare foundation. It is clear that without a community-based grassroots level care delivery system, Test, Trace and Isolation may not be an effective operational possibility. Politics of health with consequent austerity programme and dependence on secondary hospital care?based system has proved to be ineffective and costly in meeting the changing demands for healthcare of the population. Demographic and epidemiological transition with the increasing burden of chronic care; unfinished agenda of Millennium Development Goals (MDGs) and the new challenge of achieving Sustainable Development Gaos (SDGs), including Universal Health Care; improving quality along with access to care; and addressing the existing inequity in healthcare service, politicians and public health leaders must realise and invest in people-centred, need-based primary healthcare. Significant and sustained productivity gains can be made through various innovations that can change how quality services are delivered and reduce inequity. In order for primary healthcare to become fit for purpose, it must improve its allocative, technical and service delivery efficiencies; effectiveness and responsiveness of care; access, quality and equity of care; and have an inbuilt monitoring and accountability framework. The system must create a conducive political, social and service delivery environment for innovations. Today, developing countries, as well as developed countries, are all strengthening their primary healthcare system through various innovations to maximise the use of scarce resources to reach all people who need care and minimising cost, wastage and inefficiencies.","author":[{"dropping-particle":"","family":"Islam","given":"Q. M","non-dropping-particle":"","parse-names":false,"suffix":""}],"container-title":"Journal of Health Management","id":"ITEM-1","issue":"1","issued":{"date-parts":[["2021","3","1"]]},"note":"doi: 10.1177/0972063421994987","page":"129-142","publisher":"SAGE Publications India","title":"Innovation in primary healthcare in the twenty-first century","type":"article-journal","volume":"23"},"uris":["http://www.mendeley.com/documents/?uuid=a25d03d6-ad08-4717-8064-9d4ae92c3de5"]}],"mendeley":{"formattedCitation":"(Islam, 2021)","manualFormatting":"Islam (2021)","plainTextFormattedCitation":"(Islam, 2021)","previouslyFormattedCitation":"(Islam, 2021)"},"properties":{"noteIndex":0},"schema":"https://github.com/citation-style-language/schema/raw/master/csl-citation.json"}</w:instrText>
      </w:r>
      <w:r w:rsidR="005B2A6D">
        <w:rPr>
          <w:color w:val="000000" w:themeColor="text1"/>
        </w:rPr>
        <w:fldChar w:fldCharType="separate"/>
      </w:r>
      <w:r w:rsidR="005B2A6D" w:rsidRPr="005B2A6D">
        <w:rPr>
          <w:noProof/>
          <w:color w:val="000000" w:themeColor="text1"/>
        </w:rPr>
        <w:t xml:space="preserve">Islam </w:t>
      </w:r>
      <w:r w:rsidR="00063F47">
        <w:rPr>
          <w:noProof/>
          <w:color w:val="000000" w:themeColor="text1"/>
        </w:rPr>
        <w:t>(</w:t>
      </w:r>
      <w:r w:rsidR="005B2A6D" w:rsidRPr="005B2A6D">
        <w:rPr>
          <w:noProof/>
          <w:color w:val="000000" w:themeColor="text1"/>
        </w:rPr>
        <w:t>2021)</w:t>
      </w:r>
      <w:r w:rsidR="005B2A6D">
        <w:rPr>
          <w:color w:val="000000" w:themeColor="text1"/>
        </w:rPr>
        <w:fldChar w:fldCharType="end"/>
      </w:r>
      <w:r w:rsidR="00063F47">
        <w:rPr>
          <w:color w:val="000000" w:themeColor="text1"/>
        </w:rPr>
        <w:t xml:space="preserve"> </w:t>
      </w:r>
      <w:r w:rsidRPr="00097749">
        <w:rPr>
          <w:color w:val="000000" w:themeColor="text1"/>
        </w:rPr>
        <w:t>also mentioned that innovation in primary healthcare delivery improves both efficiency and patient-centeredness, providing the theoretical basis for integrating innovation into</w:t>
      </w:r>
      <w:r w:rsidR="005B2A6D">
        <w:rPr>
          <w:color w:val="000000" w:themeColor="text1"/>
        </w:rPr>
        <w:t xml:space="preserve"> the</w:t>
      </w:r>
      <w:r w:rsidRPr="00097749">
        <w:rPr>
          <w:color w:val="000000" w:themeColor="text1"/>
        </w:rPr>
        <w:t xml:space="preserve"> Andersen model.</w:t>
      </w:r>
    </w:p>
    <w:p w14:paraId="2DDBAAF6" w14:textId="706EF196" w:rsidR="00097749" w:rsidRPr="00097749" w:rsidRDefault="00097749" w:rsidP="005B2A6D">
      <w:pPr>
        <w:pStyle w:val="BodyText"/>
        <w:jc w:val="both"/>
        <w:rPr>
          <w:color w:val="000000" w:themeColor="text1"/>
        </w:rPr>
      </w:pPr>
      <w:r w:rsidRPr="00097749">
        <w:rPr>
          <w:color w:val="000000" w:themeColor="text1"/>
        </w:rPr>
        <w:t>At the same time, previous studies have emphasized that infrastructure alone is insufficient without innovation. Finally,</w:t>
      </w:r>
      <w:r w:rsidR="005B2A6D">
        <w:rPr>
          <w:color w:val="000000" w:themeColor="text1"/>
        </w:rPr>
        <w:t xml:space="preserve"> </w:t>
      </w:r>
      <w:r w:rsidR="005B2A6D">
        <w:rPr>
          <w:color w:val="000000" w:themeColor="text1"/>
        </w:rPr>
        <w:fldChar w:fldCharType="begin" w:fldLock="1"/>
      </w:r>
      <w:r w:rsidR="006070F5">
        <w:rPr>
          <w:color w:val="000000" w:themeColor="text1"/>
        </w:rPr>
        <w:instrText>ADDIN CSL_CITATION {"citationItems":[{"id":"ITEM-1","itemData":{"DOI":"10.1186/s12936-025-05358-x","ISSN":"1475-2875","abstract":"Papua has a high burden of malaria, with an annual parasite incidence 300 times the national average. A key component of malaria elimination strategies is robust surveillance which is essential for monitoring trends in case numbers, guiding public health interventions, and prioritizing resource allocation. This study aimed to enhance malaria surveillance in Central Papua, Indonesia, by improving data collection, record-keeping, and treatment practices.","author":[{"dropping-particle":"","family":"Fransisca","given":"Liony","non-dropping-particle":"","parse-names":false,"suffix":""},{"dropping-particle":"","family":"Burdam","given":"Faustina Helena","non-dropping-particle":"","parse-names":false,"suffix":""},{"dropping-particle":"","family":"Kenangalem","given":"Enny","non-dropping-particle":"","parse-names":false,"suffix":""},{"dropping-particle":"","family":"Rahmalia","given":"Annisa","non-dropping-particle":"","parse-names":false,"suffix":""},{"dropping-particle":"","family":"Ubra","given":"Reynold Rizal","non-dropping-particle":"","parse-names":false,"suffix":""},{"dropping-particle":"","family":"Boogaard","given":"Christel H A","non-dropping-particle":"van den","parse-names":false,"suffix":""},{"dropping-particle":"","family":"Ley","given":"Benedikt","non-dropping-particle":"","parse-names":false,"suffix":""},{"dropping-particle":"","family":"Douglas","given":"Nicholas M","non-dropping-particle":"","parse-names":false,"suffix":""},{"dropping-particle":"","family":"Poespoprodjo","given":"Jeanne Rini","non-dropping-particle":"","parse-names":false,"suffix":""},{"dropping-particle":"","family":"Price","given":"Ric N","non-dropping-particle":"","parse-names":false,"suffix":""}],"container-title":"Malaria Journal","id":"ITEM-1","issue":"1","issued":{"date-parts":[["2025"]]},"page":"177","title":"Enhanced data quality to improve malaria surveillance in Papua, Indonesia","type":"article-journal","volume":"24"},"uris":["http://www.mendeley.com/documents/?uuid=b2e31924-05c2-4d72-b3a5-7dd77885c151"]}],"mendeley":{"formattedCitation":"(Fransisca et al., 2025)","manualFormatting":"Fransisca et al. (2025)","plainTextFormattedCitation":"(Fransisca et al., 2025)","previouslyFormattedCitation":"(Fransisca et al., 2025)"},"properties":{"noteIndex":0},"schema":"https://github.com/citation-style-language/schema/raw/master/csl-citation.json"}</w:instrText>
      </w:r>
      <w:r w:rsidR="005B2A6D">
        <w:rPr>
          <w:color w:val="000000" w:themeColor="text1"/>
        </w:rPr>
        <w:fldChar w:fldCharType="separate"/>
      </w:r>
      <w:r w:rsidR="005B2A6D" w:rsidRPr="005B2A6D">
        <w:rPr>
          <w:noProof/>
          <w:color w:val="000000" w:themeColor="text1"/>
        </w:rPr>
        <w:t xml:space="preserve">Fransisca et al. </w:t>
      </w:r>
      <w:r w:rsidR="009F54F8">
        <w:rPr>
          <w:noProof/>
          <w:color w:val="000000" w:themeColor="text1"/>
        </w:rPr>
        <w:t>(</w:t>
      </w:r>
      <w:r w:rsidR="005B2A6D" w:rsidRPr="005B2A6D">
        <w:rPr>
          <w:noProof/>
          <w:color w:val="000000" w:themeColor="text1"/>
        </w:rPr>
        <w:t>2025)</w:t>
      </w:r>
      <w:r w:rsidR="005B2A6D">
        <w:rPr>
          <w:color w:val="000000" w:themeColor="text1"/>
        </w:rPr>
        <w:fldChar w:fldCharType="end"/>
      </w:r>
      <w:r w:rsidRPr="00097749">
        <w:rPr>
          <w:color w:val="000000" w:themeColor="text1"/>
        </w:rPr>
        <w:t>, reviewing patient satisfaction in LMIC healthcare, concluded that satisfaction depends not only on adherence but also on perceived service quality, justifying the integration of adherence and innovation as dual drivers of satisfaction.</w:t>
      </w:r>
    </w:p>
    <w:p w14:paraId="5F3A74B5" w14:textId="4C32C845" w:rsidR="00097749" w:rsidRPr="00097749" w:rsidRDefault="00097749" w:rsidP="00455714">
      <w:pPr>
        <w:pStyle w:val="BodyText"/>
        <w:jc w:val="both"/>
        <w:rPr>
          <w:color w:val="000000" w:themeColor="text1"/>
        </w:rPr>
      </w:pPr>
      <w:r w:rsidRPr="00097749">
        <w:rPr>
          <w:color w:val="000000" w:themeColor="text1"/>
        </w:rPr>
        <w:t xml:space="preserve">This study is consistent with Indonesian evidence </w:t>
      </w:r>
      <w:r w:rsidRPr="00097749">
        <w:rPr>
          <w:color w:val="000000" w:themeColor="text1"/>
          <w:lang w:val="id-ID"/>
        </w:rPr>
        <w:t>showing</w:t>
      </w:r>
      <w:r w:rsidRPr="00097749">
        <w:rPr>
          <w:color w:val="000000" w:themeColor="text1"/>
        </w:rPr>
        <w:t xml:space="preserve"> that enhanced perceptions of service performance and institutional image significantly contribute to greater patient satisfaction and loyalty. The results underscore the importance of incorporating service-innovation elements, including dedicated treatment spaces and proactive follow-up mechanisms, as critical drivers of patient-centered outcomes </w:t>
      </w:r>
      <w:r w:rsidR="006070F5">
        <w:rPr>
          <w:color w:val="000000" w:themeColor="text1"/>
        </w:rPr>
        <w:fldChar w:fldCharType="begin" w:fldLock="1"/>
      </w:r>
      <w:r w:rsidR="00526F44">
        <w:rPr>
          <w:color w:val="000000" w:themeColor="text1"/>
        </w:rPr>
        <w:instrText>ADDIN CSL_CITATION {"citationItems":[{"id":"ITEM-1","itemData":{"DOI":"https://doi.org/10.55324/josr.v2i8.1323","author":[{"dropping-particle":"","family":"Soen","given":"Ricky Chandra Jaya","non-dropping-particle":"","parse-names":false,"suffix":""},{"dropping-particle":"","family":"Kristaung","given":"Robert","non-dropping-particle":"","parse-names":false,"suffix":""}],"container-title":"Journal of Social Research","id":"ITEM-1","issue":"8","issued":{"date-parts":[["2023"]]},"page":"2679-2687","title":"The influence of service quality and hospital image for patient satisfaction and loyalty dental and oral hospital in Jakarta","type":"article-journal","volume":"2"},"uris":["http://www.mendeley.com/documents/?uuid=b20417dd-d0d6-4717-8998-20e33ed04570"]}],"mendeley":{"formattedCitation":"(Soen &amp; Kristaung, 2023)","plainTextFormattedCitation":"(Soen &amp; Kristaung, 2023)","previouslyFormattedCitation":"(Soen &amp; Kristaung, 2023)"},"properties":{"noteIndex":0},"schema":"https://github.com/citation-style-language/schema/raw/master/csl-citation.json"}</w:instrText>
      </w:r>
      <w:r w:rsidR="006070F5">
        <w:rPr>
          <w:color w:val="000000" w:themeColor="text1"/>
        </w:rPr>
        <w:fldChar w:fldCharType="separate"/>
      </w:r>
      <w:r w:rsidR="006070F5" w:rsidRPr="006070F5">
        <w:rPr>
          <w:noProof/>
          <w:color w:val="000000" w:themeColor="text1"/>
        </w:rPr>
        <w:t>(Soen &amp; Kristaung, 2023)</w:t>
      </w:r>
      <w:r w:rsidR="006070F5">
        <w:rPr>
          <w:color w:val="000000" w:themeColor="text1"/>
        </w:rPr>
        <w:fldChar w:fldCharType="end"/>
      </w:r>
      <w:r w:rsidR="006070F5">
        <w:rPr>
          <w:color w:val="000000" w:themeColor="text1"/>
        </w:rPr>
        <w:t>.</w:t>
      </w:r>
    </w:p>
    <w:p w14:paraId="609C3FAF" w14:textId="77777777" w:rsidR="00097749" w:rsidRPr="00097749" w:rsidRDefault="00097749" w:rsidP="00441B6F">
      <w:pPr>
        <w:pStyle w:val="Body"/>
        <w:spacing w:after="0"/>
        <w:rPr>
          <w:rFonts w:ascii="Arial" w:hAnsi="Arial" w:cs="Arial"/>
          <w:color w:val="000000" w:themeColor="text1"/>
        </w:rPr>
      </w:pPr>
    </w:p>
    <w:p w14:paraId="6544070C" w14:textId="77777777" w:rsidR="00B01FCD" w:rsidRPr="00097749" w:rsidRDefault="00000F8F" w:rsidP="00441B6F">
      <w:pPr>
        <w:pStyle w:val="ConcHead"/>
        <w:spacing w:after="0"/>
        <w:jc w:val="both"/>
        <w:rPr>
          <w:rFonts w:ascii="Arial" w:hAnsi="Arial" w:cs="Arial"/>
          <w:color w:val="000000" w:themeColor="text1"/>
        </w:rPr>
      </w:pPr>
      <w:r w:rsidRPr="00097749">
        <w:rPr>
          <w:rFonts w:ascii="Arial" w:hAnsi="Arial" w:cs="Arial"/>
          <w:color w:val="000000" w:themeColor="text1"/>
        </w:rPr>
        <w:t xml:space="preserve">4. </w:t>
      </w:r>
      <w:r w:rsidR="00B01FCD" w:rsidRPr="00097749">
        <w:rPr>
          <w:rFonts w:ascii="Arial" w:hAnsi="Arial" w:cs="Arial"/>
          <w:color w:val="000000" w:themeColor="text1"/>
        </w:rPr>
        <w:t>Conclusion</w:t>
      </w:r>
    </w:p>
    <w:p w14:paraId="7DCF3577" w14:textId="77777777" w:rsidR="00790ADA" w:rsidRPr="00097749" w:rsidRDefault="00790ADA" w:rsidP="00441B6F">
      <w:pPr>
        <w:pStyle w:val="ConcHead"/>
        <w:spacing w:after="0"/>
        <w:jc w:val="both"/>
        <w:rPr>
          <w:rFonts w:ascii="Arial" w:hAnsi="Arial" w:cs="Arial"/>
          <w:color w:val="000000" w:themeColor="text1"/>
        </w:rPr>
      </w:pPr>
    </w:p>
    <w:p w14:paraId="11431BD5" w14:textId="77777777" w:rsidR="00097749" w:rsidRPr="00097749" w:rsidRDefault="00097749" w:rsidP="005E2972">
      <w:pPr>
        <w:pStyle w:val="BodyText"/>
        <w:jc w:val="both"/>
        <w:rPr>
          <w:color w:val="000000" w:themeColor="text1"/>
        </w:rPr>
      </w:pPr>
      <w:r w:rsidRPr="00097749">
        <w:rPr>
          <w:color w:val="000000" w:themeColor="text1"/>
        </w:rPr>
        <w:t xml:space="preserve">In conclusion, this study examined the influence of treatment adherence on patient satisfaction in malaria-endemic Papua, integrating Andersen Behavioral Model with service innovation as a mediating construct. The results showed that predisposing and reinforcing factors had significant direct and indirect effects on satisfaction, while enabling factors did not. Service innovation, including operationalized through malaria corners, home visits, and patient supervision, was identified as a strong predictor of satisfaction and a critical mediator </w:t>
      </w:r>
      <w:r w:rsidRPr="00097749">
        <w:rPr>
          <w:color w:val="000000" w:themeColor="text1"/>
        </w:rPr>
        <w:lastRenderedPageBreak/>
        <w:t>connecting adherence determinants to patient experiences. These results extend Andersen model by identifying service innovation as the “missing link” that transforms adherence-related behaviors into improved healthcare outcomes. Theoretically, the study contributes to the literature on patient satisfaction by contextualizing behavioral and service innovation dynamics within malaria elimination programs. Practically, the results provide actionable recommendations for health policymakers and practitioners to prioritize patient-centered innovation in designing sustainable malaria care strategies.</w:t>
      </w:r>
    </w:p>
    <w:p w14:paraId="568F68C2" w14:textId="77777777" w:rsidR="00097749" w:rsidRPr="00097749" w:rsidRDefault="00097749" w:rsidP="00097749">
      <w:pPr>
        <w:pStyle w:val="BodyText"/>
        <w:rPr>
          <w:b/>
          <w:bCs/>
          <w:color w:val="000000" w:themeColor="text1"/>
        </w:rPr>
      </w:pPr>
      <w:r w:rsidRPr="00097749">
        <w:rPr>
          <w:b/>
          <w:bCs/>
          <w:color w:val="000000" w:themeColor="text1"/>
        </w:rPr>
        <w:t>Limitations and Future Studies</w:t>
      </w:r>
    </w:p>
    <w:p w14:paraId="56B2C506" w14:textId="77777777" w:rsidR="00097749" w:rsidRPr="00097749" w:rsidRDefault="00097749" w:rsidP="005E2972">
      <w:pPr>
        <w:pStyle w:val="BodyText"/>
        <w:jc w:val="both"/>
        <w:rPr>
          <w:color w:val="000000" w:themeColor="text1"/>
        </w:rPr>
      </w:pPr>
      <w:r w:rsidRPr="00097749">
        <w:rPr>
          <w:color w:val="000000" w:themeColor="text1"/>
        </w:rPr>
        <w:t xml:space="preserve">Despite these contributions, the study has several limitations. First, the cross-sectional design restricts causal inference, as adherence and satisfaction were measured at a single point in time. Longitudinal or experimental designs are recommended to capture the dynamic interplay between adherence and satisfaction over the treatment course. Second, this study was conducted in a single health center in </w:t>
      </w:r>
      <w:proofErr w:type="spellStart"/>
      <w:r w:rsidRPr="00097749">
        <w:rPr>
          <w:color w:val="000000" w:themeColor="text1"/>
        </w:rPr>
        <w:t>Mimika</w:t>
      </w:r>
      <w:proofErr w:type="spellEnd"/>
      <w:r w:rsidRPr="00097749">
        <w:rPr>
          <w:color w:val="000000" w:themeColor="text1"/>
        </w:rPr>
        <w:t xml:space="preserve"> District, which may limit the generalizability of the results to other malaria-endemic regions with different health system capacities and sociocultural contexts. Third, reliance on self-reported adherence data introduces potential recall and social desirability bias, which may inflate observed relationships. Finally, the model considered selected behavioral and innovation constructs. Additional determinants such as trust in providers, cultural beliefs, and health literacy could enrich future analyses.</w:t>
      </w:r>
    </w:p>
    <w:p w14:paraId="233D5C43" w14:textId="77777777" w:rsidR="00097749" w:rsidRPr="00097749" w:rsidRDefault="00097749" w:rsidP="005E2972">
      <w:pPr>
        <w:pStyle w:val="BodyText"/>
        <w:jc w:val="both"/>
        <w:rPr>
          <w:color w:val="000000" w:themeColor="text1"/>
        </w:rPr>
      </w:pPr>
      <w:r w:rsidRPr="00097749">
        <w:rPr>
          <w:color w:val="000000" w:themeColor="text1"/>
        </w:rPr>
        <w:t>Future studies should address these limitations by using longitudinal and multi-site designs across Indonesia or other malaria-endemic countries, thereby enhancing external validity. Qualitative approaches could complement quantitative results by offering deeper insights into patient perceptions, family dynamics, and barriers to innovation uptake. Scholars should also examine the role of digital health technologies, community-based interventions, and public–private partnerships as new forms of service innovation that may further strengthen malaria elimination strategies in resource-limited settings.</w:t>
      </w:r>
    </w:p>
    <w:p w14:paraId="04092B18" w14:textId="77777777" w:rsidR="00097749" w:rsidRPr="00097749" w:rsidRDefault="00097749" w:rsidP="00097749">
      <w:pPr>
        <w:pStyle w:val="BodyText"/>
        <w:rPr>
          <w:b/>
          <w:bCs/>
          <w:color w:val="000000" w:themeColor="text1"/>
        </w:rPr>
      </w:pPr>
      <w:r w:rsidRPr="00097749">
        <w:rPr>
          <w:b/>
          <w:bCs/>
          <w:color w:val="000000" w:themeColor="text1"/>
        </w:rPr>
        <w:t>Implications</w:t>
      </w:r>
    </w:p>
    <w:p w14:paraId="6EC6E666" w14:textId="77777777" w:rsidR="00097749" w:rsidRPr="00097749" w:rsidRDefault="00097749" w:rsidP="005E2972">
      <w:pPr>
        <w:pStyle w:val="BodyText"/>
        <w:jc w:val="both"/>
        <w:rPr>
          <w:color w:val="000000" w:themeColor="text1"/>
        </w:rPr>
      </w:pPr>
      <w:r w:rsidRPr="00097749">
        <w:rPr>
          <w:color w:val="000000" w:themeColor="text1"/>
        </w:rPr>
        <w:t>This study extends Andersen Behavioral Model by incorporating service innovation as a mediating construct between treatment adherence determinants and patient satisfaction. Earlier applications of the model emphasized predisposing, enabling, and reinforcing factors, while this study showed that innovation-oriented interventions are necessary to translate adherence into positive patient outcomes. The theoretical extension contributes to service management literature by positioning innovation as a key determinant of satisfaction in resource-limited and endemic contexts.</w:t>
      </w:r>
    </w:p>
    <w:p w14:paraId="5F81B71C" w14:textId="724D9EF6" w:rsidR="00097749" w:rsidRPr="00097749" w:rsidRDefault="00097749" w:rsidP="005E2972">
      <w:pPr>
        <w:pStyle w:val="BodyText"/>
        <w:jc w:val="both"/>
        <w:rPr>
          <w:color w:val="000000" w:themeColor="text1"/>
        </w:rPr>
      </w:pPr>
      <w:r w:rsidRPr="00097749">
        <w:rPr>
          <w:color w:val="000000" w:themeColor="text1"/>
        </w:rPr>
        <w:t xml:space="preserve">For healthcare providers, particularly </w:t>
      </w:r>
      <w:r w:rsidR="005E2972" w:rsidRPr="00097749">
        <w:rPr>
          <w:color w:val="000000" w:themeColor="text1"/>
        </w:rPr>
        <w:t xml:space="preserve">Primary Health Centers </w:t>
      </w:r>
      <w:r w:rsidRPr="00097749">
        <w:rPr>
          <w:color w:val="000000" w:themeColor="text1"/>
        </w:rPr>
        <w:t>(</w:t>
      </w:r>
      <w:proofErr w:type="spellStart"/>
      <w:r w:rsidR="005E2972" w:rsidRPr="005E2972">
        <w:rPr>
          <w:i/>
          <w:iCs/>
          <w:color w:val="000000" w:themeColor="text1"/>
        </w:rPr>
        <w:t>P</w:t>
      </w:r>
      <w:r w:rsidRPr="005E2972">
        <w:rPr>
          <w:i/>
          <w:iCs/>
          <w:color w:val="000000" w:themeColor="text1"/>
        </w:rPr>
        <w:t>uskesmas</w:t>
      </w:r>
      <w:proofErr w:type="spellEnd"/>
      <w:r w:rsidRPr="00097749">
        <w:rPr>
          <w:color w:val="000000" w:themeColor="text1"/>
        </w:rPr>
        <w:t>) in malaria-endemic regions, the results underscore the need to prioritize service innovation. Interventions such as malaria corners, patient supervision, digital adherence reminders, and home visits not only enhance adherence but also build patient trust and satisfaction. Managers should allocate resources for staff training, digital infrastructure, and patient engagement initiatives that make service delivery more responsive, personalized, and accessible. Reinforcing factors, including family participation and continuous provider support, should be systematically integrated into malaria programs to sustain adherence and satisfaction.</w:t>
      </w:r>
    </w:p>
    <w:p w14:paraId="64D151DF" w14:textId="484C4A68" w:rsidR="006070F5" w:rsidRDefault="00097749" w:rsidP="00611AF6">
      <w:pPr>
        <w:pStyle w:val="BodyText"/>
        <w:jc w:val="both"/>
        <w:rPr>
          <w:color w:val="000000" w:themeColor="text1"/>
        </w:rPr>
      </w:pPr>
      <w:r w:rsidRPr="00097749">
        <w:rPr>
          <w:color w:val="000000" w:themeColor="text1"/>
        </w:rPr>
        <w:t xml:space="preserve">At the policy level, this study underscores the importance of malaria elimination strategies beyond infrastructure development and drug provision. Policymakers should institutionalize innovative service model within national malaria control programs, embedding reinforcement mechanisms and patient-centered innovation into guidelines, funding frameworks, and performance monitoring systems. Specific measures include incentivizing health workers to conduct supervised treatment and home visits, leveraging digital health platforms for adherence monitoring, and fostering collaborations between government, community </w:t>
      </w:r>
      <w:r w:rsidRPr="00097749">
        <w:rPr>
          <w:color w:val="000000" w:themeColor="text1"/>
        </w:rPr>
        <w:lastRenderedPageBreak/>
        <w:t>organizations, and private actors. Embedding innovation within malaria elimination agenda could accelerate progress toward Indonesia national target by 2030.</w:t>
      </w:r>
    </w:p>
    <w:p w14:paraId="00978E1A" w14:textId="77777777" w:rsidR="00EF5B71" w:rsidRPr="00EF5B71" w:rsidRDefault="00EF5B71" w:rsidP="00EF5B71">
      <w:pPr>
        <w:pStyle w:val="BodyText"/>
        <w:jc w:val="both"/>
        <w:rPr>
          <w:color w:val="000000" w:themeColor="text1"/>
        </w:rPr>
      </w:pPr>
      <w:r w:rsidRPr="00EF5B71">
        <w:rPr>
          <w:color w:val="000000" w:themeColor="text1"/>
        </w:rPr>
        <w:t xml:space="preserve">Consent </w:t>
      </w:r>
    </w:p>
    <w:p w14:paraId="31CF64E1" w14:textId="6ADDF73F" w:rsidR="00EF5B71" w:rsidRPr="00097749" w:rsidRDefault="00EF5B71" w:rsidP="00EF5B71">
      <w:pPr>
        <w:pStyle w:val="BodyText"/>
        <w:jc w:val="both"/>
        <w:rPr>
          <w:color w:val="000000" w:themeColor="text1"/>
        </w:rPr>
      </w:pPr>
      <w:r w:rsidRPr="00EF5B71">
        <w:rPr>
          <w:color w:val="000000" w:themeColor="text1"/>
        </w:rPr>
        <w:t>As per international standards or university standards, Participants’ written consent has been collected and preserved by the author(</w:t>
      </w:r>
      <w:r>
        <w:rPr>
          <w:color w:val="000000" w:themeColor="text1"/>
        </w:rPr>
        <w:t>s)</w:t>
      </w:r>
      <w:bookmarkStart w:id="0" w:name="_GoBack"/>
      <w:bookmarkEnd w:id="0"/>
    </w:p>
    <w:p w14:paraId="4D3ECB7A" w14:textId="77777777" w:rsidR="006070F5" w:rsidRPr="00097749" w:rsidRDefault="006070F5" w:rsidP="006070F5">
      <w:pPr>
        <w:rPr>
          <w:color w:val="000000" w:themeColor="text1"/>
        </w:rPr>
      </w:pPr>
    </w:p>
    <w:p w14:paraId="7D10DDA2" w14:textId="77777777" w:rsidR="006070F5" w:rsidRPr="00097749" w:rsidRDefault="006070F5" w:rsidP="006070F5">
      <w:pPr>
        <w:pStyle w:val="ReferHead"/>
        <w:spacing w:after="0"/>
        <w:jc w:val="both"/>
        <w:rPr>
          <w:rFonts w:ascii="Arial" w:hAnsi="Arial" w:cs="Arial"/>
          <w:bCs/>
          <w:color w:val="000000" w:themeColor="text1"/>
        </w:rPr>
      </w:pPr>
      <w:r w:rsidRPr="00097749">
        <w:rPr>
          <w:rFonts w:ascii="Arial" w:hAnsi="Arial" w:cs="Arial"/>
          <w:bCs/>
          <w:color w:val="000000" w:themeColor="text1"/>
        </w:rPr>
        <w:t>Competing interests</w:t>
      </w:r>
    </w:p>
    <w:p w14:paraId="0B1399A6" w14:textId="77777777" w:rsidR="006070F5" w:rsidRPr="00097749" w:rsidRDefault="006070F5" w:rsidP="006070F5">
      <w:pPr>
        <w:pStyle w:val="ReferHead"/>
        <w:spacing w:after="0"/>
        <w:jc w:val="both"/>
        <w:rPr>
          <w:rFonts w:ascii="Arial" w:hAnsi="Arial" w:cs="Arial"/>
          <w:color w:val="000000" w:themeColor="text1"/>
        </w:rPr>
      </w:pPr>
    </w:p>
    <w:p w14:paraId="5D34CFBD" w14:textId="6EC48371" w:rsidR="006070F5" w:rsidRDefault="00D17A91" w:rsidP="006070F5">
      <w:pPr>
        <w:pStyle w:val="ReferHead"/>
        <w:spacing w:after="0"/>
        <w:jc w:val="both"/>
        <w:rPr>
          <w:rFonts w:ascii="Arial" w:hAnsi="Arial" w:cs="Arial"/>
          <w:b w:val="0"/>
          <w:caps w:val="0"/>
          <w:color w:val="000000" w:themeColor="text1"/>
          <w:sz w:val="20"/>
        </w:rPr>
      </w:pPr>
      <w:r>
        <w:rPr>
          <w:rFonts w:ascii="Arial" w:hAnsi="Arial" w:cs="Arial"/>
          <w:b w:val="0"/>
          <w:caps w:val="0"/>
          <w:color w:val="000000" w:themeColor="text1"/>
          <w:sz w:val="20"/>
        </w:rPr>
        <w:t xml:space="preserve">Authors declared that there is no conflict of interest. </w:t>
      </w:r>
    </w:p>
    <w:p w14:paraId="5D07C658" w14:textId="77777777" w:rsidR="00D17A91" w:rsidRPr="00097749" w:rsidRDefault="00D17A91" w:rsidP="006070F5">
      <w:pPr>
        <w:pStyle w:val="ReferHead"/>
        <w:spacing w:after="0"/>
        <w:jc w:val="both"/>
        <w:rPr>
          <w:rFonts w:ascii="Arial" w:hAnsi="Arial" w:cs="Arial"/>
          <w:b w:val="0"/>
          <w:caps w:val="0"/>
          <w:color w:val="000000" w:themeColor="text1"/>
          <w:sz w:val="20"/>
        </w:rPr>
      </w:pPr>
    </w:p>
    <w:p w14:paraId="4E127FB8" w14:textId="77777777" w:rsidR="006070F5" w:rsidRPr="00097749" w:rsidRDefault="006070F5" w:rsidP="006070F5">
      <w:pPr>
        <w:pStyle w:val="ReferHead"/>
        <w:spacing w:after="0"/>
        <w:jc w:val="both"/>
        <w:rPr>
          <w:rFonts w:ascii="Arial" w:hAnsi="Arial" w:cs="Arial"/>
          <w:bCs/>
          <w:color w:val="000000" w:themeColor="text1"/>
        </w:rPr>
      </w:pPr>
      <w:r w:rsidRPr="00097749">
        <w:rPr>
          <w:rFonts w:ascii="Arial" w:hAnsi="Arial" w:cs="Arial"/>
          <w:bCs/>
          <w:color w:val="000000" w:themeColor="text1"/>
        </w:rPr>
        <w:t>Authors’ Contributions</w:t>
      </w:r>
    </w:p>
    <w:p w14:paraId="36BA8B90" w14:textId="77777777" w:rsidR="006070F5" w:rsidRPr="00097749" w:rsidRDefault="006070F5" w:rsidP="006070F5">
      <w:pPr>
        <w:pStyle w:val="ReferHead"/>
        <w:spacing w:after="0"/>
        <w:jc w:val="both"/>
        <w:rPr>
          <w:rFonts w:ascii="Arial" w:hAnsi="Arial" w:cs="Arial"/>
          <w:bCs/>
          <w:color w:val="000000" w:themeColor="text1"/>
        </w:rPr>
      </w:pPr>
    </w:p>
    <w:p w14:paraId="13EA86DE" w14:textId="6B6B4C3A" w:rsidR="006070F5" w:rsidRPr="00076FF8" w:rsidRDefault="00D17A91" w:rsidP="00076FF8">
      <w:pPr>
        <w:pStyle w:val="Author"/>
        <w:spacing w:line="240" w:lineRule="auto"/>
        <w:jc w:val="both"/>
        <w:rPr>
          <w:rFonts w:ascii="Arial" w:hAnsi="Arial" w:cs="Arial"/>
          <w:b w:val="0"/>
          <w:bCs/>
          <w:color w:val="000000" w:themeColor="text1"/>
          <w:sz w:val="20"/>
        </w:rPr>
      </w:pPr>
      <w:r w:rsidRPr="00D17A91">
        <w:rPr>
          <w:rFonts w:ascii="Arial" w:hAnsi="Arial" w:cs="Arial"/>
          <w:b w:val="0"/>
          <w:bCs/>
          <w:color w:val="000000" w:themeColor="text1"/>
          <w:sz w:val="20"/>
        </w:rPr>
        <w:t xml:space="preserve">Reynold Rizal </w:t>
      </w:r>
      <w:proofErr w:type="spellStart"/>
      <w:r w:rsidRPr="00D17A91">
        <w:rPr>
          <w:rFonts w:ascii="Arial" w:hAnsi="Arial" w:cs="Arial"/>
          <w:b w:val="0"/>
          <w:bCs/>
          <w:color w:val="000000" w:themeColor="text1"/>
          <w:sz w:val="20"/>
        </w:rPr>
        <w:t>Ubra</w:t>
      </w:r>
      <w:proofErr w:type="spellEnd"/>
      <w:r>
        <w:rPr>
          <w:rFonts w:ascii="Arial" w:hAnsi="Arial" w:cs="Arial"/>
          <w:b w:val="0"/>
          <w:bCs/>
          <w:color w:val="000000" w:themeColor="text1"/>
          <w:sz w:val="20"/>
        </w:rPr>
        <w:t xml:space="preserve"> contribute to main ideas and developed the hypothesis. </w:t>
      </w:r>
      <w:proofErr w:type="spellStart"/>
      <w:r w:rsidRPr="00D17A91">
        <w:rPr>
          <w:rFonts w:ascii="Arial" w:hAnsi="Arial" w:cs="Arial"/>
          <w:b w:val="0"/>
          <w:bCs/>
          <w:color w:val="000000" w:themeColor="text1"/>
          <w:sz w:val="20"/>
        </w:rPr>
        <w:t>Bachtiar</w:t>
      </w:r>
      <w:proofErr w:type="spellEnd"/>
      <w:r w:rsidRPr="00D17A91">
        <w:rPr>
          <w:rFonts w:ascii="Arial" w:hAnsi="Arial" w:cs="Arial"/>
          <w:b w:val="0"/>
          <w:bCs/>
          <w:color w:val="000000" w:themeColor="text1"/>
          <w:sz w:val="20"/>
        </w:rPr>
        <w:t xml:space="preserve"> Usman</w:t>
      </w:r>
      <w:r>
        <w:rPr>
          <w:rFonts w:ascii="Arial" w:hAnsi="Arial" w:cs="Arial"/>
          <w:b w:val="0"/>
          <w:bCs/>
          <w:color w:val="000000" w:themeColor="text1"/>
          <w:sz w:val="20"/>
          <w:vertAlign w:val="superscript"/>
        </w:rPr>
        <w:t xml:space="preserve"> </w:t>
      </w:r>
      <w:r>
        <w:rPr>
          <w:rFonts w:ascii="Arial" w:hAnsi="Arial" w:cs="Arial"/>
          <w:b w:val="0"/>
          <w:bCs/>
          <w:color w:val="000000" w:themeColor="text1"/>
          <w:sz w:val="20"/>
        </w:rPr>
        <w:t xml:space="preserve">contributed to </w:t>
      </w:r>
      <w:r w:rsidR="00076FF8">
        <w:rPr>
          <w:rFonts w:ascii="Arial" w:hAnsi="Arial" w:cs="Arial"/>
          <w:b w:val="0"/>
          <w:bCs/>
          <w:color w:val="000000" w:themeColor="text1"/>
          <w:sz w:val="20"/>
        </w:rPr>
        <w:t>adding the references and discussions</w:t>
      </w:r>
      <w:r w:rsidRPr="00D17A91">
        <w:rPr>
          <w:rFonts w:ascii="Arial" w:hAnsi="Arial" w:cs="Arial"/>
          <w:b w:val="0"/>
          <w:bCs/>
          <w:color w:val="000000" w:themeColor="text1"/>
          <w:sz w:val="20"/>
        </w:rPr>
        <w:t xml:space="preserve">, </w:t>
      </w:r>
      <w:r w:rsidR="00076FF8">
        <w:rPr>
          <w:rFonts w:ascii="Arial" w:hAnsi="Arial" w:cs="Arial"/>
          <w:b w:val="0"/>
          <w:bCs/>
          <w:color w:val="000000" w:themeColor="text1"/>
          <w:sz w:val="20"/>
        </w:rPr>
        <w:t xml:space="preserve">and </w:t>
      </w:r>
      <w:r w:rsidRPr="00D17A91">
        <w:rPr>
          <w:rFonts w:ascii="Arial" w:hAnsi="Arial" w:cs="Arial"/>
          <w:b w:val="0"/>
          <w:bCs/>
          <w:color w:val="000000" w:themeColor="text1"/>
          <w:sz w:val="20"/>
        </w:rPr>
        <w:t xml:space="preserve">Robert </w:t>
      </w:r>
      <w:proofErr w:type="spellStart"/>
      <w:r w:rsidRPr="00D17A91">
        <w:rPr>
          <w:rFonts w:ascii="Arial" w:hAnsi="Arial" w:cs="Arial"/>
          <w:b w:val="0"/>
          <w:bCs/>
          <w:color w:val="000000" w:themeColor="text1"/>
          <w:sz w:val="20"/>
        </w:rPr>
        <w:t>Kristaung</w:t>
      </w:r>
      <w:proofErr w:type="spellEnd"/>
      <w:r w:rsidR="00076FF8">
        <w:rPr>
          <w:rFonts w:ascii="Arial" w:hAnsi="Arial" w:cs="Arial"/>
          <w:b w:val="0"/>
          <w:bCs/>
          <w:color w:val="000000" w:themeColor="text1"/>
          <w:sz w:val="20"/>
          <w:vertAlign w:val="superscript"/>
        </w:rPr>
        <w:t xml:space="preserve"> </w:t>
      </w:r>
      <w:r w:rsidR="00076FF8">
        <w:rPr>
          <w:rFonts w:ascii="Arial" w:hAnsi="Arial" w:cs="Arial"/>
          <w:b w:val="0"/>
          <w:bCs/>
          <w:color w:val="000000" w:themeColor="text1"/>
          <w:sz w:val="20"/>
        </w:rPr>
        <w:t xml:space="preserve">contributed to methods part and statistical programs. </w:t>
      </w:r>
    </w:p>
    <w:p w14:paraId="75013A88" w14:textId="77777777" w:rsidR="002B685A" w:rsidRPr="00097749" w:rsidRDefault="002B685A" w:rsidP="00441B6F">
      <w:pPr>
        <w:pStyle w:val="ReferHead"/>
        <w:spacing w:after="0"/>
        <w:jc w:val="both"/>
        <w:rPr>
          <w:rFonts w:ascii="Arial" w:hAnsi="Arial" w:cs="Arial"/>
          <w:b w:val="0"/>
          <w:caps w:val="0"/>
          <w:color w:val="000000" w:themeColor="text1"/>
          <w:sz w:val="20"/>
        </w:rPr>
      </w:pPr>
    </w:p>
    <w:p w14:paraId="4B2F6E10" w14:textId="77777777" w:rsidR="00860000" w:rsidRPr="00097749" w:rsidRDefault="00860000" w:rsidP="00441B6F">
      <w:pPr>
        <w:pStyle w:val="ReferHead"/>
        <w:spacing w:after="0"/>
        <w:jc w:val="both"/>
        <w:rPr>
          <w:rFonts w:ascii="Arial" w:hAnsi="Arial" w:cs="Arial"/>
          <w:color w:val="000000" w:themeColor="text1"/>
        </w:rPr>
      </w:pPr>
    </w:p>
    <w:p w14:paraId="759E42FC" w14:textId="77777777" w:rsidR="00B01FCD" w:rsidRPr="00097749" w:rsidRDefault="00B01FCD" w:rsidP="00441B6F">
      <w:pPr>
        <w:pStyle w:val="ReferHead"/>
        <w:spacing w:after="0"/>
        <w:jc w:val="both"/>
        <w:rPr>
          <w:rFonts w:ascii="Arial" w:hAnsi="Arial" w:cs="Arial"/>
          <w:color w:val="000000" w:themeColor="text1"/>
        </w:rPr>
      </w:pPr>
      <w:r w:rsidRPr="00097749">
        <w:rPr>
          <w:rFonts w:ascii="Arial" w:hAnsi="Arial" w:cs="Arial"/>
          <w:color w:val="000000" w:themeColor="text1"/>
        </w:rPr>
        <w:t>References</w:t>
      </w:r>
    </w:p>
    <w:p w14:paraId="296AF914" w14:textId="77777777" w:rsidR="008F5464" w:rsidRDefault="008F5464" w:rsidP="005E398F">
      <w:pPr>
        <w:jc w:val="both"/>
        <w:rPr>
          <w:color w:val="000000" w:themeColor="text1"/>
        </w:rPr>
      </w:pPr>
    </w:p>
    <w:p w14:paraId="5193FEE1" w14:textId="3509ACF7" w:rsidR="00FF515E" w:rsidRPr="00FF515E" w:rsidRDefault="008F5464" w:rsidP="00611AF6">
      <w:pPr>
        <w:widowControl w:val="0"/>
        <w:autoSpaceDE w:val="0"/>
        <w:autoSpaceDN w:val="0"/>
        <w:adjustRightInd w:val="0"/>
        <w:ind w:left="480" w:hanging="480"/>
        <w:jc w:val="both"/>
        <w:rPr>
          <w:noProof/>
        </w:rPr>
      </w:pPr>
      <w:r>
        <w:rPr>
          <w:color w:val="000000" w:themeColor="text1"/>
        </w:rPr>
        <w:fldChar w:fldCharType="begin" w:fldLock="1"/>
      </w:r>
      <w:r>
        <w:rPr>
          <w:color w:val="000000" w:themeColor="text1"/>
        </w:rPr>
        <w:instrText xml:space="preserve">ADDIN Mendeley Bibliography CSL_BIBLIOGRAPHY </w:instrText>
      </w:r>
      <w:r>
        <w:rPr>
          <w:color w:val="000000" w:themeColor="text1"/>
        </w:rPr>
        <w:fldChar w:fldCharType="separate"/>
      </w:r>
      <w:r w:rsidR="00FF515E" w:rsidRPr="00FF515E">
        <w:rPr>
          <w:noProof/>
        </w:rPr>
        <w:t xml:space="preserve">Andersen, R. M. (1995). Revisiting the behavioral model and access to medical care: Does it matter? </w:t>
      </w:r>
      <w:r w:rsidR="00FF515E" w:rsidRPr="00FF515E">
        <w:rPr>
          <w:i/>
          <w:iCs/>
          <w:noProof/>
        </w:rPr>
        <w:t>Journal of Health and Social Behavior</w:t>
      </w:r>
      <w:r w:rsidR="00FF515E" w:rsidRPr="00FF515E">
        <w:rPr>
          <w:noProof/>
        </w:rPr>
        <w:t xml:space="preserve">, </w:t>
      </w:r>
      <w:r w:rsidR="00FF515E" w:rsidRPr="00FF515E">
        <w:rPr>
          <w:i/>
          <w:iCs/>
          <w:noProof/>
        </w:rPr>
        <w:t>36</w:t>
      </w:r>
      <w:r w:rsidR="00FF515E" w:rsidRPr="00FF515E">
        <w:rPr>
          <w:noProof/>
        </w:rPr>
        <w:t>(1), 1–10. https://doi.org/10.2307/2137284</w:t>
      </w:r>
    </w:p>
    <w:p w14:paraId="35A5CCCA"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Babitsch, B., Gohl, D., &amp; Lengerke, T. von. (2012). Re-revisiting Andersen’s Behavioral Model of health services use: A systematic review of studies from. </w:t>
      </w:r>
      <w:r w:rsidRPr="00FF515E">
        <w:rPr>
          <w:i/>
          <w:iCs/>
          <w:noProof/>
        </w:rPr>
        <w:t>GMS Psycho-Social-Medicine 2012,</w:t>
      </w:r>
      <w:r w:rsidRPr="00FF515E">
        <w:rPr>
          <w:noProof/>
        </w:rPr>
        <w:t xml:space="preserve"> </w:t>
      </w:r>
      <w:r w:rsidRPr="00FF515E">
        <w:rPr>
          <w:i/>
          <w:iCs/>
          <w:noProof/>
        </w:rPr>
        <w:t>9</w:t>
      </w:r>
      <w:r w:rsidRPr="00FF515E">
        <w:rPr>
          <w:noProof/>
        </w:rPr>
        <w:t>, 1–15. https://doi.org/https://doi.org/10.3205/psm000089</w:t>
      </w:r>
    </w:p>
    <w:p w14:paraId="34AE2D10"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Desmarchelier, B., Djellal, F., &amp; Gallouj, F. (2019). Users’ involvement in value co-creation: The more the better? </w:t>
      </w:r>
      <w:r w:rsidRPr="00FF515E">
        <w:rPr>
          <w:i/>
          <w:iCs/>
          <w:noProof/>
        </w:rPr>
        <w:t>European Management Review</w:t>
      </w:r>
      <w:r w:rsidRPr="00FF515E">
        <w:rPr>
          <w:noProof/>
        </w:rPr>
        <w:t xml:space="preserve">, </w:t>
      </w:r>
      <w:r w:rsidRPr="00FF515E">
        <w:rPr>
          <w:i/>
          <w:iCs/>
          <w:noProof/>
        </w:rPr>
        <w:t>17</w:t>
      </w:r>
      <w:r w:rsidRPr="00FF515E">
        <w:rPr>
          <w:noProof/>
        </w:rPr>
        <w:t>, 439–448. https://doi.org/https://doi.org/10.1111/emre.12365</w:t>
      </w:r>
    </w:p>
    <w:p w14:paraId="190383D3"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Directorate General of Disease Prevention and Control, Ministry of Health, R. of I. (2023). </w:t>
      </w:r>
      <w:r w:rsidRPr="00FF515E">
        <w:rPr>
          <w:i/>
          <w:iCs/>
          <w:noProof/>
        </w:rPr>
        <w:t>Malaria Annual Report 2022</w:t>
      </w:r>
      <w:r w:rsidRPr="00FF515E">
        <w:rPr>
          <w:noProof/>
        </w:rPr>
        <w:t>.</w:t>
      </w:r>
    </w:p>
    <w:p w14:paraId="36E4F44B"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Fransisca, L., Burdam, F. H., Kenangalem, E., Rahmalia, A., Ubra, R. R., van den Boogaard, C. H. A., Ley, B., Douglas, N. M., Poespoprodjo, J. R., &amp; Price, R. N. (2025). Enhanced data quality to improve malaria surveillance in Papua, Indonesia. </w:t>
      </w:r>
      <w:r w:rsidRPr="00FF515E">
        <w:rPr>
          <w:i/>
          <w:iCs/>
          <w:noProof/>
        </w:rPr>
        <w:t>Malaria Journal</w:t>
      </w:r>
      <w:r w:rsidRPr="00FF515E">
        <w:rPr>
          <w:noProof/>
        </w:rPr>
        <w:t xml:space="preserve">, </w:t>
      </w:r>
      <w:r w:rsidRPr="00FF515E">
        <w:rPr>
          <w:i/>
          <w:iCs/>
          <w:noProof/>
        </w:rPr>
        <w:t>24</w:t>
      </w:r>
      <w:r w:rsidRPr="00FF515E">
        <w:rPr>
          <w:noProof/>
        </w:rPr>
        <w:t>(1), 177. https://doi.org/10.1186/s12936-025-05358-x</w:t>
      </w:r>
    </w:p>
    <w:p w14:paraId="087CB565"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Green, L., &amp; Kreuter, M. (1991). </w:t>
      </w:r>
      <w:r w:rsidRPr="00FF515E">
        <w:rPr>
          <w:i/>
          <w:iCs/>
          <w:noProof/>
        </w:rPr>
        <w:t>Health Promotion Planning: An Educational and Environmental Approach</w:t>
      </w:r>
      <w:r w:rsidRPr="00FF515E">
        <w:rPr>
          <w:noProof/>
        </w:rPr>
        <w:t xml:space="preserve"> (2nd ed.). Mayfield Publishing Co.</w:t>
      </w:r>
    </w:p>
    <w:p w14:paraId="3347967E"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Guarcello, C., &amp; de Vargas, E. R. (2020). Service Innovation in Healthcare: A Systematic Literature Review. </w:t>
      </w:r>
      <w:r w:rsidRPr="00FF515E">
        <w:rPr>
          <w:i/>
          <w:iCs/>
          <w:noProof/>
        </w:rPr>
        <w:t>Latin American Business Review</w:t>
      </w:r>
      <w:r w:rsidRPr="00FF515E">
        <w:rPr>
          <w:noProof/>
        </w:rPr>
        <w:t xml:space="preserve">, </w:t>
      </w:r>
      <w:r w:rsidRPr="00FF515E">
        <w:rPr>
          <w:i/>
          <w:iCs/>
          <w:noProof/>
        </w:rPr>
        <w:t>21</w:t>
      </w:r>
      <w:r w:rsidRPr="00FF515E">
        <w:rPr>
          <w:noProof/>
        </w:rPr>
        <w:t>(4), 353–369. https://doi.org/10.1080/10978526.2020.1802286</w:t>
      </w:r>
    </w:p>
    <w:p w14:paraId="5C653F75"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Hair Jr., J. F., Black, W. C., Babin, B. J., &amp; Anderson, R. E. (2019). </w:t>
      </w:r>
      <w:r w:rsidRPr="00FF515E">
        <w:rPr>
          <w:i/>
          <w:iCs/>
          <w:noProof/>
        </w:rPr>
        <w:t>Multivariate Data Analysis</w:t>
      </w:r>
      <w:r w:rsidRPr="00FF515E">
        <w:rPr>
          <w:noProof/>
        </w:rPr>
        <w:t xml:space="preserve"> (8th ed.). Cengage Learning.</w:t>
      </w:r>
    </w:p>
    <w:p w14:paraId="3340439F"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Islam, Q. M. (2021). Innovation in primary healthcare in the twenty-first century. </w:t>
      </w:r>
      <w:r w:rsidRPr="00FF515E">
        <w:rPr>
          <w:i/>
          <w:iCs/>
          <w:noProof/>
        </w:rPr>
        <w:t>Journal of Health Management</w:t>
      </w:r>
      <w:r w:rsidRPr="00FF515E">
        <w:rPr>
          <w:noProof/>
        </w:rPr>
        <w:t xml:space="preserve">, </w:t>
      </w:r>
      <w:r w:rsidRPr="00FF515E">
        <w:rPr>
          <w:i/>
          <w:iCs/>
          <w:noProof/>
        </w:rPr>
        <w:t>23</w:t>
      </w:r>
      <w:r w:rsidRPr="00FF515E">
        <w:rPr>
          <w:noProof/>
        </w:rPr>
        <w:t>(1), 129–142. https://doi.org/10.1177/0972063421994987</w:t>
      </w:r>
    </w:p>
    <w:p w14:paraId="436EF59D"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Khonsari,  Sahar, O Neill,  Claire, Mayland,  Catriona R, Gilmour,  Fraser, Aitken,  Marc, Mckeown,  Alistair, Russell,  Sian, Mcalees,  Angela, Gardner,  Morag, &amp; Johnston,  Bridget. (2022). Views of Care at End of Life: A Secondary Analysis of Online Feedback Using Care Opinion. </w:t>
      </w:r>
      <w:r w:rsidRPr="00FF515E">
        <w:rPr>
          <w:i/>
          <w:iCs/>
          <w:noProof/>
        </w:rPr>
        <w:t>Journal of Patient Experience</w:t>
      </w:r>
      <w:r w:rsidRPr="00FF515E">
        <w:rPr>
          <w:noProof/>
        </w:rPr>
        <w:t xml:space="preserve">, </w:t>
      </w:r>
      <w:r w:rsidRPr="00FF515E">
        <w:rPr>
          <w:i/>
          <w:iCs/>
          <w:noProof/>
        </w:rPr>
        <w:t>9</w:t>
      </w:r>
      <w:r w:rsidRPr="00FF515E">
        <w:rPr>
          <w:noProof/>
        </w:rPr>
        <w:t>, 23743735221103028. https://doi.org/10.1177/23743735221103029</w:t>
      </w:r>
    </w:p>
    <w:p w14:paraId="12D1737C"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Lestari, T., Graham, S., Boogard, C. Van Den, Triasih, R., Poespoprodjo, J. R., Ubra, R. R., Kenangalem, E., Mahendradhata, Y., Anstey, N. M., Bailie, R. S., &amp; Ralph, A. P. (2019). Bridging the knowledge-practice gap in tuberculosis contact management in a </w:t>
      </w:r>
      <w:r w:rsidRPr="00FF515E">
        <w:rPr>
          <w:noProof/>
        </w:rPr>
        <w:lastRenderedPageBreak/>
        <w:t xml:space="preserve">high-burden setting : a mixed-methods protocol for a multicenter health system strengthening study. </w:t>
      </w:r>
      <w:r w:rsidRPr="00FF515E">
        <w:rPr>
          <w:i/>
          <w:iCs/>
          <w:noProof/>
        </w:rPr>
        <w:t>Implementation Science</w:t>
      </w:r>
      <w:r w:rsidRPr="00FF515E">
        <w:rPr>
          <w:noProof/>
        </w:rPr>
        <w:t xml:space="preserve">, </w:t>
      </w:r>
      <w:r w:rsidRPr="00FF515E">
        <w:rPr>
          <w:i/>
          <w:iCs/>
          <w:noProof/>
        </w:rPr>
        <w:t>14</w:t>
      </w:r>
      <w:r w:rsidRPr="00FF515E">
        <w:rPr>
          <w:noProof/>
        </w:rPr>
        <w:t>(31), 1–15. https://doi.org/https://doi.org/10.1186/s13012-019-0870-x</w:t>
      </w:r>
    </w:p>
    <w:p w14:paraId="084821A9"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Miranti, I. (2019). Pemodelan Prevalensi Malaria di Indonesia (Dengan Regresi Lasso Terboboti Geografis). </w:t>
      </w:r>
      <w:r w:rsidRPr="00FF515E">
        <w:rPr>
          <w:i/>
          <w:iCs/>
          <w:noProof/>
        </w:rPr>
        <w:t>Media Edukasi Data Ilmiah Dan Analisis</w:t>
      </w:r>
      <w:r w:rsidRPr="00FF515E">
        <w:rPr>
          <w:noProof/>
        </w:rPr>
        <w:t xml:space="preserve">, </w:t>
      </w:r>
      <w:r w:rsidRPr="00FF515E">
        <w:rPr>
          <w:i/>
          <w:iCs/>
          <w:noProof/>
        </w:rPr>
        <w:t>01</w:t>
      </w:r>
      <w:r w:rsidRPr="00FF515E">
        <w:rPr>
          <w:noProof/>
        </w:rPr>
        <w:t>, 1–11. https://doi.org/https://doi.org/10.64679/median.v2i01.17</w:t>
      </w:r>
    </w:p>
    <w:p w14:paraId="523FFA0E"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Moura, A. S., Gubert, M. B., Venancio, S. I., &amp; Buccini, G. (2023). Correction : Moura et al . Implementation of the Strategy for Breastfeeding and Complementary Feeding in the Federal District in Brazil. </w:t>
      </w:r>
      <w:r w:rsidRPr="00FF515E">
        <w:rPr>
          <w:i/>
          <w:iCs/>
          <w:noProof/>
        </w:rPr>
        <w:t>International Journal of Environment Research and Public Health</w:t>
      </w:r>
      <w:r w:rsidRPr="00FF515E">
        <w:rPr>
          <w:noProof/>
        </w:rPr>
        <w:t xml:space="preserve">, </w:t>
      </w:r>
      <w:r w:rsidRPr="00FF515E">
        <w:rPr>
          <w:i/>
          <w:iCs/>
          <w:noProof/>
        </w:rPr>
        <w:t>20</w:t>
      </w:r>
      <w:r w:rsidRPr="00FF515E">
        <w:rPr>
          <w:noProof/>
        </w:rPr>
        <w:t>(6594), 1–3. https://doi.org/https://doi.org/ 10.3390/ijerph20166594</w:t>
      </w:r>
    </w:p>
    <w:p w14:paraId="7B68C49F"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Naidu, A. (2009). Factors affecting patient satisfaction and healthcare quality. </w:t>
      </w:r>
      <w:r w:rsidRPr="00FF515E">
        <w:rPr>
          <w:i/>
          <w:iCs/>
          <w:noProof/>
        </w:rPr>
        <w:t>International Journal of Health Care Quality Assurance</w:t>
      </w:r>
      <w:r w:rsidRPr="00FF515E">
        <w:rPr>
          <w:noProof/>
        </w:rPr>
        <w:t xml:space="preserve">, </w:t>
      </w:r>
      <w:r w:rsidRPr="00FF515E">
        <w:rPr>
          <w:i/>
          <w:iCs/>
          <w:noProof/>
        </w:rPr>
        <w:t>22</w:t>
      </w:r>
      <w:r w:rsidRPr="00FF515E">
        <w:rPr>
          <w:noProof/>
        </w:rPr>
        <w:t>(4), 366–381. https://doi.org/10.1108/09526860910964834</w:t>
      </w:r>
    </w:p>
    <w:p w14:paraId="7D4C0A49"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Poespoprodjo, J. R., Burdam, F. H., Candrawati, F., Ley, B., Meagher, N., Kenangalem, E., Indrawanti, R., Trianty, L., Thriemer, K., Price, D. J., Simpson, J. A., &amp; Price, R. N. (2022). Supervised versus unsupervised primaquine radical cure for the treatment of falciparum and vivax malaria in Papua, Indonesia: a cluster-randomised, controlled, open-label superiority trial. </w:t>
      </w:r>
      <w:r w:rsidRPr="00FF515E">
        <w:rPr>
          <w:i/>
          <w:iCs/>
          <w:noProof/>
        </w:rPr>
        <w:t>The Lancet Infectious Diseases</w:t>
      </w:r>
      <w:r w:rsidRPr="00FF515E">
        <w:rPr>
          <w:noProof/>
        </w:rPr>
        <w:t xml:space="preserve">, </w:t>
      </w:r>
      <w:r w:rsidRPr="00FF515E">
        <w:rPr>
          <w:i/>
          <w:iCs/>
          <w:noProof/>
        </w:rPr>
        <w:t>22</w:t>
      </w:r>
      <w:r w:rsidRPr="00FF515E">
        <w:rPr>
          <w:noProof/>
        </w:rPr>
        <w:t>(3), 367–376. https://doi.org/10.1016/S1473-3099(21)00358-3</w:t>
      </w:r>
    </w:p>
    <w:p w14:paraId="69337C8A"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Psihogios, A. M., Fellmeth, H., Lisa, A., &amp; Barakat, L. P. (2019). Family functioning and medical adherence across children and adolescents with chronic health conditions: A meta-analysis. </w:t>
      </w:r>
      <w:r w:rsidRPr="00FF515E">
        <w:rPr>
          <w:i/>
          <w:iCs/>
          <w:noProof/>
        </w:rPr>
        <w:t>Journal OfPediatric Psychology</w:t>
      </w:r>
      <w:r w:rsidRPr="00FF515E">
        <w:rPr>
          <w:noProof/>
        </w:rPr>
        <w:t xml:space="preserve">, </w:t>
      </w:r>
      <w:r w:rsidRPr="00FF515E">
        <w:rPr>
          <w:i/>
          <w:iCs/>
          <w:noProof/>
        </w:rPr>
        <w:t>44</w:t>
      </w:r>
      <w:r w:rsidRPr="00FF515E">
        <w:rPr>
          <w:noProof/>
        </w:rPr>
        <w:t>(1), 84–97. https://doi.org/10.1093/jpepsy/jsy044</w:t>
      </w:r>
    </w:p>
    <w:p w14:paraId="773DBB3B"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Soen, R. C. J., &amp; Kristaung, R. (2023). The influence of service quality and hospital image for patient satisfaction and loyalty dental and oral hospital in Jakarta. </w:t>
      </w:r>
      <w:r w:rsidRPr="00FF515E">
        <w:rPr>
          <w:i/>
          <w:iCs/>
          <w:noProof/>
        </w:rPr>
        <w:t>Journal of Social Research</w:t>
      </w:r>
      <w:r w:rsidRPr="00FF515E">
        <w:rPr>
          <w:noProof/>
        </w:rPr>
        <w:t xml:space="preserve">, </w:t>
      </w:r>
      <w:r w:rsidRPr="00FF515E">
        <w:rPr>
          <w:i/>
          <w:iCs/>
          <w:noProof/>
        </w:rPr>
        <w:t>2</w:t>
      </w:r>
      <w:r w:rsidRPr="00FF515E">
        <w:rPr>
          <w:noProof/>
        </w:rPr>
        <w:t>(8), 2679–2687. https://doi.org/https://doi.org/10.55324/josr.v2i8.1323</w:t>
      </w:r>
    </w:p>
    <w:p w14:paraId="1644C55D"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Sucahyo, I., &amp; Solovida, G. T. (2022). Analisis pengaruh servicescape dan inovasi layanan terhadap kepuasan masyarakat dengan kepercayaan sebagai variabel mediasi (Studi tentang pelayanan pendaftaran Haji di Kota Semarang). </w:t>
      </w:r>
      <w:r w:rsidRPr="00FF515E">
        <w:rPr>
          <w:i/>
          <w:iCs/>
          <w:noProof/>
        </w:rPr>
        <w:t>MAGISMA:Jurnal Ilmiah Ekonomi Dan Bisnis</w:t>
      </w:r>
      <w:r w:rsidRPr="00FF515E">
        <w:rPr>
          <w:noProof/>
        </w:rPr>
        <w:t xml:space="preserve">, </w:t>
      </w:r>
      <w:r w:rsidRPr="00FF515E">
        <w:rPr>
          <w:i/>
          <w:iCs/>
          <w:noProof/>
        </w:rPr>
        <w:t>X</w:t>
      </w:r>
      <w:r w:rsidRPr="00FF515E">
        <w:rPr>
          <w:noProof/>
        </w:rPr>
        <w:t>(2), 215–231. https://doi.org/https://doi.org/10.35829/magisma.v10i2.230</w:t>
      </w:r>
    </w:p>
    <w:p w14:paraId="67544F3C"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Tusting, L. S., Cairncross, S., Ludolph, R., Velayudhan, R., Wilson, A. L., &amp; Lindsay, S. W. (2021). Assessing the health benefits of development interventions. </w:t>
      </w:r>
      <w:r w:rsidRPr="00FF515E">
        <w:rPr>
          <w:i/>
          <w:iCs/>
          <w:noProof/>
        </w:rPr>
        <w:t>BMJ Global Health</w:t>
      </w:r>
      <w:r w:rsidRPr="00FF515E">
        <w:rPr>
          <w:noProof/>
        </w:rPr>
        <w:t xml:space="preserve">, </w:t>
      </w:r>
      <w:r w:rsidRPr="00FF515E">
        <w:rPr>
          <w:i/>
          <w:iCs/>
          <w:noProof/>
        </w:rPr>
        <w:t>6</w:t>
      </w:r>
      <w:r w:rsidRPr="00FF515E">
        <w:rPr>
          <w:noProof/>
        </w:rPr>
        <w:t>(e005169), 1–3. https://doi.org/10.1136/bmjgh-2021-005169</w:t>
      </w:r>
    </w:p>
    <w:p w14:paraId="28709175"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World Health Organization. (2023). </w:t>
      </w:r>
      <w:r w:rsidRPr="00FF515E">
        <w:rPr>
          <w:i/>
          <w:iCs/>
          <w:noProof/>
        </w:rPr>
        <w:t>World malaria report 2023</w:t>
      </w:r>
      <w:r w:rsidRPr="00FF515E">
        <w:rPr>
          <w:noProof/>
        </w:rPr>
        <w:t>.</w:t>
      </w:r>
    </w:p>
    <w:p w14:paraId="0188F51F" w14:textId="77777777" w:rsidR="00FF515E" w:rsidRPr="00FF515E" w:rsidRDefault="00FF515E" w:rsidP="00611AF6">
      <w:pPr>
        <w:widowControl w:val="0"/>
        <w:autoSpaceDE w:val="0"/>
        <w:autoSpaceDN w:val="0"/>
        <w:adjustRightInd w:val="0"/>
        <w:ind w:left="480" w:hanging="480"/>
        <w:jc w:val="both"/>
        <w:rPr>
          <w:noProof/>
        </w:rPr>
      </w:pPr>
      <w:r w:rsidRPr="00FF515E">
        <w:rPr>
          <w:noProof/>
        </w:rPr>
        <w:t xml:space="preserve">Yeboah, J. G., &amp; Amponsah, K. T. (2025). The mediating role of service innovation in the relationship between customer orientation and patient satisfaction. </w:t>
      </w:r>
      <w:r w:rsidRPr="00FF515E">
        <w:rPr>
          <w:i/>
          <w:iCs/>
          <w:noProof/>
        </w:rPr>
        <w:t>BMC Health Services Research</w:t>
      </w:r>
      <w:r w:rsidRPr="00FF515E">
        <w:rPr>
          <w:noProof/>
        </w:rPr>
        <w:t xml:space="preserve">, </w:t>
      </w:r>
      <w:r w:rsidRPr="00FF515E">
        <w:rPr>
          <w:i/>
          <w:iCs/>
          <w:noProof/>
        </w:rPr>
        <w:t>25</w:t>
      </w:r>
      <w:r w:rsidRPr="00FF515E">
        <w:rPr>
          <w:noProof/>
        </w:rPr>
        <w:t>(803), 1–12. https://doi.org/https://doi.org/10.1186/s12913-025-12794-7</w:t>
      </w:r>
    </w:p>
    <w:p w14:paraId="0EAA8131" w14:textId="7E3061E7" w:rsidR="008F5464" w:rsidRDefault="008F5464" w:rsidP="00611AF6">
      <w:pPr>
        <w:widowControl w:val="0"/>
        <w:autoSpaceDE w:val="0"/>
        <w:autoSpaceDN w:val="0"/>
        <w:adjustRightInd w:val="0"/>
        <w:ind w:left="480" w:hanging="480"/>
        <w:jc w:val="both"/>
        <w:rPr>
          <w:color w:val="000000" w:themeColor="text1"/>
        </w:rPr>
      </w:pPr>
      <w:r>
        <w:rPr>
          <w:color w:val="000000" w:themeColor="text1"/>
        </w:rPr>
        <w:fldChar w:fldCharType="end"/>
      </w:r>
    </w:p>
    <w:p w14:paraId="3E9C74C8" w14:textId="77777777" w:rsidR="00762061" w:rsidRDefault="00762061" w:rsidP="00611AF6">
      <w:pPr>
        <w:ind w:left="720" w:hanging="720"/>
        <w:jc w:val="both"/>
        <w:rPr>
          <w:color w:val="000000" w:themeColor="text1"/>
        </w:rPr>
      </w:pPr>
    </w:p>
    <w:p w14:paraId="2BC30979" w14:textId="77777777" w:rsidR="005C48BF" w:rsidRPr="000D389C" w:rsidRDefault="005C48BF" w:rsidP="00611AF6">
      <w:pPr>
        <w:ind w:left="720" w:hanging="720"/>
        <w:jc w:val="both"/>
        <w:rPr>
          <w:color w:val="000000" w:themeColor="text1"/>
        </w:rPr>
      </w:pPr>
    </w:p>
    <w:p w14:paraId="4DC00908" w14:textId="77777777" w:rsidR="000D389C" w:rsidRPr="00097749" w:rsidRDefault="000D389C" w:rsidP="00611AF6">
      <w:pPr>
        <w:ind w:left="720" w:hanging="720"/>
        <w:jc w:val="both"/>
        <w:rPr>
          <w:color w:val="000000" w:themeColor="text1"/>
        </w:rPr>
      </w:pPr>
    </w:p>
    <w:p w14:paraId="620B1D3B" w14:textId="77777777" w:rsidR="00097749" w:rsidRPr="00097749" w:rsidRDefault="00097749" w:rsidP="00611AF6">
      <w:pPr>
        <w:jc w:val="both"/>
        <w:rPr>
          <w:color w:val="000000" w:themeColor="text1"/>
        </w:rPr>
      </w:pPr>
    </w:p>
    <w:p w14:paraId="5F6D4882" w14:textId="77777777" w:rsidR="00097749" w:rsidRPr="00097749" w:rsidRDefault="00097749" w:rsidP="00611AF6">
      <w:pPr>
        <w:ind w:left="720" w:hanging="720"/>
        <w:jc w:val="both"/>
        <w:rPr>
          <w:color w:val="000000" w:themeColor="text1"/>
        </w:rPr>
      </w:pPr>
    </w:p>
    <w:p w14:paraId="7E838887" w14:textId="77777777" w:rsidR="00097749" w:rsidRPr="00097749" w:rsidRDefault="00097749" w:rsidP="00611AF6">
      <w:pPr>
        <w:pStyle w:val="Body"/>
        <w:spacing w:after="0"/>
        <w:rPr>
          <w:color w:val="000000" w:themeColor="text1"/>
        </w:rPr>
      </w:pPr>
    </w:p>
    <w:p w14:paraId="4B2B9591" w14:textId="3BA0BF76" w:rsidR="004D4277" w:rsidRPr="00097749" w:rsidRDefault="004D4277" w:rsidP="00611AF6">
      <w:pPr>
        <w:pStyle w:val="Appendix"/>
        <w:spacing w:after="0"/>
        <w:jc w:val="both"/>
        <w:rPr>
          <w:rFonts w:ascii="Arial" w:hAnsi="Arial" w:cs="Arial"/>
          <w:b w:val="0"/>
          <w:color w:val="000000" w:themeColor="text1"/>
        </w:rPr>
        <w:sectPr w:rsidR="004D4277" w:rsidRPr="00097749" w:rsidSect="002F3E8B">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6215C3D3" w14:textId="77777777" w:rsidR="00B01FCD" w:rsidRPr="00097749" w:rsidRDefault="00B01FCD" w:rsidP="00611AF6">
      <w:pPr>
        <w:pStyle w:val="Appendix"/>
        <w:spacing w:after="0"/>
        <w:jc w:val="both"/>
        <w:rPr>
          <w:rFonts w:ascii="Arial" w:hAnsi="Arial" w:cs="Arial"/>
          <w:b w:val="0"/>
          <w:color w:val="000000" w:themeColor="text1"/>
        </w:rPr>
      </w:pPr>
    </w:p>
    <w:sectPr w:rsidR="00B01FCD" w:rsidRPr="00097749" w:rsidSect="002F3E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9406F" w14:textId="77777777" w:rsidR="008C2CBE" w:rsidRDefault="008C2CBE" w:rsidP="00C37E61">
      <w:r>
        <w:separator/>
      </w:r>
    </w:p>
  </w:endnote>
  <w:endnote w:type="continuationSeparator" w:id="0">
    <w:p w14:paraId="2943A616" w14:textId="77777777" w:rsidR="008C2CBE" w:rsidRDefault="008C2C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1142" w14:textId="77777777" w:rsidR="009E048A" w:rsidRDefault="009E048A">
    <w:pPr>
      <w:pStyle w:val="Footer"/>
      <w:rPr>
        <w:rFonts w:ascii="Arial" w:hAnsi="Arial" w:cs="Arial"/>
        <w:sz w:val="16"/>
      </w:rPr>
    </w:pPr>
  </w:p>
  <w:p w14:paraId="2475EE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5C3E7C" w14:textId="77777777" w:rsidR="009E048A" w:rsidRDefault="009E048A">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5F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B9850" w14:textId="77777777" w:rsidR="008C2CBE" w:rsidRDefault="008C2CBE" w:rsidP="00C37E61">
      <w:r>
        <w:separator/>
      </w:r>
    </w:p>
  </w:footnote>
  <w:footnote w:type="continuationSeparator" w:id="0">
    <w:p w14:paraId="621B8156" w14:textId="77777777" w:rsidR="008C2CBE" w:rsidRDefault="008C2C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BA34" w14:textId="36722D63" w:rsidR="002F3E8B" w:rsidRDefault="008C2CBE">
    <w:pPr>
      <w:pStyle w:val="Header"/>
    </w:pPr>
    <w:r>
      <w:rPr>
        <w:noProof/>
      </w:rPr>
      <w:pict w14:anchorId="6E26B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6"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7185" w14:textId="1347045A" w:rsidR="002F3E8B" w:rsidRDefault="008C2CBE">
    <w:pPr>
      <w:pStyle w:val="Header"/>
    </w:pPr>
    <w:r>
      <w:rPr>
        <w:noProof/>
      </w:rPr>
      <w:pict w14:anchorId="676B0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7"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D4F" w14:textId="2CC64252" w:rsidR="00296529" w:rsidRPr="00296529" w:rsidRDefault="008C2CBE" w:rsidP="00296529">
    <w:pPr>
      <w:ind w:left="2160"/>
      <w:jc w:val="center"/>
      <w:rPr>
        <w:rFonts w:ascii="Times New Roman" w:eastAsia="Calibri" w:hAnsi="Times New Roman"/>
        <w:i/>
        <w:sz w:val="18"/>
        <w:szCs w:val="22"/>
      </w:rPr>
    </w:pPr>
    <w:r>
      <w:rPr>
        <w:noProof/>
      </w:rPr>
      <w:pict w14:anchorId="0011A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5"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7A907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90D3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20CC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550A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7DEE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30F55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FC98" w14:textId="639F2568" w:rsidR="002F3E8B" w:rsidRDefault="008C2CBE">
    <w:pPr>
      <w:pStyle w:val="Header"/>
    </w:pPr>
    <w:r>
      <w:rPr>
        <w:noProof/>
      </w:rPr>
      <w:pict w14:anchorId="07CE9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9"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F3E8" w14:textId="6FD83C89" w:rsidR="002F3E8B" w:rsidRDefault="008C2CBE">
    <w:pPr>
      <w:pStyle w:val="Header"/>
    </w:pPr>
    <w:r>
      <w:rPr>
        <w:noProof/>
      </w:rPr>
      <w:pict w14:anchorId="7A922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30"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3CE1" w14:textId="717679EB" w:rsidR="002F3E8B" w:rsidRDefault="008C2CBE">
    <w:pPr>
      <w:pStyle w:val="Header"/>
    </w:pPr>
    <w:r>
      <w:rPr>
        <w:noProof/>
      </w:rPr>
      <w:pict w14:anchorId="13D15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8"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796"/>
    <w:rsid w:val="000212A9"/>
    <w:rsid w:val="00030174"/>
    <w:rsid w:val="000434E0"/>
    <w:rsid w:val="0004579C"/>
    <w:rsid w:val="00063F47"/>
    <w:rsid w:val="00076FF8"/>
    <w:rsid w:val="00086091"/>
    <w:rsid w:val="00097749"/>
    <w:rsid w:val="00097E0E"/>
    <w:rsid w:val="000A47FA"/>
    <w:rsid w:val="000A65D3"/>
    <w:rsid w:val="000B1038"/>
    <w:rsid w:val="000B1E33"/>
    <w:rsid w:val="000B51BF"/>
    <w:rsid w:val="000C5FCE"/>
    <w:rsid w:val="000D389C"/>
    <w:rsid w:val="000D689F"/>
    <w:rsid w:val="000E7B7B"/>
    <w:rsid w:val="000E7D62"/>
    <w:rsid w:val="00103357"/>
    <w:rsid w:val="00123C9F"/>
    <w:rsid w:val="00126190"/>
    <w:rsid w:val="00130F17"/>
    <w:rsid w:val="001320BF"/>
    <w:rsid w:val="00137B7B"/>
    <w:rsid w:val="00157FDB"/>
    <w:rsid w:val="00163BC4"/>
    <w:rsid w:val="00191062"/>
    <w:rsid w:val="00192B72"/>
    <w:rsid w:val="001A29D8"/>
    <w:rsid w:val="001A5047"/>
    <w:rsid w:val="001A5CAA"/>
    <w:rsid w:val="001A62CF"/>
    <w:rsid w:val="001B0427"/>
    <w:rsid w:val="001D3A51"/>
    <w:rsid w:val="001D52F7"/>
    <w:rsid w:val="001E10D2"/>
    <w:rsid w:val="001E25B4"/>
    <w:rsid w:val="001E314B"/>
    <w:rsid w:val="001E44FE"/>
    <w:rsid w:val="00200595"/>
    <w:rsid w:val="00204835"/>
    <w:rsid w:val="00205190"/>
    <w:rsid w:val="00231920"/>
    <w:rsid w:val="0023195C"/>
    <w:rsid w:val="0024282C"/>
    <w:rsid w:val="002460DC"/>
    <w:rsid w:val="00250985"/>
    <w:rsid w:val="002556F6"/>
    <w:rsid w:val="00281838"/>
    <w:rsid w:val="00281F0A"/>
    <w:rsid w:val="00283105"/>
    <w:rsid w:val="00284C4C"/>
    <w:rsid w:val="00287E68"/>
    <w:rsid w:val="00296070"/>
    <w:rsid w:val="00296529"/>
    <w:rsid w:val="002A69E8"/>
    <w:rsid w:val="002B27FB"/>
    <w:rsid w:val="002B685A"/>
    <w:rsid w:val="002C57D2"/>
    <w:rsid w:val="002E0D56"/>
    <w:rsid w:val="002F3E8B"/>
    <w:rsid w:val="00315186"/>
    <w:rsid w:val="00326310"/>
    <w:rsid w:val="0033343E"/>
    <w:rsid w:val="003361EC"/>
    <w:rsid w:val="003512C2"/>
    <w:rsid w:val="003668D0"/>
    <w:rsid w:val="00366A42"/>
    <w:rsid w:val="00371FB6"/>
    <w:rsid w:val="003763C1"/>
    <w:rsid w:val="00376BBE"/>
    <w:rsid w:val="0039224F"/>
    <w:rsid w:val="003A43A4"/>
    <w:rsid w:val="003A7E18"/>
    <w:rsid w:val="003C4C86"/>
    <w:rsid w:val="003C6258"/>
    <w:rsid w:val="003D7E66"/>
    <w:rsid w:val="003E2904"/>
    <w:rsid w:val="00401927"/>
    <w:rsid w:val="0041027F"/>
    <w:rsid w:val="00412475"/>
    <w:rsid w:val="00423789"/>
    <w:rsid w:val="00424A61"/>
    <w:rsid w:val="00440F43"/>
    <w:rsid w:val="00441B6F"/>
    <w:rsid w:val="004451C1"/>
    <w:rsid w:val="00446221"/>
    <w:rsid w:val="00450E62"/>
    <w:rsid w:val="004539DB"/>
    <w:rsid w:val="00455714"/>
    <w:rsid w:val="00463A15"/>
    <w:rsid w:val="00465088"/>
    <w:rsid w:val="00471A80"/>
    <w:rsid w:val="004830FA"/>
    <w:rsid w:val="004A47C4"/>
    <w:rsid w:val="004D305E"/>
    <w:rsid w:val="004D4277"/>
    <w:rsid w:val="00502516"/>
    <w:rsid w:val="00505F06"/>
    <w:rsid w:val="00506828"/>
    <w:rsid w:val="00526F44"/>
    <w:rsid w:val="0053056E"/>
    <w:rsid w:val="00533BB5"/>
    <w:rsid w:val="00543BC0"/>
    <w:rsid w:val="00554FDA"/>
    <w:rsid w:val="00560A75"/>
    <w:rsid w:val="005B2A6D"/>
    <w:rsid w:val="005C48BF"/>
    <w:rsid w:val="005C784C"/>
    <w:rsid w:val="005D17F6"/>
    <w:rsid w:val="005E2972"/>
    <w:rsid w:val="005E398F"/>
    <w:rsid w:val="005E5539"/>
    <w:rsid w:val="005E7E14"/>
    <w:rsid w:val="00602BF5"/>
    <w:rsid w:val="006070F5"/>
    <w:rsid w:val="00611AF6"/>
    <w:rsid w:val="00616D6F"/>
    <w:rsid w:val="00617FDD"/>
    <w:rsid w:val="00633614"/>
    <w:rsid w:val="00633F68"/>
    <w:rsid w:val="00636EB2"/>
    <w:rsid w:val="006375B8"/>
    <w:rsid w:val="0064111B"/>
    <w:rsid w:val="006465D0"/>
    <w:rsid w:val="006474D9"/>
    <w:rsid w:val="00661DDF"/>
    <w:rsid w:val="0066510A"/>
    <w:rsid w:val="00673F9F"/>
    <w:rsid w:val="00686953"/>
    <w:rsid w:val="00687DEA"/>
    <w:rsid w:val="00687E67"/>
    <w:rsid w:val="006967F7"/>
    <w:rsid w:val="00697D4B"/>
    <w:rsid w:val="006A250C"/>
    <w:rsid w:val="006A67F2"/>
    <w:rsid w:val="006B21D3"/>
    <w:rsid w:val="006B57D0"/>
    <w:rsid w:val="006C2350"/>
    <w:rsid w:val="006D30FF"/>
    <w:rsid w:val="006D6940"/>
    <w:rsid w:val="006F0D34"/>
    <w:rsid w:val="006F11EC"/>
    <w:rsid w:val="0070082C"/>
    <w:rsid w:val="007318A9"/>
    <w:rsid w:val="00735448"/>
    <w:rsid w:val="007369E6"/>
    <w:rsid w:val="00746E59"/>
    <w:rsid w:val="00754C9A"/>
    <w:rsid w:val="0075599A"/>
    <w:rsid w:val="00761D52"/>
    <w:rsid w:val="00762061"/>
    <w:rsid w:val="0077749E"/>
    <w:rsid w:val="00790ADA"/>
    <w:rsid w:val="00791FF8"/>
    <w:rsid w:val="007B0FD4"/>
    <w:rsid w:val="007D0EF9"/>
    <w:rsid w:val="007D2288"/>
    <w:rsid w:val="007E088F"/>
    <w:rsid w:val="007F7B32"/>
    <w:rsid w:val="00804BC2"/>
    <w:rsid w:val="0081431A"/>
    <w:rsid w:val="008223D7"/>
    <w:rsid w:val="008259CC"/>
    <w:rsid w:val="0083216F"/>
    <w:rsid w:val="00855B67"/>
    <w:rsid w:val="00860000"/>
    <w:rsid w:val="00861855"/>
    <w:rsid w:val="00863BD3"/>
    <w:rsid w:val="00863FAC"/>
    <w:rsid w:val="008641ED"/>
    <w:rsid w:val="00866D66"/>
    <w:rsid w:val="008671C6"/>
    <w:rsid w:val="00875803"/>
    <w:rsid w:val="008A394F"/>
    <w:rsid w:val="008A78D9"/>
    <w:rsid w:val="008B459E"/>
    <w:rsid w:val="008C2CBE"/>
    <w:rsid w:val="008D1D22"/>
    <w:rsid w:val="008E13AE"/>
    <w:rsid w:val="008E1506"/>
    <w:rsid w:val="008E710C"/>
    <w:rsid w:val="008F5464"/>
    <w:rsid w:val="008F69D6"/>
    <w:rsid w:val="00902823"/>
    <w:rsid w:val="00910572"/>
    <w:rsid w:val="00915CA6"/>
    <w:rsid w:val="00927834"/>
    <w:rsid w:val="0093716A"/>
    <w:rsid w:val="00940AF3"/>
    <w:rsid w:val="009500A6"/>
    <w:rsid w:val="009550CF"/>
    <w:rsid w:val="00957C18"/>
    <w:rsid w:val="009659BA"/>
    <w:rsid w:val="00983040"/>
    <w:rsid w:val="00995809"/>
    <w:rsid w:val="009B3FB9"/>
    <w:rsid w:val="009B7DB7"/>
    <w:rsid w:val="009C2465"/>
    <w:rsid w:val="009D35A0"/>
    <w:rsid w:val="009D442F"/>
    <w:rsid w:val="009D4A9A"/>
    <w:rsid w:val="009D7EB7"/>
    <w:rsid w:val="009E048A"/>
    <w:rsid w:val="009E08E9"/>
    <w:rsid w:val="009E3DB9"/>
    <w:rsid w:val="009E6E35"/>
    <w:rsid w:val="009F0EDA"/>
    <w:rsid w:val="009F54F8"/>
    <w:rsid w:val="00A03B96"/>
    <w:rsid w:val="00A05B19"/>
    <w:rsid w:val="00A1134E"/>
    <w:rsid w:val="00A24E7E"/>
    <w:rsid w:val="00A258C3"/>
    <w:rsid w:val="00A347C0"/>
    <w:rsid w:val="00A51431"/>
    <w:rsid w:val="00A539AD"/>
    <w:rsid w:val="00A63401"/>
    <w:rsid w:val="00A74753"/>
    <w:rsid w:val="00A82E98"/>
    <w:rsid w:val="00A94063"/>
    <w:rsid w:val="00AA6219"/>
    <w:rsid w:val="00AA74E0"/>
    <w:rsid w:val="00AB703F"/>
    <w:rsid w:val="00AC6BB8"/>
    <w:rsid w:val="00AE008F"/>
    <w:rsid w:val="00AE3B20"/>
    <w:rsid w:val="00AE52D8"/>
    <w:rsid w:val="00B01FCD"/>
    <w:rsid w:val="00B1776C"/>
    <w:rsid w:val="00B52583"/>
    <w:rsid w:val="00B52896"/>
    <w:rsid w:val="00B66230"/>
    <w:rsid w:val="00B718E7"/>
    <w:rsid w:val="00B95236"/>
    <w:rsid w:val="00B96BD9"/>
    <w:rsid w:val="00BA1B01"/>
    <w:rsid w:val="00BA2641"/>
    <w:rsid w:val="00BA31BA"/>
    <w:rsid w:val="00BB37AA"/>
    <w:rsid w:val="00BC53A0"/>
    <w:rsid w:val="00BD2AB5"/>
    <w:rsid w:val="00BE62AD"/>
    <w:rsid w:val="00BF121F"/>
    <w:rsid w:val="00BF1F80"/>
    <w:rsid w:val="00BF2B29"/>
    <w:rsid w:val="00C15C78"/>
    <w:rsid w:val="00C166EF"/>
    <w:rsid w:val="00C17EB0"/>
    <w:rsid w:val="00C2231C"/>
    <w:rsid w:val="00C25A84"/>
    <w:rsid w:val="00C27F5F"/>
    <w:rsid w:val="00C30A0F"/>
    <w:rsid w:val="00C33E31"/>
    <w:rsid w:val="00C37E61"/>
    <w:rsid w:val="00C46C9F"/>
    <w:rsid w:val="00C61930"/>
    <w:rsid w:val="00C70F1B"/>
    <w:rsid w:val="00C714B7"/>
    <w:rsid w:val="00C71A47"/>
    <w:rsid w:val="00C7464C"/>
    <w:rsid w:val="00C85588"/>
    <w:rsid w:val="00C97053"/>
    <w:rsid w:val="00CA60F5"/>
    <w:rsid w:val="00CD6755"/>
    <w:rsid w:val="00CD6856"/>
    <w:rsid w:val="00CE0089"/>
    <w:rsid w:val="00CE060A"/>
    <w:rsid w:val="00CE793C"/>
    <w:rsid w:val="00CF0934"/>
    <w:rsid w:val="00CF193C"/>
    <w:rsid w:val="00CF344D"/>
    <w:rsid w:val="00CF7D6C"/>
    <w:rsid w:val="00D173F1"/>
    <w:rsid w:val="00D17A91"/>
    <w:rsid w:val="00D26D8E"/>
    <w:rsid w:val="00D426CC"/>
    <w:rsid w:val="00D46BE5"/>
    <w:rsid w:val="00D63FD3"/>
    <w:rsid w:val="00D666F1"/>
    <w:rsid w:val="00D74CB0"/>
    <w:rsid w:val="00D8295D"/>
    <w:rsid w:val="00D95052"/>
    <w:rsid w:val="00DA1086"/>
    <w:rsid w:val="00DC2A65"/>
    <w:rsid w:val="00DD41A8"/>
    <w:rsid w:val="00DE15F0"/>
    <w:rsid w:val="00DE31D2"/>
    <w:rsid w:val="00DE5663"/>
    <w:rsid w:val="00DE5A8E"/>
    <w:rsid w:val="00DE78AA"/>
    <w:rsid w:val="00DF0F0C"/>
    <w:rsid w:val="00E01080"/>
    <w:rsid w:val="00E053D0"/>
    <w:rsid w:val="00E10D44"/>
    <w:rsid w:val="00E15994"/>
    <w:rsid w:val="00E3114E"/>
    <w:rsid w:val="00E31A70"/>
    <w:rsid w:val="00E35B02"/>
    <w:rsid w:val="00E4308B"/>
    <w:rsid w:val="00E447E9"/>
    <w:rsid w:val="00E4521D"/>
    <w:rsid w:val="00E564BC"/>
    <w:rsid w:val="00E66496"/>
    <w:rsid w:val="00E66B35"/>
    <w:rsid w:val="00E66E10"/>
    <w:rsid w:val="00E769F6"/>
    <w:rsid w:val="00E81527"/>
    <w:rsid w:val="00E83BE7"/>
    <w:rsid w:val="00E8407C"/>
    <w:rsid w:val="00E84F3C"/>
    <w:rsid w:val="00EA012C"/>
    <w:rsid w:val="00EA2317"/>
    <w:rsid w:val="00EC6A55"/>
    <w:rsid w:val="00ED0288"/>
    <w:rsid w:val="00EE52CB"/>
    <w:rsid w:val="00EF581D"/>
    <w:rsid w:val="00EF5B71"/>
    <w:rsid w:val="00EF7FD8"/>
    <w:rsid w:val="00F06F59"/>
    <w:rsid w:val="00F17988"/>
    <w:rsid w:val="00F17E7C"/>
    <w:rsid w:val="00F21757"/>
    <w:rsid w:val="00F469F0"/>
    <w:rsid w:val="00F46C2C"/>
    <w:rsid w:val="00F5154D"/>
    <w:rsid w:val="00F51C58"/>
    <w:rsid w:val="00F53273"/>
    <w:rsid w:val="00F755E4"/>
    <w:rsid w:val="00F77D02"/>
    <w:rsid w:val="00FB3A86"/>
    <w:rsid w:val="00FB63CF"/>
    <w:rsid w:val="00FC0935"/>
    <w:rsid w:val="00FC5075"/>
    <w:rsid w:val="00FD36C8"/>
    <w:rsid w:val="00FE1D32"/>
    <w:rsid w:val="00FF05C3"/>
    <w:rsid w:val="00FF515E"/>
    <w:rsid w:val="00FF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E95E0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65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097749"/>
    <w:pPr>
      <w:spacing w:after="120"/>
    </w:pPr>
  </w:style>
  <w:style w:type="character" w:customStyle="1" w:styleId="BodyTextChar">
    <w:name w:val="Body Text Char"/>
    <w:basedOn w:val="DefaultParagraphFont"/>
    <w:link w:val="BodyText"/>
    <w:rsid w:val="00097749"/>
    <w:rPr>
      <w:rFonts w:ascii="Helvetica" w:hAnsi="Helvetica"/>
    </w:rPr>
  </w:style>
  <w:style w:type="character" w:customStyle="1" w:styleId="Heading3Char">
    <w:name w:val="Heading 3 Char"/>
    <w:basedOn w:val="DefaultParagraphFont"/>
    <w:link w:val="Heading3"/>
    <w:semiHidden/>
    <w:rsid w:val="006465D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361EC"/>
    <w:pPr>
      <w:ind w:left="720"/>
      <w:contextualSpacing/>
    </w:pPr>
  </w:style>
  <w:style w:type="paragraph" w:styleId="CommentSubject">
    <w:name w:val="annotation subject"/>
    <w:basedOn w:val="CommentText"/>
    <w:next w:val="CommentText"/>
    <w:link w:val="CommentSubjectChar"/>
    <w:semiHidden/>
    <w:unhideWhenUsed/>
    <w:rsid w:val="00DF0F0C"/>
    <w:rPr>
      <w:rFonts w:ascii="Helvetica" w:hAnsi="Helvetica"/>
      <w:b/>
      <w:bCs/>
      <w:lang w:val="en-US" w:eastAsia="en-US"/>
    </w:rPr>
  </w:style>
  <w:style w:type="character" w:customStyle="1" w:styleId="CommentSubjectChar">
    <w:name w:val="Comment Subject Char"/>
    <w:basedOn w:val="CommentTextChar"/>
    <w:link w:val="CommentSubject"/>
    <w:semiHidden/>
    <w:rsid w:val="00DF0F0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9A9F0-5BD1-4DBE-B2D0-5A5C5551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289</TotalTime>
  <Pages>17</Pages>
  <Words>32736</Words>
  <Characters>186599</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218898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118</cp:revision>
  <cp:lastPrinted>1999-07-06T11:00:00Z</cp:lastPrinted>
  <dcterms:created xsi:type="dcterms:W3CDTF">2014-10-25T14:34:00Z</dcterms:created>
  <dcterms:modified xsi:type="dcterms:W3CDTF">2025-10-18T09:16:00Z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http://www.zotero.org/styles/vancouver-fr-ca</vt:lpwstr>
  </property>
  <property fmtid="{D5CDD505-2E9C-101B-9397-08002B2CF9AE}" pid="19" name="Mendeley Recent Style Name 8_1">
    <vt:lpwstr>Vancouver (French - Canada)</vt:lpwstr>
  </property>
  <property fmtid="{D5CDD505-2E9C-101B-9397-08002B2CF9AE}" pid="20" name="Mendeley Recent Style Id 9_1">
    <vt:lpwstr>http://csl.mendeley.com/styles/541362611/vancouver-2-WRS</vt:lpwstr>
  </property>
  <property fmtid="{D5CDD505-2E9C-101B-9397-08002B2CF9AE}" pid="21" name="Mendeley Recent Style Name 9_1">
    <vt:lpwstr>Vancouver - Wahyuni Rusliyana Sari</vt:lpwstr>
  </property>
  <property fmtid="{D5CDD505-2E9C-101B-9397-08002B2CF9AE}" pid="22" name="Mendeley Document_1">
    <vt:lpwstr>True</vt:lpwstr>
  </property>
  <property fmtid="{D5CDD505-2E9C-101B-9397-08002B2CF9AE}" pid="23" name="Mendeley Unique User Id_1">
    <vt:lpwstr>f4d4575f-6250-32d9-8e95-f3050cd375b4</vt:lpwstr>
  </property>
  <property fmtid="{D5CDD505-2E9C-101B-9397-08002B2CF9AE}" pid="24" name="Mendeley Citation Style_1">
    <vt:lpwstr>http://www.zotero.org/styles/apa</vt:lpwstr>
  </property>
</Properties>
</file>