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503A6" w14:textId="77777777" w:rsidR="001E6EF0" w:rsidRDefault="001E6EF0" w:rsidP="004C28FF">
      <w:pPr>
        <w:spacing w:line="240" w:lineRule="auto"/>
        <w:jc w:val="right"/>
        <w:rPr>
          <w:rFonts w:ascii="Arial" w:hAnsi="Arial" w:cs="Arial"/>
          <w:b/>
          <w:sz w:val="36"/>
          <w:szCs w:val="36"/>
          <w:lang w:val="en-US"/>
        </w:rPr>
      </w:pPr>
    </w:p>
    <w:p w14:paraId="62E745B5" w14:textId="77777777" w:rsidR="001E6EF0" w:rsidRDefault="001E6EF0" w:rsidP="004C28FF">
      <w:pPr>
        <w:spacing w:line="240" w:lineRule="auto"/>
        <w:jc w:val="right"/>
        <w:rPr>
          <w:rFonts w:ascii="Arial" w:hAnsi="Arial" w:cs="Arial"/>
          <w:b/>
          <w:sz w:val="36"/>
          <w:szCs w:val="36"/>
          <w:lang w:val="en-US"/>
        </w:rPr>
      </w:pPr>
      <w:bookmarkStart w:id="0" w:name="_GoBack"/>
      <w:bookmarkEnd w:id="0"/>
    </w:p>
    <w:p w14:paraId="3743284E" w14:textId="77777777" w:rsidR="000B04A6" w:rsidRDefault="000B04A6" w:rsidP="004C28FF">
      <w:pPr>
        <w:spacing w:line="240" w:lineRule="auto"/>
        <w:jc w:val="right"/>
        <w:rPr>
          <w:rFonts w:ascii="Arial" w:hAnsi="Arial" w:cs="Arial"/>
          <w:b/>
          <w:bCs/>
          <w:color w:val="000000"/>
          <w:sz w:val="36"/>
          <w:szCs w:val="36"/>
          <w:lang w:val="en-US"/>
        </w:rPr>
      </w:pPr>
    </w:p>
    <w:p w14:paraId="4C35FAED" w14:textId="77777777" w:rsidR="000B04A6" w:rsidRDefault="000B04A6" w:rsidP="004C28FF">
      <w:pPr>
        <w:spacing w:line="240" w:lineRule="auto"/>
        <w:jc w:val="right"/>
        <w:rPr>
          <w:rFonts w:ascii="Arial" w:hAnsi="Arial" w:cs="Arial"/>
          <w:b/>
          <w:bCs/>
          <w:color w:val="000000"/>
          <w:sz w:val="36"/>
          <w:szCs w:val="36"/>
          <w:lang w:val="en-US"/>
        </w:rPr>
      </w:pPr>
    </w:p>
    <w:p w14:paraId="59CAC305" w14:textId="379AE452" w:rsidR="000B04A6" w:rsidRPr="0076392E" w:rsidRDefault="000B04A6" w:rsidP="004C28FF">
      <w:pPr>
        <w:spacing w:line="240" w:lineRule="auto"/>
        <w:jc w:val="right"/>
        <w:rPr>
          <w:rFonts w:ascii="Arial" w:hAnsi="Arial" w:cs="Arial"/>
          <w:b/>
          <w:bCs/>
          <w:color w:val="000000"/>
          <w:sz w:val="36"/>
          <w:szCs w:val="36"/>
          <w:lang w:val="en-US"/>
        </w:rPr>
      </w:pPr>
      <w:r w:rsidRPr="00CC5D6C">
        <w:rPr>
          <w:rFonts w:ascii="Arial" w:hAnsi="Arial" w:cs="Arial"/>
          <w:b/>
          <w:bCs/>
          <w:color w:val="000000"/>
          <w:sz w:val="36"/>
          <w:szCs w:val="36"/>
          <w:highlight w:val="yellow"/>
          <w:lang w:val="en-US"/>
        </w:rPr>
        <w:t xml:space="preserve">Role of </w:t>
      </w:r>
      <w:proofErr w:type="spellStart"/>
      <w:r w:rsidRPr="00CC5D6C">
        <w:rPr>
          <w:rFonts w:ascii="Arial" w:hAnsi="Arial" w:cs="Arial"/>
          <w:b/>
          <w:bCs/>
          <w:color w:val="000000"/>
          <w:sz w:val="36"/>
          <w:szCs w:val="36"/>
          <w:highlight w:val="yellow"/>
          <w:lang w:val="en-US"/>
        </w:rPr>
        <w:t>Tumour</w:t>
      </w:r>
      <w:proofErr w:type="spellEnd"/>
      <w:r w:rsidRPr="00CC5D6C">
        <w:rPr>
          <w:rFonts w:ascii="Arial" w:hAnsi="Arial" w:cs="Arial"/>
          <w:b/>
          <w:bCs/>
          <w:color w:val="000000"/>
          <w:sz w:val="36"/>
          <w:szCs w:val="36"/>
          <w:highlight w:val="yellow"/>
          <w:lang w:val="en-US"/>
        </w:rPr>
        <w:t xml:space="preserve"> Necrosis Factor-Alpha and Adiponectin in Insulin Therapy Failure in Type 2 Diabetic Patients</w:t>
      </w:r>
    </w:p>
    <w:p w14:paraId="00BF317A" w14:textId="77777777" w:rsidR="001E6EF0" w:rsidRDefault="001E6EF0" w:rsidP="00E553B5">
      <w:pPr>
        <w:spacing w:line="240" w:lineRule="auto"/>
        <w:jc w:val="both"/>
        <w:rPr>
          <w:rFonts w:ascii="Arial" w:hAnsi="Arial" w:cs="Arial"/>
          <w:b/>
          <w:sz w:val="24"/>
          <w:szCs w:val="24"/>
          <w:lang w:val="en-GB"/>
        </w:rPr>
      </w:pPr>
    </w:p>
    <w:p w14:paraId="40FB930D" w14:textId="5FA8A090" w:rsidR="0098729E" w:rsidRPr="0076392E" w:rsidRDefault="0098729E" w:rsidP="00E553B5">
      <w:pPr>
        <w:jc w:val="both"/>
        <w:rPr>
          <w:rFonts w:ascii="Arial" w:hAnsi="Arial" w:cs="Arial"/>
          <w:sz w:val="20"/>
          <w:szCs w:val="20"/>
          <w:lang w:val="en-US"/>
        </w:rPr>
      </w:pPr>
    </w:p>
    <w:p w14:paraId="36CDFB54" w14:textId="77777777" w:rsidR="00944DE1" w:rsidRDefault="00944DE1" w:rsidP="00E553B5">
      <w:pPr>
        <w:tabs>
          <w:tab w:val="left" w:pos="1792"/>
        </w:tabs>
        <w:jc w:val="both"/>
        <w:rPr>
          <w:rFonts w:ascii="Arial" w:hAnsi="Arial" w:cs="Arial"/>
          <w:b/>
          <w:bCs/>
          <w:sz w:val="24"/>
          <w:szCs w:val="24"/>
          <w:lang w:val="en-US"/>
        </w:rPr>
      </w:pPr>
    </w:p>
    <w:p w14:paraId="1715ADD9" w14:textId="77777777" w:rsidR="00944DE1" w:rsidRDefault="00944DE1" w:rsidP="00E553B5">
      <w:pPr>
        <w:tabs>
          <w:tab w:val="left" w:pos="1792"/>
        </w:tabs>
        <w:jc w:val="both"/>
        <w:rPr>
          <w:rFonts w:ascii="Arial" w:hAnsi="Arial" w:cs="Arial"/>
          <w:b/>
          <w:bCs/>
          <w:sz w:val="24"/>
          <w:szCs w:val="24"/>
          <w:lang w:val="en-US"/>
        </w:rPr>
      </w:pPr>
    </w:p>
    <w:p w14:paraId="0E453C08" w14:textId="172F928B" w:rsidR="00B87448" w:rsidRPr="0076392E" w:rsidRDefault="0098729E" w:rsidP="00E553B5">
      <w:pPr>
        <w:tabs>
          <w:tab w:val="left" w:pos="1792"/>
        </w:tabs>
        <w:jc w:val="both"/>
        <w:rPr>
          <w:rFonts w:ascii="Arial" w:hAnsi="Arial" w:cs="Arial"/>
          <w:b/>
          <w:sz w:val="24"/>
          <w:szCs w:val="24"/>
          <w:lang w:val="en-US"/>
        </w:rPr>
      </w:pPr>
      <w:r w:rsidRPr="0076392E">
        <w:rPr>
          <w:rFonts w:ascii="Arial" w:hAnsi="Arial" w:cs="Arial"/>
          <w:b/>
          <w:bCs/>
          <w:sz w:val="24"/>
          <w:szCs w:val="24"/>
          <w:lang w:val="en-US"/>
        </w:rPr>
        <w:t xml:space="preserve">ABSTRACT </w:t>
      </w:r>
      <w:r w:rsidR="00575647" w:rsidRPr="0076392E">
        <w:rPr>
          <w:rFonts w:ascii="Arial" w:hAnsi="Arial" w:cs="Arial"/>
          <w:b/>
          <w:bCs/>
          <w:sz w:val="24"/>
          <w:szCs w:val="24"/>
          <w:lang w:val="en-US"/>
        </w:rPr>
        <w:tab/>
      </w:r>
    </w:p>
    <w:p w14:paraId="08ED2DE5" w14:textId="08800C32" w:rsidR="00BF1F9E" w:rsidRDefault="00BF1F9E" w:rsidP="00E553B5">
      <w:pPr>
        <w:spacing w:line="360" w:lineRule="auto"/>
        <w:jc w:val="both"/>
        <w:rPr>
          <w:rFonts w:ascii="Arial" w:hAnsi="Arial" w:cs="Arial"/>
          <w:sz w:val="20"/>
          <w:szCs w:val="20"/>
          <w:lang w:val="en-US"/>
        </w:rPr>
      </w:pPr>
      <w:r w:rsidRPr="00CC5D6C">
        <w:rPr>
          <w:rFonts w:ascii="Arial" w:hAnsi="Arial" w:cs="Arial"/>
          <w:b/>
          <w:sz w:val="20"/>
          <w:szCs w:val="20"/>
          <w:highlight w:val="yellow"/>
          <w:lang w:val="en-US"/>
        </w:rPr>
        <w:t>Background</w:t>
      </w:r>
      <w:r w:rsidR="002922F7" w:rsidRPr="00CC5D6C">
        <w:rPr>
          <w:rFonts w:ascii="Arial" w:hAnsi="Arial" w:cs="Arial"/>
          <w:sz w:val="20"/>
          <w:szCs w:val="20"/>
          <w:highlight w:val="yellow"/>
          <w:lang w:val="en-US"/>
        </w:rPr>
        <w:t>:</w:t>
      </w:r>
      <w:r w:rsidRPr="00CC5D6C">
        <w:rPr>
          <w:rFonts w:ascii="Arial" w:hAnsi="Arial" w:cs="Arial"/>
          <w:sz w:val="20"/>
          <w:szCs w:val="20"/>
          <w:highlight w:val="yellow"/>
          <w:lang w:val="en-US"/>
        </w:rPr>
        <w:t xml:space="preserve"> </w:t>
      </w:r>
      <w:proofErr w:type="spellStart"/>
      <w:r w:rsidRPr="00CC5D6C">
        <w:rPr>
          <w:rFonts w:ascii="Arial" w:hAnsi="Arial" w:cs="Arial"/>
          <w:sz w:val="20"/>
          <w:szCs w:val="20"/>
          <w:highlight w:val="yellow"/>
          <w:lang w:val="en-US"/>
        </w:rPr>
        <w:t>Tumour</w:t>
      </w:r>
      <w:proofErr w:type="spellEnd"/>
      <w:r w:rsidR="0072107F" w:rsidRPr="0076392E">
        <w:rPr>
          <w:rFonts w:ascii="Arial" w:hAnsi="Arial" w:cs="Arial"/>
          <w:sz w:val="20"/>
          <w:szCs w:val="20"/>
          <w:lang w:val="en-US"/>
        </w:rPr>
        <w:t xml:space="preserve"> necrosis factor alpha (</w:t>
      </w:r>
      <w:r w:rsidR="0098729E" w:rsidRPr="0076392E">
        <w:rPr>
          <w:rFonts w:ascii="Arial" w:hAnsi="Arial" w:cs="Arial"/>
          <w:sz w:val="20"/>
          <w:szCs w:val="20"/>
          <w:lang w:val="en-US"/>
        </w:rPr>
        <w:t>TNF-α</w:t>
      </w:r>
      <w:r w:rsidR="0072107F" w:rsidRPr="0076392E">
        <w:rPr>
          <w:rFonts w:ascii="Arial" w:hAnsi="Arial" w:cs="Arial"/>
          <w:sz w:val="20"/>
          <w:szCs w:val="20"/>
          <w:lang w:val="en-US"/>
        </w:rPr>
        <w:t>) and Adiponectin</w:t>
      </w:r>
      <w:r w:rsidR="00681FD5" w:rsidRPr="0076392E">
        <w:rPr>
          <w:rFonts w:ascii="Arial" w:hAnsi="Arial" w:cs="Arial"/>
          <w:sz w:val="20"/>
          <w:szCs w:val="20"/>
          <w:lang w:val="en-US"/>
        </w:rPr>
        <w:t xml:space="preserve"> are both</w:t>
      </w:r>
      <w:r w:rsidR="0072107F" w:rsidRPr="0076392E">
        <w:rPr>
          <w:rFonts w:ascii="Arial" w:hAnsi="Arial" w:cs="Arial"/>
          <w:sz w:val="20"/>
          <w:szCs w:val="20"/>
          <w:lang w:val="en-US"/>
        </w:rPr>
        <w:t xml:space="preserve"> Pro</w:t>
      </w:r>
      <w:r w:rsidR="00270132" w:rsidRPr="0076392E">
        <w:rPr>
          <w:rFonts w:ascii="Arial" w:hAnsi="Arial" w:cs="Arial"/>
          <w:sz w:val="20"/>
          <w:szCs w:val="20"/>
          <w:lang w:val="en-US"/>
        </w:rPr>
        <w:t xml:space="preserve"> and anti-inflammatory </w:t>
      </w:r>
      <w:r w:rsidR="00681FD5" w:rsidRPr="0076392E">
        <w:rPr>
          <w:rFonts w:ascii="Arial" w:hAnsi="Arial" w:cs="Arial"/>
          <w:sz w:val="20"/>
          <w:szCs w:val="20"/>
          <w:lang w:val="en-US"/>
        </w:rPr>
        <w:t>cytokines that play</w:t>
      </w:r>
      <w:r w:rsidR="0072107F" w:rsidRPr="0076392E">
        <w:rPr>
          <w:rFonts w:ascii="Arial" w:hAnsi="Arial" w:cs="Arial"/>
          <w:sz w:val="20"/>
          <w:szCs w:val="20"/>
          <w:lang w:val="en-US"/>
        </w:rPr>
        <w:t xml:space="preserve"> major role</w:t>
      </w:r>
      <w:r w:rsidR="00681FD5" w:rsidRPr="0076392E">
        <w:rPr>
          <w:rFonts w:ascii="Arial" w:hAnsi="Arial" w:cs="Arial"/>
          <w:sz w:val="20"/>
          <w:szCs w:val="20"/>
          <w:lang w:val="en-US"/>
        </w:rPr>
        <w:t>s</w:t>
      </w:r>
      <w:r w:rsidR="0098729E" w:rsidRPr="0076392E">
        <w:rPr>
          <w:rFonts w:ascii="Arial" w:hAnsi="Arial" w:cs="Arial"/>
          <w:sz w:val="20"/>
          <w:szCs w:val="20"/>
          <w:lang w:val="en-US"/>
        </w:rPr>
        <w:t xml:space="preserve"> in the pathoge</w:t>
      </w:r>
      <w:r w:rsidR="0072107F" w:rsidRPr="0076392E">
        <w:rPr>
          <w:rFonts w:ascii="Arial" w:hAnsi="Arial" w:cs="Arial"/>
          <w:sz w:val="20"/>
          <w:szCs w:val="20"/>
          <w:lang w:val="en-US"/>
        </w:rPr>
        <w:t>nesis and</w:t>
      </w:r>
      <w:r w:rsidR="00681FD5" w:rsidRPr="0076392E">
        <w:rPr>
          <w:rFonts w:ascii="Arial" w:hAnsi="Arial" w:cs="Arial"/>
          <w:sz w:val="20"/>
          <w:szCs w:val="20"/>
          <w:lang w:val="en-US"/>
        </w:rPr>
        <w:t xml:space="preserve"> therapeutic management of </w:t>
      </w:r>
      <w:r w:rsidR="0098729E" w:rsidRPr="0076392E">
        <w:rPr>
          <w:rFonts w:ascii="Arial" w:hAnsi="Arial" w:cs="Arial"/>
          <w:sz w:val="20"/>
          <w:szCs w:val="20"/>
          <w:lang w:val="en-US"/>
        </w:rPr>
        <w:t xml:space="preserve">many </w:t>
      </w:r>
      <w:r w:rsidR="0098729E" w:rsidRPr="0076392E">
        <w:rPr>
          <w:rFonts w:ascii="Arial" w:hAnsi="Arial" w:cs="Arial"/>
          <w:sz w:val="20"/>
          <w:szCs w:val="20"/>
          <w:lang w:val="en-GB"/>
        </w:rPr>
        <w:t xml:space="preserve">metabolic </w:t>
      </w:r>
      <w:r w:rsidR="0072107F" w:rsidRPr="0076392E">
        <w:rPr>
          <w:rFonts w:ascii="Arial" w:hAnsi="Arial" w:cs="Arial"/>
          <w:sz w:val="20"/>
          <w:szCs w:val="20"/>
          <w:lang w:val="en-GB"/>
        </w:rPr>
        <w:t>diseases</w:t>
      </w:r>
      <w:r w:rsidR="0072107F" w:rsidRPr="0076392E">
        <w:rPr>
          <w:rFonts w:ascii="Arial" w:hAnsi="Arial" w:cs="Arial"/>
          <w:sz w:val="20"/>
          <w:szCs w:val="20"/>
          <w:lang w:val="en-US"/>
        </w:rPr>
        <w:t xml:space="preserve">. </w:t>
      </w:r>
    </w:p>
    <w:p w14:paraId="111CBE60" w14:textId="3AC3A395" w:rsidR="00681FD5" w:rsidRPr="0076392E" w:rsidRDefault="00BF1F9E" w:rsidP="00E553B5">
      <w:pPr>
        <w:spacing w:line="360" w:lineRule="auto"/>
        <w:jc w:val="both"/>
        <w:rPr>
          <w:rFonts w:ascii="Arial" w:hAnsi="Arial" w:cs="Arial"/>
          <w:sz w:val="20"/>
          <w:szCs w:val="20"/>
          <w:lang w:val="en-US"/>
        </w:rPr>
      </w:pPr>
      <w:r w:rsidRPr="00CC5D6C">
        <w:rPr>
          <w:rFonts w:ascii="Arial" w:hAnsi="Arial" w:cs="Arial"/>
          <w:b/>
          <w:sz w:val="20"/>
          <w:szCs w:val="20"/>
          <w:highlight w:val="yellow"/>
          <w:lang w:val="en-US"/>
        </w:rPr>
        <w:t xml:space="preserve">Aim: </w:t>
      </w:r>
      <w:r w:rsidR="0072107F" w:rsidRPr="00CC5D6C">
        <w:rPr>
          <w:rFonts w:ascii="Arial" w:hAnsi="Arial" w:cs="Arial"/>
          <w:sz w:val="20"/>
          <w:szCs w:val="20"/>
          <w:highlight w:val="yellow"/>
          <w:lang w:val="en-US"/>
        </w:rPr>
        <w:t>This</w:t>
      </w:r>
      <w:r w:rsidR="0072107F" w:rsidRPr="0076392E">
        <w:rPr>
          <w:rFonts w:ascii="Arial" w:hAnsi="Arial" w:cs="Arial"/>
          <w:sz w:val="20"/>
          <w:szCs w:val="20"/>
          <w:lang w:val="en-US"/>
        </w:rPr>
        <w:t xml:space="preserve"> </w:t>
      </w:r>
      <w:r w:rsidR="0098729E" w:rsidRPr="0076392E">
        <w:rPr>
          <w:rFonts w:ascii="Arial" w:hAnsi="Arial" w:cs="Arial"/>
          <w:sz w:val="20"/>
          <w:szCs w:val="20"/>
          <w:lang w:val="en-US"/>
        </w:rPr>
        <w:t>study aimed at evaluating the role of TNF-α and Adiponectin amongst Ins</w:t>
      </w:r>
      <w:r w:rsidR="004B2F05" w:rsidRPr="0076392E">
        <w:rPr>
          <w:rFonts w:ascii="Arial" w:hAnsi="Arial" w:cs="Arial"/>
          <w:sz w:val="20"/>
          <w:szCs w:val="20"/>
          <w:lang w:val="en-US"/>
        </w:rPr>
        <w:t xml:space="preserve">ulin-Treatment Failure </w:t>
      </w:r>
      <w:r w:rsidR="002922F7" w:rsidRPr="0076392E">
        <w:rPr>
          <w:rFonts w:ascii="Arial" w:hAnsi="Arial" w:cs="Arial"/>
          <w:sz w:val="20"/>
          <w:szCs w:val="20"/>
          <w:lang w:val="en-US"/>
        </w:rPr>
        <w:t xml:space="preserve">and </w:t>
      </w:r>
      <w:r w:rsidR="004B2F05" w:rsidRPr="0076392E">
        <w:rPr>
          <w:rFonts w:ascii="Arial" w:hAnsi="Arial" w:cs="Arial"/>
          <w:sz w:val="20"/>
          <w:szCs w:val="20"/>
          <w:lang w:val="en-US"/>
        </w:rPr>
        <w:t>insulin therapy success</w:t>
      </w:r>
      <w:r w:rsidR="0098729E" w:rsidRPr="0076392E">
        <w:rPr>
          <w:rFonts w:ascii="Arial" w:hAnsi="Arial" w:cs="Arial"/>
          <w:sz w:val="20"/>
          <w:szCs w:val="20"/>
          <w:lang w:val="en-US"/>
        </w:rPr>
        <w:t xml:space="preserve"> </w:t>
      </w:r>
      <w:r w:rsidR="002922F7" w:rsidRPr="0076392E">
        <w:rPr>
          <w:rFonts w:ascii="Arial" w:hAnsi="Arial" w:cs="Arial"/>
          <w:sz w:val="20"/>
          <w:szCs w:val="20"/>
          <w:lang w:val="en-US"/>
        </w:rPr>
        <w:t xml:space="preserve">in </w:t>
      </w:r>
      <w:r w:rsidR="00776631" w:rsidRPr="0076392E">
        <w:rPr>
          <w:rFonts w:ascii="Arial" w:hAnsi="Arial" w:cs="Arial"/>
          <w:sz w:val="20"/>
          <w:szCs w:val="20"/>
          <w:lang w:val="en-US"/>
        </w:rPr>
        <w:t>t</w:t>
      </w:r>
      <w:r w:rsidR="00270132" w:rsidRPr="0076392E">
        <w:rPr>
          <w:rFonts w:ascii="Arial" w:hAnsi="Arial" w:cs="Arial"/>
          <w:sz w:val="20"/>
          <w:szCs w:val="20"/>
          <w:lang w:val="en-US"/>
        </w:rPr>
        <w:t>ype 2</w:t>
      </w:r>
      <w:r w:rsidR="002575F2" w:rsidRPr="0076392E">
        <w:rPr>
          <w:rFonts w:ascii="Arial" w:hAnsi="Arial" w:cs="Arial"/>
          <w:sz w:val="20"/>
          <w:szCs w:val="20"/>
          <w:lang w:val="en-US"/>
        </w:rPr>
        <w:t xml:space="preserve"> </w:t>
      </w:r>
      <w:r w:rsidR="0098729E" w:rsidRPr="0076392E">
        <w:rPr>
          <w:rFonts w:ascii="Arial" w:hAnsi="Arial" w:cs="Arial"/>
          <w:sz w:val="20"/>
          <w:szCs w:val="20"/>
          <w:lang w:val="en-US"/>
        </w:rPr>
        <w:t>Diabetic M</w:t>
      </w:r>
      <w:r w:rsidR="00A429A1" w:rsidRPr="0076392E">
        <w:rPr>
          <w:rFonts w:ascii="Arial" w:hAnsi="Arial" w:cs="Arial"/>
          <w:sz w:val="20"/>
          <w:szCs w:val="20"/>
          <w:lang w:val="en-US"/>
        </w:rPr>
        <w:t xml:space="preserve">ellitus </w:t>
      </w:r>
      <w:r w:rsidR="00681FD5" w:rsidRPr="0076392E">
        <w:rPr>
          <w:rFonts w:ascii="Arial" w:hAnsi="Arial" w:cs="Arial"/>
          <w:sz w:val="20"/>
          <w:szCs w:val="20"/>
          <w:lang w:val="en-US"/>
        </w:rPr>
        <w:t>subjects using enzyme-linked immu</w:t>
      </w:r>
      <w:r w:rsidR="00FE61C0" w:rsidRPr="0076392E">
        <w:rPr>
          <w:rFonts w:ascii="Arial" w:hAnsi="Arial" w:cs="Arial"/>
          <w:sz w:val="20"/>
          <w:szCs w:val="20"/>
          <w:lang w:val="en-US"/>
        </w:rPr>
        <w:t>nosorbent assay (ELISA)</w:t>
      </w:r>
      <w:r w:rsidR="007D661F">
        <w:rPr>
          <w:rFonts w:ascii="Arial" w:hAnsi="Arial" w:cs="Arial"/>
          <w:sz w:val="20"/>
          <w:szCs w:val="20"/>
          <w:lang w:val="en-US"/>
        </w:rPr>
        <w:t>.</w:t>
      </w:r>
    </w:p>
    <w:p w14:paraId="459167F5" w14:textId="5EA268BB" w:rsidR="0098729E" w:rsidRPr="0076392E" w:rsidRDefault="00BF1F9E" w:rsidP="00CC5D6C">
      <w:pPr>
        <w:spacing w:line="360" w:lineRule="auto"/>
        <w:jc w:val="both"/>
        <w:rPr>
          <w:rFonts w:ascii="Arial" w:hAnsi="Arial" w:cs="Arial"/>
          <w:sz w:val="20"/>
          <w:szCs w:val="20"/>
          <w:lang w:val="en-US"/>
        </w:rPr>
      </w:pPr>
      <w:r w:rsidRPr="00CC5D6C">
        <w:rPr>
          <w:rFonts w:ascii="Arial" w:hAnsi="Arial" w:cs="Arial"/>
          <w:b/>
          <w:sz w:val="20"/>
          <w:szCs w:val="20"/>
          <w:highlight w:val="yellow"/>
          <w:lang w:val="en-US"/>
        </w:rPr>
        <w:t>Methodology</w:t>
      </w:r>
      <w:r w:rsidRPr="00CC5D6C">
        <w:rPr>
          <w:rFonts w:ascii="Arial" w:hAnsi="Arial" w:cs="Arial"/>
          <w:sz w:val="20"/>
          <w:szCs w:val="20"/>
          <w:highlight w:val="yellow"/>
          <w:lang w:val="en-US"/>
        </w:rPr>
        <w:t xml:space="preserve">: </w:t>
      </w:r>
      <w:r w:rsidRPr="00CC5D6C">
        <w:rPr>
          <w:rFonts w:ascii="Arial" w:hAnsi="Arial" w:cs="Arial"/>
          <w:bCs/>
          <w:color w:val="1A1A1A" w:themeColor="background1" w:themeShade="1A"/>
          <w:sz w:val="20"/>
          <w:szCs w:val="20"/>
          <w:highlight w:val="yellow"/>
          <w:lang w:val="en-US"/>
        </w:rPr>
        <w:t>The study was conducted at the</w:t>
      </w:r>
      <w:r w:rsidRPr="00CC5D6C">
        <w:rPr>
          <w:rFonts w:ascii="Arial" w:hAnsi="Arial" w:cs="Arial"/>
          <w:b/>
          <w:color w:val="1A1A1A" w:themeColor="background1" w:themeShade="1A"/>
          <w:sz w:val="20"/>
          <w:szCs w:val="20"/>
          <w:highlight w:val="yellow"/>
          <w:lang w:val="en-US"/>
        </w:rPr>
        <w:t xml:space="preserve"> </w:t>
      </w:r>
      <w:r w:rsidR="00CB6DDD" w:rsidRPr="00CC5D6C">
        <w:rPr>
          <w:rFonts w:ascii="Arial" w:hAnsi="Arial" w:cs="Arial"/>
          <w:color w:val="1A1A1A" w:themeColor="background1" w:themeShade="1A"/>
          <w:sz w:val="20"/>
          <w:szCs w:val="20"/>
          <w:highlight w:val="yellow"/>
          <w:lang w:val="en-US"/>
        </w:rPr>
        <w:t>Diabetic</w:t>
      </w:r>
      <w:r w:rsidR="00CB6DDD" w:rsidRPr="0076392E">
        <w:rPr>
          <w:rFonts w:ascii="Arial" w:hAnsi="Arial" w:cs="Arial"/>
          <w:color w:val="1A1A1A" w:themeColor="background1" w:themeShade="1A"/>
          <w:sz w:val="20"/>
          <w:szCs w:val="20"/>
          <w:lang w:val="en-US"/>
        </w:rPr>
        <w:t xml:space="preserve"> unit of the </w:t>
      </w:r>
      <w:proofErr w:type="spellStart"/>
      <w:r w:rsidR="00CB6DDD" w:rsidRPr="0076392E">
        <w:rPr>
          <w:rFonts w:ascii="Arial" w:hAnsi="Arial" w:cs="Arial"/>
          <w:color w:val="1A1A1A" w:themeColor="background1" w:themeShade="1A"/>
          <w:sz w:val="20"/>
          <w:szCs w:val="20"/>
          <w:lang w:val="en-US"/>
        </w:rPr>
        <w:t>Cité</w:t>
      </w:r>
      <w:proofErr w:type="spellEnd"/>
      <w:r w:rsidR="00CB6DDD" w:rsidRPr="0076392E">
        <w:rPr>
          <w:rFonts w:ascii="Arial" w:hAnsi="Arial" w:cs="Arial"/>
          <w:color w:val="1A1A1A" w:themeColor="background1" w:themeShade="1A"/>
          <w:sz w:val="20"/>
          <w:szCs w:val="20"/>
          <w:lang w:val="en-US"/>
        </w:rPr>
        <w:t xml:space="preserve"> </w:t>
      </w:r>
      <w:proofErr w:type="spellStart"/>
      <w:r w:rsidR="00CB6DDD" w:rsidRPr="0076392E">
        <w:rPr>
          <w:rFonts w:ascii="Arial" w:hAnsi="Arial" w:cs="Arial"/>
          <w:color w:val="1A1A1A" w:themeColor="background1" w:themeShade="1A"/>
          <w:sz w:val="20"/>
          <w:szCs w:val="20"/>
          <w:lang w:val="en-US"/>
        </w:rPr>
        <w:t>verte</w:t>
      </w:r>
      <w:proofErr w:type="spellEnd"/>
      <w:r w:rsidR="00CB6DDD" w:rsidRPr="0076392E">
        <w:rPr>
          <w:rFonts w:ascii="Arial" w:hAnsi="Arial" w:cs="Arial"/>
          <w:color w:val="1A1A1A" w:themeColor="background1" w:themeShade="1A"/>
          <w:sz w:val="20"/>
          <w:szCs w:val="20"/>
          <w:lang w:val="en-US"/>
        </w:rPr>
        <w:t xml:space="preserve"> hospital, </w:t>
      </w:r>
      <w:proofErr w:type="spellStart"/>
      <w:r w:rsidR="00CB6DDD" w:rsidRPr="0076392E">
        <w:rPr>
          <w:rFonts w:ascii="Arial" w:hAnsi="Arial" w:cs="Arial"/>
          <w:color w:val="1A1A1A" w:themeColor="background1" w:themeShade="1A"/>
          <w:sz w:val="20"/>
          <w:szCs w:val="20"/>
          <w:lang w:val="en-US"/>
        </w:rPr>
        <w:t>Yaounde</w:t>
      </w:r>
      <w:proofErr w:type="spellEnd"/>
      <w:r w:rsidR="00CB6DDD" w:rsidRPr="0076392E">
        <w:rPr>
          <w:rFonts w:ascii="Arial" w:hAnsi="Arial" w:cs="Arial"/>
          <w:color w:val="1A1A1A" w:themeColor="background1" w:themeShade="1A"/>
          <w:sz w:val="20"/>
          <w:szCs w:val="20"/>
          <w:lang w:val="en-US"/>
        </w:rPr>
        <w:t>, Cameroon</w:t>
      </w:r>
      <w:r>
        <w:rPr>
          <w:rFonts w:ascii="Arial" w:hAnsi="Arial" w:cs="Arial"/>
          <w:color w:val="1A1A1A" w:themeColor="background1" w:themeShade="1A"/>
          <w:sz w:val="20"/>
          <w:szCs w:val="20"/>
          <w:lang w:val="en-US"/>
        </w:rPr>
        <w:t>,</w:t>
      </w:r>
      <w:r w:rsidR="00CB6DDD" w:rsidRPr="0076392E">
        <w:rPr>
          <w:rFonts w:ascii="Arial" w:hAnsi="Arial" w:cs="Arial"/>
          <w:color w:val="1A1A1A" w:themeColor="background1" w:themeShade="1A"/>
          <w:sz w:val="20"/>
          <w:szCs w:val="20"/>
          <w:lang w:val="en-US"/>
        </w:rPr>
        <w:t xml:space="preserve"> </w:t>
      </w:r>
      <w:r w:rsidR="00CB6DDD" w:rsidRPr="0076392E">
        <w:rPr>
          <w:rFonts w:ascii="Arial" w:hAnsi="Arial" w:cs="Arial"/>
          <w:sz w:val="20"/>
          <w:szCs w:val="20"/>
          <w:lang w:val="en-US"/>
        </w:rPr>
        <w:t xml:space="preserve">between February 2023 and </w:t>
      </w:r>
      <w:r w:rsidR="002575F2" w:rsidRPr="0076392E">
        <w:rPr>
          <w:rFonts w:ascii="Arial" w:hAnsi="Arial" w:cs="Arial"/>
          <w:sz w:val="20"/>
          <w:szCs w:val="20"/>
          <w:lang w:val="en-US"/>
        </w:rPr>
        <w:t>March 2024</w:t>
      </w:r>
      <w:r w:rsidR="00CB6DDD" w:rsidRPr="0076392E">
        <w:rPr>
          <w:rFonts w:ascii="Arial" w:hAnsi="Arial" w:cs="Arial"/>
          <w:sz w:val="20"/>
          <w:szCs w:val="20"/>
          <w:lang w:val="en-US"/>
        </w:rPr>
        <w:t xml:space="preserve">. </w:t>
      </w:r>
      <w:r w:rsidRPr="00CC5D6C">
        <w:rPr>
          <w:rFonts w:ascii="Arial" w:hAnsi="Arial" w:cs="Arial"/>
          <w:sz w:val="20"/>
          <w:szCs w:val="20"/>
          <w:highlight w:val="yellow"/>
          <w:lang w:val="en-US"/>
        </w:rPr>
        <w:t>A</w:t>
      </w:r>
      <w:r w:rsidR="0098729E" w:rsidRPr="00CC5D6C">
        <w:rPr>
          <w:rFonts w:ascii="Arial" w:hAnsi="Arial" w:cs="Arial"/>
          <w:sz w:val="20"/>
          <w:szCs w:val="20"/>
          <w:highlight w:val="yellow"/>
          <w:lang w:val="en-US"/>
        </w:rPr>
        <w:t xml:space="preserve"> </w:t>
      </w:r>
      <w:r w:rsidRPr="00CC5D6C">
        <w:rPr>
          <w:rFonts w:ascii="Arial" w:hAnsi="Arial" w:cs="Arial"/>
          <w:sz w:val="20"/>
          <w:szCs w:val="20"/>
          <w:highlight w:val="yellow"/>
          <w:lang w:val="en-US"/>
        </w:rPr>
        <w:t>case-control</w:t>
      </w:r>
      <w:r w:rsidR="0098729E" w:rsidRPr="00CC5D6C">
        <w:rPr>
          <w:rFonts w:ascii="Arial" w:hAnsi="Arial" w:cs="Arial"/>
          <w:sz w:val="20"/>
          <w:szCs w:val="20"/>
          <w:highlight w:val="yellow"/>
          <w:lang w:val="en-US"/>
        </w:rPr>
        <w:t xml:space="preserve"> study </w:t>
      </w:r>
      <w:r w:rsidRPr="00CC5D6C">
        <w:rPr>
          <w:rFonts w:ascii="Arial" w:hAnsi="Arial" w:cs="Arial"/>
          <w:sz w:val="20"/>
          <w:szCs w:val="20"/>
          <w:highlight w:val="yellow"/>
          <w:lang w:val="en-US"/>
        </w:rPr>
        <w:t xml:space="preserve">was conducted </w:t>
      </w:r>
      <w:r w:rsidR="0098729E" w:rsidRPr="00CC5D6C">
        <w:rPr>
          <w:rFonts w:ascii="Arial" w:hAnsi="Arial" w:cs="Arial"/>
          <w:sz w:val="20"/>
          <w:szCs w:val="20"/>
          <w:highlight w:val="yellow"/>
          <w:lang w:val="en-US"/>
        </w:rPr>
        <w:t>with</w:t>
      </w:r>
      <w:r w:rsidR="0098729E" w:rsidRPr="0076392E">
        <w:rPr>
          <w:rFonts w:ascii="Arial" w:hAnsi="Arial" w:cs="Arial"/>
          <w:sz w:val="20"/>
          <w:szCs w:val="20"/>
          <w:lang w:val="en-US"/>
        </w:rPr>
        <w:t xml:space="preserve"> 80 enrolled participants</w:t>
      </w:r>
      <w:r w:rsidR="00A429A1" w:rsidRPr="0076392E">
        <w:rPr>
          <w:rFonts w:ascii="Arial" w:hAnsi="Arial" w:cs="Arial"/>
          <w:sz w:val="20"/>
          <w:szCs w:val="20"/>
          <w:lang w:val="en-US"/>
        </w:rPr>
        <w:t xml:space="preserve"> (41 subjects in insulin treatment failu</w:t>
      </w:r>
      <w:r w:rsidR="00B20F1F" w:rsidRPr="0076392E">
        <w:rPr>
          <w:rFonts w:ascii="Arial" w:hAnsi="Arial" w:cs="Arial"/>
          <w:sz w:val="20"/>
          <w:szCs w:val="20"/>
          <w:lang w:val="en-US"/>
        </w:rPr>
        <w:t>re and 39 with therapy success).</w:t>
      </w:r>
      <w:r w:rsidR="0098729E" w:rsidRPr="0076392E">
        <w:rPr>
          <w:rFonts w:ascii="Arial" w:hAnsi="Arial" w:cs="Arial"/>
          <w:sz w:val="20"/>
          <w:szCs w:val="20"/>
          <w:lang w:val="en-US"/>
        </w:rPr>
        <w:t xml:space="preserve"> </w:t>
      </w:r>
      <w:r w:rsidRPr="00CC5D6C">
        <w:rPr>
          <w:rFonts w:ascii="Arial" w:hAnsi="Arial" w:cs="Arial"/>
          <w:sz w:val="20"/>
          <w:szCs w:val="20"/>
          <w:highlight w:val="yellow"/>
          <w:lang w:val="en-US"/>
        </w:rPr>
        <w:t xml:space="preserve">The </w:t>
      </w:r>
      <w:r w:rsidR="0098729E" w:rsidRPr="0076392E">
        <w:rPr>
          <w:rFonts w:ascii="Arial" w:hAnsi="Arial" w:cs="Arial"/>
          <w:sz w:val="20"/>
          <w:szCs w:val="20"/>
          <w:lang w:val="en-US"/>
        </w:rPr>
        <w:t>TNF-</w:t>
      </w:r>
      <w:r w:rsidR="00A429A1" w:rsidRPr="0076392E">
        <w:rPr>
          <w:rFonts w:ascii="Arial" w:hAnsi="Arial" w:cs="Arial"/>
          <w:sz w:val="20"/>
          <w:szCs w:val="20"/>
          <w:lang w:val="en-US"/>
        </w:rPr>
        <w:t>α</w:t>
      </w:r>
      <w:r w:rsidR="0098729E" w:rsidRPr="0076392E">
        <w:rPr>
          <w:rFonts w:ascii="Arial" w:hAnsi="Arial" w:cs="Arial"/>
          <w:sz w:val="20"/>
          <w:szCs w:val="20"/>
          <w:lang w:val="en-US"/>
        </w:rPr>
        <w:t>, adip</w:t>
      </w:r>
      <w:r w:rsidR="00A429A1" w:rsidRPr="0076392E">
        <w:rPr>
          <w:rFonts w:ascii="Arial" w:hAnsi="Arial" w:cs="Arial"/>
          <w:sz w:val="20"/>
          <w:szCs w:val="20"/>
          <w:lang w:val="en-US"/>
        </w:rPr>
        <w:t xml:space="preserve">onectin and </w:t>
      </w:r>
      <w:r w:rsidR="00A429A1" w:rsidRPr="00CC5D6C">
        <w:rPr>
          <w:rFonts w:ascii="Arial" w:hAnsi="Arial" w:cs="Arial"/>
          <w:sz w:val="20"/>
          <w:szCs w:val="20"/>
          <w:highlight w:val="yellow"/>
          <w:lang w:val="en-US"/>
        </w:rPr>
        <w:t xml:space="preserve">glycated </w:t>
      </w:r>
      <w:proofErr w:type="spellStart"/>
      <w:r w:rsidRPr="00CC5D6C">
        <w:rPr>
          <w:rFonts w:ascii="Arial" w:hAnsi="Arial" w:cs="Arial"/>
          <w:sz w:val="20"/>
          <w:szCs w:val="20"/>
          <w:highlight w:val="yellow"/>
          <w:lang w:val="en-US"/>
        </w:rPr>
        <w:t>haemoglobin</w:t>
      </w:r>
      <w:proofErr w:type="spellEnd"/>
      <w:r w:rsidRPr="00CC5D6C">
        <w:rPr>
          <w:rFonts w:ascii="Arial" w:hAnsi="Arial" w:cs="Arial"/>
          <w:spacing w:val="35"/>
          <w:sz w:val="20"/>
          <w:szCs w:val="20"/>
          <w:highlight w:val="yellow"/>
          <w:lang w:val="en-US"/>
        </w:rPr>
        <w:t xml:space="preserve"> were measured </w:t>
      </w:r>
      <w:r w:rsidR="0098729E" w:rsidRPr="00CC5D6C">
        <w:rPr>
          <w:rFonts w:ascii="Arial" w:hAnsi="Arial" w:cs="Arial"/>
          <w:spacing w:val="1"/>
          <w:sz w:val="20"/>
          <w:szCs w:val="20"/>
          <w:highlight w:val="yellow"/>
          <w:lang w:val="en-US"/>
        </w:rPr>
        <w:t>o</w:t>
      </w:r>
      <w:r w:rsidR="0098729E" w:rsidRPr="00CC5D6C">
        <w:rPr>
          <w:rFonts w:ascii="Arial" w:hAnsi="Arial" w:cs="Arial"/>
          <w:sz w:val="20"/>
          <w:szCs w:val="20"/>
          <w:highlight w:val="yellow"/>
          <w:lang w:val="en-US"/>
        </w:rPr>
        <w:t>n</w:t>
      </w:r>
      <w:r w:rsidR="0098729E" w:rsidRPr="0076392E">
        <w:rPr>
          <w:rFonts w:ascii="Arial" w:hAnsi="Arial" w:cs="Arial"/>
          <w:spacing w:val="30"/>
          <w:sz w:val="20"/>
          <w:szCs w:val="20"/>
          <w:lang w:val="en-US"/>
        </w:rPr>
        <w:t xml:space="preserve"> </w:t>
      </w:r>
      <w:r w:rsidR="0098729E" w:rsidRPr="0076392E">
        <w:rPr>
          <w:rFonts w:ascii="Arial" w:hAnsi="Arial" w:cs="Arial"/>
          <w:sz w:val="20"/>
          <w:szCs w:val="20"/>
          <w:lang w:val="en-US"/>
        </w:rPr>
        <w:t>wh</w:t>
      </w:r>
      <w:r w:rsidR="0098729E" w:rsidRPr="0076392E">
        <w:rPr>
          <w:rFonts w:ascii="Arial" w:hAnsi="Arial" w:cs="Arial"/>
          <w:spacing w:val="1"/>
          <w:sz w:val="20"/>
          <w:szCs w:val="20"/>
          <w:lang w:val="en-US"/>
        </w:rPr>
        <w:t>o</w:t>
      </w:r>
      <w:r w:rsidR="0098729E" w:rsidRPr="0076392E">
        <w:rPr>
          <w:rFonts w:ascii="Arial" w:hAnsi="Arial" w:cs="Arial"/>
          <w:sz w:val="20"/>
          <w:szCs w:val="20"/>
          <w:lang w:val="en-US"/>
        </w:rPr>
        <w:t>le</w:t>
      </w:r>
      <w:r w:rsidR="0098729E" w:rsidRPr="0076392E">
        <w:rPr>
          <w:rFonts w:ascii="Arial" w:hAnsi="Arial" w:cs="Arial"/>
          <w:spacing w:val="28"/>
          <w:sz w:val="20"/>
          <w:szCs w:val="20"/>
          <w:lang w:val="en-US"/>
        </w:rPr>
        <w:t xml:space="preserve"> </w:t>
      </w:r>
      <w:r w:rsidR="0098729E" w:rsidRPr="0076392E">
        <w:rPr>
          <w:rFonts w:ascii="Arial" w:hAnsi="Arial" w:cs="Arial"/>
          <w:spacing w:val="1"/>
          <w:sz w:val="20"/>
          <w:szCs w:val="20"/>
          <w:lang w:val="en-US"/>
        </w:rPr>
        <w:t>b</w:t>
      </w:r>
      <w:r w:rsidR="0098729E" w:rsidRPr="0076392E">
        <w:rPr>
          <w:rFonts w:ascii="Arial" w:hAnsi="Arial" w:cs="Arial"/>
          <w:sz w:val="20"/>
          <w:szCs w:val="20"/>
          <w:lang w:val="en-US"/>
        </w:rPr>
        <w:t>l</w:t>
      </w:r>
      <w:r w:rsidR="0098729E" w:rsidRPr="0076392E">
        <w:rPr>
          <w:rFonts w:ascii="Arial" w:hAnsi="Arial" w:cs="Arial"/>
          <w:spacing w:val="-1"/>
          <w:sz w:val="20"/>
          <w:szCs w:val="20"/>
          <w:lang w:val="en-US"/>
        </w:rPr>
        <w:t>o</w:t>
      </w:r>
      <w:r w:rsidR="0098729E" w:rsidRPr="0076392E">
        <w:rPr>
          <w:rFonts w:ascii="Arial" w:hAnsi="Arial" w:cs="Arial"/>
          <w:spacing w:val="-2"/>
          <w:sz w:val="20"/>
          <w:szCs w:val="20"/>
          <w:lang w:val="en-US"/>
        </w:rPr>
        <w:t>o</w:t>
      </w:r>
      <w:r w:rsidR="0098729E" w:rsidRPr="0076392E">
        <w:rPr>
          <w:rFonts w:ascii="Arial" w:hAnsi="Arial" w:cs="Arial"/>
          <w:sz w:val="20"/>
          <w:szCs w:val="20"/>
          <w:lang w:val="en-US"/>
        </w:rPr>
        <w:t>d sp</w:t>
      </w:r>
      <w:r w:rsidR="0098729E" w:rsidRPr="0076392E">
        <w:rPr>
          <w:rFonts w:ascii="Arial" w:hAnsi="Arial" w:cs="Arial"/>
          <w:spacing w:val="-1"/>
          <w:sz w:val="20"/>
          <w:szCs w:val="20"/>
          <w:lang w:val="en-US"/>
        </w:rPr>
        <w:t>ec</w:t>
      </w:r>
      <w:r w:rsidR="0098729E" w:rsidRPr="0076392E">
        <w:rPr>
          <w:rFonts w:ascii="Arial" w:hAnsi="Arial" w:cs="Arial"/>
          <w:sz w:val="20"/>
          <w:szCs w:val="20"/>
          <w:lang w:val="en-US"/>
        </w:rPr>
        <w:t>im</w:t>
      </w:r>
      <w:r w:rsidR="0098729E" w:rsidRPr="0076392E">
        <w:rPr>
          <w:rFonts w:ascii="Arial" w:hAnsi="Arial" w:cs="Arial"/>
          <w:spacing w:val="-2"/>
          <w:sz w:val="20"/>
          <w:szCs w:val="20"/>
          <w:lang w:val="en-US"/>
        </w:rPr>
        <w:t>e</w:t>
      </w:r>
      <w:r w:rsidR="0098729E" w:rsidRPr="0076392E">
        <w:rPr>
          <w:rFonts w:ascii="Arial" w:hAnsi="Arial" w:cs="Arial"/>
          <w:spacing w:val="1"/>
          <w:sz w:val="20"/>
          <w:szCs w:val="20"/>
          <w:lang w:val="en-US"/>
        </w:rPr>
        <w:t>n</w:t>
      </w:r>
      <w:r w:rsidR="0098729E" w:rsidRPr="0076392E">
        <w:rPr>
          <w:rFonts w:ascii="Arial" w:hAnsi="Arial" w:cs="Arial"/>
          <w:sz w:val="20"/>
          <w:szCs w:val="20"/>
          <w:lang w:val="en-US"/>
        </w:rPr>
        <w:t>s</w:t>
      </w:r>
      <w:r w:rsidR="00A429A1" w:rsidRPr="0076392E">
        <w:rPr>
          <w:rFonts w:ascii="Arial" w:hAnsi="Arial" w:cs="Arial"/>
          <w:sz w:val="20"/>
          <w:szCs w:val="20"/>
          <w:lang w:val="en-US"/>
        </w:rPr>
        <w:t xml:space="preserve"> using </w:t>
      </w:r>
      <w:r w:rsidRPr="00CC5D6C">
        <w:rPr>
          <w:rFonts w:ascii="Arial" w:hAnsi="Arial" w:cs="Arial"/>
          <w:sz w:val="20"/>
          <w:szCs w:val="20"/>
          <w:highlight w:val="yellow"/>
          <w:lang w:val="en-US"/>
        </w:rPr>
        <w:t>immunoassay</w:t>
      </w:r>
      <w:r w:rsidR="00A429A1" w:rsidRPr="00CC5D6C">
        <w:rPr>
          <w:rFonts w:ascii="Arial" w:hAnsi="Arial" w:cs="Arial"/>
          <w:sz w:val="20"/>
          <w:szCs w:val="20"/>
          <w:highlight w:val="yellow"/>
          <w:lang w:val="en-US"/>
        </w:rPr>
        <w:t xml:space="preserve"> techniques</w:t>
      </w:r>
      <w:r w:rsidR="0098729E" w:rsidRPr="00CC5D6C">
        <w:rPr>
          <w:rFonts w:ascii="Arial" w:hAnsi="Arial" w:cs="Arial"/>
          <w:sz w:val="20"/>
          <w:szCs w:val="20"/>
          <w:highlight w:val="yellow"/>
          <w:lang w:val="en-US"/>
        </w:rPr>
        <w:t xml:space="preserve">. </w:t>
      </w:r>
      <w:r w:rsidRPr="00CC5D6C">
        <w:rPr>
          <w:rFonts w:ascii="Arial" w:hAnsi="Arial" w:cs="Arial"/>
          <w:sz w:val="20"/>
          <w:szCs w:val="20"/>
          <w:highlight w:val="yellow"/>
          <w:lang w:val="en-US"/>
        </w:rPr>
        <w:t>The</w:t>
      </w:r>
      <w:r w:rsidR="0098729E" w:rsidRPr="00CC5D6C">
        <w:rPr>
          <w:rFonts w:ascii="Arial" w:hAnsi="Arial" w:cs="Arial"/>
          <w:sz w:val="20"/>
          <w:szCs w:val="20"/>
          <w:highlight w:val="yellow"/>
          <w:lang w:val="en-US"/>
        </w:rPr>
        <w:t xml:space="preserve"> Graph Pad </w:t>
      </w:r>
      <w:r w:rsidRPr="00CC5D6C">
        <w:rPr>
          <w:rFonts w:ascii="Arial" w:hAnsi="Arial" w:cs="Arial"/>
          <w:sz w:val="20"/>
          <w:szCs w:val="20"/>
          <w:highlight w:val="yellow"/>
          <w:lang w:val="en-US"/>
        </w:rPr>
        <w:t>Prism</w:t>
      </w:r>
      <w:r w:rsidRPr="0076392E">
        <w:rPr>
          <w:rFonts w:ascii="Arial" w:hAnsi="Arial" w:cs="Arial"/>
          <w:sz w:val="20"/>
          <w:szCs w:val="20"/>
          <w:lang w:val="en-US"/>
        </w:rPr>
        <w:t xml:space="preserve"> </w:t>
      </w:r>
      <w:r w:rsidR="0098729E" w:rsidRPr="0076392E">
        <w:rPr>
          <w:rFonts w:ascii="Arial" w:hAnsi="Arial" w:cs="Arial"/>
          <w:sz w:val="20"/>
          <w:szCs w:val="20"/>
          <w:lang w:val="en-US"/>
        </w:rPr>
        <w:t xml:space="preserve">5.0 and EPI </w:t>
      </w:r>
      <w:r w:rsidRPr="00CC5D6C">
        <w:rPr>
          <w:rFonts w:ascii="Arial" w:hAnsi="Arial" w:cs="Arial"/>
          <w:sz w:val="20"/>
          <w:szCs w:val="20"/>
          <w:highlight w:val="yellow"/>
          <w:lang w:val="en-US"/>
        </w:rPr>
        <w:t xml:space="preserve">Info </w:t>
      </w:r>
      <w:r w:rsidR="0098729E" w:rsidRPr="00CC5D6C">
        <w:rPr>
          <w:rFonts w:ascii="Arial" w:hAnsi="Arial" w:cs="Arial"/>
          <w:sz w:val="20"/>
          <w:szCs w:val="20"/>
          <w:highlight w:val="yellow"/>
          <w:lang w:val="en-US"/>
        </w:rPr>
        <w:t>7.</w:t>
      </w:r>
      <w:r w:rsidR="004444A1" w:rsidRPr="00CC5D6C">
        <w:rPr>
          <w:rFonts w:ascii="Arial" w:hAnsi="Arial" w:cs="Arial"/>
          <w:sz w:val="20"/>
          <w:szCs w:val="20"/>
          <w:highlight w:val="yellow"/>
          <w:lang w:val="en-US"/>
        </w:rPr>
        <w:t>1. sof</w:t>
      </w:r>
      <w:r w:rsidR="00511688" w:rsidRPr="00CC5D6C">
        <w:rPr>
          <w:rFonts w:ascii="Arial" w:hAnsi="Arial" w:cs="Arial"/>
          <w:sz w:val="20"/>
          <w:szCs w:val="20"/>
          <w:highlight w:val="yellow"/>
          <w:lang w:val="en-US"/>
        </w:rPr>
        <w:t>t</w:t>
      </w:r>
      <w:r w:rsidR="004444A1" w:rsidRPr="00CC5D6C">
        <w:rPr>
          <w:rFonts w:ascii="Arial" w:hAnsi="Arial" w:cs="Arial"/>
          <w:sz w:val="20"/>
          <w:szCs w:val="20"/>
          <w:highlight w:val="yellow"/>
          <w:lang w:val="en-US"/>
        </w:rPr>
        <w:t>ware</w:t>
      </w:r>
      <w:r w:rsidR="00B87448" w:rsidRPr="00CC5D6C">
        <w:rPr>
          <w:rFonts w:ascii="Arial" w:hAnsi="Arial" w:cs="Arial"/>
          <w:sz w:val="20"/>
          <w:szCs w:val="20"/>
          <w:highlight w:val="yellow"/>
          <w:lang w:val="en-US"/>
        </w:rPr>
        <w:t xml:space="preserve"> </w:t>
      </w:r>
      <w:r w:rsidRPr="00CC5D6C">
        <w:rPr>
          <w:rFonts w:ascii="Arial" w:hAnsi="Arial" w:cs="Arial"/>
          <w:sz w:val="20"/>
          <w:szCs w:val="20"/>
          <w:highlight w:val="yellow"/>
          <w:lang w:val="en-US"/>
        </w:rPr>
        <w:t xml:space="preserve">was used </w:t>
      </w:r>
      <w:r w:rsidR="00B87448" w:rsidRPr="00CC5D6C">
        <w:rPr>
          <w:rFonts w:ascii="Arial" w:hAnsi="Arial" w:cs="Arial"/>
          <w:sz w:val="20"/>
          <w:szCs w:val="20"/>
          <w:highlight w:val="yellow"/>
          <w:lang w:val="en-US"/>
        </w:rPr>
        <w:t>for</w:t>
      </w:r>
      <w:r w:rsidR="00B87448" w:rsidRPr="0076392E">
        <w:rPr>
          <w:rFonts w:ascii="Arial" w:hAnsi="Arial" w:cs="Arial"/>
          <w:sz w:val="20"/>
          <w:szCs w:val="20"/>
          <w:lang w:val="en-US"/>
        </w:rPr>
        <w:t xml:space="preserve"> the analysis of data</w:t>
      </w:r>
      <w:r w:rsidR="00F3767D" w:rsidRPr="0076392E">
        <w:rPr>
          <w:rFonts w:ascii="Arial" w:hAnsi="Arial" w:cs="Arial"/>
          <w:sz w:val="20"/>
          <w:szCs w:val="20"/>
          <w:lang w:val="en-US"/>
        </w:rPr>
        <w:t>.</w:t>
      </w:r>
    </w:p>
    <w:p w14:paraId="764DF9BE" w14:textId="788CB055" w:rsidR="0098729E" w:rsidRPr="0076392E" w:rsidRDefault="00B20F1F" w:rsidP="00E553B5">
      <w:pPr>
        <w:spacing w:after="0" w:line="360" w:lineRule="auto"/>
        <w:jc w:val="both"/>
        <w:rPr>
          <w:rFonts w:ascii="Arial" w:hAnsi="Arial" w:cs="Arial"/>
          <w:bCs/>
          <w:sz w:val="20"/>
          <w:szCs w:val="20"/>
          <w:lang w:val="en-US"/>
        </w:rPr>
      </w:pPr>
      <w:r w:rsidRPr="0076392E">
        <w:rPr>
          <w:rFonts w:ascii="Arial" w:hAnsi="Arial" w:cs="Arial"/>
          <w:b/>
          <w:bCs/>
          <w:sz w:val="20"/>
          <w:szCs w:val="20"/>
          <w:lang w:val="en-US"/>
        </w:rPr>
        <w:t>Results</w:t>
      </w:r>
      <w:r w:rsidR="006B01A4" w:rsidRPr="0076392E">
        <w:rPr>
          <w:rFonts w:ascii="Arial" w:hAnsi="Arial" w:cs="Arial"/>
          <w:b/>
          <w:bCs/>
          <w:sz w:val="20"/>
          <w:szCs w:val="20"/>
          <w:lang w:val="en-US"/>
        </w:rPr>
        <w:t>:</w:t>
      </w:r>
      <w:r w:rsidR="006B01A4" w:rsidRPr="0076392E">
        <w:rPr>
          <w:rFonts w:ascii="Arial" w:hAnsi="Arial" w:cs="Arial"/>
          <w:bCs/>
          <w:sz w:val="20"/>
          <w:szCs w:val="20"/>
          <w:lang w:val="en-US"/>
        </w:rPr>
        <w:t xml:space="preserve"> </w:t>
      </w:r>
      <w:r w:rsidR="0098729E" w:rsidRPr="0076392E">
        <w:rPr>
          <w:rFonts w:ascii="Arial" w:hAnsi="Arial" w:cs="Arial"/>
          <w:sz w:val="20"/>
          <w:szCs w:val="20"/>
          <w:lang w:val="en-US"/>
        </w:rPr>
        <w:t>TNF-</w:t>
      </w:r>
      <w:r w:rsidR="004444A1" w:rsidRPr="0076392E">
        <w:rPr>
          <w:rFonts w:ascii="Arial" w:hAnsi="Arial" w:cs="Arial"/>
          <w:sz w:val="20"/>
          <w:szCs w:val="20"/>
          <w:lang w:val="en-US"/>
        </w:rPr>
        <w:t>α</w:t>
      </w:r>
      <w:r w:rsidR="0098729E" w:rsidRPr="0076392E">
        <w:rPr>
          <w:rFonts w:ascii="Arial" w:hAnsi="Arial" w:cs="Arial"/>
          <w:sz w:val="20"/>
          <w:szCs w:val="20"/>
          <w:lang w:val="en-US"/>
        </w:rPr>
        <w:t xml:space="preserve"> and Glycated </w:t>
      </w:r>
      <w:proofErr w:type="spellStart"/>
      <w:r w:rsidR="00BF1F9E" w:rsidRPr="00CC5D6C">
        <w:rPr>
          <w:rFonts w:ascii="Arial" w:hAnsi="Arial" w:cs="Arial"/>
          <w:sz w:val="20"/>
          <w:szCs w:val="20"/>
          <w:highlight w:val="yellow"/>
          <w:lang w:val="en-US"/>
        </w:rPr>
        <w:t>haemoglobin</w:t>
      </w:r>
      <w:proofErr w:type="spellEnd"/>
      <w:r w:rsidR="00BF1F9E" w:rsidRPr="00CC5D6C">
        <w:rPr>
          <w:rFonts w:ascii="Arial" w:hAnsi="Arial" w:cs="Arial"/>
          <w:sz w:val="20"/>
          <w:szCs w:val="20"/>
          <w:highlight w:val="yellow"/>
          <w:lang w:val="en-US"/>
        </w:rPr>
        <w:t xml:space="preserve"> </w:t>
      </w:r>
      <w:r w:rsidR="0098729E" w:rsidRPr="0099683E">
        <w:rPr>
          <w:rFonts w:ascii="Arial" w:hAnsi="Arial" w:cs="Arial"/>
          <w:sz w:val="20"/>
          <w:szCs w:val="20"/>
          <w:lang w:val="en-US"/>
        </w:rPr>
        <w:t>(</w:t>
      </w:r>
      <w:proofErr w:type="spellStart"/>
      <w:r w:rsidR="0098729E" w:rsidRPr="0099683E">
        <w:rPr>
          <w:rFonts w:ascii="Arial" w:hAnsi="Arial" w:cs="Arial"/>
          <w:sz w:val="20"/>
          <w:szCs w:val="20"/>
          <w:lang w:val="en-US"/>
        </w:rPr>
        <w:t>HbAIc</w:t>
      </w:r>
      <w:proofErr w:type="spellEnd"/>
      <w:r w:rsidR="0098729E" w:rsidRPr="0099683E">
        <w:rPr>
          <w:rFonts w:ascii="Arial" w:hAnsi="Arial" w:cs="Arial"/>
          <w:sz w:val="20"/>
          <w:szCs w:val="20"/>
          <w:lang w:val="en-US"/>
        </w:rPr>
        <w:t>)</w:t>
      </w:r>
      <w:r w:rsidR="0098729E" w:rsidRPr="0076392E">
        <w:rPr>
          <w:rFonts w:ascii="Arial" w:hAnsi="Arial" w:cs="Arial"/>
          <w:sz w:val="20"/>
          <w:szCs w:val="20"/>
          <w:lang w:val="en-US"/>
        </w:rPr>
        <w:t xml:space="preserve"> mean levels </w:t>
      </w:r>
      <w:r w:rsidR="00E7444D" w:rsidRPr="0076392E">
        <w:rPr>
          <w:rFonts w:ascii="Arial" w:hAnsi="Arial" w:cs="Arial"/>
          <w:sz w:val="20"/>
          <w:szCs w:val="20"/>
          <w:lang w:val="en-US"/>
        </w:rPr>
        <w:t xml:space="preserve">were higher in patients with insulin-treatment failure subjects </w:t>
      </w:r>
      <w:r w:rsidR="00E7444D" w:rsidRPr="0076392E">
        <w:rPr>
          <w:rStyle w:val="y2iqfc"/>
          <w:rFonts w:ascii="Arial" w:hAnsi="Arial" w:cs="Arial"/>
          <w:sz w:val="20"/>
          <w:szCs w:val="20"/>
        </w:rPr>
        <w:t>(TNF-</w:t>
      </w:r>
      <w:r w:rsidR="00E7444D" w:rsidRPr="0076392E">
        <w:rPr>
          <w:rFonts w:ascii="Arial" w:hAnsi="Arial" w:cs="Arial"/>
          <w:sz w:val="20"/>
          <w:szCs w:val="20"/>
        </w:rPr>
        <w:t>α</w:t>
      </w:r>
      <w:r w:rsidR="00E7444D" w:rsidRPr="0076392E">
        <w:rPr>
          <w:rStyle w:val="y2iqfc"/>
          <w:rFonts w:ascii="Arial" w:hAnsi="Arial" w:cs="Arial"/>
          <w:sz w:val="20"/>
          <w:szCs w:val="20"/>
        </w:rPr>
        <w:t xml:space="preserve">: 19.4 ± 8, </w:t>
      </w:r>
      <w:proofErr w:type="spellStart"/>
      <w:r w:rsidR="00E7444D" w:rsidRPr="0076392E">
        <w:rPr>
          <w:rStyle w:val="y2iqfc"/>
          <w:rFonts w:ascii="Arial" w:hAnsi="Arial" w:cs="Arial"/>
          <w:sz w:val="20"/>
          <w:szCs w:val="20"/>
        </w:rPr>
        <w:t>HbAIc</w:t>
      </w:r>
      <w:proofErr w:type="spellEnd"/>
      <w:r w:rsidR="00E7444D" w:rsidRPr="0076392E">
        <w:rPr>
          <w:rStyle w:val="y2iqfc"/>
          <w:rFonts w:ascii="Arial" w:hAnsi="Arial" w:cs="Arial"/>
          <w:sz w:val="20"/>
          <w:szCs w:val="20"/>
        </w:rPr>
        <w:t xml:space="preserve">: 35.26 ± 11pg/ml)  </w:t>
      </w:r>
      <w:r w:rsidR="00E7444D" w:rsidRPr="0076392E">
        <w:rPr>
          <w:rFonts w:ascii="Arial" w:hAnsi="Arial" w:cs="Arial"/>
          <w:sz w:val="20"/>
          <w:szCs w:val="20"/>
          <w:lang w:val="en-US"/>
        </w:rPr>
        <w:t xml:space="preserve"> compared to patients with therapy success</w:t>
      </w:r>
      <w:r w:rsidR="0098729E" w:rsidRPr="0076392E">
        <w:rPr>
          <w:rFonts w:ascii="Arial" w:hAnsi="Arial" w:cs="Arial"/>
          <w:sz w:val="20"/>
          <w:szCs w:val="20"/>
          <w:lang w:val="en-US"/>
        </w:rPr>
        <w:t xml:space="preserve"> </w:t>
      </w:r>
      <w:r w:rsidR="00E7444D" w:rsidRPr="0076392E">
        <w:rPr>
          <w:rStyle w:val="y2iqfc"/>
          <w:rFonts w:ascii="Arial" w:hAnsi="Arial" w:cs="Arial"/>
          <w:sz w:val="20"/>
          <w:szCs w:val="20"/>
        </w:rPr>
        <w:t>(TNF-</w:t>
      </w:r>
      <w:r w:rsidR="00E7444D" w:rsidRPr="0076392E">
        <w:rPr>
          <w:rFonts w:ascii="Arial" w:hAnsi="Arial" w:cs="Arial"/>
          <w:sz w:val="20"/>
          <w:szCs w:val="20"/>
        </w:rPr>
        <w:t>α</w:t>
      </w:r>
      <w:r w:rsidR="00E7444D" w:rsidRPr="0076392E">
        <w:rPr>
          <w:rStyle w:val="y2iqfc"/>
          <w:rFonts w:ascii="Arial" w:hAnsi="Arial" w:cs="Arial"/>
          <w:sz w:val="20"/>
          <w:szCs w:val="20"/>
        </w:rPr>
        <w:t xml:space="preserve">: 17.1 ± 6 </w:t>
      </w:r>
      <w:proofErr w:type="spellStart"/>
      <w:r w:rsidR="00E7444D" w:rsidRPr="0076392E">
        <w:rPr>
          <w:rStyle w:val="y2iqfc"/>
          <w:rFonts w:ascii="Arial" w:hAnsi="Arial" w:cs="Arial"/>
          <w:sz w:val="20"/>
          <w:szCs w:val="20"/>
        </w:rPr>
        <w:t>pg</w:t>
      </w:r>
      <w:proofErr w:type="spellEnd"/>
      <w:r w:rsidR="00E7444D" w:rsidRPr="0076392E">
        <w:rPr>
          <w:rStyle w:val="y2iqfc"/>
          <w:rFonts w:ascii="Arial" w:hAnsi="Arial" w:cs="Arial"/>
          <w:sz w:val="20"/>
          <w:szCs w:val="20"/>
        </w:rPr>
        <w:t xml:space="preserve">/ml, </w:t>
      </w:r>
      <w:proofErr w:type="spellStart"/>
      <w:r w:rsidR="00E7444D" w:rsidRPr="0076392E">
        <w:rPr>
          <w:rStyle w:val="y2iqfc"/>
          <w:rFonts w:ascii="Arial" w:hAnsi="Arial" w:cs="Arial"/>
          <w:sz w:val="20"/>
          <w:szCs w:val="20"/>
        </w:rPr>
        <w:t>HbAIc</w:t>
      </w:r>
      <w:proofErr w:type="spellEnd"/>
      <w:r w:rsidR="00E7444D" w:rsidRPr="0076392E">
        <w:rPr>
          <w:rStyle w:val="y2iqfc"/>
          <w:rFonts w:ascii="Arial" w:hAnsi="Arial" w:cs="Arial"/>
          <w:sz w:val="20"/>
          <w:szCs w:val="20"/>
        </w:rPr>
        <w:t xml:space="preserve">: 21.5 ± 5 </w:t>
      </w:r>
      <w:proofErr w:type="spellStart"/>
      <w:r w:rsidR="00E7444D" w:rsidRPr="0076392E">
        <w:rPr>
          <w:rStyle w:val="y2iqfc"/>
          <w:rFonts w:ascii="Arial" w:hAnsi="Arial" w:cs="Arial"/>
          <w:sz w:val="20"/>
          <w:szCs w:val="20"/>
        </w:rPr>
        <w:t>pg</w:t>
      </w:r>
      <w:proofErr w:type="spellEnd"/>
      <w:r w:rsidR="00E7444D" w:rsidRPr="0076392E">
        <w:rPr>
          <w:rStyle w:val="y2iqfc"/>
          <w:rFonts w:ascii="Arial" w:hAnsi="Arial" w:cs="Arial"/>
          <w:sz w:val="20"/>
          <w:szCs w:val="20"/>
        </w:rPr>
        <w:t xml:space="preserve">/ml) </w:t>
      </w:r>
      <w:r w:rsidR="00E7444D" w:rsidRPr="0076392E">
        <w:rPr>
          <w:rFonts w:ascii="Arial" w:hAnsi="Arial" w:cs="Arial"/>
          <w:sz w:val="20"/>
          <w:szCs w:val="20"/>
          <w:lang w:val="en-US"/>
        </w:rPr>
        <w:t>with p &lt; 0.001</w:t>
      </w:r>
      <w:r w:rsidR="0098729E" w:rsidRPr="0076392E">
        <w:rPr>
          <w:rFonts w:ascii="Arial" w:hAnsi="Arial" w:cs="Arial"/>
          <w:sz w:val="20"/>
          <w:szCs w:val="20"/>
          <w:lang w:val="en-US"/>
        </w:rPr>
        <w:t xml:space="preserve">. </w:t>
      </w:r>
      <w:r w:rsidR="006142A3" w:rsidRPr="0076392E">
        <w:rPr>
          <w:rFonts w:ascii="Arial" w:hAnsi="Arial" w:cs="Arial"/>
          <w:sz w:val="20"/>
          <w:szCs w:val="20"/>
          <w:lang w:val="en-US"/>
        </w:rPr>
        <w:t xml:space="preserve">The </w:t>
      </w:r>
      <w:r w:rsidR="0098729E" w:rsidRPr="0076392E">
        <w:rPr>
          <w:rFonts w:ascii="Arial" w:hAnsi="Arial" w:cs="Arial"/>
          <w:sz w:val="20"/>
          <w:szCs w:val="20"/>
          <w:lang w:val="en-US"/>
        </w:rPr>
        <w:t xml:space="preserve">Adiponectin </w:t>
      </w:r>
      <w:r w:rsidR="006142A3" w:rsidRPr="0076392E">
        <w:rPr>
          <w:rFonts w:ascii="Arial" w:hAnsi="Arial" w:cs="Arial"/>
          <w:sz w:val="20"/>
          <w:szCs w:val="20"/>
          <w:lang w:val="en-US"/>
        </w:rPr>
        <w:t xml:space="preserve">mean levels </w:t>
      </w:r>
      <w:r w:rsidR="00BF1F9E" w:rsidRPr="00CC5D6C">
        <w:rPr>
          <w:rFonts w:ascii="Arial" w:hAnsi="Arial" w:cs="Arial"/>
          <w:sz w:val="20"/>
          <w:szCs w:val="20"/>
          <w:highlight w:val="yellow"/>
          <w:lang w:val="en-US"/>
        </w:rPr>
        <w:t xml:space="preserve">were </w:t>
      </w:r>
      <w:r w:rsidR="006142A3" w:rsidRPr="00CC5D6C">
        <w:rPr>
          <w:rFonts w:ascii="Arial" w:hAnsi="Arial" w:cs="Arial"/>
          <w:sz w:val="20"/>
          <w:szCs w:val="20"/>
          <w:highlight w:val="yellow"/>
          <w:lang w:val="en-US"/>
        </w:rPr>
        <w:t>lower</w:t>
      </w:r>
      <w:r w:rsidR="006142A3" w:rsidRPr="0076392E">
        <w:rPr>
          <w:rFonts w:ascii="Arial" w:hAnsi="Arial" w:cs="Arial"/>
          <w:sz w:val="20"/>
          <w:szCs w:val="20"/>
          <w:lang w:val="en-US"/>
        </w:rPr>
        <w:t xml:space="preserve"> in</w:t>
      </w:r>
      <w:r w:rsidR="0098729E" w:rsidRPr="0076392E">
        <w:rPr>
          <w:rFonts w:ascii="Arial" w:hAnsi="Arial" w:cs="Arial"/>
          <w:sz w:val="20"/>
          <w:szCs w:val="20"/>
          <w:lang w:val="en-US"/>
        </w:rPr>
        <w:t xml:space="preserve"> subjects </w:t>
      </w:r>
      <w:r w:rsidR="006142A3" w:rsidRPr="0076392E">
        <w:rPr>
          <w:rFonts w:ascii="Arial" w:hAnsi="Arial" w:cs="Arial"/>
          <w:sz w:val="20"/>
          <w:szCs w:val="20"/>
          <w:lang w:val="en-US"/>
        </w:rPr>
        <w:t xml:space="preserve">with treatment failure </w:t>
      </w:r>
      <w:r w:rsidR="006142A3" w:rsidRPr="0076392E">
        <w:rPr>
          <w:rStyle w:val="y2iqfc"/>
          <w:rFonts w:ascii="Arial" w:hAnsi="Arial" w:cs="Arial"/>
          <w:sz w:val="20"/>
          <w:szCs w:val="20"/>
        </w:rPr>
        <w:t xml:space="preserve">(5.62 ± 4 </w:t>
      </w:r>
      <w:proofErr w:type="spellStart"/>
      <w:r w:rsidR="006142A3" w:rsidRPr="0076392E">
        <w:rPr>
          <w:rStyle w:val="y2iqfc"/>
          <w:rFonts w:ascii="Arial" w:hAnsi="Arial" w:cs="Arial"/>
          <w:sz w:val="20"/>
          <w:szCs w:val="20"/>
        </w:rPr>
        <w:t>pg</w:t>
      </w:r>
      <w:proofErr w:type="spellEnd"/>
      <w:r w:rsidR="006142A3" w:rsidRPr="0076392E">
        <w:rPr>
          <w:rStyle w:val="y2iqfc"/>
          <w:rFonts w:ascii="Arial" w:hAnsi="Arial" w:cs="Arial"/>
          <w:sz w:val="20"/>
          <w:szCs w:val="20"/>
        </w:rPr>
        <w:t xml:space="preserve">/ml) </w:t>
      </w:r>
      <w:r w:rsidR="006142A3" w:rsidRPr="0076392E">
        <w:rPr>
          <w:rFonts w:ascii="Arial" w:hAnsi="Arial" w:cs="Arial"/>
          <w:sz w:val="20"/>
          <w:szCs w:val="20"/>
          <w:lang w:val="en-US"/>
        </w:rPr>
        <w:t xml:space="preserve">compared to patients with treatment success </w:t>
      </w:r>
      <w:r w:rsidR="006142A3" w:rsidRPr="0076392E">
        <w:rPr>
          <w:rStyle w:val="y2iqfc"/>
          <w:rFonts w:ascii="Arial" w:hAnsi="Arial" w:cs="Arial"/>
          <w:sz w:val="20"/>
          <w:szCs w:val="20"/>
        </w:rPr>
        <w:t xml:space="preserve">(6.33 ± 6 </w:t>
      </w:r>
      <w:proofErr w:type="spellStart"/>
      <w:r w:rsidR="006142A3" w:rsidRPr="0076392E">
        <w:rPr>
          <w:rStyle w:val="y2iqfc"/>
          <w:rFonts w:ascii="Arial" w:hAnsi="Arial" w:cs="Arial"/>
          <w:sz w:val="20"/>
          <w:szCs w:val="20"/>
        </w:rPr>
        <w:t>pg</w:t>
      </w:r>
      <w:proofErr w:type="spellEnd"/>
      <w:r w:rsidR="006142A3" w:rsidRPr="0076392E">
        <w:rPr>
          <w:rStyle w:val="y2iqfc"/>
          <w:rFonts w:ascii="Arial" w:hAnsi="Arial" w:cs="Arial"/>
          <w:sz w:val="20"/>
          <w:szCs w:val="20"/>
        </w:rPr>
        <w:t>/ml)</w:t>
      </w:r>
      <w:r w:rsidR="0050186F" w:rsidRPr="0076392E">
        <w:rPr>
          <w:rFonts w:ascii="Arial" w:hAnsi="Arial" w:cs="Arial"/>
          <w:sz w:val="20"/>
          <w:szCs w:val="20"/>
          <w:lang w:val="en-US"/>
        </w:rPr>
        <w:t>, was not statistically significant,</w:t>
      </w:r>
      <w:r w:rsidR="0098729E" w:rsidRPr="0076392E">
        <w:rPr>
          <w:rFonts w:ascii="Arial" w:hAnsi="Arial" w:cs="Arial"/>
          <w:sz w:val="20"/>
          <w:szCs w:val="20"/>
          <w:lang w:val="en-US"/>
        </w:rPr>
        <w:t xml:space="preserve"> p=0.0818.</w:t>
      </w:r>
      <w:r w:rsidR="0050186F" w:rsidRPr="0076392E">
        <w:rPr>
          <w:rFonts w:ascii="Arial" w:hAnsi="Arial" w:cs="Arial"/>
          <w:sz w:val="20"/>
          <w:szCs w:val="20"/>
          <w:lang w:val="en-US"/>
        </w:rPr>
        <w:t xml:space="preserve"> </w:t>
      </w:r>
      <w:r w:rsidR="00BF1F9E" w:rsidRPr="00CC5D6C">
        <w:rPr>
          <w:rFonts w:ascii="Arial" w:hAnsi="Arial" w:cs="Arial"/>
          <w:sz w:val="20"/>
          <w:szCs w:val="20"/>
          <w:highlight w:val="yellow"/>
          <w:lang w:val="en-US"/>
        </w:rPr>
        <w:t>A</w:t>
      </w:r>
      <w:r w:rsidR="00154065" w:rsidRPr="00CC5D6C">
        <w:rPr>
          <w:rFonts w:ascii="Arial" w:hAnsi="Arial" w:cs="Arial"/>
          <w:sz w:val="20"/>
          <w:szCs w:val="20"/>
          <w:highlight w:val="yellow"/>
          <w:lang w:val="en-US"/>
        </w:rPr>
        <w:t xml:space="preserve"> negative</w:t>
      </w:r>
      <w:r w:rsidR="0098729E" w:rsidRPr="0076392E">
        <w:rPr>
          <w:rFonts w:ascii="Arial" w:hAnsi="Arial" w:cs="Arial"/>
          <w:sz w:val="20"/>
          <w:szCs w:val="20"/>
          <w:lang w:val="en-US"/>
        </w:rPr>
        <w:t xml:space="preserve"> correlation </w:t>
      </w:r>
      <w:r w:rsidR="00BF1F9E" w:rsidRPr="00CC5D6C">
        <w:rPr>
          <w:rFonts w:ascii="Arial" w:hAnsi="Arial" w:cs="Arial"/>
          <w:sz w:val="20"/>
          <w:szCs w:val="20"/>
          <w:highlight w:val="yellow"/>
          <w:lang w:val="en-US"/>
        </w:rPr>
        <w:t xml:space="preserve">was observed </w:t>
      </w:r>
      <w:r w:rsidR="0098729E" w:rsidRPr="00CC5D6C">
        <w:rPr>
          <w:rFonts w:ascii="Arial" w:hAnsi="Arial" w:cs="Arial"/>
          <w:sz w:val="20"/>
          <w:szCs w:val="20"/>
          <w:highlight w:val="yellow"/>
          <w:lang w:val="en-US"/>
        </w:rPr>
        <w:t>betw</w:t>
      </w:r>
      <w:r w:rsidR="00154065" w:rsidRPr="00CC5D6C">
        <w:rPr>
          <w:rFonts w:ascii="Arial" w:hAnsi="Arial" w:cs="Arial"/>
          <w:sz w:val="20"/>
          <w:szCs w:val="20"/>
          <w:highlight w:val="yellow"/>
          <w:lang w:val="en-US"/>
        </w:rPr>
        <w:t>een</w:t>
      </w:r>
      <w:r w:rsidR="00154065" w:rsidRPr="0076392E">
        <w:rPr>
          <w:rFonts w:ascii="Arial" w:hAnsi="Arial" w:cs="Arial"/>
          <w:sz w:val="20"/>
          <w:szCs w:val="20"/>
          <w:lang w:val="en-US"/>
        </w:rPr>
        <w:t xml:space="preserve"> TNF-α and Adiponectin in</w:t>
      </w:r>
      <w:r w:rsidR="0098729E" w:rsidRPr="0076392E">
        <w:rPr>
          <w:rFonts w:ascii="Arial" w:hAnsi="Arial" w:cs="Arial"/>
          <w:sz w:val="20"/>
          <w:szCs w:val="20"/>
          <w:lang w:val="en-US"/>
        </w:rPr>
        <w:t xml:space="preserve"> subjects</w:t>
      </w:r>
      <w:r w:rsidR="00154065" w:rsidRPr="0076392E">
        <w:rPr>
          <w:rFonts w:ascii="Arial" w:hAnsi="Arial" w:cs="Arial"/>
          <w:sz w:val="20"/>
          <w:szCs w:val="20"/>
          <w:lang w:val="en-US"/>
        </w:rPr>
        <w:t xml:space="preserve"> with treatment failure</w:t>
      </w:r>
      <w:r w:rsidR="0098729E" w:rsidRPr="0076392E">
        <w:rPr>
          <w:rFonts w:ascii="Arial" w:hAnsi="Arial" w:cs="Arial"/>
          <w:sz w:val="20"/>
          <w:szCs w:val="20"/>
          <w:lang w:val="en-US"/>
        </w:rPr>
        <w:t xml:space="preserve">, with </w:t>
      </w:r>
      <w:r w:rsidR="00154065" w:rsidRPr="0076392E">
        <w:rPr>
          <w:rFonts w:ascii="Arial" w:hAnsi="Arial" w:cs="Arial"/>
          <w:sz w:val="20"/>
          <w:szCs w:val="20"/>
          <w:lang w:val="en-US"/>
        </w:rPr>
        <w:t>r=-0.03</w:t>
      </w:r>
      <w:r w:rsidR="00BF1F9E">
        <w:rPr>
          <w:rFonts w:ascii="Arial" w:hAnsi="Arial" w:cs="Arial"/>
          <w:sz w:val="20"/>
          <w:szCs w:val="20"/>
          <w:lang w:val="en-US"/>
        </w:rPr>
        <w:t xml:space="preserve">, </w:t>
      </w:r>
      <w:r w:rsidR="00BF1F9E" w:rsidRPr="00CC5D6C">
        <w:rPr>
          <w:rFonts w:ascii="Arial" w:hAnsi="Arial" w:cs="Arial"/>
          <w:sz w:val="20"/>
          <w:szCs w:val="20"/>
          <w:highlight w:val="yellow"/>
          <w:lang w:val="en-US"/>
        </w:rPr>
        <w:t>which</w:t>
      </w:r>
      <w:r w:rsidR="00BF1F9E" w:rsidRPr="0076392E">
        <w:rPr>
          <w:rFonts w:ascii="Arial" w:hAnsi="Arial" w:cs="Arial"/>
          <w:sz w:val="20"/>
          <w:szCs w:val="20"/>
          <w:lang w:val="en-US"/>
        </w:rPr>
        <w:t xml:space="preserve"> </w:t>
      </w:r>
      <w:r w:rsidR="00197FA7" w:rsidRPr="0076392E">
        <w:rPr>
          <w:rFonts w:ascii="Arial" w:hAnsi="Arial" w:cs="Arial"/>
          <w:sz w:val="20"/>
          <w:szCs w:val="20"/>
          <w:lang w:val="en-US"/>
        </w:rPr>
        <w:t>was not statistically significant, p</w:t>
      </w:r>
      <w:r w:rsidR="00154065" w:rsidRPr="0076392E">
        <w:rPr>
          <w:rFonts w:ascii="Arial" w:hAnsi="Arial" w:cs="Arial"/>
          <w:sz w:val="20"/>
          <w:szCs w:val="20"/>
          <w:lang w:val="en-US"/>
        </w:rPr>
        <w:t>=-0.08</w:t>
      </w:r>
      <w:r w:rsidR="0098729E" w:rsidRPr="0076392E">
        <w:rPr>
          <w:rFonts w:ascii="Arial" w:hAnsi="Arial" w:cs="Arial"/>
          <w:sz w:val="20"/>
          <w:szCs w:val="20"/>
          <w:lang w:val="en-US"/>
        </w:rPr>
        <w:t xml:space="preserve">. </w:t>
      </w:r>
    </w:p>
    <w:p w14:paraId="2872E2C3" w14:textId="4855B805" w:rsidR="0098729E" w:rsidRPr="0076392E" w:rsidRDefault="00BB2EA2" w:rsidP="00CC5D6C">
      <w:pPr>
        <w:spacing w:line="360" w:lineRule="auto"/>
        <w:ind w:right="15"/>
        <w:jc w:val="both"/>
        <w:rPr>
          <w:rFonts w:ascii="Arial" w:hAnsi="Arial" w:cs="Arial"/>
          <w:sz w:val="20"/>
          <w:szCs w:val="20"/>
          <w:lang w:val="en-US"/>
        </w:rPr>
      </w:pPr>
      <w:r w:rsidRPr="0076392E">
        <w:rPr>
          <w:rFonts w:ascii="Arial" w:hAnsi="Arial" w:cs="Arial"/>
          <w:b/>
          <w:bCs/>
          <w:sz w:val="20"/>
          <w:szCs w:val="20"/>
          <w:lang w:val="en-US"/>
        </w:rPr>
        <w:t>Conclusion:</w:t>
      </w:r>
      <w:r w:rsidR="0098729E" w:rsidRPr="0076392E">
        <w:rPr>
          <w:rFonts w:ascii="Arial" w:hAnsi="Arial" w:cs="Arial"/>
          <w:sz w:val="20"/>
          <w:szCs w:val="20"/>
          <w:lang w:val="en-US"/>
        </w:rPr>
        <w:t xml:space="preserve"> </w:t>
      </w:r>
      <w:r w:rsidR="00843B9F" w:rsidRPr="00CC5D6C">
        <w:rPr>
          <w:rFonts w:ascii="Arial" w:hAnsi="Arial" w:cs="Arial"/>
          <w:sz w:val="20"/>
          <w:szCs w:val="20"/>
          <w:highlight w:val="yellow"/>
          <w:lang w:val="en-US"/>
        </w:rPr>
        <w:t xml:space="preserve">The variation of TNF-alpha and Adiponectin in the serum of treatment failure and non-failure Diabetic </w:t>
      </w:r>
      <w:r w:rsidR="00843B9F" w:rsidRPr="00CC5D6C">
        <w:rPr>
          <w:rFonts w:ascii="Arial" w:hAnsi="Arial" w:cs="Arial"/>
          <w:bCs/>
          <w:color w:val="000000"/>
          <w:sz w:val="20"/>
          <w:szCs w:val="20"/>
          <w:highlight w:val="yellow"/>
          <w:lang w:val="en-US"/>
        </w:rPr>
        <w:t>patients</w:t>
      </w:r>
      <w:r w:rsidR="00843B9F" w:rsidRPr="00CC5D6C">
        <w:rPr>
          <w:rFonts w:ascii="Arial" w:hAnsi="Arial" w:cs="Arial"/>
          <w:sz w:val="20"/>
          <w:szCs w:val="20"/>
          <w:highlight w:val="yellow"/>
          <w:lang w:val="en-US"/>
        </w:rPr>
        <w:t xml:space="preserve"> could justify their implications in the pathogenesis of type 2 diabetes. </w:t>
      </w:r>
      <w:r w:rsidR="0098729E" w:rsidRPr="00CC5D6C">
        <w:rPr>
          <w:rFonts w:ascii="Arial" w:hAnsi="Arial" w:cs="Arial"/>
          <w:sz w:val="20"/>
          <w:szCs w:val="20"/>
          <w:highlight w:val="yellow"/>
          <w:lang w:val="en-US"/>
        </w:rPr>
        <w:t>The</w:t>
      </w:r>
      <w:r w:rsidR="0098729E" w:rsidRPr="0076392E">
        <w:rPr>
          <w:rFonts w:ascii="Arial" w:hAnsi="Arial" w:cs="Arial"/>
          <w:sz w:val="20"/>
          <w:szCs w:val="20"/>
          <w:lang w:val="en-US"/>
        </w:rPr>
        <w:t xml:space="preserve"> increased levels of TNF-</w:t>
      </w:r>
      <w:r w:rsidR="00533AB8" w:rsidRPr="0076392E">
        <w:rPr>
          <w:rFonts w:ascii="Arial" w:hAnsi="Arial" w:cs="Arial"/>
          <w:sz w:val="20"/>
          <w:szCs w:val="20"/>
        </w:rPr>
        <w:t>α</w:t>
      </w:r>
      <w:r w:rsidR="0098729E" w:rsidRPr="0076392E">
        <w:rPr>
          <w:rFonts w:ascii="Arial" w:hAnsi="Arial" w:cs="Arial"/>
          <w:sz w:val="20"/>
          <w:szCs w:val="20"/>
          <w:lang w:val="en-US"/>
        </w:rPr>
        <w:t xml:space="preserve">, </w:t>
      </w:r>
      <w:proofErr w:type="spellStart"/>
      <w:r w:rsidR="0098729E" w:rsidRPr="0076392E">
        <w:rPr>
          <w:rFonts w:ascii="Arial" w:hAnsi="Arial" w:cs="Arial"/>
          <w:sz w:val="20"/>
          <w:szCs w:val="20"/>
          <w:lang w:val="en-US"/>
        </w:rPr>
        <w:t>HbAIc</w:t>
      </w:r>
      <w:proofErr w:type="spellEnd"/>
      <w:r w:rsidR="00843B9F">
        <w:rPr>
          <w:rFonts w:ascii="Arial" w:hAnsi="Arial" w:cs="Arial"/>
          <w:sz w:val="20"/>
          <w:szCs w:val="20"/>
          <w:lang w:val="en-US"/>
        </w:rPr>
        <w:t>,</w:t>
      </w:r>
      <w:r w:rsidR="0098729E" w:rsidRPr="0076392E">
        <w:rPr>
          <w:rFonts w:ascii="Arial" w:hAnsi="Arial" w:cs="Arial"/>
          <w:sz w:val="20"/>
          <w:szCs w:val="20"/>
          <w:lang w:val="en-US"/>
        </w:rPr>
        <w:t xml:space="preserve"> combined with the low levels of adiponectin</w:t>
      </w:r>
      <w:r w:rsidR="00843B9F">
        <w:rPr>
          <w:rFonts w:ascii="Arial" w:hAnsi="Arial" w:cs="Arial"/>
          <w:sz w:val="20"/>
          <w:szCs w:val="20"/>
          <w:lang w:val="en-US"/>
        </w:rPr>
        <w:t>,</w:t>
      </w:r>
      <w:r w:rsidR="0098729E" w:rsidRPr="0076392E">
        <w:rPr>
          <w:rFonts w:ascii="Arial" w:hAnsi="Arial" w:cs="Arial"/>
          <w:sz w:val="20"/>
          <w:szCs w:val="20"/>
          <w:lang w:val="en-US"/>
        </w:rPr>
        <w:t xml:space="preserve"> could be exploited as</w:t>
      </w:r>
      <w:r w:rsidR="0098729E" w:rsidRPr="0076392E">
        <w:rPr>
          <w:rFonts w:ascii="Arial" w:hAnsi="Arial" w:cs="Arial"/>
          <w:spacing w:val="20"/>
          <w:sz w:val="20"/>
          <w:szCs w:val="20"/>
          <w:lang w:val="en-US"/>
        </w:rPr>
        <w:t xml:space="preserve"> </w:t>
      </w:r>
      <w:proofErr w:type="spellStart"/>
      <w:r w:rsidR="00843B9F" w:rsidRPr="00CC5D6C">
        <w:rPr>
          <w:rFonts w:ascii="Arial" w:hAnsi="Arial" w:cs="Arial"/>
          <w:spacing w:val="20"/>
          <w:sz w:val="20"/>
          <w:szCs w:val="20"/>
          <w:highlight w:val="yellow"/>
          <w:lang w:val="en-US"/>
        </w:rPr>
        <w:t>signalisation</w:t>
      </w:r>
      <w:proofErr w:type="spellEnd"/>
      <w:r w:rsidR="00843B9F" w:rsidRPr="00CC5D6C">
        <w:rPr>
          <w:rFonts w:ascii="Arial" w:hAnsi="Arial" w:cs="Arial"/>
          <w:spacing w:val="20"/>
          <w:sz w:val="20"/>
          <w:szCs w:val="20"/>
          <w:highlight w:val="yellow"/>
          <w:lang w:val="en-US"/>
        </w:rPr>
        <w:t xml:space="preserve"> </w:t>
      </w:r>
      <w:r w:rsidR="0098729E" w:rsidRPr="00CC5D6C">
        <w:rPr>
          <w:rFonts w:ascii="Arial" w:hAnsi="Arial" w:cs="Arial"/>
          <w:sz w:val="20"/>
          <w:szCs w:val="20"/>
          <w:highlight w:val="yellow"/>
          <w:lang w:val="en-US"/>
        </w:rPr>
        <w:t>biomarkers</w:t>
      </w:r>
      <w:r w:rsidR="0098729E" w:rsidRPr="0076392E">
        <w:rPr>
          <w:rFonts w:ascii="Arial" w:hAnsi="Arial" w:cs="Arial"/>
          <w:sz w:val="20"/>
          <w:szCs w:val="20"/>
          <w:lang w:val="en-US"/>
        </w:rPr>
        <w:t xml:space="preserve"> for monitoring Insulin treatment failure and other metabolic dysregulation and inflammation. </w:t>
      </w:r>
    </w:p>
    <w:p w14:paraId="6928E0E1" w14:textId="4F4B316B" w:rsidR="00A701C7" w:rsidRPr="001E5C98" w:rsidRDefault="00843B9F" w:rsidP="0076392E">
      <w:pPr>
        <w:spacing w:line="360" w:lineRule="auto"/>
        <w:sectPr w:rsidR="00A701C7" w:rsidRPr="001E5C98" w:rsidSect="00FE61C0">
          <w:headerReference w:type="even" r:id="rId7"/>
          <w:headerReference w:type="default" r:id="rId8"/>
          <w:footerReference w:type="even" r:id="rId9"/>
          <w:footerReference w:type="default" r:id="rId10"/>
          <w:headerReference w:type="first" r:id="rId11"/>
          <w:footerReference w:type="first" r:id="rId12"/>
          <w:pgSz w:w="11906" w:h="16838"/>
          <w:pgMar w:top="360" w:right="1411" w:bottom="180" w:left="1411" w:header="706" w:footer="706" w:gutter="0"/>
          <w:cols w:space="708"/>
          <w:docGrid w:linePitch="360"/>
        </w:sectPr>
      </w:pPr>
      <w:r w:rsidRPr="00843B9F">
        <w:rPr>
          <w:rFonts w:ascii="Arial" w:hAnsi="Arial" w:cs="Arial"/>
          <w:b/>
          <w:bCs/>
          <w:iCs/>
          <w:sz w:val="20"/>
          <w:szCs w:val="20"/>
          <w:lang w:val="en-US"/>
        </w:rPr>
        <w:lastRenderedPageBreak/>
        <w:t>Keywords</w:t>
      </w:r>
      <w:r w:rsidR="0098729E" w:rsidRPr="0076392E">
        <w:rPr>
          <w:rFonts w:ascii="Arial" w:hAnsi="Arial" w:cs="Arial"/>
          <w:i/>
          <w:sz w:val="20"/>
          <w:szCs w:val="20"/>
          <w:lang w:val="en-US"/>
        </w:rPr>
        <w:t xml:space="preserve">: Type 2 diabetes, </w:t>
      </w:r>
      <w:r w:rsidR="00533AB8" w:rsidRPr="0076392E">
        <w:rPr>
          <w:rFonts w:ascii="Arial" w:hAnsi="Arial" w:cs="Arial"/>
          <w:i/>
          <w:sz w:val="20"/>
          <w:szCs w:val="20"/>
          <w:lang w:val="en-US"/>
        </w:rPr>
        <w:t>pro-</w:t>
      </w:r>
      <w:r w:rsidR="0098729E" w:rsidRPr="0076392E">
        <w:rPr>
          <w:rFonts w:ascii="Arial" w:hAnsi="Arial" w:cs="Arial"/>
          <w:i/>
          <w:sz w:val="20"/>
          <w:szCs w:val="20"/>
          <w:lang w:val="en-US"/>
        </w:rPr>
        <w:t>inflammatory cytokine</w:t>
      </w:r>
      <w:r w:rsidR="00533AB8" w:rsidRPr="0076392E">
        <w:rPr>
          <w:rFonts w:ascii="Arial" w:hAnsi="Arial" w:cs="Arial"/>
          <w:i/>
          <w:sz w:val="20"/>
          <w:szCs w:val="20"/>
          <w:lang w:val="en-US"/>
        </w:rPr>
        <w:t>s, insulin-treatment failure, insulin-treatment</w:t>
      </w:r>
      <w:r w:rsidR="00A701C7">
        <w:rPr>
          <w:rFonts w:ascii="Arial" w:hAnsi="Arial" w:cs="Arial"/>
          <w:i/>
          <w:sz w:val="20"/>
          <w:szCs w:val="20"/>
          <w:lang w:val="en-US"/>
        </w:rPr>
        <w:t xml:space="preserve"> </w:t>
      </w:r>
      <w:r w:rsidRPr="001E5C98">
        <w:rPr>
          <w:rFonts w:ascii="Arial" w:hAnsi="Arial" w:cs="Arial"/>
          <w:i/>
          <w:sz w:val="20"/>
          <w:szCs w:val="20"/>
          <w:lang w:val="en-US"/>
        </w:rPr>
        <w:t>success</w:t>
      </w:r>
      <w:r w:rsidR="001E5C98" w:rsidRPr="001E5C98">
        <w:rPr>
          <w:rFonts w:ascii="Arial" w:hAnsi="Arial" w:cs="Arial"/>
          <w:i/>
          <w:sz w:val="20"/>
          <w:szCs w:val="20"/>
          <w:lang w:val="en-US"/>
        </w:rPr>
        <w:t xml:space="preserve">, </w:t>
      </w:r>
      <w:r w:rsidR="001E5C98" w:rsidRPr="001E5C98">
        <w:rPr>
          <w:rFonts w:ascii="Arial" w:hAnsi="Arial" w:cs="Arial"/>
          <w:i/>
          <w:sz w:val="20"/>
          <w:szCs w:val="20"/>
          <w:highlight w:val="yellow"/>
          <w:lang w:val="en-US"/>
        </w:rPr>
        <w:t>Adiponectin</w:t>
      </w:r>
    </w:p>
    <w:p w14:paraId="6048177D" w14:textId="77777777" w:rsidR="00776631" w:rsidRPr="0076392E" w:rsidRDefault="00776631" w:rsidP="00E553B5">
      <w:pPr>
        <w:jc w:val="both"/>
        <w:rPr>
          <w:rFonts w:ascii="Arial" w:hAnsi="Arial" w:cs="Arial"/>
          <w:sz w:val="20"/>
          <w:szCs w:val="20"/>
        </w:rPr>
        <w:sectPr w:rsidR="00776631" w:rsidRPr="0076392E" w:rsidSect="00A701C7">
          <w:type w:val="continuous"/>
          <w:pgSz w:w="11906" w:h="16838"/>
          <w:pgMar w:top="270" w:right="1417" w:bottom="270" w:left="1417" w:header="708" w:footer="708" w:gutter="0"/>
          <w:cols w:space="708"/>
          <w:docGrid w:linePitch="360"/>
        </w:sectPr>
      </w:pPr>
    </w:p>
    <w:p w14:paraId="48BA0B00" w14:textId="171133EC" w:rsidR="0098729E" w:rsidRPr="00CC5D6C" w:rsidRDefault="00C54B3E" w:rsidP="00CC5D6C">
      <w:pPr>
        <w:pStyle w:val="ListParagraph"/>
        <w:numPr>
          <w:ilvl w:val="0"/>
          <w:numId w:val="13"/>
        </w:numPr>
        <w:tabs>
          <w:tab w:val="left" w:pos="6300"/>
        </w:tabs>
        <w:spacing w:before="240" w:after="0" w:line="360" w:lineRule="auto"/>
        <w:ind w:right="359"/>
        <w:rPr>
          <w:rFonts w:ascii="Arial" w:hAnsi="Arial" w:cs="Arial"/>
          <w:b/>
          <w:bCs/>
          <w:sz w:val="20"/>
          <w:szCs w:val="20"/>
          <w:lang w:val="en-US"/>
        </w:rPr>
      </w:pPr>
      <w:r w:rsidRPr="00CC5D6C">
        <w:rPr>
          <w:rFonts w:ascii="Arial" w:hAnsi="Arial" w:cs="Arial"/>
          <w:b/>
          <w:bCs/>
          <w:lang w:val="en-US"/>
        </w:rPr>
        <w:lastRenderedPageBreak/>
        <w:t>INTRODUCTION</w:t>
      </w:r>
      <w:r w:rsidR="005C24F6" w:rsidRPr="00CC5D6C">
        <w:rPr>
          <w:rFonts w:ascii="Arial" w:hAnsi="Arial" w:cs="Arial"/>
          <w:b/>
          <w:bCs/>
          <w:sz w:val="20"/>
          <w:szCs w:val="20"/>
          <w:lang w:val="en-US"/>
        </w:rPr>
        <w:tab/>
      </w:r>
    </w:p>
    <w:p w14:paraId="2444CAC1" w14:textId="1A8A3011" w:rsidR="0098729E" w:rsidRPr="0076392E" w:rsidRDefault="003D34A3" w:rsidP="00E553B5">
      <w:pPr>
        <w:spacing w:line="360" w:lineRule="auto"/>
        <w:jc w:val="both"/>
        <w:rPr>
          <w:rFonts w:ascii="Arial" w:hAnsi="Arial" w:cs="Arial"/>
          <w:sz w:val="20"/>
          <w:szCs w:val="20"/>
          <w:lang w:val="en-US"/>
        </w:rPr>
      </w:pPr>
      <w:r w:rsidRPr="003D34A3">
        <w:rPr>
          <w:rFonts w:ascii="Arial" w:hAnsi="Arial" w:cs="Arial"/>
          <w:sz w:val="20"/>
          <w:szCs w:val="20"/>
        </w:rPr>
        <w:t>"</w:t>
      </w:r>
      <w:proofErr w:type="spellStart"/>
      <w:r w:rsidR="003D5E65" w:rsidRPr="00CC5D6C">
        <w:rPr>
          <w:rFonts w:ascii="Arial" w:hAnsi="Arial" w:cs="Arial"/>
          <w:sz w:val="20"/>
          <w:szCs w:val="20"/>
          <w:highlight w:val="yellow"/>
        </w:rPr>
        <w:t>Diabetes</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mellitus</w:t>
      </w:r>
      <w:proofErr w:type="spellEnd"/>
      <w:r w:rsidR="003D5E65" w:rsidRPr="00CC5D6C">
        <w:rPr>
          <w:rFonts w:ascii="Arial" w:hAnsi="Arial" w:cs="Arial"/>
          <w:sz w:val="20"/>
          <w:szCs w:val="20"/>
          <w:highlight w:val="yellow"/>
        </w:rPr>
        <w:t xml:space="preserve"> (DM) </w:t>
      </w:r>
      <w:proofErr w:type="spellStart"/>
      <w:r w:rsidR="003D5E65" w:rsidRPr="00CC5D6C">
        <w:rPr>
          <w:rFonts w:ascii="Arial" w:hAnsi="Arial" w:cs="Arial"/>
          <w:sz w:val="20"/>
          <w:szCs w:val="20"/>
          <w:highlight w:val="yellow"/>
        </w:rPr>
        <w:t>is</w:t>
      </w:r>
      <w:proofErr w:type="spellEnd"/>
      <w:r w:rsidR="003D5E65" w:rsidRPr="00CC5D6C">
        <w:rPr>
          <w:rFonts w:ascii="Arial" w:hAnsi="Arial" w:cs="Arial"/>
          <w:sz w:val="20"/>
          <w:szCs w:val="20"/>
          <w:highlight w:val="yellow"/>
        </w:rPr>
        <w:t xml:space="preserve"> a </w:t>
      </w:r>
      <w:proofErr w:type="spellStart"/>
      <w:r w:rsidR="003D5E65" w:rsidRPr="00CC5D6C">
        <w:rPr>
          <w:rFonts w:ascii="Arial" w:hAnsi="Arial" w:cs="Arial"/>
          <w:sz w:val="20"/>
          <w:szCs w:val="20"/>
          <w:highlight w:val="yellow"/>
        </w:rPr>
        <w:t>disease</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characterised</w:t>
      </w:r>
      <w:proofErr w:type="spellEnd"/>
      <w:r w:rsidR="003D5E65" w:rsidRPr="00CC5D6C">
        <w:rPr>
          <w:rFonts w:ascii="Arial" w:hAnsi="Arial" w:cs="Arial"/>
          <w:sz w:val="20"/>
          <w:szCs w:val="20"/>
          <w:highlight w:val="yellow"/>
        </w:rPr>
        <w:t xml:space="preserve"> by the </w:t>
      </w:r>
      <w:proofErr w:type="spellStart"/>
      <w:r w:rsidR="003D5E65" w:rsidRPr="00CC5D6C">
        <w:rPr>
          <w:rFonts w:ascii="Arial" w:hAnsi="Arial" w:cs="Arial"/>
          <w:sz w:val="20"/>
          <w:szCs w:val="20"/>
          <w:highlight w:val="yellow"/>
        </w:rPr>
        <w:t>disturbance</w:t>
      </w:r>
      <w:proofErr w:type="spellEnd"/>
      <w:r w:rsidR="003D5E65" w:rsidRPr="00CC5D6C">
        <w:rPr>
          <w:rFonts w:ascii="Arial" w:hAnsi="Arial" w:cs="Arial"/>
          <w:sz w:val="20"/>
          <w:szCs w:val="20"/>
          <w:highlight w:val="yellow"/>
        </w:rPr>
        <w:t xml:space="preserve"> of glucose </w:t>
      </w:r>
      <w:proofErr w:type="spellStart"/>
      <w:r w:rsidR="003D5E65" w:rsidRPr="00CC5D6C">
        <w:rPr>
          <w:rFonts w:ascii="Arial" w:hAnsi="Arial" w:cs="Arial"/>
          <w:sz w:val="20"/>
          <w:szCs w:val="20"/>
          <w:highlight w:val="yellow"/>
        </w:rPr>
        <w:t>homeostasis</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owing</w:t>
      </w:r>
      <w:proofErr w:type="spellEnd"/>
      <w:r w:rsidR="003D5E65" w:rsidRPr="00CC5D6C">
        <w:rPr>
          <w:rFonts w:ascii="Arial" w:hAnsi="Arial" w:cs="Arial"/>
          <w:sz w:val="20"/>
          <w:szCs w:val="20"/>
          <w:highlight w:val="yellow"/>
        </w:rPr>
        <w:t xml:space="preserve"> to </w:t>
      </w:r>
      <w:proofErr w:type="spellStart"/>
      <w:r w:rsidR="003D5E65" w:rsidRPr="00CC5D6C">
        <w:rPr>
          <w:rFonts w:ascii="Arial" w:hAnsi="Arial" w:cs="Arial"/>
          <w:sz w:val="20"/>
          <w:szCs w:val="20"/>
          <w:highlight w:val="yellow"/>
        </w:rPr>
        <w:t>insulin</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malfunction</w:t>
      </w:r>
      <w:proofErr w:type="spellEnd"/>
      <w:r w:rsidR="003D5E65" w:rsidRPr="00CC5D6C">
        <w:rPr>
          <w:rFonts w:ascii="Arial" w:hAnsi="Arial" w:cs="Arial"/>
          <w:sz w:val="20"/>
          <w:szCs w:val="20"/>
          <w:highlight w:val="yellow"/>
        </w:rPr>
        <w:t xml:space="preserve"> in the </w:t>
      </w:r>
      <w:proofErr w:type="spellStart"/>
      <w:r w:rsidR="003D5E65" w:rsidRPr="00CC5D6C">
        <w:rPr>
          <w:rFonts w:ascii="Arial" w:hAnsi="Arial" w:cs="Arial"/>
          <w:sz w:val="20"/>
          <w:szCs w:val="20"/>
          <w:highlight w:val="yellow"/>
        </w:rPr>
        <w:t>target</w:t>
      </w:r>
      <w:proofErr w:type="spellEnd"/>
      <w:r w:rsidR="003D5E65" w:rsidRPr="00CC5D6C">
        <w:rPr>
          <w:rFonts w:ascii="Arial" w:hAnsi="Arial" w:cs="Arial"/>
          <w:sz w:val="20"/>
          <w:szCs w:val="20"/>
          <w:highlight w:val="yellow"/>
        </w:rPr>
        <w:t xml:space="preserve"> tissues, </w:t>
      </w:r>
      <w:proofErr w:type="spellStart"/>
      <w:r w:rsidR="003D5E65" w:rsidRPr="00CC5D6C">
        <w:rPr>
          <w:rFonts w:ascii="Arial" w:hAnsi="Arial" w:cs="Arial"/>
          <w:sz w:val="20"/>
          <w:szCs w:val="20"/>
          <w:highlight w:val="yellow"/>
        </w:rPr>
        <w:t>causing</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abnormalities</w:t>
      </w:r>
      <w:proofErr w:type="spellEnd"/>
      <w:r w:rsidR="003D5E65" w:rsidRPr="00CC5D6C">
        <w:rPr>
          <w:rFonts w:ascii="Arial" w:hAnsi="Arial" w:cs="Arial"/>
          <w:sz w:val="20"/>
          <w:szCs w:val="20"/>
          <w:highlight w:val="yellow"/>
        </w:rPr>
        <w:t xml:space="preserve"> in fat, </w:t>
      </w:r>
      <w:proofErr w:type="spellStart"/>
      <w:r w:rsidR="003D5E65" w:rsidRPr="00CC5D6C">
        <w:rPr>
          <w:rFonts w:ascii="Arial" w:hAnsi="Arial" w:cs="Arial"/>
          <w:sz w:val="20"/>
          <w:szCs w:val="20"/>
          <w:highlight w:val="yellow"/>
        </w:rPr>
        <w:t>protein</w:t>
      </w:r>
      <w:proofErr w:type="spellEnd"/>
      <w:r w:rsidR="003D5E65" w:rsidRPr="00CC5D6C">
        <w:rPr>
          <w:rFonts w:ascii="Arial" w:hAnsi="Arial" w:cs="Arial"/>
          <w:sz w:val="20"/>
          <w:szCs w:val="20"/>
          <w:highlight w:val="yellow"/>
        </w:rPr>
        <w:t xml:space="preserve">, and carbohydrate </w:t>
      </w:r>
      <w:proofErr w:type="spellStart"/>
      <w:r w:rsidR="003D5E65" w:rsidRPr="00CC5D6C">
        <w:rPr>
          <w:rFonts w:ascii="Arial" w:hAnsi="Arial" w:cs="Arial"/>
          <w:sz w:val="20"/>
          <w:szCs w:val="20"/>
          <w:highlight w:val="yellow"/>
        </w:rPr>
        <w:t>metabolism</w:t>
      </w:r>
      <w:proofErr w:type="spellEnd"/>
      <w:r w:rsidR="003D5E65" w:rsidRPr="00CC5D6C">
        <w:rPr>
          <w:rFonts w:ascii="Arial" w:hAnsi="Arial" w:cs="Arial"/>
          <w:sz w:val="20"/>
          <w:szCs w:val="20"/>
          <w:highlight w:val="yellow"/>
        </w:rPr>
        <w:t xml:space="preserve">. The principal </w:t>
      </w:r>
      <w:proofErr w:type="spellStart"/>
      <w:r w:rsidR="003D5E65" w:rsidRPr="00CC5D6C">
        <w:rPr>
          <w:rFonts w:ascii="Arial" w:hAnsi="Arial" w:cs="Arial"/>
          <w:sz w:val="20"/>
          <w:szCs w:val="20"/>
          <w:highlight w:val="yellow"/>
        </w:rPr>
        <w:t>hallmark</w:t>
      </w:r>
      <w:proofErr w:type="spellEnd"/>
      <w:r w:rsidR="003D5E65" w:rsidRPr="00CC5D6C">
        <w:rPr>
          <w:rFonts w:ascii="Arial" w:hAnsi="Arial" w:cs="Arial"/>
          <w:sz w:val="20"/>
          <w:szCs w:val="20"/>
          <w:highlight w:val="yellow"/>
        </w:rPr>
        <w:t xml:space="preserve"> of the </w:t>
      </w:r>
      <w:proofErr w:type="spellStart"/>
      <w:r w:rsidR="003D5E65" w:rsidRPr="00CC5D6C">
        <w:rPr>
          <w:rFonts w:ascii="Arial" w:hAnsi="Arial" w:cs="Arial"/>
          <w:sz w:val="20"/>
          <w:szCs w:val="20"/>
          <w:highlight w:val="yellow"/>
        </w:rPr>
        <w:t>disease</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is</w:t>
      </w:r>
      <w:proofErr w:type="spellEnd"/>
      <w:r w:rsidR="003D5E65" w:rsidRPr="00CC5D6C">
        <w:rPr>
          <w:rFonts w:ascii="Arial" w:hAnsi="Arial" w:cs="Arial"/>
          <w:sz w:val="20"/>
          <w:szCs w:val="20"/>
          <w:highlight w:val="yellow"/>
        </w:rPr>
        <w:t xml:space="preserve"> an </w:t>
      </w:r>
      <w:proofErr w:type="spellStart"/>
      <w:r w:rsidR="003D5E65" w:rsidRPr="00CC5D6C">
        <w:rPr>
          <w:rFonts w:ascii="Arial" w:hAnsi="Arial" w:cs="Arial"/>
          <w:sz w:val="20"/>
          <w:szCs w:val="20"/>
          <w:highlight w:val="yellow"/>
        </w:rPr>
        <w:t>elevated</w:t>
      </w:r>
      <w:proofErr w:type="spellEnd"/>
      <w:r w:rsidR="003D5E65" w:rsidRPr="00CC5D6C">
        <w:rPr>
          <w:rFonts w:ascii="Arial" w:hAnsi="Arial" w:cs="Arial"/>
          <w:sz w:val="20"/>
          <w:szCs w:val="20"/>
          <w:highlight w:val="yellow"/>
        </w:rPr>
        <w:t xml:space="preserve"> glucose </w:t>
      </w:r>
      <w:proofErr w:type="spellStart"/>
      <w:r w:rsidR="003D5E65" w:rsidRPr="00CC5D6C">
        <w:rPr>
          <w:rFonts w:ascii="Arial" w:hAnsi="Arial" w:cs="Arial"/>
          <w:sz w:val="20"/>
          <w:szCs w:val="20"/>
          <w:highlight w:val="yellow"/>
        </w:rPr>
        <w:t>level</w:t>
      </w:r>
      <w:proofErr w:type="spellEnd"/>
      <w:r w:rsidR="003D5E65" w:rsidRPr="00CC5D6C">
        <w:rPr>
          <w:rFonts w:ascii="Arial" w:hAnsi="Arial" w:cs="Arial"/>
          <w:sz w:val="20"/>
          <w:szCs w:val="20"/>
          <w:highlight w:val="yellow"/>
        </w:rPr>
        <w:t xml:space="preserve"> in the </w:t>
      </w:r>
      <w:proofErr w:type="spellStart"/>
      <w:r w:rsidR="003D5E65" w:rsidRPr="00CC5D6C">
        <w:rPr>
          <w:rFonts w:ascii="Arial" w:hAnsi="Arial" w:cs="Arial"/>
          <w:sz w:val="20"/>
          <w:szCs w:val="20"/>
          <w:highlight w:val="yellow"/>
        </w:rPr>
        <w:t>venous</w:t>
      </w:r>
      <w:proofErr w:type="spellEnd"/>
      <w:r w:rsidR="003D5E65" w:rsidRPr="00CC5D6C">
        <w:rPr>
          <w:rFonts w:ascii="Arial" w:hAnsi="Arial" w:cs="Arial"/>
          <w:sz w:val="20"/>
          <w:szCs w:val="20"/>
          <w:highlight w:val="yellow"/>
        </w:rPr>
        <w:t xml:space="preserve"> plasma, </w:t>
      </w:r>
      <w:proofErr w:type="spellStart"/>
      <w:r w:rsidR="003D5E65" w:rsidRPr="00CC5D6C">
        <w:rPr>
          <w:rFonts w:ascii="Arial" w:hAnsi="Arial" w:cs="Arial"/>
          <w:sz w:val="20"/>
          <w:szCs w:val="20"/>
          <w:highlight w:val="yellow"/>
        </w:rPr>
        <w:t>which</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is</w:t>
      </w:r>
      <w:proofErr w:type="spellEnd"/>
      <w:r w:rsidR="003D5E65" w:rsidRPr="00CC5D6C">
        <w:rPr>
          <w:rFonts w:ascii="Arial" w:hAnsi="Arial" w:cs="Arial"/>
          <w:sz w:val="20"/>
          <w:szCs w:val="20"/>
          <w:highlight w:val="yellow"/>
        </w:rPr>
        <w:t xml:space="preserve"> the gold standard for the </w:t>
      </w:r>
      <w:proofErr w:type="spellStart"/>
      <w:r w:rsidR="003D5E65" w:rsidRPr="00CC5D6C">
        <w:rPr>
          <w:rFonts w:ascii="Arial" w:hAnsi="Arial" w:cs="Arial"/>
          <w:sz w:val="20"/>
          <w:szCs w:val="20"/>
          <w:highlight w:val="yellow"/>
        </w:rPr>
        <w:t>diagnosis</w:t>
      </w:r>
      <w:proofErr w:type="spellEnd"/>
      <w:r w:rsidR="003D5E65" w:rsidRPr="00CC5D6C">
        <w:rPr>
          <w:rFonts w:ascii="Arial" w:hAnsi="Arial" w:cs="Arial"/>
          <w:sz w:val="20"/>
          <w:szCs w:val="20"/>
          <w:highlight w:val="yellow"/>
        </w:rPr>
        <w:t xml:space="preserve"> of DM. The </w:t>
      </w:r>
      <w:proofErr w:type="spellStart"/>
      <w:r w:rsidR="003D5E65" w:rsidRPr="00CC5D6C">
        <w:rPr>
          <w:rFonts w:ascii="Arial" w:hAnsi="Arial" w:cs="Arial"/>
          <w:sz w:val="20"/>
          <w:szCs w:val="20"/>
          <w:highlight w:val="yellow"/>
        </w:rPr>
        <w:t>elevation</w:t>
      </w:r>
      <w:proofErr w:type="spellEnd"/>
      <w:r w:rsidR="003D5E65" w:rsidRPr="00CC5D6C">
        <w:rPr>
          <w:rFonts w:ascii="Arial" w:hAnsi="Arial" w:cs="Arial"/>
          <w:sz w:val="20"/>
          <w:szCs w:val="20"/>
          <w:highlight w:val="yellow"/>
        </w:rPr>
        <w:t xml:space="preserve"> of plasma glucose </w:t>
      </w:r>
      <w:proofErr w:type="spellStart"/>
      <w:r w:rsidR="003D5E65" w:rsidRPr="00CC5D6C">
        <w:rPr>
          <w:rFonts w:ascii="Arial" w:hAnsi="Arial" w:cs="Arial"/>
          <w:sz w:val="20"/>
          <w:szCs w:val="20"/>
          <w:highlight w:val="yellow"/>
        </w:rPr>
        <w:t>level</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is</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caused</w:t>
      </w:r>
      <w:proofErr w:type="spellEnd"/>
      <w:r w:rsidR="003D5E65" w:rsidRPr="00CC5D6C">
        <w:rPr>
          <w:rFonts w:ascii="Arial" w:hAnsi="Arial" w:cs="Arial"/>
          <w:sz w:val="20"/>
          <w:szCs w:val="20"/>
          <w:highlight w:val="yellow"/>
        </w:rPr>
        <w:t xml:space="preserve"> by </w:t>
      </w:r>
      <w:proofErr w:type="spellStart"/>
      <w:r w:rsidR="003D5E65" w:rsidRPr="00CC5D6C">
        <w:rPr>
          <w:rFonts w:ascii="Arial" w:hAnsi="Arial" w:cs="Arial"/>
          <w:sz w:val="20"/>
          <w:szCs w:val="20"/>
          <w:highlight w:val="yellow"/>
        </w:rPr>
        <w:t>absolute</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insulin</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deficiency</w:t>
      </w:r>
      <w:proofErr w:type="spellEnd"/>
      <w:r w:rsidR="001008CC" w:rsidRPr="00CC5D6C">
        <w:rPr>
          <w:rFonts w:ascii="Arial" w:hAnsi="Arial" w:cs="Arial"/>
          <w:sz w:val="20"/>
          <w:szCs w:val="20"/>
          <w:highlight w:val="yellow"/>
        </w:rPr>
        <w:t>,</w:t>
      </w:r>
      <w:r w:rsidR="003D5E65" w:rsidRPr="00CC5D6C">
        <w:rPr>
          <w:rFonts w:ascii="Arial" w:hAnsi="Arial" w:cs="Arial"/>
          <w:sz w:val="20"/>
          <w:szCs w:val="20"/>
          <w:highlight w:val="yellow"/>
        </w:rPr>
        <w:t xml:space="preserve"> as in type 1 </w:t>
      </w:r>
      <w:proofErr w:type="spellStart"/>
      <w:r w:rsidR="003D5E65" w:rsidRPr="00CC5D6C">
        <w:rPr>
          <w:rFonts w:ascii="Arial" w:hAnsi="Arial" w:cs="Arial"/>
          <w:sz w:val="20"/>
          <w:szCs w:val="20"/>
          <w:highlight w:val="yellow"/>
        </w:rPr>
        <w:t>diabetes</w:t>
      </w:r>
      <w:proofErr w:type="spellEnd"/>
      <w:r w:rsidR="003D5E65" w:rsidRPr="00CC5D6C">
        <w:rPr>
          <w:rFonts w:ascii="Arial" w:hAnsi="Arial" w:cs="Arial"/>
          <w:sz w:val="20"/>
          <w:szCs w:val="20"/>
          <w:highlight w:val="yellow"/>
        </w:rPr>
        <w:t xml:space="preserve"> (T1DM), or </w:t>
      </w:r>
      <w:proofErr w:type="spellStart"/>
      <w:r w:rsidR="003D5E65" w:rsidRPr="00CC5D6C">
        <w:rPr>
          <w:rFonts w:ascii="Arial" w:hAnsi="Arial" w:cs="Arial"/>
          <w:sz w:val="20"/>
          <w:szCs w:val="20"/>
          <w:highlight w:val="yellow"/>
        </w:rPr>
        <w:t>increased</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insulin</w:t>
      </w:r>
      <w:proofErr w:type="spellEnd"/>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resistance</w:t>
      </w:r>
      <w:proofErr w:type="spellEnd"/>
      <w:r w:rsidR="0068619C" w:rsidRPr="00CC5D6C">
        <w:rPr>
          <w:rFonts w:ascii="Arial" w:hAnsi="Arial" w:cs="Arial"/>
          <w:sz w:val="20"/>
          <w:szCs w:val="20"/>
          <w:highlight w:val="yellow"/>
        </w:rPr>
        <w:t>,</w:t>
      </w:r>
      <w:r w:rsidR="003D5E65" w:rsidRPr="00CC5D6C">
        <w:rPr>
          <w:rFonts w:ascii="Arial" w:hAnsi="Arial" w:cs="Arial"/>
          <w:sz w:val="20"/>
          <w:szCs w:val="20"/>
          <w:highlight w:val="yellow"/>
        </w:rPr>
        <w:t xml:space="preserve"> as in T2DM or </w:t>
      </w:r>
      <w:proofErr w:type="spellStart"/>
      <w:r w:rsidR="003D5E65" w:rsidRPr="00CC5D6C">
        <w:rPr>
          <w:rFonts w:ascii="Arial" w:hAnsi="Arial" w:cs="Arial"/>
          <w:sz w:val="20"/>
          <w:szCs w:val="20"/>
          <w:highlight w:val="yellow"/>
        </w:rPr>
        <w:t>both</w:t>
      </w:r>
      <w:proofErr w:type="spellEnd"/>
      <w:r>
        <w:rPr>
          <w:rFonts w:ascii="Arial" w:hAnsi="Arial" w:cs="Arial"/>
          <w:sz w:val="20"/>
          <w:szCs w:val="20"/>
          <w:highlight w:val="yellow"/>
        </w:rPr>
        <w:t>"</w:t>
      </w:r>
      <w:r w:rsidR="003D5E65" w:rsidRPr="00CC5D6C">
        <w:rPr>
          <w:rFonts w:ascii="Arial" w:hAnsi="Arial" w:cs="Arial"/>
          <w:sz w:val="20"/>
          <w:szCs w:val="20"/>
          <w:highlight w:val="yellow"/>
        </w:rPr>
        <w:t xml:space="preserve"> (</w:t>
      </w:r>
      <w:proofErr w:type="spellStart"/>
      <w:r w:rsidR="003D5E65" w:rsidRPr="00CC5D6C">
        <w:rPr>
          <w:rFonts w:ascii="Arial" w:hAnsi="Arial" w:cs="Arial"/>
          <w:sz w:val="20"/>
          <w:szCs w:val="20"/>
          <w:highlight w:val="yellow"/>
        </w:rPr>
        <w:t>Emad-Eldin</w:t>
      </w:r>
      <w:proofErr w:type="spellEnd"/>
      <w:r w:rsidR="003D5E65" w:rsidRPr="00CC5D6C">
        <w:rPr>
          <w:rFonts w:ascii="Arial" w:hAnsi="Arial" w:cs="Arial"/>
          <w:sz w:val="20"/>
          <w:szCs w:val="20"/>
          <w:highlight w:val="yellow"/>
        </w:rPr>
        <w:t xml:space="preserve"> et al., 2024).</w:t>
      </w:r>
      <w:r w:rsidR="003D5E65">
        <w:rPr>
          <w:rFonts w:ascii="Arial" w:hAnsi="Arial" w:cs="Arial"/>
          <w:sz w:val="20"/>
          <w:szCs w:val="20"/>
        </w:rPr>
        <w:t xml:space="preserve"> </w:t>
      </w:r>
      <w:r w:rsidRPr="003D34A3">
        <w:rPr>
          <w:rFonts w:ascii="Arial" w:hAnsi="Arial" w:cs="Arial"/>
          <w:sz w:val="20"/>
          <w:szCs w:val="20"/>
        </w:rPr>
        <w:t>"</w:t>
      </w:r>
      <w:r w:rsidR="0098729E" w:rsidRPr="0076392E">
        <w:rPr>
          <w:rFonts w:ascii="Arial" w:hAnsi="Arial" w:cs="Arial"/>
          <w:sz w:val="20"/>
          <w:szCs w:val="20"/>
          <w:lang w:val="en-US"/>
        </w:rPr>
        <w:t>The management of insulin-treatment failure (ITF) in type 2 diabetes mellitus (T2DM) represents a major public health challenge worldwide. Despite regular insulin injections, many patients experience persistent hyperglycemia, frequent hypo- or hyperglycemic episodes, and unexplained weight fluctuations. One of the key mechanisms underlying these complications is chronic low-grade inflammation, which interferes with glucose metabolism and pancreatic β-cell function</w:t>
      </w:r>
      <w:r w:rsidRPr="003D34A3">
        <w:rPr>
          <w:rFonts w:ascii="Arial" w:hAnsi="Arial" w:cs="Arial"/>
          <w:sz w:val="20"/>
          <w:szCs w:val="20"/>
          <w:lang w:val="en-US"/>
        </w:rPr>
        <w:t>"</w:t>
      </w:r>
      <w:r w:rsidR="0098729E" w:rsidRPr="0076392E">
        <w:rPr>
          <w:rFonts w:ascii="Arial" w:eastAsia="MS Gothic" w:hAnsi="Arial" w:cs="Arial"/>
          <w:sz w:val="20"/>
          <w:szCs w:val="20"/>
          <w:lang w:val="en-US"/>
        </w:rPr>
        <w:t xml:space="preserve"> (</w:t>
      </w:r>
      <w:r w:rsidR="0098729E" w:rsidRPr="0076392E">
        <w:rPr>
          <w:rFonts w:ascii="Arial" w:hAnsi="Arial" w:cs="Arial"/>
          <w:sz w:val="20"/>
          <w:szCs w:val="20"/>
          <w:lang w:val="en-US"/>
        </w:rPr>
        <w:t>1–3</w:t>
      </w:r>
      <w:r w:rsidR="0098729E" w:rsidRPr="0076392E">
        <w:rPr>
          <w:rFonts w:ascii="Arial" w:eastAsia="MS Gothic" w:hAnsi="Arial" w:cs="Arial"/>
          <w:sz w:val="20"/>
          <w:szCs w:val="20"/>
          <w:lang w:val="en-US"/>
        </w:rPr>
        <w:t>)</w:t>
      </w:r>
      <w:r w:rsidR="0098729E" w:rsidRPr="0076392E">
        <w:rPr>
          <w:rFonts w:ascii="Arial" w:hAnsi="Arial" w:cs="Arial"/>
          <w:sz w:val="20"/>
          <w:szCs w:val="20"/>
          <w:lang w:val="en-US"/>
        </w:rPr>
        <w:t>.</w:t>
      </w:r>
      <w:r w:rsidR="00704D72" w:rsidRPr="0076392E">
        <w:rPr>
          <w:rFonts w:ascii="Arial" w:hAnsi="Arial" w:cs="Arial"/>
          <w:sz w:val="20"/>
          <w:szCs w:val="20"/>
          <w:lang w:val="en-US"/>
        </w:rPr>
        <w:t xml:space="preserve"> </w:t>
      </w:r>
      <w:r w:rsidRPr="003D34A3">
        <w:rPr>
          <w:rFonts w:ascii="Arial" w:hAnsi="Arial" w:cs="Arial"/>
          <w:sz w:val="20"/>
          <w:szCs w:val="20"/>
          <w:lang w:val="en-US"/>
        </w:rPr>
        <w:t>"</w:t>
      </w:r>
      <w:r w:rsidR="0098729E" w:rsidRPr="0076392E">
        <w:rPr>
          <w:rFonts w:ascii="Arial" w:hAnsi="Arial" w:cs="Arial"/>
          <w:sz w:val="20"/>
          <w:szCs w:val="20"/>
          <w:lang w:val="en-US"/>
        </w:rPr>
        <w:t xml:space="preserve">Cytokines play a central role in this process. Pro-inflammatory cytokines such as </w:t>
      </w:r>
      <w:proofErr w:type="spellStart"/>
      <w:r w:rsidR="007D661F" w:rsidRPr="00CC5D6C">
        <w:rPr>
          <w:rFonts w:ascii="Arial" w:hAnsi="Arial" w:cs="Arial"/>
          <w:sz w:val="20"/>
          <w:szCs w:val="20"/>
          <w:highlight w:val="yellow"/>
          <w:lang w:val="en-US"/>
        </w:rPr>
        <w:t>tumour</w:t>
      </w:r>
      <w:proofErr w:type="spellEnd"/>
      <w:r w:rsidR="007D661F" w:rsidRPr="00CC5D6C">
        <w:rPr>
          <w:rFonts w:ascii="Arial" w:hAnsi="Arial" w:cs="Arial"/>
          <w:sz w:val="20"/>
          <w:szCs w:val="20"/>
          <w:highlight w:val="yellow"/>
          <w:lang w:val="en-US"/>
        </w:rPr>
        <w:t xml:space="preserve"> </w:t>
      </w:r>
      <w:r w:rsidR="0098729E" w:rsidRPr="00CC5D6C">
        <w:rPr>
          <w:rFonts w:ascii="Arial" w:hAnsi="Arial" w:cs="Arial"/>
          <w:sz w:val="20"/>
          <w:szCs w:val="20"/>
          <w:highlight w:val="yellow"/>
          <w:lang w:val="en-US"/>
        </w:rPr>
        <w:t>necrosis</w:t>
      </w:r>
      <w:r w:rsidR="0098729E" w:rsidRPr="0076392E">
        <w:rPr>
          <w:rFonts w:ascii="Arial" w:hAnsi="Arial" w:cs="Arial"/>
          <w:sz w:val="20"/>
          <w:szCs w:val="20"/>
          <w:lang w:val="en-US"/>
        </w:rPr>
        <w:t xml:space="preserve"> factor-alpha (TNF-α), interleukin-1β (IL-1β), and interleukin-6 (IL-6) are consistently elevated in T2DM patients</w:t>
      </w:r>
      <w:r w:rsidRPr="003D34A3">
        <w:rPr>
          <w:rFonts w:ascii="Arial" w:hAnsi="Arial" w:cs="Arial"/>
          <w:sz w:val="20"/>
          <w:szCs w:val="20"/>
          <w:lang w:val="en-US"/>
        </w:rPr>
        <w:t>"</w:t>
      </w:r>
      <w:r w:rsidR="0098729E" w:rsidRPr="0076392E">
        <w:rPr>
          <w:rFonts w:ascii="Arial" w:hAnsi="Arial" w:cs="Arial"/>
          <w:sz w:val="20"/>
          <w:szCs w:val="20"/>
          <w:lang w:val="en-US"/>
        </w:rPr>
        <w:t xml:space="preserve"> </w:t>
      </w:r>
      <w:r w:rsidR="0098729E" w:rsidRPr="0076392E">
        <w:rPr>
          <w:rFonts w:ascii="Arial" w:eastAsia="MS Gothic" w:hAnsi="Arial" w:cs="Arial"/>
          <w:sz w:val="20"/>
          <w:szCs w:val="20"/>
          <w:lang w:val="en-US"/>
        </w:rPr>
        <w:t>(</w:t>
      </w:r>
      <w:r w:rsidR="0098729E" w:rsidRPr="0076392E">
        <w:rPr>
          <w:rFonts w:ascii="Arial" w:hAnsi="Arial" w:cs="Arial"/>
          <w:sz w:val="20"/>
          <w:szCs w:val="20"/>
          <w:lang w:val="en-US"/>
        </w:rPr>
        <w:t>4–6</w:t>
      </w:r>
      <w:r w:rsidR="0098729E" w:rsidRPr="0076392E">
        <w:rPr>
          <w:rFonts w:ascii="Arial" w:eastAsia="MS Gothic" w:hAnsi="Arial" w:cs="Arial"/>
          <w:sz w:val="20"/>
          <w:szCs w:val="20"/>
          <w:lang w:val="en-US"/>
        </w:rPr>
        <w:t>)</w:t>
      </w:r>
      <w:r w:rsidR="0098729E" w:rsidRPr="0076392E">
        <w:rPr>
          <w:rFonts w:ascii="Arial" w:hAnsi="Arial" w:cs="Arial"/>
          <w:sz w:val="20"/>
          <w:szCs w:val="20"/>
          <w:lang w:val="en-US"/>
        </w:rPr>
        <w:t xml:space="preserve">. </w:t>
      </w:r>
      <w:r w:rsidRPr="003D34A3">
        <w:rPr>
          <w:rFonts w:ascii="Arial" w:hAnsi="Arial" w:cs="Arial"/>
          <w:sz w:val="20"/>
          <w:szCs w:val="20"/>
          <w:lang w:val="en-US"/>
        </w:rPr>
        <w:t>"</w:t>
      </w:r>
      <w:r w:rsidR="0098729E" w:rsidRPr="0076392E">
        <w:rPr>
          <w:rFonts w:ascii="Arial" w:hAnsi="Arial" w:cs="Arial"/>
          <w:sz w:val="20"/>
          <w:szCs w:val="20"/>
          <w:lang w:val="en-US"/>
        </w:rPr>
        <w:t xml:space="preserve">TNF-α, in particular, induces insulin resistance by disrupting insulin </w:t>
      </w:r>
      <w:proofErr w:type="spellStart"/>
      <w:r w:rsidR="007D661F" w:rsidRPr="00CC5D6C">
        <w:rPr>
          <w:rFonts w:ascii="Arial" w:hAnsi="Arial" w:cs="Arial"/>
          <w:sz w:val="20"/>
          <w:szCs w:val="20"/>
          <w:highlight w:val="yellow"/>
          <w:lang w:val="en-US"/>
        </w:rPr>
        <w:t>signalling</w:t>
      </w:r>
      <w:proofErr w:type="spellEnd"/>
      <w:r w:rsidR="007D661F" w:rsidRPr="00CC5D6C">
        <w:rPr>
          <w:rFonts w:ascii="Arial" w:hAnsi="Arial" w:cs="Arial"/>
          <w:sz w:val="20"/>
          <w:szCs w:val="20"/>
          <w:highlight w:val="yellow"/>
          <w:lang w:val="en-US"/>
        </w:rPr>
        <w:t xml:space="preserve"> </w:t>
      </w:r>
      <w:r w:rsidR="0098729E" w:rsidRPr="00CC5D6C">
        <w:rPr>
          <w:rFonts w:ascii="Arial" w:hAnsi="Arial" w:cs="Arial"/>
          <w:sz w:val="20"/>
          <w:szCs w:val="20"/>
          <w:highlight w:val="yellow"/>
          <w:lang w:val="en-US"/>
        </w:rPr>
        <w:t>pathways</w:t>
      </w:r>
      <w:r w:rsidR="0098729E" w:rsidRPr="0076392E">
        <w:rPr>
          <w:rFonts w:ascii="Arial" w:hAnsi="Arial" w:cs="Arial"/>
          <w:sz w:val="20"/>
          <w:szCs w:val="20"/>
          <w:lang w:val="en-US"/>
        </w:rPr>
        <w:t xml:space="preserve"> in peripheral tissues and promoting β-cell apoptosis through oxidative stress and endoplasmic reticulum dysfunction</w:t>
      </w:r>
      <w:r w:rsidRPr="003D34A3">
        <w:rPr>
          <w:rFonts w:ascii="Arial" w:hAnsi="Arial" w:cs="Arial"/>
          <w:sz w:val="20"/>
          <w:szCs w:val="20"/>
          <w:lang w:val="en-US"/>
        </w:rPr>
        <w:t>"</w:t>
      </w:r>
      <w:r w:rsidR="0098729E" w:rsidRPr="0076392E">
        <w:rPr>
          <w:rFonts w:ascii="Arial" w:eastAsia="MS Gothic" w:hAnsi="Arial" w:cs="Arial"/>
          <w:sz w:val="20"/>
          <w:szCs w:val="20"/>
          <w:lang w:val="en-US"/>
        </w:rPr>
        <w:t xml:space="preserve"> (</w:t>
      </w:r>
      <w:r w:rsidR="0098729E" w:rsidRPr="0076392E">
        <w:rPr>
          <w:rFonts w:ascii="Arial" w:hAnsi="Arial" w:cs="Arial"/>
          <w:sz w:val="20"/>
          <w:szCs w:val="20"/>
          <w:lang w:val="en-US"/>
        </w:rPr>
        <w:t>7–9</w:t>
      </w:r>
      <w:r w:rsidR="0098729E" w:rsidRPr="0076392E">
        <w:rPr>
          <w:rFonts w:ascii="Arial" w:eastAsia="MS Gothic" w:hAnsi="Arial" w:cs="Arial"/>
          <w:sz w:val="20"/>
          <w:szCs w:val="20"/>
          <w:lang w:val="en-US"/>
        </w:rPr>
        <w:t>)</w:t>
      </w:r>
      <w:r w:rsidR="0098729E" w:rsidRPr="0076392E">
        <w:rPr>
          <w:rFonts w:ascii="Arial" w:hAnsi="Arial" w:cs="Arial"/>
          <w:sz w:val="20"/>
          <w:szCs w:val="20"/>
          <w:lang w:val="en-US"/>
        </w:rPr>
        <w:t>.</w:t>
      </w:r>
    </w:p>
    <w:p w14:paraId="7E231A16" w14:textId="6FAC3A92" w:rsidR="0098729E" w:rsidRPr="0076392E" w:rsidRDefault="003D34A3" w:rsidP="00E553B5">
      <w:pPr>
        <w:spacing w:line="360" w:lineRule="auto"/>
        <w:jc w:val="both"/>
        <w:rPr>
          <w:rFonts w:ascii="Arial" w:hAnsi="Arial" w:cs="Arial"/>
          <w:sz w:val="20"/>
          <w:szCs w:val="20"/>
          <w:lang w:val="en-US"/>
        </w:rPr>
      </w:pPr>
      <w:r w:rsidRPr="003D34A3">
        <w:rPr>
          <w:rFonts w:ascii="Arial" w:hAnsi="Arial" w:cs="Arial"/>
          <w:sz w:val="20"/>
          <w:szCs w:val="20"/>
          <w:lang w:val="en-GB"/>
        </w:rPr>
        <w:t>"</w:t>
      </w:r>
      <w:r w:rsidR="0098729E" w:rsidRPr="0076392E">
        <w:rPr>
          <w:rFonts w:ascii="Arial" w:hAnsi="Arial" w:cs="Arial"/>
          <w:sz w:val="20"/>
          <w:szCs w:val="20"/>
          <w:lang w:val="en-GB"/>
        </w:rPr>
        <w:t xml:space="preserve">Adiponectin, is referred to as </w:t>
      </w:r>
      <w:proofErr w:type="spellStart"/>
      <w:r w:rsidR="0098729E" w:rsidRPr="0076392E">
        <w:rPr>
          <w:rFonts w:ascii="Arial" w:hAnsi="Arial" w:cs="Arial"/>
          <w:sz w:val="20"/>
          <w:szCs w:val="20"/>
          <w:lang w:val="en-GB"/>
        </w:rPr>
        <w:t>AdipoQ</w:t>
      </w:r>
      <w:proofErr w:type="spellEnd"/>
      <w:r w:rsidR="0098729E" w:rsidRPr="0076392E">
        <w:rPr>
          <w:rFonts w:ascii="Arial" w:hAnsi="Arial" w:cs="Arial"/>
          <w:sz w:val="20"/>
          <w:szCs w:val="20"/>
          <w:lang w:val="en-GB"/>
        </w:rPr>
        <w:t>, APM1, or ACRP30, is composed of 244 amino acids, with a molecular weight of around 26 kilodaltons (</w:t>
      </w:r>
      <w:proofErr w:type="spellStart"/>
      <w:r w:rsidR="0098729E" w:rsidRPr="0076392E">
        <w:rPr>
          <w:rFonts w:ascii="Arial" w:hAnsi="Arial" w:cs="Arial"/>
          <w:sz w:val="20"/>
          <w:szCs w:val="20"/>
          <w:lang w:val="en-GB"/>
        </w:rPr>
        <w:t>kDa</w:t>
      </w:r>
      <w:proofErr w:type="spellEnd"/>
      <w:r w:rsidR="0098729E" w:rsidRPr="0076392E">
        <w:rPr>
          <w:rFonts w:ascii="Arial" w:hAnsi="Arial" w:cs="Arial"/>
          <w:sz w:val="20"/>
          <w:szCs w:val="20"/>
          <w:lang w:val="en-GB"/>
        </w:rPr>
        <w:t xml:space="preserve">) secreted by white adipose </w:t>
      </w:r>
      <w:r w:rsidR="0098729E" w:rsidRPr="00CC5D6C">
        <w:rPr>
          <w:rFonts w:ascii="Arial" w:hAnsi="Arial" w:cs="Arial"/>
          <w:sz w:val="20"/>
          <w:szCs w:val="20"/>
          <w:highlight w:val="yellow"/>
          <w:lang w:val="en-GB"/>
        </w:rPr>
        <w:t>tissue</w:t>
      </w:r>
      <w:r w:rsidRPr="003D34A3">
        <w:rPr>
          <w:rFonts w:ascii="Arial" w:hAnsi="Arial" w:cs="Arial"/>
          <w:sz w:val="20"/>
          <w:szCs w:val="20"/>
          <w:lang w:val="en-GB"/>
        </w:rPr>
        <w:t>"</w:t>
      </w:r>
      <w:r w:rsidR="007A2733" w:rsidRPr="00CC5D6C">
        <w:rPr>
          <w:rFonts w:ascii="Arial" w:hAnsi="Arial" w:cs="Arial"/>
          <w:sz w:val="20"/>
          <w:szCs w:val="20"/>
          <w:highlight w:val="yellow"/>
          <w:lang w:val="en-GB"/>
        </w:rPr>
        <w:t xml:space="preserve"> (Yu et al., 2022)</w:t>
      </w:r>
      <w:r w:rsidR="0098729E" w:rsidRPr="00CC5D6C">
        <w:rPr>
          <w:rFonts w:ascii="Arial" w:hAnsi="Arial" w:cs="Arial"/>
          <w:sz w:val="20"/>
          <w:szCs w:val="20"/>
          <w:highlight w:val="yellow"/>
          <w:lang w:val="en-GB"/>
        </w:rPr>
        <w:t xml:space="preserve">. </w:t>
      </w:r>
      <w:r w:rsidRPr="003D34A3">
        <w:rPr>
          <w:rFonts w:ascii="Arial" w:hAnsi="Arial" w:cs="Arial"/>
          <w:sz w:val="20"/>
          <w:szCs w:val="20"/>
          <w:lang w:val="en-GB"/>
        </w:rPr>
        <w:t>"</w:t>
      </w:r>
      <w:r w:rsidR="0098729E" w:rsidRPr="00CC5D6C">
        <w:rPr>
          <w:rFonts w:ascii="Arial" w:hAnsi="Arial" w:cs="Arial"/>
          <w:sz w:val="20"/>
          <w:szCs w:val="20"/>
          <w:highlight w:val="yellow"/>
          <w:lang w:val="en-GB"/>
        </w:rPr>
        <w:t>These</w:t>
      </w:r>
      <w:r w:rsidR="0098729E" w:rsidRPr="0076392E">
        <w:rPr>
          <w:rFonts w:ascii="Arial" w:hAnsi="Arial" w:cs="Arial"/>
          <w:sz w:val="20"/>
          <w:szCs w:val="20"/>
          <w:lang w:val="en-GB"/>
        </w:rPr>
        <w:t xml:space="preserve"> proteins are encoded by the </w:t>
      </w:r>
      <w:proofErr w:type="spellStart"/>
      <w:r w:rsidR="0098729E" w:rsidRPr="0076392E">
        <w:rPr>
          <w:rFonts w:ascii="Arial" w:hAnsi="Arial" w:cs="Arial"/>
          <w:sz w:val="20"/>
          <w:szCs w:val="20"/>
          <w:lang w:val="en-GB"/>
        </w:rPr>
        <w:t>AdipoQ</w:t>
      </w:r>
      <w:proofErr w:type="spellEnd"/>
      <w:r w:rsidR="0098729E" w:rsidRPr="0076392E">
        <w:rPr>
          <w:rFonts w:ascii="Arial" w:hAnsi="Arial" w:cs="Arial"/>
          <w:sz w:val="20"/>
          <w:szCs w:val="20"/>
          <w:lang w:val="en-GB"/>
        </w:rPr>
        <w:t xml:space="preserve"> gene </w:t>
      </w:r>
      <w:r w:rsidR="0098729E" w:rsidRPr="00CC5D6C">
        <w:rPr>
          <w:rFonts w:ascii="Arial" w:hAnsi="Arial" w:cs="Arial"/>
          <w:sz w:val="20"/>
          <w:szCs w:val="20"/>
          <w:highlight w:val="yellow"/>
          <w:lang w:val="en-GB"/>
        </w:rPr>
        <w:t xml:space="preserve">and </w:t>
      </w:r>
      <w:r w:rsidR="007D661F" w:rsidRPr="00CC5D6C">
        <w:rPr>
          <w:rFonts w:ascii="Arial" w:hAnsi="Arial" w:cs="Arial"/>
          <w:sz w:val="20"/>
          <w:szCs w:val="20"/>
          <w:highlight w:val="yellow"/>
          <w:lang w:val="en-GB"/>
        </w:rPr>
        <w:t xml:space="preserve">are </w:t>
      </w:r>
      <w:r w:rsidR="0098729E" w:rsidRPr="00CC5D6C">
        <w:rPr>
          <w:rFonts w:ascii="Arial" w:hAnsi="Arial" w:cs="Arial"/>
          <w:sz w:val="20"/>
          <w:szCs w:val="20"/>
          <w:highlight w:val="yellow"/>
          <w:lang w:val="en-GB"/>
        </w:rPr>
        <w:t>located</w:t>
      </w:r>
      <w:r w:rsidR="0098729E" w:rsidRPr="0076392E">
        <w:rPr>
          <w:rFonts w:ascii="Arial" w:hAnsi="Arial" w:cs="Arial"/>
          <w:sz w:val="20"/>
          <w:szCs w:val="20"/>
          <w:lang w:val="en-GB"/>
        </w:rPr>
        <w:t xml:space="preserve"> on the chromosome locus 3q27.</w:t>
      </w:r>
      <w:r w:rsidR="007D661F">
        <w:rPr>
          <w:rFonts w:ascii="Arial" w:hAnsi="Arial" w:cs="Arial"/>
          <w:sz w:val="20"/>
          <w:szCs w:val="20"/>
          <w:lang w:val="en-GB"/>
        </w:rPr>
        <w:t xml:space="preserve"> </w:t>
      </w:r>
      <w:r w:rsidR="0098729E" w:rsidRPr="0076392E">
        <w:rPr>
          <w:rFonts w:ascii="Arial" w:hAnsi="Arial" w:cs="Arial"/>
          <w:sz w:val="20"/>
          <w:szCs w:val="20"/>
          <w:lang w:val="en-GB"/>
        </w:rPr>
        <w:t xml:space="preserve">They are </w:t>
      </w:r>
      <w:r w:rsidR="0098729E" w:rsidRPr="0076392E">
        <w:rPr>
          <w:rFonts w:ascii="Arial" w:hAnsi="Arial" w:cs="Arial"/>
          <w:sz w:val="20"/>
          <w:szCs w:val="20"/>
          <w:lang w:val="en-US"/>
        </w:rPr>
        <w:t>secreted by adipose tissue, exerts protective effects by enhancing insulin sensitivity, stimulating lipid oxidation, and providing cardiovascular protection</w:t>
      </w:r>
      <w:r w:rsidRPr="003D34A3">
        <w:rPr>
          <w:rFonts w:ascii="Arial" w:hAnsi="Arial" w:cs="Arial"/>
          <w:sz w:val="20"/>
          <w:szCs w:val="20"/>
          <w:lang w:val="en-US"/>
        </w:rPr>
        <w:t>"</w:t>
      </w:r>
      <w:r w:rsidR="0098729E" w:rsidRPr="0076392E">
        <w:rPr>
          <w:rFonts w:ascii="Arial" w:eastAsia="MS Gothic" w:hAnsi="Arial" w:cs="Arial"/>
          <w:sz w:val="20"/>
          <w:szCs w:val="20"/>
          <w:lang w:val="en-US"/>
        </w:rPr>
        <w:t xml:space="preserve"> (</w:t>
      </w:r>
      <w:r w:rsidR="0098729E" w:rsidRPr="0076392E">
        <w:rPr>
          <w:rFonts w:ascii="Arial" w:hAnsi="Arial" w:cs="Arial"/>
          <w:sz w:val="20"/>
          <w:szCs w:val="20"/>
          <w:lang w:val="en-US"/>
        </w:rPr>
        <w:t>10–12</w:t>
      </w:r>
      <w:r w:rsidR="0098729E" w:rsidRPr="0076392E">
        <w:rPr>
          <w:rFonts w:ascii="Arial" w:eastAsia="MS Gothic" w:hAnsi="Arial" w:cs="Arial"/>
          <w:sz w:val="20"/>
          <w:szCs w:val="20"/>
          <w:lang w:val="en-US"/>
        </w:rPr>
        <w:t>)</w:t>
      </w:r>
      <w:r w:rsidR="0098729E" w:rsidRPr="0076392E">
        <w:rPr>
          <w:rFonts w:ascii="Arial" w:hAnsi="Arial" w:cs="Arial"/>
          <w:sz w:val="20"/>
          <w:szCs w:val="20"/>
          <w:lang w:val="en-US"/>
        </w:rPr>
        <w:t xml:space="preserve">. </w:t>
      </w:r>
      <w:r w:rsidRPr="003D34A3">
        <w:rPr>
          <w:rFonts w:ascii="Arial" w:hAnsi="Arial" w:cs="Arial"/>
          <w:sz w:val="20"/>
          <w:szCs w:val="20"/>
          <w:lang w:val="en-US"/>
        </w:rPr>
        <w:t>"</w:t>
      </w:r>
      <w:proofErr w:type="spellStart"/>
      <w:r w:rsidR="00023602" w:rsidRPr="00CC5D6C">
        <w:rPr>
          <w:rFonts w:ascii="Arial" w:hAnsi="Arial" w:cs="Arial"/>
          <w:sz w:val="20"/>
          <w:szCs w:val="20"/>
          <w:highlight w:val="yellow"/>
        </w:rPr>
        <w:t>Adiponectin</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exists</w:t>
      </w:r>
      <w:proofErr w:type="spellEnd"/>
      <w:r w:rsidR="00023602" w:rsidRPr="00CC5D6C">
        <w:rPr>
          <w:rFonts w:ascii="Arial" w:hAnsi="Arial" w:cs="Arial"/>
          <w:sz w:val="20"/>
          <w:szCs w:val="20"/>
          <w:highlight w:val="yellow"/>
        </w:rPr>
        <w:t xml:space="preserve"> in </w:t>
      </w:r>
      <w:proofErr w:type="spellStart"/>
      <w:r w:rsidR="00023602" w:rsidRPr="00CC5D6C">
        <w:rPr>
          <w:rFonts w:ascii="Arial" w:hAnsi="Arial" w:cs="Arial"/>
          <w:sz w:val="20"/>
          <w:szCs w:val="20"/>
          <w:highlight w:val="yellow"/>
        </w:rPr>
        <w:t>various</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isoforms</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low</w:t>
      </w:r>
      <w:proofErr w:type="spellEnd"/>
      <w:r w:rsidR="00023602" w:rsidRPr="00CC5D6C">
        <w:rPr>
          <w:rFonts w:ascii="Arial" w:hAnsi="Arial" w:cs="Arial"/>
          <w:sz w:val="20"/>
          <w:szCs w:val="20"/>
          <w:highlight w:val="yellow"/>
        </w:rPr>
        <w:t xml:space="preserve">, medium, and high </w:t>
      </w:r>
      <w:proofErr w:type="spellStart"/>
      <w:r w:rsidR="00023602" w:rsidRPr="00CC5D6C">
        <w:rPr>
          <w:rFonts w:ascii="Arial" w:hAnsi="Arial" w:cs="Arial"/>
          <w:sz w:val="20"/>
          <w:szCs w:val="20"/>
          <w:highlight w:val="yellow"/>
        </w:rPr>
        <w:t>molecular</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weight</w:t>
      </w:r>
      <w:proofErr w:type="spellEnd"/>
      <w:r w:rsidR="00023602" w:rsidRPr="00CC5D6C">
        <w:rPr>
          <w:rFonts w:ascii="Arial" w:hAnsi="Arial" w:cs="Arial"/>
          <w:sz w:val="20"/>
          <w:szCs w:val="20"/>
          <w:highlight w:val="yellow"/>
        </w:rPr>
        <w:t>—</w:t>
      </w:r>
      <w:proofErr w:type="spellStart"/>
      <w:r w:rsidR="00023602" w:rsidRPr="00CC5D6C">
        <w:rPr>
          <w:rFonts w:ascii="Arial" w:hAnsi="Arial" w:cs="Arial"/>
          <w:sz w:val="20"/>
          <w:szCs w:val="20"/>
          <w:highlight w:val="yellow"/>
        </w:rPr>
        <w:t>which</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exert</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their</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effects</w:t>
      </w:r>
      <w:proofErr w:type="spellEnd"/>
      <w:r w:rsidR="00023602" w:rsidRPr="00CC5D6C">
        <w:rPr>
          <w:rFonts w:ascii="Arial" w:hAnsi="Arial" w:cs="Arial"/>
          <w:sz w:val="20"/>
          <w:szCs w:val="20"/>
          <w:highlight w:val="yellow"/>
        </w:rPr>
        <w:t xml:space="preserve"> via </w:t>
      </w:r>
      <w:proofErr w:type="spellStart"/>
      <w:r w:rsidR="00023602" w:rsidRPr="00CC5D6C">
        <w:rPr>
          <w:rFonts w:ascii="Arial" w:hAnsi="Arial" w:cs="Arial"/>
          <w:sz w:val="20"/>
          <w:szCs w:val="20"/>
          <w:highlight w:val="yellow"/>
        </w:rPr>
        <w:t>receptors</w:t>
      </w:r>
      <w:proofErr w:type="spellEnd"/>
      <w:r w:rsidR="00023602" w:rsidRPr="00CC5D6C">
        <w:rPr>
          <w:rFonts w:ascii="Arial" w:hAnsi="Arial" w:cs="Arial"/>
          <w:sz w:val="20"/>
          <w:szCs w:val="20"/>
          <w:highlight w:val="yellow"/>
        </w:rPr>
        <w:t xml:space="preserve"> AdipoR1, AdipoR2, and T-</w:t>
      </w:r>
      <w:proofErr w:type="spellStart"/>
      <w:r w:rsidR="00023602" w:rsidRPr="00CC5D6C">
        <w:rPr>
          <w:rFonts w:ascii="Arial" w:hAnsi="Arial" w:cs="Arial"/>
          <w:sz w:val="20"/>
          <w:szCs w:val="20"/>
          <w:highlight w:val="yellow"/>
        </w:rPr>
        <w:t>cadherin</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differentially</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expressed</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across</w:t>
      </w:r>
      <w:proofErr w:type="spellEnd"/>
      <w:r w:rsidR="00023602" w:rsidRPr="00CC5D6C">
        <w:rPr>
          <w:rFonts w:ascii="Arial" w:hAnsi="Arial" w:cs="Arial"/>
          <w:sz w:val="20"/>
          <w:szCs w:val="20"/>
          <w:highlight w:val="yellow"/>
        </w:rPr>
        <w:t xml:space="preserve"> tissues and immune </w:t>
      </w:r>
      <w:proofErr w:type="spellStart"/>
      <w:r w:rsidR="00023602" w:rsidRPr="00CC5D6C">
        <w:rPr>
          <w:rFonts w:ascii="Arial" w:hAnsi="Arial" w:cs="Arial"/>
          <w:sz w:val="20"/>
          <w:szCs w:val="20"/>
          <w:highlight w:val="yellow"/>
        </w:rPr>
        <w:t>cells</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These</w:t>
      </w:r>
      <w:proofErr w:type="spellEnd"/>
      <w:r w:rsidR="00023602" w:rsidRPr="00CC5D6C">
        <w:rPr>
          <w:rFonts w:ascii="Arial" w:hAnsi="Arial" w:cs="Arial"/>
          <w:sz w:val="20"/>
          <w:szCs w:val="20"/>
          <w:highlight w:val="yellow"/>
        </w:rPr>
        <w:t xml:space="preserve"> distinct </w:t>
      </w:r>
      <w:proofErr w:type="spellStart"/>
      <w:r w:rsidR="00023602" w:rsidRPr="00CC5D6C">
        <w:rPr>
          <w:rFonts w:ascii="Arial" w:hAnsi="Arial" w:cs="Arial"/>
          <w:sz w:val="20"/>
          <w:szCs w:val="20"/>
          <w:highlight w:val="yellow"/>
        </w:rPr>
        <w:t>isoforms</w:t>
      </w:r>
      <w:proofErr w:type="spellEnd"/>
      <w:r w:rsidR="00023602" w:rsidRPr="00CC5D6C">
        <w:rPr>
          <w:rFonts w:ascii="Arial" w:hAnsi="Arial" w:cs="Arial"/>
          <w:sz w:val="20"/>
          <w:szCs w:val="20"/>
          <w:highlight w:val="yellow"/>
        </w:rPr>
        <w:t xml:space="preserve"> and </w:t>
      </w:r>
      <w:proofErr w:type="spellStart"/>
      <w:r w:rsidR="00023602" w:rsidRPr="00CC5D6C">
        <w:rPr>
          <w:rFonts w:ascii="Arial" w:hAnsi="Arial" w:cs="Arial"/>
          <w:sz w:val="20"/>
          <w:szCs w:val="20"/>
          <w:highlight w:val="yellow"/>
        </w:rPr>
        <w:t>receptor</w:t>
      </w:r>
      <w:proofErr w:type="spellEnd"/>
      <w:r w:rsidR="00023602" w:rsidRPr="00CC5D6C">
        <w:rPr>
          <w:rFonts w:ascii="Arial" w:hAnsi="Arial" w:cs="Arial"/>
          <w:sz w:val="20"/>
          <w:szCs w:val="20"/>
          <w:highlight w:val="yellow"/>
        </w:rPr>
        <w:t xml:space="preserve"> interactions </w:t>
      </w:r>
      <w:proofErr w:type="spellStart"/>
      <w:r w:rsidR="00023602" w:rsidRPr="00CC5D6C">
        <w:rPr>
          <w:rFonts w:ascii="Arial" w:hAnsi="Arial" w:cs="Arial"/>
          <w:sz w:val="20"/>
          <w:szCs w:val="20"/>
          <w:highlight w:val="yellow"/>
        </w:rPr>
        <w:t>underscore</w:t>
      </w:r>
      <w:proofErr w:type="spellEnd"/>
      <w:r w:rsidR="00023602" w:rsidRPr="00CC5D6C">
        <w:rPr>
          <w:rFonts w:ascii="Arial" w:hAnsi="Arial" w:cs="Arial"/>
          <w:sz w:val="20"/>
          <w:szCs w:val="20"/>
          <w:highlight w:val="yellow"/>
        </w:rPr>
        <w:t xml:space="preserve"> the </w:t>
      </w:r>
      <w:proofErr w:type="spellStart"/>
      <w:r w:rsidR="00023602" w:rsidRPr="00CC5D6C">
        <w:rPr>
          <w:rFonts w:ascii="Arial" w:hAnsi="Arial" w:cs="Arial"/>
          <w:sz w:val="20"/>
          <w:szCs w:val="20"/>
          <w:highlight w:val="yellow"/>
        </w:rPr>
        <w:t>complexity</w:t>
      </w:r>
      <w:proofErr w:type="spellEnd"/>
      <w:r w:rsidR="00023602" w:rsidRPr="00CC5D6C">
        <w:rPr>
          <w:rFonts w:ascii="Arial" w:hAnsi="Arial" w:cs="Arial"/>
          <w:sz w:val="20"/>
          <w:szCs w:val="20"/>
          <w:highlight w:val="yellow"/>
        </w:rPr>
        <w:t xml:space="preserve"> of </w:t>
      </w:r>
      <w:proofErr w:type="spellStart"/>
      <w:r w:rsidR="00023602" w:rsidRPr="00CC5D6C">
        <w:rPr>
          <w:rFonts w:ascii="Arial" w:hAnsi="Arial" w:cs="Arial"/>
          <w:sz w:val="20"/>
          <w:szCs w:val="20"/>
          <w:highlight w:val="yellow"/>
        </w:rPr>
        <w:t>adiponectin</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signalling</w:t>
      </w:r>
      <w:proofErr w:type="spellEnd"/>
      <w:r w:rsidR="00023602" w:rsidRPr="00CC5D6C">
        <w:rPr>
          <w:rFonts w:ascii="Arial" w:hAnsi="Arial" w:cs="Arial"/>
          <w:sz w:val="20"/>
          <w:szCs w:val="20"/>
          <w:highlight w:val="yellow"/>
        </w:rPr>
        <w:t xml:space="preserve"> and </w:t>
      </w:r>
      <w:proofErr w:type="spellStart"/>
      <w:r w:rsidR="00023602" w:rsidRPr="00CC5D6C">
        <w:rPr>
          <w:rFonts w:ascii="Arial" w:hAnsi="Arial" w:cs="Arial"/>
          <w:sz w:val="20"/>
          <w:szCs w:val="20"/>
          <w:highlight w:val="yellow"/>
        </w:rPr>
        <w:t>its</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broad</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spectrum</w:t>
      </w:r>
      <w:proofErr w:type="spellEnd"/>
      <w:r w:rsidR="00023602" w:rsidRPr="00CC5D6C">
        <w:rPr>
          <w:rFonts w:ascii="Arial" w:hAnsi="Arial" w:cs="Arial"/>
          <w:sz w:val="20"/>
          <w:szCs w:val="20"/>
          <w:highlight w:val="yellow"/>
        </w:rPr>
        <w:t xml:space="preserve"> of </w:t>
      </w:r>
      <w:proofErr w:type="spellStart"/>
      <w:r w:rsidR="00023602" w:rsidRPr="00CC5D6C">
        <w:rPr>
          <w:rFonts w:ascii="Arial" w:hAnsi="Arial" w:cs="Arial"/>
          <w:sz w:val="20"/>
          <w:szCs w:val="20"/>
          <w:highlight w:val="yellow"/>
        </w:rPr>
        <w:t>physiological</w:t>
      </w:r>
      <w:proofErr w:type="spellEnd"/>
      <w:r w:rsidR="00023602" w:rsidRPr="00CC5D6C">
        <w:rPr>
          <w:rFonts w:ascii="Arial" w:hAnsi="Arial" w:cs="Arial"/>
          <w:sz w:val="20"/>
          <w:szCs w:val="20"/>
          <w:highlight w:val="yellow"/>
        </w:rPr>
        <w:t xml:space="preserve"> </w:t>
      </w:r>
      <w:proofErr w:type="spellStart"/>
      <w:r w:rsidR="00023602" w:rsidRPr="00CC5D6C">
        <w:rPr>
          <w:rFonts w:ascii="Arial" w:hAnsi="Arial" w:cs="Arial"/>
          <w:sz w:val="20"/>
          <w:szCs w:val="20"/>
          <w:highlight w:val="yellow"/>
        </w:rPr>
        <w:t>effects</w:t>
      </w:r>
      <w:proofErr w:type="spellEnd"/>
      <w:r w:rsidRPr="003D34A3">
        <w:rPr>
          <w:rFonts w:ascii="Arial" w:hAnsi="Arial" w:cs="Arial"/>
          <w:sz w:val="20"/>
          <w:szCs w:val="20"/>
        </w:rPr>
        <w:t>"</w:t>
      </w:r>
      <w:r w:rsidR="00023602" w:rsidRPr="00CC5D6C">
        <w:rPr>
          <w:rFonts w:ascii="Arial" w:hAnsi="Arial" w:cs="Arial"/>
          <w:sz w:val="20"/>
          <w:szCs w:val="20"/>
          <w:highlight w:val="yellow"/>
        </w:rPr>
        <w:t xml:space="preserve"> (</w:t>
      </w:r>
      <w:proofErr w:type="spellStart"/>
      <w:r w:rsidR="00757315" w:rsidRPr="00CC5D6C">
        <w:rPr>
          <w:rFonts w:ascii="Arial" w:hAnsi="Arial" w:cs="Arial"/>
          <w:sz w:val="20"/>
          <w:szCs w:val="20"/>
          <w:highlight w:val="yellow"/>
        </w:rPr>
        <w:t>Gianoli</w:t>
      </w:r>
      <w:proofErr w:type="spellEnd"/>
      <w:r w:rsidR="00757315" w:rsidRPr="00CC5D6C">
        <w:rPr>
          <w:rFonts w:ascii="Arial" w:hAnsi="Arial" w:cs="Arial"/>
          <w:sz w:val="20"/>
          <w:szCs w:val="20"/>
          <w:highlight w:val="yellow"/>
        </w:rPr>
        <w:t xml:space="preserve"> et al., 2025</w:t>
      </w:r>
      <w:r w:rsidR="00B12B87" w:rsidRPr="00CC5D6C">
        <w:rPr>
          <w:rFonts w:ascii="Arial" w:hAnsi="Arial" w:cs="Arial"/>
          <w:sz w:val="20"/>
          <w:szCs w:val="20"/>
          <w:highlight w:val="yellow"/>
        </w:rPr>
        <w:t> ; Patel et al., 2021</w:t>
      </w:r>
      <w:r w:rsidR="00023602" w:rsidRPr="00CC5D6C">
        <w:rPr>
          <w:rFonts w:ascii="Arial" w:hAnsi="Arial" w:cs="Arial"/>
          <w:sz w:val="20"/>
          <w:szCs w:val="20"/>
          <w:highlight w:val="yellow"/>
        </w:rPr>
        <w:t>).</w:t>
      </w:r>
      <w:r w:rsidR="00023602">
        <w:rPr>
          <w:rFonts w:ascii="Arial" w:hAnsi="Arial" w:cs="Arial"/>
          <w:sz w:val="20"/>
          <w:szCs w:val="20"/>
        </w:rPr>
        <w:t xml:space="preserve"> </w:t>
      </w:r>
    </w:p>
    <w:p w14:paraId="23ACC53D" w14:textId="20FA6A8E" w:rsidR="0098729E" w:rsidRPr="0076392E" w:rsidRDefault="003D34A3" w:rsidP="00E553B5">
      <w:pPr>
        <w:spacing w:line="360" w:lineRule="auto"/>
        <w:jc w:val="both"/>
        <w:rPr>
          <w:rFonts w:ascii="Arial" w:hAnsi="Arial" w:cs="Arial"/>
          <w:sz w:val="20"/>
          <w:szCs w:val="20"/>
          <w:lang w:val="en-US"/>
        </w:rPr>
      </w:pPr>
      <w:r w:rsidRPr="003D34A3">
        <w:rPr>
          <w:rFonts w:ascii="Arial" w:hAnsi="Arial" w:cs="Arial"/>
          <w:sz w:val="20"/>
          <w:szCs w:val="20"/>
          <w:lang w:val="en-US"/>
        </w:rPr>
        <w:t>"</w:t>
      </w:r>
      <w:r w:rsidR="0098729E" w:rsidRPr="0076392E">
        <w:rPr>
          <w:rFonts w:ascii="Arial" w:hAnsi="Arial" w:cs="Arial"/>
          <w:sz w:val="20"/>
          <w:szCs w:val="20"/>
          <w:lang w:val="en-US"/>
        </w:rPr>
        <w:t>However, reduced circulating levels of adiponectin are frequently observed in patients with obesity and T2DM, which contributes to the development of insulin resistance</w:t>
      </w:r>
      <w:r w:rsidRPr="003D34A3">
        <w:rPr>
          <w:rFonts w:ascii="Arial" w:hAnsi="Arial" w:cs="Arial"/>
          <w:sz w:val="20"/>
          <w:szCs w:val="20"/>
          <w:lang w:val="en-US"/>
        </w:rPr>
        <w:t>"</w:t>
      </w:r>
      <w:r w:rsidR="0098729E" w:rsidRPr="0076392E">
        <w:rPr>
          <w:rFonts w:ascii="Arial" w:eastAsia="MS Gothic" w:hAnsi="Arial" w:cs="Arial"/>
          <w:sz w:val="20"/>
          <w:szCs w:val="20"/>
          <w:lang w:val="en-US"/>
        </w:rPr>
        <w:t xml:space="preserve"> (</w:t>
      </w:r>
      <w:r w:rsidR="0098729E" w:rsidRPr="0076392E">
        <w:rPr>
          <w:rFonts w:ascii="Arial" w:hAnsi="Arial" w:cs="Arial"/>
          <w:sz w:val="20"/>
          <w:szCs w:val="20"/>
          <w:lang w:val="en-US"/>
        </w:rPr>
        <w:t>13, 14</w:t>
      </w:r>
      <w:r w:rsidR="0098729E" w:rsidRPr="0076392E">
        <w:rPr>
          <w:rFonts w:ascii="Arial" w:eastAsia="MS Gothic" w:hAnsi="Arial" w:cs="Arial"/>
          <w:sz w:val="20"/>
          <w:szCs w:val="20"/>
          <w:lang w:val="en-US"/>
        </w:rPr>
        <w:t>)</w:t>
      </w:r>
      <w:r w:rsidR="0098729E" w:rsidRPr="0076392E">
        <w:rPr>
          <w:rFonts w:ascii="Arial" w:hAnsi="Arial" w:cs="Arial"/>
          <w:sz w:val="20"/>
          <w:szCs w:val="20"/>
          <w:lang w:val="en-US"/>
        </w:rPr>
        <w:t xml:space="preserve">. </w:t>
      </w:r>
      <w:r w:rsidRPr="003D34A3">
        <w:rPr>
          <w:rFonts w:ascii="Arial" w:hAnsi="Arial" w:cs="Arial"/>
          <w:sz w:val="20"/>
          <w:szCs w:val="20"/>
          <w:lang w:val="en-US"/>
        </w:rPr>
        <w:t>"</w:t>
      </w:r>
      <w:r w:rsidR="0098729E" w:rsidRPr="0076392E">
        <w:rPr>
          <w:rFonts w:ascii="Arial" w:hAnsi="Arial" w:cs="Arial"/>
          <w:sz w:val="20"/>
          <w:szCs w:val="20"/>
          <w:lang w:val="en-US"/>
        </w:rPr>
        <w:t xml:space="preserve">They cross-talk between adipocytes and immune cells, particularly macrophages, further </w:t>
      </w:r>
      <w:r w:rsidR="007D661F" w:rsidRPr="00CC5D6C">
        <w:rPr>
          <w:rFonts w:ascii="Arial" w:hAnsi="Arial" w:cs="Arial"/>
          <w:sz w:val="20"/>
          <w:szCs w:val="20"/>
          <w:highlight w:val="yellow"/>
          <w:lang w:val="en-US"/>
        </w:rPr>
        <w:t xml:space="preserve">aggravate </w:t>
      </w:r>
      <w:r w:rsidR="0098729E" w:rsidRPr="00CC5D6C">
        <w:rPr>
          <w:rFonts w:ascii="Arial" w:hAnsi="Arial" w:cs="Arial"/>
          <w:sz w:val="20"/>
          <w:szCs w:val="20"/>
          <w:highlight w:val="yellow"/>
          <w:lang w:val="en-US"/>
        </w:rPr>
        <w:t>this</w:t>
      </w:r>
      <w:r w:rsidR="0098729E" w:rsidRPr="0076392E">
        <w:rPr>
          <w:rFonts w:ascii="Arial" w:hAnsi="Arial" w:cs="Arial"/>
          <w:sz w:val="20"/>
          <w:szCs w:val="20"/>
          <w:lang w:val="en-US"/>
        </w:rPr>
        <w:t xml:space="preserve"> inflammatory state, creating a cycle of metabolic inflammation that fuels insulin resistance</w:t>
      </w:r>
      <w:r w:rsidRPr="003D34A3">
        <w:rPr>
          <w:rFonts w:ascii="Arial" w:hAnsi="Arial" w:cs="Arial"/>
          <w:sz w:val="20"/>
          <w:szCs w:val="20"/>
          <w:lang w:val="en-US"/>
        </w:rPr>
        <w:t>"</w:t>
      </w:r>
      <w:r w:rsidR="0098729E" w:rsidRPr="0076392E">
        <w:rPr>
          <w:rFonts w:ascii="Arial" w:hAnsi="Arial" w:cs="Arial"/>
          <w:sz w:val="20"/>
          <w:szCs w:val="20"/>
          <w:lang w:val="en-US"/>
        </w:rPr>
        <w:t xml:space="preserve"> </w:t>
      </w:r>
      <w:r w:rsidR="0098729E" w:rsidRPr="0076392E">
        <w:rPr>
          <w:rFonts w:ascii="Arial" w:eastAsia="MS Gothic" w:hAnsi="Arial" w:cs="Arial"/>
          <w:sz w:val="20"/>
          <w:szCs w:val="20"/>
          <w:lang w:val="en-US"/>
        </w:rPr>
        <w:t>(</w:t>
      </w:r>
      <w:r w:rsidR="0098729E" w:rsidRPr="0076392E">
        <w:rPr>
          <w:rFonts w:ascii="Arial" w:hAnsi="Arial" w:cs="Arial"/>
          <w:sz w:val="20"/>
          <w:szCs w:val="20"/>
          <w:lang w:val="en-US"/>
        </w:rPr>
        <w:t>15–17</w:t>
      </w:r>
      <w:r w:rsidR="0098729E" w:rsidRPr="0076392E">
        <w:rPr>
          <w:rFonts w:ascii="Arial" w:eastAsia="MS Gothic" w:hAnsi="Arial" w:cs="Arial"/>
          <w:sz w:val="20"/>
          <w:szCs w:val="20"/>
          <w:lang w:val="en-US"/>
        </w:rPr>
        <w:t>)</w:t>
      </w:r>
      <w:r w:rsidR="0098729E" w:rsidRPr="0076392E">
        <w:rPr>
          <w:rFonts w:ascii="Arial" w:hAnsi="Arial" w:cs="Arial"/>
          <w:sz w:val="20"/>
          <w:szCs w:val="20"/>
          <w:lang w:val="en-US"/>
        </w:rPr>
        <w:t xml:space="preserve">. </w:t>
      </w:r>
      <w:r w:rsidR="0098729E" w:rsidRPr="0076392E">
        <w:rPr>
          <w:rFonts w:ascii="Arial" w:hAnsi="Arial" w:cs="Arial"/>
          <w:sz w:val="20"/>
          <w:szCs w:val="20"/>
          <w:lang w:val="en-GB"/>
        </w:rPr>
        <w:t xml:space="preserve">Glycated haemoglobin (HbA1c) is </w:t>
      </w:r>
      <w:r w:rsidR="007D661F" w:rsidRPr="00CC5D6C">
        <w:rPr>
          <w:rFonts w:ascii="Arial" w:hAnsi="Arial" w:cs="Arial"/>
          <w:sz w:val="20"/>
          <w:szCs w:val="20"/>
          <w:highlight w:val="yellow"/>
          <w:lang w:val="en-GB"/>
        </w:rPr>
        <w:t xml:space="preserve">a </w:t>
      </w:r>
      <w:r w:rsidR="0098729E" w:rsidRPr="00CC5D6C">
        <w:rPr>
          <w:rFonts w:ascii="Arial" w:hAnsi="Arial" w:cs="Arial"/>
          <w:sz w:val="20"/>
          <w:szCs w:val="20"/>
          <w:highlight w:val="yellow"/>
          <w:lang w:val="en-GB"/>
        </w:rPr>
        <w:t>measurement used</w:t>
      </w:r>
      <w:r w:rsidR="0098729E" w:rsidRPr="0076392E">
        <w:rPr>
          <w:rFonts w:ascii="Arial" w:hAnsi="Arial" w:cs="Arial"/>
          <w:sz w:val="20"/>
          <w:szCs w:val="20"/>
          <w:lang w:val="en-GB"/>
        </w:rPr>
        <w:t xml:space="preserve"> for glycaemic control. The HbA1c was introduced into clinical use in the 1980s and subsequently has become a major guide </w:t>
      </w:r>
      <w:r w:rsidR="0098729E" w:rsidRPr="00CC5D6C">
        <w:rPr>
          <w:rFonts w:ascii="Arial" w:hAnsi="Arial" w:cs="Arial"/>
          <w:sz w:val="20"/>
          <w:szCs w:val="20"/>
          <w:highlight w:val="yellow"/>
          <w:lang w:val="en-GB"/>
        </w:rPr>
        <w:t>for clinical</w:t>
      </w:r>
      <w:r w:rsidR="0098729E" w:rsidRPr="0076392E">
        <w:rPr>
          <w:rFonts w:ascii="Arial" w:hAnsi="Arial" w:cs="Arial"/>
          <w:sz w:val="20"/>
          <w:szCs w:val="20"/>
          <w:lang w:val="en-GB"/>
        </w:rPr>
        <w:t xml:space="preserve"> practice</w:t>
      </w:r>
      <w:r w:rsidR="007D661F">
        <w:rPr>
          <w:rFonts w:ascii="Arial" w:hAnsi="Arial" w:cs="Arial"/>
          <w:sz w:val="20"/>
          <w:szCs w:val="20"/>
          <w:lang w:val="en-GB"/>
        </w:rPr>
        <w:t xml:space="preserve">. </w:t>
      </w:r>
    </w:p>
    <w:p w14:paraId="361789C1" w14:textId="14255C82"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t xml:space="preserve"> Recent studies suggest that </w:t>
      </w:r>
      <w:r w:rsidR="003D34A3" w:rsidRPr="003D34A3">
        <w:rPr>
          <w:rFonts w:ascii="Arial" w:hAnsi="Arial" w:cs="Arial"/>
          <w:sz w:val="20"/>
          <w:szCs w:val="20"/>
          <w:lang w:val="en-US"/>
        </w:rPr>
        <w:t>"</w:t>
      </w:r>
      <w:r w:rsidRPr="0076392E">
        <w:rPr>
          <w:rFonts w:ascii="Arial" w:hAnsi="Arial" w:cs="Arial"/>
          <w:sz w:val="20"/>
          <w:szCs w:val="20"/>
          <w:lang w:val="en-US"/>
        </w:rPr>
        <w:t>the balance between pro-inflammatory cytokines (e.g., TNF-α) and anti-inflammatory adipokines (e.g., adiponectin) may serve as predictive markers for insulin therapy outcomes in T2DM</w:t>
      </w:r>
      <w:r w:rsidR="003D34A3" w:rsidRPr="003D34A3">
        <w:rPr>
          <w:rFonts w:ascii="Arial" w:hAnsi="Arial" w:cs="Arial"/>
          <w:sz w:val="20"/>
          <w:szCs w:val="20"/>
          <w:lang w:val="en-US"/>
        </w:rPr>
        <w:t>"</w:t>
      </w:r>
      <w:r w:rsidRPr="0076392E">
        <w:rPr>
          <w:rFonts w:ascii="Arial" w:eastAsia="MS Gothic" w:hAnsi="Arial" w:cs="Arial"/>
          <w:sz w:val="20"/>
          <w:szCs w:val="20"/>
          <w:lang w:val="en-US"/>
        </w:rPr>
        <w:t xml:space="preserve"> (</w:t>
      </w:r>
      <w:r w:rsidRPr="0076392E">
        <w:rPr>
          <w:rFonts w:ascii="Arial" w:hAnsi="Arial" w:cs="Arial"/>
          <w:sz w:val="20"/>
          <w:szCs w:val="20"/>
          <w:lang w:val="en-US"/>
        </w:rPr>
        <w:t>18–20</w:t>
      </w:r>
      <w:r w:rsidRPr="0076392E">
        <w:rPr>
          <w:rFonts w:ascii="Arial" w:eastAsia="MS Gothic" w:hAnsi="Arial" w:cs="Arial"/>
          <w:sz w:val="20"/>
          <w:szCs w:val="20"/>
          <w:lang w:val="en-US"/>
        </w:rPr>
        <w:t>)</w:t>
      </w:r>
      <w:r w:rsidRPr="0076392E">
        <w:rPr>
          <w:rFonts w:ascii="Arial" w:hAnsi="Arial" w:cs="Arial"/>
          <w:sz w:val="20"/>
          <w:szCs w:val="20"/>
          <w:lang w:val="en-US"/>
        </w:rPr>
        <w:t>. The goal of this study was to evaluate the role of TNF-α and Adiponectin amongst Insulin-Treatment Failure (ITF) and success (ITS) T2DM subjects a</w:t>
      </w:r>
      <w:r w:rsidR="00FC3D7C" w:rsidRPr="0076392E">
        <w:rPr>
          <w:rFonts w:ascii="Arial" w:hAnsi="Arial" w:cs="Arial"/>
          <w:sz w:val="20"/>
          <w:szCs w:val="20"/>
          <w:lang w:val="en-US"/>
        </w:rPr>
        <w:t>ttending the Endocrinology unit</w:t>
      </w:r>
      <w:r w:rsidRPr="0076392E">
        <w:rPr>
          <w:rFonts w:ascii="Arial" w:hAnsi="Arial" w:cs="Arial"/>
          <w:sz w:val="20"/>
          <w:szCs w:val="20"/>
          <w:lang w:val="en-US"/>
        </w:rPr>
        <w:t xml:space="preserve"> of the clinical setting in a sub-Saharan African population Hospital, Cameroon.</w:t>
      </w:r>
    </w:p>
    <w:p w14:paraId="400C8DBA" w14:textId="77777777" w:rsidR="00704D72" w:rsidRPr="0076392E" w:rsidRDefault="00704D72" w:rsidP="00E553B5">
      <w:pPr>
        <w:spacing w:after="0" w:line="240" w:lineRule="auto"/>
        <w:jc w:val="both"/>
        <w:rPr>
          <w:rFonts w:ascii="Arial" w:hAnsi="Arial" w:cs="Arial"/>
          <w:b/>
          <w:sz w:val="20"/>
          <w:szCs w:val="20"/>
          <w:lang w:val="en-US"/>
        </w:rPr>
      </w:pPr>
    </w:p>
    <w:p w14:paraId="3CA5DF87" w14:textId="77777777" w:rsidR="00704D72" w:rsidRPr="0076392E" w:rsidRDefault="00704D72" w:rsidP="00E553B5">
      <w:pPr>
        <w:spacing w:after="0" w:line="240" w:lineRule="auto"/>
        <w:jc w:val="both"/>
        <w:rPr>
          <w:rFonts w:ascii="Arial" w:hAnsi="Arial" w:cs="Arial"/>
          <w:b/>
          <w:sz w:val="20"/>
          <w:szCs w:val="20"/>
          <w:lang w:val="en-US"/>
        </w:rPr>
      </w:pPr>
    </w:p>
    <w:p w14:paraId="427D1868" w14:textId="1D6D168F" w:rsidR="00DF5699" w:rsidRPr="0076392E" w:rsidRDefault="0076392E" w:rsidP="00E553B5">
      <w:pPr>
        <w:tabs>
          <w:tab w:val="left" w:pos="2595"/>
        </w:tabs>
        <w:spacing w:after="0" w:line="240" w:lineRule="auto"/>
        <w:jc w:val="both"/>
        <w:rPr>
          <w:rFonts w:ascii="Arial" w:hAnsi="Arial" w:cs="Arial"/>
          <w:b/>
          <w:lang w:val="en-US"/>
        </w:rPr>
      </w:pPr>
      <w:r w:rsidRPr="0076392E">
        <w:rPr>
          <w:rFonts w:ascii="Arial" w:hAnsi="Arial" w:cs="Arial"/>
          <w:b/>
          <w:lang w:val="en-US"/>
        </w:rPr>
        <w:t>2.</w:t>
      </w:r>
      <w:r>
        <w:rPr>
          <w:rFonts w:ascii="Arial" w:hAnsi="Arial" w:cs="Arial"/>
          <w:b/>
          <w:lang w:val="en-US"/>
        </w:rPr>
        <w:t xml:space="preserve"> </w:t>
      </w:r>
      <w:r w:rsidR="00CC1620" w:rsidRPr="0076392E">
        <w:rPr>
          <w:rFonts w:ascii="Arial" w:hAnsi="Arial" w:cs="Arial"/>
          <w:b/>
          <w:lang w:val="en-US"/>
        </w:rPr>
        <w:t>MATERIALS AND METHODS</w:t>
      </w:r>
    </w:p>
    <w:p w14:paraId="541E29DE" w14:textId="77777777" w:rsidR="0098729E" w:rsidRPr="0076392E" w:rsidRDefault="00CC1620" w:rsidP="00E553B5">
      <w:pPr>
        <w:tabs>
          <w:tab w:val="left" w:pos="2595"/>
        </w:tabs>
        <w:spacing w:after="0" w:line="240" w:lineRule="auto"/>
        <w:jc w:val="both"/>
        <w:rPr>
          <w:rFonts w:ascii="Arial" w:hAnsi="Arial" w:cs="Arial"/>
          <w:lang w:val="en-US"/>
        </w:rPr>
      </w:pPr>
      <w:r w:rsidRPr="0076392E">
        <w:rPr>
          <w:rFonts w:ascii="Arial" w:hAnsi="Arial" w:cs="Arial"/>
          <w:b/>
          <w:lang w:val="en-US"/>
        </w:rPr>
        <w:tab/>
      </w:r>
    </w:p>
    <w:p w14:paraId="24390C8E" w14:textId="4F021055" w:rsidR="0098729E" w:rsidRPr="0076392E" w:rsidRDefault="0076392E" w:rsidP="007D2C32">
      <w:pPr>
        <w:spacing w:after="0" w:line="240" w:lineRule="auto"/>
        <w:ind w:right="359"/>
        <w:jc w:val="both"/>
        <w:rPr>
          <w:rFonts w:ascii="Arial" w:hAnsi="Arial" w:cs="Arial"/>
          <w:b/>
          <w:lang w:val="en-US"/>
        </w:rPr>
      </w:pPr>
      <w:r>
        <w:rPr>
          <w:rFonts w:ascii="Arial" w:hAnsi="Arial" w:cs="Arial"/>
          <w:b/>
          <w:lang w:val="en-US"/>
        </w:rPr>
        <w:t>2.1</w:t>
      </w:r>
      <w:r w:rsidR="00AF4543">
        <w:rPr>
          <w:rFonts w:ascii="Arial" w:hAnsi="Arial" w:cs="Arial"/>
          <w:b/>
          <w:lang w:val="en-US"/>
        </w:rPr>
        <w:t xml:space="preserve"> </w:t>
      </w:r>
      <w:r w:rsidR="0098729E" w:rsidRPr="0076392E">
        <w:rPr>
          <w:rFonts w:ascii="Arial" w:hAnsi="Arial" w:cs="Arial"/>
          <w:b/>
          <w:lang w:val="en-US"/>
        </w:rPr>
        <w:t>Study design</w:t>
      </w:r>
    </w:p>
    <w:p w14:paraId="3BA3746F" w14:textId="56375A78" w:rsidR="0098729E" w:rsidRPr="0076392E" w:rsidRDefault="00417602" w:rsidP="00E553B5">
      <w:pPr>
        <w:spacing w:before="240" w:after="0" w:line="360" w:lineRule="auto"/>
        <w:ind w:right="359"/>
        <w:jc w:val="both"/>
        <w:rPr>
          <w:rFonts w:ascii="Arial" w:hAnsi="Arial" w:cs="Arial"/>
          <w:b/>
          <w:sz w:val="20"/>
          <w:szCs w:val="20"/>
          <w:lang w:val="en-US"/>
        </w:rPr>
      </w:pPr>
      <w:r w:rsidRPr="0076392E">
        <w:rPr>
          <w:rFonts w:ascii="Arial" w:hAnsi="Arial" w:cs="Arial"/>
          <w:color w:val="1A1A1A" w:themeColor="background1" w:themeShade="1A"/>
          <w:sz w:val="20"/>
          <w:szCs w:val="20"/>
          <w:lang w:val="en-US"/>
        </w:rPr>
        <w:lastRenderedPageBreak/>
        <w:t xml:space="preserve">The study was </w:t>
      </w:r>
      <w:r w:rsidR="0098729E" w:rsidRPr="0076392E">
        <w:rPr>
          <w:rFonts w:ascii="Arial" w:hAnsi="Arial" w:cs="Arial"/>
          <w:color w:val="1A1A1A" w:themeColor="background1" w:themeShade="1A"/>
          <w:sz w:val="20"/>
          <w:szCs w:val="20"/>
          <w:lang w:val="en-US"/>
        </w:rPr>
        <w:t xml:space="preserve">a </w:t>
      </w:r>
      <w:r w:rsidR="007D661F" w:rsidRPr="00CC5D6C">
        <w:rPr>
          <w:rFonts w:ascii="Arial" w:hAnsi="Arial" w:cs="Arial"/>
          <w:color w:val="1A1A1A" w:themeColor="background1" w:themeShade="1A"/>
          <w:sz w:val="20"/>
          <w:szCs w:val="20"/>
          <w:highlight w:val="yellow"/>
          <w:lang w:val="en-US"/>
        </w:rPr>
        <w:t>case-control</w:t>
      </w:r>
      <w:r w:rsidRPr="00CC5D6C">
        <w:rPr>
          <w:rFonts w:ascii="Arial" w:hAnsi="Arial" w:cs="Arial"/>
          <w:color w:val="1A1A1A" w:themeColor="background1" w:themeShade="1A"/>
          <w:sz w:val="20"/>
          <w:szCs w:val="20"/>
          <w:highlight w:val="yellow"/>
          <w:lang w:val="en-US"/>
        </w:rPr>
        <w:t xml:space="preserve"> study</w:t>
      </w:r>
      <w:r w:rsidRPr="0076392E">
        <w:rPr>
          <w:rFonts w:ascii="Arial" w:hAnsi="Arial" w:cs="Arial"/>
          <w:color w:val="1A1A1A" w:themeColor="background1" w:themeShade="1A"/>
          <w:sz w:val="20"/>
          <w:szCs w:val="20"/>
          <w:lang w:val="en-US"/>
        </w:rPr>
        <w:t xml:space="preserve"> with 80 </w:t>
      </w:r>
      <w:r w:rsidR="0098729E" w:rsidRPr="0076392E">
        <w:rPr>
          <w:rFonts w:ascii="Arial" w:hAnsi="Arial" w:cs="Arial"/>
          <w:color w:val="1A1A1A" w:themeColor="background1" w:themeShade="1A"/>
          <w:sz w:val="20"/>
          <w:szCs w:val="20"/>
          <w:lang w:val="en-US"/>
        </w:rPr>
        <w:t>participants</w:t>
      </w:r>
      <w:r w:rsidR="00704D72" w:rsidRPr="0076392E">
        <w:rPr>
          <w:rFonts w:ascii="Arial" w:hAnsi="Arial" w:cs="Arial"/>
          <w:color w:val="1A1A1A" w:themeColor="background1" w:themeShade="1A"/>
          <w:sz w:val="20"/>
          <w:szCs w:val="20"/>
          <w:lang w:val="en-US"/>
        </w:rPr>
        <w:t xml:space="preserve"> </w:t>
      </w:r>
      <w:r w:rsidR="0098729E" w:rsidRPr="0076392E">
        <w:rPr>
          <w:rFonts w:ascii="Arial" w:hAnsi="Arial" w:cs="Arial"/>
          <w:color w:val="1A1A1A" w:themeColor="background1" w:themeShade="1A"/>
          <w:sz w:val="20"/>
          <w:szCs w:val="20"/>
          <w:lang w:val="en-US"/>
        </w:rPr>
        <w:t xml:space="preserve">enrolled between </w:t>
      </w:r>
      <w:r w:rsidR="007D661F" w:rsidRPr="00CC5D6C">
        <w:rPr>
          <w:rFonts w:ascii="Arial" w:hAnsi="Arial" w:cs="Arial"/>
          <w:color w:val="1A1A1A" w:themeColor="background1" w:themeShade="1A"/>
          <w:sz w:val="20"/>
          <w:szCs w:val="20"/>
          <w:highlight w:val="yellow"/>
          <w:lang w:val="en-US"/>
        </w:rPr>
        <w:t xml:space="preserve">February </w:t>
      </w:r>
      <w:r w:rsidR="00375BDC" w:rsidRPr="00CC5D6C">
        <w:rPr>
          <w:rFonts w:ascii="Arial" w:hAnsi="Arial" w:cs="Arial"/>
          <w:color w:val="1A1A1A" w:themeColor="background1" w:themeShade="1A"/>
          <w:sz w:val="20"/>
          <w:szCs w:val="20"/>
          <w:highlight w:val="yellow"/>
          <w:lang w:val="en-US"/>
        </w:rPr>
        <w:t>2023</w:t>
      </w:r>
      <w:r w:rsidR="00375BDC" w:rsidRPr="0076392E">
        <w:rPr>
          <w:rFonts w:ascii="Arial" w:hAnsi="Arial" w:cs="Arial"/>
          <w:color w:val="1A1A1A" w:themeColor="background1" w:themeShade="1A"/>
          <w:sz w:val="20"/>
          <w:szCs w:val="20"/>
          <w:lang w:val="en-US"/>
        </w:rPr>
        <w:t xml:space="preserve"> and March </w:t>
      </w:r>
      <w:r w:rsidRPr="0076392E">
        <w:rPr>
          <w:rFonts w:ascii="Arial" w:hAnsi="Arial" w:cs="Arial"/>
          <w:color w:val="1A1A1A" w:themeColor="background1" w:themeShade="1A"/>
          <w:sz w:val="20"/>
          <w:szCs w:val="20"/>
          <w:lang w:val="en-US"/>
        </w:rPr>
        <w:t>2024</w:t>
      </w:r>
      <w:r w:rsidR="0098729E" w:rsidRPr="0076392E">
        <w:rPr>
          <w:rFonts w:ascii="Arial" w:hAnsi="Arial" w:cs="Arial"/>
          <w:color w:val="1A1A1A" w:themeColor="background1" w:themeShade="1A"/>
          <w:sz w:val="20"/>
          <w:szCs w:val="20"/>
          <w:lang w:val="en-US"/>
        </w:rPr>
        <w:t>. All participants were consecutively r</w:t>
      </w:r>
      <w:r w:rsidR="00FC3D7C" w:rsidRPr="0076392E">
        <w:rPr>
          <w:rFonts w:ascii="Arial" w:hAnsi="Arial" w:cs="Arial"/>
          <w:color w:val="1A1A1A" w:themeColor="background1" w:themeShade="1A"/>
          <w:sz w:val="20"/>
          <w:szCs w:val="20"/>
          <w:lang w:val="en-US"/>
        </w:rPr>
        <w:t>ecruited from the diabetic unit</w:t>
      </w:r>
      <w:r w:rsidR="0098729E" w:rsidRPr="0076392E">
        <w:rPr>
          <w:rFonts w:ascii="Arial" w:hAnsi="Arial" w:cs="Arial"/>
          <w:color w:val="1A1A1A" w:themeColor="background1" w:themeShade="1A"/>
          <w:sz w:val="20"/>
          <w:szCs w:val="20"/>
          <w:lang w:val="en-US"/>
        </w:rPr>
        <w:t xml:space="preserve"> of the </w:t>
      </w:r>
      <w:proofErr w:type="spellStart"/>
      <w:r w:rsidR="0098729E" w:rsidRPr="0076392E">
        <w:rPr>
          <w:rFonts w:ascii="Arial" w:hAnsi="Arial" w:cs="Arial"/>
          <w:color w:val="1A1A1A" w:themeColor="background1" w:themeShade="1A"/>
          <w:sz w:val="20"/>
          <w:szCs w:val="20"/>
          <w:lang w:val="en-US"/>
        </w:rPr>
        <w:t>Cité</w:t>
      </w:r>
      <w:proofErr w:type="spellEnd"/>
      <w:r w:rsidR="0098729E" w:rsidRPr="0076392E">
        <w:rPr>
          <w:rFonts w:ascii="Arial" w:hAnsi="Arial" w:cs="Arial"/>
          <w:color w:val="1A1A1A" w:themeColor="background1" w:themeShade="1A"/>
          <w:sz w:val="20"/>
          <w:szCs w:val="20"/>
          <w:lang w:val="en-US"/>
        </w:rPr>
        <w:t xml:space="preserve"> </w:t>
      </w:r>
      <w:proofErr w:type="spellStart"/>
      <w:r w:rsidR="0098729E" w:rsidRPr="0076392E">
        <w:rPr>
          <w:rFonts w:ascii="Arial" w:hAnsi="Arial" w:cs="Arial"/>
          <w:color w:val="1A1A1A" w:themeColor="background1" w:themeShade="1A"/>
          <w:sz w:val="20"/>
          <w:szCs w:val="20"/>
          <w:lang w:val="en-US"/>
        </w:rPr>
        <w:t>verte</w:t>
      </w:r>
      <w:proofErr w:type="spellEnd"/>
      <w:r w:rsidR="0098729E" w:rsidRPr="0076392E">
        <w:rPr>
          <w:rFonts w:ascii="Arial" w:hAnsi="Arial" w:cs="Arial"/>
          <w:color w:val="1A1A1A" w:themeColor="background1" w:themeShade="1A"/>
          <w:sz w:val="20"/>
          <w:szCs w:val="20"/>
          <w:lang w:val="en-US"/>
        </w:rPr>
        <w:t xml:space="preserve"> hospital during daily routine consultation.</w:t>
      </w:r>
    </w:p>
    <w:p w14:paraId="08B69FCB" w14:textId="77777777" w:rsidR="0098729E" w:rsidRPr="0076392E" w:rsidRDefault="00737E49" w:rsidP="00E553B5">
      <w:pPr>
        <w:spacing w:before="240" w:after="0" w:line="360" w:lineRule="auto"/>
        <w:ind w:right="15"/>
        <w:jc w:val="both"/>
        <w:rPr>
          <w:rFonts w:ascii="Arial" w:hAnsi="Arial" w:cs="Arial"/>
          <w:b/>
          <w:lang w:val="en-US"/>
        </w:rPr>
      </w:pPr>
      <w:r w:rsidRPr="0076392E">
        <w:rPr>
          <w:rFonts w:ascii="Arial" w:hAnsi="Arial" w:cs="Arial"/>
          <w:b/>
          <w:sz w:val="20"/>
          <w:szCs w:val="20"/>
          <w:lang w:val="en-US"/>
        </w:rPr>
        <w:t xml:space="preserve"> </w:t>
      </w:r>
      <w:r w:rsidR="0076392E" w:rsidRPr="0076392E">
        <w:rPr>
          <w:rFonts w:ascii="Arial" w:hAnsi="Arial" w:cs="Arial"/>
          <w:b/>
          <w:lang w:val="en-US"/>
        </w:rPr>
        <w:t xml:space="preserve">2.2 </w:t>
      </w:r>
      <w:r w:rsidR="0098729E" w:rsidRPr="0076392E">
        <w:rPr>
          <w:rFonts w:ascii="Arial" w:hAnsi="Arial" w:cs="Arial"/>
          <w:b/>
          <w:lang w:val="en-US"/>
        </w:rPr>
        <w:t xml:space="preserve">Study population </w:t>
      </w:r>
    </w:p>
    <w:p w14:paraId="611CDD93" w14:textId="7EAECC86" w:rsidR="0098729E" w:rsidRPr="0076392E" w:rsidRDefault="0098729E" w:rsidP="00E553B5">
      <w:pPr>
        <w:spacing w:line="360" w:lineRule="auto"/>
        <w:ind w:right="15"/>
        <w:jc w:val="both"/>
        <w:rPr>
          <w:rFonts w:ascii="Arial" w:hAnsi="Arial" w:cs="Arial"/>
          <w:sz w:val="20"/>
          <w:szCs w:val="20"/>
          <w:lang w:val="en-US"/>
        </w:rPr>
      </w:pPr>
      <w:r w:rsidRPr="0076392E">
        <w:rPr>
          <w:rFonts w:ascii="Arial" w:hAnsi="Arial" w:cs="Arial"/>
          <w:sz w:val="20"/>
          <w:szCs w:val="20"/>
          <w:lang w:val="en-US"/>
        </w:rPr>
        <w:t xml:space="preserve">The study population was </w:t>
      </w:r>
      <w:r w:rsidR="00375BDC" w:rsidRPr="0076392E">
        <w:rPr>
          <w:rFonts w:ascii="Arial" w:hAnsi="Arial" w:cs="Arial"/>
          <w:sz w:val="20"/>
          <w:szCs w:val="20"/>
          <w:lang w:val="en-US"/>
        </w:rPr>
        <w:t>made up of 80 diabetic patients divided into two groups</w:t>
      </w:r>
      <w:r w:rsidR="00DF7FE3" w:rsidRPr="0076392E">
        <w:rPr>
          <w:rFonts w:ascii="Arial" w:hAnsi="Arial" w:cs="Arial"/>
          <w:sz w:val="20"/>
          <w:szCs w:val="20"/>
          <w:lang w:val="en-US"/>
        </w:rPr>
        <w:t xml:space="preserve">: </w:t>
      </w:r>
      <w:r w:rsidR="00375BDC" w:rsidRPr="0076392E">
        <w:rPr>
          <w:rFonts w:ascii="Arial" w:hAnsi="Arial" w:cs="Arial"/>
          <w:sz w:val="20"/>
          <w:szCs w:val="20"/>
          <w:lang w:val="en-US"/>
        </w:rPr>
        <w:t xml:space="preserve">a </w:t>
      </w:r>
      <w:r w:rsidR="00DF7FE3" w:rsidRPr="0076392E">
        <w:rPr>
          <w:rFonts w:ascii="Arial" w:hAnsi="Arial" w:cs="Arial"/>
          <w:sz w:val="20"/>
          <w:szCs w:val="20"/>
          <w:lang w:val="en-US"/>
        </w:rPr>
        <w:t xml:space="preserve">group </w:t>
      </w:r>
      <w:r w:rsidR="00DF7FE3" w:rsidRPr="00CC5D6C">
        <w:rPr>
          <w:rFonts w:ascii="Arial" w:hAnsi="Arial" w:cs="Arial"/>
          <w:sz w:val="20"/>
          <w:szCs w:val="20"/>
          <w:highlight w:val="yellow"/>
          <w:lang w:val="en-US"/>
        </w:rPr>
        <w:t xml:space="preserve">of </w:t>
      </w:r>
      <w:r w:rsidR="007D661F" w:rsidRPr="00CC5D6C">
        <w:rPr>
          <w:rFonts w:ascii="Arial" w:hAnsi="Arial" w:cs="Arial"/>
          <w:sz w:val="20"/>
          <w:szCs w:val="20"/>
          <w:highlight w:val="yellow"/>
          <w:lang w:val="en-US"/>
        </w:rPr>
        <w:t xml:space="preserve">patients </w:t>
      </w:r>
      <w:r w:rsidR="00DF7FE3" w:rsidRPr="00CC5D6C">
        <w:rPr>
          <w:rFonts w:ascii="Arial" w:hAnsi="Arial" w:cs="Arial"/>
          <w:sz w:val="20"/>
          <w:szCs w:val="20"/>
          <w:highlight w:val="yellow"/>
          <w:lang w:val="en-US"/>
        </w:rPr>
        <w:t>with</w:t>
      </w:r>
      <w:r w:rsidR="00DF7FE3" w:rsidRPr="0076392E">
        <w:rPr>
          <w:rFonts w:ascii="Arial" w:hAnsi="Arial" w:cs="Arial"/>
          <w:sz w:val="20"/>
          <w:szCs w:val="20"/>
          <w:lang w:val="en-US"/>
        </w:rPr>
        <w:t xml:space="preserve"> </w:t>
      </w:r>
      <w:r w:rsidRPr="0076392E">
        <w:rPr>
          <w:rFonts w:ascii="Arial" w:hAnsi="Arial" w:cs="Arial"/>
          <w:sz w:val="20"/>
          <w:szCs w:val="20"/>
          <w:lang w:val="en-US"/>
        </w:rPr>
        <w:t xml:space="preserve">  Insulin-Treatment Failure (ITF) </w:t>
      </w:r>
      <w:r w:rsidR="007D661F" w:rsidRPr="00CC5D6C">
        <w:rPr>
          <w:rFonts w:ascii="Arial" w:hAnsi="Arial" w:cs="Arial"/>
          <w:sz w:val="20"/>
          <w:szCs w:val="20"/>
          <w:highlight w:val="yellow"/>
          <w:lang w:val="en-US"/>
        </w:rPr>
        <w:t>consisting</w:t>
      </w:r>
      <w:r w:rsidR="007D661F" w:rsidRPr="0076392E">
        <w:rPr>
          <w:rFonts w:ascii="Arial" w:hAnsi="Arial" w:cs="Arial"/>
          <w:sz w:val="20"/>
          <w:szCs w:val="20"/>
          <w:lang w:val="en-US"/>
        </w:rPr>
        <w:t xml:space="preserve"> </w:t>
      </w:r>
      <w:r w:rsidR="00DF7FE3" w:rsidRPr="0076392E">
        <w:rPr>
          <w:rFonts w:ascii="Arial" w:hAnsi="Arial" w:cs="Arial"/>
          <w:sz w:val="20"/>
          <w:szCs w:val="20"/>
          <w:lang w:val="en-US"/>
        </w:rPr>
        <w:t xml:space="preserve">of 41 </w:t>
      </w:r>
      <w:r w:rsidRPr="0076392E">
        <w:rPr>
          <w:rFonts w:ascii="Arial" w:hAnsi="Arial" w:cs="Arial"/>
          <w:sz w:val="20"/>
          <w:szCs w:val="20"/>
          <w:lang w:val="en-US"/>
        </w:rPr>
        <w:t>subject</w:t>
      </w:r>
      <w:r w:rsidR="00DF7FE3" w:rsidRPr="0076392E">
        <w:rPr>
          <w:rFonts w:ascii="Arial" w:hAnsi="Arial" w:cs="Arial"/>
          <w:sz w:val="20"/>
          <w:szCs w:val="20"/>
          <w:lang w:val="en-US"/>
        </w:rPr>
        <w:t xml:space="preserve">s </w:t>
      </w:r>
      <w:r w:rsidR="00DF7FE3" w:rsidRPr="00CC5D6C">
        <w:rPr>
          <w:rFonts w:ascii="Arial" w:hAnsi="Arial" w:cs="Arial"/>
          <w:sz w:val="20"/>
          <w:szCs w:val="20"/>
          <w:highlight w:val="yellow"/>
          <w:lang w:val="en-US"/>
        </w:rPr>
        <w:t>as</w:t>
      </w:r>
      <w:r w:rsidRPr="00CC5D6C">
        <w:rPr>
          <w:rFonts w:ascii="Arial" w:hAnsi="Arial" w:cs="Arial"/>
          <w:sz w:val="20"/>
          <w:szCs w:val="20"/>
          <w:highlight w:val="yellow"/>
          <w:lang w:val="en-US"/>
        </w:rPr>
        <w:t xml:space="preserve"> </w:t>
      </w:r>
      <w:r w:rsidR="007D661F" w:rsidRPr="00CC5D6C">
        <w:rPr>
          <w:rFonts w:ascii="Arial" w:hAnsi="Arial" w:cs="Arial"/>
          <w:sz w:val="20"/>
          <w:szCs w:val="20"/>
          <w:highlight w:val="yellow"/>
          <w:lang w:val="en-US"/>
        </w:rPr>
        <w:t xml:space="preserve">the </w:t>
      </w:r>
      <w:r w:rsidRPr="00CC5D6C">
        <w:rPr>
          <w:rFonts w:ascii="Arial" w:hAnsi="Arial" w:cs="Arial"/>
          <w:sz w:val="20"/>
          <w:szCs w:val="20"/>
          <w:highlight w:val="yellow"/>
          <w:lang w:val="en-US"/>
        </w:rPr>
        <w:t>case</w:t>
      </w:r>
      <w:r w:rsidRPr="0076392E">
        <w:rPr>
          <w:rFonts w:ascii="Arial" w:hAnsi="Arial" w:cs="Arial"/>
          <w:sz w:val="20"/>
          <w:szCs w:val="20"/>
          <w:lang w:val="en-US"/>
        </w:rPr>
        <w:t xml:space="preserve"> group and </w:t>
      </w:r>
      <w:r w:rsidR="00DF7FE3" w:rsidRPr="0076392E">
        <w:rPr>
          <w:rFonts w:ascii="Arial" w:hAnsi="Arial" w:cs="Arial"/>
          <w:sz w:val="20"/>
          <w:szCs w:val="20"/>
          <w:lang w:val="en-US"/>
        </w:rPr>
        <w:t xml:space="preserve">a group of </w:t>
      </w:r>
      <w:r w:rsidR="00A560A2" w:rsidRPr="0076392E">
        <w:rPr>
          <w:rFonts w:ascii="Arial" w:hAnsi="Arial" w:cs="Arial"/>
          <w:sz w:val="20"/>
          <w:szCs w:val="20"/>
          <w:lang w:val="en-US"/>
        </w:rPr>
        <w:t>39</w:t>
      </w:r>
      <w:r w:rsidR="00DF7FE3" w:rsidRPr="0076392E">
        <w:rPr>
          <w:rFonts w:ascii="Arial" w:hAnsi="Arial" w:cs="Arial"/>
          <w:sz w:val="20"/>
          <w:szCs w:val="20"/>
          <w:lang w:val="en-US"/>
        </w:rPr>
        <w:t xml:space="preserve"> </w:t>
      </w:r>
      <w:r w:rsidR="00A560A2" w:rsidRPr="0076392E">
        <w:rPr>
          <w:rFonts w:ascii="Arial" w:hAnsi="Arial" w:cs="Arial"/>
          <w:sz w:val="20"/>
          <w:szCs w:val="20"/>
          <w:lang w:val="en-US"/>
        </w:rPr>
        <w:t>people</w:t>
      </w:r>
      <w:r w:rsidR="00DF7FE3" w:rsidRPr="0076392E">
        <w:rPr>
          <w:rFonts w:ascii="Arial" w:hAnsi="Arial" w:cs="Arial"/>
          <w:sz w:val="20"/>
          <w:szCs w:val="20"/>
          <w:lang w:val="en-US"/>
        </w:rPr>
        <w:t xml:space="preserve"> with</w:t>
      </w:r>
      <w:r w:rsidRPr="0076392E">
        <w:rPr>
          <w:rFonts w:ascii="Arial" w:hAnsi="Arial" w:cs="Arial"/>
          <w:sz w:val="20"/>
          <w:szCs w:val="20"/>
          <w:lang w:val="en-US"/>
        </w:rPr>
        <w:t xml:space="preserve"> Insulin-Treatment Success (ITS) as </w:t>
      </w:r>
      <w:r w:rsidR="007D661F" w:rsidRPr="00CC5D6C">
        <w:rPr>
          <w:rFonts w:ascii="Arial" w:hAnsi="Arial" w:cs="Arial"/>
          <w:sz w:val="20"/>
          <w:szCs w:val="20"/>
          <w:highlight w:val="yellow"/>
          <w:lang w:val="en-US"/>
        </w:rPr>
        <w:t xml:space="preserve">the </w:t>
      </w:r>
      <w:r w:rsidRPr="00CC5D6C">
        <w:rPr>
          <w:rFonts w:ascii="Arial" w:hAnsi="Arial" w:cs="Arial"/>
          <w:sz w:val="20"/>
          <w:szCs w:val="20"/>
          <w:highlight w:val="yellow"/>
          <w:lang w:val="en-US"/>
        </w:rPr>
        <w:t>control</w:t>
      </w:r>
      <w:r w:rsidRPr="0076392E">
        <w:rPr>
          <w:rFonts w:ascii="Arial" w:hAnsi="Arial" w:cs="Arial"/>
          <w:sz w:val="20"/>
          <w:szCs w:val="20"/>
          <w:lang w:val="en-US"/>
        </w:rPr>
        <w:t xml:space="preserve"> group. The </w:t>
      </w:r>
      <w:r w:rsidRPr="00CC5D6C">
        <w:rPr>
          <w:rFonts w:ascii="Arial" w:hAnsi="Arial" w:cs="Arial"/>
          <w:sz w:val="20"/>
          <w:szCs w:val="20"/>
          <w:highlight w:val="yellow"/>
          <w:lang w:val="en-US"/>
        </w:rPr>
        <w:t xml:space="preserve">glycated </w:t>
      </w:r>
      <w:proofErr w:type="spellStart"/>
      <w:r w:rsidR="007D661F" w:rsidRPr="00CC5D6C">
        <w:rPr>
          <w:rFonts w:ascii="Arial" w:hAnsi="Arial" w:cs="Arial"/>
          <w:sz w:val="20"/>
          <w:szCs w:val="20"/>
          <w:highlight w:val="yellow"/>
          <w:lang w:val="en-US"/>
        </w:rPr>
        <w:t>haemoglobin</w:t>
      </w:r>
      <w:proofErr w:type="spellEnd"/>
      <w:r w:rsidR="007D661F" w:rsidRPr="0076392E">
        <w:rPr>
          <w:rFonts w:ascii="Arial" w:hAnsi="Arial" w:cs="Arial"/>
          <w:sz w:val="20"/>
          <w:szCs w:val="20"/>
          <w:lang w:val="en-US"/>
        </w:rPr>
        <w:t xml:space="preserve"> </w:t>
      </w:r>
      <w:r w:rsidRPr="0076392E">
        <w:rPr>
          <w:rFonts w:ascii="Arial" w:hAnsi="Arial" w:cs="Arial"/>
          <w:sz w:val="20"/>
          <w:szCs w:val="20"/>
          <w:lang w:val="en-US"/>
        </w:rPr>
        <w:t>(</w:t>
      </w:r>
      <w:proofErr w:type="spellStart"/>
      <w:r w:rsidRPr="0076392E">
        <w:rPr>
          <w:rFonts w:ascii="Arial" w:hAnsi="Arial" w:cs="Arial"/>
          <w:sz w:val="20"/>
          <w:szCs w:val="20"/>
          <w:lang w:val="en-US"/>
        </w:rPr>
        <w:t>HbAIc</w:t>
      </w:r>
      <w:proofErr w:type="spellEnd"/>
      <w:r w:rsidRPr="0076392E">
        <w:rPr>
          <w:rFonts w:ascii="Arial" w:hAnsi="Arial" w:cs="Arial"/>
          <w:sz w:val="20"/>
          <w:szCs w:val="20"/>
          <w:lang w:val="en-US"/>
        </w:rPr>
        <w:t>) levels were considered for the selection of participants in the study. Specimens were aliquoted and stored at −80°C until ready to be used</w:t>
      </w:r>
      <w:r w:rsidR="007D661F">
        <w:rPr>
          <w:rFonts w:ascii="Arial" w:hAnsi="Arial" w:cs="Arial"/>
          <w:sz w:val="20"/>
          <w:szCs w:val="20"/>
          <w:lang w:val="en-US"/>
        </w:rPr>
        <w:t>.</w:t>
      </w:r>
      <w:r w:rsidRPr="0076392E">
        <w:rPr>
          <w:rFonts w:ascii="Arial" w:hAnsi="Arial" w:cs="Arial"/>
          <w:sz w:val="20"/>
          <w:szCs w:val="20"/>
          <w:lang w:val="en-US"/>
        </w:rPr>
        <w:t xml:space="preserve"> Demographic data and clinical information were gathered for each participant through a standard questionnaire, which covered parameters like age, gender, insulin regimen, and duration of insulin treatment.</w:t>
      </w:r>
    </w:p>
    <w:p w14:paraId="2B6D3E66" w14:textId="77777777" w:rsidR="0098729E" w:rsidRPr="0076392E" w:rsidRDefault="0098729E" w:rsidP="00E553B5">
      <w:pPr>
        <w:spacing w:line="360" w:lineRule="auto"/>
        <w:ind w:right="15"/>
        <w:jc w:val="both"/>
        <w:rPr>
          <w:rFonts w:ascii="Arial" w:hAnsi="Arial" w:cs="Arial"/>
          <w:sz w:val="20"/>
          <w:szCs w:val="20"/>
          <w:lang w:val="en-US"/>
        </w:rPr>
        <w:sectPr w:rsidR="0098729E" w:rsidRPr="0076392E" w:rsidSect="00A701C7">
          <w:pgSz w:w="11906" w:h="16838"/>
          <w:pgMar w:top="450" w:right="849" w:bottom="810" w:left="1417" w:header="708" w:footer="708" w:gutter="0"/>
          <w:cols w:space="1343"/>
          <w:docGrid w:linePitch="360"/>
        </w:sectPr>
      </w:pPr>
    </w:p>
    <w:p w14:paraId="18FF9B69" w14:textId="77777777" w:rsidR="0098729E" w:rsidRPr="0076392E" w:rsidRDefault="0076392E" w:rsidP="00E553B5">
      <w:pPr>
        <w:spacing w:line="360" w:lineRule="auto"/>
        <w:ind w:right="15"/>
        <w:jc w:val="both"/>
        <w:rPr>
          <w:rFonts w:ascii="Arial" w:hAnsi="Arial" w:cs="Arial"/>
          <w:b/>
          <w:lang w:val="en-US"/>
        </w:rPr>
      </w:pPr>
      <w:r w:rsidRPr="0076392E">
        <w:rPr>
          <w:rFonts w:ascii="Arial" w:hAnsi="Arial" w:cs="Arial"/>
          <w:b/>
          <w:lang w:val="en-US"/>
        </w:rPr>
        <w:t xml:space="preserve">2.3 </w:t>
      </w:r>
      <w:r w:rsidR="0098729E" w:rsidRPr="0076392E">
        <w:rPr>
          <w:rFonts w:ascii="Arial" w:hAnsi="Arial" w:cs="Arial"/>
          <w:b/>
          <w:lang w:val="en-US"/>
        </w:rPr>
        <w:t xml:space="preserve">Sample collection and analysis site </w:t>
      </w:r>
    </w:p>
    <w:p w14:paraId="20F9C225" w14:textId="42197DEA" w:rsidR="0098729E" w:rsidRPr="0076392E" w:rsidRDefault="0098729E" w:rsidP="00E553B5">
      <w:pPr>
        <w:spacing w:line="360" w:lineRule="auto"/>
        <w:ind w:right="15"/>
        <w:jc w:val="both"/>
        <w:rPr>
          <w:rFonts w:ascii="Arial" w:hAnsi="Arial" w:cs="Arial"/>
          <w:bCs/>
          <w:sz w:val="20"/>
          <w:szCs w:val="20"/>
          <w:lang w:val="en-US"/>
        </w:rPr>
      </w:pPr>
      <w:r w:rsidRPr="0076392E">
        <w:rPr>
          <w:rFonts w:ascii="Arial" w:hAnsi="Arial" w:cs="Arial"/>
          <w:bCs/>
          <w:sz w:val="20"/>
          <w:szCs w:val="20"/>
          <w:lang w:val="en-US"/>
        </w:rPr>
        <w:t xml:space="preserve">Five </w:t>
      </w:r>
      <w:proofErr w:type="spellStart"/>
      <w:r w:rsidR="007D661F" w:rsidRPr="00CC5D6C">
        <w:rPr>
          <w:rFonts w:ascii="Arial" w:hAnsi="Arial" w:cs="Arial"/>
          <w:bCs/>
          <w:sz w:val="20"/>
          <w:szCs w:val="20"/>
          <w:highlight w:val="yellow"/>
          <w:lang w:val="en-US"/>
        </w:rPr>
        <w:t>millilitres</w:t>
      </w:r>
      <w:proofErr w:type="spellEnd"/>
      <w:r w:rsidR="007D661F" w:rsidRPr="00CC5D6C">
        <w:rPr>
          <w:rFonts w:ascii="Arial" w:hAnsi="Arial" w:cs="Arial"/>
          <w:bCs/>
          <w:sz w:val="20"/>
          <w:szCs w:val="20"/>
          <w:highlight w:val="yellow"/>
          <w:lang w:val="en-US"/>
        </w:rPr>
        <w:t xml:space="preserve"> </w:t>
      </w:r>
      <w:r w:rsidRPr="00CC5D6C">
        <w:rPr>
          <w:rFonts w:ascii="Arial" w:hAnsi="Arial" w:cs="Arial"/>
          <w:bCs/>
          <w:sz w:val="20"/>
          <w:szCs w:val="20"/>
          <w:highlight w:val="yellow"/>
          <w:lang w:val="en-US"/>
        </w:rPr>
        <w:t>(</w:t>
      </w:r>
      <w:r w:rsidRPr="0076392E">
        <w:rPr>
          <w:rFonts w:ascii="Arial" w:hAnsi="Arial" w:cs="Arial"/>
          <w:bCs/>
          <w:sz w:val="20"/>
          <w:szCs w:val="20"/>
          <w:lang w:val="en-US"/>
        </w:rPr>
        <w:t xml:space="preserve">5ml) of whole blood were collected, transported and </w:t>
      </w:r>
      <w:proofErr w:type="spellStart"/>
      <w:r w:rsidR="007D661F" w:rsidRPr="00CC5D6C">
        <w:rPr>
          <w:rFonts w:ascii="Arial" w:hAnsi="Arial" w:cs="Arial"/>
          <w:bCs/>
          <w:sz w:val="20"/>
          <w:szCs w:val="20"/>
          <w:highlight w:val="yellow"/>
          <w:lang w:val="en-US"/>
        </w:rPr>
        <w:t>analysed</w:t>
      </w:r>
      <w:proofErr w:type="spellEnd"/>
      <w:r w:rsidR="007D661F" w:rsidRPr="00CC5D6C">
        <w:rPr>
          <w:rFonts w:ascii="Arial" w:hAnsi="Arial" w:cs="Arial"/>
          <w:bCs/>
          <w:sz w:val="20"/>
          <w:szCs w:val="20"/>
          <w:highlight w:val="yellow"/>
          <w:lang w:val="en-US"/>
        </w:rPr>
        <w:t xml:space="preserve"> </w:t>
      </w:r>
      <w:r w:rsidRPr="00CC5D6C">
        <w:rPr>
          <w:rFonts w:ascii="Arial" w:hAnsi="Arial" w:cs="Arial"/>
          <w:bCs/>
          <w:sz w:val="20"/>
          <w:szCs w:val="20"/>
          <w:highlight w:val="yellow"/>
          <w:lang w:val="en-US"/>
        </w:rPr>
        <w:t>at</w:t>
      </w:r>
      <w:r w:rsidRPr="0076392E">
        <w:rPr>
          <w:rFonts w:ascii="Arial" w:hAnsi="Arial" w:cs="Arial"/>
          <w:bCs/>
          <w:sz w:val="20"/>
          <w:szCs w:val="20"/>
          <w:lang w:val="en-US"/>
        </w:rPr>
        <w:t xml:space="preserve"> the </w:t>
      </w:r>
      <w:r w:rsidR="007D661F" w:rsidRPr="00CC5D6C">
        <w:rPr>
          <w:rFonts w:ascii="Arial" w:hAnsi="Arial" w:cs="Arial"/>
          <w:bCs/>
          <w:sz w:val="20"/>
          <w:szCs w:val="20"/>
          <w:highlight w:val="yellow"/>
          <w:lang w:val="en-US"/>
        </w:rPr>
        <w:t xml:space="preserve">Centre </w:t>
      </w:r>
      <w:r w:rsidRPr="00CC5D6C">
        <w:rPr>
          <w:rFonts w:ascii="Arial" w:hAnsi="Arial" w:cs="Arial"/>
          <w:bCs/>
          <w:sz w:val="20"/>
          <w:szCs w:val="20"/>
          <w:highlight w:val="yellow"/>
          <w:lang w:val="en-US"/>
        </w:rPr>
        <w:t>for the</w:t>
      </w:r>
      <w:r w:rsidRPr="0076392E">
        <w:rPr>
          <w:rFonts w:ascii="Arial" w:hAnsi="Arial" w:cs="Arial"/>
          <w:bCs/>
          <w:sz w:val="20"/>
          <w:szCs w:val="20"/>
          <w:lang w:val="en-US"/>
        </w:rPr>
        <w:t xml:space="preserve"> Study and Control of Communicable Diseases (CSCCD) of the Faculty of Medicine and Biomedical Sciences (FMBS), University of Yaoundé I, Cameroon. Serum specimens were obtained by centrifuging whole blood at 5000 rpm for 5 minutes and subsequently stored in cryo-</w:t>
      </w:r>
      <w:proofErr w:type="spellStart"/>
      <w:r w:rsidRPr="0076392E">
        <w:rPr>
          <w:rFonts w:ascii="Arial" w:hAnsi="Arial" w:cs="Arial"/>
          <w:bCs/>
          <w:sz w:val="20"/>
          <w:szCs w:val="20"/>
          <w:lang w:val="en-US"/>
        </w:rPr>
        <w:t>vals</w:t>
      </w:r>
      <w:proofErr w:type="spellEnd"/>
      <w:r w:rsidRPr="0076392E">
        <w:rPr>
          <w:rFonts w:ascii="Arial" w:hAnsi="Arial" w:cs="Arial"/>
          <w:bCs/>
          <w:sz w:val="20"/>
          <w:szCs w:val="20"/>
          <w:lang w:val="en-US"/>
        </w:rPr>
        <w:t xml:space="preserve"> at -20°C. All samples were </w:t>
      </w:r>
      <w:proofErr w:type="spellStart"/>
      <w:r w:rsidR="007D661F" w:rsidRPr="00CC5D6C">
        <w:rPr>
          <w:rFonts w:ascii="Arial" w:hAnsi="Arial" w:cs="Arial"/>
          <w:bCs/>
          <w:sz w:val="20"/>
          <w:szCs w:val="20"/>
          <w:highlight w:val="yellow"/>
          <w:lang w:val="en-US"/>
        </w:rPr>
        <w:t>analysed</w:t>
      </w:r>
      <w:proofErr w:type="spellEnd"/>
      <w:r w:rsidR="007D661F" w:rsidRPr="00CC5D6C">
        <w:rPr>
          <w:rFonts w:ascii="Arial" w:hAnsi="Arial" w:cs="Arial"/>
          <w:bCs/>
          <w:sz w:val="20"/>
          <w:szCs w:val="20"/>
          <w:highlight w:val="yellow"/>
          <w:lang w:val="en-US"/>
        </w:rPr>
        <w:t xml:space="preserve"> </w:t>
      </w:r>
      <w:r w:rsidRPr="00CC5D6C">
        <w:rPr>
          <w:rFonts w:ascii="Arial" w:hAnsi="Arial" w:cs="Arial"/>
          <w:bCs/>
          <w:sz w:val="20"/>
          <w:szCs w:val="20"/>
          <w:highlight w:val="yellow"/>
          <w:lang w:val="en-US"/>
        </w:rPr>
        <w:t>with</w:t>
      </w:r>
      <w:r w:rsidRPr="0076392E">
        <w:rPr>
          <w:rFonts w:ascii="Arial" w:hAnsi="Arial" w:cs="Arial"/>
          <w:bCs/>
          <w:sz w:val="20"/>
          <w:szCs w:val="20"/>
          <w:lang w:val="en-US"/>
        </w:rPr>
        <w:t>in two months of collection to prevent cytokine degradation over time.</w:t>
      </w:r>
    </w:p>
    <w:p w14:paraId="2899C55B" w14:textId="77777777" w:rsidR="0098729E" w:rsidRPr="0076392E" w:rsidRDefault="0076392E" w:rsidP="00E553B5">
      <w:pPr>
        <w:spacing w:line="276" w:lineRule="auto"/>
        <w:ind w:right="15"/>
        <w:jc w:val="both"/>
        <w:rPr>
          <w:rFonts w:ascii="Arial" w:hAnsi="Arial" w:cs="Arial"/>
          <w:b/>
          <w:bCs/>
          <w:lang w:val="en-US"/>
        </w:rPr>
      </w:pPr>
      <w:r w:rsidRPr="0076392E">
        <w:rPr>
          <w:rFonts w:ascii="Arial" w:hAnsi="Arial" w:cs="Arial"/>
          <w:b/>
          <w:bCs/>
          <w:lang w:val="en-US"/>
        </w:rPr>
        <w:t xml:space="preserve">2.4. </w:t>
      </w:r>
      <w:r w:rsidR="0098729E" w:rsidRPr="0076392E">
        <w:rPr>
          <w:rFonts w:ascii="Arial" w:hAnsi="Arial" w:cs="Arial"/>
          <w:b/>
          <w:bCs/>
          <w:lang w:val="en-US"/>
        </w:rPr>
        <w:t>Laboratory measurements</w:t>
      </w:r>
    </w:p>
    <w:p w14:paraId="2E350B94" w14:textId="7589D77B" w:rsidR="0098729E" w:rsidRPr="0076392E" w:rsidRDefault="000407A8" w:rsidP="00D50564">
      <w:pPr>
        <w:spacing w:before="240" w:after="0" w:line="276" w:lineRule="auto"/>
        <w:ind w:right="15"/>
        <w:jc w:val="both"/>
        <w:rPr>
          <w:rFonts w:ascii="Arial" w:hAnsi="Arial" w:cs="Arial"/>
          <w:b/>
          <w:i/>
          <w:color w:val="000000" w:themeColor="text1"/>
          <w:sz w:val="20"/>
          <w:szCs w:val="20"/>
          <w:lang w:val="en-US"/>
        </w:rPr>
      </w:pPr>
      <w:r w:rsidRPr="000407A8">
        <w:rPr>
          <w:rFonts w:ascii="Arial" w:hAnsi="Arial" w:cs="Arial"/>
          <w:b/>
          <w:color w:val="000000" w:themeColor="text1"/>
          <w:sz w:val="20"/>
          <w:szCs w:val="20"/>
          <w:lang w:val="en-US"/>
        </w:rPr>
        <w:t>2.4.</w:t>
      </w:r>
      <w:r>
        <w:rPr>
          <w:rFonts w:ascii="Arial" w:hAnsi="Arial" w:cs="Arial"/>
          <w:b/>
          <w:color w:val="000000" w:themeColor="text1"/>
          <w:sz w:val="20"/>
          <w:szCs w:val="20"/>
          <w:lang w:val="en-US"/>
        </w:rPr>
        <w:t xml:space="preserve">1 </w:t>
      </w:r>
      <w:r w:rsidR="0098729E" w:rsidRPr="000407A8">
        <w:rPr>
          <w:rFonts w:ascii="Arial" w:hAnsi="Arial" w:cs="Arial"/>
          <w:b/>
          <w:color w:val="000000" w:themeColor="text1"/>
          <w:sz w:val="20"/>
          <w:szCs w:val="20"/>
          <w:lang w:val="en-US"/>
        </w:rPr>
        <w:t xml:space="preserve">Measurement of </w:t>
      </w:r>
      <w:r w:rsidR="0098729E" w:rsidRPr="000407A8">
        <w:rPr>
          <w:rFonts w:ascii="Arial" w:hAnsi="Arial" w:cs="Arial"/>
          <w:b/>
          <w:bCs/>
          <w:color w:val="000000" w:themeColor="text1"/>
          <w:sz w:val="20"/>
          <w:szCs w:val="20"/>
          <w:lang w:val="en-US"/>
        </w:rPr>
        <w:t>TNF-α and Adiponectin</w:t>
      </w:r>
      <w:r w:rsidR="00D50564" w:rsidRPr="000407A8">
        <w:rPr>
          <w:rFonts w:ascii="Arial" w:hAnsi="Arial" w:cs="Arial"/>
          <w:b/>
          <w:bCs/>
          <w:color w:val="000000" w:themeColor="text1"/>
          <w:sz w:val="20"/>
          <w:szCs w:val="20"/>
          <w:lang w:val="en-US"/>
        </w:rPr>
        <w:t>:</w:t>
      </w:r>
      <w:r w:rsidR="0098729E" w:rsidRPr="000407A8">
        <w:rPr>
          <w:rFonts w:ascii="Arial" w:hAnsi="Arial" w:cs="Arial"/>
          <w:b/>
          <w:bCs/>
          <w:color w:val="000000" w:themeColor="text1"/>
          <w:sz w:val="20"/>
          <w:szCs w:val="20"/>
          <w:lang w:val="en-US"/>
        </w:rPr>
        <w:t xml:space="preserve"> </w:t>
      </w:r>
      <w:r w:rsidR="0098729E" w:rsidRPr="000407A8">
        <w:rPr>
          <w:rFonts w:ascii="Arial" w:hAnsi="Arial" w:cs="Arial"/>
          <w:bCs/>
          <w:color w:val="000000" w:themeColor="text1"/>
          <w:sz w:val="20"/>
          <w:szCs w:val="20"/>
          <w:lang w:val="en-US"/>
        </w:rPr>
        <w:t>TNF-α and Adiponectin were measured using quantitative sandwich Enzyme-linked Immunosorbent Assay</w:t>
      </w:r>
      <w:r w:rsidR="0098729E" w:rsidRPr="0076392E">
        <w:rPr>
          <w:rFonts w:ascii="Arial" w:hAnsi="Arial" w:cs="Arial"/>
          <w:bCs/>
          <w:color w:val="000000" w:themeColor="text1"/>
          <w:sz w:val="20"/>
          <w:szCs w:val="20"/>
          <w:lang w:val="en-US"/>
        </w:rPr>
        <w:t xml:space="preserve"> (ELISA) kits from Invitrogen</w:t>
      </w:r>
      <w:r w:rsidR="007D661F">
        <w:rPr>
          <w:rFonts w:ascii="Arial" w:hAnsi="Arial" w:cs="Arial"/>
          <w:bCs/>
          <w:color w:val="000000" w:themeColor="text1"/>
          <w:sz w:val="20"/>
          <w:szCs w:val="20"/>
          <w:lang w:val="en-US"/>
        </w:rPr>
        <w:t xml:space="preserve"> (</w:t>
      </w:r>
      <w:r w:rsidR="0098729E" w:rsidRPr="0076392E">
        <w:rPr>
          <w:rFonts w:ascii="Arial" w:hAnsi="Arial" w:cs="Arial"/>
          <w:bCs/>
          <w:color w:val="000000" w:themeColor="text1"/>
          <w:sz w:val="20"/>
          <w:szCs w:val="20"/>
          <w:lang w:val="en-US"/>
        </w:rPr>
        <w:t xml:space="preserve">Thermo Fisher Scientific, USA). A solid-phase Immune Enzymatic technique was employed on a microtiter plate for the quantitative determination of TNF-α and Adiponectin in human plasma. Samples were </w:t>
      </w:r>
      <w:proofErr w:type="spellStart"/>
      <w:r w:rsidR="007D661F" w:rsidRPr="00CC5D6C">
        <w:rPr>
          <w:rFonts w:ascii="Arial" w:hAnsi="Arial" w:cs="Arial"/>
          <w:bCs/>
          <w:color w:val="000000" w:themeColor="text1"/>
          <w:sz w:val="20"/>
          <w:szCs w:val="20"/>
          <w:highlight w:val="yellow"/>
          <w:lang w:val="en-US"/>
        </w:rPr>
        <w:t>analysed</w:t>
      </w:r>
      <w:proofErr w:type="spellEnd"/>
      <w:r w:rsidR="007D661F" w:rsidRPr="00CC5D6C">
        <w:rPr>
          <w:rFonts w:ascii="Arial" w:hAnsi="Arial" w:cs="Arial"/>
          <w:bCs/>
          <w:color w:val="000000" w:themeColor="text1"/>
          <w:sz w:val="20"/>
          <w:szCs w:val="20"/>
          <w:highlight w:val="yellow"/>
          <w:lang w:val="en-US"/>
        </w:rPr>
        <w:t xml:space="preserve"> </w:t>
      </w:r>
      <w:r w:rsidR="0098729E" w:rsidRPr="00CC5D6C">
        <w:rPr>
          <w:rFonts w:ascii="Arial" w:hAnsi="Arial" w:cs="Arial"/>
          <w:bCs/>
          <w:color w:val="000000" w:themeColor="text1"/>
          <w:sz w:val="20"/>
          <w:szCs w:val="20"/>
          <w:highlight w:val="yellow"/>
          <w:lang w:val="en-US"/>
        </w:rPr>
        <w:t>according</w:t>
      </w:r>
      <w:r w:rsidR="0098729E" w:rsidRPr="0076392E">
        <w:rPr>
          <w:rFonts w:ascii="Arial" w:hAnsi="Arial" w:cs="Arial"/>
          <w:bCs/>
          <w:color w:val="000000" w:themeColor="text1"/>
          <w:sz w:val="20"/>
          <w:szCs w:val="20"/>
          <w:lang w:val="en-US"/>
        </w:rPr>
        <w:t xml:space="preserve"> to the manufacturer's specifications. The absorbance was read using a spectrophotometer (Biotech ELx800, USA) set at a dual wavelength of 450-550 nm, with each sample </w:t>
      </w:r>
      <w:r w:rsidR="007D661F" w:rsidRPr="00CC5D6C">
        <w:rPr>
          <w:rFonts w:ascii="Arial" w:hAnsi="Arial" w:cs="Arial"/>
          <w:bCs/>
          <w:color w:val="000000" w:themeColor="text1"/>
          <w:sz w:val="20"/>
          <w:szCs w:val="20"/>
          <w:highlight w:val="yellow"/>
          <w:lang w:val="en-US"/>
        </w:rPr>
        <w:t xml:space="preserve">run </w:t>
      </w:r>
      <w:r w:rsidR="0098729E" w:rsidRPr="00CC5D6C">
        <w:rPr>
          <w:rFonts w:ascii="Arial" w:hAnsi="Arial" w:cs="Arial"/>
          <w:bCs/>
          <w:color w:val="000000" w:themeColor="text1"/>
          <w:sz w:val="20"/>
          <w:szCs w:val="20"/>
          <w:highlight w:val="yellow"/>
          <w:lang w:val="en-US"/>
        </w:rPr>
        <w:t>in duplicate</w:t>
      </w:r>
      <w:r w:rsidR="0098729E" w:rsidRPr="0076392E">
        <w:rPr>
          <w:rFonts w:ascii="Arial" w:hAnsi="Arial" w:cs="Arial"/>
          <w:bCs/>
          <w:color w:val="000000" w:themeColor="text1"/>
          <w:sz w:val="20"/>
          <w:szCs w:val="20"/>
          <w:lang w:val="en-US"/>
        </w:rPr>
        <w:t>. The concentration of both cytokines was determined by extrapolating the results from a standard curve generated by plotting the average absorbance (450-550 nm) obtained.</w:t>
      </w:r>
    </w:p>
    <w:p w14:paraId="4409E63C" w14:textId="62C5614E" w:rsidR="0098729E" w:rsidRPr="0076392E" w:rsidRDefault="000407A8" w:rsidP="00E553B5">
      <w:pPr>
        <w:spacing w:before="240" w:after="0" w:line="360" w:lineRule="auto"/>
        <w:ind w:right="15"/>
        <w:jc w:val="both"/>
        <w:rPr>
          <w:rFonts w:ascii="Arial" w:hAnsi="Arial" w:cs="Arial"/>
          <w:b/>
          <w:i/>
          <w:color w:val="000000" w:themeColor="text1"/>
          <w:sz w:val="20"/>
          <w:szCs w:val="20"/>
          <w:lang w:val="en-US"/>
        </w:rPr>
      </w:pPr>
      <w:r w:rsidRPr="000407A8">
        <w:rPr>
          <w:rFonts w:ascii="Arial" w:hAnsi="Arial" w:cs="Arial"/>
          <w:b/>
          <w:bCs/>
          <w:color w:val="000000" w:themeColor="text1"/>
          <w:sz w:val="20"/>
          <w:szCs w:val="20"/>
          <w:lang w:val="en-US"/>
        </w:rPr>
        <w:t xml:space="preserve">2.4.2 </w:t>
      </w:r>
      <w:r w:rsidR="0098729E" w:rsidRPr="000407A8">
        <w:rPr>
          <w:rFonts w:ascii="Arial" w:hAnsi="Arial" w:cs="Arial"/>
          <w:b/>
          <w:color w:val="000000" w:themeColor="text1"/>
          <w:sz w:val="20"/>
          <w:szCs w:val="20"/>
          <w:lang w:val="en-US"/>
        </w:rPr>
        <w:t>Measurement of glycated</w:t>
      </w:r>
      <w:r w:rsidR="0098729E" w:rsidRPr="000407A8">
        <w:rPr>
          <w:rFonts w:ascii="Arial" w:hAnsi="Arial" w:cs="Arial"/>
          <w:b/>
          <w:bCs/>
          <w:color w:val="000000" w:themeColor="text1"/>
          <w:sz w:val="20"/>
          <w:szCs w:val="20"/>
          <w:lang w:val="en-US"/>
        </w:rPr>
        <w:t xml:space="preserve"> </w:t>
      </w:r>
      <w:proofErr w:type="spellStart"/>
      <w:r w:rsidR="007D661F" w:rsidRPr="00CC5D6C">
        <w:rPr>
          <w:rFonts w:ascii="Arial" w:hAnsi="Arial" w:cs="Arial"/>
          <w:b/>
          <w:bCs/>
          <w:color w:val="000000" w:themeColor="text1"/>
          <w:sz w:val="20"/>
          <w:szCs w:val="20"/>
          <w:highlight w:val="yellow"/>
          <w:lang w:val="en-US"/>
        </w:rPr>
        <w:t>haemoglobin</w:t>
      </w:r>
      <w:proofErr w:type="spellEnd"/>
      <w:r w:rsidR="007D661F" w:rsidRPr="000407A8">
        <w:rPr>
          <w:rFonts w:ascii="Arial" w:hAnsi="Arial" w:cs="Arial"/>
          <w:b/>
          <w:bCs/>
          <w:color w:val="000000" w:themeColor="text1"/>
          <w:sz w:val="20"/>
          <w:szCs w:val="20"/>
          <w:lang w:val="en-US"/>
        </w:rPr>
        <w:t xml:space="preserve"> </w:t>
      </w:r>
      <w:r w:rsidR="0098729E" w:rsidRPr="000407A8">
        <w:rPr>
          <w:rFonts w:ascii="Arial" w:hAnsi="Arial" w:cs="Arial"/>
          <w:b/>
          <w:bCs/>
          <w:color w:val="000000" w:themeColor="text1"/>
          <w:sz w:val="20"/>
          <w:szCs w:val="20"/>
          <w:lang w:val="en-US"/>
        </w:rPr>
        <w:t>(HbA1c) using immune turbidimetry</w:t>
      </w:r>
      <w:r w:rsidR="00D50564" w:rsidRPr="0076392E">
        <w:rPr>
          <w:rFonts w:ascii="Arial" w:hAnsi="Arial" w:cs="Arial"/>
          <w:b/>
          <w:i/>
          <w:color w:val="000000" w:themeColor="text1"/>
          <w:sz w:val="20"/>
          <w:szCs w:val="20"/>
          <w:lang w:val="en-US"/>
        </w:rPr>
        <w:t xml:space="preserve">: </w:t>
      </w:r>
      <w:r w:rsidR="0098729E" w:rsidRPr="0076392E">
        <w:rPr>
          <w:rFonts w:ascii="Arial" w:hAnsi="Arial" w:cs="Arial"/>
          <w:bCs/>
          <w:sz w:val="20"/>
          <w:szCs w:val="20"/>
          <w:lang w:val="en-US"/>
        </w:rPr>
        <w:t xml:space="preserve">Glycated </w:t>
      </w:r>
      <w:proofErr w:type="spellStart"/>
      <w:r w:rsidR="007D661F" w:rsidRPr="00CC5D6C">
        <w:rPr>
          <w:rFonts w:ascii="Arial" w:hAnsi="Arial" w:cs="Arial"/>
          <w:bCs/>
          <w:sz w:val="20"/>
          <w:szCs w:val="20"/>
          <w:highlight w:val="yellow"/>
          <w:lang w:val="en-US"/>
        </w:rPr>
        <w:t>haemoglobin</w:t>
      </w:r>
      <w:proofErr w:type="spellEnd"/>
      <w:r w:rsidR="007D661F" w:rsidRPr="00CC5D6C">
        <w:rPr>
          <w:rFonts w:ascii="Arial" w:hAnsi="Arial" w:cs="Arial"/>
          <w:bCs/>
          <w:sz w:val="20"/>
          <w:szCs w:val="20"/>
          <w:highlight w:val="yellow"/>
          <w:lang w:val="en-US"/>
        </w:rPr>
        <w:t xml:space="preserve"> </w:t>
      </w:r>
      <w:r w:rsidR="0098729E" w:rsidRPr="00CC5D6C">
        <w:rPr>
          <w:rFonts w:ascii="Arial" w:hAnsi="Arial" w:cs="Arial"/>
          <w:bCs/>
          <w:sz w:val="20"/>
          <w:szCs w:val="20"/>
          <w:highlight w:val="yellow"/>
          <w:lang w:val="en-US"/>
        </w:rPr>
        <w:t>was</w:t>
      </w:r>
      <w:r w:rsidR="0098729E" w:rsidRPr="0076392E">
        <w:rPr>
          <w:rFonts w:ascii="Arial" w:hAnsi="Arial" w:cs="Arial"/>
          <w:bCs/>
          <w:sz w:val="20"/>
          <w:szCs w:val="20"/>
          <w:lang w:val="en-US"/>
        </w:rPr>
        <w:t xml:space="preserve"> measured by Immunoturbidimetry using antibodies specific to HbA1c.The immunoturbidimetric instrument measured the </w:t>
      </w:r>
      <w:r w:rsidR="0098729E" w:rsidRPr="00CC5D6C">
        <w:rPr>
          <w:rFonts w:ascii="Arial" w:hAnsi="Arial" w:cs="Arial"/>
          <w:bCs/>
          <w:sz w:val="20"/>
          <w:szCs w:val="20"/>
          <w:highlight w:val="yellow"/>
          <w:lang w:val="en-US"/>
        </w:rPr>
        <w:t>changes in the sample</w:t>
      </w:r>
      <w:r w:rsidR="0098729E" w:rsidRPr="0076392E">
        <w:rPr>
          <w:rFonts w:ascii="Arial" w:hAnsi="Arial" w:cs="Arial"/>
          <w:bCs/>
          <w:sz w:val="20"/>
          <w:szCs w:val="20"/>
          <w:lang w:val="en-US"/>
        </w:rPr>
        <w:t>. All the procedures as recommended by the manufacturer were respected.</w:t>
      </w:r>
    </w:p>
    <w:p w14:paraId="4AD271D9" w14:textId="77777777" w:rsidR="0098729E" w:rsidRPr="000407A8" w:rsidRDefault="000407A8" w:rsidP="00E553B5">
      <w:pPr>
        <w:spacing w:before="240" w:after="0" w:line="360" w:lineRule="auto"/>
        <w:ind w:right="15" w:firstLine="66"/>
        <w:jc w:val="both"/>
        <w:rPr>
          <w:rFonts w:ascii="Arial" w:hAnsi="Arial" w:cs="Arial"/>
          <w:b/>
          <w:lang w:val="en-US"/>
        </w:rPr>
      </w:pPr>
      <w:r w:rsidRPr="000407A8">
        <w:rPr>
          <w:rFonts w:ascii="Arial" w:hAnsi="Arial" w:cs="Arial"/>
          <w:b/>
          <w:lang w:val="en-US"/>
        </w:rPr>
        <w:t>2.5</w:t>
      </w:r>
      <w:r w:rsidR="00737E49" w:rsidRPr="000407A8">
        <w:rPr>
          <w:rFonts w:ascii="Arial" w:hAnsi="Arial" w:cs="Arial"/>
          <w:b/>
          <w:lang w:val="en-US"/>
        </w:rPr>
        <w:t xml:space="preserve"> </w:t>
      </w:r>
      <w:r w:rsidR="00F43913" w:rsidRPr="000407A8">
        <w:rPr>
          <w:rFonts w:ascii="Arial" w:hAnsi="Arial" w:cs="Arial"/>
          <w:b/>
          <w:lang w:val="en-US"/>
        </w:rPr>
        <w:t>Statistical A</w:t>
      </w:r>
      <w:r w:rsidR="0098729E" w:rsidRPr="000407A8">
        <w:rPr>
          <w:rFonts w:ascii="Arial" w:hAnsi="Arial" w:cs="Arial"/>
          <w:b/>
          <w:lang w:val="en-US"/>
        </w:rPr>
        <w:t>nalyses</w:t>
      </w:r>
    </w:p>
    <w:p w14:paraId="06667ACF" w14:textId="065EB62E" w:rsidR="0098729E" w:rsidRPr="0076392E" w:rsidRDefault="0098729E" w:rsidP="00E553B5">
      <w:pPr>
        <w:spacing w:before="240" w:after="0" w:line="360" w:lineRule="auto"/>
        <w:ind w:right="15"/>
        <w:jc w:val="both"/>
        <w:rPr>
          <w:rFonts w:ascii="Arial" w:hAnsi="Arial" w:cs="Arial"/>
          <w:sz w:val="20"/>
          <w:szCs w:val="20"/>
          <w:lang w:val="en-US"/>
        </w:rPr>
        <w:sectPr w:rsidR="0098729E" w:rsidRPr="0076392E" w:rsidSect="00FF48EA">
          <w:type w:val="continuous"/>
          <w:pgSz w:w="11906" w:h="16838"/>
          <w:pgMar w:top="1417" w:right="849" w:bottom="1417" w:left="1417" w:header="708" w:footer="708" w:gutter="0"/>
          <w:cols w:space="1343"/>
          <w:docGrid w:linePitch="360"/>
        </w:sectPr>
      </w:pPr>
      <w:r w:rsidRPr="0076392E">
        <w:rPr>
          <w:rFonts w:ascii="Arial" w:hAnsi="Arial" w:cs="Arial"/>
          <w:sz w:val="20"/>
          <w:szCs w:val="20"/>
          <w:lang w:val="en-US"/>
        </w:rPr>
        <w:t xml:space="preserve">Data were </w:t>
      </w:r>
      <w:proofErr w:type="spellStart"/>
      <w:r w:rsidR="007D661F" w:rsidRPr="00CC5D6C">
        <w:rPr>
          <w:rFonts w:ascii="Arial" w:hAnsi="Arial" w:cs="Arial"/>
          <w:sz w:val="20"/>
          <w:szCs w:val="20"/>
          <w:highlight w:val="yellow"/>
          <w:lang w:val="en-US"/>
        </w:rPr>
        <w:t>analysed</w:t>
      </w:r>
      <w:proofErr w:type="spellEnd"/>
      <w:r w:rsidR="007D661F" w:rsidRPr="00CC5D6C">
        <w:rPr>
          <w:rFonts w:ascii="Arial" w:hAnsi="Arial" w:cs="Arial"/>
          <w:sz w:val="20"/>
          <w:szCs w:val="20"/>
          <w:highlight w:val="yellow"/>
          <w:lang w:val="en-US"/>
        </w:rPr>
        <w:t xml:space="preserve"> </w:t>
      </w:r>
      <w:r w:rsidRPr="00CC5D6C">
        <w:rPr>
          <w:rFonts w:ascii="Arial" w:hAnsi="Arial" w:cs="Arial"/>
          <w:sz w:val="20"/>
          <w:szCs w:val="20"/>
          <w:highlight w:val="yellow"/>
          <w:lang w:val="en-US"/>
        </w:rPr>
        <w:t>using</w:t>
      </w:r>
      <w:r w:rsidRPr="0076392E">
        <w:rPr>
          <w:rFonts w:ascii="Arial" w:hAnsi="Arial" w:cs="Arial"/>
          <w:sz w:val="20"/>
          <w:szCs w:val="20"/>
          <w:lang w:val="en-US"/>
        </w:rPr>
        <w:t xml:space="preserve"> the Graph Pad PRISM 5.0 software package (Graph Pad Software Inc., La Jolla, California, USA) and Epi Info 7.0 software (Epi Info™). Comparisons between TNF-α and Adiponectin within the various groups were conducted using the non-parametric </w:t>
      </w:r>
      <w:r w:rsidR="007D661F" w:rsidRPr="00CC5D6C">
        <w:rPr>
          <w:rFonts w:ascii="Arial" w:hAnsi="Arial" w:cs="Arial"/>
          <w:sz w:val="20"/>
          <w:szCs w:val="20"/>
          <w:highlight w:val="yellow"/>
          <w:lang w:val="en-US"/>
        </w:rPr>
        <w:t xml:space="preserve">Student's </w:t>
      </w:r>
      <w:r w:rsidRPr="00CC5D6C">
        <w:rPr>
          <w:rFonts w:ascii="Arial" w:hAnsi="Arial" w:cs="Arial"/>
          <w:sz w:val="20"/>
          <w:szCs w:val="20"/>
          <w:highlight w:val="yellow"/>
          <w:lang w:val="en-US"/>
        </w:rPr>
        <w:t>T-</w:t>
      </w:r>
      <w:r w:rsidRPr="0076392E">
        <w:rPr>
          <w:rFonts w:ascii="Arial" w:hAnsi="Arial" w:cs="Arial"/>
          <w:sz w:val="20"/>
          <w:szCs w:val="20"/>
          <w:lang w:val="en-US"/>
        </w:rPr>
        <w:t xml:space="preserve">test. The correlations between TNF-α and Adiponectin were determined using </w:t>
      </w:r>
      <w:r w:rsidRPr="00CC5D6C">
        <w:rPr>
          <w:rFonts w:ascii="Arial" w:hAnsi="Arial" w:cs="Arial"/>
          <w:sz w:val="20"/>
          <w:szCs w:val="20"/>
          <w:highlight w:val="yellow"/>
          <w:lang w:val="en-US"/>
        </w:rPr>
        <w:t>Pearson’s</w:t>
      </w:r>
      <w:r w:rsidRPr="0076392E">
        <w:rPr>
          <w:rFonts w:ascii="Arial" w:hAnsi="Arial" w:cs="Arial"/>
          <w:sz w:val="20"/>
          <w:szCs w:val="20"/>
          <w:lang w:val="en-US"/>
        </w:rPr>
        <w:t xml:space="preserve"> correlation coefficient. A significance level of p &lt; 0.05 was considered statistically significant.</w:t>
      </w:r>
    </w:p>
    <w:p w14:paraId="24821D09" w14:textId="77777777" w:rsidR="0076392E" w:rsidRDefault="0076392E" w:rsidP="00E553B5">
      <w:pPr>
        <w:pStyle w:val="Caption"/>
        <w:keepNext/>
        <w:tabs>
          <w:tab w:val="left" w:pos="3150"/>
        </w:tabs>
        <w:jc w:val="both"/>
        <w:rPr>
          <w:rFonts w:ascii="Arial" w:hAnsi="Arial" w:cs="Arial"/>
          <w:b/>
          <w:i w:val="0"/>
          <w:color w:val="auto"/>
          <w:sz w:val="22"/>
          <w:szCs w:val="22"/>
          <w:lang w:val="en-US"/>
        </w:rPr>
      </w:pPr>
    </w:p>
    <w:p w14:paraId="2EA0A0D6" w14:textId="77777777" w:rsidR="0098729E" w:rsidRPr="0076392E" w:rsidRDefault="0076392E" w:rsidP="00E553B5">
      <w:pPr>
        <w:pStyle w:val="Caption"/>
        <w:keepNext/>
        <w:tabs>
          <w:tab w:val="left" w:pos="3150"/>
        </w:tabs>
        <w:jc w:val="both"/>
        <w:rPr>
          <w:rFonts w:ascii="Arial" w:hAnsi="Arial" w:cs="Arial"/>
          <w:b/>
          <w:i w:val="0"/>
          <w:color w:val="auto"/>
          <w:sz w:val="22"/>
          <w:szCs w:val="22"/>
          <w:lang w:val="en-US"/>
        </w:rPr>
      </w:pPr>
      <w:r w:rsidRPr="0076392E">
        <w:rPr>
          <w:rFonts w:ascii="Arial" w:hAnsi="Arial" w:cs="Arial"/>
          <w:b/>
          <w:i w:val="0"/>
          <w:color w:val="auto"/>
          <w:sz w:val="22"/>
          <w:szCs w:val="22"/>
          <w:lang w:val="en-US"/>
        </w:rPr>
        <w:t>3.</w:t>
      </w:r>
      <w:r w:rsidR="00E14265">
        <w:rPr>
          <w:rFonts w:ascii="Arial" w:hAnsi="Arial" w:cs="Arial"/>
          <w:b/>
          <w:i w:val="0"/>
          <w:color w:val="auto"/>
          <w:sz w:val="22"/>
          <w:szCs w:val="22"/>
          <w:lang w:val="en-US"/>
        </w:rPr>
        <w:t xml:space="preserve"> </w:t>
      </w:r>
      <w:r w:rsidR="00B024B6" w:rsidRPr="0076392E">
        <w:rPr>
          <w:rFonts w:ascii="Arial" w:hAnsi="Arial" w:cs="Arial"/>
          <w:b/>
          <w:i w:val="0"/>
          <w:color w:val="auto"/>
          <w:sz w:val="22"/>
          <w:szCs w:val="22"/>
          <w:lang w:val="en-US"/>
        </w:rPr>
        <w:t>RESULTS AND DISCUSSION</w:t>
      </w:r>
    </w:p>
    <w:p w14:paraId="6346FEEB" w14:textId="77777777" w:rsidR="0098729E" w:rsidRPr="00E14265" w:rsidRDefault="00E14265" w:rsidP="00E553B5">
      <w:pPr>
        <w:spacing w:line="240" w:lineRule="auto"/>
        <w:jc w:val="both"/>
        <w:rPr>
          <w:rFonts w:ascii="Arial" w:hAnsi="Arial" w:cs="Arial"/>
          <w:b/>
          <w:bCs/>
          <w:lang w:val="en-US"/>
        </w:rPr>
      </w:pPr>
      <w:r w:rsidRPr="00E14265">
        <w:rPr>
          <w:rFonts w:ascii="Arial" w:hAnsi="Arial" w:cs="Arial"/>
          <w:b/>
          <w:bCs/>
          <w:lang w:val="en-US"/>
        </w:rPr>
        <w:t>3.1</w:t>
      </w:r>
      <w:r>
        <w:rPr>
          <w:rFonts w:ascii="Arial" w:hAnsi="Arial" w:cs="Arial"/>
          <w:b/>
          <w:bCs/>
          <w:lang w:val="en-US"/>
        </w:rPr>
        <w:t xml:space="preserve"> </w:t>
      </w:r>
      <w:r w:rsidR="0098729E" w:rsidRPr="00E14265">
        <w:rPr>
          <w:rFonts w:ascii="Arial" w:hAnsi="Arial" w:cs="Arial"/>
          <w:b/>
          <w:bCs/>
          <w:lang w:val="en-US"/>
        </w:rPr>
        <w:t>Patient characteristics</w:t>
      </w:r>
    </w:p>
    <w:p w14:paraId="35AE5AA8" w14:textId="0926BCCE"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lastRenderedPageBreak/>
        <w:t>We enroll</w:t>
      </w:r>
      <w:r w:rsidR="00672054" w:rsidRPr="0076392E">
        <w:rPr>
          <w:rFonts w:ascii="Arial" w:hAnsi="Arial" w:cs="Arial"/>
          <w:sz w:val="20"/>
          <w:szCs w:val="20"/>
          <w:lang w:val="en-US"/>
        </w:rPr>
        <w:t>ed 80 diabetic patients</w:t>
      </w:r>
      <w:r w:rsidR="007D661F">
        <w:rPr>
          <w:rFonts w:ascii="Arial" w:hAnsi="Arial" w:cs="Arial"/>
          <w:sz w:val="20"/>
          <w:szCs w:val="20"/>
          <w:lang w:val="en-US"/>
        </w:rPr>
        <w:t>,</w:t>
      </w:r>
      <w:r w:rsidR="00672054" w:rsidRPr="0076392E">
        <w:rPr>
          <w:rFonts w:ascii="Arial" w:hAnsi="Arial" w:cs="Arial"/>
          <w:sz w:val="20"/>
          <w:szCs w:val="20"/>
          <w:lang w:val="en-US"/>
        </w:rPr>
        <w:t xml:space="preserve"> of whom</w:t>
      </w:r>
      <w:r w:rsidRPr="0076392E">
        <w:rPr>
          <w:rFonts w:ascii="Arial" w:hAnsi="Arial" w:cs="Arial"/>
          <w:sz w:val="20"/>
          <w:szCs w:val="20"/>
          <w:lang w:val="en-US"/>
        </w:rPr>
        <w:t xml:space="preserve"> 65 % (n= 52) were females and 35 % (n= 28) males. Their mean age (± SD) was 56.89 ± 11.08 years. Patients were classified into two groups: Insulin Treatment Failure 51 %, n= 41, and Insulin Treatment Success 49 %, (n= 39).</w:t>
      </w:r>
    </w:p>
    <w:p w14:paraId="7CD8BE56" w14:textId="77777777" w:rsidR="0098729E" w:rsidRPr="00E14265" w:rsidRDefault="00E14265" w:rsidP="00E553B5">
      <w:pPr>
        <w:spacing w:before="240" w:after="0" w:line="360" w:lineRule="auto"/>
        <w:ind w:right="15"/>
        <w:jc w:val="both"/>
        <w:rPr>
          <w:rFonts w:ascii="Arial" w:hAnsi="Arial" w:cs="Arial"/>
          <w:b/>
          <w:color w:val="000000" w:themeColor="text1"/>
          <w:lang w:val="en-US"/>
        </w:rPr>
      </w:pPr>
      <w:r w:rsidRPr="00E14265">
        <w:rPr>
          <w:rFonts w:ascii="Arial" w:hAnsi="Arial" w:cs="Arial"/>
          <w:b/>
          <w:color w:val="000000" w:themeColor="text1"/>
          <w:lang w:val="en-US"/>
        </w:rPr>
        <w:t xml:space="preserve">3.2 </w:t>
      </w:r>
      <w:r w:rsidR="0098729E" w:rsidRPr="00E14265">
        <w:rPr>
          <w:rFonts w:ascii="Arial" w:hAnsi="Arial" w:cs="Arial"/>
          <w:b/>
          <w:color w:val="000000" w:themeColor="text1"/>
          <w:lang w:val="en-US"/>
        </w:rPr>
        <w:t xml:space="preserve">Levels of </w:t>
      </w:r>
      <w:r w:rsidR="00737E49" w:rsidRPr="00E14265">
        <w:rPr>
          <w:rFonts w:ascii="Arial" w:hAnsi="Arial" w:cs="Arial"/>
          <w:b/>
          <w:bCs/>
          <w:color w:val="000000" w:themeColor="text1"/>
          <w:lang w:val="en-US"/>
        </w:rPr>
        <w:t xml:space="preserve">TNF-α </w:t>
      </w:r>
    </w:p>
    <w:p w14:paraId="220AEB3F" w14:textId="2208B16D" w:rsidR="0098729E" w:rsidRPr="0076392E" w:rsidRDefault="0098729E" w:rsidP="00E553B5">
      <w:pPr>
        <w:spacing w:before="240" w:after="0" w:line="360" w:lineRule="auto"/>
        <w:ind w:right="15"/>
        <w:jc w:val="both"/>
        <w:rPr>
          <w:rFonts w:ascii="Arial" w:hAnsi="Arial" w:cs="Arial"/>
          <w:sz w:val="20"/>
          <w:szCs w:val="20"/>
          <w:lang w:val="en-US"/>
        </w:rPr>
      </w:pPr>
      <w:r w:rsidRPr="0076392E">
        <w:rPr>
          <w:rFonts w:ascii="Arial" w:hAnsi="Arial" w:cs="Arial"/>
          <w:sz w:val="20"/>
          <w:szCs w:val="20"/>
          <w:lang w:val="en-US"/>
        </w:rPr>
        <w:t xml:space="preserve">The TNF-alpha levels were higher in ITF subjects compared to ITS subjects, with a mean ± SD of -0.1418±5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and -3.135±4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with p ≤0.001. The levels of </w:t>
      </w:r>
      <w:r w:rsidRPr="00CC5D6C">
        <w:rPr>
          <w:rFonts w:ascii="Arial" w:hAnsi="Arial" w:cs="Arial"/>
          <w:sz w:val="20"/>
          <w:szCs w:val="20"/>
          <w:highlight w:val="yellow"/>
          <w:lang w:val="en-US"/>
        </w:rPr>
        <w:t xml:space="preserve">glycated </w:t>
      </w:r>
      <w:proofErr w:type="spellStart"/>
      <w:r w:rsidR="007D661F" w:rsidRPr="00CC5D6C">
        <w:rPr>
          <w:rFonts w:ascii="Arial" w:hAnsi="Arial" w:cs="Arial"/>
          <w:sz w:val="20"/>
          <w:szCs w:val="20"/>
          <w:highlight w:val="yellow"/>
          <w:lang w:val="en-US"/>
        </w:rPr>
        <w:t>haemoglobin</w:t>
      </w:r>
      <w:proofErr w:type="spellEnd"/>
      <w:r w:rsidR="007D661F" w:rsidRPr="00CC5D6C">
        <w:rPr>
          <w:rFonts w:ascii="Arial" w:hAnsi="Arial" w:cs="Arial"/>
          <w:sz w:val="20"/>
          <w:szCs w:val="20"/>
          <w:highlight w:val="yellow"/>
          <w:lang w:val="en-US"/>
        </w:rPr>
        <w:t xml:space="preserve"> </w:t>
      </w:r>
      <w:r w:rsidR="00A560A2" w:rsidRPr="00CC5D6C">
        <w:rPr>
          <w:rFonts w:ascii="Arial" w:hAnsi="Arial" w:cs="Arial"/>
          <w:sz w:val="20"/>
          <w:szCs w:val="20"/>
          <w:highlight w:val="yellow"/>
          <w:lang w:val="en-US"/>
        </w:rPr>
        <w:t>were</w:t>
      </w:r>
      <w:r w:rsidRPr="0076392E">
        <w:rPr>
          <w:rFonts w:ascii="Arial" w:hAnsi="Arial" w:cs="Arial"/>
          <w:sz w:val="20"/>
          <w:szCs w:val="20"/>
          <w:lang w:val="en-US"/>
        </w:rPr>
        <w:t xml:space="preserve"> higher in ITF </w:t>
      </w:r>
      <w:r w:rsidR="007D661F" w:rsidRPr="00CC5D6C">
        <w:rPr>
          <w:rFonts w:ascii="Arial" w:hAnsi="Arial" w:cs="Arial"/>
          <w:sz w:val="20"/>
          <w:szCs w:val="20"/>
          <w:highlight w:val="yellow"/>
          <w:lang w:val="en-US"/>
        </w:rPr>
        <w:t xml:space="preserve">compared </w:t>
      </w:r>
      <w:r w:rsidRPr="00CC5D6C">
        <w:rPr>
          <w:rFonts w:ascii="Arial" w:hAnsi="Arial" w:cs="Arial"/>
          <w:sz w:val="20"/>
          <w:szCs w:val="20"/>
          <w:highlight w:val="yellow"/>
          <w:lang w:val="en-US"/>
        </w:rPr>
        <w:t>to ITS</w:t>
      </w:r>
      <w:r w:rsidRPr="0076392E">
        <w:rPr>
          <w:rFonts w:ascii="Arial" w:hAnsi="Arial" w:cs="Arial"/>
          <w:sz w:val="20"/>
          <w:szCs w:val="20"/>
          <w:lang w:val="en-US"/>
        </w:rPr>
        <w:t xml:space="preserve">, with a </w:t>
      </w:r>
      <w:r w:rsidRPr="00CC5D6C">
        <w:rPr>
          <w:rFonts w:ascii="Arial" w:hAnsi="Arial" w:cs="Arial"/>
          <w:sz w:val="20"/>
          <w:szCs w:val="20"/>
          <w:highlight w:val="yellow"/>
          <w:lang w:val="en-US"/>
        </w:rPr>
        <w:t xml:space="preserve">mean </w:t>
      </w:r>
      <w:r w:rsidR="007D661F" w:rsidRPr="00CC5D6C">
        <w:rPr>
          <w:rFonts w:ascii="Arial" w:hAnsi="Arial" w:cs="Arial"/>
          <w:sz w:val="20"/>
          <w:szCs w:val="20"/>
          <w:highlight w:val="yellow"/>
          <w:lang w:val="en-US"/>
        </w:rPr>
        <w:t>of</w:t>
      </w:r>
      <w:r w:rsidR="007D661F">
        <w:rPr>
          <w:rFonts w:ascii="Arial" w:hAnsi="Arial" w:cs="Arial"/>
          <w:sz w:val="20"/>
          <w:szCs w:val="20"/>
          <w:lang w:val="en-US"/>
        </w:rPr>
        <w:t xml:space="preserve"> </w:t>
      </w:r>
      <w:r w:rsidRPr="0076392E">
        <w:rPr>
          <w:rFonts w:ascii="Arial" w:hAnsi="Arial" w:cs="Arial"/>
          <w:sz w:val="20"/>
          <w:szCs w:val="20"/>
          <w:lang w:val="en-US"/>
        </w:rPr>
        <w:t xml:space="preserve">9.4 ±8 % and 6.37±6 %. The TNF-alpha levels were higher in ITF subjects compared to ITS subjects, with a mean ± SD of -0.1418±5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and -3.135±4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with p ≤0.001. The levels of Adiponectin </w:t>
      </w:r>
      <w:r w:rsidR="007D661F" w:rsidRPr="00CC5D6C">
        <w:rPr>
          <w:rFonts w:ascii="Arial" w:hAnsi="Arial" w:cs="Arial"/>
          <w:sz w:val="20"/>
          <w:szCs w:val="20"/>
          <w:highlight w:val="yellow"/>
          <w:lang w:val="en-US"/>
        </w:rPr>
        <w:t xml:space="preserve">were </w:t>
      </w:r>
      <w:r w:rsidRPr="00CC5D6C">
        <w:rPr>
          <w:rFonts w:ascii="Arial" w:hAnsi="Arial" w:cs="Arial"/>
          <w:sz w:val="20"/>
          <w:szCs w:val="20"/>
          <w:highlight w:val="yellow"/>
          <w:lang w:val="en-US"/>
        </w:rPr>
        <w:t>lower</w:t>
      </w:r>
      <w:r w:rsidRPr="0076392E">
        <w:rPr>
          <w:rFonts w:ascii="Arial" w:hAnsi="Arial" w:cs="Arial"/>
          <w:sz w:val="20"/>
          <w:szCs w:val="20"/>
          <w:lang w:val="en-US"/>
        </w:rPr>
        <w:t xml:space="preserve"> in ITF subjects compared to ITS subjects, with a mean ±SD of 5.62±4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and 6.332±6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/ml, with p=0.081.</w:t>
      </w:r>
    </w:p>
    <w:p w14:paraId="17EF890F" w14:textId="77777777" w:rsidR="0098729E" w:rsidRPr="0076392E" w:rsidRDefault="0098729E" w:rsidP="00E553B5">
      <w:pPr>
        <w:spacing w:before="240" w:after="0" w:line="360" w:lineRule="auto"/>
        <w:ind w:right="15" w:firstLine="567"/>
        <w:jc w:val="both"/>
        <w:rPr>
          <w:rFonts w:ascii="Arial" w:hAnsi="Arial" w:cs="Arial"/>
          <w:sz w:val="20"/>
          <w:szCs w:val="20"/>
          <w:lang w:val="en-US"/>
        </w:rPr>
      </w:pPr>
      <w:r w:rsidRPr="0076392E">
        <w:rPr>
          <w:rFonts w:ascii="Arial" w:hAnsi="Arial" w:cs="Arial"/>
          <w:sz w:val="20"/>
          <w:szCs w:val="20"/>
          <w:lang w:val="en-US"/>
        </w:rPr>
        <w:t xml:space="preserve">                           </w:t>
      </w:r>
      <w:r w:rsidRPr="0076392E">
        <w:rPr>
          <w:rFonts w:ascii="Arial" w:hAnsi="Arial" w:cs="Arial"/>
          <w:noProof/>
          <w:sz w:val="20"/>
          <w:szCs w:val="20"/>
          <w:lang w:val="en-US"/>
        </w:rPr>
        <w:drawing>
          <wp:inline distT="0" distB="0" distL="0" distR="0" wp14:anchorId="5362EC22" wp14:editId="1509BD54">
            <wp:extent cx="3325620" cy="2399571"/>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0627" cy="2403184"/>
                    </a:xfrm>
                    <a:prstGeom prst="rect">
                      <a:avLst/>
                    </a:prstGeom>
                    <a:noFill/>
                  </pic:spPr>
                </pic:pic>
              </a:graphicData>
            </a:graphic>
          </wp:inline>
        </w:drawing>
      </w:r>
    </w:p>
    <w:p w14:paraId="5B69CEA0" w14:textId="77777777" w:rsidR="0098729E" w:rsidRPr="0076392E" w:rsidRDefault="0098729E" w:rsidP="00E553B5">
      <w:pPr>
        <w:spacing w:before="240" w:after="0" w:line="360" w:lineRule="auto"/>
        <w:ind w:right="15" w:firstLine="567"/>
        <w:jc w:val="both"/>
        <w:rPr>
          <w:rFonts w:ascii="Arial" w:hAnsi="Arial" w:cs="Arial"/>
          <w:sz w:val="20"/>
          <w:szCs w:val="20"/>
          <w:lang w:val="en-US"/>
        </w:rPr>
      </w:pPr>
    </w:p>
    <w:p w14:paraId="0528C996" w14:textId="77777777" w:rsidR="0098729E" w:rsidRPr="0076392E" w:rsidRDefault="0098729E" w:rsidP="00396109">
      <w:pPr>
        <w:spacing w:before="240" w:after="0" w:line="360" w:lineRule="auto"/>
        <w:ind w:right="15" w:firstLine="567"/>
        <w:jc w:val="center"/>
        <w:rPr>
          <w:rFonts w:ascii="Arial" w:hAnsi="Arial" w:cs="Arial"/>
          <w:b/>
          <w:sz w:val="20"/>
          <w:szCs w:val="20"/>
          <w:lang w:val="en-US"/>
        </w:rPr>
      </w:pPr>
      <w:r w:rsidRPr="00CC5D6C">
        <w:rPr>
          <w:rFonts w:ascii="Arial" w:hAnsi="Arial" w:cs="Arial"/>
          <w:b/>
          <w:bCs/>
          <w:sz w:val="20"/>
          <w:szCs w:val="20"/>
          <w:lang w:val="en-US"/>
        </w:rPr>
        <w:t>Figure 1</w:t>
      </w:r>
      <w:r w:rsidRPr="005F783E">
        <w:rPr>
          <w:rFonts w:ascii="Arial" w:hAnsi="Arial" w:cs="Arial"/>
          <w:b/>
          <w:bCs/>
          <w:sz w:val="20"/>
          <w:szCs w:val="20"/>
          <w:lang w:val="en-US"/>
        </w:rPr>
        <w:t>:</w:t>
      </w:r>
      <w:r w:rsidRPr="0076392E">
        <w:rPr>
          <w:rFonts w:ascii="Arial" w:hAnsi="Arial" w:cs="Arial"/>
          <w:b/>
          <w:sz w:val="20"/>
          <w:szCs w:val="20"/>
          <w:lang w:val="en-US"/>
        </w:rPr>
        <w:t xml:space="preserve"> The dot plot illustrates the plasma levels of TNF-α in Insulin Treatment Failure and Success groups.</w:t>
      </w:r>
    </w:p>
    <w:p w14:paraId="08CA43D5" w14:textId="77777777" w:rsidR="0098729E" w:rsidRPr="00E14265" w:rsidRDefault="00E14265" w:rsidP="00E553B5">
      <w:pPr>
        <w:spacing w:before="240" w:after="0" w:line="360" w:lineRule="auto"/>
        <w:ind w:right="15"/>
        <w:jc w:val="both"/>
        <w:rPr>
          <w:rFonts w:ascii="Arial" w:hAnsi="Arial" w:cs="Arial"/>
          <w:b/>
          <w:lang w:val="en-US"/>
        </w:rPr>
      </w:pPr>
      <w:r w:rsidRPr="00E14265">
        <w:rPr>
          <w:rFonts w:ascii="Arial" w:hAnsi="Arial" w:cs="Arial"/>
          <w:b/>
          <w:lang w:val="en-US"/>
        </w:rPr>
        <w:t>3</w:t>
      </w:r>
      <w:r w:rsidR="000407A8">
        <w:rPr>
          <w:rFonts w:ascii="Arial" w:hAnsi="Arial" w:cs="Arial"/>
          <w:b/>
          <w:lang w:val="en-US"/>
        </w:rPr>
        <w:t>.3</w:t>
      </w:r>
      <w:r w:rsidRPr="00E14265">
        <w:rPr>
          <w:rFonts w:ascii="Arial" w:hAnsi="Arial" w:cs="Arial"/>
          <w:b/>
          <w:lang w:val="en-US"/>
        </w:rPr>
        <w:t xml:space="preserve"> </w:t>
      </w:r>
      <w:r w:rsidR="00737E49" w:rsidRPr="00E14265">
        <w:rPr>
          <w:rFonts w:ascii="Arial" w:hAnsi="Arial" w:cs="Arial"/>
          <w:b/>
          <w:lang w:val="en-US"/>
        </w:rPr>
        <w:t>Levels of Adiponectin</w:t>
      </w:r>
    </w:p>
    <w:p w14:paraId="5298E8AB" w14:textId="4D712791" w:rsidR="00737E49" w:rsidRPr="0076392E" w:rsidRDefault="00737E49" w:rsidP="00E553B5">
      <w:pPr>
        <w:spacing w:before="240" w:after="0" w:line="360" w:lineRule="auto"/>
        <w:ind w:right="15"/>
        <w:jc w:val="both"/>
        <w:rPr>
          <w:rFonts w:ascii="Arial" w:hAnsi="Arial" w:cs="Arial"/>
          <w:noProof/>
          <w:sz w:val="20"/>
          <w:szCs w:val="20"/>
          <w:lang w:val="en-US"/>
        </w:rPr>
      </w:pPr>
      <w:r w:rsidRPr="0076392E">
        <w:rPr>
          <w:rFonts w:ascii="Arial" w:hAnsi="Arial" w:cs="Arial"/>
          <w:sz w:val="20"/>
          <w:szCs w:val="20"/>
          <w:lang w:val="en-US"/>
        </w:rPr>
        <w:t xml:space="preserve">Adiponectin concentrations varied between 1.60 and 8.97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in ITF subjects, and from 2.252 to 10.51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in ITS </w:t>
      </w:r>
      <w:r w:rsidRPr="00CC5D6C">
        <w:rPr>
          <w:rFonts w:ascii="Arial" w:hAnsi="Arial" w:cs="Arial"/>
          <w:sz w:val="20"/>
          <w:szCs w:val="20"/>
          <w:highlight w:val="yellow"/>
          <w:lang w:val="en-US"/>
        </w:rPr>
        <w:t>subjects</w:t>
      </w:r>
      <w:r w:rsidR="007D661F" w:rsidRPr="00CC5D6C">
        <w:rPr>
          <w:rFonts w:ascii="Arial" w:hAnsi="Arial" w:cs="Arial"/>
          <w:sz w:val="20"/>
          <w:szCs w:val="20"/>
          <w:highlight w:val="yellow"/>
          <w:lang w:val="en-US"/>
        </w:rPr>
        <w:t xml:space="preserve"> </w:t>
      </w:r>
      <w:r w:rsidRPr="00CC5D6C">
        <w:rPr>
          <w:rFonts w:ascii="Arial" w:hAnsi="Arial" w:cs="Arial"/>
          <w:sz w:val="20"/>
          <w:szCs w:val="20"/>
          <w:highlight w:val="yellow"/>
          <w:lang w:val="en-US"/>
        </w:rPr>
        <w:t>(</w:t>
      </w:r>
      <w:r w:rsidR="007D661F" w:rsidRPr="00CC5D6C">
        <w:rPr>
          <w:rFonts w:ascii="Arial" w:hAnsi="Arial" w:cs="Arial"/>
          <w:sz w:val="20"/>
          <w:szCs w:val="20"/>
          <w:highlight w:val="yellow"/>
          <w:lang w:val="en-US"/>
        </w:rPr>
        <w:t>Fig.</w:t>
      </w:r>
      <w:r w:rsidR="007D661F" w:rsidRPr="0076392E">
        <w:rPr>
          <w:rFonts w:ascii="Arial" w:hAnsi="Arial" w:cs="Arial"/>
          <w:sz w:val="20"/>
          <w:szCs w:val="20"/>
          <w:lang w:val="en-US"/>
        </w:rPr>
        <w:t xml:space="preserve"> </w:t>
      </w:r>
      <w:r w:rsidRPr="0076392E">
        <w:rPr>
          <w:rFonts w:ascii="Arial" w:hAnsi="Arial" w:cs="Arial"/>
          <w:sz w:val="20"/>
          <w:szCs w:val="20"/>
          <w:lang w:val="en-US"/>
        </w:rPr>
        <w:t xml:space="preserve">2). This study revealed relatively lower levels of adiponectin in insulin-treated subjects than in our controls, but with a statistically non-significant difference (p=0.0818). The levels of glycated </w:t>
      </w:r>
      <w:proofErr w:type="spellStart"/>
      <w:r w:rsidR="007D661F" w:rsidRPr="00CC5D6C">
        <w:rPr>
          <w:rFonts w:ascii="Arial" w:hAnsi="Arial" w:cs="Arial"/>
          <w:sz w:val="20"/>
          <w:szCs w:val="20"/>
          <w:highlight w:val="yellow"/>
          <w:lang w:val="en-US"/>
        </w:rPr>
        <w:t>haemoglobin</w:t>
      </w:r>
      <w:proofErr w:type="spellEnd"/>
      <w:r w:rsidR="007D661F" w:rsidRPr="00CC5D6C">
        <w:rPr>
          <w:rFonts w:ascii="Arial" w:hAnsi="Arial" w:cs="Arial"/>
          <w:sz w:val="20"/>
          <w:szCs w:val="20"/>
          <w:highlight w:val="yellow"/>
          <w:lang w:val="en-US"/>
        </w:rPr>
        <w:t xml:space="preserve"> </w:t>
      </w:r>
      <w:r w:rsidRPr="00CC5D6C">
        <w:rPr>
          <w:rFonts w:ascii="Arial" w:hAnsi="Arial" w:cs="Arial"/>
          <w:sz w:val="20"/>
          <w:szCs w:val="20"/>
          <w:highlight w:val="yellow"/>
          <w:lang w:val="en-US"/>
        </w:rPr>
        <w:t>were</w:t>
      </w:r>
      <w:r w:rsidRPr="0076392E">
        <w:rPr>
          <w:rFonts w:ascii="Arial" w:hAnsi="Arial" w:cs="Arial"/>
          <w:sz w:val="20"/>
          <w:szCs w:val="20"/>
          <w:lang w:val="en-US"/>
        </w:rPr>
        <w:t xml:space="preserve"> higher in </w:t>
      </w:r>
      <w:r w:rsidRPr="00CC5D6C">
        <w:rPr>
          <w:rFonts w:ascii="Arial" w:hAnsi="Arial" w:cs="Arial"/>
          <w:sz w:val="20"/>
          <w:szCs w:val="20"/>
          <w:highlight w:val="yellow"/>
          <w:lang w:val="en-US"/>
        </w:rPr>
        <w:t xml:space="preserve">ITF </w:t>
      </w:r>
      <w:r w:rsidR="007D661F" w:rsidRPr="00CC5D6C">
        <w:rPr>
          <w:rFonts w:ascii="Arial" w:hAnsi="Arial" w:cs="Arial"/>
          <w:sz w:val="20"/>
          <w:szCs w:val="20"/>
          <w:highlight w:val="yellow"/>
          <w:lang w:val="en-US"/>
        </w:rPr>
        <w:t xml:space="preserve">compared </w:t>
      </w:r>
      <w:r w:rsidRPr="00CC5D6C">
        <w:rPr>
          <w:rFonts w:ascii="Arial" w:hAnsi="Arial" w:cs="Arial"/>
          <w:sz w:val="20"/>
          <w:szCs w:val="20"/>
          <w:highlight w:val="yellow"/>
          <w:lang w:val="en-US"/>
        </w:rPr>
        <w:t>to</w:t>
      </w:r>
      <w:r w:rsidRPr="0076392E">
        <w:rPr>
          <w:rFonts w:ascii="Arial" w:hAnsi="Arial" w:cs="Arial"/>
          <w:sz w:val="20"/>
          <w:szCs w:val="20"/>
          <w:lang w:val="en-US"/>
        </w:rPr>
        <w:t xml:space="preserve"> ITS, with a mean </w:t>
      </w:r>
      <w:r w:rsidR="007D661F" w:rsidRPr="00CC5D6C">
        <w:rPr>
          <w:rFonts w:ascii="Arial" w:hAnsi="Arial" w:cs="Arial"/>
          <w:sz w:val="20"/>
          <w:szCs w:val="20"/>
          <w:highlight w:val="yellow"/>
          <w:lang w:val="en-US"/>
        </w:rPr>
        <w:t xml:space="preserve">of </w:t>
      </w:r>
      <w:r w:rsidRPr="00CC5D6C">
        <w:rPr>
          <w:rFonts w:ascii="Arial" w:hAnsi="Arial" w:cs="Arial"/>
          <w:sz w:val="20"/>
          <w:szCs w:val="20"/>
          <w:highlight w:val="yellow"/>
          <w:lang w:val="en-US"/>
        </w:rPr>
        <w:t>9.</w:t>
      </w:r>
      <w:r w:rsidRPr="0076392E">
        <w:rPr>
          <w:rFonts w:ascii="Arial" w:hAnsi="Arial" w:cs="Arial"/>
          <w:sz w:val="20"/>
          <w:szCs w:val="20"/>
          <w:lang w:val="en-US"/>
        </w:rPr>
        <w:t xml:space="preserve">4 ± 8 % and 6.37±6 % respectively. </w:t>
      </w:r>
      <w:r w:rsidR="0098729E" w:rsidRPr="0076392E">
        <w:rPr>
          <w:rFonts w:ascii="Arial" w:hAnsi="Arial" w:cs="Arial"/>
          <w:sz w:val="20"/>
          <w:szCs w:val="20"/>
          <w:lang w:val="en-US"/>
        </w:rPr>
        <w:t xml:space="preserve">   </w:t>
      </w:r>
    </w:p>
    <w:p w14:paraId="4F22BAFE" w14:textId="77777777" w:rsidR="0098729E" w:rsidRPr="0076392E" w:rsidRDefault="0098729E" w:rsidP="00E553B5">
      <w:pPr>
        <w:spacing w:before="240" w:after="0" w:line="360" w:lineRule="auto"/>
        <w:ind w:right="15"/>
        <w:jc w:val="both"/>
        <w:rPr>
          <w:rFonts w:ascii="Arial" w:hAnsi="Arial" w:cs="Arial"/>
          <w:sz w:val="20"/>
          <w:szCs w:val="20"/>
          <w:lang w:val="en-US"/>
        </w:rPr>
      </w:pPr>
      <w:r w:rsidRPr="0076392E">
        <w:rPr>
          <w:rFonts w:ascii="Arial" w:hAnsi="Arial" w:cs="Arial"/>
          <w:noProof/>
          <w:sz w:val="20"/>
          <w:szCs w:val="20"/>
          <w:lang w:val="en-US"/>
        </w:rPr>
        <w:lastRenderedPageBreak/>
        <w:drawing>
          <wp:inline distT="0" distB="0" distL="0" distR="0" wp14:anchorId="31B1055A" wp14:editId="6F270C42">
            <wp:extent cx="3791557" cy="2754848"/>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9166" cy="2767642"/>
                    </a:xfrm>
                    <a:prstGeom prst="rect">
                      <a:avLst/>
                    </a:prstGeom>
                    <a:noFill/>
                  </pic:spPr>
                </pic:pic>
              </a:graphicData>
            </a:graphic>
          </wp:inline>
        </w:drawing>
      </w:r>
    </w:p>
    <w:p w14:paraId="026C7812" w14:textId="77777777" w:rsidR="0098729E" w:rsidRPr="0076392E" w:rsidRDefault="0098729E" w:rsidP="00396109">
      <w:pPr>
        <w:pStyle w:val="Caption"/>
        <w:jc w:val="center"/>
        <w:rPr>
          <w:rFonts w:ascii="Arial" w:hAnsi="Arial" w:cs="Arial"/>
          <w:b/>
          <w:i w:val="0"/>
          <w:iCs w:val="0"/>
          <w:color w:val="000000" w:themeColor="text1"/>
          <w:sz w:val="20"/>
          <w:szCs w:val="20"/>
          <w:lang w:val="en-US"/>
        </w:rPr>
      </w:pPr>
      <w:r w:rsidRPr="00CC5D6C">
        <w:rPr>
          <w:rFonts w:ascii="Arial" w:hAnsi="Arial" w:cs="Arial"/>
          <w:b/>
          <w:bCs/>
          <w:i w:val="0"/>
          <w:iCs w:val="0"/>
          <w:color w:val="000000" w:themeColor="text1"/>
          <w:sz w:val="20"/>
          <w:szCs w:val="20"/>
          <w:lang w:val="en-US"/>
        </w:rPr>
        <w:t>Figure 2:</w:t>
      </w:r>
      <w:r w:rsidRPr="0076392E">
        <w:rPr>
          <w:rFonts w:ascii="Arial" w:hAnsi="Arial" w:cs="Arial"/>
          <w:i w:val="0"/>
          <w:iCs w:val="0"/>
          <w:color w:val="000000" w:themeColor="text1"/>
          <w:sz w:val="20"/>
          <w:szCs w:val="20"/>
          <w:lang w:val="en-US"/>
        </w:rPr>
        <w:t xml:space="preserve"> </w:t>
      </w:r>
      <w:r w:rsidRPr="0076392E">
        <w:rPr>
          <w:rFonts w:ascii="Arial" w:hAnsi="Arial" w:cs="Arial"/>
          <w:b/>
          <w:i w:val="0"/>
          <w:iCs w:val="0"/>
          <w:color w:val="000000" w:themeColor="text1"/>
          <w:sz w:val="20"/>
          <w:szCs w:val="20"/>
          <w:lang w:val="en-US"/>
        </w:rPr>
        <w:t>The dot plot illustrates the plasma levels of ADP in Insulin Treatment Failure and Success groups.</w:t>
      </w:r>
    </w:p>
    <w:p w14:paraId="1646FD32" w14:textId="77777777" w:rsidR="0098729E" w:rsidRPr="0076392E" w:rsidRDefault="0098729E" w:rsidP="00E553B5">
      <w:pPr>
        <w:jc w:val="both"/>
        <w:rPr>
          <w:rFonts w:ascii="Arial" w:hAnsi="Arial" w:cs="Arial"/>
          <w:sz w:val="20"/>
          <w:szCs w:val="20"/>
          <w:lang w:val="en-US"/>
        </w:rPr>
      </w:pPr>
    </w:p>
    <w:p w14:paraId="3C6C128D" w14:textId="77777777" w:rsidR="007D2C32" w:rsidRPr="0076392E" w:rsidRDefault="007D2C32" w:rsidP="00E553B5">
      <w:pPr>
        <w:jc w:val="both"/>
        <w:rPr>
          <w:rFonts w:ascii="Arial" w:hAnsi="Arial" w:cs="Arial"/>
          <w:b/>
          <w:sz w:val="20"/>
          <w:szCs w:val="20"/>
          <w:lang w:val="en-US"/>
        </w:rPr>
      </w:pPr>
    </w:p>
    <w:p w14:paraId="19107C39" w14:textId="77777777" w:rsidR="007D2C32" w:rsidRPr="0076392E" w:rsidRDefault="007D2C32" w:rsidP="00E553B5">
      <w:pPr>
        <w:jc w:val="both"/>
        <w:rPr>
          <w:rFonts w:ascii="Arial" w:hAnsi="Arial" w:cs="Arial"/>
          <w:b/>
          <w:sz w:val="20"/>
          <w:szCs w:val="20"/>
          <w:lang w:val="en-US"/>
        </w:rPr>
      </w:pPr>
    </w:p>
    <w:p w14:paraId="287A57BF" w14:textId="77777777" w:rsidR="007D2C32" w:rsidRPr="0076392E" w:rsidRDefault="007D2C32" w:rsidP="00E553B5">
      <w:pPr>
        <w:jc w:val="both"/>
        <w:rPr>
          <w:rFonts w:ascii="Arial" w:hAnsi="Arial" w:cs="Arial"/>
          <w:b/>
          <w:sz w:val="20"/>
          <w:szCs w:val="20"/>
          <w:lang w:val="en-US"/>
        </w:rPr>
      </w:pPr>
    </w:p>
    <w:p w14:paraId="78850756" w14:textId="77777777" w:rsidR="007D2C32" w:rsidRPr="0076392E" w:rsidRDefault="007D2C32" w:rsidP="00E553B5">
      <w:pPr>
        <w:jc w:val="both"/>
        <w:rPr>
          <w:rFonts w:ascii="Arial" w:hAnsi="Arial" w:cs="Arial"/>
          <w:b/>
          <w:sz w:val="20"/>
          <w:szCs w:val="20"/>
          <w:lang w:val="en-US"/>
        </w:rPr>
      </w:pPr>
    </w:p>
    <w:p w14:paraId="22775CFD" w14:textId="0515D2EE" w:rsidR="0098729E" w:rsidRPr="0076392E" w:rsidRDefault="00396109" w:rsidP="00E553B5">
      <w:pPr>
        <w:jc w:val="both"/>
        <w:rPr>
          <w:rFonts w:ascii="Arial" w:hAnsi="Arial" w:cs="Arial"/>
          <w:b/>
          <w:sz w:val="20"/>
          <w:szCs w:val="20"/>
          <w:lang w:val="en-US"/>
        </w:rPr>
      </w:pPr>
      <w:r w:rsidRPr="0076392E">
        <w:rPr>
          <w:rFonts w:ascii="Arial" w:hAnsi="Arial" w:cs="Arial"/>
          <w:b/>
          <w:sz w:val="20"/>
          <w:szCs w:val="20"/>
          <w:lang w:val="en-US"/>
        </w:rPr>
        <w:t xml:space="preserve">TABLE </w:t>
      </w:r>
      <w:r w:rsidR="0000248E">
        <w:rPr>
          <w:rFonts w:ascii="Arial" w:hAnsi="Arial" w:cs="Arial"/>
          <w:b/>
          <w:sz w:val="20"/>
          <w:szCs w:val="20"/>
        </w:rPr>
        <w:t>1</w:t>
      </w:r>
      <w:r w:rsidR="0098729E" w:rsidRPr="0076392E">
        <w:rPr>
          <w:rFonts w:ascii="Arial" w:hAnsi="Arial" w:cs="Arial"/>
          <w:sz w:val="20"/>
          <w:szCs w:val="20"/>
          <w:lang w:val="en-US"/>
        </w:rPr>
        <w:t>:</w:t>
      </w:r>
      <w:r w:rsidR="0098729E" w:rsidRPr="0076392E">
        <w:rPr>
          <w:rFonts w:ascii="Arial" w:hAnsi="Arial" w:cs="Arial"/>
          <w:b/>
          <w:sz w:val="20"/>
          <w:szCs w:val="20"/>
          <w:lang w:val="en-US"/>
        </w:rPr>
        <w:t xml:space="preserve"> </w:t>
      </w:r>
      <w:r w:rsidRPr="0076392E">
        <w:rPr>
          <w:rFonts w:ascii="Arial" w:hAnsi="Arial" w:cs="Arial"/>
          <w:b/>
          <w:sz w:val="20"/>
          <w:szCs w:val="20"/>
          <w:lang w:val="en-US"/>
        </w:rPr>
        <w:t>THE PLASMA LEVELS of TNF-Α and ADP in INSULIN TREATMENT FAILURE and SUCCESS GROUPS</w:t>
      </w:r>
    </w:p>
    <w:p w14:paraId="58371B5E" w14:textId="77777777" w:rsidR="0098729E" w:rsidRPr="0076392E" w:rsidRDefault="0098729E" w:rsidP="00E553B5">
      <w:pPr>
        <w:jc w:val="both"/>
        <w:rPr>
          <w:rFonts w:ascii="Arial" w:hAnsi="Arial" w:cs="Arial"/>
          <w:b/>
          <w:sz w:val="20"/>
          <w:szCs w:val="20"/>
          <w:lang w:val="en-US"/>
        </w:rPr>
      </w:pPr>
    </w:p>
    <w:tbl>
      <w:tblPr>
        <w:tblStyle w:val="PlainTable11"/>
        <w:tblpPr w:leftFromText="180" w:rightFromText="180" w:vertAnchor="text" w:horzAnchor="margin" w:tblpXSpec="center" w:tblpY="5"/>
        <w:tblW w:w="10236" w:type="dxa"/>
        <w:tblLook w:val="04A0" w:firstRow="1" w:lastRow="0" w:firstColumn="1" w:lastColumn="0" w:noHBand="0" w:noVBand="1"/>
      </w:tblPr>
      <w:tblGrid>
        <w:gridCol w:w="1233"/>
        <w:gridCol w:w="1760"/>
        <w:gridCol w:w="1750"/>
        <w:gridCol w:w="636"/>
        <w:gridCol w:w="2103"/>
        <w:gridCol w:w="2118"/>
        <w:gridCol w:w="636"/>
      </w:tblGrid>
      <w:tr w:rsidR="0098729E" w:rsidRPr="0076392E" w14:paraId="26B3B615" w14:textId="77777777" w:rsidTr="00A560A2">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233" w:type="dxa"/>
          </w:tcPr>
          <w:p w14:paraId="5521CD99"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Variable</w:t>
            </w:r>
          </w:p>
        </w:tc>
        <w:tc>
          <w:tcPr>
            <w:tcW w:w="4146" w:type="dxa"/>
            <w:gridSpan w:val="3"/>
          </w:tcPr>
          <w:p w14:paraId="0CD9485E" w14:textId="77777777" w:rsidR="0098729E" w:rsidRPr="0076392E" w:rsidRDefault="0098729E" w:rsidP="00E553B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6392E">
              <w:rPr>
                <w:rFonts w:ascii="Arial" w:hAnsi="Arial" w:cs="Arial"/>
                <w:sz w:val="20"/>
                <w:szCs w:val="20"/>
              </w:rPr>
              <w:t>ADP</w:t>
            </w:r>
          </w:p>
        </w:tc>
        <w:tc>
          <w:tcPr>
            <w:tcW w:w="4857" w:type="dxa"/>
            <w:gridSpan w:val="3"/>
          </w:tcPr>
          <w:p w14:paraId="06B9F334" w14:textId="77777777" w:rsidR="0098729E" w:rsidRPr="0076392E" w:rsidRDefault="0098729E" w:rsidP="00E553B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6392E">
              <w:rPr>
                <w:rFonts w:ascii="Arial" w:hAnsi="Arial" w:cs="Arial"/>
                <w:sz w:val="20"/>
                <w:szCs w:val="20"/>
              </w:rPr>
              <w:t>TNF</w:t>
            </w:r>
          </w:p>
        </w:tc>
      </w:tr>
      <w:tr w:rsidR="0098729E" w:rsidRPr="0076392E" w14:paraId="7ADACFE0" w14:textId="77777777" w:rsidTr="00A560A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233" w:type="dxa"/>
          </w:tcPr>
          <w:p w14:paraId="575D1334" w14:textId="77777777" w:rsidR="0098729E" w:rsidRPr="0076392E" w:rsidRDefault="0098729E" w:rsidP="00E553B5">
            <w:pPr>
              <w:spacing w:line="360" w:lineRule="auto"/>
              <w:jc w:val="both"/>
              <w:rPr>
                <w:rFonts w:ascii="Arial" w:hAnsi="Arial" w:cs="Arial"/>
                <w:b w:val="0"/>
                <w:sz w:val="20"/>
                <w:szCs w:val="20"/>
              </w:rPr>
            </w:pPr>
          </w:p>
        </w:tc>
        <w:tc>
          <w:tcPr>
            <w:tcW w:w="1760" w:type="dxa"/>
          </w:tcPr>
          <w:p w14:paraId="28B687FC"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ITF (</w:t>
            </w:r>
            <w:proofErr w:type="spellStart"/>
            <w:r w:rsidRPr="0076392E">
              <w:rPr>
                <w:rFonts w:ascii="Arial" w:hAnsi="Arial" w:cs="Arial"/>
                <w:b/>
                <w:sz w:val="20"/>
                <w:szCs w:val="20"/>
              </w:rPr>
              <w:t>Median</w:t>
            </w:r>
            <w:proofErr w:type="spellEnd"/>
            <w:r w:rsidRPr="0076392E">
              <w:rPr>
                <w:rFonts w:ascii="Arial" w:hAnsi="Arial" w:cs="Arial"/>
                <w:b/>
                <w:sz w:val="20"/>
                <w:szCs w:val="20"/>
              </w:rPr>
              <w:t>) n=41</w:t>
            </w:r>
          </w:p>
        </w:tc>
        <w:tc>
          <w:tcPr>
            <w:tcW w:w="1750" w:type="dxa"/>
          </w:tcPr>
          <w:p w14:paraId="7D8B9D11"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ITS (</w:t>
            </w:r>
            <w:proofErr w:type="spellStart"/>
            <w:r w:rsidRPr="0076392E">
              <w:rPr>
                <w:rFonts w:ascii="Arial" w:hAnsi="Arial" w:cs="Arial"/>
                <w:b/>
                <w:sz w:val="20"/>
                <w:szCs w:val="20"/>
              </w:rPr>
              <w:t>Median</w:t>
            </w:r>
            <w:proofErr w:type="spellEnd"/>
            <w:r w:rsidRPr="0076392E">
              <w:rPr>
                <w:rFonts w:ascii="Arial" w:hAnsi="Arial" w:cs="Arial"/>
                <w:b/>
                <w:sz w:val="20"/>
                <w:szCs w:val="20"/>
              </w:rPr>
              <w:t>) n= 39</w:t>
            </w:r>
          </w:p>
        </w:tc>
        <w:tc>
          <w:tcPr>
            <w:tcW w:w="636" w:type="dxa"/>
          </w:tcPr>
          <w:p w14:paraId="7015A32A"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P</w:t>
            </w:r>
          </w:p>
        </w:tc>
        <w:tc>
          <w:tcPr>
            <w:tcW w:w="2103" w:type="dxa"/>
          </w:tcPr>
          <w:p w14:paraId="09216431"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ITF (</w:t>
            </w:r>
            <w:proofErr w:type="spellStart"/>
            <w:r w:rsidRPr="0076392E">
              <w:rPr>
                <w:rFonts w:ascii="Arial" w:hAnsi="Arial" w:cs="Arial"/>
                <w:b/>
                <w:sz w:val="20"/>
                <w:szCs w:val="20"/>
              </w:rPr>
              <w:t>Median</w:t>
            </w:r>
            <w:proofErr w:type="spellEnd"/>
            <w:r w:rsidRPr="0076392E">
              <w:rPr>
                <w:rFonts w:ascii="Arial" w:hAnsi="Arial" w:cs="Arial"/>
                <w:b/>
                <w:sz w:val="20"/>
                <w:szCs w:val="20"/>
              </w:rPr>
              <w:t>) n=41</w:t>
            </w:r>
          </w:p>
        </w:tc>
        <w:tc>
          <w:tcPr>
            <w:tcW w:w="2118" w:type="dxa"/>
          </w:tcPr>
          <w:p w14:paraId="610D6EDC"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ITS (</w:t>
            </w:r>
            <w:proofErr w:type="spellStart"/>
            <w:r w:rsidRPr="0076392E">
              <w:rPr>
                <w:rFonts w:ascii="Arial" w:hAnsi="Arial" w:cs="Arial"/>
                <w:b/>
                <w:sz w:val="20"/>
                <w:szCs w:val="20"/>
              </w:rPr>
              <w:t>Median</w:t>
            </w:r>
            <w:proofErr w:type="spellEnd"/>
            <w:r w:rsidRPr="0076392E">
              <w:rPr>
                <w:rFonts w:ascii="Arial" w:hAnsi="Arial" w:cs="Arial"/>
                <w:b/>
                <w:sz w:val="20"/>
                <w:szCs w:val="20"/>
              </w:rPr>
              <w:t>) n=39</w:t>
            </w:r>
          </w:p>
        </w:tc>
        <w:tc>
          <w:tcPr>
            <w:tcW w:w="636" w:type="dxa"/>
          </w:tcPr>
          <w:p w14:paraId="5B62DD90"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P</w:t>
            </w:r>
          </w:p>
        </w:tc>
      </w:tr>
      <w:tr w:rsidR="0098729E" w:rsidRPr="0076392E" w14:paraId="0972F51C" w14:textId="77777777" w:rsidTr="00A560A2">
        <w:trPr>
          <w:trHeight w:val="198"/>
        </w:trPr>
        <w:tc>
          <w:tcPr>
            <w:cnfStyle w:val="001000000000" w:firstRow="0" w:lastRow="0" w:firstColumn="1" w:lastColumn="0" w:oddVBand="0" w:evenVBand="0" w:oddHBand="0" w:evenHBand="0" w:firstRowFirstColumn="0" w:firstRowLastColumn="0" w:lastRowFirstColumn="0" w:lastRowLastColumn="0"/>
            <w:tcW w:w="1233" w:type="dxa"/>
          </w:tcPr>
          <w:p w14:paraId="3765BA2A"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Sexe</w:t>
            </w:r>
          </w:p>
        </w:tc>
        <w:tc>
          <w:tcPr>
            <w:tcW w:w="1760" w:type="dxa"/>
          </w:tcPr>
          <w:p w14:paraId="54A3A56A"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750" w:type="dxa"/>
          </w:tcPr>
          <w:p w14:paraId="250DAA47"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636" w:type="dxa"/>
          </w:tcPr>
          <w:p w14:paraId="184A264F"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103" w:type="dxa"/>
          </w:tcPr>
          <w:p w14:paraId="6FAC673C"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118" w:type="dxa"/>
          </w:tcPr>
          <w:p w14:paraId="44014E06"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636" w:type="dxa"/>
          </w:tcPr>
          <w:p w14:paraId="011B254F"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98729E" w:rsidRPr="0076392E" w14:paraId="02205DEA" w14:textId="77777777" w:rsidTr="00A560A2">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33" w:type="dxa"/>
          </w:tcPr>
          <w:p w14:paraId="1A31E980" w14:textId="77777777" w:rsidR="0098729E" w:rsidRPr="0076392E" w:rsidRDefault="0098729E" w:rsidP="00E553B5">
            <w:pPr>
              <w:spacing w:line="360" w:lineRule="auto"/>
              <w:jc w:val="both"/>
              <w:rPr>
                <w:rFonts w:ascii="Arial" w:hAnsi="Arial" w:cs="Arial"/>
                <w:b w:val="0"/>
                <w:sz w:val="20"/>
                <w:szCs w:val="20"/>
              </w:rPr>
            </w:pPr>
            <w:proofErr w:type="spellStart"/>
            <w:r w:rsidRPr="0076392E">
              <w:rPr>
                <w:rFonts w:ascii="Arial" w:hAnsi="Arial" w:cs="Arial"/>
                <w:sz w:val="20"/>
                <w:szCs w:val="20"/>
              </w:rPr>
              <w:t>Female</w:t>
            </w:r>
            <w:proofErr w:type="spellEnd"/>
          </w:p>
        </w:tc>
        <w:tc>
          <w:tcPr>
            <w:tcW w:w="1760" w:type="dxa"/>
          </w:tcPr>
          <w:p w14:paraId="07D78691"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5.94 (2.1-7.01)</w:t>
            </w:r>
          </w:p>
        </w:tc>
        <w:tc>
          <w:tcPr>
            <w:tcW w:w="1750" w:type="dxa"/>
          </w:tcPr>
          <w:p w14:paraId="72522733"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6.50 (2.25-9.08)</w:t>
            </w:r>
          </w:p>
        </w:tc>
        <w:tc>
          <w:tcPr>
            <w:tcW w:w="636" w:type="dxa"/>
          </w:tcPr>
          <w:p w14:paraId="54B6D2C3"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0.79</w:t>
            </w:r>
          </w:p>
        </w:tc>
        <w:tc>
          <w:tcPr>
            <w:tcW w:w="2103" w:type="dxa"/>
          </w:tcPr>
          <w:p w14:paraId="04C07569"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-1.06 (-4.8 – (-5.31))</w:t>
            </w:r>
          </w:p>
        </w:tc>
        <w:tc>
          <w:tcPr>
            <w:tcW w:w="2118" w:type="dxa"/>
          </w:tcPr>
          <w:p w14:paraId="6664E634"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-4.83 (-6.17 - 3.15)</w:t>
            </w:r>
          </w:p>
        </w:tc>
        <w:tc>
          <w:tcPr>
            <w:tcW w:w="636" w:type="dxa"/>
          </w:tcPr>
          <w:p w14:paraId="47E04769"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0.24</w:t>
            </w:r>
          </w:p>
        </w:tc>
      </w:tr>
      <w:tr w:rsidR="0098729E" w:rsidRPr="0076392E" w14:paraId="3D99D17A" w14:textId="77777777" w:rsidTr="00A560A2">
        <w:trPr>
          <w:trHeight w:val="618"/>
        </w:trPr>
        <w:tc>
          <w:tcPr>
            <w:cnfStyle w:val="001000000000" w:firstRow="0" w:lastRow="0" w:firstColumn="1" w:lastColumn="0" w:oddVBand="0" w:evenVBand="0" w:oddHBand="0" w:evenHBand="0" w:firstRowFirstColumn="0" w:firstRowLastColumn="0" w:lastRowFirstColumn="0" w:lastRowLastColumn="0"/>
            <w:tcW w:w="1233" w:type="dxa"/>
          </w:tcPr>
          <w:p w14:paraId="2EBF9A86"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Male</w:t>
            </w:r>
          </w:p>
        </w:tc>
        <w:tc>
          <w:tcPr>
            <w:tcW w:w="1760" w:type="dxa"/>
          </w:tcPr>
          <w:p w14:paraId="0797C939"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5.90 (1.60- 8.48)</w:t>
            </w:r>
          </w:p>
        </w:tc>
        <w:tc>
          <w:tcPr>
            <w:tcW w:w="1750" w:type="dxa"/>
          </w:tcPr>
          <w:p w14:paraId="650F3F36"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6.99 (2.5-10.5)</w:t>
            </w:r>
          </w:p>
        </w:tc>
        <w:tc>
          <w:tcPr>
            <w:tcW w:w="636" w:type="dxa"/>
          </w:tcPr>
          <w:p w14:paraId="14F8DA9A"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0.46</w:t>
            </w:r>
          </w:p>
        </w:tc>
        <w:tc>
          <w:tcPr>
            <w:tcW w:w="2103" w:type="dxa"/>
          </w:tcPr>
          <w:p w14:paraId="29E71393"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-0.73 (-4.17- 5.60)</w:t>
            </w:r>
          </w:p>
        </w:tc>
        <w:tc>
          <w:tcPr>
            <w:tcW w:w="2118" w:type="dxa"/>
          </w:tcPr>
          <w:p w14:paraId="20E6A8C6"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-4.51 (-5.95 - 3.38)</w:t>
            </w:r>
          </w:p>
        </w:tc>
        <w:tc>
          <w:tcPr>
            <w:tcW w:w="636" w:type="dxa"/>
          </w:tcPr>
          <w:p w14:paraId="4BE57A83"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0.32</w:t>
            </w:r>
          </w:p>
        </w:tc>
      </w:tr>
      <w:tr w:rsidR="0098729E" w:rsidRPr="0076392E" w14:paraId="5F31EE6C" w14:textId="77777777" w:rsidTr="00A560A2">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233" w:type="dxa"/>
          </w:tcPr>
          <w:p w14:paraId="5105FFA6"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Age</w:t>
            </w:r>
          </w:p>
        </w:tc>
        <w:tc>
          <w:tcPr>
            <w:tcW w:w="1760" w:type="dxa"/>
          </w:tcPr>
          <w:p w14:paraId="6E2D6456"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750" w:type="dxa"/>
          </w:tcPr>
          <w:p w14:paraId="5E6F19B2"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636" w:type="dxa"/>
          </w:tcPr>
          <w:p w14:paraId="6739B593"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103" w:type="dxa"/>
          </w:tcPr>
          <w:p w14:paraId="2BF7C888"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118" w:type="dxa"/>
          </w:tcPr>
          <w:p w14:paraId="5BD4D41C"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636" w:type="dxa"/>
          </w:tcPr>
          <w:p w14:paraId="0EDA13B0"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98729E" w:rsidRPr="0076392E" w14:paraId="228D1170" w14:textId="77777777" w:rsidTr="00A560A2">
        <w:trPr>
          <w:trHeight w:val="630"/>
        </w:trPr>
        <w:tc>
          <w:tcPr>
            <w:cnfStyle w:val="001000000000" w:firstRow="0" w:lastRow="0" w:firstColumn="1" w:lastColumn="0" w:oddVBand="0" w:evenVBand="0" w:oddHBand="0" w:evenHBand="0" w:firstRowFirstColumn="0" w:firstRowLastColumn="0" w:lastRowFirstColumn="0" w:lastRowLastColumn="0"/>
            <w:tcW w:w="1233" w:type="dxa"/>
          </w:tcPr>
          <w:p w14:paraId="19949AE0"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[20-40]</w:t>
            </w:r>
          </w:p>
        </w:tc>
        <w:tc>
          <w:tcPr>
            <w:tcW w:w="1760" w:type="dxa"/>
          </w:tcPr>
          <w:p w14:paraId="75063D97"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5.873 (3.5-7.49)</w:t>
            </w:r>
            <w:r w:rsidRPr="0076392E">
              <w:rPr>
                <w:rFonts w:ascii="Arial" w:hAnsi="Arial" w:cs="Arial"/>
                <w:b/>
                <w:sz w:val="20"/>
                <w:szCs w:val="20"/>
              </w:rPr>
              <w:tab/>
            </w:r>
            <w:r w:rsidRPr="0076392E">
              <w:rPr>
                <w:rFonts w:ascii="Arial" w:hAnsi="Arial" w:cs="Arial"/>
                <w:b/>
                <w:sz w:val="20"/>
                <w:szCs w:val="20"/>
              </w:rPr>
              <w:tab/>
            </w:r>
          </w:p>
        </w:tc>
        <w:tc>
          <w:tcPr>
            <w:tcW w:w="1750" w:type="dxa"/>
          </w:tcPr>
          <w:p w14:paraId="0B75CF3B"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w:t>
            </w:r>
          </w:p>
        </w:tc>
        <w:tc>
          <w:tcPr>
            <w:tcW w:w="636" w:type="dxa"/>
          </w:tcPr>
          <w:p w14:paraId="419BCA33"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w:t>
            </w:r>
          </w:p>
        </w:tc>
        <w:tc>
          <w:tcPr>
            <w:tcW w:w="2103" w:type="dxa"/>
          </w:tcPr>
          <w:p w14:paraId="10A8D01C"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-0.8406 (-3.5-5.37)</w:t>
            </w:r>
          </w:p>
        </w:tc>
        <w:tc>
          <w:tcPr>
            <w:tcW w:w="2118" w:type="dxa"/>
          </w:tcPr>
          <w:p w14:paraId="374483E3"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w:t>
            </w:r>
          </w:p>
        </w:tc>
        <w:tc>
          <w:tcPr>
            <w:tcW w:w="636" w:type="dxa"/>
          </w:tcPr>
          <w:p w14:paraId="5A845A67"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w:t>
            </w:r>
          </w:p>
        </w:tc>
      </w:tr>
      <w:tr w:rsidR="0098729E" w:rsidRPr="0076392E" w14:paraId="7C9D00DE" w14:textId="77777777" w:rsidTr="00A560A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3" w:type="dxa"/>
          </w:tcPr>
          <w:p w14:paraId="18E2BE5F"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[41-60]</w:t>
            </w:r>
          </w:p>
        </w:tc>
        <w:tc>
          <w:tcPr>
            <w:tcW w:w="1760" w:type="dxa"/>
          </w:tcPr>
          <w:p w14:paraId="4DADFD54"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5.86 (1.60-8.48)</w:t>
            </w:r>
          </w:p>
        </w:tc>
        <w:tc>
          <w:tcPr>
            <w:tcW w:w="1750" w:type="dxa"/>
          </w:tcPr>
          <w:p w14:paraId="26DC6FE9"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6.36 (2.93-10.5)</w:t>
            </w:r>
          </w:p>
        </w:tc>
        <w:tc>
          <w:tcPr>
            <w:tcW w:w="636" w:type="dxa"/>
          </w:tcPr>
          <w:p w14:paraId="71BE02CD"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0.65</w:t>
            </w:r>
          </w:p>
        </w:tc>
        <w:tc>
          <w:tcPr>
            <w:tcW w:w="2103" w:type="dxa"/>
          </w:tcPr>
          <w:p w14:paraId="217E656A"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-2.06 (-4.84 - 5.6)</w:t>
            </w:r>
          </w:p>
        </w:tc>
        <w:tc>
          <w:tcPr>
            <w:tcW w:w="2118" w:type="dxa"/>
          </w:tcPr>
          <w:p w14:paraId="09055F90"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 xml:space="preserve">-5.17 (-6.18 </w:t>
            </w:r>
            <w:proofErr w:type="gramStart"/>
            <w:r w:rsidRPr="0076392E">
              <w:rPr>
                <w:rFonts w:ascii="Arial" w:hAnsi="Arial" w:cs="Arial"/>
                <w:b/>
                <w:sz w:val="20"/>
                <w:szCs w:val="20"/>
              </w:rPr>
              <w:t>-  3.38</w:t>
            </w:r>
            <w:proofErr w:type="gramEnd"/>
            <w:r w:rsidRPr="0076392E">
              <w:rPr>
                <w:rFonts w:ascii="Arial" w:hAnsi="Arial" w:cs="Arial"/>
                <w:b/>
                <w:sz w:val="20"/>
                <w:szCs w:val="20"/>
              </w:rPr>
              <w:t>)</w:t>
            </w:r>
          </w:p>
        </w:tc>
        <w:tc>
          <w:tcPr>
            <w:tcW w:w="636" w:type="dxa"/>
          </w:tcPr>
          <w:p w14:paraId="2E2FD8CD"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0.33</w:t>
            </w:r>
          </w:p>
        </w:tc>
      </w:tr>
      <w:tr w:rsidR="0098729E" w:rsidRPr="0076392E" w14:paraId="1598A65D" w14:textId="77777777" w:rsidTr="00A560A2">
        <w:trPr>
          <w:trHeight w:val="618"/>
        </w:trPr>
        <w:tc>
          <w:tcPr>
            <w:cnfStyle w:val="001000000000" w:firstRow="0" w:lastRow="0" w:firstColumn="1" w:lastColumn="0" w:oddVBand="0" w:evenVBand="0" w:oddHBand="0" w:evenHBand="0" w:firstRowFirstColumn="0" w:firstRowLastColumn="0" w:lastRowFirstColumn="0" w:lastRowLastColumn="0"/>
            <w:tcW w:w="1233" w:type="dxa"/>
          </w:tcPr>
          <w:p w14:paraId="2E374108"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[61-80]</w:t>
            </w:r>
          </w:p>
        </w:tc>
        <w:tc>
          <w:tcPr>
            <w:tcW w:w="1760" w:type="dxa"/>
          </w:tcPr>
          <w:p w14:paraId="18C69777"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5.69 (3.7-8.97)</w:t>
            </w:r>
          </w:p>
        </w:tc>
        <w:tc>
          <w:tcPr>
            <w:tcW w:w="1750" w:type="dxa"/>
          </w:tcPr>
          <w:p w14:paraId="15AD759E"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6.99 (2.25-9.08)</w:t>
            </w:r>
          </w:p>
        </w:tc>
        <w:tc>
          <w:tcPr>
            <w:tcW w:w="636" w:type="dxa"/>
          </w:tcPr>
          <w:p w14:paraId="3A85E984"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0.57</w:t>
            </w:r>
          </w:p>
        </w:tc>
        <w:tc>
          <w:tcPr>
            <w:tcW w:w="2103" w:type="dxa"/>
          </w:tcPr>
          <w:p w14:paraId="3E5C52DB"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0.71(-3.51 - 4.49)</w:t>
            </w:r>
          </w:p>
        </w:tc>
        <w:tc>
          <w:tcPr>
            <w:tcW w:w="2118" w:type="dxa"/>
          </w:tcPr>
          <w:p w14:paraId="76E37698"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-5.06 (-5.95 - 2.49)</w:t>
            </w:r>
          </w:p>
        </w:tc>
        <w:tc>
          <w:tcPr>
            <w:tcW w:w="636" w:type="dxa"/>
          </w:tcPr>
          <w:p w14:paraId="0F4999A9"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0.27</w:t>
            </w:r>
          </w:p>
        </w:tc>
      </w:tr>
    </w:tbl>
    <w:p w14:paraId="1C32F995" w14:textId="77777777" w:rsidR="00B024B6" w:rsidRPr="0076392E" w:rsidRDefault="00B024B6" w:rsidP="00E553B5">
      <w:pPr>
        <w:spacing w:before="240" w:after="0" w:line="360" w:lineRule="auto"/>
        <w:ind w:right="144"/>
        <w:jc w:val="both"/>
        <w:rPr>
          <w:rFonts w:ascii="Arial" w:hAnsi="Arial" w:cs="Arial"/>
          <w:sz w:val="20"/>
          <w:szCs w:val="20"/>
          <w:lang w:val="en-US"/>
        </w:rPr>
      </w:pPr>
    </w:p>
    <w:p w14:paraId="6A9D7AA7" w14:textId="77777777" w:rsidR="0098729E" w:rsidRPr="00E14265" w:rsidRDefault="000407A8" w:rsidP="00E553B5">
      <w:pPr>
        <w:spacing w:before="240" w:after="0" w:line="360" w:lineRule="auto"/>
        <w:ind w:right="144"/>
        <w:jc w:val="both"/>
        <w:rPr>
          <w:rFonts w:ascii="Arial" w:hAnsi="Arial" w:cs="Arial"/>
          <w:b/>
          <w:bCs/>
          <w:lang w:val="en-US"/>
        </w:rPr>
      </w:pPr>
      <w:r>
        <w:rPr>
          <w:rFonts w:ascii="Arial" w:hAnsi="Arial" w:cs="Arial"/>
          <w:b/>
          <w:lang w:val="en-US"/>
        </w:rPr>
        <w:t>3</w:t>
      </w:r>
      <w:r w:rsidR="00E14265" w:rsidRPr="00E14265">
        <w:rPr>
          <w:rFonts w:ascii="Arial" w:hAnsi="Arial" w:cs="Arial"/>
          <w:b/>
          <w:lang w:val="en-US"/>
        </w:rPr>
        <w:t>.4</w:t>
      </w:r>
      <w:r w:rsidR="0098729E" w:rsidRPr="00E14265">
        <w:rPr>
          <w:rFonts w:ascii="Arial" w:hAnsi="Arial" w:cs="Arial"/>
          <w:b/>
          <w:lang w:val="en-US"/>
        </w:rPr>
        <w:t xml:space="preserve"> </w:t>
      </w:r>
      <w:r w:rsidR="0098729E" w:rsidRPr="00E14265">
        <w:rPr>
          <w:rFonts w:ascii="Arial" w:hAnsi="Arial" w:cs="Arial"/>
          <w:b/>
          <w:bCs/>
          <w:lang w:val="en-US"/>
        </w:rPr>
        <w:t>Correlation between TNF-alpha and Adiponectin</w:t>
      </w:r>
    </w:p>
    <w:p w14:paraId="36775B58" w14:textId="77777777" w:rsidR="0098729E" w:rsidRPr="0076392E" w:rsidRDefault="00197FA7" w:rsidP="000407A8">
      <w:pPr>
        <w:spacing w:before="240" w:after="0" w:line="360" w:lineRule="auto"/>
        <w:ind w:right="15"/>
        <w:rPr>
          <w:rFonts w:ascii="Arial" w:hAnsi="Arial" w:cs="Arial"/>
          <w:sz w:val="20"/>
          <w:szCs w:val="20"/>
          <w:lang w:val="en-US"/>
        </w:rPr>
        <w:sectPr w:rsidR="0098729E" w:rsidRPr="0076392E" w:rsidSect="00E553B5">
          <w:type w:val="continuous"/>
          <w:pgSz w:w="11906" w:h="16838"/>
          <w:pgMar w:top="720" w:right="849" w:bottom="1417" w:left="1417" w:header="708" w:footer="708" w:gutter="0"/>
          <w:cols w:space="1343"/>
          <w:docGrid w:linePitch="360"/>
        </w:sectPr>
      </w:pPr>
      <w:r w:rsidRPr="0076392E">
        <w:rPr>
          <w:rFonts w:ascii="Arial" w:hAnsi="Arial" w:cs="Arial"/>
          <w:sz w:val="20"/>
          <w:szCs w:val="20"/>
          <w:lang w:val="en-US"/>
        </w:rPr>
        <w:t>There was a</w:t>
      </w:r>
      <w:r w:rsidR="0098729E" w:rsidRPr="0076392E">
        <w:rPr>
          <w:rFonts w:ascii="Arial" w:hAnsi="Arial" w:cs="Arial"/>
          <w:sz w:val="20"/>
          <w:szCs w:val="20"/>
          <w:lang w:val="en-US"/>
        </w:rPr>
        <w:t xml:space="preserve"> </w:t>
      </w:r>
      <w:r w:rsidR="00A560A2" w:rsidRPr="0076392E">
        <w:rPr>
          <w:rFonts w:ascii="Arial" w:hAnsi="Arial" w:cs="Arial"/>
          <w:sz w:val="20"/>
          <w:szCs w:val="20"/>
          <w:lang w:val="en-US"/>
        </w:rPr>
        <w:t>negative</w:t>
      </w:r>
      <w:r w:rsidR="0098729E" w:rsidRPr="0076392E">
        <w:rPr>
          <w:rFonts w:ascii="Arial" w:hAnsi="Arial" w:cs="Arial"/>
          <w:sz w:val="20"/>
          <w:szCs w:val="20"/>
          <w:lang w:val="en-US"/>
        </w:rPr>
        <w:t xml:space="preserve"> correlation between TNF-alpha and Adiponectin in ITF subjects, with </w:t>
      </w:r>
      <w:r w:rsidRPr="0076392E">
        <w:rPr>
          <w:rFonts w:ascii="Arial" w:hAnsi="Arial" w:cs="Arial"/>
          <w:sz w:val="20"/>
          <w:szCs w:val="20"/>
          <w:lang w:val="en-US"/>
        </w:rPr>
        <w:t xml:space="preserve">r=-0.03 but </w:t>
      </w:r>
      <w:proofErr w:type="gramStart"/>
      <w:r w:rsidRPr="0076392E">
        <w:rPr>
          <w:rFonts w:ascii="Arial" w:hAnsi="Arial" w:cs="Arial"/>
          <w:sz w:val="20"/>
          <w:szCs w:val="20"/>
          <w:lang w:val="en-US"/>
        </w:rPr>
        <w:t>non statistically</w:t>
      </w:r>
      <w:proofErr w:type="gramEnd"/>
      <w:r w:rsidRPr="0076392E">
        <w:rPr>
          <w:rFonts w:ascii="Arial" w:hAnsi="Arial" w:cs="Arial"/>
          <w:sz w:val="20"/>
          <w:szCs w:val="20"/>
          <w:lang w:val="en-US"/>
        </w:rPr>
        <w:t xml:space="preserve"> significant p</w:t>
      </w:r>
      <w:r w:rsidR="0098729E" w:rsidRPr="0076392E">
        <w:rPr>
          <w:rFonts w:ascii="Arial" w:hAnsi="Arial" w:cs="Arial"/>
          <w:sz w:val="20"/>
          <w:szCs w:val="20"/>
          <w:lang w:val="en-US"/>
        </w:rPr>
        <w:t xml:space="preserve">=-0.08. It is understood that within the two populations, for concentrations of TNF-alpha that evolve in an increasing way, we have concentrations of Adiponectin, which evolve in a decreasing Our results corroborate those of </w:t>
      </w:r>
      <w:proofErr w:type="spellStart"/>
      <w:r w:rsidR="0098729E" w:rsidRPr="0076392E">
        <w:rPr>
          <w:rFonts w:ascii="Arial" w:hAnsi="Arial" w:cs="Arial"/>
          <w:sz w:val="20"/>
          <w:szCs w:val="20"/>
          <w:lang w:val="en-US"/>
        </w:rPr>
        <w:t>Chenxiao</w:t>
      </w:r>
      <w:proofErr w:type="spellEnd"/>
      <w:r w:rsidR="0098729E" w:rsidRPr="0076392E">
        <w:rPr>
          <w:rFonts w:ascii="Arial" w:hAnsi="Arial" w:cs="Arial"/>
          <w:sz w:val="20"/>
          <w:szCs w:val="20"/>
          <w:lang w:val="en-US"/>
        </w:rPr>
        <w:t xml:space="preserve"> Liu et al. (2016), who found after a meta-analysis that the overall risk of T2DM is strongly associated with high levels of inflammatory cytokines, including TNF-alpha, and low levels of Adiponectin Showing that an interaction between inflammation and the development of T2 diabetes  in subjects.</w:t>
      </w:r>
    </w:p>
    <w:p w14:paraId="1BF8106B" w14:textId="77777777" w:rsidR="0098729E" w:rsidRPr="0076392E" w:rsidRDefault="0098729E" w:rsidP="00E553B5">
      <w:pPr>
        <w:keepNext/>
        <w:spacing w:before="240" w:after="0" w:line="360" w:lineRule="auto"/>
        <w:ind w:left="-270" w:right="15"/>
        <w:jc w:val="both"/>
        <w:rPr>
          <w:rFonts w:ascii="Arial" w:hAnsi="Arial" w:cs="Arial"/>
          <w:sz w:val="20"/>
          <w:szCs w:val="20"/>
          <w:lang w:val="en-US"/>
        </w:rPr>
      </w:pPr>
    </w:p>
    <w:p w14:paraId="169A9D5C" w14:textId="77777777" w:rsidR="0098729E" w:rsidRPr="0076392E" w:rsidRDefault="0098729E" w:rsidP="00E553B5">
      <w:pPr>
        <w:spacing w:before="240" w:after="0" w:line="360" w:lineRule="auto"/>
        <w:ind w:right="15"/>
        <w:jc w:val="both"/>
        <w:rPr>
          <w:rFonts w:ascii="Arial" w:hAnsi="Arial" w:cs="Arial"/>
          <w:b/>
          <w:bCs/>
          <w:sz w:val="20"/>
          <w:szCs w:val="20"/>
          <w:lang w:val="en-US"/>
        </w:rPr>
      </w:pPr>
    </w:p>
    <w:p w14:paraId="449386A6" w14:textId="77777777" w:rsidR="0098729E" w:rsidRPr="0076392E" w:rsidRDefault="0098729E" w:rsidP="00E553B5">
      <w:pPr>
        <w:spacing w:before="240" w:after="0" w:line="360" w:lineRule="auto"/>
        <w:ind w:right="15" w:firstLine="568"/>
        <w:jc w:val="both"/>
        <w:rPr>
          <w:rFonts w:ascii="Arial" w:hAnsi="Arial" w:cs="Arial"/>
          <w:b/>
          <w:bCs/>
          <w:sz w:val="20"/>
          <w:szCs w:val="20"/>
          <w:lang w:val="en-US"/>
        </w:rPr>
      </w:pPr>
      <w:r w:rsidRPr="0076392E">
        <w:rPr>
          <w:rFonts w:ascii="Arial" w:hAnsi="Arial" w:cs="Arial"/>
          <w:b/>
          <w:bCs/>
          <w:sz w:val="20"/>
          <w:szCs w:val="20"/>
          <w:lang w:val="en-US"/>
        </w:rPr>
        <w:t xml:space="preserve">    </w:t>
      </w:r>
      <w:r w:rsidRPr="0076392E">
        <w:rPr>
          <w:rFonts w:ascii="Arial" w:hAnsi="Arial" w:cs="Arial"/>
          <w:b/>
          <w:bCs/>
          <w:noProof/>
          <w:sz w:val="20"/>
          <w:szCs w:val="20"/>
          <w:lang w:val="en-US"/>
        </w:rPr>
        <w:drawing>
          <wp:inline distT="0" distB="0" distL="0" distR="0" wp14:anchorId="480E3384" wp14:editId="63DB2C63">
            <wp:extent cx="4552950" cy="4444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2950" cy="4444365"/>
                    </a:xfrm>
                    <a:prstGeom prst="rect">
                      <a:avLst/>
                    </a:prstGeom>
                    <a:noFill/>
                  </pic:spPr>
                </pic:pic>
              </a:graphicData>
            </a:graphic>
          </wp:inline>
        </w:drawing>
      </w:r>
    </w:p>
    <w:p w14:paraId="6AA158EE" w14:textId="77777777" w:rsidR="0098729E" w:rsidRPr="0076392E" w:rsidRDefault="0098729E" w:rsidP="00E553B5">
      <w:pPr>
        <w:jc w:val="both"/>
        <w:rPr>
          <w:rFonts w:ascii="Arial" w:hAnsi="Arial" w:cs="Arial"/>
          <w:sz w:val="20"/>
          <w:szCs w:val="20"/>
          <w:lang w:val="en-US"/>
        </w:rPr>
      </w:pPr>
      <w:r w:rsidRPr="00CC5D6C">
        <w:rPr>
          <w:rFonts w:ascii="Arial" w:hAnsi="Arial" w:cs="Arial"/>
          <w:b/>
          <w:bCs/>
          <w:sz w:val="20"/>
          <w:szCs w:val="20"/>
          <w:lang w:val="en-US"/>
        </w:rPr>
        <w:t>Figure 3:</w:t>
      </w:r>
      <w:r w:rsidRPr="0076392E">
        <w:rPr>
          <w:rFonts w:ascii="Arial" w:hAnsi="Arial" w:cs="Arial"/>
          <w:b/>
          <w:sz w:val="20"/>
          <w:szCs w:val="20"/>
          <w:lang w:val="en-US"/>
        </w:rPr>
        <w:t xml:space="preserve"> Association between TNF-α and ADP in the general population study.</w:t>
      </w:r>
    </w:p>
    <w:p w14:paraId="4ADD9F5E" w14:textId="77777777" w:rsidR="0075161B" w:rsidRPr="0076392E" w:rsidRDefault="0075161B" w:rsidP="00E553B5">
      <w:pPr>
        <w:spacing w:before="240" w:after="0" w:line="360" w:lineRule="auto"/>
        <w:ind w:right="15"/>
        <w:jc w:val="both"/>
        <w:rPr>
          <w:rFonts w:ascii="Arial" w:hAnsi="Arial" w:cs="Arial"/>
          <w:b/>
          <w:bCs/>
          <w:sz w:val="20"/>
          <w:szCs w:val="20"/>
          <w:lang w:val="en-US"/>
        </w:rPr>
      </w:pPr>
    </w:p>
    <w:p w14:paraId="3337AB1F" w14:textId="77777777" w:rsidR="0098729E" w:rsidRPr="000407A8" w:rsidRDefault="000407A8" w:rsidP="000407A8">
      <w:pPr>
        <w:spacing w:before="240" w:after="0" w:line="360" w:lineRule="auto"/>
        <w:ind w:right="15"/>
        <w:rPr>
          <w:rFonts w:ascii="Arial" w:hAnsi="Arial" w:cs="Arial"/>
          <w:b/>
          <w:bCs/>
          <w:lang w:val="en-US"/>
        </w:rPr>
        <w:sectPr w:rsidR="0098729E" w:rsidRPr="000407A8" w:rsidSect="00E553B5">
          <w:type w:val="continuous"/>
          <w:pgSz w:w="11906" w:h="16838"/>
          <w:pgMar w:top="1417" w:right="849" w:bottom="1417" w:left="1170" w:header="708" w:footer="708" w:gutter="0"/>
          <w:cols w:space="1343"/>
          <w:docGrid w:linePitch="360"/>
        </w:sectPr>
      </w:pPr>
      <w:r>
        <w:rPr>
          <w:rFonts w:ascii="Arial" w:hAnsi="Arial" w:cs="Arial"/>
          <w:b/>
          <w:bCs/>
          <w:lang w:val="en-US"/>
        </w:rPr>
        <w:t xml:space="preserve">   3.5 </w:t>
      </w:r>
      <w:r w:rsidR="0098729E" w:rsidRPr="000407A8">
        <w:rPr>
          <w:rFonts w:ascii="Arial" w:hAnsi="Arial" w:cs="Arial"/>
          <w:b/>
          <w:bCs/>
          <w:lang w:val="en-US"/>
        </w:rPr>
        <w:t>D</w:t>
      </w:r>
      <w:r w:rsidR="00B024B6" w:rsidRPr="000407A8">
        <w:rPr>
          <w:rFonts w:ascii="Arial" w:hAnsi="Arial" w:cs="Arial"/>
          <w:b/>
          <w:bCs/>
          <w:lang w:val="en-US"/>
        </w:rPr>
        <w:t>ISCUSSION</w:t>
      </w:r>
    </w:p>
    <w:p w14:paraId="79AC9328" w14:textId="0A0E73D6"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t xml:space="preserve">The results obtained show that the levels of TNF-alpha </w:t>
      </w:r>
      <w:r w:rsidR="007D661F" w:rsidRPr="00CC5D6C">
        <w:rPr>
          <w:rFonts w:ascii="Arial" w:hAnsi="Arial" w:cs="Arial"/>
          <w:sz w:val="20"/>
          <w:szCs w:val="20"/>
          <w:highlight w:val="yellow"/>
          <w:lang w:val="en-US"/>
        </w:rPr>
        <w:t xml:space="preserve">are </w:t>
      </w:r>
      <w:r w:rsidRPr="00CC5D6C">
        <w:rPr>
          <w:rFonts w:ascii="Arial" w:hAnsi="Arial" w:cs="Arial"/>
          <w:sz w:val="20"/>
          <w:szCs w:val="20"/>
          <w:highlight w:val="yellow"/>
          <w:lang w:val="en-US"/>
        </w:rPr>
        <w:t>significantly</w:t>
      </w:r>
      <w:r w:rsidRPr="0076392E">
        <w:rPr>
          <w:rFonts w:ascii="Arial" w:hAnsi="Arial" w:cs="Arial"/>
          <w:sz w:val="20"/>
          <w:szCs w:val="20"/>
          <w:lang w:val="en-US"/>
        </w:rPr>
        <w:t xml:space="preserve"> higher in ITF subjects, compared to ITS. Among other things, our results showed a significant difference between the two populations (p≤0.001); </w:t>
      </w:r>
      <w:r w:rsidRPr="0076392E">
        <w:rPr>
          <w:rFonts w:ascii="Arial" w:hAnsi="Arial" w:cs="Arial"/>
          <w:sz w:val="20"/>
          <w:szCs w:val="20"/>
          <w:lang w:val="en-US"/>
        </w:rPr>
        <w:lastRenderedPageBreak/>
        <w:t xml:space="preserve">with concentrations varying between -4.838 and 5.600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in ITF subjects and -6.170 to 3.379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of blood in ITS subjects. </w:t>
      </w:r>
    </w:p>
    <w:p w14:paraId="6C966FFF" w14:textId="35BAA7C6"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t xml:space="preserve">This is in line with the results of several scientific articles, which have also reported elevated levels of TNF-alpha in insulin-treated diabetics. According to the study by Shamsi et al. (2018), </w:t>
      </w:r>
      <w:r w:rsidR="003D34A3" w:rsidRPr="003D34A3">
        <w:rPr>
          <w:rFonts w:ascii="Arial" w:hAnsi="Arial" w:cs="Arial"/>
          <w:sz w:val="20"/>
          <w:szCs w:val="20"/>
          <w:lang w:val="en-US"/>
        </w:rPr>
        <w:t>"</w:t>
      </w:r>
      <w:r w:rsidRPr="0076392E">
        <w:rPr>
          <w:rFonts w:ascii="Arial" w:hAnsi="Arial" w:cs="Arial"/>
          <w:sz w:val="20"/>
          <w:szCs w:val="20"/>
          <w:lang w:val="en-US"/>
        </w:rPr>
        <w:t>TNF-alpha is associated with insulin resistance in these subjects</w:t>
      </w:r>
      <w:r w:rsidR="003D34A3" w:rsidRPr="003D34A3">
        <w:rPr>
          <w:rFonts w:ascii="Arial" w:hAnsi="Arial" w:cs="Arial"/>
          <w:sz w:val="20"/>
          <w:szCs w:val="20"/>
          <w:lang w:val="en-US"/>
        </w:rPr>
        <w:t>"</w:t>
      </w:r>
      <w:r w:rsidRPr="0076392E">
        <w:rPr>
          <w:rFonts w:ascii="Arial" w:hAnsi="Arial" w:cs="Arial"/>
          <w:sz w:val="20"/>
          <w:szCs w:val="20"/>
          <w:lang w:val="en-US"/>
        </w:rPr>
        <w:t xml:space="preserve">. In addition, in the study conducted by Muhammad Sajid et al. (2018) on </w:t>
      </w:r>
      <w:r w:rsidR="003D34A3" w:rsidRPr="003D34A3">
        <w:rPr>
          <w:rFonts w:ascii="Arial" w:hAnsi="Arial" w:cs="Arial"/>
          <w:sz w:val="20"/>
          <w:szCs w:val="20"/>
          <w:lang w:val="en-US"/>
        </w:rPr>
        <w:t>"</w:t>
      </w:r>
      <w:r w:rsidRPr="0076392E">
        <w:rPr>
          <w:rFonts w:ascii="Arial" w:hAnsi="Arial" w:cs="Arial"/>
          <w:sz w:val="20"/>
          <w:szCs w:val="20"/>
          <w:lang w:val="en-US"/>
        </w:rPr>
        <w:t xml:space="preserve">the role of TNF-alpha in the development of insulin resistance and the pathogenesis of T2DM, high levels of TNF-alpha have been shown to induce insulin resistance, which impairs </w:t>
      </w:r>
      <w:r w:rsidRPr="00CC5D6C">
        <w:rPr>
          <w:rFonts w:ascii="Arial" w:hAnsi="Arial" w:cs="Arial"/>
          <w:sz w:val="20"/>
          <w:szCs w:val="20"/>
          <w:highlight w:val="yellow"/>
          <w:lang w:val="en-US"/>
        </w:rPr>
        <w:t>insulin</w:t>
      </w:r>
      <w:r w:rsidR="007D661F" w:rsidRPr="00CC5D6C">
        <w:rPr>
          <w:rFonts w:ascii="Arial" w:hAnsi="Arial" w:cs="Arial"/>
          <w:sz w:val="20"/>
          <w:szCs w:val="20"/>
          <w:highlight w:val="yellow"/>
          <w:lang w:val="en-US"/>
        </w:rPr>
        <w:t>,</w:t>
      </w:r>
      <w:r w:rsidRPr="00CC5D6C">
        <w:rPr>
          <w:rFonts w:ascii="Arial" w:hAnsi="Arial" w:cs="Arial"/>
          <w:sz w:val="20"/>
          <w:szCs w:val="20"/>
          <w:highlight w:val="yellow"/>
          <w:lang w:val="en-US"/>
        </w:rPr>
        <w:t xml:space="preserve"> contributing</w:t>
      </w:r>
      <w:r w:rsidRPr="0076392E">
        <w:rPr>
          <w:rFonts w:ascii="Arial" w:hAnsi="Arial" w:cs="Arial"/>
          <w:sz w:val="20"/>
          <w:szCs w:val="20"/>
          <w:lang w:val="en-US"/>
        </w:rPr>
        <w:t xml:space="preserve"> to the development </w:t>
      </w:r>
      <w:r w:rsidRPr="00CC5D6C">
        <w:rPr>
          <w:rFonts w:ascii="Arial" w:hAnsi="Arial" w:cs="Arial"/>
          <w:sz w:val="20"/>
          <w:szCs w:val="20"/>
          <w:highlight w:val="yellow"/>
          <w:lang w:val="en-US"/>
        </w:rPr>
        <w:t xml:space="preserve">of </w:t>
      </w:r>
      <w:r w:rsidR="007D661F" w:rsidRPr="00CC5D6C">
        <w:rPr>
          <w:rFonts w:ascii="Arial" w:hAnsi="Arial" w:cs="Arial"/>
          <w:sz w:val="20"/>
          <w:szCs w:val="20"/>
          <w:highlight w:val="yellow"/>
          <w:lang w:val="en-US"/>
        </w:rPr>
        <w:t>T2DM</w:t>
      </w:r>
      <w:r w:rsidR="003D34A3" w:rsidRPr="003D34A3">
        <w:rPr>
          <w:rFonts w:ascii="Arial" w:hAnsi="Arial" w:cs="Arial"/>
          <w:sz w:val="20"/>
          <w:szCs w:val="20"/>
          <w:lang w:val="en-US"/>
        </w:rPr>
        <w:t>"</w:t>
      </w:r>
      <w:r w:rsidRPr="00CC5D6C">
        <w:rPr>
          <w:rFonts w:ascii="Arial" w:hAnsi="Arial" w:cs="Arial"/>
          <w:sz w:val="20"/>
          <w:szCs w:val="20"/>
          <w:highlight w:val="yellow"/>
          <w:lang w:val="en-US"/>
        </w:rPr>
        <w:t>. Swaroop</w:t>
      </w:r>
      <w:r w:rsidRPr="0076392E">
        <w:rPr>
          <w:rFonts w:ascii="Arial" w:hAnsi="Arial" w:cs="Arial"/>
          <w:sz w:val="20"/>
          <w:szCs w:val="20"/>
          <w:lang w:val="en-US"/>
        </w:rPr>
        <w:t xml:space="preserve"> et al (2012) found </w:t>
      </w:r>
      <w:r w:rsidR="003D34A3" w:rsidRPr="003D34A3">
        <w:rPr>
          <w:rFonts w:ascii="Arial" w:hAnsi="Arial" w:cs="Arial"/>
          <w:sz w:val="20"/>
          <w:szCs w:val="20"/>
          <w:lang w:val="en-US"/>
        </w:rPr>
        <w:t>"</w:t>
      </w:r>
      <w:r w:rsidRPr="0076392E">
        <w:rPr>
          <w:rFonts w:ascii="Arial" w:hAnsi="Arial" w:cs="Arial"/>
          <w:sz w:val="20"/>
          <w:szCs w:val="20"/>
          <w:lang w:val="en-US"/>
        </w:rPr>
        <w:t>a positive but also significant correlation between TNF-alpha and HOMA IR (homeostasis assessment method to calculate insulin resistance) in T2DM subjects, suggesting an involvement of TNF-alpha in the development of insulin resistance. It is understood that within the two populations, for concentrations of TNF-alpha that evolve in an increasing way, we have concentrations of Adiponectin, which evolve in a decreasing way</w:t>
      </w:r>
      <w:r w:rsidR="003D34A3" w:rsidRPr="003D34A3">
        <w:rPr>
          <w:rFonts w:ascii="Arial" w:hAnsi="Arial" w:cs="Arial"/>
          <w:sz w:val="20"/>
          <w:szCs w:val="20"/>
          <w:lang w:val="en-US"/>
        </w:rPr>
        <w:t>"</w:t>
      </w:r>
      <w:r w:rsidRPr="0076392E">
        <w:rPr>
          <w:rFonts w:ascii="Arial" w:hAnsi="Arial" w:cs="Arial"/>
          <w:sz w:val="20"/>
          <w:szCs w:val="20"/>
          <w:lang w:val="en-US"/>
        </w:rPr>
        <w:t>.</w:t>
      </w:r>
    </w:p>
    <w:p w14:paraId="62537D40" w14:textId="22E2296B"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t xml:space="preserve"> Our results corroborate those of </w:t>
      </w:r>
      <w:proofErr w:type="spellStart"/>
      <w:r w:rsidRPr="0076392E">
        <w:rPr>
          <w:rFonts w:ascii="Arial" w:hAnsi="Arial" w:cs="Arial"/>
          <w:sz w:val="20"/>
          <w:szCs w:val="20"/>
          <w:lang w:val="en-US"/>
        </w:rPr>
        <w:t>Chenxiao</w:t>
      </w:r>
      <w:proofErr w:type="spellEnd"/>
      <w:r w:rsidRPr="0076392E">
        <w:rPr>
          <w:rFonts w:ascii="Arial" w:hAnsi="Arial" w:cs="Arial"/>
          <w:sz w:val="20"/>
          <w:szCs w:val="20"/>
          <w:lang w:val="en-US"/>
        </w:rPr>
        <w:t xml:space="preserve"> Liu et al. (2016), who found after </w:t>
      </w:r>
      <w:r w:rsidR="003D34A3" w:rsidRPr="003D34A3">
        <w:rPr>
          <w:rFonts w:ascii="Arial" w:hAnsi="Arial" w:cs="Arial"/>
          <w:sz w:val="20"/>
          <w:szCs w:val="20"/>
          <w:lang w:val="en-US"/>
        </w:rPr>
        <w:t>"</w:t>
      </w:r>
      <w:r w:rsidRPr="0076392E">
        <w:rPr>
          <w:rFonts w:ascii="Arial" w:hAnsi="Arial" w:cs="Arial"/>
          <w:sz w:val="20"/>
          <w:szCs w:val="20"/>
          <w:lang w:val="en-US"/>
        </w:rPr>
        <w:t>a meta-analysis that the overall risk of T2DM is strongly associated with high levels of inflammatory cytokines, including TNF-alpha, and low levels of Adiponectin</w:t>
      </w:r>
      <w:r w:rsidR="007D661F">
        <w:rPr>
          <w:rFonts w:ascii="Arial" w:hAnsi="Arial" w:cs="Arial"/>
          <w:sz w:val="20"/>
          <w:szCs w:val="20"/>
          <w:lang w:val="en-US"/>
        </w:rPr>
        <w:t>,</w:t>
      </w:r>
      <w:r w:rsidRPr="0076392E">
        <w:rPr>
          <w:rFonts w:ascii="Arial" w:hAnsi="Arial" w:cs="Arial"/>
          <w:sz w:val="20"/>
          <w:szCs w:val="20"/>
          <w:lang w:val="en-US"/>
        </w:rPr>
        <w:t xml:space="preserve"> </w:t>
      </w:r>
      <w:r w:rsidR="007D661F" w:rsidRPr="00CC5D6C">
        <w:rPr>
          <w:rFonts w:ascii="Arial" w:hAnsi="Arial" w:cs="Arial"/>
          <w:sz w:val="20"/>
          <w:szCs w:val="20"/>
          <w:highlight w:val="yellow"/>
          <w:lang w:val="en-US"/>
        </w:rPr>
        <w:t xml:space="preserve">showing </w:t>
      </w:r>
      <w:r w:rsidRPr="00CC5D6C">
        <w:rPr>
          <w:rFonts w:ascii="Arial" w:hAnsi="Arial" w:cs="Arial"/>
          <w:sz w:val="20"/>
          <w:szCs w:val="20"/>
          <w:highlight w:val="yellow"/>
          <w:lang w:val="en-US"/>
        </w:rPr>
        <w:t>that an</w:t>
      </w:r>
      <w:r w:rsidRPr="0076392E">
        <w:rPr>
          <w:rFonts w:ascii="Arial" w:hAnsi="Arial" w:cs="Arial"/>
          <w:sz w:val="20"/>
          <w:szCs w:val="20"/>
          <w:lang w:val="en-US"/>
        </w:rPr>
        <w:t xml:space="preserve"> interaction between inflammation and the development of </w:t>
      </w:r>
      <w:r w:rsidR="007D661F" w:rsidRPr="00CC5D6C">
        <w:rPr>
          <w:rFonts w:ascii="Arial" w:hAnsi="Arial" w:cs="Arial"/>
          <w:sz w:val="20"/>
          <w:szCs w:val="20"/>
          <w:highlight w:val="yellow"/>
          <w:lang w:val="en-US"/>
        </w:rPr>
        <w:t>T2DM</w:t>
      </w:r>
      <w:r w:rsidR="003D34A3" w:rsidRPr="003D34A3">
        <w:rPr>
          <w:rFonts w:ascii="Arial" w:hAnsi="Arial" w:cs="Arial"/>
          <w:sz w:val="20"/>
          <w:szCs w:val="20"/>
          <w:lang w:val="en-US"/>
        </w:rPr>
        <w:t>"</w:t>
      </w:r>
      <w:r w:rsidRPr="00CC5D6C">
        <w:rPr>
          <w:rFonts w:ascii="Arial" w:hAnsi="Arial" w:cs="Arial"/>
          <w:sz w:val="20"/>
          <w:szCs w:val="20"/>
          <w:highlight w:val="yellow"/>
          <w:lang w:val="en-US"/>
        </w:rPr>
        <w:t>. The results</w:t>
      </w:r>
      <w:r w:rsidRPr="0076392E">
        <w:rPr>
          <w:rFonts w:ascii="Arial" w:hAnsi="Arial" w:cs="Arial"/>
          <w:sz w:val="20"/>
          <w:szCs w:val="20"/>
          <w:lang w:val="en-US"/>
        </w:rPr>
        <w:t xml:space="preserve"> of this study also support the findings of Jeon et al. (2018)</w:t>
      </w:r>
      <w:r w:rsidR="007D661F">
        <w:rPr>
          <w:rFonts w:ascii="Arial" w:hAnsi="Arial" w:cs="Arial"/>
          <w:sz w:val="20"/>
          <w:szCs w:val="20"/>
          <w:lang w:val="en-US"/>
        </w:rPr>
        <w:t>,</w:t>
      </w:r>
      <w:r w:rsidRPr="0076392E">
        <w:rPr>
          <w:rFonts w:ascii="Arial" w:hAnsi="Arial" w:cs="Arial"/>
          <w:sz w:val="20"/>
          <w:szCs w:val="20"/>
          <w:lang w:val="en-US"/>
        </w:rPr>
        <w:t xml:space="preserve"> who evaluated </w:t>
      </w:r>
      <w:r w:rsidR="003D34A3" w:rsidRPr="003D34A3">
        <w:rPr>
          <w:rFonts w:ascii="Arial" w:hAnsi="Arial" w:cs="Arial"/>
          <w:sz w:val="20"/>
          <w:szCs w:val="20"/>
          <w:lang w:val="en-US"/>
        </w:rPr>
        <w:t>"</w:t>
      </w:r>
      <w:r w:rsidRPr="0076392E">
        <w:rPr>
          <w:rFonts w:ascii="Arial" w:hAnsi="Arial" w:cs="Arial"/>
          <w:sz w:val="20"/>
          <w:szCs w:val="20"/>
          <w:lang w:val="en-US"/>
        </w:rPr>
        <w:t xml:space="preserve">the level of Adiponectin in subjects with T2DM and healthy subjects, </w:t>
      </w:r>
      <w:r w:rsidR="007D661F" w:rsidRPr="00CC5D6C">
        <w:rPr>
          <w:rFonts w:ascii="Arial" w:hAnsi="Arial" w:cs="Arial"/>
          <w:sz w:val="20"/>
          <w:szCs w:val="20"/>
          <w:highlight w:val="yellow"/>
          <w:lang w:val="en-US"/>
        </w:rPr>
        <w:t xml:space="preserve">reporting </w:t>
      </w:r>
      <w:r w:rsidRPr="00CC5D6C">
        <w:rPr>
          <w:rFonts w:ascii="Arial" w:hAnsi="Arial" w:cs="Arial"/>
          <w:sz w:val="20"/>
          <w:szCs w:val="20"/>
          <w:highlight w:val="yellow"/>
          <w:lang w:val="en-US"/>
        </w:rPr>
        <w:t>a low</w:t>
      </w:r>
      <w:r w:rsidRPr="0076392E">
        <w:rPr>
          <w:rFonts w:ascii="Arial" w:hAnsi="Arial" w:cs="Arial"/>
          <w:sz w:val="20"/>
          <w:szCs w:val="20"/>
          <w:lang w:val="en-US"/>
        </w:rPr>
        <w:t xml:space="preserve"> concentration of adiponectin in subjects with type 2 diabetes</w:t>
      </w:r>
      <w:r w:rsidR="003D34A3" w:rsidRPr="003D34A3">
        <w:rPr>
          <w:rFonts w:ascii="Arial" w:hAnsi="Arial" w:cs="Arial"/>
          <w:sz w:val="20"/>
          <w:szCs w:val="20"/>
          <w:lang w:val="en-US"/>
        </w:rPr>
        <w:t>"</w:t>
      </w:r>
      <w:r w:rsidRPr="0076392E">
        <w:rPr>
          <w:rFonts w:ascii="Arial" w:hAnsi="Arial" w:cs="Arial"/>
          <w:sz w:val="20"/>
          <w:szCs w:val="20"/>
          <w:lang w:val="en-US"/>
        </w:rPr>
        <w:t xml:space="preserve">. </w:t>
      </w:r>
    </w:p>
    <w:p w14:paraId="37F8E494" w14:textId="36A5E2AC" w:rsidR="0098729E" w:rsidRPr="0076392E" w:rsidRDefault="008B3F4E" w:rsidP="00E553B5">
      <w:pPr>
        <w:spacing w:line="360" w:lineRule="auto"/>
        <w:jc w:val="both"/>
        <w:rPr>
          <w:rFonts w:ascii="Arial" w:hAnsi="Arial" w:cs="Arial"/>
          <w:sz w:val="20"/>
          <w:szCs w:val="20"/>
          <w:lang w:val="en-US"/>
        </w:rPr>
      </w:pPr>
      <w:r w:rsidRPr="0076392E">
        <w:rPr>
          <w:rFonts w:ascii="Arial" w:hAnsi="Arial" w:cs="Arial"/>
          <w:sz w:val="20"/>
          <w:szCs w:val="20"/>
          <w:lang w:val="en-US"/>
        </w:rPr>
        <w:t>The analys</w:t>
      </w:r>
      <w:r w:rsidR="0098729E" w:rsidRPr="0076392E">
        <w:rPr>
          <w:rFonts w:ascii="Arial" w:hAnsi="Arial" w:cs="Arial"/>
          <w:sz w:val="20"/>
          <w:szCs w:val="20"/>
          <w:lang w:val="en-US"/>
        </w:rPr>
        <w:t xml:space="preserve">es also showed that there was an inverse (r = -0.03) and non-significant (p = 0.82) correlation between TNF-alpha and Adiponectin ITF subjects. Similarly, there is an inverse correlation between TNF-alpha and Adiponectin in non-insulin-treated </w:t>
      </w:r>
      <w:r w:rsidR="0098729E" w:rsidRPr="00CC5D6C">
        <w:rPr>
          <w:rFonts w:ascii="Arial" w:hAnsi="Arial" w:cs="Arial"/>
          <w:sz w:val="20"/>
          <w:szCs w:val="20"/>
          <w:highlight w:val="yellow"/>
          <w:lang w:val="en-US"/>
        </w:rPr>
        <w:t>subjects (r= -0.08),</w:t>
      </w:r>
      <w:r w:rsidR="0098729E" w:rsidRPr="0076392E">
        <w:rPr>
          <w:rFonts w:ascii="Arial" w:hAnsi="Arial" w:cs="Arial"/>
          <w:sz w:val="20"/>
          <w:szCs w:val="20"/>
          <w:lang w:val="en-US"/>
        </w:rPr>
        <w:t xml:space="preserve"> but </w:t>
      </w:r>
      <w:r w:rsidR="007D661F" w:rsidRPr="00CC5D6C">
        <w:rPr>
          <w:rFonts w:ascii="Arial" w:hAnsi="Arial" w:cs="Arial"/>
          <w:sz w:val="20"/>
          <w:szCs w:val="20"/>
          <w:highlight w:val="yellow"/>
          <w:lang w:val="en-US"/>
        </w:rPr>
        <w:t xml:space="preserve">this </w:t>
      </w:r>
      <w:r w:rsidR="0098729E" w:rsidRPr="00CC5D6C">
        <w:rPr>
          <w:rFonts w:ascii="Arial" w:hAnsi="Arial" w:cs="Arial"/>
          <w:sz w:val="20"/>
          <w:szCs w:val="20"/>
          <w:highlight w:val="yellow"/>
          <w:lang w:val="en-US"/>
        </w:rPr>
        <w:t>does</w:t>
      </w:r>
      <w:r w:rsidR="0098729E" w:rsidRPr="0076392E">
        <w:rPr>
          <w:rFonts w:ascii="Arial" w:hAnsi="Arial" w:cs="Arial"/>
          <w:sz w:val="20"/>
          <w:szCs w:val="20"/>
          <w:lang w:val="en-US"/>
        </w:rPr>
        <w:t xml:space="preserve"> not remain very significant </w:t>
      </w:r>
      <w:r w:rsidR="0098729E" w:rsidRPr="00CC5D6C">
        <w:rPr>
          <w:rFonts w:ascii="Arial" w:hAnsi="Arial" w:cs="Arial"/>
          <w:sz w:val="20"/>
          <w:szCs w:val="20"/>
          <w:highlight w:val="yellow"/>
          <w:lang w:val="en-US"/>
        </w:rPr>
        <w:t>(p= 0.59).</w:t>
      </w:r>
    </w:p>
    <w:p w14:paraId="6265E3EB" w14:textId="77777777" w:rsidR="0098729E" w:rsidRPr="0076392E" w:rsidRDefault="0098729E" w:rsidP="00E553B5">
      <w:pPr>
        <w:spacing w:before="240" w:after="0" w:line="360" w:lineRule="auto"/>
        <w:ind w:right="15"/>
        <w:jc w:val="both"/>
        <w:rPr>
          <w:rFonts w:ascii="Arial" w:hAnsi="Arial" w:cs="Arial"/>
          <w:sz w:val="20"/>
          <w:szCs w:val="20"/>
          <w:lang w:val="en-US"/>
        </w:rPr>
        <w:sectPr w:rsidR="0098729E" w:rsidRPr="0076392E" w:rsidSect="006E7355">
          <w:type w:val="continuous"/>
          <w:pgSz w:w="11906" w:h="16838"/>
          <w:pgMar w:top="720" w:right="849" w:bottom="810" w:left="1417" w:header="708" w:footer="708" w:gutter="0"/>
          <w:cols w:space="1343"/>
          <w:docGrid w:linePitch="360"/>
        </w:sectPr>
      </w:pPr>
    </w:p>
    <w:p w14:paraId="79E5AC9F" w14:textId="77777777" w:rsidR="0098729E" w:rsidRPr="00E14265" w:rsidRDefault="00E14265" w:rsidP="00E553B5">
      <w:pPr>
        <w:spacing w:line="360" w:lineRule="auto"/>
        <w:ind w:right="15"/>
        <w:jc w:val="both"/>
        <w:rPr>
          <w:rFonts w:ascii="Arial" w:hAnsi="Arial" w:cs="Arial"/>
          <w:b/>
          <w:lang w:val="en-US"/>
        </w:rPr>
      </w:pPr>
      <w:r w:rsidRPr="00E14265">
        <w:rPr>
          <w:rFonts w:ascii="Arial" w:hAnsi="Arial" w:cs="Arial"/>
          <w:b/>
          <w:lang w:val="en-US"/>
        </w:rPr>
        <w:t>4.</w:t>
      </w:r>
      <w:r w:rsidR="000407A8">
        <w:rPr>
          <w:rFonts w:ascii="Arial" w:hAnsi="Arial" w:cs="Arial"/>
          <w:b/>
          <w:lang w:val="en-US"/>
        </w:rPr>
        <w:t xml:space="preserve"> </w:t>
      </w:r>
      <w:r w:rsidR="00B024B6" w:rsidRPr="00E14265">
        <w:rPr>
          <w:rFonts w:ascii="Arial" w:hAnsi="Arial" w:cs="Arial"/>
          <w:b/>
          <w:lang w:val="en-US"/>
        </w:rPr>
        <w:t>CONCLUSION</w:t>
      </w:r>
    </w:p>
    <w:p w14:paraId="7B1C526F" w14:textId="2E61727E" w:rsidR="0098729E" w:rsidRDefault="0098729E" w:rsidP="00E553B5">
      <w:pPr>
        <w:spacing w:line="360" w:lineRule="auto"/>
        <w:ind w:right="15"/>
        <w:jc w:val="both"/>
        <w:rPr>
          <w:rFonts w:ascii="Arial" w:hAnsi="Arial" w:cs="Arial"/>
          <w:sz w:val="20"/>
          <w:szCs w:val="20"/>
          <w:lang w:val="en-US"/>
        </w:rPr>
      </w:pPr>
      <w:r w:rsidRPr="0076392E">
        <w:rPr>
          <w:rFonts w:ascii="Arial" w:hAnsi="Arial" w:cs="Arial"/>
          <w:sz w:val="20"/>
          <w:szCs w:val="20"/>
          <w:lang w:val="en-US"/>
        </w:rPr>
        <w:t xml:space="preserve">The increased levels of TNF-alpha, </w:t>
      </w:r>
      <w:proofErr w:type="spellStart"/>
      <w:r w:rsidRPr="0076392E">
        <w:rPr>
          <w:rFonts w:ascii="Arial" w:hAnsi="Arial" w:cs="Arial"/>
          <w:sz w:val="20"/>
          <w:szCs w:val="20"/>
          <w:lang w:val="en-US"/>
        </w:rPr>
        <w:t>HbAIc</w:t>
      </w:r>
      <w:proofErr w:type="spellEnd"/>
      <w:r w:rsidR="007D661F">
        <w:rPr>
          <w:rFonts w:ascii="Arial" w:hAnsi="Arial" w:cs="Arial"/>
          <w:sz w:val="20"/>
          <w:szCs w:val="20"/>
          <w:lang w:val="en-US"/>
        </w:rPr>
        <w:t>,</w:t>
      </w:r>
      <w:r w:rsidRPr="0076392E">
        <w:rPr>
          <w:rFonts w:ascii="Arial" w:hAnsi="Arial" w:cs="Arial"/>
          <w:sz w:val="20"/>
          <w:szCs w:val="20"/>
          <w:lang w:val="en-US"/>
        </w:rPr>
        <w:t xml:space="preserve"> combined with the low levels of </w:t>
      </w:r>
      <w:r w:rsidR="007D661F" w:rsidRPr="00CC5D6C">
        <w:rPr>
          <w:rFonts w:ascii="Arial" w:hAnsi="Arial" w:cs="Arial"/>
          <w:sz w:val="20"/>
          <w:szCs w:val="20"/>
          <w:highlight w:val="yellow"/>
          <w:lang w:val="en-US"/>
        </w:rPr>
        <w:t xml:space="preserve">adiponectin, </w:t>
      </w:r>
      <w:r w:rsidRPr="00CC5D6C">
        <w:rPr>
          <w:rFonts w:ascii="Arial" w:hAnsi="Arial" w:cs="Arial"/>
          <w:sz w:val="20"/>
          <w:szCs w:val="20"/>
          <w:highlight w:val="yellow"/>
          <w:lang w:val="en-US"/>
        </w:rPr>
        <w:t>could</w:t>
      </w:r>
      <w:r w:rsidRPr="0076392E">
        <w:rPr>
          <w:rFonts w:ascii="Arial" w:hAnsi="Arial" w:cs="Arial"/>
          <w:sz w:val="20"/>
          <w:szCs w:val="20"/>
          <w:lang w:val="en-US"/>
        </w:rPr>
        <w:t xml:space="preserve"> be exploited as</w:t>
      </w:r>
      <w:r w:rsidRPr="0076392E">
        <w:rPr>
          <w:rFonts w:ascii="Arial" w:hAnsi="Arial" w:cs="Arial"/>
          <w:spacing w:val="20"/>
          <w:sz w:val="20"/>
          <w:szCs w:val="20"/>
          <w:lang w:val="en-US"/>
        </w:rPr>
        <w:t xml:space="preserve"> </w:t>
      </w:r>
      <w:proofErr w:type="spellStart"/>
      <w:r w:rsidR="007D661F" w:rsidRPr="00CC5D6C">
        <w:rPr>
          <w:rFonts w:ascii="Arial" w:hAnsi="Arial" w:cs="Arial"/>
          <w:spacing w:val="20"/>
          <w:sz w:val="20"/>
          <w:szCs w:val="20"/>
          <w:highlight w:val="yellow"/>
          <w:lang w:val="en-US"/>
        </w:rPr>
        <w:t>signalisation</w:t>
      </w:r>
      <w:proofErr w:type="spellEnd"/>
      <w:r w:rsidR="007D661F" w:rsidRPr="00CC5D6C">
        <w:rPr>
          <w:rFonts w:ascii="Arial" w:hAnsi="Arial" w:cs="Arial"/>
          <w:spacing w:val="20"/>
          <w:sz w:val="20"/>
          <w:szCs w:val="20"/>
          <w:highlight w:val="yellow"/>
          <w:lang w:val="en-US"/>
        </w:rPr>
        <w:t xml:space="preserve"> </w:t>
      </w:r>
      <w:r w:rsidRPr="00CC5D6C">
        <w:rPr>
          <w:rFonts w:ascii="Arial" w:hAnsi="Arial" w:cs="Arial"/>
          <w:sz w:val="20"/>
          <w:szCs w:val="20"/>
          <w:highlight w:val="yellow"/>
          <w:lang w:val="en-US"/>
        </w:rPr>
        <w:t>biomarkers</w:t>
      </w:r>
      <w:r w:rsidRPr="0076392E">
        <w:rPr>
          <w:rFonts w:ascii="Arial" w:hAnsi="Arial" w:cs="Arial"/>
          <w:sz w:val="20"/>
          <w:szCs w:val="20"/>
          <w:lang w:val="en-US"/>
        </w:rPr>
        <w:t xml:space="preserve"> for monitoring Insulin treatment failure and other metabolic d</w:t>
      </w:r>
      <w:r w:rsidR="00C621E5" w:rsidRPr="0076392E">
        <w:rPr>
          <w:rFonts w:ascii="Arial" w:hAnsi="Arial" w:cs="Arial"/>
          <w:sz w:val="20"/>
          <w:szCs w:val="20"/>
          <w:lang w:val="en-US"/>
        </w:rPr>
        <w:t>ysregulation and inflammation.</w:t>
      </w:r>
      <w:r w:rsidR="00F43913" w:rsidRPr="0076392E">
        <w:rPr>
          <w:rFonts w:ascii="Arial" w:hAnsi="Arial" w:cs="Arial"/>
          <w:sz w:val="20"/>
          <w:szCs w:val="20"/>
          <w:lang w:val="en-US"/>
        </w:rPr>
        <w:t xml:space="preserve"> </w:t>
      </w:r>
      <w:r w:rsidRPr="0076392E">
        <w:rPr>
          <w:rFonts w:ascii="Arial" w:hAnsi="Arial" w:cs="Arial"/>
          <w:sz w:val="20"/>
          <w:szCs w:val="20"/>
          <w:lang w:val="en-US"/>
        </w:rPr>
        <w:t xml:space="preserve">The variation of TNF-alpha and Adiponectin </w:t>
      </w:r>
      <w:r w:rsidRPr="00CC5D6C">
        <w:rPr>
          <w:rFonts w:ascii="Arial" w:hAnsi="Arial" w:cs="Arial"/>
          <w:sz w:val="20"/>
          <w:szCs w:val="20"/>
          <w:highlight w:val="yellow"/>
          <w:lang w:val="en-US"/>
        </w:rPr>
        <w:t xml:space="preserve">in </w:t>
      </w:r>
      <w:r w:rsidR="007D661F" w:rsidRPr="00CC5D6C">
        <w:rPr>
          <w:rFonts w:ascii="Arial" w:hAnsi="Arial" w:cs="Arial"/>
          <w:sz w:val="20"/>
          <w:szCs w:val="20"/>
          <w:highlight w:val="yellow"/>
          <w:lang w:val="en-US"/>
        </w:rPr>
        <w:t xml:space="preserve">the </w:t>
      </w:r>
      <w:r w:rsidRPr="00CC5D6C">
        <w:rPr>
          <w:rFonts w:ascii="Arial" w:hAnsi="Arial" w:cs="Arial"/>
          <w:sz w:val="20"/>
          <w:szCs w:val="20"/>
          <w:highlight w:val="yellow"/>
          <w:lang w:val="en-US"/>
        </w:rPr>
        <w:t>serum</w:t>
      </w:r>
      <w:r w:rsidRPr="0076392E">
        <w:rPr>
          <w:rFonts w:ascii="Arial" w:hAnsi="Arial" w:cs="Arial"/>
          <w:sz w:val="20"/>
          <w:szCs w:val="20"/>
          <w:lang w:val="en-US"/>
        </w:rPr>
        <w:t xml:space="preserve"> of Treatment Failure and </w:t>
      </w:r>
      <w:r w:rsidR="007D661F" w:rsidRPr="00CC5D6C">
        <w:rPr>
          <w:rFonts w:ascii="Arial" w:hAnsi="Arial" w:cs="Arial"/>
          <w:sz w:val="20"/>
          <w:szCs w:val="20"/>
          <w:highlight w:val="yellow"/>
          <w:lang w:val="en-US"/>
        </w:rPr>
        <w:t>non-failure</w:t>
      </w:r>
      <w:r w:rsidRPr="00CC5D6C">
        <w:rPr>
          <w:rFonts w:ascii="Arial" w:hAnsi="Arial" w:cs="Arial"/>
          <w:sz w:val="20"/>
          <w:szCs w:val="20"/>
          <w:highlight w:val="yellow"/>
          <w:lang w:val="en-US"/>
        </w:rPr>
        <w:t xml:space="preserve"> Diabetic</w:t>
      </w:r>
      <w:r w:rsidRPr="0076392E">
        <w:rPr>
          <w:rFonts w:ascii="Arial" w:hAnsi="Arial" w:cs="Arial"/>
          <w:sz w:val="20"/>
          <w:szCs w:val="20"/>
          <w:lang w:val="en-US"/>
        </w:rPr>
        <w:t xml:space="preserve"> </w:t>
      </w:r>
      <w:r w:rsidRPr="0076392E">
        <w:rPr>
          <w:rFonts w:ascii="Arial" w:hAnsi="Arial" w:cs="Arial"/>
          <w:bCs/>
          <w:color w:val="000000"/>
          <w:sz w:val="20"/>
          <w:szCs w:val="20"/>
          <w:lang w:val="en-US"/>
        </w:rPr>
        <w:t>patients</w:t>
      </w:r>
      <w:r w:rsidRPr="0076392E">
        <w:rPr>
          <w:rFonts w:ascii="Arial" w:hAnsi="Arial" w:cs="Arial"/>
          <w:sz w:val="20"/>
          <w:szCs w:val="20"/>
          <w:lang w:val="en-US"/>
        </w:rPr>
        <w:t xml:space="preserve"> </w:t>
      </w:r>
      <w:r w:rsidRPr="00CC5D6C">
        <w:rPr>
          <w:rFonts w:ascii="Arial" w:hAnsi="Arial" w:cs="Arial"/>
          <w:sz w:val="20"/>
          <w:szCs w:val="20"/>
          <w:highlight w:val="yellow"/>
          <w:lang w:val="en-US"/>
        </w:rPr>
        <w:t xml:space="preserve">could </w:t>
      </w:r>
      <w:r w:rsidR="007D661F" w:rsidRPr="00CC5D6C">
        <w:rPr>
          <w:rFonts w:ascii="Arial" w:hAnsi="Arial" w:cs="Arial"/>
          <w:sz w:val="20"/>
          <w:szCs w:val="20"/>
          <w:highlight w:val="yellow"/>
          <w:lang w:val="en-US"/>
        </w:rPr>
        <w:t xml:space="preserve">justify </w:t>
      </w:r>
      <w:r w:rsidRPr="00CC5D6C">
        <w:rPr>
          <w:rFonts w:ascii="Arial" w:hAnsi="Arial" w:cs="Arial"/>
          <w:sz w:val="20"/>
          <w:szCs w:val="20"/>
          <w:highlight w:val="yellow"/>
          <w:lang w:val="en-US"/>
        </w:rPr>
        <w:t>their</w:t>
      </w:r>
      <w:r w:rsidRPr="0076392E">
        <w:rPr>
          <w:rFonts w:ascii="Arial" w:hAnsi="Arial" w:cs="Arial"/>
          <w:sz w:val="20"/>
          <w:szCs w:val="20"/>
          <w:lang w:val="en-US"/>
        </w:rPr>
        <w:t xml:space="preserve"> implications in the pathogenesis of type 2 diabetes </w:t>
      </w:r>
      <w:r w:rsidR="007D661F" w:rsidRPr="00CC5D6C">
        <w:rPr>
          <w:rFonts w:ascii="Arial" w:hAnsi="Arial" w:cs="Arial"/>
          <w:sz w:val="20"/>
          <w:szCs w:val="20"/>
          <w:highlight w:val="yellow"/>
          <w:lang w:val="en-US"/>
        </w:rPr>
        <w:t xml:space="preserve">and be </w:t>
      </w:r>
      <w:r w:rsidRPr="00CC5D6C">
        <w:rPr>
          <w:rFonts w:ascii="Arial" w:hAnsi="Arial" w:cs="Arial"/>
          <w:sz w:val="20"/>
          <w:szCs w:val="20"/>
          <w:highlight w:val="yellow"/>
          <w:lang w:val="en-US"/>
        </w:rPr>
        <w:t xml:space="preserve">a good </w:t>
      </w:r>
      <w:r w:rsidR="00976988" w:rsidRPr="00CC5D6C">
        <w:rPr>
          <w:rFonts w:ascii="Arial" w:hAnsi="Arial" w:cs="Arial"/>
          <w:sz w:val="20"/>
          <w:szCs w:val="20"/>
          <w:highlight w:val="yellow"/>
          <w:lang w:val="en-US"/>
        </w:rPr>
        <w:t xml:space="preserve">predictive </w:t>
      </w:r>
      <w:r w:rsidRPr="00CC5D6C">
        <w:rPr>
          <w:rFonts w:ascii="Arial" w:hAnsi="Arial" w:cs="Arial"/>
          <w:sz w:val="20"/>
          <w:szCs w:val="20"/>
          <w:highlight w:val="yellow"/>
          <w:lang w:val="en-US"/>
        </w:rPr>
        <w:t>marker for i</w:t>
      </w:r>
      <w:r w:rsidRPr="0076392E">
        <w:rPr>
          <w:rFonts w:ascii="Arial" w:hAnsi="Arial" w:cs="Arial"/>
          <w:sz w:val="20"/>
          <w:szCs w:val="20"/>
          <w:lang w:val="en-US"/>
        </w:rPr>
        <w:t>ts management.</w:t>
      </w:r>
    </w:p>
    <w:p w14:paraId="6B721F9E" w14:textId="77777777" w:rsidR="008A1805" w:rsidRPr="0076392E" w:rsidRDefault="008A1805" w:rsidP="00E553B5">
      <w:pPr>
        <w:spacing w:line="360" w:lineRule="auto"/>
        <w:ind w:right="15"/>
        <w:jc w:val="both"/>
        <w:rPr>
          <w:rFonts w:ascii="Arial" w:hAnsi="Arial" w:cs="Arial"/>
          <w:sz w:val="20"/>
          <w:szCs w:val="20"/>
          <w:lang w:val="en-US"/>
        </w:rPr>
      </w:pPr>
    </w:p>
    <w:p w14:paraId="3E95EAF3" w14:textId="77777777" w:rsidR="006A19D1" w:rsidRPr="006A19D1" w:rsidRDefault="006A19D1" w:rsidP="006A19D1">
      <w:pPr>
        <w:spacing w:after="0" w:line="276" w:lineRule="auto"/>
        <w:ind w:right="15"/>
        <w:jc w:val="both"/>
        <w:rPr>
          <w:rFonts w:ascii="Arial" w:hAnsi="Arial" w:cs="Arial"/>
          <w:b/>
          <w:bCs/>
          <w:lang w:val="en-US"/>
        </w:rPr>
      </w:pPr>
      <w:r w:rsidRPr="006A19D1">
        <w:rPr>
          <w:rFonts w:ascii="Arial" w:hAnsi="Arial" w:cs="Arial"/>
          <w:b/>
          <w:bCs/>
          <w:lang w:val="en-US"/>
        </w:rPr>
        <w:t>CONSENT</w:t>
      </w:r>
    </w:p>
    <w:p w14:paraId="18633BB4" w14:textId="27961498" w:rsidR="006A19D1" w:rsidRPr="006A19D1" w:rsidRDefault="006A19D1" w:rsidP="006A19D1">
      <w:pPr>
        <w:spacing w:after="0" w:line="276" w:lineRule="auto"/>
        <w:ind w:right="15"/>
        <w:jc w:val="both"/>
        <w:rPr>
          <w:rFonts w:ascii="Arial" w:hAnsi="Arial" w:cs="Arial"/>
          <w:lang w:val="en-US"/>
        </w:rPr>
      </w:pPr>
      <w:r w:rsidRPr="006A19D1">
        <w:rPr>
          <w:rFonts w:ascii="Arial" w:hAnsi="Arial" w:cs="Arial"/>
          <w:sz w:val="20"/>
          <w:szCs w:val="20"/>
        </w:rPr>
        <w:t xml:space="preserve">All </w:t>
      </w:r>
      <w:proofErr w:type="spellStart"/>
      <w:r w:rsidRPr="006A19D1">
        <w:rPr>
          <w:rFonts w:ascii="Arial" w:hAnsi="Arial" w:cs="Arial"/>
          <w:sz w:val="20"/>
          <w:szCs w:val="20"/>
        </w:rPr>
        <w:t>authors</w:t>
      </w:r>
      <w:proofErr w:type="spellEnd"/>
      <w:r w:rsidRPr="006A19D1">
        <w:rPr>
          <w:rFonts w:ascii="Arial" w:hAnsi="Arial" w:cs="Arial"/>
          <w:sz w:val="20"/>
          <w:szCs w:val="20"/>
        </w:rPr>
        <w:t xml:space="preserve"> </w:t>
      </w:r>
      <w:proofErr w:type="spellStart"/>
      <w:r w:rsidRPr="006A19D1">
        <w:rPr>
          <w:rFonts w:ascii="Arial" w:hAnsi="Arial" w:cs="Arial"/>
          <w:sz w:val="20"/>
          <w:szCs w:val="20"/>
        </w:rPr>
        <w:t>declare</w:t>
      </w:r>
      <w:proofErr w:type="spellEnd"/>
      <w:r w:rsidRPr="006A19D1">
        <w:rPr>
          <w:rFonts w:ascii="Arial" w:hAnsi="Arial" w:cs="Arial"/>
          <w:sz w:val="20"/>
          <w:szCs w:val="20"/>
        </w:rPr>
        <w:t xml:space="preserve"> </w:t>
      </w:r>
      <w:proofErr w:type="spellStart"/>
      <w:r w:rsidRPr="006A19D1">
        <w:rPr>
          <w:rFonts w:ascii="Arial" w:hAnsi="Arial" w:cs="Arial"/>
          <w:sz w:val="20"/>
          <w:szCs w:val="20"/>
        </w:rPr>
        <w:t>that</w:t>
      </w:r>
      <w:proofErr w:type="spellEnd"/>
      <w:r w:rsidRPr="006A19D1">
        <w:rPr>
          <w:rFonts w:ascii="Arial" w:hAnsi="Arial" w:cs="Arial"/>
          <w:sz w:val="20"/>
          <w:szCs w:val="20"/>
        </w:rPr>
        <w:t xml:space="preserve"> </w:t>
      </w:r>
      <w:proofErr w:type="spellStart"/>
      <w:r w:rsidRPr="006A19D1">
        <w:rPr>
          <w:rFonts w:ascii="Arial" w:hAnsi="Arial" w:cs="Arial"/>
          <w:sz w:val="20"/>
          <w:szCs w:val="20"/>
        </w:rPr>
        <w:t>written</w:t>
      </w:r>
      <w:proofErr w:type="spellEnd"/>
      <w:r w:rsidRPr="006A19D1">
        <w:rPr>
          <w:rFonts w:ascii="Arial" w:hAnsi="Arial" w:cs="Arial"/>
          <w:sz w:val="20"/>
          <w:szCs w:val="20"/>
        </w:rPr>
        <w:t xml:space="preserve"> </w:t>
      </w:r>
      <w:proofErr w:type="spellStart"/>
      <w:r w:rsidRPr="006A19D1">
        <w:rPr>
          <w:rFonts w:ascii="Arial" w:hAnsi="Arial" w:cs="Arial"/>
          <w:sz w:val="20"/>
          <w:szCs w:val="20"/>
        </w:rPr>
        <w:t>informed</w:t>
      </w:r>
      <w:proofErr w:type="spellEnd"/>
      <w:r w:rsidRPr="006A19D1">
        <w:rPr>
          <w:rFonts w:ascii="Arial" w:hAnsi="Arial" w:cs="Arial"/>
          <w:sz w:val="20"/>
          <w:szCs w:val="20"/>
        </w:rPr>
        <w:t xml:space="preserve"> consent </w:t>
      </w:r>
      <w:proofErr w:type="spellStart"/>
      <w:r w:rsidRPr="006A19D1">
        <w:rPr>
          <w:rFonts w:ascii="Arial" w:hAnsi="Arial" w:cs="Arial"/>
          <w:sz w:val="20"/>
          <w:szCs w:val="20"/>
        </w:rPr>
        <w:t>was</w:t>
      </w:r>
      <w:proofErr w:type="spellEnd"/>
      <w:r w:rsidRPr="006A19D1">
        <w:rPr>
          <w:rFonts w:ascii="Arial" w:hAnsi="Arial" w:cs="Arial"/>
          <w:sz w:val="20"/>
          <w:szCs w:val="20"/>
        </w:rPr>
        <w:t xml:space="preserve"> </w:t>
      </w:r>
      <w:proofErr w:type="spellStart"/>
      <w:r w:rsidRPr="006A19D1">
        <w:rPr>
          <w:rFonts w:ascii="Arial" w:hAnsi="Arial" w:cs="Arial"/>
          <w:sz w:val="20"/>
          <w:szCs w:val="20"/>
        </w:rPr>
        <w:t>obtained</w:t>
      </w:r>
      <w:proofErr w:type="spellEnd"/>
      <w:r w:rsidRPr="006A19D1">
        <w:rPr>
          <w:rFonts w:ascii="Arial" w:hAnsi="Arial" w:cs="Arial"/>
          <w:sz w:val="20"/>
          <w:szCs w:val="20"/>
        </w:rPr>
        <w:t xml:space="preserve"> </w:t>
      </w:r>
      <w:proofErr w:type="spellStart"/>
      <w:r w:rsidRPr="006A19D1">
        <w:rPr>
          <w:rFonts w:ascii="Arial" w:hAnsi="Arial" w:cs="Arial"/>
          <w:sz w:val="20"/>
          <w:szCs w:val="20"/>
        </w:rPr>
        <w:t>from</w:t>
      </w:r>
      <w:proofErr w:type="spellEnd"/>
      <w:r w:rsidRPr="006A19D1">
        <w:rPr>
          <w:rFonts w:ascii="Arial" w:hAnsi="Arial" w:cs="Arial"/>
          <w:sz w:val="20"/>
          <w:szCs w:val="20"/>
        </w:rPr>
        <w:t xml:space="preserve"> the patients (or </w:t>
      </w:r>
      <w:proofErr w:type="spellStart"/>
      <w:r w:rsidRPr="006A19D1">
        <w:rPr>
          <w:rFonts w:ascii="Arial" w:hAnsi="Arial" w:cs="Arial"/>
          <w:sz w:val="20"/>
          <w:szCs w:val="20"/>
        </w:rPr>
        <w:t>other</w:t>
      </w:r>
      <w:proofErr w:type="spellEnd"/>
      <w:r w:rsidRPr="006A19D1">
        <w:rPr>
          <w:rFonts w:ascii="Arial" w:hAnsi="Arial" w:cs="Arial"/>
          <w:sz w:val="20"/>
          <w:szCs w:val="20"/>
        </w:rPr>
        <w:t xml:space="preserve"> </w:t>
      </w:r>
      <w:proofErr w:type="spellStart"/>
      <w:r w:rsidRPr="006A19D1">
        <w:rPr>
          <w:rFonts w:ascii="Arial" w:hAnsi="Arial" w:cs="Arial"/>
          <w:sz w:val="20"/>
          <w:szCs w:val="20"/>
        </w:rPr>
        <w:t>approved</w:t>
      </w:r>
      <w:proofErr w:type="spellEnd"/>
      <w:r w:rsidRPr="006A19D1">
        <w:rPr>
          <w:rFonts w:ascii="Arial" w:hAnsi="Arial" w:cs="Arial"/>
          <w:sz w:val="20"/>
          <w:szCs w:val="20"/>
        </w:rPr>
        <w:t xml:space="preserve"> parties) for publication of </w:t>
      </w:r>
      <w:proofErr w:type="spellStart"/>
      <w:r w:rsidRPr="006A19D1">
        <w:rPr>
          <w:rFonts w:ascii="Arial" w:hAnsi="Arial" w:cs="Arial"/>
          <w:sz w:val="20"/>
          <w:szCs w:val="20"/>
        </w:rPr>
        <w:t>this</w:t>
      </w:r>
      <w:proofErr w:type="spellEnd"/>
      <w:r w:rsidRPr="006A19D1">
        <w:rPr>
          <w:rFonts w:ascii="Arial" w:hAnsi="Arial" w:cs="Arial"/>
          <w:sz w:val="20"/>
          <w:szCs w:val="20"/>
        </w:rPr>
        <w:t xml:space="preserve"> </w:t>
      </w:r>
      <w:proofErr w:type="spellStart"/>
      <w:r w:rsidRPr="006A19D1">
        <w:rPr>
          <w:rFonts w:ascii="Arial" w:hAnsi="Arial" w:cs="Arial"/>
          <w:sz w:val="20"/>
          <w:szCs w:val="20"/>
        </w:rPr>
        <w:t>study</w:t>
      </w:r>
      <w:proofErr w:type="spellEnd"/>
      <w:r w:rsidRPr="006A19D1">
        <w:rPr>
          <w:rFonts w:ascii="Arial" w:hAnsi="Arial" w:cs="Arial"/>
          <w:sz w:val="20"/>
          <w:szCs w:val="20"/>
        </w:rPr>
        <w:t xml:space="preserve">. </w:t>
      </w:r>
    </w:p>
    <w:p w14:paraId="31F6308C" w14:textId="77777777" w:rsidR="006A19D1" w:rsidRPr="006A19D1" w:rsidRDefault="006A19D1" w:rsidP="006A19D1">
      <w:pPr>
        <w:keepNext/>
        <w:spacing w:after="0" w:line="240" w:lineRule="auto"/>
        <w:jc w:val="both"/>
        <w:rPr>
          <w:rFonts w:ascii="Arial" w:eastAsia="Times New Roman" w:hAnsi="Arial" w:cs="Arial"/>
          <w:b/>
          <w:caps/>
          <w:sz w:val="20"/>
          <w:szCs w:val="20"/>
          <w:lang w:val="en-US"/>
        </w:rPr>
      </w:pPr>
    </w:p>
    <w:p w14:paraId="4CB141A0" w14:textId="77777777" w:rsidR="006A19D1" w:rsidRPr="006A19D1" w:rsidRDefault="006A19D1" w:rsidP="006A19D1">
      <w:pPr>
        <w:spacing w:after="0" w:line="276" w:lineRule="auto"/>
        <w:ind w:right="15"/>
        <w:jc w:val="both"/>
        <w:rPr>
          <w:rFonts w:ascii="Arial" w:hAnsi="Arial" w:cs="Arial"/>
          <w:b/>
          <w:bCs/>
          <w:lang w:val="en-US"/>
        </w:rPr>
      </w:pPr>
      <w:r w:rsidRPr="006A19D1">
        <w:rPr>
          <w:rFonts w:ascii="Arial" w:hAnsi="Arial" w:cs="Arial"/>
          <w:b/>
          <w:bCs/>
          <w:lang w:val="en-US"/>
        </w:rPr>
        <w:t xml:space="preserve">ETHICAL APPROVAL </w:t>
      </w:r>
    </w:p>
    <w:p w14:paraId="472F7E00" w14:textId="77777777" w:rsidR="006A19D1" w:rsidRPr="006A19D1" w:rsidRDefault="006A19D1" w:rsidP="006A19D1">
      <w:pPr>
        <w:spacing w:after="0" w:line="276" w:lineRule="auto"/>
        <w:ind w:right="15"/>
        <w:jc w:val="both"/>
        <w:rPr>
          <w:rFonts w:ascii="Arial" w:hAnsi="Arial" w:cs="Arial"/>
          <w:sz w:val="20"/>
          <w:szCs w:val="20"/>
          <w:lang w:val="en-US"/>
        </w:rPr>
      </w:pPr>
      <w:r w:rsidRPr="006A19D1">
        <w:rPr>
          <w:rFonts w:ascii="Arial" w:hAnsi="Arial" w:cs="Arial"/>
          <w:sz w:val="20"/>
          <w:szCs w:val="20"/>
          <w:lang w:val="en-GB"/>
        </w:rPr>
        <w:t xml:space="preserve">All authors hereby declare that the study was conducted in accordance with ethical standards approved by the Cameroon National Ethics Committee, </w:t>
      </w:r>
      <w:r w:rsidRPr="006A19D1">
        <w:rPr>
          <w:rFonts w:ascii="Arial" w:hAnsi="Arial" w:cs="Arial"/>
          <w:sz w:val="20"/>
          <w:szCs w:val="20"/>
          <w:lang w:val="en-US"/>
        </w:rPr>
        <w:t xml:space="preserve">N° </w:t>
      </w:r>
      <w:r w:rsidRPr="006A19D1">
        <w:rPr>
          <w:rFonts w:ascii="Arial" w:hAnsi="Arial" w:cs="Arial"/>
          <w:b/>
          <w:bCs/>
          <w:sz w:val="20"/>
          <w:szCs w:val="20"/>
          <w:lang w:val="en-US"/>
        </w:rPr>
        <w:t xml:space="preserve">2023/0220409/CEIRSH/ESS/MIM, </w:t>
      </w:r>
      <w:r w:rsidRPr="006A19D1">
        <w:rPr>
          <w:rFonts w:ascii="Arial" w:hAnsi="Arial" w:cs="Arial"/>
          <w:bCs/>
          <w:sz w:val="20"/>
          <w:szCs w:val="20"/>
          <w:lang w:val="en-US"/>
        </w:rPr>
        <w:t>and have therefore been performed in accordance with the ethical standards laid down in the 1964 Declaration of Helsinki</w:t>
      </w:r>
      <w:r w:rsidRPr="006A19D1">
        <w:rPr>
          <w:rFonts w:ascii="Arial" w:hAnsi="Arial" w:cs="Arial"/>
          <w:sz w:val="20"/>
          <w:szCs w:val="20"/>
          <w:lang w:val="en-US"/>
        </w:rPr>
        <w:t>.</w:t>
      </w:r>
    </w:p>
    <w:p w14:paraId="0401AEE7" w14:textId="77777777" w:rsidR="006A19D1" w:rsidRPr="006A19D1" w:rsidRDefault="006A19D1" w:rsidP="006A19D1">
      <w:pPr>
        <w:spacing w:after="0" w:line="276" w:lineRule="auto"/>
        <w:ind w:right="15"/>
        <w:jc w:val="both"/>
        <w:rPr>
          <w:rFonts w:ascii="Arial" w:hAnsi="Arial" w:cs="Arial"/>
          <w:sz w:val="20"/>
          <w:szCs w:val="20"/>
          <w:lang w:val="en-US"/>
        </w:rPr>
      </w:pPr>
    </w:p>
    <w:p w14:paraId="4F9F92C8" w14:textId="77777777" w:rsidR="006A19D1" w:rsidRPr="006A19D1" w:rsidRDefault="006A19D1" w:rsidP="006A19D1">
      <w:pPr>
        <w:spacing w:after="0" w:line="276" w:lineRule="auto"/>
        <w:ind w:right="15"/>
        <w:jc w:val="both"/>
        <w:rPr>
          <w:rFonts w:ascii="Arial" w:hAnsi="Arial" w:cs="Arial"/>
          <w:sz w:val="20"/>
          <w:szCs w:val="20"/>
          <w:lang w:val="en-US"/>
        </w:rPr>
      </w:pPr>
    </w:p>
    <w:p w14:paraId="37CEEBB5" w14:textId="77777777" w:rsidR="006A19D1" w:rsidRPr="006A19D1" w:rsidRDefault="006A19D1" w:rsidP="006A19D1">
      <w:pPr>
        <w:spacing w:after="0" w:line="276" w:lineRule="auto"/>
        <w:ind w:right="15"/>
        <w:jc w:val="both"/>
        <w:rPr>
          <w:rFonts w:ascii="Arial" w:hAnsi="Arial" w:cs="Arial"/>
          <w:b/>
          <w:bCs/>
          <w:sz w:val="20"/>
          <w:szCs w:val="20"/>
          <w:lang w:val="en-US"/>
        </w:rPr>
      </w:pPr>
      <w:r w:rsidRPr="006A19D1">
        <w:rPr>
          <w:rFonts w:ascii="Arial" w:hAnsi="Arial" w:cs="Arial"/>
          <w:b/>
          <w:bCs/>
          <w:sz w:val="20"/>
          <w:szCs w:val="20"/>
          <w:lang w:val="en-US"/>
        </w:rPr>
        <w:t>COMPETING INTERESTS DISCLAIMER:</w:t>
      </w:r>
    </w:p>
    <w:p w14:paraId="18354B8F" w14:textId="77777777" w:rsidR="006A19D1" w:rsidRPr="006A19D1" w:rsidRDefault="006A19D1" w:rsidP="006A19D1">
      <w:pPr>
        <w:spacing w:after="0" w:line="276" w:lineRule="auto"/>
        <w:ind w:right="15"/>
        <w:jc w:val="both"/>
        <w:rPr>
          <w:rFonts w:ascii="Arial" w:hAnsi="Arial" w:cs="Arial"/>
          <w:b/>
          <w:bCs/>
          <w:sz w:val="20"/>
          <w:szCs w:val="20"/>
          <w:lang w:val="en-US"/>
        </w:rPr>
      </w:pPr>
      <w:r w:rsidRPr="006A19D1">
        <w:rPr>
          <w:rFonts w:ascii="Arial" w:hAnsi="Arial" w:cs="Arial"/>
          <w:b/>
          <w:bCs/>
          <w:sz w:val="20"/>
          <w:szCs w:val="20"/>
          <w:lang w:val="en-US"/>
        </w:rPr>
        <w:t>Authors have declared that they have no known competing financial interests OR non-financial interests OR personal relationships that could have appeared to influence the work reported in this paper.</w:t>
      </w:r>
    </w:p>
    <w:p w14:paraId="4FA06765" w14:textId="77777777" w:rsidR="006A19D1" w:rsidRPr="006A19D1" w:rsidRDefault="006A19D1" w:rsidP="006A19D1">
      <w:pPr>
        <w:spacing w:after="0" w:line="276" w:lineRule="auto"/>
        <w:ind w:right="15"/>
        <w:jc w:val="both"/>
        <w:rPr>
          <w:rFonts w:ascii="Arial" w:hAnsi="Arial" w:cs="Arial"/>
          <w:b/>
          <w:bCs/>
          <w:sz w:val="20"/>
          <w:szCs w:val="20"/>
          <w:lang w:val="en-US"/>
        </w:rPr>
      </w:pPr>
    </w:p>
    <w:p w14:paraId="57AB5B3E" w14:textId="77777777" w:rsidR="006A19D1" w:rsidRPr="006A19D1" w:rsidRDefault="006A19D1" w:rsidP="006A19D1">
      <w:pPr>
        <w:spacing w:after="0" w:line="276" w:lineRule="auto"/>
        <w:ind w:right="15"/>
        <w:jc w:val="both"/>
        <w:rPr>
          <w:rFonts w:ascii="Arial" w:hAnsi="Arial" w:cs="Arial"/>
          <w:b/>
          <w:lang w:val="en-US"/>
        </w:rPr>
      </w:pPr>
    </w:p>
    <w:p w14:paraId="63D83349" w14:textId="77777777" w:rsidR="006A19D1" w:rsidRPr="006A19D1" w:rsidRDefault="006A19D1" w:rsidP="006A19D1">
      <w:pPr>
        <w:spacing w:after="0" w:line="276" w:lineRule="auto"/>
        <w:ind w:right="15"/>
        <w:jc w:val="both"/>
        <w:rPr>
          <w:rFonts w:ascii="Arial" w:hAnsi="Arial" w:cs="Arial"/>
          <w:b/>
          <w:lang w:val="en-US"/>
        </w:rPr>
      </w:pPr>
    </w:p>
    <w:p w14:paraId="78346895" w14:textId="77777777" w:rsidR="006A19D1" w:rsidRPr="006A19D1" w:rsidRDefault="006A19D1" w:rsidP="006A19D1">
      <w:pPr>
        <w:rPr>
          <w:highlight w:val="yellow"/>
        </w:rPr>
      </w:pPr>
      <w:r w:rsidRPr="006A19D1">
        <w:rPr>
          <w:highlight w:val="yellow"/>
        </w:rPr>
        <w:t>Disclaimer (</w:t>
      </w:r>
      <w:proofErr w:type="spellStart"/>
      <w:r w:rsidRPr="006A19D1">
        <w:rPr>
          <w:highlight w:val="yellow"/>
        </w:rPr>
        <w:t>Artificial</w:t>
      </w:r>
      <w:proofErr w:type="spellEnd"/>
      <w:r w:rsidRPr="006A19D1">
        <w:rPr>
          <w:highlight w:val="yellow"/>
        </w:rPr>
        <w:t xml:space="preserve"> intelligence)</w:t>
      </w:r>
    </w:p>
    <w:p w14:paraId="0D9D2002" w14:textId="77777777" w:rsidR="006A19D1" w:rsidRPr="006A19D1" w:rsidRDefault="006A19D1" w:rsidP="006A19D1">
      <w:pPr>
        <w:rPr>
          <w:highlight w:val="yellow"/>
        </w:rPr>
      </w:pPr>
    </w:p>
    <w:p w14:paraId="5FE19436" w14:textId="77777777" w:rsidR="006A19D1" w:rsidRPr="006A19D1" w:rsidRDefault="006A19D1" w:rsidP="006A19D1">
      <w:pPr>
        <w:rPr>
          <w:highlight w:val="yellow"/>
        </w:rPr>
      </w:pPr>
      <w:r w:rsidRPr="006A19D1">
        <w:rPr>
          <w:highlight w:val="yellow"/>
        </w:rPr>
        <w:t xml:space="preserve">Option </w:t>
      </w:r>
      <w:proofErr w:type="gramStart"/>
      <w:r w:rsidRPr="006A19D1">
        <w:rPr>
          <w:highlight w:val="yellow"/>
        </w:rPr>
        <w:t>1:</w:t>
      </w:r>
      <w:proofErr w:type="gramEnd"/>
      <w:r w:rsidRPr="006A19D1">
        <w:rPr>
          <w:highlight w:val="yellow"/>
        </w:rPr>
        <w:t xml:space="preserve"> </w:t>
      </w:r>
    </w:p>
    <w:p w14:paraId="6BFFD141" w14:textId="77777777" w:rsidR="006A19D1" w:rsidRPr="006A19D1" w:rsidRDefault="006A19D1" w:rsidP="006A19D1">
      <w:pPr>
        <w:rPr>
          <w:highlight w:val="yellow"/>
        </w:rPr>
      </w:pPr>
    </w:p>
    <w:p w14:paraId="500B8B32" w14:textId="77777777" w:rsidR="006A19D1" w:rsidRPr="006A19D1" w:rsidRDefault="006A19D1" w:rsidP="006A19D1">
      <w:pPr>
        <w:rPr>
          <w:highlight w:val="yellow"/>
        </w:rPr>
      </w:pPr>
      <w:proofErr w:type="spellStart"/>
      <w:r w:rsidRPr="006A19D1">
        <w:rPr>
          <w:highlight w:val="yellow"/>
        </w:rPr>
        <w:t>Author</w:t>
      </w:r>
      <w:proofErr w:type="spellEnd"/>
      <w:r w:rsidRPr="006A19D1">
        <w:rPr>
          <w:highlight w:val="yellow"/>
        </w:rPr>
        <w:t xml:space="preserve">(s) </w:t>
      </w:r>
      <w:proofErr w:type="spellStart"/>
      <w:r w:rsidRPr="006A19D1">
        <w:rPr>
          <w:highlight w:val="yellow"/>
        </w:rPr>
        <w:t>hereby</w:t>
      </w:r>
      <w:proofErr w:type="spellEnd"/>
      <w:r w:rsidRPr="006A19D1">
        <w:rPr>
          <w:highlight w:val="yellow"/>
        </w:rPr>
        <w:t xml:space="preserve"> </w:t>
      </w:r>
      <w:proofErr w:type="spellStart"/>
      <w:r w:rsidRPr="006A19D1">
        <w:rPr>
          <w:highlight w:val="yellow"/>
        </w:rPr>
        <w:t>declare</w:t>
      </w:r>
      <w:proofErr w:type="spellEnd"/>
      <w:r w:rsidRPr="006A19D1">
        <w:rPr>
          <w:highlight w:val="yellow"/>
        </w:rPr>
        <w:t xml:space="preserve"> </w:t>
      </w:r>
      <w:proofErr w:type="spellStart"/>
      <w:r w:rsidRPr="006A19D1">
        <w:rPr>
          <w:highlight w:val="yellow"/>
        </w:rPr>
        <w:t>that</w:t>
      </w:r>
      <w:proofErr w:type="spellEnd"/>
      <w:r w:rsidRPr="006A19D1">
        <w:rPr>
          <w:highlight w:val="yellow"/>
        </w:rPr>
        <w:t xml:space="preserve"> NO </w:t>
      </w:r>
      <w:proofErr w:type="spellStart"/>
      <w:r w:rsidRPr="006A19D1">
        <w:rPr>
          <w:highlight w:val="yellow"/>
        </w:rPr>
        <w:t>generative</w:t>
      </w:r>
      <w:proofErr w:type="spellEnd"/>
      <w:r w:rsidRPr="006A19D1">
        <w:rPr>
          <w:highlight w:val="yellow"/>
        </w:rPr>
        <w:t xml:space="preserve"> AI technologies </w:t>
      </w:r>
      <w:proofErr w:type="spellStart"/>
      <w:r w:rsidRPr="006A19D1">
        <w:rPr>
          <w:highlight w:val="yellow"/>
        </w:rPr>
        <w:t>such</w:t>
      </w:r>
      <w:proofErr w:type="spellEnd"/>
      <w:r w:rsidRPr="006A19D1">
        <w:rPr>
          <w:highlight w:val="yellow"/>
        </w:rPr>
        <w:t xml:space="preserve"> as Large </w:t>
      </w:r>
      <w:proofErr w:type="spellStart"/>
      <w:r w:rsidRPr="006A19D1">
        <w:rPr>
          <w:highlight w:val="yellow"/>
        </w:rPr>
        <w:t>Language</w:t>
      </w:r>
      <w:proofErr w:type="spellEnd"/>
      <w:r w:rsidRPr="006A19D1">
        <w:rPr>
          <w:highlight w:val="yellow"/>
        </w:rPr>
        <w:t xml:space="preserve"> </w:t>
      </w:r>
      <w:proofErr w:type="spellStart"/>
      <w:r w:rsidRPr="006A19D1">
        <w:rPr>
          <w:highlight w:val="yellow"/>
        </w:rPr>
        <w:t>Models</w:t>
      </w:r>
      <w:proofErr w:type="spellEnd"/>
      <w:r w:rsidRPr="006A19D1">
        <w:rPr>
          <w:highlight w:val="yellow"/>
        </w:rPr>
        <w:t xml:space="preserve"> (</w:t>
      </w:r>
      <w:proofErr w:type="spellStart"/>
      <w:r w:rsidRPr="006A19D1">
        <w:rPr>
          <w:highlight w:val="yellow"/>
        </w:rPr>
        <w:t>ChatGPT</w:t>
      </w:r>
      <w:proofErr w:type="spellEnd"/>
      <w:r w:rsidRPr="006A19D1">
        <w:rPr>
          <w:highlight w:val="yellow"/>
        </w:rPr>
        <w:t xml:space="preserve">, COPILOT, etc.) and </w:t>
      </w:r>
      <w:proofErr w:type="spellStart"/>
      <w:r w:rsidRPr="006A19D1">
        <w:rPr>
          <w:highlight w:val="yellow"/>
        </w:rPr>
        <w:t>text</w:t>
      </w:r>
      <w:proofErr w:type="spellEnd"/>
      <w:r w:rsidRPr="006A19D1">
        <w:rPr>
          <w:highlight w:val="yellow"/>
        </w:rPr>
        <w:t xml:space="preserve">-to-image </w:t>
      </w:r>
      <w:proofErr w:type="spellStart"/>
      <w:r w:rsidRPr="006A19D1">
        <w:rPr>
          <w:highlight w:val="yellow"/>
        </w:rPr>
        <w:t>generators</w:t>
      </w:r>
      <w:proofErr w:type="spellEnd"/>
      <w:r w:rsidRPr="006A19D1">
        <w:rPr>
          <w:highlight w:val="yellow"/>
        </w:rPr>
        <w:t xml:space="preserve"> have been </w:t>
      </w:r>
      <w:proofErr w:type="spellStart"/>
      <w:r w:rsidRPr="006A19D1">
        <w:rPr>
          <w:highlight w:val="yellow"/>
        </w:rPr>
        <w:t>used</w:t>
      </w:r>
      <w:proofErr w:type="spellEnd"/>
      <w:r w:rsidRPr="006A19D1">
        <w:rPr>
          <w:highlight w:val="yellow"/>
        </w:rPr>
        <w:t xml:space="preserve"> </w:t>
      </w:r>
      <w:proofErr w:type="spellStart"/>
      <w:r w:rsidRPr="006A19D1">
        <w:rPr>
          <w:highlight w:val="yellow"/>
        </w:rPr>
        <w:t>during</w:t>
      </w:r>
      <w:proofErr w:type="spellEnd"/>
      <w:r w:rsidRPr="006A19D1">
        <w:rPr>
          <w:highlight w:val="yellow"/>
        </w:rPr>
        <w:t xml:space="preserve"> the </w:t>
      </w:r>
      <w:proofErr w:type="spellStart"/>
      <w:r w:rsidRPr="006A19D1">
        <w:rPr>
          <w:highlight w:val="yellow"/>
        </w:rPr>
        <w:t>writing</w:t>
      </w:r>
      <w:proofErr w:type="spellEnd"/>
      <w:r w:rsidRPr="006A19D1">
        <w:rPr>
          <w:highlight w:val="yellow"/>
        </w:rPr>
        <w:t xml:space="preserve"> or </w:t>
      </w:r>
      <w:proofErr w:type="spellStart"/>
      <w:r w:rsidRPr="006A19D1">
        <w:rPr>
          <w:highlight w:val="yellow"/>
        </w:rPr>
        <w:t>editing</w:t>
      </w:r>
      <w:proofErr w:type="spellEnd"/>
      <w:r w:rsidRPr="006A19D1">
        <w:rPr>
          <w:highlight w:val="yellow"/>
        </w:rPr>
        <w:t xml:space="preserve"> of </w:t>
      </w:r>
      <w:proofErr w:type="spellStart"/>
      <w:r w:rsidRPr="006A19D1">
        <w:rPr>
          <w:highlight w:val="yellow"/>
        </w:rPr>
        <w:t>this</w:t>
      </w:r>
      <w:proofErr w:type="spellEnd"/>
      <w:r w:rsidRPr="006A19D1">
        <w:rPr>
          <w:highlight w:val="yellow"/>
        </w:rPr>
        <w:t xml:space="preserve"> </w:t>
      </w:r>
      <w:proofErr w:type="spellStart"/>
      <w:r w:rsidRPr="006A19D1">
        <w:rPr>
          <w:highlight w:val="yellow"/>
        </w:rPr>
        <w:t>manuscript</w:t>
      </w:r>
      <w:proofErr w:type="spellEnd"/>
      <w:r w:rsidRPr="006A19D1">
        <w:rPr>
          <w:highlight w:val="yellow"/>
        </w:rPr>
        <w:t xml:space="preserve">. </w:t>
      </w:r>
    </w:p>
    <w:p w14:paraId="65E7DC3F" w14:textId="77777777" w:rsidR="006A19D1" w:rsidRPr="006A19D1" w:rsidRDefault="006A19D1" w:rsidP="006A19D1">
      <w:pPr>
        <w:rPr>
          <w:highlight w:val="yellow"/>
        </w:rPr>
      </w:pPr>
    </w:p>
    <w:p w14:paraId="0AF949FC" w14:textId="77777777" w:rsidR="006A19D1" w:rsidRPr="006A19D1" w:rsidRDefault="006A19D1" w:rsidP="006A19D1">
      <w:pPr>
        <w:rPr>
          <w:highlight w:val="yellow"/>
        </w:rPr>
      </w:pPr>
      <w:r w:rsidRPr="006A19D1">
        <w:rPr>
          <w:highlight w:val="yellow"/>
        </w:rPr>
        <w:t xml:space="preserve">Option </w:t>
      </w:r>
      <w:proofErr w:type="gramStart"/>
      <w:r w:rsidRPr="006A19D1">
        <w:rPr>
          <w:highlight w:val="yellow"/>
        </w:rPr>
        <w:t>2:</w:t>
      </w:r>
      <w:proofErr w:type="gramEnd"/>
      <w:r w:rsidRPr="006A19D1">
        <w:rPr>
          <w:highlight w:val="yellow"/>
        </w:rPr>
        <w:t xml:space="preserve"> </w:t>
      </w:r>
    </w:p>
    <w:p w14:paraId="18980E02" w14:textId="77777777" w:rsidR="006A19D1" w:rsidRPr="006A19D1" w:rsidRDefault="006A19D1" w:rsidP="006A19D1">
      <w:pPr>
        <w:rPr>
          <w:highlight w:val="yellow"/>
        </w:rPr>
      </w:pPr>
    </w:p>
    <w:p w14:paraId="1C5E24D1" w14:textId="77777777" w:rsidR="006A19D1" w:rsidRPr="006A19D1" w:rsidRDefault="006A19D1" w:rsidP="006A19D1">
      <w:pPr>
        <w:rPr>
          <w:highlight w:val="yellow"/>
        </w:rPr>
      </w:pPr>
      <w:proofErr w:type="spellStart"/>
      <w:r w:rsidRPr="006A19D1">
        <w:rPr>
          <w:highlight w:val="yellow"/>
        </w:rPr>
        <w:t>Author</w:t>
      </w:r>
      <w:proofErr w:type="spellEnd"/>
      <w:r w:rsidRPr="006A19D1">
        <w:rPr>
          <w:highlight w:val="yellow"/>
        </w:rPr>
        <w:t xml:space="preserve">(s) </w:t>
      </w:r>
      <w:proofErr w:type="spellStart"/>
      <w:r w:rsidRPr="006A19D1">
        <w:rPr>
          <w:highlight w:val="yellow"/>
        </w:rPr>
        <w:t>hereby</w:t>
      </w:r>
      <w:proofErr w:type="spellEnd"/>
      <w:r w:rsidRPr="006A19D1">
        <w:rPr>
          <w:highlight w:val="yellow"/>
        </w:rPr>
        <w:t xml:space="preserve"> </w:t>
      </w:r>
      <w:proofErr w:type="spellStart"/>
      <w:r w:rsidRPr="006A19D1">
        <w:rPr>
          <w:highlight w:val="yellow"/>
        </w:rPr>
        <w:t>declare</w:t>
      </w:r>
      <w:proofErr w:type="spellEnd"/>
      <w:r w:rsidRPr="006A19D1">
        <w:rPr>
          <w:highlight w:val="yellow"/>
        </w:rPr>
        <w:t xml:space="preserve"> </w:t>
      </w:r>
      <w:proofErr w:type="spellStart"/>
      <w:r w:rsidRPr="006A19D1">
        <w:rPr>
          <w:highlight w:val="yellow"/>
        </w:rPr>
        <w:t>that</w:t>
      </w:r>
      <w:proofErr w:type="spellEnd"/>
      <w:r w:rsidRPr="006A19D1">
        <w:rPr>
          <w:highlight w:val="yellow"/>
        </w:rPr>
        <w:t xml:space="preserve"> </w:t>
      </w:r>
      <w:proofErr w:type="spellStart"/>
      <w:r w:rsidRPr="006A19D1">
        <w:rPr>
          <w:highlight w:val="yellow"/>
        </w:rPr>
        <w:t>generative</w:t>
      </w:r>
      <w:proofErr w:type="spellEnd"/>
      <w:r w:rsidRPr="006A19D1">
        <w:rPr>
          <w:highlight w:val="yellow"/>
        </w:rPr>
        <w:t xml:space="preserve"> AI technologies </w:t>
      </w:r>
      <w:proofErr w:type="spellStart"/>
      <w:r w:rsidRPr="006A19D1">
        <w:rPr>
          <w:highlight w:val="yellow"/>
        </w:rPr>
        <w:t>such</w:t>
      </w:r>
      <w:proofErr w:type="spellEnd"/>
      <w:r w:rsidRPr="006A19D1">
        <w:rPr>
          <w:highlight w:val="yellow"/>
        </w:rPr>
        <w:t xml:space="preserve"> as Large </w:t>
      </w:r>
      <w:proofErr w:type="spellStart"/>
      <w:r w:rsidRPr="006A19D1">
        <w:rPr>
          <w:highlight w:val="yellow"/>
        </w:rPr>
        <w:t>Language</w:t>
      </w:r>
      <w:proofErr w:type="spellEnd"/>
      <w:r w:rsidRPr="006A19D1">
        <w:rPr>
          <w:highlight w:val="yellow"/>
        </w:rPr>
        <w:t xml:space="preserve"> </w:t>
      </w:r>
      <w:proofErr w:type="spellStart"/>
      <w:r w:rsidRPr="006A19D1">
        <w:rPr>
          <w:highlight w:val="yellow"/>
        </w:rPr>
        <w:t>Models</w:t>
      </w:r>
      <w:proofErr w:type="spellEnd"/>
      <w:r w:rsidRPr="006A19D1">
        <w:rPr>
          <w:highlight w:val="yellow"/>
        </w:rPr>
        <w:t xml:space="preserve">, etc. have been </w:t>
      </w:r>
      <w:proofErr w:type="spellStart"/>
      <w:r w:rsidRPr="006A19D1">
        <w:rPr>
          <w:highlight w:val="yellow"/>
        </w:rPr>
        <w:t>used</w:t>
      </w:r>
      <w:proofErr w:type="spellEnd"/>
      <w:r w:rsidRPr="006A19D1">
        <w:rPr>
          <w:highlight w:val="yellow"/>
        </w:rPr>
        <w:t xml:space="preserve"> </w:t>
      </w:r>
      <w:proofErr w:type="spellStart"/>
      <w:r w:rsidRPr="006A19D1">
        <w:rPr>
          <w:highlight w:val="yellow"/>
        </w:rPr>
        <w:t>during</w:t>
      </w:r>
      <w:proofErr w:type="spellEnd"/>
      <w:r w:rsidRPr="006A19D1">
        <w:rPr>
          <w:highlight w:val="yellow"/>
        </w:rPr>
        <w:t xml:space="preserve"> the </w:t>
      </w:r>
      <w:proofErr w:type="spellStart"/>
      <w:r w:rsidRPr="006A19D1">
        <w:rPr>
          <w:highlight w:val="yellow"/>
        </w:rPr>
        <w:t>writing</w:t>
      </w:r>
      <w:proofErr w:type="spellEnd"/>
      <w:r w:rsidRPr="006A19D1">
        <w:rPr>
          <w:highlight w:val="yellow"/>
        </w:rPr>
        <w:t xml:space="preserve"> or </w:t>
      </w:r>
      <w:proofErr w:type="spellStart"/>
      <w:r w:rsidRPr="006A19D1">
        <w:rPr>
          <w:highlight w:val="yellow"/>
        </w:rPr>
        <w:t>editing</w:t>
      </w:r>
      <w:proofErr w:type="spellEnd"/>
      <w:r w:rsidRPr="006A19D1">
        <w:rPr>
          <w:highlight w:val="yellow"/>
        </w:rPr>
        <w:t xml:space="preserve"> of </w:t>
      </w:r>
      <w:proofErr w:type="spellStart"/>
      <w:r w:rsidRPr="006A19D1">
        <w:rPr>
          <w:highlight w:val="yellow"/>
        </w:rPr>
        <w:t>manuscripts</w:t>
      </w:r>
      <w:proofErr w:type="spellEnd"/>
      <w:r w:rsidRPr="006A19D1">
        <w:rPr>
          <w:highlight w:val="yellow"/>
        </w:rPr>
        <w:t xml:space="preserve">. This </w:t>
      </w:r>
      <w:proofErr w:type="spellStart"/>
      <w:r w:rsidRPr="006A19D1">
        <w:rPr>
          <w:highlight w:val="yellow"/>
        </w:rPr>
        <w:t>explanation</w:t>
      </w:r>
      <w:proofErr w:type="spellEnd"/>
      <w:r w:rsidRPr="006A19D1">
        <w:rPr>
          <w:highlight w:val="yellow"/>
        </w:rPr>
        <w:t xml:space="preserve"> </w:t>
      </w:r>
      <w:proofErr w:type="spellStart"/>
      <w:r w:rsidRPr="006A19D1">
        <w:rPr>
          <w:highlight w:val="yellow"/>
        </w:rPr>
        <w:t>will</w:t>
      </w:r>
      <w:proofErr w:type="spellEnd"/>
      <w:r w:rsidRPr="006A19D1">
        <w:rPr>
          <w:highlight w:val="yellow"/>
        </w:rPr>
        <w:t xml:space="preserve"> </w:t>
      </w:r>
      <w:proofErr w:type="spellStart"/>
      <w:r w:rsidRPr="006A19D1">
        <w:rPr>
          <w:highlight w:val="yellow"/>
        </w:rPr>
        <w:t>include</w:t>
      </w:r>
      <w:proofErr w:type="spellEnd"/>
      <w:r w:rsidRPr="006A19D1">
        <w:rPr>
          <w:highlight w:val="yellow"/>
        </w:rPr>
        <w:t xml:space="preserve"> the </w:t>
      </w:r>
      <w:proofErr w:type="spellStart"/>
      <w:r w:rsidRPr="006A19D1">
        <w:rPr>
          <w:highlight w:val="yellow"/>
        </w:rPr>
        <w:t>name</w:t>
      </w:r>
      <w:proofErr w:type="spellEnd"/>
      <w:r w:rsidRPr="006A19D1">
        <w:rPr>
          <w:highlight w:val="yellow"/>
        </w:rPr>
        <w:t xml:space="preserve">, version, model, and source of the </w:t>
      </w:r>
      <w:proofErr w:type="spellStart"/>
      <w:r w:rsidRPr="006A19D1">
        <w:rPr>
          <w:highlight w:val="yellow"/>
        </w:rPr>
        <w:t>generative</w:t>
      </w:r>
      <w:proofErr w:type="spellEnd"/>
      <w:r w:rsidRPr="006A19D1">
        <w:rPr>
          <w:highlight w:val="yellow"/>
        </w:rPr>
        <w:t xml:space="preserve"> AI </w:t>
      </w:r>
      <w:proofErr w:type="spellStart"/>
      <w:r w:rsidRPr="006A19D1">
        <w:rPr>
          <w:highlight w:val="yellow"/>
        </w:rPr>
        <w:t>technology</w:t>
      </w:r>
      <w:proofErr w:type="spellEnd"/>
      <w:r w:rsidRPr="006A19D1">
        <w:rPr>
          <w:highlight w:val="yellow"/>
        </w:rPr>
        <w:t xml:space="preserve"> and as </w:t>
      </w:r>
      <w:proofErr w:type="spellStart"/>
      <w:r w:rsidRPr="006A19D1">
        <w:rPr>
          <w:highlight w:val="yellow"/>
        </w:rPr>
        <w:t>well</w:t>
      </w:r>
      <w:proofErr w:type="spellEnd"/>
      <w:r w:rsidRPr="006A19D1">
        <w:rPr>
          <w:highlight w:val="yellow"/>
        </w:rPr>
        <w:t xml:space="preserve"> as all input prompts </w:t>
      </w:r>
      <w:proofErr w:type="spellStart"/>
      <w:r w:rsidRPr="006A19D1">
        <w:rPr>
          <w:highlight w:val="yellow"/>
        </w:rPr>
        <w:t>provided</w:t>
      </w:r>
      <w:proofErr w:type="spellEnd"/>
      <w:r w:rsidRPr="006A19D1">
        <w:rPr>
          <w:highlight w:val="yellow"/>
        </w:rPr>
        <w:t xml:space="preserve"> to the </w:t>
      </w:r>
      <w:proofErr w:type="spellStart"/>
      <w:r w:rsidRPr="006A19D1">
        <w:rPr>
          <w:highlight w:val="yellow"/>
        </w:rPr>
        <w:t>generative</w:t>
      </w:r>
      <w:proofErr w:type="spellEnd"/>
      <w:r w:rsidRPr="006A19D1">
        <w:rPr>
          <w:highlight w:val="yellow"/>
        </w:rPr>
        <w:t xml:space="preserve"> AI </w:t>
      </w:r>
      <w:proofErr w:type="spellStart"/>
      <w:r w:rsidRPr="006A19D1">
        <w:rPr>
          <w:highlight w:val="yellow"/>
        </w:rPr>
        <w:t>technology</w:t>
      </w:r>
      <w:proofErr w:type="spellEnd"/>
    </w:p>
    <w:p w14:paraId="62B72158" w14:textId="77777777" w:rsidR="006A19D1" w:rsidRPr="006A19D1" w:rsidRDefault="006A19D1" w:rsidP="006A19D1">
      <w:pPr>
        <w:rPr>
          <w:highlight w:val="yellow"/>
        </w:rPr>
      </w:pPr>
    </w:p>
    <w:p w14:paraId="26870862" w14:textId="77777777" w:rsidR="006A19D1" w:rsidRPr="006A19D1" w:rsidRDefault="006A19D1" w:rsidP="006A19D1">
      <w:pPr>
        <w:rPr>
          <w:highlight w:val="yellow"/>
        </w:rPr>
      </w:pPr>
      <w:r w:rsidRPr="006A19D1">
        <w:rPr>
          <w:highlight w:val="yellow"/>
        </w:rPr>
        <w:t xml:space="preserve">Details of the AI usage are </w:t>
      </w:r>
      <w:proofErr w:type="spellStart"/>
      <w:r w:rsidRPr="006A19D1">
        <w:rPr>
          <w:highlight w:val="yellow"/>
        </w:rPr>
        <w:t>given</w:t>
      </w:r>
      <w:proofErr w:type="spellEnd"/>
      <w:r w:rsidRPr="006A19D1">
        <w:rPr>
          <w:highlight w:val="yellow"/>
        </w:rPr>
        <w:t xml:space="preserve"> </w:t>
      </w:r>
      <w:proofErr w:type="spellStart"/>
      <w:proofErr w:type="gramStart"/>
      <w:r w:rsidRPr="006A19D1">
        <w:rPr>
          <w:highlight w:val="yellow"/>
        </w:rPr>
        <w:t>below</w:t>
      </w:r>
      <w:proofErr w:type="spellEnd"/>
      <w:r w:rsidRPr="006A19D1">
        <w:rPr>
          <w:highlight w:val="yellow"/>
        </w:rPr>
        <w:t>:</w:t>
      </w:r>
      <w:proofErr w:type="gramEnd"/>
    </w:p>
    <w:p w14:paraId="25596228" w14:textId="77777777" w:rsidR="006A19D1" w:rsidRPr="006A19D1" w:rsidRDefault="006A19D1" w:rsidP="006A19D1">
      <w:pPr>
        <w:rPr>
          <w:highlight w:val="yellow"/>
        </w:rPr>
      </w:pPr>
      <w:r w:rsidRPr="006A19D1">
        <w:rPr>
          <w:highlight w:val="yellow"/>
        </w:rPr>
        <w:t>1.</w:t>
      </w:r>
    </w:p>
    <w:p w14:paraId="7117681A" w14:textId="77777777" w:rsidR="006A19D1" w:rsidRPr="006A19D1" w:rsidRDefault="006A19D1" w:rsidP="006A19D1">
      <w:pPr>
        <w:rPr>
          <w:highlight w:val="yellow"/>
        </w:rPr>
      </w:pPr>
      <w:r w:rsidRPr="006A19D1">
        <w:rPr>
          <w:highlight w:val="yellow"/>
        </w:rPr>
        <w:t>2.</w:t>
      </w:r>
    </w:p>
    <w:p w14:paraId="2A01A9E7" w14:textId="77777777" w:rsidR="006A19D1" w:rsidRPr="006A19D1" w:rsidRDefault="006A19D1" w:rsidP="006A19D1">
      <w:r w:rsidRPr="006A19D1">
        <w:rPr>
          <w:highlight w:val="yellow"/>
        </w:rPr>
        <w:t>3.</w:t>
      </w:r>
    </w:p>
    <w:p w14:paraId="1CDFD185" w14:textId="77777777" w:rsidR="006A19D1" w:rsidRPr="006A19D1" w:rsidRDefault="006A19D1" w:rsidP="006A19D1">
      <w:pPr>
        <w:spacing w:after="0" w:line="276" w:lineRule="auto"/>
        <w:ind w:right="15"/>
        <w:jc w:val="both"/>
        <w:rPr>
          <w:rFonts w:ascii="Arial" w:hAnsi="Arial" w:cs="Arial"/>
          <w:b/>
          <w:lang w:val="en-US"/>
        </w:rPr>
      </w:pPr>
    </w:p>
    <w:p w14:paraId="5175A38C" w14:textId="77777777" w:rsidR="006A19D1" w:rsidRPr="006A19D1" w:rsidRDefault="006A19D1" w:rsidP="006A19D1">
      <w:pPr>
        <w:spacing w:after="0" w:line="276" w:lineRule="auto"/>
        <w:ind w:right="15"/>
        <w:jc w:val="both"/>
        <w:rPr>
          <w:rFonts w:ascii="Arial" w:hAnsi="Arial" w:cs="Arial"/>
          <w:b/>
          <w:lang w:val="en-US"/>
        </w:rPr>
      </w:pPr>
    </w:p>
    <w:p w14:paraId="29100F99" w14:textId="77777777" w:rsidR="006A19D1" w:rsidRPr="006A19D1" w:rsidRDefault="006A19D1" w:rsidP="006A19D1">
      <w:pPr>
        <w:spacing w:after="0" w:line="276" w:lineRule="auto"/>
        <w:ind w:right="15"/>
        <w:jc w:val="both"/>
        <w:rPr>
          <w:rFonts w:ascii="Arial" w:hAnsi="Arial" w:cs="Arial"/>
          <w:b/>
          <w:bCs/>
          <w:lang w:val="en-US"/>
        </w:rPr>
      </w:pPr>
      <w:r w:rsidRPr="006A19D1">
        <w:rPr>
          <w:rFonts w:ascii="Arial" w:hAnsi="Arial" w:cs="Arial"/>
          <w:b/>
          <w:lang w:val="en-US"/>
        </w:rPr>
        <w:t>REFERENCES</w:t>
      </w:r>
    </w:p>
    <w:p w14:paraId="68331CF9" w14:textId="77777777" w:rsidR="006A19D1" w:rsidRPr="006A19D1" w:rsidRDefault="006A19D1" w:rsidP="006A19D1">
      <w:pPr>
        <w:spacing w:line="276" w:lineRule="auto"/>
        <w:ind w:left="720" w:right="-1"/>
        <w:jc w:val="both"/>
        <w:rPr>
          <w:rFonts w:ascii="Arial" w:hAnsi="Arial" w:cs="Arial"/>
          <w:sz w:val="20"/>
          <w:szCs w:val="20"/>
          <w:lang w:val="en-US"/>
        </w:rPr>
      </w:pPr>
      <w:proofErr w:type="spellStart"/>
      <w:r w:rsidRPr="006A19D1">
        <w:rPr>
          <w:rFonts w:ascii="Arial" w:hAnsi="Arial" w:cs="Arial"/>
          <w:sz w:val="20"/>
          <w:szCs w:val="20"/>
          <w:lang w:val="en-US"/>
        </w:rPr>
        <w:t>Beutler</w:t>
      </w:r>
      <w:proofErr w:type="spellEnd"/>
      <w:r w:rsidRPr="006A19D1">
        <w:rPr>
          <w:rFonts w:ascii="Arial" w:hAnsi="Arial" w:cs="Arial"/>
          <w:sz w:val="20"/>
          <w:szCs w:val="20"/>
          <w:lang w:val="en-US"/>
        </w:rPr>
        <w:t xml:space="preserve"> B, </w:t>
      </w:r>
      <w:proofErr w:type="spellStart"/>
      <w:r w:rsidRPr="006A19D1">
        <w:rPr>
          <w:rFonts w:ascii="Arial" w:hAnsi="Arial" w:cs="Arial"/>
          <w:sz w:val="20"/>
          <w:szCs w:val="20"/>
          <w:lang w:val="en-US"/>
        </w:rPr>
        <w:t>Cerami</w:t>
      </w:r>
      <w:proofErr w:type="spellEnd"/>
      <w:r w:rsidRPr="006A19D1">
        <w:rPr>
          <w:rFonts w:ascii="Arial" w:hAnsi="Arial" w:cs="Arial"/>
          <w:sz w:val="20"/>
          <w:szCs w:val="20"/>
          <w:lang w:val="en-US"/>
        </w:rPr>
        <w:t xml:space="preserve"> A. 1989 The biology of </w:t>
      </w:r>
      <w:proofErr w:type="spellStart"/>
      <w:r w:rsidRPr="006A19D1">
        <w:rPr>
          <w:rFonts w:ascii="Arial" w:hAnsi="Arial" w:cs="Arial"/>
          <w:sz w:val="20"/>
          <w:szCs w:val="20"/>
          <w:lang w:val="en-US"/>
        </w:rPr>
        <w:t>cachectin</w:t>
      </w:r>
      <w:proofErr w:type="spellEnd"/>
      <w:r w:rsidRPr="006A19D1">
        <w:rPr>
          <w:rFonts w:ascii="Arial" w:hAnsi="Arial" w:cs="Arial"/>
          <w:sz w:val="20"/>
          <w:szCs w:val="20"/>
          <w:lang w:val="en-US"/>
        </w:rPr>
        <w:t xml:space="preserve">/TNF-α: primary mediator of host response. </w:t>
      </w:r>
      <w:proofErr w:type="spellStart"/>
      <w:r w:rsidRPr="006A19D1">
        <w:rPr>
          <w:rFonts w:ascii="Arial" w:hAnsi="Arial" w:cs="Arial"/>
          <w:sz w:val="20"/>
          <w:szCs w:val="20"/>
          <w:lang w:val="en-US"/>
        </w:rPr>
        <w:t>Annu</w:t>
      </w:r>
      <w:proofErr w:type="spellEnd"/>
      <w:r w:rsidRPr="006A19D1">
        <w:rPr>
          <w:rFonts w:ascii="Arial" w:hAnsi="Arial" w:cs="Arial"/>
          <w:sz w:val="20"/>
          <w:szCs w:val="20"/>
          <w:lang w:val="en-US"/>
        </w:rPr>
        <w:t xml:space="preserve"> Rev Immunol. </w:t>
      </w:r>
      <w:proofErr w:type="gramStart"/>
      <w:r w:rsidRPr="006A19D1">
        <w:rPr>
          <w:rFonts w:ascii="Arial" w:hAnsi="Arial" w:cs="Arial"/>
          <w:sz w:val="20"/>
          <w:szCs w:val="20"/>
          <w:lang w:val="en-US"/>
        </w:rPr>
        <w:t>1989;7:625</w:t>
      </w:r>
      <w:proofErr w:type="gramEnd"/>
      <w:r w:rsidRPr="006A19D1">
        <w:rPr>
          <w:rFonts w:ascii="Arial" w:hAnsi="Arial" w:cs="Arial"/>
          <w:sz w:val="20"/>
          <w:szCs w:val="20"/>
          <w:lang w:val="en-US"/>
        </w:rPr>
        <w:t>–55.</w:t>
      </w:r>
    </w:p>
    <w:p w14:paraId="0BEB65BC" w14:textId="77777777" w:rsidR="006A19D1" w:rsidRPr="006A19D1" w:rsidRDefault="006A19D1" w:rsidP="006A19D1">
      <w:pPr>
        <w:spacing w:line="276" w:lineRule="auto"/>
        <w:ind w:left="720" w:right="-1"/>
        <w:jc w:val="both"/>
        <w:rPr>
          <w:rFonts w:ascii="Arial" w:hAnsi="Arial" w:cs="Arial"/>
          <w:sz w:val="20"/>
          <w:szCs w:val="20"/>
          <w:lang w:val="en-US"/>
        </w:rPr>
      </w:pPr>
      <w:proofErr w:type="spellStart"/>
      <w:r w:rsidRPr="006A19D1">
        <w:rPr>
          <w:rFonts w:ascii="Arial" w:hAnsi="Arial" w:cs="Arial"/>
          <w:sz w:val="20"/>
          <w:szCs w:val="20"/>
          <w:lang w:val="en-US"/>
        </w:rPr>
        <w:t>Hotamisligil</w:t>
      </w:r>
      <w:proofErr w:type="spellEnd"/>
      <w:r w:rsidRPr="006A19D1">
        <w:rPr>
          <w:rFonts w:ascii="Arial" w:hAnsi="Arial" w:cs="Arial"/>
          <w:sz w:val="20"/>
          <w:szCs w:val="20"/>
          <w:lang w:val="en-US"/>
        </w:rPr>
        <w:t xml:space="preserve"> GS, </w:t>
      </w:r>
      <w:proofErr w:type="spellStart"/>
      <w:r w:rsidRPr="006A19D1">
        <w:rPr>
          <w:rFonts w:ascii="Arial" w:hAnsi="Arial" w:cs="Arial"/>
          <w:sz w:val="20"/>
          <w:szCs w:val="20"/>
          <w:lang w:val="en-US"/>
        </w:rPr>
        <w:t>Shargill</w:t>
      </w:r>
      <w:proofErr w:type="spellEnd"/>
      <w:r w:rsidRPr="006A19D1">
        <w:rPr>
          <w:rFonts w:ascii="Arial" w:hAnsi="Arial" w:cs="Arial"/>
          <w:sz w:val="20"/>
          <w:szCs w:val="20"/>
          <w:lang w:val="en-US"/>
        </w:rPr>
        <w:t xml:space="preserve"> NS, Spiegelman BM. 1993 Adipose expression of tumor necrosis factor-α: direct role in obesity-linked insulin resistance. Science.;259(5091):87–91.</w:t>
      </w:r>
    </w:p>
    <w:p w14:paraId="60AA98A3" w14:textId="77777777" w:rsidR="006A19D1" w:rsidRPr="006A19D1" w:rsidRDefault="006A19D1" w:rsidP="006A19D1">
      <w:pPr>
        <w:spacing w:line="276" w:lineRule="auto"/>
        <w:ind w:left="720" w:right="-1"/>
        <w:jc w:val="both"/>
        <w:rPr>
          <w:rFonts w:ascii="Arial" w:hAnsi="Arial" w:cs="Arial"/>
          <w:sz w:val="20"/>
          <w:szCs w:val="20"/>
          <w:lang w:val="en-US"/>
        </w:rPr>
      </w:pPr>
      <w:proofErr w:type="spellStart"/>
      <w:r w:rsidRPr="006A19D1">
        <w:rPr>
          <w:rFonts w:ascii="Arial" w:hAnsi="Arial" w:cs="Arial"/>
          <w:sz w:val="20"/>
          <w:szCs w:val="20"/>
          <w:lang w:val="en-US"/>
        </w:rPr>
        <w:t>Hotamisligil</w:t>
      </w:r>
      <w:proofErr w:type="spellEnd"/>
      <w:r w:rsidRPr="006A19D1">
        <w:rPr>
          <w:rFonts w:ascii="Arial" w:hAnsi="Arial" w:cs="Arial"/>
          <w:sz w:val="20"/>
          <w:szCs w:val="20"/>
          <w:lang w:val="en-US"/>
        </w:rPr>
        <w:t xml:space="preserve"> GS. 2000 Molecular mechanisms of insulin resistance and the role of the adipocyte. Int J </w:t>
      </w:r>
      <w:proofErr w:type="spellStart"/>
      <w:r w:rsidRPr="006A19D1">
        <w:rPr>
          <w:rFonts w:ascii="Arial" w:hAnsi="Arial" w:cs="Arial"/>
          <w:sz w:val="20"/>
          <w:szCs w:val="20"/>
          <w:lang w:val="en-US"/>
        </w:rPr>
        <w:t>Obes</w:t>
      </w:r>
      <w:proofErr w:type="spellEnd"/>
      <w:r w:rsidRPr="006A19D1">
        <w:rPr>
          <w:rFonts w:ascii="Arial" w:hAnsi="Arial" w:cs="Arial"/>
          <w:sz w:val="20"/>
          <w:szCs w:val="20"/>
          <w:lang w:val="en-US"/>
        </w:rPr>
        <w:t>. 2000;24(Suppl 4</w:t>
      </w:r>
      <w:proofErr w:type="gramStart"/>
      <w:r w:rsidRPr="006A19D1">
        <w:rPr>
          <w:rFonts w:ascii="Arial" w:hAnsi="Arial" w:cs="Arial"/>
          <w:sz w:val="20"/>
          <w:szCs w:val="20"/>
          <w:lang w:val="en-US"/>
        </w:rPr>
        <w:t>):S</w:t>
      </w:r>
      <w:proofErr w:type="gramEnd"/>
      <w:r w:rsidRPr="006A19D1">
        <w:rPr>
          <w:rFonts w:ascii="Arial" w:hAnsi="Arial" w:cs="Arial"/>
          <w:sz w:val="20"/>
          <w:szCs w:val="20"/>
          <w:lang w:val="en-US"/>
        </w:rPr>
        <w:t>23–7.</w:t>
      </w:r>
    </w:p>
    <w:p w14:paraId="0BAEA007"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Chen L, Chen R, Wang H, Liang F. 2015 Mechanisms linking inflammation to insulin resistance. Int J Endocrinol. </w:t>
      </w:r>
      <w:proofErr w:type="gramStart"/>
      <w:r w:rsidRPr="006A19D1">
        <w:rPr>
          <w:rFonts w:ascii="Arial" w:hAnsi="Arial" w:cs="Arial"/>
          <w:sz w:val="20"/>
          <w:szCs w:val="20"/>
          <w:lang w:val="en-US"/>
        </w:rPr>
        <w:t>2015;2015:508409</w:t>
      </w:r>
      <w:proofErr w:type="gramEnd"/>
      <w:r w:rsidRPr="006A19D1">
        <w:rPr>
          <w:rFonts w:ascii="Arial" w:hAnsi="Arial" w:cs="Arial"/>
          <w:sz w:val="20"/>
          <w:szCs w:val="20"/>
          <w:lang w:val="en-US"/>
        </w:rPr>
        <w:t>.</w:t>
      </w:r>
    </w:p>
    <w:p w14:paraId="453DD4DB"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rPr>
        <w:t xml:space="preserve">Bastard JP, </w:t>
      </w:r>
      <w:proofErr w:type="spellStart"/>
      <w:r w:rsidRPr="006A19D1">
        <w:rPr>
          <w:rFonts w:ascii="Arial" w:hAnsi="Arial" w:cs="Arial"/>
          <w:sz w:val="20"/>
          <w:szCs w:val="20"/>
        </w:rPr>
        <w:t>Maachi</w:t>
      </w:r>
      <w:proofErr w:type="spellEnd"/>
      <w:r w:rsidRPr="006A19D1">
        <w:rPr>
          <w:rFonts w:ascii="Arial" w:hAnsi="Arial" w:cs="Arial"/>
          <w:sz w:val="20"/>
          <w:szCs w:val="20"/>
        </w:rPr>
        <w:t xml:space="preserve"> M, Van </w:t>
      </w:r>
      <w:proofErr w:type="spellStart"/>
      <w:r w:rsidRPr="006A19D1">
        <w:rPr>
          <w:rFonts w:ascii="Arial" w:hAnsi="Arial" w:cs="Arial"/>
          <w:sz w:val="20"/>
          <w:szCs w:val="20"/>
        </w:rPr>
        <w:t>Nhieu</w:t>
      </w:r>
      <w:proofErr w:type="spellEnd"/>
      <w:r w:rsidRPr="006A19D1">
        <w:rPr>
          <w:rFonts w:ascii="Arial" w:hAnsi="Arial" w:cs="Arial"/>
          <w:sz w:val="20"/>
          <w:szCs w:val="20"/>
        </w:rPr>
        <w:t xml:space="preserve"> JT, </w:t>
      </w:r>
      <w:proofErr w:type="spellStart"/>
      <w:r w:rsidRPr="006A19D1">
        <w:rPr>
          <w:rFonts w:ascii="Arial" w:hAnsi="Arial" w:cs="Arial"/>
          <w:sz w:val="20"/>
          <w:szCs w:val="20"/>
        </w:rPr>
        <w:t>Jardel</w:t>
      </w:r>
      <w:proofErr w:type="spellEnd"/>
      <w:r w:rsidRPr="006A19D1">
        <w:rPr>
          <w:rFonts w:ascii="Arial" w:hAnsi="Arial" w:cs="Arial"/>
          <w:sz w:val="20"/>
          <w:szCs w:val="20"/>
        </w:rPr>
        <w:t xml:space="preserve"> C, </w:t>
      </w:r>
      <w:proofErr w:type="spellStart"/>
      <w:r w:rsidRPr="006A19D1">
        <w:rPr>
          <w:rFonts w:ascii="Arial" w:hAnsi="Arial" w:cs="Arial"/>
          <w:sz w:val="20"/>
          <w:szCs w:val="20"/>
        </w:rPr>
        <w:t>Bruckert</w:t>
      </w:r>
      <w:proofErr w:type="spellEnd"/>
      <w:r w:rsidRPr="006A19D1">
        <w:rPr>
          <w:rFonts w:ascii="Arial" w:hAnsi="Arial" w:cs="Arial"/>
          <w:sz w:val="20"/>
          <w:szCs w:val="20"/>
        </w:rPr>
        <w:t xml:space="preserve"> E, Grimaldi A, et al. </w:t>
      </w:r>
      <w:r w:rsidRPr="006A19D1">
        <w:rPr>
          <w:rFonts w:ascii="Arial" w:hAnsi="Arial" w:cs="Arial"/>
          <w:sz w:val="20"/>
          <w:szCs w:val="20"/>
          <w:lang w:val="en-US"/>
        </w:rPr>
        <w:t xml:space="preserve">2002 Adipose tissue IL-6 content correlates with resistance to insulin activation of glucose uptake both in vivo and in vitro. J Clin Endocrinol </w:t>
      </w:r>
      <w:proofErr w:type="spellStart"/>
      <w:r w:rsidRPr="006A19D1">
        <w:rPr>
          <w:rFonts w:ascii="Arial" w:hAnsi="Arial" w:cs="Arial"/>
          <w:sz w:val="20"/>
          <w:szCs w:val="20"/>
          <w:lang w:val="en-US"/>
        </w:rPr>
        <w:t>Metab</w:t>
      </w:r>
      <w:proofErr w:type="spellEnd"/>
      <w:r w:rsidRPr="006A19D1">
        <w:rPr>
          <w:rFonts w:ascii="Arial" w:hAnsi="Arial" w:cs="Arial"/>
          <w:sz w:val="20"/>
          <w:szCs w:val="20"/>
          <w:lang w:val="en-US"/>
        </w:rPr>
        <w:t>. 2002;87(5):2084–9.</w:t>
      </w:r>
    </w:p>
    <w:p w14:paraId="701BA4C1"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Choi KM. 2016 The impact of </w:t>
      </w:r>
      <w:proofErr w:type="spellStart"/>
      <w:r w:rsidRPr="006A19D1">
        <w:rPr>
          <w:rFonts w:ascii="Arial" w:hAnsi="Arial" w:cs="Arial"/>
          <w:sz w:val="20"/>
          <w:szCs w:val="20"/>
          <w:lang w:val="en-US"/>
        </w:rPr>
        <w:t>organokines</w:t>
      </w:r>
      <w:proofErr w:type="spellEnd"/>
      <w:r w:rsidRPr="006A19D1">
        <w:rPr>
          <w:rFonts w:ascii="Arial" w:hAnsi="Arial" w:cs="Arial"/>
          <w:sz w:val="20"/>
          <w:szCs w:val="20"/>
          <w:lang w:val="en-US"/>
        </w:rPr>
        <w:t xml:space="preserve"> on insulin resistance, inflammation, and atherosclerosis. Endocrinol </w:t>
      </w:r>
      <w:proofErr w:type="spellStart"/>
      <w:r w:rsidRPr="006A19D1">
        <w:rPr>
          <w:rFonts w:ascii="Arial" w:hAnsi="Arial" w:cs="Arial"/>
          <w:sz w:val="20"/>
          <w:szCs w:val="20"/>
          <w:lang w:val="en-US"/>
        </w:rPr>
        <w:t>Metab</w:t>
      </w:r>
      <w:proofErr w:type="spellEnd"/>
      <w:r w:rsidRPr="006A19D1">
        <w:rPr>
          <w:rFonts w:ascii="Arial" w:hAnsi="Arial" w:cs="Arial"/>
          <w:sz w:val="20"/>
          <w:szCs w:val="20"/>
          <w:lang w:val="en-US"/>
        </w:rPr>
        <w:t xml:space="preserve"> (Seoul). 2016;31(1):1–6.</w:t>
      </w:r>
    </w:p>
    <w:p w14:paraId="6F8C8017"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lastRenderedPageBreak/>
        <w:t xml:space="preserve">Lee BC, Lee J. 2014 Cellular and molecular players in adipose tissue inflammation in the development of obesity-induced insulin resistance. </w:t>
      </w:r>
      <w:proofErr w:type="spellStart"/>
      <w:r w:rsidRPr="006A19D1">
        <w:rPr>
          <w:rFonts w:ascii="Arial" w:hAnsi="Arial" w:cs="Arial"/>
          <w:sz w:val="20"/>
          <w:szCs w:val="20"/>
          <w:lang w:val="en-US"/>
        </w:rPr>
        <w:t>Biochim</w:t>
      </w:r>
      <w:proofErr w:type="spellEnd"/>
      <w:r w:rsidRPr="006A19D1">
        <w:rPr>
          <w:rFonts w:ascii="Arial" w:hAnsi="Arial" w:cs="Arial"/>
          <w:sz w:val="20"/>
          <w:szCs w:val="20"/>
          <w:lang w:val="en-US"/>
        </w:rPr>
        <w:t xml:space="preserve"> </w:t>
      </w:r>
      <w:proofErr w:type="spellStart"/>
      <w:r w:rsidRPr="006A19D1">
        <w:rPr>
          <w:rFonts w:ascii="Arial" w:hAnsi="Arial" w:cs="Arial"/>
          <w:sz w:val="20"/>
          <w:szCs w:val="20"/>
          <w:lang w:val="en-US"/>
        </w:rPr>
        <w:t>Biophys</w:t>
      </w:r>
      <w:proofErr w:type="spellEnd"/>
      <w:r w:rsidRPr="006A19D1">
        <w:rPr>
          <w:rFonts w:ascii="Arial" w:hAnsi="Arial" w:cs="Arial"/>
          <w:sz w:val="20"/>
          <w:szCs w:val="20"/>
          <w:lang w:val="en-US"/>
        </w:rPr>
        <w:t xml:space="preserve"> Acta. 2014; 1842(3):446–62.</w:t>
      </w:r>
    </w:p>
    <w:p w14:paraId="7C1AD57B" w14:textId="77777777" w:rsidR="006A19D1" w:rsidRPr="006A19D1" w:rsidRDefault="006A19D1" w:rsidP="006A19D1">
      <w:pPr>
        <w:spacing w:line="276" w:lineRule="auto"/>
        <w:ind w:left="720" w:right="-1"/>
        <w:jc w:val="both"/>
        <w:rPr>
          <w:rFonts w:ascii="Arial" w:hAnsi="Arial" w:cs="Arial"/>
          <w:sz w:val="20"/>
          <w:szCs w:val="20"/>
          <w:lang w:val="en-US"/>
        </w:rPr>
      </w:pPr>
      <w:proofErr w:type="spellStart"/>
      <w:r w:rsidRPr="006A19D1">
        <w:rPr>
          <w:rFonts w:ascii="Arial" w:hAnsi="Arial" w:cs="Arial"/>
          <w:sz w:val="20"/>
          <w:szCs w:val="20"/>
          <w:lang w:val="en-US"/>
        </w:rPr>
        <w:t>Wensveen</w:t>
      </w:r>
      <w:proofErr w:type="spellEnd"/>
      <w:r w:rsidRPr="006A19D1">
        <w:rPr>
          <w:rFonts w:ascii="Arial" w:hAnsi="Arial" w:cs="Arial"/>
          <w:sz w:val="20"/>
          <w:szCs w:val="20"/>
          <w:lang w:val="en-US"/>
        </w:rPr>
        <w:t xml:space="preserve"> FM, </w:t>
      </w:r>
      <w:proofErr w:type="spellStart"/>
      <w:r w:rsidRPr="006A19D1">
        <w:rPr>
          <w:rFonts w:ascii="Arial" w:hAnsi="Arial" w:cs="Arial"/>
          <w:sz w:val="20"/>
          <w:szCs w:val="20"/>
          <w:lang w:val="en-US"/>
        </w:rPr>
        <w:t>Valentić</w:t>
      </w:r>
      <w:proofErr w:type="spellEnd"/>
      <w:r w:rsidRPr="006A19D1">
        <w:rPr>
          <w:rFonts w:ascii="Arial" w:hAnsi="Arial" w:cs="Arial"/>
          <w:sz w:val="20"/>
          <w:szCs w:val="20"/>
          <w:lang w:val="en-US"/>
        </w:rPr>
        <w:t xml:space="preserve"> S, </w:t>
      </w:r>
      <w:proofErr w:type="spellStart"/>
      <w:r w:rsidRPr="006A19D1">
        <w:rPr>
          <w:rFonts w:ascii="Arial" w:hAnsi="Arial" w:cs="Arial"/>
          <w:sz w:val="20"/>
          <w:szCs w:val="20"/>
          <w:lang w:val="en-US"/>
        </w:rPr>
        <w:t>Šestan</w:t>
      </w:r>
      <w:proofErr w:type="spellEnd"/>
      <w:r w:rsidRPr="006A19D1">
        <w:rPr>
          <w:rFonts w:ascii="Arial" w:hAnsi="Arial" w:cs="Arial"/>
          <w:sz w:val="20"/>
          <w:szCs w:val="20"/>
          <w:lang w:val="en-US"/>
        </w:rPr>
        <w:t xml:space="preserve"> M, Turk </w:t>
      </w:r>
      <w:proofErr w:type="spellStart"/>
      <w:r w:rsidRPr="006A19D1">
        <w:rPr>
          <w:rFonts w:ascii="Arial" w:hAnsi="Arial" w:cs="Arial"/>
          <w:sz w:val="20"/>
          <w:szCs w:val="20"/>
          <w:lang w:val="en-US"/>
        </w:rPr>
        <w:t>Wensveen</w:t>
      </w:r>
      <w:proofErr w:type="spellEnd"/>
      <w:r w:rsidRPr="006A19D1">
        <w:rPr>
          <w:rFonts w:ascii="Arial" w:hAnsi="Arial" w:cs="Arial"/>
          <w:sz w:val="20"/>
          <w:szCs w:val="20"/>
          <w:lang w:val="en-US"/>
        </w:rPr>
        <w:t xml:space="preserve"> T, </w:t>
      </w:r>
      <w:proofErr w:type="spellStart"/>
      <w:r w:rsidRPr="006A19D1">
        <w:rPr>
          <w:rFonts w:ascii="Arial" w:hAnsi="Arial" w:cs="Arial"/>
          <w:sz w:val="20"/>
          <w:szCs w:val="20"/>
          <w:lang w:val="en-US"/>
        </w:rPr>
        <w:t>Polić</w:t>
      </w:r>
      <w:proofErr w:type="spellEnd"/>
      <w:r w:rsidRPr="006A19D1">
        <w:rPr>
          <w:rFonts w:ascii="Arial" w:hAnsi="Arial" w:cs="Arial"/>
          <w:sz w:val="20"/>
          <w:szCs w:val="20"/>
          <w:lang w:val="en-US"/>
        </w:rPr>
        <w:t xml:space="preserve"> B. 2015 The “Big Bang” in obese fat: events initiating obesity-induced adipose tissue inflammation. Eur J Immunol. 2015;45(9):2446–56.</w:t>
      </w:r>
    </w:p>
    <w:p w14:paraId="2C7CDBE0"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Shamsi KS, et al. 2018 Association of TNF-α with insulin resistance in insulin-treated diabetic patients. J Diabetes </w:t>
      </w:r>
      <w:proofErr w:type="spellStart"/>
      <w:r w:rsidRPr="006A19D1">
        <w:rPr>
          <w:rFonts w:ascii="Arial" w:hAnsi="Arial" w:cs="Arial"/>
          <w:sz w:val="20"/>
          <w:szCs w:val="20"/>
          <w:lang w:val="en-US"/>
        </w:rPr>
        <w:t>Metab</w:t>
      </w:r>
      <w:proofErr w:type="spellEnd"/>
      <w:r w:rsidRPr="006A19D1">
        <w:rPr>
          <w:rFonts w:ascii="Arial" w:hAnsi="Arial" w:cs="Arial"/>
          <w:sz w:val="20"/>
          <w:szCs w:val="20"/>
          <w:lang w:val="en-US"/>
        </w:rPr>
        <w:t>. 2018;9(2):1000781.</w:t>
      </w:r>
    </w:p>
    <w:p w14:paraId="4D0BF485"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Sajid M, et al. 2018 Role of tumor necrosis factor-alpha in the development of insulin resistance and pathogenesis of type 2 diabetes mellitus. J Diabetes </w:t>
      </w:r>
      <w:proofErr w:type="spellStart"/>
      <w:r w:rsidRPr="006A19D1">
        <w:rPr>
          <w:rFonts w:ascii="Arial" w:hAnsi="Arial" w:cs="Arial"/>
          <w:sz w:val="20"/>
          <w:szCs w:val="20"/>
          <w:lang w:val="en-US"/>
        </w:rPr>
        <w:t>Metab</w:t>
      </w:r>
      <w:proofErr w:type="spellEnd"/>
      <w:r w:rsidRPr="006A19D1">
        <w:rPr>
          <w:rFonts w:ascii="Arial" w:hAnsi="Arial" w:cs="Arial"/>
          <w:sz w:val="20"/>
          <w:szCs w:val="20"/>
          <w:lang w:val="en-US"/>
        </w:rPr>
        <w:t xml:space="preserve"> </w:t>
      </w:r>
      <w:proofErr w:type="spellStart"/>
      <w:r w:rsidRPr="006A19D1">
        <w:rPr>
          <w:rFonts w:ascii="Arial" w:hAnsi="Arial" w:cs="Arial"/>
          <w:sz w:val="20"/>
          <w:szCs w:val="20"/>
          <w:lang w:val="en-US"/>
        </w:rPr>
        <w:t>Disord</w:t>
      </w:r>
      <w:proofErr w:type="spellEnd"/>
      <w:r w:rsidRPr="006A19D1">
        <w:rPr>
          <w:rFonts w:ascii="Arial" w:hAnsi="Arial" w:cs="Arial"/>
          <w:sz w:val="20"/>
          <w:szCs w:val="20"/>
          <w:lang w:val="en-US"/>
        </w:rPr>
        <w:t>. 2018;17(2):1–6.</w:t>
      </w:r>
    </w:p>
    <w:p w14:paraId="5EB06B7B"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Swaroop JJ, </w:t>
      </w:r>
      <w:proofErr w:type="spellStart"/>
      <w:r w:rsidRPr="006A19D1">
        <w:rPr>
          <w:rFonts w:ascii="Arial" w:hAnsi="Arial" w:cs="Arial"/>
          <w:sz w:val="20"/>
          <w:szCs w:val="20"/>
          <w:lang w:val="en-US"/>
        </w:rPr>
        <w:t>Rajarajeswari</w:t>
      </w:r>
      <w:proofErr w:type="spellEnd"/>
      <w:r w:rsidRPr="006A19D1">
        <w:rPr>
          <w:rFonts w:ascii="Arial" w:hAnsi="Arial" w:cs="Arial"/>
          <w:sz w:val="20"/>
          <w:szCs w:val="20"/>
          <w:lang w:val="en-US"/>
        </w:rPr>
        <w:t xml:space="preserve"> D, Naidu JN. 2012 Association of TNF-α with insulin resistance in type 2 diabetes mellitus. Indian J Med Res. </w:t>
      </w:r>
      <w:proofErr w:type="gramStart"/>
      <w:r w:rsidRPr="006A19D1">
        <w:rPr>
          <w:rFonts w:ascii="Arial" w:hAnsi="Arial" w:cs="Arial"/>
          <w:sz w:val="20"/>
          <w:szCs w:val="20"/>
          <w:lang w:val="en-US"/>
        </w:rPr>
        <w:t>2012;135:127</w:t>
      </w:r>
      <w:proofErr w:type="gramEnd"/>
      <w:r w:rsidRPr="006A19D1">
        <w:rPr>
          <w:rFonts w:ascii="Arial" w:hAnsi="Arial" w:cs="Arial"/>
          <w:sz w:val="20"/>
          <w:szCs w:val="20"/>
          <w:lang w:val="en-US"/>
        </w:rPr>
        <w:t>–30.</w:t>
      </w:r>
    </w:p>
    <w:p w14:paraId="31182D5E"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Jeon JY, et al. 2018 Circulating adiponectin levels and their association with insulin resistance in type 2 diabetes patients. Diabetes </w:t>
      </w:r>
      <w:proofErr w:type="spellStart"/>
      <w:r w:rsidRPr="006A19D1">
        <w:rPr>
          <w:rFonts w:ascii="Arial" w:hAnsi="Arial" w:cs="Arial"/>
          <w:sz w:val="20"/>
          <w:szCs w:val="20"/>
          <w:lang w:val="en-US"/>
        </w:rPr>
        <w:t>Metab</w:t>
      </w:r>
      <w:proofErr w:type="spellEnd"/>
      <w:r w:rsidRPr="006A19D1">
        <w:rPr>
          <w:rFonts w:ascii="Arial" w:hAnsi="Arial" w:cs="Arial"/>
          <w:sz w:val="20"/>
          <w:szCs w:val="20"/>
          <w:lang w:val="en-US"/>
        </w:rPr>
        <w:t xml:space="preserve"> J. 2018;42(5):431–8.</w:t>
      </w:r>
    </w:p>
    <w:p w14:paraId="07914745"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Liu C, Feng X, Li Q, Wang Y, Li Q, Hua M. 2016 Adiponectin, TNF-α, and inflammatory cytokines and risk of type 2 diabetes: a systematic review and meta-analysis. Sci Rep. </w:t>
      </w:r>
      <w:proofErr w:type="gramStart"/>
      <w:r w:rsidRPr="006A19D1">
        <w:rPr>
          <w:rFonts w:ascii="Arial" w:hAnsi="Arial" w:cs="Arial"/>
          <w:sz w:val="20"/>
          <w:szCs w:val="20"/>
          <w:lang w:val="en-US"/>
        </w:rPr>
        <w:t>2016;6:31982</w:t>
      </w:r>
      <w:proofErr w:type="gramEnd"/>
      <w:r w:rsidRPr="006A19D1">
        <w:rPr>
          <w:rFonts w:ascii="Arial" w:hAnsi="Arial" w:cs="Arial"/>
          <w:sz w:val="20"/>
          <w:szCs w:val="20"/>
          <w:lang w:val="en-US"/>
        </w:rPr>
        <w:t>.</w:t>
      </w:r>
    </w:p>
    <w:p w14:paraId="6B67C68E"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Matthews DR, </w:t>
      </w:r>
      <w:proofErr w:type="spellStart"/>
      <w:r w:rsidRPr="006A19D1">
        <w:rPr>
          <w:rFonts w:ascii="Arial" w:hAnsi="Arial" w:cs="Arial"/>
          <w:sz w:val="20"/>
          <w:szCs w:val="20"/>
          <w:lang w:val="en-US"/>
        </w:rPr>
        <w:t>Hosker</w:t>
      </w:r>
      <w:proofErr w:type="spellEnd"/>
      <w:r w:rsidRPr="006A19D1">
        <w:rPr>
          <w:rFonts w:ascii="Arial" w:hAnsi="Arial" w:cs="Arial"/>
          <w:sz w:val="20"/>
          <w:szCs w:val="20"/>
          <w:lang w:val="en-US"/>
        </w:rPr>
        <w:t xml:space="preserve"> JP, </w:t>
      </w:r>
      <w:proofErr w:type="spellStart"/>
      <w:r w:rsidRPr="006A19D1">
        <w:rPr>
          <w:rFonts w:ascii="Arial" w:hAnsi="Arial" w:cs="Arial"/>
          <w:sz w:val="20"/>
          <w:szCs w:val="20"/>
          <w:lang w:val="en-US"/>
        </w:rPr>
        <w:t>Rudenski</w:t>
      </w:r>
      <w:proofErr w:type="spellEnd"/>
      <w:r w:rsidRPr="006A19D1">
        <w:rPr>
          <w:rFonts w:ascii="Arial" w:hAnsi="Arial" w:cs="Arial"/>
          <w:sz w:val="20"/>
          <w:szCs w:val="20"/>
          <w:lang w:val="en-US"/>
        </w:rPr>
        <w:t xml:space="preserve"> AS, Naylor BA, </w:t>
      </w:r>
      <w:proofErr w:type="spellStart"/>
      <w:r w:rsidRPr="006A19D1">
        <w:rPr>
          <w:rFonts w:ascii="Arial" w:hAnsi="Arial" w:cs="Arial"/>
          <w:sz w:val="20"/>
          <w:szCs w:val="20"/>
          <w:lang w:val="en-US"/>
        </w:rPr>
        <w:t>Treacher</w:t>
      </w:r>
      <w:proofErr w:type="spellEnd"/>
      <w:r w:rsidRPr="006A19D1">
        <w:rPr>
          <w:rFonts w:ascii="Arial" w:hAnsi="Arial" w:cs="Arial"/>
          <w:sz w:val="20"/>
          <w:szCs w:val="20"/>
          <w:lang w:val="en-US"/>
        </w:rPr>
        <w:t xml:space="preserve"> DF, Turner RC. </w:t>
      </w:r>
      <w:proofErr w:type="gramStart"/>
      <w:r w:rsidRPr="006A19D1">
        <w:rPr>
          <w:rFonts w:ascii="Arial" w:hAnsi="Arial" w:cs="Arial"/>
          <w:sz w:val="20"/>
          <w:szCs w:val="20"/>
          <w:lang w:val="en-US"/>
        </w:rPr>
        <w:t>1985  Homeostasis</w:t>
      </w:r>
      <w:proofErr w:type="gramEnd"/>
      <w:r w:rsidRPr="006A19D1">
        <w:rPr>
          <w:rFonts w:ascii="Arial" w:hAnsi="Arial" w:cs="Arial"/>
          <w:sz w:val="20"/>
          <w:szCs w:val="20"/>
          <w:lang w:val="en-US"/>
        </w:rPr>
        <w:t xml:space="preserve"> model assessment: insulin resistance and β-cell function from fasting plasma glucose and insulin concentrations in man. </w:t>
      </w:r>
      <w:proofErr w:type="spellStart"/>
      <w:r w:rsidRPr="006A19D1">
        <w:rPr>
          <w:rFonts w:ascii="Arial" w:hAnsi="Arial" w:cs="Arial"/>
          <w:sz w:val="20"/>
          <w:szCs w:val="20"/>
          <w:lang w:val="en-US"/>
        </w:rPr>
        <w:t>Diabetologia</w:t>
      </w:r>
      <w:proofErr w:type="spellEnd"/>
      <w:r w:rsidRPr="006A19D1">
        <w:rPr>
          <w:rFonts w:ascii="Arial" w:hAnsi="Arial" w:cs="Arial"/>
          <w:sz w:val="20"/>
          <w:szCs w:val="20"/>
          <w:lang w:val="en-US"/>
        </w:rPr>
        <w:t xml:space="preserve">. </w:t>
      </w:r>
      <w:proofErr w:type="gramStart"/>
      <w:r w:rsidRPr="006A19D1">
        <w:rPr>
          <w:rFonts w:ascii="Arial" w:hAnsi="Arial" w:cs="Arial"/>
          <w:sz w:val="20"/>
          <w:szCs w:val="20"/>
          <w:lang w:val="en-US"/>
        </w:rPr>
        <w:t>1985;28:412</w:t>
      </w:r>
      <w:proofErr w:type="gramEnd"/>
      <w:r w:rsidRPr="006A19D1">
        <w:rPr>
          <w:rFonts w:ascii="Arial" w:hAnsi="Arial" w:cs="Arial"/>
          <w:sz w:val="20"/>
          <w:szCs w:val="20"/>
          <w:lang w:val="en-US"/>
        </w:rPr>
        <w:t>–9.</w:t>
      </w:r>
    </w:p>
    <w:p w14:paraId="07392109"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Van </w:t>
      </w:r>
      <w:proofErr w:type="spellStart"/>
      <w:r w:rsidRPr="006A19D1">
        <w:rPr>
          <w:rFonts w:ascii="Arial" w:hAnsi="Arial" w:cs="Arial"/>
          <w:sz w:val="20"/>
          <w:szCs w:val="20"/>
          <w:lang w:val="en-US"/>
        </w:rPr>
        <w:t>Dielen</w:t>
      </w:r>
      <w:proofErr w:type="spellEnd"/>
      <w:r w:rsidRPr="006A19D1">
        <w:rPr>
          <w:rFonts w:ascii="Arial" w:hAnsi="Arial" w:cs="Arial"/>
          <w:sz w:val="20"/>
          <w:szCs w:val="20"/>
          <w:lang w:val="en-US"/>
        </w:rPr>
        <w:t xml:space="preserve"> FMH, </w:t>
      </w:r>
      <w:proofErr w:type="spellStart"/>
      <w:r w:rsidRPr="006A19D1">
        <w:rPr>
          <w:rFonts w:ascii="Arial" w:hAnsi="Arial" w:cs="Arial"/>
          <w:sz w:val="20"/>
          <w:szCs w:val="20"/>
          <w:lang w:val="en-US"/>
        </w:rPr>
        <w:t>Buurman</w:t>
      </w:r>
      <w:proofErr w:type="spellEnd"/>
      <w:r w:rsidRPr="006A19D1">
        <w:rPr>
          <w:rFonts w:ascii="Arial" w:hAnsi="Arial" w:cs="Arial"/>
          <w:sz w:val="20"/>
          <w:szCs w:val="20"/>
          <w:lang w:val="en-US"/>
        </w:rPr>
        <w:t xml:space="preserve"> WA, </w:t>
      </w:r>
      <w:proofErr w:type="spellStart"/>
      <w:r w:rsidRPr="006A19D1">
        <w:rPr>
          <w:rFonts w:ascii="Arial" w:hAnsi="Arial" w:cs="Arial"/>
          <w:sz w:val="20"/>
          <w:szCs w:val="20"/>
          <w:lang w:val="en-US"/>
        </w:rPr>
        <w:t>Hadfoune</w:t>
      </w:r>
      <w:proofErr w:type="spellEnd"/>
      <w:r w:rsidRPr="006A19D1">
        <w:rPr>
          <w:rFonts w:ascii="Arial" w:hAnsi="Arial" w:cs="Arial"/>
          <w:sz w:val="20"/>
          <w:szCs w:val="20"/>
          <w:lang w:val="en-US"/>
        </w:rPr>
        <w:t xml:space="preserve"> M, </w:t>
      </w:r>
      <w:proofErr w:type="spellStart"/>
      <w:r w:rsidRPr="006A19D1">
        <w:rPr>
          <w:rFonts w:ascii="Arial" w:hAnsi="Arial" w:cs="Arial"/>
          <w:sz w:val="20"/>
          <w:szCs w:val="20"/>
          <w:lang w:val="en-US"/>
        </w:rPr>
        <w:t>Nijhuis</w:t>
      </w:r>
      <w:proofErr w:type="spellEnd"/>
      <w:r w:rsidRPr="006A19D1">
        <w:rPr>
          <w:rFonts w:ascii="Arial" w:hAnsi="Arial" w:cs="Arial"/>
          <w:sz w:val="20"/>
          <w:szCs w:val="20"/>
          <w:lang w:val="en-US"/>
        </w:rPr>
        <w:t xml:space="preserve"> J, </w:t>
      </w:r>
      <w:proofErr w:type="spellStart"/>
      <w:r w:rsidRPr="006A19D1">
        <w:rPr>
          <w:rFonts w:ascii="Arial" w:hAnsi="Arial" w:cs="Arial"/>
          <w:sz w:val="20"/>
          <w:szCs w:val="20"/>
          <w:lang w:val="en-US"/>
        </w:rPr>
        <w:t>Greve</w:t>
      </w:r>
      <w:proofErr w:type="spellEnd"/>
      <w:r w:rsidRPr="006A19D1">
        <w:rPr>
          <w:rFonts w:ascii="Arial" w:hAnsi="Arial" w:cs="Arial"/>
          <w:sz w:val="20"/>
          <w:szCs w:val="20"/>
          <w:lang w:val="en-US"/>
        </w:rPr>
        <w:t xml:space="preserve"> JW. 2004 Macrophage inhibitory factor and other inflammatory mediators normalize after weight loss in morbidly obese subjects. J Clin Endocrinol </w:t>
      </w:r>
      <w:proofErr w:type="spellStart"/>
      <w:r w:rsidRPr="006A19D1">
        <w:rPr>
          <w:rFonts w:ascii="Arial" w:hAnsi="Arial" w:cs="Arial"/>
          <w:sz w:val="20"/>
          <w:szCs w:val="20"/>
          <w:lang w:val="en-US"/>
        </w:rPr>
        <w:t>Metab</w:t>
      </w:r>
      <w:proofErr w:type="spellEnd"/>
      <w:r w:rsidRPr="006A19D1">
        <w:rPr>
          <w:rFonts w:ascii="Arial" w:hAnsi="Arial" w:cs="Arial"/>
          <w:sz w:val="20"/>
          <w:szCs w:val="20"/>
          <w:lang w:val="en-US"/>
        </w:rPr>
        <w:t>. 2004;89(8):4062–8.</w:t>
      </w:r>
    </w:p>
    <w:p w14:paraId="35B51C07" w14:textId="77777777" w:rsidR="006A19D1" w:rsidRPr="006A19D1" w:rsidRDefault="006A19D1" w:rsidP="006A19D1">
      <w:pPr>
        <w:spacing w:line="276" w:lineRule="auto"/>
        <w:ind w:left="720" w:right="-1"/>
        <w:jc w:val="both"/>
        <w:rPr>
          <w:rFonts w:ascii="Arial" w:hAnsi="Arial" w:cs="Arial"/>
          <w:sz w:val="20"/>
          <w:szCs w:val="20"/>
          <w:lang w:val="en-US"/>
        </w:rPr>
      </w:pPr>
      <w:proofErr w:type="spellStart"/>
      <w:r w:rsidRPr="006A19D1">
        <w:rPr>
          <w:rFonts w:ascii="Arial" w:hAnsi="Arial" w:cs="Arial"/>
          <w:sz w:val="20"/>
          <w:szCs w:val="20"/>
          <w:lang w:val="en-US"/>
        </w:rPr>
        <w:t>Yudkin</w:t>
      </w:r>
      <w:proofErr w:type="spellEnd"/>
      <w:r w:rsidRPr="006A19D1">
        <w:rPr>
          <w:rFonts w:ascii="Arial" w:hAnsi="Arial" w:cs="Arial"/>
          <w:sz w:val="20"/>
          <w:szCs w:val="20"/>
          <w:lang w:val="en-US"/>
        </w:rPr>
        <w:t xml:space="preserve"> JS, </w:t>
      </w:r>
      <w:proofErr w:type="spellStart"/>
      <w:r w:rsidRPr="006A19D1">
        <w:rPr>
          <w:rFonts w:ascii="Arial" w:hAnsi="Arial" w:cs="Arial"/>
          <w:sz w:val="20"/>
          <w:szCs w:val="20"/>
          <w:lang w:val="en-US"/>
        </w:rPr>
        <w:t>Panahloo</w:t>
      </w:r>
      <w:proofErr w:type="spellEnd"/>
      <w:r w:rsidRPr="006A19D1">
        <w:rPr>
          <w:rFonts w:ascii="Arial" w:hAnsi="Arial" w:cs="Arial"/>
          <w:sz w:val="20"/>
          <w:szCs w:val="20"/>
          <w:lang w:val="en-US"/>
        </w:rPr>
        <w:t xml:space="preserve"> A, </w:t>
      </w:r>
      <w:proofErr w:type="spellStart"/>
      <w:r w:rsidRPr="006A19D1">
        <w:rPr>
          <w:rFonts w:ascii="Arial" w:hAnsi="Arial" w:cs="Arial"/>
          <w:sz w:val="20"/>
          <w:szCs w:val="20"/>
          <w:lang w:val="en-US"/>
        </w:rPr>
        <w:t>Stehouwer</w:t>
      </w:r>
      <w:proofErr w:type="spellEnd"/>
      <w:r w:rsidRPr="006A19D1">
        <w:rPr>
          <w:rFonts w:ascii="Arial" w:hAnsi="Arial" w:cs="Arial"/>
          <w:sz w:val="20"/>
          <w:szCs w:val="20"/>
          <w:lang w:val="en-US"/>
        </w:rPr>
        <w:t xml:space="preserve"> C, </w:t>
      </w:r>
      <w:proofErr w:type="spellStart"/>
      <w:r w:rsidRPr="006A19D1">
        <w:rPr>
          <w:rFonts w:ascii="Arial" w:hAnsi="Arial" w:cs="Arial"/>
          <w:sz w:val="20"/>
          <w:szCs w:val="20"/>
          <w:lang w:val="en-US"/>
        </w:rPr>
        <w:t>Emeis</w:t>
      </w:r>
      <w:proofErr w:type="spellEnd"/>
      <w:r w:rsidRPr="006A19D1">
        <w:rPr>
          <w:rFonts w:ascii="Arial" w:hAnsi="Arial" w:cs="Arial"/>
          <w:sz w:val="20"/>
          <w:szCs w:val="20"/>
          <w:lang w:val="en-US"/>
        </w:rPr>
        <w:t xml:space="preserve"> JJ, Bulmer K, Mohamed-Ali V, et al. 2000 The influence of improved </w:t>
      </w:r>
      <w:proofErr w:type="spellStart"/>
      <w:r w:rsidRPr="006A19D1">
        <w:rPr>
          <w:rFonts w:ascii="Arial" w:hAnsi="Arial" w:cs="Arial"/>
          <w:sz w:val="20"/>
          <w:szCs w:val="20"/>
          <w:lang w:val="en-US"/>
        </w:rPr>
        <w:t>glycaemic</w:t>
      </w:r>
      <w:proofErr w:type="spellEnd"/>
      <w:r w:rsidRPr="006A19D1">
        <w:rPr>
          <w:rFonts w:ascii="Arial" w:hAnsi="Arial" w:cs="Arial"/>
          <w:sz w:val="20"/>
          <w:szCs w:val="20"/>
          <w:lang w:val="en-US"/>
        </w:rPr>
        <w:t xml:space="preserve"> control with insulin and </w:t>
      </w:r>
      <w:proofErr w:type="spellStart"/>
      <w:r w:rsidRPr="006A19D1">
        <w:rPr>
          <w:rFonts w:ascii="Arial" w:hAnsi="Arial" w:cs="Arial"/>
          <w:sz w:val="20"/>
          <w:szCs w:val="20"/>
          <w:lang w:val="en-US"/>
        </w:rPr>
        <w:t>sulphonylureas</w:t>
      </w:r>
      <w:proofErr w:type="spellEnd"/>
      <w:r w:rsidRPr="006A19D1">
        <w:rPr>
          <w:rFonts w:ascii="Arial" w:hAnsi="Arial" w:cs="Arial"/>
          <w:sz w:val="20"/>
          <w:szCs w:val="20"/>
          <w:lang w:val="en-US"/>
        </w:rPr>
        <w:t xml:space="preserve"> on acute phase and endothelial markers in type II diabetic subjects. </w:t>
      </w:r>
      <w:proofErr w:type="spellStart"/>
      <w:r w:rsidRPr="006A19D1">
        <w:rPr>
          <w:rFonts w:ascii="Arial" w:hAnsi="Arial" w:cs="Arial"/>
          <w:sz w:val="20"/>
          <w:szCs w:val="20"/>
          <w:lang w:val="en-US"/>
        </w:rPr>
        <w:t>Diabetologia</w:t>
      </w:r>
      <w:proofErr w:type="spellEnd"/>
      <w:r w:rsidRPr="006A19D1">
        <w:rPr>
          <w:rFonts w:ascii="Arial" w:hAnsi="Arial" w:cs="Arial"/>
          <w:sz w:val="20"/>
          <w:szCs w:val="20"/>
          <w:lang w:val="en-US"/>
        </w:rPr>
        <w:t xml:space="preserve">. </w:t>
      </w:r>
      <w:proofErr w:type="gramStart"/>
      <w:r w:rsidRPr="006A19D1">
        <w:rPr>
          <w:rFonts w:ascii="Arial" w:hAnsi="Arial" w:cs="Arial"/>
          <w:sz w:val="20"/>
          <w:szCs w:val="20"/>
          <w:lang w:val="en-US"/>
        </w:rPr>
        <w:t>2000;43:1099</w:t>
      </w:r>
      <w:proofErr w:type="gramEnd"/>
      <w:r w:rsidRPr="006A19D1">
        <w:rPr>
          <w:rFonts w:ascii="Arial" w:hAnsi="Arial" w:cs="Arial"/>
          <w:sz w:val="20"/>
          <w:szCs w:val="20"/>
          <w:lang w:val="en-US"/>
        </w:rPr>
        <w:t>–106.</w:t>
      </w:r>
    </w:p>
    <w:p w14:paraId="00011682" w14:textId="77777777" w:rsidR="006A19D1" w:rsidRPr="006A19D1" w:rsidRDefault="006A19D1" w:rsidP="006A19D1">
      <w:pPr>
        <w:spacing w:line="276" w:lineRule="auto"/>
        <w:ind w:left="720" w:right="-1"/>
        <w:jc w:val="both"/>
        <w:rPr>
          <w:rFonts w:ascii="Arial" w:hAnsi="Arial" w:cs="Arial"/>
          <w:sz w:val="20"/>
          <w:szCs w:val="20"/>
          <w:lang w:val="en-US"/>
        </w:rPr>
      </w:pPr>
      <w:proofErr w:type="spellStart"/>
      <w:r w:rsidRPr="006A19D1">
        <w:rPr>
          <w:rFonts w:ascii="Arial" w:hAnsi="Arial" w:cs="Arial"/>
          <w:sz w:val="20"/>
          <w:szCs w:val="20"/>
          <w:lang w:val="en-US"/>
        </w:rPr>
        <w:t>Sartipy</w:t>
      </w:r>
      <w:proofErr w:type="spellEnd"/>
      <w:r w:rsidRPr="006A19D1">
        <w:rPr>
          <w:rFonts w:ascii="Arial" w:hAnsi="Arial" w:cs="Arial"/>
          <w:sz w:val="20"/>
          <w:szCs w:val="20"/>
          <w:lang w:val="en-US"/>
        </w:rPr>
        <w:t xml:space="preserve"> P, </w:t>
      </w:r>
      <w:proofErr w:type="spellStart"/>
      <w:r w:rsidRPr="006A19D1">
        <w:rPr>
          <w:rFonts w:ascii="Arial" w:hAnsi="Arial" w:cs="Arial"/>
          <w:sz w:val="20"/>
          <w:szCs w:val="20"/>
          <w:lang w:val="en-US"/>
        </w:rPr>
        <w:t>Loskutoff</w:t>
      </w:r>
      <w:proofErr w:type="spellEnd"/>
      <w:r w:rsidRPr="006A19D1">
        <w:rPr>
          <w:rFonts w:ascii="Arial" w:hAnsi="Arial" w:cs="Arial"/>
          <w:sz w:val="20"/>
          <w:szCs w:val="20"/>
          <w:lang w:val="en-US"/>
        </w:rPr>
        <w:t xml:space="preserve"> DJ. 2003Monocyte chemoattractant protein 1 in obesity and insulin resistance. Proc Natl </w:t>
      </w:r>
      <w:proofErr w:type="spellStart"/>
      <w:r w:rsidRPr="006A19D1">
        <w:rPr>
          <w:rFonts w:ascii="Arial" w:hAnsi="Arial" w:cs="Arial"/>
          <w:sz w:val="20"/>
          <w:szCs w:val="20"/>
          <w:lang w:val="en-US"/>
        </w:rPr>
        <w:t>Acad</w:t>
      </w:r>
      <w:proofErr w:type="spellEnd"/>
      <w:r w:rsidRPr="006A19D1">
        <w:rPr>
          <w:rFonts w:ascii="Arial" w:hAnsi="Arial" w:cs="Arial"/>
          <w:sz w:val="20"/>
          <w:szCs w:val="20"/>
          <w:lang w:val="en-US"/>
        </w:rPr>
        <w:t xml:space="preserve"> Sci USA. 2003;100(12):7265–70.</w:t>
      </w:r>
    </w:p>
    <w:p w14:paraId="44C92429"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Morris AM, et al. 2006 T cell-mediated hepatic inflammation modulates adiponectin levels in mice: role of tumor necrosis factor alpha. Metabolism. 2006;55(4):555–9.</w:t>
      </w:r>
    </w:p>
    <w:p w14:paraId="737D15CE"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Samad F, Yamamoto K, Pandey M, </w:t>
      </w:r>
      <w:proofErr w:type="spellStart"/>
      <w:r w:rsidRPr="006A19D1">
        <w:rPr>
          <w:rFonts w:ascii="Arial" w:hAnsi="Arial" w:cs="Arial"/>
          <w:sz w:val="20"/>
          <w:szCs w:val="20"/>
          <w:lang w:val="en-US"/>
        </w:rPr>
        <w:t>Loskutoff</w:t>
      </w:r>
      <w:proofErr w:type="spellEnd"/>
      <w:r w:rsidRPr="006A19D1">
        <w:rPr>
          <w:rFonts w:ascii="Arial" w:hAnsi="Arial" w:cs="Arial"/>
          <w:sz w:val="20"/>
          <w:szCs w:val="20"/>
          <w:lang w:val="en-US"/>
        </w:rPr>
        <w:t xml:space="preserve"> DJ. 1997 Elevated expression of transforming growth factor-β in adipose tissue from obese mice. Mol Med. 1997;3(1):37–48.</w:t>
      </w:r>
    </w:p>
    <w:p w14:paraId="20BA7088" w14:textId="77777777" w:rsidR="006A19D1" w:rsidRPr="006A19D1" w:rsidRDefault="006A19D1" w:rsidP="006A19D1">
      <w:pPr>
        <w:spacing w:line="276" w:lineRule="auto"/>
        <w:ind w:left="720" w:right="-1"/>
        <w:jc w:val="both"/>
        <w:rPr>
          <w:rFonts w:ascii="Arial" w:hAnsi="Arial" w:cs="Arial"/>
          <w:sz w:val="20"/>
          <w:szCs w:val="20"/>
          <w:lang w:val="en-US"/>
        </w:rPr>
      </w:pPr>
      <w:r w:rsidRPr="006A19D1">
        <w:rPr>
          <w:rFonts w:ascii="Arial" w:hAnsi="Arial" w:cs="Arial"/>
          <w:sz w:val="20"/>
          <w:szCs w:val="20"/>
          <w:lang w:val="en-US"/>
        </w:rPr>
        <w:t xml:space="preserve">Swaroop JJ, </w:t>
      </w:r>
      <w:proofErr w:type="spellStart"/>
      <w:r w:rsidRPr="006A19D1">
        <w:rPr>
          <w:rFonts w:ascii="Arial" w:hAnsi="Arial" w:cs="Arial"/>
          <w:sz w:val="20"/>
          <w:szCs w:val="20"/>
          <w:lang w:val="en-US"/>
        </w:rPr>
        <w:t>Rajarajeswari</w:t>
      </w:r>
      <w:proofErr w:type="spellEnd"/>
      <w:r w:rsidRPr="006A19D1">
        <w:rPr>
          <w:rFonts w:ascii="Arial" w:hAnsi="Arial" w:cs="Arial"/>
          <w:sz w:val="20"/>
          <w:szCs w:val="20"/>
          <w:lang w:val="en-US"/>
        </w:rPr>
        <w:t xml:space="preserve"> D, Naidu JN. 2012 Association of TNF-α with insulin resistance in T2DM patients. Indian J Med Res. </w:t>
      </w:r>
      <w:proofErr w:type="gramStart"/>
      <w:r w:rsidRPr="006A19D1">
        <w:rPr>
          <w:rFonts w:ascii="Arial" w:hAnsi="Arial" w:cs="Arial"/>
          <w:sz w:val="20"/>
          <w:szCs w:val="20"/>
          <w:lang w:val="en-US"/>
        </w:rPr>
        <w:t>2012;135:127</w:t>
      </w:r>
      <w:proofErr w:type="gramEnd"/>
      <w:r w:rsidRPr="006A19D1">
        <w:rPr>
          <w:rFonts w:ascii="Arial" w:hAnsi="Arial" w:cs="Arial"/>
          <w:sz w:val="20"/>
          <w:szCs w:val="20"/>
          <w:lang w:val="en-US"/>
        </w:rPr>
        <w:t>–30.</w:t>
      </w:r>
    </w:p>
    <w:p w14:paraId="2B7BCC14" w14:textId="77777777" w:rsidR="006A19D1" w:rsidRPr="006A19D1" w:rsidRDefault="006A19D1" w:rsidP="006A19D1">
      <w:pPr>
        <w:spacing w:line="276" w:lineRule="auto"/>
        <w:ind w:left="720" w:right="-1"/>
        <w:jc w:val="both"/>
        <w:rPr>
          <w:rFonts w:ascii="Arial" w:hAnsi="Arial" w:cs="Arial"/>
          <w:sz w:val="20"/>
          <w:szCs w:val="20"/>
        </w:rPr>
      </w:pPr>
      <w:proofErr w:type="spellStart"/>
      <w:r w:rsidRPr="006A19D1">
        <w:rPr>
          <w:rFonts w:ascii="Arial" w:hAnsi="Arial" w:cs="Arial"/>
          <w:sz w:val="20"/>
          <w:szCs w:val="20"/>
          <w:highlight w:val="yellow"/>
        </w:rPr>
        <w:t>Emad-Eldin</w:t>
      </w:r>
      <w:proofErr w:type="spellEnd"/>
      <w:r w:rsidRPr="006A19D1">
        <w:rPr>
          <w:rFonts w:ascii="Arial" w:hAnsi="Arial" w:cs="Arial"/>
          <w:sz w:val="20"/>
          <w:szCs w:val="20"/>
          <w:highlight w:val="yellow"/>
        </w:rPr>
        <w:t xml:space="preserve">, M., Balata, G. F., </w:t>
      </w:r>
      <w:proofErr w:type="spellStart"/>
      <w:r w:rsidRPr="006A19D1">
        <w:rPr>
          <w:rFonts w:ascii="Arial" w:hAnsi="Arial" w:cs="Arial"/>
          <w:sz w:val="20"/>
          <w:szCs w:val="20"/>
          <w:highlight w:val="yellow"/>
        </w:rPr>
        <w:t>Elshorbagy</w:t>
      </w:r>
      <w:proofErr w:type="spellEnd"/>
      <w:r w:rsidRPr="006A19D1">
        <w:rPr>
          <w:rFonts w:ascii="Arial" w:hAnsi="Arial" w:cs="Arial"/>
          <w:sz w:val="20"/>
          <w:szCs w:val="20"/>
          <w:highlight w:val="yellow"/>
        </w:rPr>
        <w:t xml:space="preserve">, E. A., Hamed, M. S., &amp; Attia, M. S. (2024). </w:t>
      </w:r>
      <w:proofErr w:type="spellStart"/>
      <w:r w:rsidRPr="006A19D1">
        <w:rPr>
          <w:rFonts w:ascii="Arial" w:hAnsi="Arial" w:cs="Arial"/>
          <w:sz w:val="20"/>
          <w:szCs w:val="20"/>
          <w:highlight w:val="yellow"/>
        </w:rPr>
        <w:t>Insulin</w:t>
      </w:r>
      <w:proofErr w:type="spell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therapy</w:t>
      </w:r>
      <w:proofErr w:type="spellEnd"/>
      <w:r w:rsidRPr="006A19D1">
        <w:rPr>
          <w:rFonts w:ascii="Arial" w:hAnsi="Arial" w:cs="Arial"/>
          <w:sz w:val="20"/>
          <w:szCs w:val="20"/>
          <w:highlight w:val="yellow"/>
        </w:rPr>
        <w:t xml:space="preserve"> in type 2 </w:t>
      </w:r>
      <w:proofErr w:type="spellStart"/>
      <w:proofErr w:type="gramStart"/>
      <w:r w:rsidRPr="006A19D1">
        <w:rPr>
          <w:rFonts w:ascii="Arial" w:hAnsi="Arial" w:cs="Arial"/>
          <w:sz w:val="20"/>
          <w:szCs w:val="20"/>
          <w:highlight w:val="yellow"/>
        </w:rPr>
        <w:t>diabetes</w:t>
      </w:r>
      <w:proofErr w:type="spellEnd"/>
      <w:r w:rsidRPr="006A19D1">
        <w:rPr>
          <w:rFonts w:ascii="Arial" w:hAnsi="Arial" w:cs="Arial"/>
          <w:sz w:val="20"/>
          <w:szCs w:val="20"/>
          <w:highlight w:val="yellow"/>
        </w:rPr>
        <w:t>:</w:t>
      </w:r>
      <w:proofErr w:type="gramEnd"/>
      <w:r w:rsidRPr="006A19D1">
        <w:rPr>
          <w:rFonts w:ascii="Arial" w:hAnsi="Arial" w:cs="Arial"/>
          <w:sz w:val="20"/>
          <w:szCs w:val="20"/>
          <w:highlight w:val="yellow"/>
        </w:rPr>
        <w:t xml:space="preserve"> Insights </w:t>
      </w:r>
      <w:proofErr w:type="spellStart"/>
      <w:r w:rsidRPr="006A19D1">
        <w:rPr>
          <w:rFonts w:ascii="Arial" w:hAnsi="Arial" w:cs="Arial"/>
          <w:sz w:val="20"/>
          <w:szCs w:val="20"/>
          <w:highlight w:val="yellow"/>
        </w:rPr>
        <w:t>into</w:t>
      </w:r>
      <w:proofErr w:type="spell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clinical</w:t>
      </w:r>
      <w:proofErr w:type="spell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efficacy</w:t>
      </w:r>
      <w:proofErr w:type="spellEnd"/>
      <w:r w:rsidRPr="006A19D1">
        <w:rPr>
          <w:rFonts w:ascii="Arial" w:hAnsi="Arial" w:cs="Arial"/>
          <w:sz w:val="20"/>
          <w:szCs w:val="20"/>
          <w:highlight w:val="yellow"/>
        </w:rPr>
        <w:t>, patient-</w:t>
      </w:r>
      <w:proofErr w:type="spellStart"/>
      <w:r w:rsidRPr="006A19D1">
        <w:rPr>
          <w:rFonts w:ascii="Arial" w:hAnsi="Arial" w:cs="Arial"/>
          <w:sz w:val="20"/>
          <w:szCs w:val="20"/>
          <w:highlight w:val="yellow"/>
        </w:rPr>
        <w:t>reported</w:t>
      </w:r>
      <w:proofErr w:type="spell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outcomes</w:t>
      </w:r>
      <w:proofErr w:type="spellEnd"/>
      <w:r w:rsidRPr="006A19D1">
        <w:rPr>
          <w:rFonts w:ascii="Arial" w:hAnsi="Arial" w:cs="Arial"/>
          <w:sz w:val="20"/>
          <w:szCs w:val="20"/>
          <w:highlight w:val="yellow"/>
        </w:rPr>
        <w:t xml:space="preserve">, and </w:t>
      </w:r>
      <w:proofErr w:type="spellStart"/>
      <w:r w:rsidRPr="006A19D1">
        <w:rPr>
          <w:rFonts w:ascii="Arial" w:hAnsi="Arial" w:cs="Arial"/>
          <w:sz w:val="20"/>
          <w:szCs w:val="20"/>
          <w:highlight w:val="yellow"/>
        </w:rPr>
        <w:t>adherence</w:t>
      </w:r>
      <w:proofErr w:type="spellEnd"/>
      <w:r w:rsidRPr="006A19D1">
        <w:rPr>
          <w:rFonts w:ascii="Arial" w:hAnsi="Arial" w:cs="Arial"/>
          <w:sz w:val="20"/>
          <w:szCs w:val="20"/>
          <w:highlight w:val="yellow"/>
        </w:rPr>
        <w:t xml:space="preserve"> challenges. </w:t>
      </w:r>
      <w:r w:rsidRPr="006A19D1">
        <w:rPr>
          <w:rFonts w:ascii="Arial" w:hAnsi="Arial" w:cs="Arial"/>
          <w:i/>
          <w:iCs/>
          <w:sz w:val="20"/>
          <w:szCs w:val="20"/>
          <w:highlight w:val="yellow"/>
        </w:rPr>
        <w:t xml:space="preserve">World Journal of </w:t>
      </w:r>
      <w:proofErr w:type="spellStart"/>
      <w:r w:rsidRPr="006A19D1">
        <w:rPr>
          <w:rFonts w:ascii="Arial" w:hAnsi="Arial" w:cs="Arial"/>
          <w:i/>
          <w:iCs/>
          <w:sz w:val="20"/>
          <w:szCs w:val="20"/>
          <w:highlight w:val="yellow"/>
        </w:rPr>
        <w:t>Diabetes</w:t>
      </w:r>
      <w:proofErr w:type="spellEnd"/>
      <w:r w:rsidRPr="006A19D1">
        <w:rPr>
          <w:rFonts w:ascii="Arial" w:hAnsi="Arial" w:cs="Arial"/>
          <w:sz w:val="20"/>
          <w:szCs w:val="20"/>
          <w:highlight w:val="yellow"/>
        </w:rPr>
        <w:t>, </w:t>
      </w:r>
      <w:r w:rsidRPr="006A19D1">
        <w:rPr>
          <w:rFonts w:ascii="Arial" w:hAnsi="Arial" w:cs="Arial"/>
          <w:i/>
          <w:iCs/>
          <w:sz w:val="20"/>
          <w:szCs w:val="20"/>
          <w:highlight w:val="yellow"/>
        </w:rPr>
        <w:t>15</w:t>
      </w:r>
      <w:r w:rsidRPr="006A19D1">
        <w:rPr>
          <w:rFonts w:ascii="Arial" w:hAnsi="Arial" w:cs="Arial"/>
          <w:sz w:val="20"/>
          <w:szCs w:val="20"/>
          <w:highlight w:val="yellow"/>
        </w:rPr>
        <w:t>(5), 828.</w:t>
      </w:r>
    </w:p>
    <w:p w14:paraId="4750D75C" w14:textId="77777777" w:rsidR="006A19D1" w:rsidRPr="006A19D1" w:rsidRDefault="006A19D1" w:rsidP="006A19D1">
      <w:pPr>
        <w:spacing w:line="276" w:lineRule="auto"/>
        <w:ind w:left="720" w:right="-1"/>
        <w:jc w:val="both"/>
        <w:rPr>
          <w:rFonts w:ascii="Arial" w:hAnsi="Arial" w:cs="Arial"/>
          <w:sz w:val="20"/>
          <w:szCs w:val="20"/>
        </w:rPr>
      </w:pPr>
      <w:proofErr w:type="spellStart"/>
      <w:r w:rsidRPr="006A19D1">
        <w:rPr>
          <w:rFonts w:ascii="Arial" w:hAnsi="Arial" w:cs="Arial"/>
          <w:sz w:val="20"/>
          <w:szCs w:val="20"/>
          <w:highlight w:val="yellow"/>
        </w:rPr>
        <w:t>Gianoli</w:t>
      </w:r>
      <w:proofErr w:type="spellEnd"/>
      <w:r w:rsidRPr="006A19D1">
        <w:rPr>
          <w:rFonts w:ascii="Arial" w:hAnsi="Arial" w:cs="Arial"/>
          <w:sz w:val="20"/>
          <w:szCs w:val="20"/>
          <w:highlight w:val="yellow"/>
        </w:rPr>
        <w:t xml:space="preserve">, S., Tang, J., </w:t>
      </w:r>
      <w:proofErr w:type="spellStart"/>
      <w:r w:rsidRPr="006A19D1">
        <w:rPr>
          <w:rFonts w:ascii="Arial" w:hAnsi="Arial" w:cs="Arial"/>
          <w:sz w:val="20"/>
          <w:szCs w:val="20"/>
          <w:highlight w:val="yellow"/>
        </w:rPr>
        <w:t>Odegard</w:t>
      </w:r>
      <w:proofErr w:type="spellEnd"/>
      <w:r w:rsidRPr="006A19D1">
        <w:rPr>
          <w:rFonts w:ascii="Arial" w:hAnsi="Arial" w:cs="Arial"/>
          <w:sz w:val="20"/>
          <w:szCs w:val="20"/>
          <w:highlight w:val="yellow"/>
        </w:rPr>
        <w:t xml:space="preserve">, K. C., Yuki, K., &amp; </w:t>
      </w:r>
      <w:proofErr w:type="spellStart"/>
      <w:r w:rsidRPr="006A19D1">
        <w:rPr>
          <w:rFonts w:ascii="Arial" w:hAnsi="Arial" w:cs="Arial"/>
          <w:sz w:val="20"/>
          <w:szCs w:val="20"/>
          <w:highlight w:val="yellow"/>
        </w:rPr>
        <w:t>Koutsogiannaki</w:t>
      </w:r>
      <w:proofErr w:type="spellEnd"/>
      <w:r w:rsidRPr="006A19D1">
        <w:rPr>
          <w:rFonts w:ascii="Arial" w:hAnsi="Arial" w:cs="Arial"/>
          <w:sz w:val="20"/>
          <w:szCs w:val="20"/>
          <w:highlight w:val="yellow"/>
        </w:rPr>
        <w:t xml:space="preserve">, S. (2025). </w:t>
      </w:r>
      <w:proofErr w:type="spellStart"/>
      <w:r w:rsidRPr="006A19D1">
        <w:rPr>
          <w:rFonts w:ascii="Arial" w:hAnsi="Arial" w:cs="Arial"/>
          <w:sz w:val="20"/>
          <w:szCs w:val="20"/>
          <w:highlight w:val="yellow"/>
        </w:rPr>
        <w:t>Harnessing</w:t>
      </w:r>
      <w:proofErr w:type="spell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adiponectin</w:t>
      </w:r>
      <w:proofErr w:type="spellEnd"/>
      <w:r w:rsidRPr="006A19D1">
        <w:rPr>
          <w:rFonts w:ascii="Arial" w:hAnsi="Arial" w:cs="Arial"/>
          <w:sz w:val="20"/>
          <w:szCs w:val="20"/>
          <w:highlight w:val="yellow"/>
        </w:rPr>
        <w:t xml:space="preserve"> for </w:t>
      </w:r>
      <w:proofErr w:type="gramStart"/>
      <w:r w:rsidRPr="006A19D1">
        <w:rPr>
          <w:rFonts w:ascii="Arial" w:hAnsi="Arial" w:cs="Arial"/>
          <w:sz w:val="20"/>
          <w:szCs w:val="20"/>
          <w:highlight w:val="yellow"/>
        </w:rPr>
        <w:t>sepsis:</w:t>
      </w:r>
      <w:proofErr w:type="gram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current</w:t>
      </w:r>
      <w:proofErr w:type="spell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knowledge</w:t>
      </w:r>
      <w:proofErr w:type="spell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clinical</w:t>
      </w:r>
      <w:proofErr w:type="spellEnd"/>
      <w:r w:rsidRPr="006A19D1">
        <w:rPr>
          <w:rFonts w:ascii="Arial" w:hAnsi="Arial" w:cs="Arial"/>
          <w:sz w:val="20"/>
          <w:szCs w:val="20"/>
          <w:highlight w:val="yellow"/>
        </w:rPr>
        <w:t xml:space="preserve"> insights and future </w:t>
      </w:r>
      <w:proofErr w:type="spellStart"/>
      <w:r w:rsidRPr="006A19D1">
        <w:rPr>
          <w:rFonts w:ascii="Arial" w:hAnsi="Arial" w:cs="Arial"/>
          <w:sz w:val="20"/>
          <w:szCs w:val="20"/>
          <w:highlight w:val="yellow"/>
        </w:rPr>
        <w:t>therapies</w:t>
      </w:r>
      <w:proofErr w:type="spellEnd"/>
      <w:r w:rsidRPr="006A19D1">
        <w:rPr>
          <w:rFonts w:ascii="Arial" w:hAnsi="Arial" w:cs="Arial"/>
          <w:sz w:val="20"/>
          <w:szCs w:val="20"/>
          <w:highlight w:val="yellow"/>
        </w:rPr>
        <w:t>. </w:t>
      </w:r>
      <w:r w:rsidRPr="006A19D1">
        <w:rPr>
          <w:rFonts w:ascii="Arial" w:hAnsi="Arial" w:cs="Arial"/>
          <w:i/>
          <w:iCs/>
          <w:sz w:val="20"/>
          <w:szCs w:val="20"/>
          <w:highlight w:val="yellow"/>
        </w:rPr>
        <w:t>Critical Care</w:t>
      </w:r>
      <w:r w:rsidRPr="006A19D1">
        <w:rPr>
          <w:rFonts w:ascii="Arial" w:hAnsi="Arial" w:cs="Arial"/>
          <w:sz w:val="20"/>
          <w:szCs w:val="20"/>
          <w:highlight w:val="yellow"/>
        </w:rPr>
        <w:t>, </w:t>
      </w:r>
      <w:r w:rsidRPr="006A19D1">
        <w:rPr>
          <w:rFonts w:ascii="Arial" w:hAnsi="Arial" w:cs="Arial"/>
          <w:i/>
          <w:iCs/>
          <w:sz w:val="20"/>
          <w:szCs w:val="20"/>
          <w:highlight w:val="yellow"/>
        </w:rPr>
        <w:t>29</w:t>
      </w:r>
      <w:r w:rsidRPr="006A19D1">
        <w:rPr>
          <w:rFonts w:ascii="Arial" w:hAnsi="Arial" w:cs="Arial"/>
          <w:sz w:val="20"/>
          <w:szCs w:val="20"/>
          <w:highlight w:val="yellow"/>
        </w:rPr>
        <w:t>(1), 300.</w:t>
      </w:r>
    </w:p>
    <w:p w14:paraId="0362B1D4" w14:textId="77777777" w:rsidR="006A19D1" w:rsidRPr="006A19D1" w:rsidRDefault="006A19D1" w:rsidP="006A19D1">
      <w:pPr>
        <w:spacing w:line="276" w:lineRule="auto"/>
        <w:ind w:left="720" w:right="-1"/>
        <w:jc w:val="both"/>
        <w:rPr>
          <w:rFonts w:ascii="Arial" w:hAnsi="Arial" w:cs="Arial"/>
          <w:sz w:val="20"/>
          <w:szCs w:val="20"/>
        </w:rPr>
      </w:pPr>
      <w:r w:rsidRPr="006A19D1">
        <w:rPr>
          <w:rFonts w:ascii="Arial" w:hAnsi="Arial" w:cs="Arial"/>
          <w:sz w:val="20"/>
          <w:szCs w:val="20"/>
          <w:highlight w:val="yellow"/>
        </w:rPr>
        <w:t xml:space="preserve">Patel, K. P., Sen, D. B., Sen, A. K., </w:t>
      </w:r>
      <w:proofErr w:type="spellStart"/>
      <w:r w:rsidRPr="006A19D1">
        <w:rPr>
          <w:rFonts w:ascii="Arial" w:hAnsi="Arial" w:cs="Arial"/>
          <w:sz w:val="20"/>
          <w:szCs w:val="20"/>
          <w:highlight w:val="yellow"/>
        </w:rPr>
        <w:t>Vaghela</w:t>
      </w:r>
      <w:proofErr w:type="spellEnd"/>
      <w:r w:rsidRPr="006A19D1">
        <w:rPr>
          <w:rFonts w:ascii="Arial" w:hAnsi="Arial" w:cs="Arial"/>
          <w:sz w:val="20"/>
          <w:szCs w:val="20"/>
          <w:highlight w:val="yellow"/>
        </w:rPr>
        <w:t xml:space="preserve">, D., </w:t>
      </w:r>
      <w:proofErr w:type="spellStart"/>
      <w:r w:rsidRPr="006A19D1">
        <w:rPr>
          <w:rFonts w:ascii="Arial" w:hAnsi="Arial" w:cs="Arial"/>
          <w:sz w:val="20"/>
          <w:szCs w:val="20"/>
          <w:highlight w:val="yellow"/>
        </w:rPr>
        <w:t>Balaraman</w:t>
      </w:r>
      <w:proofErr w:type="spellEnd"/>
      <w:r w:rsidRPr="006A19D1">
        <w:rPr>
          <w:rFonts w:ascii="Arial" w:hAnsi="Arial" w:cs="Arial"/>
          <w:sz w:val="20"/>
          <w:szCs w:val="20"/>
          <w:highlight w:val="yellow"/>
        </w:rPr>
        <w:t xml:space="preserve">, R., &amp; </w:t>
      </w:r>
      <w:proofErr w:type="spellStart"/>
      <w:r w:rsidRPr="006A19D1">
        <w:rPr>
          <w:rFonts w:ascii="Arial" w:hAnsi="Arial" w:cs="Arial"/>
          <w:sz w:val="20"/>
          <w:szCs w:val="20"/>
          <w:highlight w:val="yellow"/>
        </w:rPr>
        <w:t>Maheshwari</w:t>
      </w:r>
      <w:proofErr w:type="spellEnd"/>
      <w:r w:rsidRPr="006A19D1">
        <w:rPr>
          <w:rFonts w:ascii="Arial" w:hAnsi="Arial" w:cs="Arial"/>
          <w:sz w:val="20"/>
          <w:szCs w:val="20"/>
          <w:highlight w:val="yellow"/>
        </w:rPr>
        <w:t xml:space="preserve">, R. A. (2021). </w:t>
      </w:r>
      <w:proofErr w:type="spellStart"/>
      <w:r w:rsidRPr="006A19D1">
        <w:rPr>
          <w:rFonts w:ascii="Arial" w:hAnsi="Arial" w:cs="Arial"/>
          <w:sz w:val="20"/>
          <w:szCs w:val="20"/>
          <w:highlight w:val="yellow"/>
        </w:rPr>
        <w:t>Review</w:t>
      </w:r>
      <w:proofErr w:type="spellEnd"/>
      <w:r w:rsidRPr="006A19D1">
        <w:rPr>
          <w:rFonts w:ascii="Arial" w:hAnsi="Arial" w:cs="Arial"/>
          <w:sz w:val="20"/>
          <w:szCs w:val="20"/>
          <w:highlight w:val="yellow"/>
        </w:rPr>
        <w:t xml:space="preserve"> on </w:t>
      </w:r>
      <w:proofErr w:type="spellStart"/>
      <w:proofErr w:type="gramStart"/>
      <w:r w:rsidRPr="006A19D1">
        <w:rPr>
          <w:rFonts w:ascii="Arial" w:hAnsi="Arial" w:cs="Arial"/>
          <w:sz w:val="20"/>
          <w:szCs w:val="20"/>
          <w:highlight w:val="yellow"/>
        </w:rPr>
        <w:t>adiponectin</w:t>
      </w:r>
      <w:proofErr w:type="spellEnd"/>
      <w:r w:rsidRPr="006A19D1">
        <w:rPr>
          <w:rFonts w:ascii="Arial" w:hAnsi="Arial" w:cs="Arial"/>
          <w:sz w:val="20"/>
          <w:szCs w:val="20"/>
          <w:highlight w:val="yellow"/>
        </w:rPr>
        <w:t>:</w:t>
      </w:r>
      <w:proofErr w:type="gramEnd"/>
      <w:r w:rsidRPr="006A19D1">
        <w:rPr>
          <w:rFonts w:ascii="Arial" w:hAnsi="Arial" w:cs="Arial"/>
          <w:sz w:val="20"/>
          <w:szCs w:val="20"/>
          <w:highlight w:val="yellow"/>
        </w:rPr>
        <w:t xml:space="preserve"> A </w:t>
      </w:r>
      <w:proofErr w:type="spellStart"/>
      <w:r w:rsidRPr="006A19D1">
        <w:rPr>
          <w:rFonts w:ascii="Arial" w:hAnsi="Arial" w:cs="Arial"/>
          <w:sz w:val="20"/>
          <w:szCs w:val="20"/>
          <w:highlight w:val="yellow"/>
        </w:rPr>
        <w:t>benevolent</w:t>
      </w:r>
      <w:proofErr w:type="spellEnd"/>
      <w:r w:rsidRPr="006A19D1">
        <w:rPr>
          <w:rFonts w:ascii="Arial" w:hAnsi="Arial" w:cs="Arial"/>
          <w:sz w:val="20"/>
          <w:szCs w:val="20"/>
          <w:highlight w:val="yellow"/>
        </w:rPr>
        <w:t xml:space="preserve"> adipokine. </w:t>
      </w:r>
      <w:r w:rsidRPr="006A19D1">
        <w:rPr>
          <w:rFonts w:ascii="Arial" w:hAnsi="Arial" w:cs="Arial"/>
          <w:i/>
          <w:iCs/>
          <w:sz w:val="20"/>
          <w:szCs w:val="20"/>
          <w:highlight w:val="yellow"/>
        </w:rPr>
        <w:t xml:space="preserve">Journal of Pharmaceutical </w:t>
      </w:r>
      <w:proofErr w:type="spellStart"/>
      <w:r w:rsidRPr="006A19D1">
        <w:rPr>
          <w:rFonts w:ascii="Arial" w:hAnsi="Arial" w:cs="Arial"/>
          <w:i/>
          <w:iCs/>
          <w:sz w:val="20"/>
          <w:szCs w:val="20"/>
          <w:highlight w:val="yellow"/>
        </w:rPr>
        <w:t>Research</w:t>
      </w:r>
      <w:proofErr w:type="spellEnd"/>
      <w:r w:rsidRPr="006A19D1">
        <w:rPr>
          <w:rFonts w:ascii="Arial" w:hAnsi="Arial" w:cs="Arial"/>
          <w:i/>
          <w:iCs/>
          <w:sz w:val="20"/>
          <w:szCs w:val="20"/>
          <w:highlight w:val="yellow"/>
        </w:rPr>
        <w:t xml:space="preserve"> International, 33</w:t>
      </w:r>
      <w:r w:rsidRPr="006A19D1">
        <w:rPr>
          <w:rFonts w:ascii="Arial" w:hAnsi="Arial" w:cs="Arial"/>
          <w:sz w:val="20"/>
          <w:szCs w:val="20"/>
          <w:highlight w:val="yellow"/>
        </w:rPr>
        <w:t>(30A), 25–39.</w:t>
      </w:r>
    </w:p>
    <w:p w14:paraId="7C4CB77A" w14:textId="77777777" w:rsidR="006A19D1" w:rsidRPr="006A19D1" w:rsidRDefault="006A19D1" w:rsidP="006A19D1">
      <w:pPr>
        <w:spacing w:line="276" w:lineRule="auto"/>
        <w:ind w:left="720" w:right="-1"/>
        <w:jc w:val="both"/>
        <w:rPr>
          <w:rFonts w:ascii="Arial" w:hAnsi="Arial" w:cs="Arial"/>
          <w:sz w:val="20"/>
          <w:szCs w:val="20"/>
        </w:rPr>
      </w:pPr>
      <w:r w:rsidRPr="006A19D1">
        <w:rPr>
          <w:rFonts w:ascii="Arial" w:hAnsi="Arial" w:cs="Arial"/>
          <w:sz w:val="20"/>
          <w:szCs w:val="20"/>
          <w:highlight w:val="yellow"/>
        </w:rPr>
        <w:t xml:space="preserve">Yu, K. T., </w:t>
      </w:r>
      <w:proofErr w:type="spellStart"/>
      <w:r w:rsidRPr="006A19D1">
        <w:rPr>
          <w:rFonts w:ascii="Arial" w:hAnsi="Arial" w:cs="Arial"/>
          <w:sz w:val="20"/>
          <w:szCs w:val="20"/>
          <w:highlight w:val="yellow"/>
        </w:rPr>
        <w:t>Myint</w:t>
      </w:r>
      <w:proofErr w:type="spellEnd"/>
      <w:r w:rsidRPr="006A19D1">
        <w:rPr>
          <w:rFonts w:ascii="Arial" w:hAnsi="Arial" w:cs="Arial"/>
          <w:sz w:val="20"/>
          <w:szCs w:val="20"/>
          <w:highlight w:val="yellow"/>
        </w:rPr>
        <w:t xml:space="preserve">, T., &amp; </w:t>
      </w:r>
      <w:proofErr w:type="spellStart"/>
      <w:r w:rsidRPr="006A19D1">
        <w:rPr>
          <w:rFonts w:ascii="Arial" w:hAnsi="Arial" w:cs="Arial"/>
          <w:sz w:val="20"/>
          <w:szCs w:val="20"/>
          <w:highlight w:val="yellow"/>
        </w:rPr>
        <w:t>Latt</w:t>
      </w:r>
      <w:proofErr w:type="spellEnd"/>
      <w:r w:rsidRPr="006A19D1">
        <w:rPr>
          <w:rFonts w:ascii="Arial" w:hAnsi="Arial" w:cs="Arial"/>
          <w:sz w:val="20"/>
          <w:szCs w:val="20"/>
          <w:highlight w:val="yellow"/>
        </w:rPr>
        <w:t xml:space="preserve">, T. S. (2022). Single </w:t>
      </w:r>
      <w:proofErr w:type="spellStart"/>
      <w:r w:rsidRPr="006A19D1">
        <w:rPr>
          <w:rFonts w:ascii="Arial" w:hAnsi="Arial" w:cs="Arial"/>
          <w:sz w:val="20"/>
          <w:szCs w:val="20"/>
          <w:highlight w:val="yellow"/>
        </w:rPr>
        <w:t>nucleotide</w:t>
      </w:r>
      <w:proofErr w:type="spell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polymorphisms</w:t>
      </w:r>
      <w:proofErr w:type="spellEnd"/>
      <w:r w:rsidRPr="006A19D1">
        <w:rPr>
          <w:rFonts w:ascii="Arial" w:hAnsi="Arial" w:cs="Arial"/>
          <w:sz w:val="20"/>
          <w:szCs w:val="20"/>
          <w:highlight w:val="yellow"/>
        </w:rPr>
        <w:t xml:space="preserve"> at +45 T&gt;G and at +276 G&gt;T of the </w:t>
      </w:r>
      <w:proofErr w:type="spellStart"/>
      <w:r w:rsidRPr="006A19D1">
        <w:rPr>
          <w:rFonts w:ascii="Arial" w:hAnsi="Arial" w:cs="Arial"/>
          <w:sz w:val="20"/>
          <w:szCs w:val="20"/>
          <w:highlight w:val="yellow"/>
        </w:rPr>
        <w:t>adiponectin</w:t>
      </w:r>
      <w:proofErr w:type="spell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gene</w:t>
      </w:r>
      <w:proofErr w:type="spellEnd"/>
      <w:r w:rsidRPr="006A19D1">
        <w:rPr>
          <w:rFonts w:ascii="Arial" w:hAnsi="Arial" w:cs="Arial"/>
          <w:sz w:val="20"/>
          <w:szCs w:val="20"/>
          <w:highlight w:val="yellow"/>
        </w:rPr>
        <w:t xml:space="preserve"> and plasma </w:t>
      </w:r>
      <w:proofErr w:type="spellStart"/>
      <w:r w:rsidRPr="006A19D1">
        <w:rPr>
          <w:rFonts w:ascii="Arial" w:hAnsi="Arial" w:cs="Arial"/>
          <w:sz w:val="20"/>
          <w:szCs w:val="20"/>
          <w:highlight w:val="yellow"/>
        </w:rPr>
        <w:t>adiponectin</w:t>
      </w:r>
      <w:proofErr w:type="spellEnd"/>
      <w:r w:rsidRPr="006A19D1">
        <w:rPr>
          <w:rFonts w:ascii="Arial" w:hAnsi="Arial" w:cs="Arial"/>
          <w:sz w:val="20"/>
          <w:szCs w:val="20"/>
          <w:highlight w:val="yellow"/>
        </w:rPr>
        <w:t xml:space="preserve"> </w:t>
      </w:r>
      <w:proofErr w:type="spellStart"/>
      <w:r w:rsidRPr="006A19D1">
        <w:rPr>
          <w:rFonts w:ascii="Arial" w:hAnsi="Arial" w:cs="Arial"/>
          <w:sz w:val="20"/>
          <w:szCs w:val="20"/>
          <w:highlight w:val="yellow"/>
        </w:rPr>
        <w:t>level</w:t>
      </w:r>
      <w:proofErr w:type="spellEnd"/>
      <w:r w:rsidRPr="006A19D1">
        <w:rPr>
          <w:rFonts w:ascii="Arial" w:hAnsi="Arial" w:cs="Arial"/>
          <w:sz w:val="20"/>
          <w:szCs w:val="20"/>
          <w:highlight w:val="yellow"/>
        </w:rPr>
        <w:t xml:space="preserve"> in Myanmar type 2 </w:t>
      </w:r>
      <w:proofErr w:type="spellStart"/>
      <w:r w:rsidRPr="006A19D1">
        <w:rPr>
          <w:rFonts w:ascii="Arial" w:hAnsi="Arial" w:cs="Arial"/>
          <w:sz w:val="20"/>
          <w:szCs w:val="20"/>
          <w:highlight w:val="yellow"/>
        </w:rPr>
        <w:t>diabetic</w:t>
      </w:r>
      <w:proofErr w:type="spellEnd"/>
      <w:r w:rsidRPr="006A19D1">
        <w:rPr>
          <w:rFonts w:ascii="Arial" w:hAnsi="Arial" w:cs="Arial"/>
          <w:sz w:val="20"/>
          <w:szCs w:val="20"/>
          <w:highlight w:val="yellow"/>
        </w:rPr>
        <w:t xml:space="preserve"> patients. </w:t>
      </w:r>
      <w:r w:rsidRPr="006A19D1">
        <w:rPr>
          <w:rFonts w:ascii="Arial" w:hAnsi="Arial" w:cs="Arial"/>
          <w:i/>
          <w:iCs/>
          <w:sz w:val="20"/>
          <w:szCs w:val="20"/>
          <w:highlight w:val="yellow"/>
        </w:rPr>
        <w:t xml:space="preserve">Asian Journal of </w:t>
      </w:r>
      <w:proofErr w:type="spellStart"/>
      <w:r w:rsidRPr="006A19D1">
        <w:rPr>
          <w:rFonts w:ascii="Arial" w:hAnsi="Arial" w:cs="Arial"/>
          <w:i/>
          <w:iCs/>
          <w:sz w:val="20"/>
          <w:szCs w:val="20"/>
          <w:highlight w:val="yellow"/>
        </w:rPr>
        <w:t>Biochemistry</w:t>
      </w:r>
      <w:proofErr w:type="spellEnd"/>
      <w:r w:rsidRPr="006A19D1">
        <w:rPr>
          <w:rFonts w:ascii="Arial" w:hAnsi="Arial" w:cs="Arial"/>
          <w:i/>
          <w:iCs/>
          <w:sz w:val="20"/>
          <w:szCs w:val="20"/>
          <w:highlight w:val="yellow"/>
        </w:rPr>
        <w:t xml:space="preserve">, </w:t>
      </w:r>
      <w:proofErr w:type="spellStart"/>
      <w:r w:rsidRPr="006A19D1">
        <w:rPr>
          <w:rFonts w:ascii="Arial" w:hAnsi="Arial" w:cs="Arial"/>
          <w:i/>
          <w:iCs/>
          <w:sz w:val="20"/>
          <w:szCs w:val="20"/>
          <w:highlight w:val="yellow"/>
        </w:rPr>
        <w:t>Genetics</w:t>
      </w:r>
      <w:proofErr w:type="spellEnd"/>
      <w:r w:rsidRPr="006A19D1">
        <w:rPr>
          <w:rFonts w:ascii="Arial" w:hAnsi="Arial" w:cs="Arial"/>
          <w:i/>
          <w:iCs/>
          <w:sz w:val="20"/>
          <w:szCs w:val="20"/>
          <w:highlight w:val="yellow"/>
        </w:rPr>
        <w:t xml:space="preserve"> and </w:t>
      </w:r>
      <w:proofErr w:type="spellStart"/>
      <w:r w:rsidRPr="006A19D1">
        <w:rPr>
          <w:rFonts w:ascii="Arial" w:hAnsi="Arial" w:cs="Arial"/>
          <w:i/>
          <w:iCs/>
          <w:sz w:val="20"/>
          <w:szCs w:val="20"/>
          <w:highlight w:val="yellow"/>
        </w:rPr>
        <w:t>Molecular</w:t>
      </w:r>
      <w:proofErr w:type="spellEnd"/>
      <w:r w:rsidRPr="006A19D1">
        <w:rPr>
          <w:rFonts w:ascii="Arial" w:hAnsi="Arial" w:cs="Arial"/>
          <w:i/>
          <w:iCs/>
          <w:sz w:val="20"/>
          <w:szCs w:val="20"/>
          <w:highlight w:val="yellow"/>
        </w:rPr>
        <w:t xml:space="preserve"> </w:t>
      </w:r>
      <w:proofErr w:type="spellStart"/>
      <w:r w:rsidRPr="006A19D1">
        <w:rPr>
          <w:rFonts w:ascii="Arial" w:hAnsi="Arial" w:cs="Arial"/>
          <w:i/>
          <w:iCs/>
          <w:sz w:val="20"/>
          <w:szCs w:val="20"/>
          <w:highlight w:val="yellow"/>
        </w:rPr>
        <w:t>Biology</w:t>
      </w:r>
      <w:proofErr w:type="spellEnd"/>
      <w:r w:rsidRPr="006A19D1">
        <w:rPr>
          <w:rFonts w:ascii="Arial" w:hAnsi="Arial" w:cs="Arial"/>
          <w:i/>
          <w:iCs/>
          <w:sz w:val="20"/>
          <w:szCs w:val="20"/>
          <w:highlight w:val="yellow"/>
        </w:rPr>
        <w:t>, 10</w:t>
      </w:r>
      <w:r w:rsidRPr="006A19D1">
        <w:rPr>
          <w:rFonts w:ascii="Arial" w:hAnsi="Arial" w:cs="Arial"/>
          <w:sz w:val="20"/>
          <w:szCs w:val="20"/>
          <w:highlight w:val="yellow"/>
        </w:rPr>
        <w:t>(3), 23–32.</w:t>
      </w:r>
    </w:p>
    <w:p w14:paraId="6A7495CF" w14:textId="77777777" w:rsidR="00592808" w:rsidRPr="0076392E" w:rsidRDefault="00592808" w:rsidP="006E7355">
      <w:pPr>
        <w:rPr>
          <w:rFonts w:ascii="Arial" w:hAnsi="Arial" w:cs="Arial"/>
          <w:sz w:val="20"/>
          <w:szCs w:val="20"/>
        </w:rPr>
      </w:pPr>
    </w:p>
    <w:sectPr w:rsidR="00592808" w:rsidRPr="0076392E" w:rsidSect="00FF48EA">
      <w:type w:val="continuous"/>
      <w:pgSz w:w="11906" w:h="16838"/>
      <w:pgMar w:top="1417" w:right="849" w:bottom="1417" w:left="1417" w:header="708" w:footer="708"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915A0" w14:textId="77777777" w:rsidR="00BC3399" w:rsidRDefault="00BC3399" w:rsidP="00B024B6">
      <w:pPr>
        <w:spacing w:after="0" w:line="240" w:lineRule="auto"/>
      </w:pPr>
      <w:r>
        <w:separator/>
      </w:r>
    </w:p>
  </w:endnote>
  <w:endnote w:type="continuationSeparator" w:id="0">
    <w:p w14:paraId="55EA8243" w14:textId="77777777" w:rsidR="00BC3399" w:rsidRDefault="00BC3399" w:rsidP="00B0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B0C6" w14:textId="77777777" w:rsidR="004E0A71" w:rsidRDefault="004E0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2D30" w14:textId="77777777" w:rsidR="004E0A71" w:rsidRDefault="004E0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518B" w14:textId="77777777" w:rsidR="004E0A71" w:rsidRDefault="004E0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CCAB4" w14:textId="77777777" w:rsidR="00BC3399" w:rsidRDefault="00BC3399" w:rsidP="00B024B6">
      <w:pPr>
        <w:spacing w:after="0" w:line="240" w:lineRule="auto"/>
      </w:pPr>
      <w:r>
        <w:separator/>
      </w:r>
    </w:p>
  </w:footnote>
  <w:footnote w:type="continuationSeparator" w:id="0">
    <w:p w14:paraId="2855D97F" w14:textId="77777777" w:rsidR="00BC3399" w:rsidRDefault="00BC3399" w:rsidP="00B02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ED20" w14:textId="23264DC8" w:rsidR="004E0A71" w:rsidRDefault="00BC3399">
    <w:pPr>
      <w:pStyle w:val="Header"/>
    </w:pPr>
    <w:r>
      <w:rPr>
        <w:noProof/>
      </w:rPr>
      <w:pict w14:anchorId="4E90C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467282" o:spid="_x0000_s2050" type="#_x0000_t136" style="position:absolute;margin-left:0;margin-top:0;width:572.25pt;height:107.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9404" w14:textId="43B2F995" w:rsidR="004E0A71" w:rsidRDefault="00BC3399">
    <w:pPr>
      <w:pStyle w:val="Header"/>
    </w:pPr>
    <w:r>
      <w:rPr>
        <w:noProof/>
      </w:rPr>
      <w:pict w14:anchorId="6148D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467283" o:spid="_x0000_s2051" type="#_x0000_t136" style="position:absolute;margin-left:0;margin-top:0;width:572.25pt;height:107.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AF9A" w14:textId="5F836064" w:rsidR="004E0A71" w:rsidRDefault="00BC3399">
    <w:pPr>
      <w:pStyle w:val="Header"/>
    </w:pPr>
    <w:r>
      <w:rPr>
        <w:noProof/>
      </w:rPr>
      <w:pict w14:anchorId="21F56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467281" o:spid="_x0000_s2049" type="#_x0000_t136" style="position:absolute;margin-left:0;margin-top:0;width:572.25pt;height:107.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2DA"/>
    <w:multiLevelType w:val="hybridMultilevel"/>
    <w:tmpl w:val="6C0470D6"/>
    <w:lvl w:ilvl="0" w:tplc="6C4C1B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80443"/>
    <w:multiLevelType w:val="hybridMultilevel"/>
    <w:tmpl w:val="84B454CE"/>
    <w:lvl w:ilvl="0" w:tplc="096A7B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04E56"/>
    <w:multiLevelType w:val="hybridMultilevel"/>
    <w:tmpl w:val="C576C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95EA2"/>
    <w:multiLevelType w:val="hybridMultilevel"/>
    <w:tmpl w:val="8DFA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F5DFC"/>
    <w:multiLevelType w:val="hybridMultilevel"/>
    <w:tmpl w:val="0C80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D72A9"/>
    <w:multiLevelType w:val="hybridMultilevel"/>
    <w:tmpl w:val="49825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74484"/>
    <w:multiLevelType w:val="multilevel"/>
    <w:tmpl w:val="93E8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931F13"/>
    <w:multiLevelType w:val="multilevel"/>
    <w:tmpl w:val="9786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FC1DB1"/>
    <w:multiLevelType w:val="hybridMultilevel"/>
    <w:tmpl w:val="80A02018"/>
    <w:lvl w:ilvl="0" w:tplc="473671C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3E160D"/>
    <w:multiLevelType w:val="hybridMultilevel"/>
    <w:tmpl w:val="5F9A0A8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7679B2"/>
    <w:multiLevelType w:val="hybridMultilevel"/>
    <w:tmpl w:val="1F30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1B51C4"/>
    <w:multiLevelType w:val="hybridMultilevel"/>
    <w:tmpl w:val="2CFC4FD6"/>
    <w:lvl w:ilvl="0" w:tplc="FC3E75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21FFF"/>
    <w:multiLevelType w:val="hybridMultilevel"/>
    <w:tmpl w:val="FE127C2A"/>
    <w:lvl w:ilvl="0" w:tplc="E23A89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10"/>
  </w:num>
  <w:num w:numId="5">
    <w:abstractNumId w:val="4"/>
  </w:num>
  <w:num w:numId="6">
    <w:abstractNumId w:val="5"/>
  </w:num>
  <w:num w:numId="7">
    <w:abstractNumId w:val="2"/>
  </w:num>
  <w:num w:numId="8">
    <w:abstractNumId w:val="9"/>
  </w:num>
  <w:num w:numId="9">
    <w:abstractNumId w:val="12"/>
  </w:num>
  <w:num w:numId="10">
    <w:abstractNumId w:val="8"/>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MTcwMTexMLE0tTBT0lEKTi0uzszPAykwqwUAECdgbSwAAAA="/>
  </w:docVars>
  <w:rsids>
    <w:rsidRoot w:val="0098729E"/>
    <w:rsid w:val="0000248E"/>
    <w:rsid w:val="00002BC2"/>
    <w:rsid w:val="00023602"/>
    <w:rsid w:val="000407A8"/>
    <w:rsid w:val="000932A0"/>
    <w:rsid w:val="000A5BA0"/>
    <w:rsid w:val="000A6AED"/>
    <w:rsid w:val="000B04A6"/>
    <w:rsid w:val="000C457E"/>
    <w:rsid w:val="000F63B7"/>
    <w:rsid w:val="001008CC"/>
    <w:rsid w:val="00153978"/>
    <w:rsid w:val="00154065"/>
    <w:rsid w:val="001965A6"/>
    <w:rsid w:val="00197FA7"/>
    <w:rsid w:val="001C6A43"/>
    <w:rsid w:val="001E5C98"/>
    <w:rsid w:val="001E6EF0"/>
    <w:rsid w:val="001E70DD"/>
    <w:rsid w:val="00201463"/>
    <w:rsid w:val="00213B0F"/>
    <w:rsid w:val="00216BA9"/>
    <w:rsid w:val="00230B49"/>
    <w:rsid w:val="002575F2"/>
    <w:rsid w:val="00270132"/>
    <w:rsid w:val="002922F7"/>
    <w:rsid w:val="002B0355"/>
    <w:rsid w:val="002C21CF"/>
    <w:rsid w:val="00322104"/>
    <w:rsid w:val="00335346"/>
    <w:rsid w:val="00347FC7"/>
    <w:rsid w:val="00375BDC"/>
    <w:rsid w:val="00393A83"/>
    <w:rsid w:val="00396109"/>
    <w:rsid w:val="003C5714"/>
    <w:rsid w:val="003D34A3"/>
    <w:rsid w:val="003D5E65"/>
    <w:rsid w:val="00416919"/>
    <w:rsid w:val="00417602"/>
    <w:rsid w:val="00430DD3"/>
    <w:rsid w:val="004444A1"/>
    <w:rsid w:val="00456FA1"/>
    <w:rsid w:val="004A15A7"/>
    <w:rsid w:val="004B2F05"/>
    <w:rsid w:val="004B603B"/>
    <w:rsid w:val="004C28FF"/>
    <w:rsid w:val="004D0E14"/>
    <w:rsid w:val="004E0A71"/>
    <w:rsid w:val="0050186F"/>
    <w:rsid w:val="00501D21"/>
    <w:rsid w:val="00511688"/>
    <w:rsid w:val="005203E2"/>
    <w:rsid w:val="00533AB8"/>
    <w:rsid w:val="005365EA"/>
    <w:rsid w:val="005600CF"/>
    <w:rsid w:val="00563540"/>
    <w:rsid w:val="005638F1"/>
    <w:rsid w:val="00575647"/>
    <w:rsid w:val="00576E65"/>
    <w:rsid w:val="00577620"/>
    <w:rsid w:val="00585281"/>
    <w:rsid w:val="00590315"/>
    <w:rsid w:val="00592808"/>
    <w:rsid w:val="005A16C0"/>
    <w:rsid w:val="005C24F6"/>
    <w:rsid w:val="005D1EBD"/>
    <w:rsid w:val="005F783E"/>
    <w:rsid w:val="006142A3"/>
    <w:rsid w:val="00665040"/>
    <w:rsid w:val="00672054"/>
    <w:rsid w:val="00681FD5"/>
    <w:rsid w:val="00684E64"/>
    <w:rsid w:val="0068619C"/>
    <w:rsid w:val="006A19D1"/>
    <w:rsid w:val="006B01A4"/>
    <w:rsid w:val="006C0B57"/>
    <w:rsid w:val="006E7355"/>
    <w:rsid w:val="00704D72"/>
    <w:rsid w:val="0072107F"/>
    <w:rsid w:val="00737E49"/>
    <w:rsid w:val="0075161B"/>
    <w:rsid w:val="00757315"/>
    <w:rsid w:val="0076392E"/>
    <w:rsid w:val="00776631"/>
    <w:rsid w:val="00795D18"/>
    <w:rsid w:val="007A2733"/>
    <w:rsid w:val="007D2C32"/>
    <w:rsid w:val="007D4131"/>
    <w:rsid w:val="007D661F"/>
    <w:rsid w:val="007E0D52"/>
    <w:rsid w:val="00811745"/>
    <w:rsid w:val="008205F9"/>
    <w:rsid w:val="00837603"/>
    <w:rsid w:val="00843B9F"/>
    <w:rsid w:val="00866D34"/>
    <w:rsid w:val="00884D33"/>
    <w:rsid w:val="008A1805"/>
    <w:rsid w:val="008B3F4E"/>
    <w:rsid w:val="00944DE1"/>
    <w:rsid w:val="00976988"/>
    <w:rsid w:val="0098729E"/>
    <w:rsid w:val="0099683E"/>
    <w:rsid w:val="009F7D0A"/>
    <w:rsid w:val="00A21511"/>
    <w:rsid w:val="00A309DB"/>
    <w:rsid w:val="00A429A1"/>
    <w:rsid w:val="00A560A2"/>
    <w:rsid w:val="00A701C7"/>
    <w:rsid w:val="00A84343"/>
    <w:rsid w:val="00A90589"/>
    <w:rsid w:val="00A9631A"/>
    <w:rsid w:val="00AB1B12"/>
    <w:rsid w:val="00AF4543"/>
    <w:rsid w:val="00B024B6"/>
    <w:rsid w:val="00B02979"/>
    <w:rsid w:val="00B030C6"/>
    <w:rsid w:val="00B06590"/>
    <w:rsid w:val="00B12B87"/>
    <w:rsid w:val="00B20F1F"/>
    <w:rsid w:val="00B25200"/>
    <w:rsid w:val="00B450B6"/>
    <w:rsid w:val="00B87448"/>
    <w:rsid w:val="00BB2EA2"/>
    <w:rsid w:val="00BC3399"/>
    <w:rsid w:val="00BF1F9E"/>
    <w:rsid w:val="00C1527F"/>
    <w:rsid w:val="00C249B2"/>
    <w:rsid w:val="00C54B3E"/>
    <w:rsid w:val="00C621E5"/>
    <w:rsid w:val="00C651F1"/>
    <w:rsid w:val="00CA0852"/>
    <w:rsid w:val="00CB6DDD"/>
    <w:rsid w:val="00CC11E2"/>
    <w:rsid w:val="00CC1620"/>
    <w:rsid w:val="00CC5D6C"/>
    <w:rsid w:val="00CE7442"/>
    <w:rsid w:val="00CF485C"/>
    <w:rsid w:val="00D50564"/>
    <w:rsid w:val="00D90F28"/>
    <w:rsid w:val="00D90F50"/>
    <w:rsid w:val="00D959DF"/>
    <w:rsid w:val="00DF20D6"/>
    <w:rsid w:val="00DF5699"/>
    <w:rsid w:val="00DF7FE3"/>
    <w:rsid w:val="00E04922"/>
    <w:rsid w:val="00E14265"/>
    <w:rsid w:val="00E1734D"/>
    <w:rsid w:val="00E47D52"/>
    <w:rsid w:val="00E553B5"/>
    <w:rsid w:val="00E60782"/>
    <w:rsid w:val="00E7444D"/>
    <w:rsid w:val="00E77CA0"/>
    <w:rsid w:val="00E83F55"/>
    <w:rsid w:val="00EB7DB5"/>
    <w:rsid w:val="00F24074"/>
    <w:rsid w:val="00F32621"/>
    <w:rsid w:val="00F3767D"/>
    <w:rsid w:val="00F43913"/>
    <w:rsid w:val="00F75C80"/>
    <w:rsid w:val="00F9161C"/>
    <w:rsid w:val="00FC3D7C"/>
    <w:rsid w:val="00FD2DC2"/>
    <w:rsid w:val="00FE1659"/>
    <w:rsid w:val="00FE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13EB13"/>
  <w15:docId w15:val="{77823B0D-A74D-43E3-B169-23845119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B9F"/>
    <w:pPr>
      <w:spacing w:after="160" w:line="259" w:lineRule="auto"/>
    </w:pPr>
    <w:rPr>
      <w:lang w:val="fr-FR"/>
    </w:rPr>
  </w:style>
  <w:style w:type="paragraph" w:styleId="Heading2">
    <w:name w:val="heading 2"/>
    <w:basedOn w:val="Normal"/>
    <w:next w:val="Normal"/>
    <w:link w:val="Heading2Char"/>
    <w:uiPriority w:val="9"/>
    <w:unhideWhenUsed/>
    <w:qFormat/>
    <w:rsid w:val="009872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729E"/>
    <w:rPr>
      <w:rFonts w:asciiTheme="majorHAnsi" w:eastAsiaTheme="majorEastAsia" w:hAnsiTheme="majorHAnsi" w:cstheme="majorBidi"/>
      <w:b/>
      <w:bCs/>
      <w:color w:val="4F81BD" w:themeColor="accent1"/>
      <w:sz w:val="26"/>
      <w:szCs w:val="26"/>
      <w:lang w:val="fr-FR"/>
    </w:rPr>
  </w:style>
  <w:style w:type="paragraph" w:styleId="Caption">
    <w:name w:val="caption"/>
    <w:basedOn w:val="Normal"/>
    <w:next w:val="Normal"/>
    <w:uiPriority w:val="35"/>
    <w:unhideWhenUsed/>
    <w:qFormat/>
    <w:rsid w:val="0098729E"/>
    <w:pPr>
      <w:spacing w:after="200" w:line="240" w:lineRule="auto"/>
    </w:pPr>
    <w:rPr>
      <w:i/>
      <w:iCs/>
      <w:color w:val="1F497D" w:themeColor="text2"/>
      <w:sz w:val="18"/>
      <w:szCs w:val="18"/>
    </w:rPr>
  </w:style>
  <w:style w:type="character" w:styleId="Hyperlink">
    <w:name w:val="Hyperlink"/>
    <w:basedOn w:val="DefaultParagraphFont"/>
    <w:uiPriority w:val="99"/>
    <w:unhideWhenUsed/>
    <w:rsid w:val="0098729E"/>
    <w:rPr>
      <w:color w:val="0000FF" w:themeColor="hyperlink"/>
      <w:u w:val="single"/>
    </w:rPr>
  </w:style>
  <w:style w:type="table" w:customStyle="1" w:styleId="TableauGrille5Fonc1">
    <w:name w:val="Tableau Grille 5 Foncé1"/>
    <w:basedOn w:val="TableNormal"/>
    <w:uiPriority w:val="50"/>
    <w:rsid w:val="0098729E"/>
    <w:pPr>
      <w:spacing w:after="0" w:line="240" w:lineRule="auto"/>
    </w:pPr>
    <w:rPr>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odyText">
    <w:name w:val="Body Text"/>
    <w:basedOn w:val="Normal"/>
    <w:link w:val="BodyTextChar"/>
    <w:uiPriority w:val="1"/>
    <w:qFormat/>
    <w:rsid w:val="0098729E"/>
    <w:pPr>
      <w:widowControl w:val="0"/>
      <w:autoSpaceDE w:val="0"/>
      <w:autoSpaceDN w:val="0"/>
      <w:adjustRightInd w:val="0"/>
      <w:spacing w:after="0" w:line="240" w:lineRule="auto"/>
      <w:ind w:left="540"/>
    </w:pPr>
    <w:rPr>
      <w:rFonts w:ascii="Times New Roman" w:eastAsiaTheme="minorEastAsia" w:hAnsi="Times New Roman" w:cs="Times New Roman"/>
      <w:sz w:val="20"/>
      <w:szCs w:val="20"/>
      <w:lang w:eastAsia="fr-FR"/>
    </w:rPr>
  </w:style>
  <w:style w:type="character" w:customStyle="1" w:styleId="BodyTextChar">
    <w:name w:val="Body Text Char"/>
    <w:basedOn w:val="DefaultParagraphFont"/>
    <w:link w:val="BodyText"/>
    <w:uiPriority w:val="99"/>
    <w:rsid w:val="0098729E"/>
    <w:rPr>
      <w:rFonts w:ascii="Times New Roman" w:eastAsiaTheme="minorEastAsia" w:hAnsi="Times New Roman" w:cs="Times New Roman"/>
      <w:sz w:val="20"/>
      <w:szCs w:val="20"/>
      <w:lang w:val="fr-FR" w:eastAsia="fr-FR"/>
    </w:rPr>
  </w:style>
  <w:style w:type="paragraph" w:styleId="NormalWeb">
    <w:name w:val="Normal (Web)"/>
    <w:basedOn w:val="Normal"/>
    <w:uiPriority w:val="99"/>
    <w:unhideWhenUsed/>
    <w:rsid w:val="009872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987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29E"/>
    <w:rPr>
      <w:rFonts w:ascii="Tahoma" w:hAnsi="Tahoma" w:cs="Tahoma"/>
      <w:sz w:val="16"/>
      <w:szCs w:val="16"/>
      <w:lang w:val="fr-FR"/>
    </w:rPr>
  </w:style>
  <w:style w:type="character" w:customStyle="1" w:styleId="y2iqfc">
    <w:name w:val="y2iqfc"/>
    <w:basedOn w:val="DefaultParagraphFont"/>
    <w:rsid w:val="00E7444D"/>
  </w:style>
  <w:style w:type="paragraph" w:styleId="HTMLPreformatted">
    <w:name w:val="HTML Preformatted"/>
    <w:basedOn w:val="Normal"/>
    <w:link w:val="HTMLPreformattedChar"/>
    <w:uiPriority w:val="99"/>
    <w:semiHidden/>
    <w:unhideWhenUsed/>
    <w:rsid w:val="00776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776631"/>
    <w:rPr>
      <w:rFonts w:ascii="Courier New" w:eastAsia="Times New Roman" w:hAnsi="Courier New" w:cs="Courier New"/>
      <w:sz w:val="20"/>
      <w:szCs w:val="20"/>
      <w:lang w:val="fr-FR" w:eastAsia="fr-FR"/>
    </w:rPr>
  </w:style>
  <w:style w:type="table" w:customStyle="1" w:styleId="PlainTable21">
    <w:name w:val="Plain Table 21"/>
    <w:basedOn w:val="TableNormal"/>
    <w:uiPriority w:val="42"/>
    <w:rsid w:val="00A560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A560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17602"/>
    <w:pPr>
      <w:ind w:left="720"/>
      <w:contextualSpacing/>
    </w:pPr>
  </w:style>
  <w:style w:type="paragraph" w:styleId="Header">
    <w:name w:val="header"/>
    <w:basedOn w:val="Normal"/>
    <w:link w:val="HeaderChar"/>
    <w:uiPriority w:val="99"/>
    <w:unhideWhenUsed/>
    <w:rsid w:val="00B02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4B6"/>
    <w:rPr>
      <w:lang w:val="fr-FR"/>
    </w:rPr>
  </w:style>
  <w:style w:type="paragraph" w:styleId="Footer">
    <w:name w:val="footer"/>
    <w:basedOn w:val="Normal"/>
    <w:link w:val="FooterChar"/>
    <w:uiPriority w:val="99"/>
    <w:unhideWhenUsed/>
    <w:rsid w:val="00B02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4B6"/>
    <w:rPr>
      <w:lang w:val="fr-FR"/>
    </w:rPr>
  </w:style>
  <w:style w:type="paragraph" w:customStyle="1" w:styleId="AcknHead">
    <w:name w:val="Ackn Head"/>
    <w:basedOn w:val="Normal"/>
    <w:rsid w:val="00B024B6"/>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CF485C"/>
    <w:pPr>
      <w:keepNext/>
      <w:spacing w:after="240" w:line="240" w:lineRule="auto"/>
    </w:pPr>
    <w:rPr>
      <w:rFonts w:ascii="Helvetica" w:eastAsia="Times New Roman" w:hAnsi="Helvetica" w:cs="Times New Roman"/>
      <w:b/>
      <w:caps/>
      <w:szCs w:val="20"/>
      <w:lang w:val="en-US"/>
    </w:rPr>
  </w:style>
  <w:style w:type="paragraph" w:styleId="NoSpacing">
    <w:name w:val="No Spacing"/>
    <w:uiPriority w:val="1"/>
    <w:qFormat/>
    <w:rsid w:val="00FC3D7C"/>
    <w:pPr>
      <w:spacing w:after="0" w:line="240" w:lineRule="auto"/>
    </w:pPr>
    <w:rPr>
      <w:lang w:val="fr-FR"/>
    </w:rPr>
  </w:style>
  <w:style w:type="character" w:customStyle="1" w:styleId="c4z29wjxl">
    <w:name w:val="c4_z29wjxl"/>
    <w:basedOn w:val="DefaultParagraphFont"/>
    <w:rsid w:val="00E04922"/>
  </w:style>
  <w:style w:type="character" w:customStyle="1" w:styleId="UnresolvedMention1">
    <w:name w:val="Unresolved Mention1"/>
    <w:basedOn w:val="DefaultParagraphFont"/>
    <w:uiPriority w:val="99"/>
    <w:semiHidden/>
    <w:unhideWhenUsed/>
    <w:rsid w:val="001E6EF0"/>
    <w:rPr>
      <w:color w:val="605E5C"/>
      <w:shd w:val="clear" w:color="auto" w:fill="E1DFDD"/>
    </w:rPr>
  </w:style>
  <w:style w:type="paragraph" w:styleId="Revision">
    <w:name w:val="Revision"/>
    <w:hidden/>
    <w:uiPriority w:val="99"/>
    <w:semiHidden/>
    <w:rsid w:val="000B04A6"/>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3023</Words>
  <Characters>17237</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1020</cp:lastModifiedBy>
  <cp:revision>61</cp:revision>
  <dcterms:created xsi:type="dcterms:W3CDTF">2025-10-07T11:28:00Z</dcterms:created>
  <dcterms:modified xsi:type="dcterms:W3CDTF">2025-10-29T12:07:00Z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ad792739-85b9-4152-91ab-c1042dd87e6f</vt:lpwstr>
  </property>
</Properties>
</file>