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rFonts w:ascii="Times New Roman" w:cs="Times New Roman" w:hAnsi="Times New Roman"/>
          <w:sz w:val="24"/>
          <w:szCs w:val="24"/>
        </w:rPr>
      </w:pPr>
    </w:p>
    <w:p>
      <w:pPr>
        <w:pStyle w:val="style179"/>
        <w:jc w:val="center"/>
        <w:rPr>
          <w:rFonts w:ascii="Times New Roman" w:cs="Times New Roman" w:hAnsi="Times New Roman"/>
          <w:b/>
          <w:bCs/>
          <w:sz w:val="24"/>
          <w:szCs w:val="24"/>
        </w:rPr>
      </w:pP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Food</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Safety</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Risks</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and</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Production</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Practices</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of</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Maize</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and</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Cassava</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Farmers</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in</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Delta</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State,</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Nigeria:</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A</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District-Level</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 xml:space="preserve"> </w:t>
      </w:r>
      <w:r>
        <w:rPr>
          <w:rFonts w:ascii="Times New Roman" w:cs="Times New Roman" w:eastAsia="Times New Roman" w:hAnsi="Times New Roman" w:hint="default"/>
          <w:b/>
          <w:bCs/>
          <w:i w:val="false"/>
          <w:iCs w:val="false"/>
          <w:color w:val="auto"/>
          <w:sz w:val="20"/>
          <w:szCs w:val="20"/>
          <w:highlight w:val="none"/>
          <w:vertAlign w:val="baseline"/>
          <w:em w:val="none"/>
          <w:lang w:val="en-GB" w:bidi="ar-SA" w:eastAsia="en-US"/>
        </w:rPr>
        <w:t>Assessment</w:t>
      </w:r>
    </w:p>
    <w:p>
      <w:pPr>
        <w:pStyle w:val="style179"/>
        <w:jc w:val="center"/>
        <w:rPr>
          <w:rFonts w:ascii="Times New Roman" w:cs="Times New Roman" w:hAnsi="Times New Roman"/>
          <w:b/>
          <w:bCs/>
          <w:sz w:val="24"/>
          <w:szCs w:val="24"/>
        </w:rPr>
      </w:pPr>
    </w:p>
    <w:p>
      <w:pPr>
        <w:pStyle w:val="style179"/>
        <w:jc w:val="center"/>
        <w:rPr>
          <w:rFonts w:ascii="Times New Roman" w:cs="Times New Roman" w:hAnsi="Times New Roman"/>
          <w:b/>
          <w:bCs/>
          <w:sz w:val="24"/>
          <w:szCs w:val="24"/>
        </w:rPr>
      </w:pPr>
    </w:p>
    <w:p>
      <w:pPr>
        <w:pStyle w:val="style179"/>
        <w:jc w:val="center"/>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jc w:val="both"/>
        <w:rPr>
          <w:rFonts w:ascii="Times New Roman" w:cs="Times New Roman" w:hAnsi="Times New Roman"/>
          <w:i/>
          <w:iCs/>
          <w:sz w:val="24"/>
          <w:szCs w:val="24"/>
        </w:rPr>
      </w:pPr>
      <w:r>
        <w:rPr>
          <w:rFonts w:ascii="Times New Roman" w:cs="Times New Roman" w:hAnsi="Times New Roman"/>
          <w:i/>
          <w:iCs/>
          <w:sz w:val="24"/>
          <w:szCs w:val="24"/>
        </w:rPr>
        <w:t>Maize (Zea mays L.) and cassava (Manihot esculenta Crantz) are important staple foods and major sources of food security, rural livelihoods, and agro-industrial development in Nigeria. Nevertheless, unsafe production, preservation, and handling practices pose serious food safety risks to public health and economic stability. This study evaluated maize and cassava production practices in Delta State, Nigeria, to determine food safety risks associated with chemical use, labor practices, and post-harvest management. It also examined how farmers’ socio-demographic attributes and access to extension services influence the adoption of Good Agricultural Practices (GAP) and Good Hygienic Practices (GHP). A descriptive cross-sectional survey design was adopted, complemented with field observations and interviews. Data were collected from a sample of 180 maize and cassava farmers across the three senatorial districts of Delta State using a multi-stage sampling procedure. Descriptive statistics, chi-square tests, and logistic regression were used for data analysis. The results revealed that over 70% of the farmers relied on manual systems and used agrochemicals without adequate safety knowledge. Adoption of GAP and GHP was significantly related to education and access to extension services (p &lt; .05). The study concludes that food safety compliance is hindered by poor mechanization, limited extension support, and low awareness levels. Policy interventions should focus on strengthening agricultural extension systems, enforcing regulatory frameworks, and integrating farmer-centered training programs into state-level agricultural policies to enhance food safety and sustainability..</w:t>
      </w:r>
    </w:p>
    <w:p>
      <w:pPr>
        <w:pStyle w:val="style0"/>
        <w:jc w:val="both"/>
        <w:rPr>
          <w:rFonts w:ascii="Times New Roman" w:cs="Times New Roman" w:hAnsi="Times New Roman"/>
          <w:sz w:val="24"/>
          <w:szCs w:val="24"/>
        </w:rPr>
      </w:pPr>
      <w:r>
        <w:rPr>
          <w:rFonts w:ascii="Times New Roman" w:cs="Times New Roman" w:hAnsi="Times New Roman"/>
          <w:b/>
          <w:bCs/>
          <w:sz w:val="24"/>
          <w:szCs w:val="24"/>
        </w:rPr>
        <w:t>Keywords:</w:t>
      </w:r>
      <w:r>
        <w:rPr>
          <w:rFonts w:ascii="Times New Roman" w:cs="Times New Roman" w:hAnsi="Times New Roman"/>
          <w:sz w:val="24"/>
          <w:szCs w:val="24"/>
        </w:rPr>
        <w:t xml:space="preserve"> </w:t>
      </w:r>
      <w:r>
        <w:rPr>
          <w:rFonts w:ascii="Times New Roman" w:cs="Times New Roman" w:hAnsi="Times New Roman"/>
          <w:sz w:val="24"/>
          <w:szCs w:val="24"/>
        </w:rPr>
        <w:t>Maize, cassava, food safety, production practices, Good Agricultural Practices, Delta State, Nigeria</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Introduction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Food safety has emerged as a global concern impacting public health, agricultural productivity, and trade competitiveness, particularly in developing nations such as Nigeria. </w:t>
      </w:r>
      <w:r>
        <w:rPr>
          <w:rFonts w:ascii="Times New Roman" w:cs="Times New Roman" w:hAnsi="Times New Roman"/>
          <w:sz w:val="24"/>
          <w:szCs w:val="24"/>
        </w:rPr>
        <w:t xml:space="preserve">Samuel et al., (2024) indicate that </w:t>
      </w:r>
      <w:r>
        <w:rPr>
          <w:rFonts w:ascii="Times New Roman" w:cs="Times New Roman" w:hAnsi="Times New Roman"/>
          <w:sz w:val="24"/>
          <w:szCs w:val="24"/>
        </w:rPr>
        <w:t>f</w:t>
      </w:r>
      <w:r>
        <w:rPr>
          <w:rFonts w:ascii="Times New Roman" w:cs="Times New Roman" w:hAnsi="Times New Roman"/>
          <w:sz w:val="24"/>
          <w:szCs w:val="24"/>
        </w:rPr>
        <w:t>ood poisoning is mostly a result of insecure production, handling</w:t>
      </w:r>
      <w:r>
        <w:rPr>
          <w:rFonts w:ascii="Times New Roman" w:cs="Times New Roman" w:hAnsi="Times New Roman"/>
          <w:sz w:val="24"/>
          <w:szCs w:val="24"/>
        </w:rPr>
        <w:t>,</w:t>
      </w:r>
      <w:r>
        <w:rPr>
          <w:rFonts w:ascii="Times New Roman" w:cs="Times New Roman" w:hAnsi="Times New Roman"/>
          <w:sz w:val="24"/>
          <w:szCs w:val="24"/>
        </w:rPr>
        <w:t xml:space="preserve"> and processing of foods that compromise the microbiological stability and chemical security of food products. Such practices involve poor use of agrochemicals, poor sanity on harvesting and storage, cross-contamination on processing, and poor temperature control in preservation (Uzoho, 2025). Such breaches of food safety as postulated by Barwant et al., (2025), lead to the increase of pathogenic microorganisms and the concentration of harmful residues, which are a major threat to human health.</w:t>
      </w:r>
      <w:r>
        <w:rPr>
          <w:rFonts w:ascii="Times New Roman" w:cs="Times New Roman" w:hAnsi="Times New Roman"/>
          <w:sz w:val="24"/>
          <w:szCs w:val="24"/>
        </w:rPr>
        <w:t xml:space="preserve"> Beyond immediate public health implications, such as gastrointestinal infections, organ damage, and, in severe cases, mortality; foodborne illnesses also undermine the broader goal of achieving sustainable food security (Qazi and Al-Mhdawi, 2025). </w:t>
      </w:r>
    </w:p>
    <w:p>
      <w:pPr>
        <w:pStyle w:val="style0"/>
        <w:jc w:val="both"/>
        <w:rPr>
          <w:rFonts w:ascii="Times New Roman" w:cs="Times New Roman" w:hAnsi="Times New Roman"/>
          <w:sz w:val="24"/>
          <w:szCs w:val="24"/>
        </w:rPr>
      </w:pPr>
      <w:r>
        <w:rPr>
          <w:rFonts w:ascii="Times New Roman" w:cs="Times New Roman" w:hAnsi="Times New Roman"/>
          <w:sz w:val="24"/>
          <w:szCs w:val="24"/>
        </w:rPr>
        <w:t>Maize (Zea mays L.) and cassava (Manihot esculenta Crantz) are some of the major staples in Nigeria having strategic value in the country based on high cultivation levels, caloric value and income earned to the smallholder farmer in the country (Dankwa et al., 2025). However, most of them are produced in traditional (subsistent) production systems with low levels of mechanization, excessive use of agrochemicals, and poor management of harvests, making them susceptible to food contamination and post-harvest losses (Madzivanzira et al., 2024; Shahbazi et al., 2025).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Nigeria is recognized as the world’s leading producer of cassava, with an average annual output exceeding 60 million metric tons per year, (Osuji et al., 2024) and maize is produced on more than six million hectares with a production volume amounting to about 11 million metric tons/year (Wossen et al., 2023). These crops constitute the backbone of rural livelihoods in Delta State, located within the Niger Delta region, where thousands of households engage in their cultivation, processing, and marketing. </w:t>
      </w:r>
      <w:r>
        <w:rPr>
          <w:rFonts w:ascii="Times New Roman" w:cs="Times New Roman" w:hAnsi="Times New Roman"/>
          <w:sz w:val="24"/>
          <w:szCs w:val="24"/>
        </w:rPr>
        <w:t>The ecological and socio-economic characteristics of the three senatorial districts Delta North, Central, and South vary, and therefore determine their farming structure and the outcomes of food safety. Production processes in the regions, though being of economic significance, are typically inefficient and potentially hazardous due to unusual use of pesticides, improper usage, and exposure to microbial and chemical contaminants (Lebelo et al., 2021; Bokshi et al., 2025).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Poor production practices do not only reduce the quality of food, but also threaten consumer confidence and export potential. The use of fertilizers and pesticides can be excessive or inappropriate, and in such a situation, chemical remnants of the crops, soil erosion, and water contamination can occur (Saha et </w:t>
      </w:r>
      <w:r>
        <w:rPr>
          <w:rFonts w:ascii="Times New Roman" w:cs="Times New Roman" w:hAnsi="Times New Roman"/>
          <w:sz w:val="24"/>
          <w:szCs w:val="24"/>
        </w:rPr>
        <w:t>al .</w:t>
      </w:r>
      <w:r>
        <w:rPr>
          <w:rFonts w:ascii="Times New Roman" w:cs="Times New Roman" w:hAnsi="Times New Roman"/>
          <w:sz w:val="24"/>
          <w:szCs w:val="24"/>
        </w:rPr>
        <w:t>, 2024). Moreover, microbial growth and the development of mycotoxins, especially the aflatoxin contamination have also been associated with local preservation processes such as drying of maize on bare soil and storing the cassava in non-hygienic environments (Oyesigye et al., 2024). Being powerful carcinogens and immunosuppressants, the contaminants cause liver cancer, retarded growth, and other chronic diseases (Fagbohun et al., 2025), which is consistent with the WHO estimates that foodborne diseases lead to approximately 420,000 deaths each year worldwide, with most of the cases reported in sub-Saharan Africa because of weak food safety elements (Joint FAO/WHO Expert Committee on Food Additives). Meeting, 2016).</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Nigeria, the fact that unsafe practices in crop production persisted indicates a systemic nature of the deficiencies affecting the country, such as inaccessibility of agricultural extension services, insufficient farmer training, and ineffective application of regulatory </w:t>
      </w:r>
      <w:r>
        <w:rPr>
          <w:rFonts w:ascii="Times New Roman" w:cs="Times New Roman" w:hAnsi="Times New Roman"/>
          <w:sz w:val="24"/>
          <w:szCs w:val="24"/>
        </w:rPr>
        <w:t>standards(</w:t>
      </w:r>
      <w:r>
        <w:rPr>
          <w:rFonts w:ascii="Times New Roman" w:cs="Times New Roman" w:hAnsi="Times New Roman"/>
          <w:sz w:val="24"/>
          <w:szCs w:val="24"/>
        </w:rPr>
        <w:t xml:space="preserve">Usman, 2024). Research conducted by Kussaga et al., (2014), Ejeh </w:t>
      </w:r>
      <w:r>
        <w:rPr>
          <w:rFonts w:ascii="Times New Roman" w:cs="Times New Roman" w:hAnsi="Times New Roman"/>
          <w:sz w:val="24"/>
          <w:szCs w:val="24"/>
        </w:rPr>
        <w:t>and  Abah</w:t>
      </w:r>
      <w:r>
        <w:rPr>
          <w:rFonts w:ascii="Times New Roman" w:cs="Times New Roman" w:hAnsi="Times New Roman"/>
          <w:sz w:val="24"/>
          <w:szCs w:val="24"/>
        </w:rPr>
        <w:t xml:space="preserve"> (2025) has revealed that due to the lack of awareness of Good Agricultural Practices (GAP) and Good Hygienic Practices (GHP), many of the smallholder farmers have great rates of contamination in both Maize and cassava value chains.</w:t>
      </w:r>
      <w:r>
        <w:rPr>
          <w:rFonts w:ascii="Times New Roman" w:cs="Times New Roman" w:hAnsi="Times New Roman"/>
          <w:sz w:val="24"/>
          <w:szCs w:val="24"/>
        </w:rPr>
        <w:t xml:space="preserve"> </w:t>
      </w:r>
      <w:r>
        <w:rPr>
          <w:rFonts w:ascii="Times New Roman" w:cs="Times New Roman" w:hAnsi="Times New Roman"/>
          <w:sz w:val="24"/>
          <w:szCs w:val="24"/>
        </w:rPr>
        <w:t>Despite the fact that the National Policy on Food Safety and Its Implementation Strategy in Nigeria has given a guideline towards the provision of food safety at the production till consumption, there is a weak implementation of the same at the local level. The problem is also complicated by the lack of infrastructural resources, market informality, and the lack of coordination between agricultural, environmental, and health authorities (Ogwu et al., 2024).</w:t>
      </w:r>
    </w:p>
    <w:p>
      <w:pPr>
        <w:pStyle w:val="style0"/>
        <w:jc w:val="both"/>
        <w:rPr>
          <w:rFonts w:ascii="Times New Roman" w:cs="Times New Roman" w:hAnsi="Times New Roman"/>
          <w:sz w:val="24"/>
          <w:szCs w:val="24"/>
        </w:rPr>
      </w:pPr>
      <w:r>
        <w:rPr>
          <w:rFonts w:ascii="Times New Roman" w:cs="Times New Roman" w:hAnsi="Times New Roman"/>
          <w:sz w:val="24"/>
          <w:szCs w:val="24"/>
        </w:rPr>
        <w:t>The case of Delta State is an excellent chance to observe how the aspects of production, education of farmers, and the institutional encouragement of food safety management intersect. Being one of the states in Nigeria endowed with agriculture, the maize and cassava sectors of Delta State contribute significantly to the food supply in the region and creation of employment. However, the main problems remain to be the improper use of pesticides, manual labor, and post-harvesting care (Oruma et al., 2021). In as much as there is very minimal empirical data on the effect of socio-demographic variables on the compliance of the farmers to safety standards like age, education, gender and access to extension services, the need to understand these relationships is paramount to develop interventions that can lead to sustainable and safe food systems. This is so because agricultural extension services access is central to the sharing of knowledge and behavioral change in the farmers (Arowosegbe et al., 2024). The use of the program that focuses on GAP and GHP has been found to enhance food safety compliance, efficiency, and environmental sustainability (Adebiyi, and Bourquin, 2025). But in Delta State, insufficient staffing, bad funding, and logistic difficulties normally restrict the extension coverage. Therefore, a lot of farmers work according to traditional knowledge and cannot provide consistent or safe production or handling methods (Ezima et al., 2023). This gap in knowledge indicates the necessity to test empirically whether the access to extension and socio-economic factors influence behavior on food safety.</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Empirical research in Africa has shown that education of farmers (as well as their exposure to training programs) is a key predictor of safe pesticide use, protective equipment use, and the use of better storage facilities (Ansah and Skevas, 2024; Bhandari et al., 2025; and Temesgen et al, 2025). More literate farmers are likely to apply innovations that will reduce the risks of contamination and enhance productivity. On the same note, gender relations are also instrumental in shaping the participation of farmers in the training programs and their own involvement in making decisions on the usage of farm inputs and post-harvest management (Lelea et al., 2022). Such socio-demographic interactions enable a comprehensive perspective of food safety risk factors, and help to implement policy interventions.</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It is against this background that the current paper looks at the production activities in maize and cassava in Delta state, and particularly the identification of food safety hazards that occur when using chemicals, manual farming methods, and poor handling practices. It also looks at the socio-demographic characteristics and availability of agricultural extension services to farmers as pertaining to their uptake of GAP and GHP. Combining field surveys, statistical analysis, and the views of stakeholders, the research will make its contribution to the emerging discussion on the topic of sustainable food production and safety governance in Nigeria.</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The specific objectives of the study are the following:</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To assess the maize and cassava production practices and determine possible food safety risks of the practices in the three senatorial districts of Delta State.</w:t>
      </w:r>
    </w:p>
    <w:p>
      <w:pPr>
        <w:pStyle w:val="style179"/>
        <w:numPr>
          <w:ilvl w:val="0"/>
          <w:numId w:val="14"/>
        </w:numPr>
        <w:jc w:val="both"/>
        <w:rPr>
          <w:rFonts w:ascii="Times New Roman" w:cs="Times New Roman" w:hAnsi="Times New Roman"/>
          <w:sz w:val="24"/>
          <w:szCs w:val="24"/>
        </w:rPr>
      </w:pPr>
      <w:r>
        <w:rPr>
          <w:rFonts w:ascii="Times New Roman" w:cs="Times New Roman" w:hAnsi="Times New Roman"/>
          <w:sz w:val="24"/>
          <w:szCs w:val="24"/>
        </w:rPr>
        <w:t>To establish the correlation between socio-demographic factors (age, gender, and education) of farmers and their use of safe production and storage methods.</w:t>
      </w:r>
    </w:p>
    <w:p>
      <w:pPr>
        <w:pStyle w:val="style179"/>
        <w:numPr>
          <w:ilvl w:val="0"/>
          <w:numId w:val="14"/>
        </w:numPr>
        <w:jc w:val="both"/>
        <w:rPr>
          <w:rFonts w:ascii="Times New Roman" w:cs="Times New Roman" w:hAnsi="Times New Roman"/>
          <w:sz w:val="24"/>
          <w:szCs w:val="24"/>
        </w:rPr>
      </w:pPr>
      <w:r>
        <w:rPr>
          <w:rFonts w:ascii="Times New Roman" w:cs="Times New Roman" w:hAnsi="Times New Roman"/>
          <w:sz w:val="24"/>
          <w:szCs w:val="24"/>
        </w:rPr>
        <w:t>To examine how the access of farmers to agricultural extension services and training affects their level of awareness and adoption of the Good Agricultural Practices (GAP) and Good Hygienic Practices (GHP).</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This study is important since it will help provide a gap between empirical evidence and policy implications that will provide a guideline of how the state agricultural and public health agencies can increase their capacity to improve food safety. In addition, it adds to the body of literature by connecting the production-level choices and food safety results in smallholder systems - an important though under-studied aspect of the agricultural development agenda in Nigeria.</w:t>
      </w:r>
    </w:p>
    <w:p>
      <w:pPr>
        <w:pStyle w:val="style0"/>
        <w:jc w:val="both"/>
        <w:rPr>
          <w:rFonts w:ascii="Times New Roman" w:cs="Times New Roman" w:hAnsi="Times New Roman"/>
          <w:sz w:val="24"/>
          <w:szCs w:val="24"/>
        </w:rPr>
      </w:pPr>
      <w:r>
        <w:rPr>
          <w:rFonts w:ascii="Times New Roman" w:cs="Times New Roman" w:hAnsi="Times New Roman"/>
          <w:b/>
          <w:bCs/>
          <w:sz w:val="24"/>
          <w:szCs w:val="24"/>
        </w:rPr>
        <w:t>Methodology</w:t>
      </w:r>
      <w:r>
        <w:rPr>
          <w:rFonts w:ascii="Times New Roman" w:cs="Times New Roman" w:hAnsi="Times New Roman"/>
          <w:sz w:val="24"/>
          <w:szCs w:val="24"/>
        </w:rPr>
        <w:br/>
      </w:r>
      <w:r>
        <w:rPr>
          <w:rFonts w:ascii="Times New Roman" w:cs="Times New Roman" w:hAnsi="Times New Roman"/>
          <w:sz w:val="24"/>
          <w:szCs w:val="24"/>
        </w:rPr>
        <w:t>The present study utilized a cross-sectional survey design, which was descriptive, to investigate production practices and food safety risks in maize and cassava farmers in Delta State, Nigeria. It was regarded as an adequate design since it allowed gathering both quantitative and qualitative data using a representative sample at one point in time and discover the patterns and relations between the socio-demographic traits of farmers, their agricultural activities, and food safety behaviors.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Study Area and Population</w:t>
      </w:r>
    </w:p>
    <w:p>
      <w:pPr>
        <w:pStyle w:val="style0"/>
        <w:jc w:val="both"/>
        <w:rPr>
          <w:rFonts w:ascii="Times New Roman" w:cs="Times New Roman" w:hAnsi="Times New Roman"/>
          <w:sz w:val="24"/>
          <w:szCs w:val="24"/>
        </w:rPr>
      </w:pPr>
      <w:r>
        <w:rPr>
          <w:rFonts w:ascii="Times New Roman" w:cs="Times New Roman" w:hAnsi="Times New Roman"/>
          <w:sz w:val="24"/>
          <w:szCs w:val="24"/>
        </w:rPr>
        <w:t>The study was carried out in Delta State, which is located in the Niger Delta part of the south of Nigeria. The diverse ecological areas of the state include mangrove swamp forests, lowland rainforests, which are used to cultivate intensive maize and cassava. The study population was the total smallholder maize and cassava farmers who were registered under the local cooperative associations in the three senatorial districts: Delta North, Delta Central and Delta South.</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Sampling Procedure and Sample Size.</w:t>
      </w:r>
    </w:p>
    <w:p>
      <w:pPr>
        <w:pStyle w:val="style0"/>
        <w:jc w:val="both"/>
        <w:rPr>
          <w:rFonts w:ascii="Times New Roman" w:cs="Times New Roman" w:hAnsi="Times New Roman"/>
          <w:sz w:val="24"/>
          <w:szCs w:val="24"/>
        </w:rPr>
      </w:pPr>
      <w:r>
        <w:rPr>
          <w:rFonts w:ascii="Times New Roman" w:cs="Times New Roman" w:hAnsi="Times New Roman"/>
          <w:sz w:val="24"/>
          <w:szCs w:val="24"/>
        </w:rPr>
        <w:t>The sampling method employed was multi-stage to make sure that the different ecological and administrative zones were represented. This was done by choosing at random two farming communities in each senatorial district and a total of six communities were picked. The sample size was then purposely chosen and consisted of thirty maize and cassava farmers per community, who were actively involved in production and marketing, and the total number was 180 respondents. This sample size was considered to be sufficient in order to make reliable estimates and statistic generalization.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Data Analysis and Data Collection.</w:t>
      </w:r>
    </w:p>
    <w:p>
      <w:pPr>
        <w:pStyle w:val="style0"/>
        <w:jc w:val="both"/>
        <w:rPr>
          <w:rFonts w:ascii="Times New Roman" w:cs="Times New Roman" w:hAnsi="Times New Roman"/>
          <w:sz w:val="24"/>
          <w:szCs w:val="24"/>
        </w:rPr>
      </w:pPr>
      <w:r>
        <w:rPr>
          <w:rFonts w:ascii="Times New Roman" w:cs="Times New Roman" w:hAnsi="Times New Roman"/>
          <w:sz w:val="24"/>
          <w:szCs w:val="24"/>
        </w:rPr>
        <w:t>Statistical Package of the social Sciences (SPSS) version 26 was used to analyze the quantitative data. The characteristics of respondents and farming practices were summarized using descriptive statistics like frequencies and percentages, and mean. Chi-square test was also used to evaluate the relationship between the socio-demographic variables and food safety practices adoption, logistic regression analysis to determine which factors, education, farm size, and access to extension, predictively influences food safety compliance. Thematic coding and analysis of qualitative data based on interviews was performed on NVivo 12 to triangulate and complement quantitative data.</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Ethical Considerations</w:t>
      </w:r>
    </w:p>
    <w:p>
      <w:pPr>
        <w:pStyle w:val="style0"/>
        <w:jc w:val="both"/>
        <w:rPr>
          <w:rFonts w:ascii="Times New Roman" w:cs="Times New Roman" w:hAnsi="Times New Roman"/>
          <w:sz w:val="24"/>
          <w:szCs w:val="24"/>
        </w:rPr>
      </w:pPr>
      <w:r>
        <w:rPr>
          <w:rFonts w:ascii="Times New Roman" w:cs="Times New Roman" w:hAnsi="Times New Roman"/>
          <w:sz w:val="24"/>
          <w:szCs w:val="24"/>
        </w:rPr>
        <w:t>The institutional review board was the relevant one and gave ethical approval. All the participants were asked to provide informed consent before the collection of data and the study was conducted with its confidentially.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Results</w:t>
      </w:r>
      <w:r>
        <w:rPr>
          <w:rFonts w:ascii="Times New Roman" w:cs="Times New Roman" w:hAnsi="Times New Roman"/>
          <w:b/>
          <w:bCs/>
          <w:sz w:val="24"/>
          <w:szCs w:val="24"/>
        </w:rPr>
        <w:t xml:space="preserve">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Socio-Demographic Characteristics of Respondents</w:t>
      </w:r>
    </w:p>
    <w:p>
      <w:pPr>
        <w:pStyle w:val="style0"/>
        <w:jc w:val="both"/>
        <w:rPr>
          <w:rFonts w:ascii="Times New Roman" w:cs="Times New Roman" w:hAnsi="Times New Roman"/>
          <w:sz w:val="24"/>
          <w:szCs w:val="24"/>
        </w:rPr>
      </w:pPr>
      <w:r>
        <w:rPr>
          <w:rFonts w:ascii="Times New Roman" w:cs="Times New Roman" w:hAnsi="Times New Roman"/>
          <w:sz w:val="24"/>
          <w:szCs w:val="24"/>
        </w:rPr>
        <w:t>A total of 173 valid questionnaires were analyzed. Table 1 summarizes the socio-demographic characteristics of the respondents.</w:t>
      </w:r>
    </w:p>
    <w:p>
      <w:pPr>
        <w:pStyle w:val="style0"/>
        <w:jc w:val="both"/>
        <w:rPr>
          <w:rFonts w:ascii="Times New Roman" w:cs="Times New Roman" w:hAnsi="Times New Roman"/>
          <w:sz w:val="24"/>
          <w:szCs w:val="24"/>
        </w:rPr>
      </w:pPr>
      <w:r>
        <w:rPr>
          <w:rFonts w:ascii="Times New Roman" w:cs="Times New Roman" w:hAnsi="Times New Roman"/>
          <w:b/>
          <w:bCs/>
          <w:sz w:val="24"/>
          <w:szCs w:val="24"/>
        </w:rPr>
        <w:t>Table 1: Socio-Demographic Characteristics of Maize and Cassava Farmers (N = 173)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9"/>
        <w:gridCol w:w="2507"/>
        <w:gridCol w:w="1273"/>
        <w:gridCol w:w="1859"/>
      </w:tblGrid>
      <w:tr>
        <w:trPr>
          <w:tblHeader/>
          <w:tblCellSpacing w:w="15" w:type="dxa"/>
        </w:trPr>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Variable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Category</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Gender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Male</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64.2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Female</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35.8</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Age (years)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21–30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11.0</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31–40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48</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27.7</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41–50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36.4</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Above 50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24.9</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Educational Level</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 formal education</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12.7</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Primary education</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22.5</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Secondary education</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71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41.0</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Tertiary education</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23.8</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Farming Experience (years)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&lt;5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28</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16.2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5–10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32.9</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11–15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29.5</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&gt;15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21.4</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Farm Size (hectares)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&lt;1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26.6</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83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48.0</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&gt;6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8.6</w:t>
            </w:r>
          </w:p>
        </w:tc>
      </w:tr>
    </w:tbl>
    <w:p>
      <w:pPr>
        <w:pStyle w:val="style0"/>
        <w:jc w:val="both"/>
        <w:rPr>
          <w:rFonts w:ascii="Times New Roman" w:cs="Times New Roman" w:hAnsi="Times New Roman"/>
          <w:sz w:val="24"/>
          <w:szCs w:val="24"/>
        </w:rPr>
      </w:pPr>
      <w:r>
        <w:rPr>
          <w:rFonts w:ascii="Times New Roman" w:cs="Times New Roman" w:hAnsi="Times New Roman"/>
          <w:i/>
          <w:iCs/>
          <w:sz w:val="24"/>
          <w:szCs w:val="24"/>
        </w:rPr>
        <w:t>Source: Field Survey, 202</w:t>
      </w:r>
      <w:r>
        <w:rPr>
          <w:rFonts w:ascii="Times New Roman" w:cs="Times New Roman" w:hAnsi="Times New Roman"/>
          <w:i/>
          <w:iCs/>
          <w:sz w:val="24"/>
          <w:szCs w:val="24"/>
        </w:rPr>
        <w:t>4</w:t>
      </w:r>
      <w:r>
        <w:rPr>
          <w:rFonts w:ascii="Times New Roman" w:cs="Times New Roman" w:hAnsi="Times New Roman"/>
          <w:i/>
          <w:iCs/>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The results indicate that the majority of respondents (64.2%) were male, reflecting male dominance in crop production in Delta State. Most farmers (36.4%) were between 41 and 50 years of age, suggesting an aging farming population. Approximately 64.8% of the respondents had at least a secondary education, indicating moderate literacy levels suitable for extension-based training programs. The majority (48.0%) operated farms between one and three hectares, indicating that smallholder farming remains the predominant system.</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Production Practices and Food Safety Risks</w:t>
      </w:r>
    </w:p>
    <w:p>
      <w:pPr>
        <w:pStyle w:val="style0"/>
        <w:jc w:val="both"/>
        <w:rPr>
          <w:rFonts w:ascii="Times New Roman" w:cs="Times New Roman" w:hAnsi="Times New Roman"/>
          <w:sz w:val="24"/>
          <w:szCs w:val="24"/>
        </w:rPr>
      </w:pPr>
      <w:r>
        <w:rPr>
          <w:rFonts w:ascii="Times New Roman" w:cs="Times New Roman" w:hAnsi="Times New Roman"/>
          <w:sz w:val="24"/>
          <w:szCs w:val="24"/>
        </w:rPr>
        <w:t>The study examined key production practices, including fertilizer and pesticide application, irrigation, harvesting, and storage. Results are presented in Table 2.</w:t>
      </w:r>
    </w:p>
    <w:p>
      <w:pPr>
        <w:pStyle w:val="style0"/>
        <w:jc w:val="both"/>
        <w:rPr>
          <w:rFonts w:ascii="Times New Roman" w:cs="Times New Roman" w:hAnsi="Times New Roman"/>
          <w:sz w:val="24"/>
          <w:szCs w:val="24"/>
        </w:rPr>
      </w:pPr>
      <w:r>
        <w:rPr>
          <w:rFonts w:ascii="Times New Roman" w:cs="Times New Roman" w:hAnsi="Times New Roman"/>
          <w:b/>
          <w:bCs/>
          <w:sz w:val="24"/>
          <w:szCs w:val="24"/>
        </w:rPr>
        <w:t>Table 2: Distribution of Respondents by Production Practices and Food Safety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0"/>
        <w:gridCol w:w="1532"/>
        <w:gridCol w:w="1273"/>
        <w:gridCol w:w="1784"/>
      </w:tblGrid>
      <w:tr>
        <w:trPr>
          <w:tblHeader/>
          <w:tblCellSpacing w:w="15" w:type="dxa"/>
        </w:trPr>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Production Practice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Use of inorganic fertilizers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Always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67.6</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Sometimes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22.5</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Rarely/Never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9.8</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Pesticide application without protective gear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Always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92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53.2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Sometimes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28.3</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Rarely/Never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18.5</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Drying maize on bare ground</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Always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108</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62.4</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Sometimes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24.9</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Never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12.7</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Storage in jute or non-aerated sacks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Always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99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57.2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Sometimes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23.7</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Never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19.1</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Use of chemical preservatives post-harvest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Always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26.6</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Sometimes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73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Never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31.2</w:t>
            </w:r>
          </w:p>
        </w:tc>
      </w:tr>
    </w:tbl>
    <w:p>
      <w:pPr>
        <w:pStyle w:val="style0"/>
        <w:jc w:val="both"/>
        <w:rPr>
          <w:rFonts w:ascii="Times New Roman" w:cs="Times New Roman" w:hAnsi="Times New Roman"/>
          <w:sz w:val="24"/>
          <w:szCs w:val="24"/>
        </w:rPr>
      </w:pPr>
      <w:r>
        <w:rPr>
          <w:rFonts w:ascii="Times New Roman" w:cs="Times New Roman" w:hAnsi="Times New Roman"/>
          <w:i/>
          <w:iCs/>
          <w:sz w:val="24"/>
          <w:szCs w:val="24"/>
        </w:rPr>
        <w:t>Source: Field Survey, 202</w:t>
      </w:r>
      <w:r>
        <w:rPr>
          <w:rFonts w:ascii="Times New Roman" w:cs="Times New Roman" w:hAnsi="Times New Roman"/>
          <w:i/>
          <w:iCs/>
          <w:sz w:val="24"/>
          <w:szCs w:val="24"/>
        </w:rPr>
        <w:t>4</w:t>
      </w:r>
      <w:r>
        <w:rPr>
          <w:rFonts w:ascii="Times New Roman" w:cs="Times New Roman" w:hAnsi="Times New Roman"/>
          <w:i/>
          <w:iCs/>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Findings reveal that 67.6% of farmers regularly used inorganic fertilizers, while over half (53.2%) frequently applied pesticides without protective equipment, heightening the risk of chemical exposure and crop contamination. The majority of respondents (62.4%) admitted to drying maize on bare ground, a practice that promotes contamination from dust, pests, and microbes. Similarly, 57.2% stored produce in non-aerated or reused jute sacks, predisposing grains and cassava to fungal growth and spoilage. These results align with prior studies by </w:t>
      </w:r>
      <w:r>
        <w:rPr>
          <w:rFonts w:ascii="Times New Roman" w:cs="Times New Roman" w:hAnsi="Times New Roman"/>
          <w:sz w:val="24"/>
          <w:szCs w:val="24"/>
        </w:rPr>
        <w:t xml:space="preserve">Aworh </w:t>
      </w:r>
      <w:r>
        <w:rPr>
          <w:rFonts w:ascii="Times New Roman" w:cs="Times New Roman" w:hAnsi="Times New Roman"/>
          <w:sz w:val="24"/>
          <w:szCs w:val="24"/>
        </w:rPr>
        <w:t xml:space="preserve">(2021) and </w:t>
      </w:r>
      <w:r>
        <w:rPr>
          <w:rFonts w:ascii="Times New Roman" w:cs="Times New Roman" w:hAnsi="Times New Roman"/>
          <w:sz w:val="24"/>
          <w:szCs w:val="24"/>
        </w:rPr>
        <w:t>Osei-Kwarteng</w:t>
      </w:r>
      <w:r>
        <w:rPr>
          <w:rFonts w:ascii="Times New Roman" w:cs="Times New Roman" w:hAnsi="Times New Roman"/>
          <w:sz w:val="24"/>
          <w:szCs w:val="24"/>
        </w:rPr>
        <w:t xml:space="preserve"> et al. (20</w:t>
      </w:r>
      <w:r>
        <w:rPr>
          <w:rFonts w:ascii="Times New Roman" w:cs="Times New Roman" w:hAnsi="Times New Roman"/>
          <w:sz w:val="24"/>
          <w:szCs w:val="24"/>
        </w:rPr>
        <w:t>24</w:t>
      </w:r>
      <w:r>
        <w:rPr>
          <w:rFonts w:ascii="Times New Roman" w:cs="Times New Roman" w:hAnsi="Times New Roman"/>
          <w:sz w:val="24"/>
          <w:szCs w:val="24"/>
        </w:rPr>
        <w:t>), which identified post-harvest contamination as a key driver of food safety issues in sub-Saharan Africa.</w:t>
      </w:r>
    </w:p>
    <w:p>
      <w:pPr>
        <w:pStyle w:val="style0"/>
        <w:jc w:val="both"/>
        <w:rPr>
          <w:rFonts w:ascii="Times New Roman" w:cs="Times New Roman" w:hAnsi="Times New Roman"/>
          <w:b/>
          <w:bCs/>
          <w:sz w:val="24"/>
          <w:szCs w:val="24"/>
        </w:rPr>
      </w:pPr>
      <w:r>
        <w:rPr>
          <w:rFonts w:ascii="Times New Roman" w:cs="Times New Roman" w:hAnsi="Times New Roman"/>
          <w:sz w:val="24"/>
          <w:szCs w:val="24"/>
        </w:rPr>
        <w:br/>
      </w:r>
      <w:r>
        <w:rPr>
          <w:rFonts w:ascii="Times New Roman" w:cs="Times New Roman" w:hAnsi="Times New Roman"/>
          <w:b/>
          <w:bCs/>
          <w:sz w:val="24"/>
          <w:szCs w:val="24"/>
        </w:rPr>
        <w:t>Access to Agricultural Extension Services</w:t>
      </w:r>
    </w:p>
    <w:p>
      <w:pPr>
        <w:pStyle w:val="style0"/>
        <w:jc w:val="both"/>
        <w:rPr>
          <w:rFonts w:ascii="Times New Roman" w:cs="Times New Roman" w:hAnsi="Times New Roman"/>
          <w:sz w:val="24"/>
          <w:szCs w:val="24"/>
        </w:rPr>
      </w:pPr>
      <w:r>
        <w:rPr>
          <w:rFonts w:ascii="Times New Roman" w:cs="Times New Roman" w:hAnsi="Times New Roman"/>
          <w:sz w:val="24"/>
          <w:szCs w:val="24"/>
        </w:rPr>
        <w:t>Access to agricultural training and extension support was another key variable. Table 3 summarizes respondents' access to information and training on food safety practices.</w:t>
      </w:r>
    </w:p>
    <w:p>
      <w:pPr>
        <w:pStyle w:val="style0"/>
        <w:jc w:val="both"/>
        <w:rPr>
          <w:rFonts w:ascii="Times New Roman" w:cs="Times New Roman" w:hAnsi="Times New Roman"/>
          <w:sz w:val="24"/>
          <w:szCs w:val="24"/>
        </w:rPr>
      </w:pPr>
      <w:r>
        <w:rPr>
          <w:rFonts w:ascii="Times New Roman" w:cs="Times New Roman" w:hAnsi="Times New Roman"/>
          <w:b/>
          <w:bCs/>
          <w:sz w:val="24"/>
          <w:szCs w:val="24"/>
        </w:rPr>
        <w:t>Table 3: Access to Extension Services and Training on Food Safety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9"/>
        <w:gridCol w:w="1273"/>
        <w:gridCol w:w="1859"/>
      </w:tblGrid>
      <w:tr>
        <w:trPr>
          <w:tblHeader/>
          <w:tblCellSpacing w:w="15" w:type="dxa"/>
        </w:trPr>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Access to Extension Services</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Regular contact with extension agents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31.2</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Occasional contact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38.7</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 contact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30.1</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Received training on GAP/GHP</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36.4</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 formal training</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63.6</w:t>
            </w:r>
          </w:p>
        </w:tc>
      </w:tr>
    </w:tbl>
    <w:p>
      <w:pPr>
        <w:pStyle w:val="style0"/>
        <w:jc w:val="both"/>
        <w:rPr>
          <w:rFonts w:ascii="Times New Roman" w:cs="Times New Roman" w:hAnsi="Times New Roman"/>
          <w:sz w:val="24"/>
          <w:szCs w:val="24"/>
        </w:rPr>
      </w:pPr>
      <w:r>
        <w:rPr>
          <w:rFonts w:ascii="Times New Roman" w:cs="Times New Roman" w:hAnsi="Times New Roman"/>
          <w:i/>
          <w:iCs/>
          <w:sz w:val="24"/>
          <w:szCs w:val="24"/>
        </w:rPr>
        <w:t>Source: Field Survey, 202</w:t>
      </w:r>
      <w:r>
        <w:rPr>
          <w:rFonts w:ascii="Times New Roman" w:cs="Times New Roman" w:hAnsi="Times New Roman"/>
          <w:i/>
          <w:iCs/>
          <w:sz w:val="24"/>
          <w:szCs w:val="24"/>
        </w:rPr>
        <w:t>4</w:t>
      </w:r>
      <w:r>
        <w:rPr>
          <w:rFonts w:ascii="Times New Roman" w:cs="Times New Roman" w:hAnsi="Times New Roman"/>
          <w:i/>
          <w:iCs/>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Only 31.2% of farmers had regular contact with extension agents, while 30.1% reported no contact at all. Furthermore, nearly two-thirds (63.6%) had not received any formal training on food safety or hygienic handling. This finding highlights a significant institutional gap in farmer education and technical support, which directly influences compliance with safe production standards.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br/>
      </w:r>
      <w:r>
        <w:rPr>
          <w:rFonts w:ascii="Times New Roman" w:cs="Times New Roman" w:hAnsi="Times New Roman"/>
          <w:b/>
          <w:bCs/>
          <w:sz w:val="24"/>
          <w:szCs w:val="24"/>
        </w:rPr>
        <w:t>Relationship between Socio-Demographic Variables and Adoption of Food Safety Practices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br/>
      </w:r>
      <w:r>
        <w:rPr>
          <w:rFonts w:ascii="Times New Roman" w:cs="Times New Roman" w:hAnsi="Times New Roman"/>
          <w:sz w:val="24"/>
          <w:szCs w:val="24"/>
        </w:rPr>
        <w:t>To evaluate the relationship between socio-demographic factors and the adoption of food safety practices, chi-square analysis was conducted. Results are presented in Table 4.</w:t>
      </w:r>
    </w:p>
    <w:p>
      <w:pPr>
        <w:pStyle w:val="style0"/>
        <w:spacing w:after="0" w:lineRule="auto" w:line="24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bCs/>
          <w:sz w:val="24"/>
          <w:szCs w:val="24"/>
        </w:rPr>
        <w:t>Table 4: Chi-Square Analysis of Socio-Demographic Variables and Adoption of GAP/GHP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6"/>
        <w:gridCol w:w="757"/>
        <w:gridCol w:w="272"/>
        <w:gridCol w:w="928"/>
        <w:gridCol w:w="1739"/>
      </w:tblGrid>
      <w:tr>
        <w:trPr>
          <w:tblHeader/>
          <w:tblCellSpacing w:w="15" w:type="dxa"/>
        </w:trPr>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Variable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χ²</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df</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p-value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Decision</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Gender</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2.341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.126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Not significant</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Age</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6.524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.089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Not significant</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Educational level</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15.674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.001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Significant</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Access to extension services</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22.883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.000</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Significant</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Farming experience</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5.207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.157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Not significant</w:t>
            </w:r>
          </w:p>
        </w:tc>
      </w:tr>
    </w:tbl>
    <w:p>
      <w:pPr>
        <w:pStyle w:val="style0"/>
        <w:jc w:val="both"/>
        <w:rPr>
          <w:rFonts w:ascii="Times New Roman" w:cs="Times New Roman" w:hAnsi="Times New Roman"/>
          <w:sz w:val="24"/>
          <w:szCs w:val="24"/>
        </w:rPr>
      </w:pPr>
      <w:r>
        <w:rPr>
          <w:rFonts w:ascii="Times New Roman" w:cs="Times New Roman" w:hAnsi="Times New Roman"/>
          <w:i/>
          <w:iCs/>
          <w:sz w:val="24"/>
          <w:szCs w:val="24"/>
        </w:rPr>
        <w:t>Significance level at p &lt; .05.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The results show that educational level (p = .001) and access to extension services (p = .000) were significantly associated with adoption of GAP and GHP. Gender, age, and farming experience were not statistically significant. These results suggest that farmers with higher education and consistent extension exposure are more likely to implement safe production and handling practices. This corroborates findings by </w:t>
      </w:r>
      <w:r>
        <w:rPr>
          <w:rFonts w:ascii="Times New Roman" w:cs="Times New Roman" w:hAnsi="Times New Roman"/>
          <w:sz w:val="24"/>
          <w:szCs w:val="24"/>
        </w:rPr>
        <w:t>Gichohi-Wainaina</w:t>
      </w:r>
      <w:r>
        <w:rPr>
          <w:rFonts w:ascii="Times New Roman" w:cs="Times New Roman" w:hAnsi="Times New Roman"/>
          <w:sz w:val="24"/>
          <w:szCs w:val="24"/>
        </w:rPr>
        <w:t xml:space="preserve"> et al. (20</w:t>
      </w:r>
      <w:r>
        <w:rPr>
          <w:rFonts w:ascii="Times New Roman" w:cs="Times New Roman" w:hAnsi="Times New Roman"/>
          <w:sz w:val="24"/>
          <w:szCs w:val="24"/>
        </w:rPr>
        <w:t>21</w:t>
      </w:r>
      <w:r>
        <w:rPr>
          <w:rFonts w:ascii="Times New Roman" w:cs="Times New Roman" w:hAnsi="Times New Roman"/>
          <w:sz w:val="24"/>
          <w:szCs w:val="24"/>
        </w:rPr>
        <w:t xml:space="preserve">) and </w:t>
      </w:r>
      <w:r>
        <w:rPr>
          <w:rFonts w:ascii="Times New Roman" w:cs="Times New Roman" w:hAnsi="Times New Roman"/>
          <w:sz w:val="24"/>
          <w:szCs w:val="24"/>
        </w:rPr>
        <w:t>Dewi</w:t>
      </w:r>
      <w:r>
        <w:rPr>
          <w:rFonts w:ascii="Times New Roman" w:cs="Times New Roman" w:hAnsi="Times New Roman"/>
          <w:sz w:val="24"/>
          <w:szCs w:val="24"/>
        </w:rPr>
        <w:t xml:space="preserve"> et al. (20</w:t>
      </w:r>
      <w:r>
        <w:rPr>
          <w:rFonts w:ascii="Times New Roman" w:cs="Times New Roman" w:hAnsi="Times New Roman"/>
          <w:sz w:val="24"/>
          <w:szCs w:val="24"/>
        </w:rPr>
        <w:t>22</w:t>
      </w:r>
      <w:r>
        <w:rPr>
          <w:rFonts w:ascii="Times New Roman" w:cs="Times New Roman" w:hAnsi="Times New Roman"/>
          <w:sz w:val="24"/>
          <w:szCs w:val="24"/>
        </w:rPr>
        <w:t>), who reported similar relationships in rural Nigeria.</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br/>
      </w:r>
      <w:r>
        <w:rPr>
          <w:rFonts w:ascii="Times New Roman" w:cs="Times New Roman" w:hAnsi="Times New Roman"/>
          <w:b/>
          <w:bCs/>
          <w:sz w:val="24"/>
          <w:szCs w:val="24"/>
        </w:rPr>
        <w:t>Influence of Extension Access on Adoption of Food Safety Practices</w:t>
      </w:r>
      <w:r>
        <w:rPr>
          <w:rFonts w:ascii="Times New Roman" w:cs="Times New Roman" w:hAnsi="Times New Roman"/>
          <w:b/>
          <w:bCs/>
          <w:sz w:val="24"/>
          <w:szCs w:val="24"/>
        </w:rPr>
        <w:tab/>
      </w:r>
      <w:r>
        <w:rPr>
          <w:rFonts w:ascii="Times New Roman" w:cs="Times New Roman" w:hAnsi="Times New Roman"/>
          <w:b/>
          <w:bCs/>
          <w:sz w:val="24"/>
          <w:szCs w:val="24"/>
        </w:rPr>
        <w:br/>
      </w:r>
    </w:p>
    <w:p>
      <w:pPr>
        <w:pStyle w:val="style0"/>
        <w:jc w:val="both"/>
        <w:rPr>
          <w:rFonts w:ascii="Times New Roman" w:cs="Times New Roman" w:hAnsi="Times New Roman"/>
          <w:sz w:val="24"/>
          <w:szCs w:val="24"/>
        </w:rPr>
      </w:pPr>
      <w:r>
        <w:rPr>
          <w:rFonts w:ascii="Times New Roman" w:cs="Times New Roman" w:hAnsi="Times New Roman"/>
          <w:sz w:val="24"/>
          <w:szCs w:val="24"/>
        </w:rPr>
        <w:t>To further assess the predictive effect of extension access on food safety adoption, logistic regression analysis was conducted. Table 5 summarizes the model.</w:t>
      </w:r>
    </w:p>
    <w:p>
      <w:pPr>
        <w:pStyle w:val="style0"/>
        <w:jc w:val="both"/>
        <w:rPr>
          <w:rFonts w:ascii="Times New Roman" w:cs="Times New Roman" w:hAnsi="Times New Roman"/>
          <w:sz w:val="24"/>
          <w:szCs w:val="24"/>
        </w:rPr>
      </w:pPr>
      <w:r>
        <w:rPr>
          <w:rFonts w:ascii="Times New Roman" w:cs="Times New Roman" w:hAnsi="Times New Roman"/>
          <w:b/>
          <w:bCs/>
          <w:sz w:val="24"/>
          <w:szCs w:val="24"/>
        </w:rPr>
        <w:t>Table 5: Logistic Regression Showing Influence of Extension Access on Adoption of GAP/GHP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8"/>
        <w:gridCol w:w="709"/>
        <w:gridCol w:w="625"/>
        <w:gridCol w:w="647"/>
        <w:gridCol w:w="796"/>
        <w:gridCol w:w="928"/>
      </w:tblGrid>
      <w:tr>
        <w:trPr>
          <w:tblHeader/>
          <w:tblCellSpacing w:w="15" w:type="dxa"/>
        </w:trPr>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Variable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B</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S.E</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Wald</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Exp(B)</w:t>
            </w:r>
          </w:p>
        </w:tc>
        <w:tc>
          <w:tcPr>
            <w:tcW w:w="0" w:type="auto"/>
            <w:tcBorders/>
            <w:vAlign w:val="center"/>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p-value</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Constant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-0.841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0.547</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2.364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0.431</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.124</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Regular extension contact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1.574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0.472</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11.123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4.829</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.001</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Occasional contact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0.926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0.395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5.496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2.525</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.019</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No contact (reference)</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w:t>
            </w:r>
          </w:p>
        </w:tc>
      </w:tr>
      <w:tr>
        <w:tblPrEx/>
        <w:trPr>
          <w:tblCellSpacing w:w="15" w:type="dxa"/>
        </w:trPr>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Education level</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0.654</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0.236</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7.688</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1.923</w:t>
            </w:r>
          </w:p>
        </w:tc>
        <w:tc>
          <w:tcPr>
            <w:tcW w:w="0" w:type="auto"/>
            <w:tcBorders/>
            <w:vAlign w:val="center"/>
            <w:hideMark/>
          </w:tcPr>
          <w:p>
            <w:pPr>
              <w:pStyle w:val="style0"/>
              <w:jc w:val="both"/>
              <w:rPr>
                <w:rFonts w:ascii="Times New Roman" w:cs="Times New Roman" w:hAnsi="Times New Roman"/>
                <w:sz w:val="24"/>
                <w:szCs w:val="24"/>
              </w:rPr>
            </w:pPr>
            <w:r>
              <w:rPr>
                <w:rFonts w:ascii="Times New Roman" w:cs="Times New Roman" w:hAnsi="Times New Roman"/>
                <w:sz w:val="24"/>
                <w:szCs w:val="24"/>
              </w:rPr>
              <w:t>.006</w:t>
            </w:r>
          </w:p>
        </w:tc>
      </w:tr>
    </w:tbl>
    <w:p>
      <w:pPr>
        <w:pStyle w:val="style0"/>
        <w:jc w:val="both"/>
        <w:rPr>
          <w:rFonts w:ascii="Times New Roman" w:cs="Times New Roman" w:hAnsi="Times New Roman"/>
          <w:sz w:val="24"/>
          <w:szCs w:val="24"/>
        </w:rPr>
      </w:pPr>
      <w:r>
        <w:rPr>
          <w:rFonts w:ascii="Times New Roman" w:cs="Times New Roman" w:hAnsi="Times New Roman"/>
          <w:i/>
          <w:iCs/>
          <w:sz w:val="24"/>
          <w:szCs w:val="24"/>
        </w:rPr>
        <w:t xml:space="preserve">Model Chi-square = 31.642, df = </w:t>
      </w:r>
      <w:r>
        <w:rPr>
          <w:rFonts w:ascii="Times New Roman" w:cs="Times New Roman" w:hAnsi="Times New Roman"/>
          <w:i/>
          <w:iCs/>
          <w:sz w:val="24"/>
          <w:szCs w:val="24"/>
        </w:rPr>
        <w:t>5</w:t>
      </w:r>
      <w:r>
        <w:rPr>
          <w:rFonts w:ascii="Times New Roman" w:cs="Times New Roman" w:hAnsi="Times New Roman"/>
          <w:i/>
          <w:iCs/>
          <w:sz w:val="24"/>
          <w:szCs w:val="24"/>
        </w:rPr>
        <w:t>, p &lt; .001; Nagelkerke R² = 0.41.</w:t>
      </w:r>
    </w:p>
    <w:p>
      <w:pPr>
        <w:pStyle w:val="style0"/>
        <w:jc w:val="both"/>
        <w:rPr>
          <w:rFonts w:ascii="Times New Roman" w:cs="Times New Roman" w:hAnsi="Times New Roman"/>
          <w:sz w:val="24"/>
          <w:szCs w:val="24"/>
        </w:rPr>
      </w:pPr>
      <w:r>
        <w:rPr>
          <w:rFonts w:ascii="Times New Roman" w:cs="Times New Roman" w:hAnsi="Times New Roman"/>
          <w:sz w:val="24"/>
          <w:szCs w:val="24"/>
        </w:rPr>
        <w:t>The regression equation proved to be statistically significant (p &lt;.001) and this implies that the two factors of extension access and education together explain 41% of the variation in food safety adoption. The regular contact with extension agents was found to increase the probability of adoption of GAP and GHP 4.8 times which was further boosted by occasional contact. This observation highlights why extension networks are central to stimulating change in behavior and the sharing of knowledge among smallholder farmers.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Qualitative Insights</w:t>
      </w:r>
    </w:p>
    <w:p>
      <w:pPr>
        <w:pStyle w:val="style0"/>
        <w:jc w:val="both"/>
        <w:rPr>
          <w:rFonts w:ascii="Times New Roman" w:cs="Times New Roman" w:hAnsi="Times New Roman"/>
          <w:sz w:val="24"/>
          <w:szCs w:val="24"/>
        </w:rPr>
      </w:pPr>
      <w:r>
        <w:rPr>
          <w:rFonts w:ascii="Times New Roman" w:cs="Times New Roman" w:hAnsi="Times New Roman"/>
          <w:sz w:val="24"/>
          <w:szCs w:val="24"/>
        </w:rPr>
        <w:t>Interpretation of interview data based on thematic analysis suggested three key themes, namely: (a) poor extension coverage, (b) poor enforcement of pesticide regulations, and (c) poor awareness of the food safety standards by the farmers. Extension officers complained of being overworked with one officer to more than 500 farmers. Cooperative leaders were worried of lack of consistent government support and poor attendance in the training sessions. Farmers recognized that they were aware of certain safety risks, but they mentioned that they were poor, lacked time and resources to comply.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Summary of Findings</w:t>
      </w:r>
    </w:p>
    <w:p>
      <w:pPr>
        <w:pStyle w:val="style0"/>
        <w:jc w:val="both"/>
        <w:rPr>
          <w:rFonts w:ascii="Times New Roman" w:cs="Times New Roman" w:hAnsi="Times New Roman"/>
          <w:sz w:val="24"/>
          <w:szCs w:val="24"/>
        </w:rPr>
      </w:pPr>
      <w:r>
        <w:rPr>
          <w:rFonts w:ascii="Times New Roman" w:cs="Times New Roman" w:hAnsi="Times New Roman"/>
          <w:sz w:val="24"/>
          <w:szCs w:val="24"/>
        </w:rPr>
        <w:t>Comprehensively, findings show that most of the food safety hazards in maize and cassava cultivation in Delta State are as a result of ineffective input handling methods, inadequate drying/ storage methods and low institutional support. Accessibility to extension services and level of education have great impact on adoption of safe production methods. The evidence highlights the importance of implementing combined agricultural and health policies to establish safer and more sustainable food systems.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Discussion</w:t>
      </w:r>
    </w:p>
    <w:p>
      <w:pPr>
        <w:pStyle w:val="style0"/>
        <w:jc w:val="both"/>
        <w:rPr>
          <w:rFonts w:ascii="Times New Roman" w:cs="Times New Roman" w:hAnsi="Times New Roman"/>
          <w:sz w:val="24"/>
          <w:szCs w:val="24"/>
        </w:rPr>
      </w:pPr>
      <w:r>
        <w:rPr>
          <w:rFonts w:ascii="Times New Roman" w:cs="Times New Roman" w:hAnsi="Times New Roman"/>
          <w:sz w:val="24"/>
          <w:szCs w:val="24"/>
        </w:rPr>
        <w:t>The findings of this study point to the fact that some valuable information about production processes and food safety dynamics of maize and cassava agricultural systems in Delta State, Nigeria, is obtained. They are the overall structural and behavioural problems of the smallholder farmers in sub-Saharan Africa, where the traditional production technologies, lack of education, and ineffective institutional facilities continue to compromise the quality of food and the health condition of the population (Ogwu et al., 2024). The discussion is organized on the key thematic dimensions that emerged out of the findings and these are socio-demographic patterns, production practices and risks accompanying them and the provision of extension services and determinants of behavior of food safety compliance.</w:t>
      </w:r>
    </w:p>
    <w:p>
      <w:pPr>
        <w:pStyle w:val="style0"/>
        <w:jc w:val="both"/>
        <w:rPr>
          <w:rFonts w:ascii="Times New Roman" w:cs="Times New Roman" w:hAnsi="Times New Roman"/>
          <w:sz w:val="24"/>
          <w:szCs w:val="24"/>
        </w:rPr>
      </w:pPr>
      <w:r>
        <w:rPr>
          <w:rFonts w:ascii="Times New Roman" w:cs="Times New Roman" w:hAnsi="Times New Roman"/>
          <w:sz w:val="24"/>
          <w:szCs w:val="24"/>
        </w:rPr>
        <w:t>Socio-Demographic Factors and Food Safety Implications.</w:t>
      </w:r>
    </w:p>
    <w:p>
      <w:pPr>
        <w:pStyle w:val="style0"/>
        <w:jc w:val="both"/>
        <w:rPr>
          <w:rFonts w:ascii="Times New Roman" w:cs="Times New Roman" w:hAnsi="Times New Roman"/>
          <w:sz w:val="24"/>
          <w:szCs w:val="24"/>
        </w:rPr>
      </w:pPr>
      <w:r>
        <w:rPr>
          <w:rFonts w:ascii="Times New Roman" w:cs="Times New Roman" w:hAnsi="Times New Roman"/>
          <w:sz w:val="24"/>
          <w:szCs w:val="24"/>
        </w:rPr>
        <w:t>The study discovered that male farmers manage the production of maize and cassava in Delta state (64.2 percent of the farmers), and majority of the respondents fell within the 41-50 years bracket. This goes in line with Mayanja et al. (2022) who observed that men are more engaged in commercial production of crops whereas women are usually involved in processing and marketing. The hegemony of mature farmers has a two-sided meaning: they have a lot of experience in managing crops, but they are too attached to the old ways of doing things and might be reluctant to implement new technology and safety measures (Gyamfi et al., 2024).</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Farmers and Food Safety Practices and Education.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It was found that respondent education is important in the establishment of the impact of food safety. Over 64 percent of the farmers had secondary education level that presupposes moderate level of literacy rate that maximizes their ability to comprehend training materials and adopt agricultural innovations. The statistical analysis of the data showed that educational levels were </w:t>
      </w:r>
      <w:r>
        <w:rPr>
          <w:rFonts w:ascii="Times New Roman" w:cs="Times New Roman" w:hAnsi="Times New Roman"/>
          <w:sz w:val="24"/>
          <w:szCs w:val="24"/>
        </w:rPr>
        <w:t>strongly correlated with the application of Good Agricultural Practices (GAP) and Good Hygienic Practices (GHP) as one of the conclusions supporting the findings of Malkanthi et al. (2021) and Delgado-Demera et al. (2024). These studies hold that education enhances the knowledge of farmers in the safety labels, risk of contamination, and the right dosage of agrochemicals. Education, therefore, acts as both behavioural as well as cognitive facilitator of safe food production.</w:t>
      </w:r>
    </w:p>
    <w:p>
      <w:pPr>
        <w:pStyle w:val="style0"/>
        <w:jc w:val="both"/>
        <w:rPr>
          <w:rFonts w:ascii="Times New Roman" w:cs="Times New Roman" w:hAnsi="Times New Roman"/>
          <w:sz w:val="24"/>
          <w:szCs w:val="24"/>
        </w:rPr>
      </w:pPr>
      <w:r>
        <w:rPr>
          <w:rFonts w:ascii="Times New Roman" w:cs="Times New Roman" w:hAnsi="Times New Roman"/>
          <w:sz w:val="24"/>
          <w:szCs w:val="24"/>
        </w:rPr>
        <w:t>Smallholder farms (1-3 hectares) are the dominant types of farms in Delta State because agriculture in the country is a subsistence sector. The majority of small-scale farmers do not have the access to mechanized tools and credit facilities; therefore, they are not able to invest in better handling and storage technologies (Madzivanzira, 2024). The interventions targeting the improvement of food safety compliance, therefore, must adopt scale-sensitive intervention strategies that comply with the economic environment of the smallholders.</w:t>
      </w:r>
    </w:p>
    <w:p>
      <w:pPr>
        <w:pStyle w:val="style0"/>
        <w:jc w:val="both"/>
        <w:rPr>
          <w:rFonts w:ascii="Times New Roman" w:cs="Times New Roman" w:hAnsi="Times New Roman"/>
          <w:sz w:val="24"/>
          <w:szCs w:val="24"/>
        </w:rPr>
      </w:pPr>
      <w:r>
        <w:rPr>
          <w:rFonts w:ascii="Times New Roman" w:cs="Times New Roman" w:hAnsi="Times New Roman"/>
          <w:sz w:val="24"/>
          <w:szCs w:val="24"/>
        </w:rPr>
        <w:t>Production practices were analyzed and it was found that inorganic fertilizers and pesticides were heavily used and over fifty percent of the respondents used them without any protective attire. This trend suggests that an underlying problem of insecure agrochemicals management still exists in the agricultural sector in Nigeria (Ugwuoke et al., 2024). The apprehension on food safety was also increased by poor post-harvest practices-- 62.4% of the farmers dried maize on bare soil and 57.2% of them kept produce in juts or non-ventilated sacks. These activities cause an environment conducive to microbial contamination and aflatoxin growth especially in Delta State where the climatic condition is humid (Agou et al., 2024).</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sz w:val="24"/>
          <w:szCs w:val="24"/>
        </w:rPr>
      </w:pPr>
      <w:r>
        <w:rPr>
          <w:rFonts w:ascii="Times New Roman" w:cs="Times New Roman" w:hAnsi="Times New Roman"/>
          <w:b/>
          <w:bCs/>
          <w:sz w:val="24"/>
          <w:szCs w:val="24"/>
        </w:rPr>
        <w:t>Agricultural Extension Services Role and Effectiveness</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This study discovered that the drawback of the low-contact between the farmers and the extension agents was a great hindrance in fulfilling the food safety requirements. The proportion of the respondents who stated that they regularly interacted with agricultural extension officers was only 31.2% with almost a third stating that they did not interact with the officers at all. The observation corresponds to the general tendencies in the country, with the extension system in Nigeria traditionally being underfunded, understaffed, and facing significant logistical issues (Ezima et al., 2024). The extension officers per some hundred farmers render personalized guidance and follow up to be very limited thereby reducing the impact of the training to change behaviors.</w:t>
      </w:r>
    </w:p>
    <w:p>
      <w:pPr>
        <w:pStyle w:val="style0"/>
        <w:jc w:val="both"/>
        <w:rPr>
          <w:rFonts w:ascii="Times New Roman" w:cs="Times New Roman" w:hAnsi="Times New Roman"/>
          <w:sz w:val="24"/>
          <w:szCs w:val="24"/>
        </w:rPr>
      </w:pPr>
      <w:r>
        <w:rPr>
          <w:rFonts w:ascii="Times New Roman" w:cs="Times New Roman" w:hAnsi="Times New Roman"/>
          <w:sz w:val="24"/>
          <w:szCs w:val="24"/>
        </w:rPr>
        <w:t>The statistical study results indicated the presence of a significant effect of access to extension services on positively affecting GAP and GHP adoption. Farmers with regular contact with the extension handle were almost five times more likely to support adopt safe practices as compared to non-contact farmers. This finding supports other researchers such as Pranoto et al. (2024), who noted that extension networks play an important role in the transfer of knowledge, the necessity of compliance, and the bridge between research and practice. Frequent interactions of extensions in addition to sharing of technical knowledge, develop trust and accountability between farmers and regulation bodies.</w:t>
      </w:r>
    </w:p>
    <w:p>
      <w:pPr>
        <w:pStyle w:val="style0"/>
        <w:jc w:val="both"/>
        <w:rPr>
          <w:rFonts w:ascii="Times New Roman" w:cs="Times New Roman" w:hAnsi="Times New Roman"/>
          <w:sz w:val="24"/>
          <w:szCs w:val="24"/>
        </w:rPr>
      </w:pPr>
      <w:r>
        <w:rPr>
          <w:rFonts w:ascii="Times New Roman" w:cs="Times New Roman" w:hAnsi="Times New Roman"/>
          <w:sz w:val="24"/>
          <w:szCs w:val="24"/>
        </w:rPr>
        <w:t>This interpretation is enhanced by the finding of qualitative results. Extension officers interviewed reported that they were work overburdened and limited by poor logistics like transport and communication equipment. In their turn, cooperative leaders complained of the inconsistent training programs and low attendance of farmers, which was commonly caused by conflicting livelihood activities or no incentives. These institutional bottlenecks imply that the dissemination of knowledge is not enough; to promote food safety, there should be an extension system, which is well-resourced, participative, and ongoing and combined with local cooperatives and women associations.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Determinants of Adoption of Food Safety Practices</w:t>
      </w:r>
    </w:p>
    <w:p>
      <w:pPr>
        <w:pStyle w:val="style0"/>
        <w:jc w:val="both"/>
        <w:rPr>
          <w:rFonts w:ascii="Times New Roman" w:cs="Times New Roman" w:hAnsi="Times New Roman"/>
          <w:sz w:val="24"/>
          <w:szCs w:val="24"/>
        </w:rPr>
      </w:pPr>
      <w:r>
        <w:rPr>
          <w:rFonts w:ascii="Times New Roman" w:cs="Times New Roman" w:hAnsi="Times New Roman"/>
          <w:sz w:val="24"/>
          <w:szCs w:val="24"/>
        </w:rPr>
        <w:t>The chi-square and logistic regression tests results indicated that the level of education and access to the extension services significantly affected the adoption of the food safety practices but age, gender, and experience did not significantly affect the practices. This observation means that the cognitive and institutional variables are more powerful in determining a behavioral change compared to the demographic ones. It supports the standpoint that was expressed by Zhang et al., (2024 namely that exposure to plausible sources of information and relative advantage information affects the adoption behavior.</w:t>
      </w:r>
    </w:p>
    <w:p>
      <w:pPr>
        <w:pStyle w:val="style0"/>
        <w:jc w:val="both"/>
        <w:rPr>
          <w:rFonts w:ascii="Times New Roman" w:cs="Times New Roman" w:hAnsi="Times New Roman"/>
          <w:sz w:val="24"/>
          <w:szCs w:val="24"/>
        </w:rPr>
      </w:pPr>
      <w:r>
        <w:rPr>
          <w:rFonts w:ascii="Times New Roman" w:cs="Times New Roman" w:hAnsi="Times New Roman"/>
          <w:sz w:val="24"/>
          <w:szCs w:val="24"/>
        </w:rPr>
        <w:t>These findings indicate the significance of multifaceted intervention interventions that would entail learning and reinforcement. The training programs cannot be a mere workshop, but it should have demonstration plots, peer learning and farmer field schools. In addition, the modules on the safety of pesticides, the environmental management, and basic toxicology should also be included in the extension programs so as to strengthen the perception of riskiness and the preventive behavior by the farmers</w:t>
      </w:r>
      <w:r>
        <w:rPr>
          <w:rFonts w:ascii="Times New Roman" w:cs="Times New Roman" w:hAnsi="Times New Roman"/>
          <w:sz w:val="24"/>
          <w:szCs w:val="24"/>
        </w:rPr>
        <w:t>.</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jc w:val="both"/>
        <w:rPr>
          <w:rFonts w:ascii="Times New Roman" w:cs="Times New Roman" w:hAnsi="Times New Roman"/>
          <w:sz w:val="24"/>
          <w:szCs w:val="24"/>
        </w:rPr>
      </w:pPr>
      <w:r>
        <w:rPr>
          <w:rFonts w:ascii="Times New Roman" w:cs="Times New Roman" w:hAnsi="Times New Roman"/>
          <w:sz w:val="24"/>
          <w:szCs w:val="24"/>
        </w:rPr>
        <w:t>The paper has assessed the production technologies and food safety risks on the maize and cassava output in the three senatorial districts of Delta state in Nigeria. It was established that although the crops play a vital part in the household food security and rural livelihood, the production and post-harvest mechanisms of the products are inundated with food quality and safety debasing practices. These results gave an understanding that the majority of farmers are applying manual farming methods and applying chemical fertilizers and pesticides without protective equipment or understanding of the safe dosage. Ineffective post-harvest management like drying maize on bare land and keeping food in un-aerated sacks only subjects food products to microbial contamination and increasing aflatoxin.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Education and access to extension services came out as important prophets of safe food production behavior. The more educated farmers who were in frequent contact with the extension agents had a more likely probability of adopting Good Agricultural Practices (GAP) and Good Hygienic Practices (GHP). These results verify that the smallholder food safety behavior is heavily influenced by the extent of technical knowledge, regular interaction with the extension networks </w:t>
      </w:r>
      <w:r>
        <w:rPr>
          <w:rFonts w:ascii="Times New Roman" w:cs="Times New Roman" w:hAnsi="Times New Roman"/>
          <w:sz w:val="24"/>
          <w:szCs w:val="24"/>
        </w:rPr>
        <w:t>and the availability of institutions at the local level. Other important gaps in the agricultural extension system in Nigeria identified included the understaffing, lack of adequate logistics and insufficient coverage of training that limit the dissemination of safety information.</w:t>
      </w:r>
    </w:p>
    <w:p>
      <w:pPr>
        <w:pStyle w:val="style0"/>
        <w:jc w:val="both"/>
        <w:rPr>
          <w:rFonts w:ascii="Times New Roman" w:cs="Times New Roman" w:hAnsi="Times New Roman"/>
          <w:sz w:val="24"/>
          <w:szCs w:val="24"/>
        </w:rPr>
      </w:pPr>
      <w:r>
        <w:rPr>
          <w:rFonts w:ascii="Times New Roman" w:cs="Times New Roman" w:hAnsi="Times New Roman"/>
          <w:sz w:val="24"/>
          <w:szCs w:val="24"/>
        </w:rPr>
        <w:t>The study shows that improving food safety in Delta State’s farming sector needs more than just technical fixes. It requires stronger institutions, better farmer education, and removing barriers that stop progress. Based on this, the study suggests the following actions:</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Enhance Agricultural Extension Services:</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The ministry of agriculture at Delta State should employ and train additional extension officers in order to access more farmers. Such officers ought to incorporate in their training programs food safety lessons so as farmers learn how to use pesticides to avoid harming the environment, how to handle food safely, and how to avoid contaminating the environment. It will also be possible to use NGOs and groups of farmers to disseminate the information.</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Food Safety to Agricultural Policies:</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The state should have food safety as a major agricultural plan. Agriculture, health, and environmental government agencies must cooperate to monitor chemical residues, ensure that farmers comply with the rules of using pesticides, and that the illegal behavior is penalized. Frequent inspection of the farms and awareness raising would also be arranged.</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Publicize Farmer Education and Training:</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Training on Good Agricultural Practices (GAP), Good Hygienic Practices (GHP) and safe post-harvest practices should be done to farmers. The farmer field schools and community workshops should be used to teach these. Trainers are supposed to make use of pictures, demonstrations, and local languages to farmers who have a low level of reading and writing.</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Easier to acquire Technologies to make safe:</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The government</w:t>
      </w:r>
      <w:r>
        <w:rPr>
          <w:rFonts w:ascii="Times New Roman" w:cs="Times New Roman" w:hAnsi="Times New Roman"/>
          <w:sz w:val="24"/>
          <w:szCs w:val="24"/>
        </w:rPr>
        <w:t xml:space="preserve"> should assist farmers to purchase the storage bags, protective clothing, and improved drying platforms through subsidies or small loans. This will assist in minimizing contamination and bettering the income and quality of foods of farmers.</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Promote Desirable Behavior through Rewards:</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Safe practices may be rewarded to farmers by awards, certificates, or high prices on their produce. This will encourage others to do so and develop positive habits in societies.</w:t>
      </w:r>
    </w:p>
    <w:p>
      <w:pPr>
        <w:pStyle w:val="style0"/>
        <w:numPr>
          <w:ilvl w:val="0"/>
          <w:numId w:val="13"/>
        </w:numPr>
        <w:jc w:val="both"/>
        <w:rPr>
          <w:rFonts w:ascii="Times New Roman" w:cs="Times New Roman" w:hAnsi="Times New Roman"/>
          <w:b/>
          <w:bCs/>
          <w:sz w:val="24"/>
          <w:szCs w:val="24"/>
        </w:rPr>
      </w:pPr>
      <w:r>
        <w:rPr>
          <w:rFonts w:ascii="Times New Roman" w:cs="Times New Roman" w:hAnsi="Times New Roman"/>
          <w:b/>
          <w:bCs/>
          <w:sz w:val="24"/>
          <w:szCs w:val="24"/>
        </w:rPr>
        <w:t>Enhance Research and Tests:</w:t>
      </w:r>
      <w:r>
        <w:rPr>
          <w:rFonts w:ascii="Times New Roman" w:cs="Times New Roman" w:hAnsi="Times New Roman"/>
          <w:b/>
          <w:bCs/>
          <w:sz w:val="24"/>
          <w:szCs w:val="24"/>
        </w:rPr>
        <w:tab/>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A food safety testing laboratory should be established in the state of Florida to identify dangerous chemicals and make decisions. Universities and research centers must collaborate with the government to gather information, reinforce changes in policy, and discover improved solutions to farming.</w:t>
      </w:r>
    </w:p>
    <w:p>
      <w:pPr>
        <w:pStyle w:val="style0"/>
        <w:jc w:val="both"/>
        <w:rPr>
          <w:rFonts w:ascii="Times New Roman" w:cs="Times New Roman" w:hAnsi="Times New Roman"/>
          <w:sz w:val="24"/>
          <w:szCs w:val="24"/>
        </w:rPr>
      </w:pPr>
      <w:r>
        <w:rPr>
          <w:rFonts w:ascii="Times New Roman" w:cs="Times New Roman" w:hAnsi="Times New Roman"/>
          <w:sz w:val="24"/>
          <w:szCs w:val="24"/>
        </w:rPr>
        <w:t>Through these steps, Delta State will be able to ensure that their maize and cassava crop cultivation is safer and more robust to contribute to bettering food security and human health. The lessons can be applied to the rest of Nigeria too, as the issues of food safety are not only technical but also associated with weak systems and inappropriate behavior.</w:t>
      </w:r>
    </w:p>
    <w:p>
      <w:pPr>
        <w:pStyle w:val="style0"/>
        <w:jc w:val="both"/>
        <w:rPr>
          <w:rFonts w:ascii="Times New Roman" w:cs="Times New Roman" w:hAnsi="Times New Roman"/>
          <w:sz w:val="24"/>
          <w:szCs w:val="24"/>
        </w:rPr>
      </w:pPr>
      <w:r>
        <w:rPr>
          <w:rFonts w:ascii="Times New Roman" w:cs="Times New Roman" w:hAnsi="Times New Roman"/>
          <w:sz w:val="24"/>
          <w:szCs w:val="24"/>
        </w:rPr>
        <w:t>Further studies ought to involve laboratory testing of food samples after a period to determine the extent of contamination and relate them to agricultural activities and health consequences.</w:t>
      </w:r>
    </w:p>
    <w:p>
      <w:pPr>
        <w:pStyle w:val="style0"/>
        <w:jc w:val="both"/>
        <w:rPr>
          <w:rFonts w:ascii="Times New Roman" w:cs="Times New Roman" w:hAnsi="Times New Roman"/>
          <w:sz w:val="24"/>
          <w:szCs w:val="24"/>
        </w:rPr>
      </w:pPr>
      <w:r>
        <w:rPr>
          <w:rFonts w:ascii="Times New Roman" w:cs="Times New Roman" w:hAnsi="Times New Roman"/>
          <w:sz w:val="24"/>
          <w:szCs w:val="24"/>
        </w:rPr>
        <w:t>To conclude, the process of making food safe in the major crops produced in Nigeria is a major challenge that needs a hands-on strategy that involves training the farmers, increased institutions, and effective policies. The provision of knowledge, tools, and government assistance to the small farmers is important in enhancing the sustainability of agriculture as well as improving their health.</w:t>
      </w:r>
    </w:p>
    <w:p>
      <w:pPr>
        <w:pStyle w:val="style0"/>
        <w:jc w:val="both"/>
        <w:rPr>
          <w:rFonts w:ascii="Times New Roman" w:cs="Times New Roman" w:hAnsi="Times New Roman"/>
          <w:sz w:val="24"/>
          <w:szCs w:val="24"/>
        </w:rPr>
      </w:pPr>
    </w:p>
    <w:bookmarkStart w:id="0" w:name="_Hlk197682619"/>
    <w:bookmarkStart w:id="1" w:name="_Hlk180402183"/>
    <w:bookmarkStart w:id="2" w:name="_Hlk183680988"/>
    <w:bookmarkStart w:id="3" w:name="_Hlk197351200"/>
    <w:p>
      <w:pPr>
        <w:pStyle w:val="style0"/>
        <w:rPr>
          <w:rFonts w:ascii="Calibri" w:cs="Times New Roman" w:eastAsia="Calibri" w:hAnsi="Calibri"/>
          <w:highlight w:val="yellow"/>
        </w:rPr>
      </w:pPr>
      <w:r>
        <w:rPr>
          <w:rFonts w:ascii="Calibri" w:cs="Times New Roman" w:eastAsia="Calibri" w:hAnsi="Calibri"/>
          <w:highlight w:val="yellow"/>
        </w:rPr>
        <w:t>Disclaimer (Artificial intelligence)</w:t>
      </w:r>
    </w:p>
    <w:p>
      <w:pPr>
        <w:pStyle w:val="style0"/>
        <w:rPr>
          <w:rFonts w:ascii="Calibri" w:cs="Times New Roman" w:eastAsia="Calibri" w:hAnsi="Calibri"/>
          <w:highlight w:val="yellow"/>
        </w:rPr>
      </w:pPr>
      <w:r>
        <w:rPr>
          <w:rFonts w:ascii="Calibri" w:cs="Times New Roman" w:eastAsia="Calibri" w:hAnsi="Calibri"/>
          <w:highlight w:val="yellow"/>
        </w:rPr>
        <w:t xml:space="preserve">Option 1: </w:t>
      </w:r>
    </w:p>
    <w:p>
      <w:pPr>
        <w:pStyle w:val="style0"/>
        <w:rPr>
          <w:rFonts w:ascii="Calibri" w:cs="Times New Roman" w:eastAsia="Calibri" w:hAnsi="Calibri"/>
          <w:highlight w:val="yellow"/>
        </w:rPr>
      </w:pPr>
      <w:r>
        <w:rPr>
          <w:rFonts w:ascii="Calibri" w:cs="Times New Roman" w:eastAsia="Calibri" w:hAnsi="Calibri"/>
          <w:highlight w:val="yellow"/>
        </w:rPr>
        <w:t xml:space="preserve">Author(s) hereby declare that NO generative AI technologies such as Large Language Models (ChatGPT, COPILOT, etc.) and text-to-image generators have been used during the writing or editing of this manuscript. </w:t>
      </w:r>
    </w:p>
    <w:p>
      <w:pPr>
        <w:pStyle w:val="style0"/>
        <w:rPr>
          <w:rFonts w:ascii="Calibri" w:cs="Times New Roman" w:eastAsia="Calibri" w:hAnsi="Calibri"/>
          <w:highlight w:val="yellow"/>
        </w:rPr>
      </w:pPr>
      <w:r>
        <w:rPr>
          <w:rFonts w:ascii="Calibri" w:cs="Times New Roman" w:eastAsia="Calibri" w:hAnsi="Calibri"/>
          <w:highlight w:val="yellow"/>
        </w:rPr>
        <w:t xml:space="preserve">Option 2: </w:t>
      </w:r>
    </w:p>
    <w:p>
      <w:pPr>
        <w:pStyle w:val="style0"/>
        <w:rPr>
          <w:rFonts w:ascii="Calibri" w:cs="Times New Roman" w:eastAsia="Calibri" w:hAnsi="Calibri"/>
          <w:highlight w:val="yellow"/>
        </w:rPr>
      </w:pPr>
      <w:r>
        <w:rPr>
          <w:rFonts w:ascii="Calibri" w:cs="Times New Roman" w:eastAsia="Calibri" w:hAnsi="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pPr>
        <w:pStyle w:val="style0"/>
        <w:rPr>
          <w:rFonts w:ascii="Calibri" w:cs="Times New Roman" w:eastAsia="Calibri" w:hAnsi="Calibri"/>
          <w:highlight w:val="yellow"/>
        </w:rPr>
      </w:pPr>
      <w:r>
        <w:rPr>
          <w:rFonts w:ascii="Calibri" w:cs="Times New Roman" w:eastAsia="Calibri" w:hAnsi="Calibri"/>
          <w:highlight w:val="yellow"/>
        </w:rPr>
        <w:t>Details of the AI usage are given below:</w:t>
      </w:r>
    </w:p>
    <w:p>
      <w:pPr>
        <w:pStyle w:val="style0"/>
        <w:rPr>
          <w:rFonts w:ascii="Calibri" w:cs="Times New Roman" w:eastAsia="Calibri" w:hAnsi="Calibri"/>
          <w:highlight w:val="yellow"/>
        </w:rPr>
      </w:pPr>
      <w:r>
        <w:rPr>
          <w:rFonts w:ascii="Calibri" w:cs="Times New Roman" w:eastAsia="Calibri" w:hAnsi="Calibri"/>
          <w:highlight w:val="yellow"/>
        </w:rPr>
        <w:t>1.</w:t>
      </w:r>
    </w:p>
    <w:p>
      <w:pPr>
        <w:pStyle w:val="style0"/>
        <w:rPr>
          <w:rFonts w:ascii="Calibri" w:cs="Times New Roman" w:eastAsia="Calibri" w:hAnsi="Calibri"/>
          <w:highlight w:val="yellow"/>
        </w:rPr>
      </w:pPr>
      <w:r>
        <w:rPr>
          <w:rFonts w:ascii="Calibri" w:cs="Times New Roman" w:eastAsia="Calibri" w:hAnsi="Calibri"/>
          <w:highlight w:val="yellow"/>
        </w:rPr>
        <w:t>2.</w:t>
      </w:r>
    </w:p>
    <w:bookmarkStart w:id="4" w:name="_Hlk197682629"/>
    <w:bookmarkEnd w:id="0"/>
    <w:p>
      <w:pPr>
        <w:pStyle w:val="style0"/>
        <w:rPr>
          <w:rFonts w:ascii="Calibri" w:cs="Times New Roman" w:eastAsia="Calibri" w:hAnsi="Calibri"/>
        </w:rPr>
      </w:pPr>
      <w:r>
        <w:rPr>
          <w:rFonts w:ascii="Calibri" w:cs="Times New Roman" w:eastAsia="Calibri" w:hAnsi="Calibri"/>
          <w:highlight w:val="yellow"/>
        </w:rPr>
        <w:t>3.</w:t>
      </w:r>
    </w:p>
    <w:bookmarkStart w:id="5" w:name="_Hlk187485061"/>
    <w:bookmarkEnd w:id="1"/>
    <w:bookmarkEnd w:id="2"/>
    <w:bookmarkEnd w:id="4"/>
    <w:p>
      <w:pPr>
        <w:pStyle w:val="style0"/>
        <w:ind w:firstLine="720"/>
        <w:rPr/>
      </w:pPr>
    </w:p>
    <w:bookmarkStart w:id="6" w:name="_GoBack"/>
    <w:bookmarkEnd w:id="3"/>
    <w:bookmarkEnd w:id="5"/>
    <w:bookmarkEnd w:id="6"/>
    <w:p>
      <w:pPr>
        <w:pStyle w:val="style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Adebiyi, J. A., &amp; Bourquin, L. D. (2025). Growers’ Adoption of USDA GAP, Other Harmonized GAP &amp; Group Produce Audits: Drivers, Constraints, and Fostering Improved Implementation. </w:t>
      </w:r>
      <w:r>
        <w:rPr>
          <w:rFonts w:ascii="Times New Roman" w:cs="Times New Roman" w:hAnsi="Times New Roman"/>
          <w:i/>
          <w:iCs/>
          <w:sz w:val="24"/>
          <w:szCs w:val="24"/>
        </w:rPr>
        <w:t>Journal of Food Protection</w:t>
      </w:r>
      <w:r>
        <w:rPr>
          <w:rFonts w:ascii="Times New Roman" w:cs="Times New Roman" w:hAnsi="Times New Roman"/>
          <w:sz w:val="24"/>
          <w:szCs w:val="24"/>
        </w:rPr>
        <w:t>, 100530.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Ansah, M. O., &amp; Skevas, T. (2024). Adoption and intensity of use of personal protective equipment by agricultural pesticide handlers: Empirical evidence from Peruvian agriculture. </w:t>
      </w:r>
      <w:r>
        <w:rPr>
          <w:rFonts w:ascii="Times New Roman" w:cs="Times New Roman" w:hAnsi="Times New Roman"/>
          <w:i/>
          <w:iCs/>
          <w:sz w:val="24"/>
          <w:szCs w:val="24"/>
        </w:rPr>
        <w:t>Journal of Cleaner Production</w:t>
      </w:r>
      <w:r>
        <w:rPr>
          <w:rFonts w:ascii="Times New Roman" w:cs="Times New Roman" w:hAnsi="Times New Roman"/>
          <w:sz w:val="24"/>
          <w:szCs w:val="24"/>
        </w:rPr>
        <w:t>, </w:t>
      </w:r>
      <w:r>
        <w:rPr>
          <w:rFonts w:ascii="Times New Roman" w:cs="Times New Roman" w:hAnsi="Times New Roman"/>
          <w:i/>
          <w:iCs/>
          <w:sz w:val="24"/>
          <w:szCs w:val="24"/>
        </w:rPr>
        <w:t>446</w:t>
      </w:r>
      <w:r>
        <w:rPr>
          <w:rFonts w:ascii="Times New Roman" w:cs="Times New Roman" w:hAnsi="Times New Roman"/>
          <w:sz w:val="24"/>
          <w:szCs w:val="24"/>
        </w:rPr>
        <w:t>, 141433.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Arowosegbe, O. B., Alomaja, O. A., &amp; Tiamiyu, B. B. (2024). The role of agricultural extension workers in transforming agricultural supply chains: enhancing innovation, technology adoption, and ethical practices in Nigeria. </w:t>
      </w:r>
      <w:r>
        <w:rPr>
          <w:rFonts w:ascii="Times New Roman" w:cs="Times New Roman" w:hAnsi="Times New Roman"/>
          <w:i/>
          <w:iCs/>
          <w:sz w:val="24"/>
          <w:szCs w:val="24"/>
        </w:rPr>
        <w:t>World Journal of Advanced Research and Reviews</w:t>
      </w:r>
      <w:r>
        <w:rPr>
          <w:rFonts w:ascii="Times New Roman" w:cs="Times New Roman" w:hAnsi="Times New Roman"/>
          <w:sz w:val="24"/>
          <w:szCs w:val="24"/>
        </w:rPr>
        <w:t>, </w:t>
      </w:r>
      <w:r>
        <w:rPr>
          <w:rFonts w:ascii="Times New Roman" w:cs="Times New Roman" w:hAnsi="Times New Roman"/>
          <w:i/>
          <w:iCs/>
          <w:sz w:val="24"/>
          <w:szCs w:val="24"/>
        </w:rPr>
        <w:t>23</w:t>
      </w:r>
      <w:r>
        <w:rPr>
          <w:rFonts w:ascii="Times New Roman" w:cs="Times New Roman" w:hAnsi="Times New Roman"/>
          <w:sz w:val="24"/>
          <w:szCs w:val="24"/>
        </w:rPr>
        <w:t>(3), 2585-2602.</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Barwant, M. M., Singh, B., Ogidi, O. I., Dar, M. A., &amp; Muhammad, M. (2025). Integrative Physiology of Food Safety Management. In </w:t>
      </w:r>
      <w:r>
        <w:rPr>
          <w:rFonts w:ascii="Times New Roman" w:cs="Times New Roman" w:hAnsi="Times New Roman"/>
          <w:i/>
          <w:iCs/>
          <w:sz w:val="24"/>
          <w:szCs w:val="24"/>
        </w:rPr>
        <w:t>Physiological Perspectives on Food Safety: Exploring the Intersection of Health and Nutrition</w:t>
      </w:r>
      <w:r>
        <w:rPr>
          <w:rFonts w:ascii="Times New Roman" w:cs="Times New Roman" w:hAnsi="Times New Roman"/>
          <w:sz w:val="24"/>
          <w:szCs w:val="24"/>
        </w:rPr>
        <w:t> (pp. 499-532). Cham: Springer Nature Switzerland.</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Bhandari, G., Pandey, A., Sapkota, U., Singh, S. P., &amp; Murano, H. (2025). Pesticide use and safety behavior among rice farmers in Nepal: The assessment of theory of planned behavior and potential health risk: G. Bhandari et al. </w:t>
      </w:r>
      <w:r>
        <w:rPr>
          <w:rFonts w:ascii="Times New Roman" w:cs="Times New Roman" w:hAnsi="Times New Roman"/>
          <w:i/>
          <w:iCs/>
          <w:sz w:val="24"/>
          <w:szCs w:val="24"/>
        </w:rPr>
        <w:t>Environment, Development and Sustainability</w:t>
      </w:r>
      <w:r>
        <w:rPr>
          <w:rFonts w:ascii="Times New Roman" w:cs="Times New Roman" w:hAnsi="Times New Roman"/>
          <w:sz w:val="24"/>
          <w:szCs w:val="24"/>
        </w:rPr>
        <w:t>, 1-30.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Bokshi, A.I., Perera, S.C., Becker, J.A., Bradbury, M., Lai, Y.W., Hewajulige, I.G., Thow, A.M. &amp; Tan, D. K. (2025). Strengthening food safety policy: a case study of the food safety policy landscape in Sri Lanka. </w:t>
      </w:r>
      <w:r>
        <w:rPr>
          <w:rFonts w:ascii="Times New Roman" w:cs="Times New Roman" w:hAnsi="Times New Roman"/>
          <w:i/>
          <w:iCs/>
          <w:sz w:val="24"/>
          <w:szCs w:val="24"/>
        </w:rPr>
        <w:t>Applied Food Research</w:t>
      </w:r>
      <w:r>
        <w:rPr>
          <w:rFonts w:ascii="Times New Roman" w:cs="Times New Roman" w:hAnsi="Times New Roman"/>
          <w:sz w:val="24"/>
          <w:szCs w:val="24"/>
        </w:rPr>
        <w:t>, 101131.</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Dankwa, K. O., Gimode, W., &amp; Olasanmi, B. (2025). A review of global cassava (Manihot esculenta Crantz) production trends, post-harvest physiological deterioration (PPD) challenge, and control strategies. </w:t>
      </w:r>
      <w:r>
        <w:rPr>
          <w:rFonts w:ascii="Times New Roman" w:cs="Times New Roman" w:hAnsi="Times New Roman"/>
          <w:i/>
          <w:iCs/>
          <w:sz w:val="24"/>
          <w:szCs w:val="24"/>
        </w:rPr>
        <w:t>Discover Food</w:t>
      </w:r>
      <w:r>
        <w:rPr>
          <w:rFonts w:ascii="Times New Roman" w:cs="Times New Roman" w:hAnsi="Times New Roman"/>
          <w:sz w:val="24"/>
          <w:szCs w:val="24"/>
        </w:rPr>
        <w:t>, </w:t>
      </w:r>
      <w:r>
        <w:rPr>
          <w:rFonts w:ascii="Times New Roman" w:cs="Times New Roman" w:hAnsi="Times New Roman"/>
          <w:i/>
          <w:iCs/>
          <w:sz w:val="24"/>
          <w:szCs w:val="24"/>
        </w:rPr>
        <w:t>5</w:t>
      </w:r>
      <w:r>
        <w:rPr>
          <w:rFonts w:ascii="Times New Roman" w:cs="Times New Roman" w:hAnsi="Times New Roman"/>
          <w:sz w:val="24"/>
          <w:szCs w:val="24"/>
        </w:rPr>
        <w:t>(1), 307.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Ejeh, A. O., &amp; Abah, E. A. (2025). Microbial Safety and Entrepreneurial Opportunities in Agri-Food Processing among Small-Scale Farmers in Benue State, Nigeria. </w:t>
      </w:r>
      <w:r>
        <w:rPr>
          <w:rFonts w:ascii="Times New Roman" w:cs="Times New Roman" w:hAnsi="Times New Roman"/>
          <w:i/>
          <w:iCs/>
          <w:sz w:val="24"/>
          <w:szCs w:val="24"/>
        </w:rPr>
        <w:t>BSP Journal of Multidisciplinary Research (BSPJMR)</w:t>
      </w:r>
      <w:r>
        <w:rPr>
          <w:rFonts w:ascii="Times New Roman" w:cs="Times New Roman" w:hAnsi="Times New Roman"/>
          <w:sz w:val="24"/>
          <w:szCs w:val="24"/>
        </w:rPr>
        <w:t>, </w:t>
      </w:r>
      <w:r>
        <w:rPr>
          <w:rFonts w:ascii="Times New Roman" w:cs="Times New Roman" w:hAnsi="Times New Roman"/>
          <w:i/>
          <w:iCs/>
          <w:sz w:val="24"/>
          <w:szCs w:val="24"/>
        </w:rPr>
        <w:t>2</w:t>
      </w:r>
      <w:r>
        <w:rPr>
          <w:rFonts w:ascii="Times New Roman" w:cs="Times New Roman" w:hAnsi="Times New Roman"/>
          <w:sz w:val="24"/>
          <w:szCs w:val="24"/>
        </w:rPr>
        <w:t>(1)</w:t>
      </w:r>
      <w:r>
        <w:rPr>
          <w:rFonts w:ascii="Times New Roman" w:cs="Times New Roman" w:hAnsi="Times New Roman"/>
          <w:sz w:val="24"/>
          <w:szCs w:val="24"/>
        </w:rPr>
        <w:t>, 81-96.</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Ezima, N., Anyaegbunam, H. N., Nwaekpe, J. O., &amp; Ibrahim, C. J. (2023). Extension services delivery in Nigeria; challenges and prospects. </w:t>
      </w:r>
      <w:r>
        <w:rPr>
          <w:rFonts w:ascii="Times New Roman" w:cs="Times New Roman" w:hAnsi="Times New Roman"/>
          <w:i/>
          <w:iCs/>
          <w:sz w:val="24"/>
          <w:szCs w:val="24"/>
        </w:rPr>
        <w:t>NCRI CENTENNIAL</w:t>
      </w:r>
      <w:r>
        <w:rPr>
          <w:rFonts w:ascii="Times New Roman" w:cs="Times New Roman" w:hAnsi="Times New Roman"/>
          <w:i/>
          <w:iCs/>
          <w:sz w:val="24"/>
          <w:szCs w:val="24"/>
        </w:rPr>
        <w:t xml:space="preserve"> Book of Readings</w:t>
      </w:r>
      <w:r>
        <w:rPr>
          <w:rFonts w:ascii="Times New Roman" w:cs="Times New Roman" w:hAnsi="Times New Roman"/>
          <w:sz w:val="24"/>
          <w:szCs w:val="24"/>
        </w:rPr>
        <w:t>, 416</w:t>
      </w:r>
      <w:r>
        <w:rPr>
          <w:rFonts w:ascii="Times New Roman" w:cs="Times New Roman" w:hAnsi="Times New Roman"/>
          <w:sz w:val="24"/>
          <w:szCs w:val="24"/>
        </w:rPr>
        <w:t>-424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Fagbohun, T. R., Nji, Q. N., Okechukwu, V. O., Adelusi, O. A., Nyathi, L. A., Awong, P., &amp; Njobeh, P. B. (2025). Aflatoxin Exposure in Immunocompromised Patients: Current State and Future Perspectives. </w:t>
      </w:r>
      <w:r>
        <w:rPr>
          <w:rFonts w:ascii="Times New Roman" w:cs="Times New Roman" w:hAnsi="Times New Roman"/>
          <w:i/>
          <w:iCs/>
          <w:sz w:val="24"/>
          <w:szCs w:val="24"/>
        </w:rPr>
        <w:t>Toxins</w:t>
      </w:r>
      <w:r>
        <w:rPr>
          <w:rFonts w:ascii="Times New Roman" w:cs="Times New Roman" w:hAnsi="Times New Roman"/>
          <w:sz w:val="24"/>
          <w:szCs w:val="24"/>
        </w:rPr>
        <w:t>, </w:t>
      </w:r>
      <w:r>
        <w:rPr>
          <w:rFonts w:ascii="Times New Roman" w:cs="Times New Roman" w:hAnsi="Times New Roman"/>
          <w:i/>
          <w:iCs/>
          <w:sz w:val="24"/>
          <w:szCs w:val="24"/>
        </w:rPr>
        <w:t>17</w:t>
      </w:r>
      <w:r>
        <w:rPr>
          <w:rFonts w:ascii="Times New Roman" w:cs="Times New Roman" w:hAnsi="Times New Roman"/>
          <w:sz w:val="24"/>
          <w:szCs w:val="24"/>
        </w:rPr>
        <w:t>(8), 414.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Joint FAO/WHO Expert Committee on Food Additives. Meeting. (2016). </w:t>
      </w:r>
      <w:r>
        <w:rPr>
          <w:rFonts w:ascii="Times New Roman" w:cs="Times New Roman" w:hAnsi="Times New Roman"/>
          <w:i/>
          <w:iCs/>
          <w:sz w:val="24"/>
          <w:szCs w:val="24"/>
        </w:rPr>
        <w:t>Evaluation of Certain Food Additives and Contaminants: Eightieth Report of the Joint FAO/WHO Expert Committee on Food Additives</w:t>
      </w:r>
      <w:r>
        <w:rPr>
          <w:rFonts w:ascii="Times New Roman" w:cs="Times New Roman" w:hAnsi="Times New Roman"/>
          <w:sz w:val="24"/>
          <w:szCs w:val="24"/>
        </w:rPr>
        <w:t> (Vol. 80). World Health Organization.</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Kussaga, J. B., Jacxsens, L., Tiisekwa, B. P., &amp; Luning, P. A. (2014). Food safety management systems performance in African food processing companies: A review of deficiencies and possible improvement strategies. </w:t>
      </w:r>
      <w:r>
        <w:rPr>
          <w:rFonts w:ascii="Times New Roman" w:cs="Times New Roman" w:hAnsi="Times New Roman"/>
          <w:i/>
          <w:iCs/>
          <w:sz w:val="24"/>
          <w:szCs w:val="24"/>
        </w:rPr>
        <w:t>Journal of the Science of Food and Agriculture</w:t>
      </w:r>
      <w:r>
        <w:rPr>
          <w:rFonts w:ascii="Times New Roman" w:cs="Times New Roman" w:hAnsi="Times New Roman"/>
          <w:sz w:val="24"/>
          <w:szCs w:val="24"/>
        </w:rPr>
        <w:t>, </w:t>
      </w:r>
      <w:r>
        <w:rPr>
          <w:rFonts w:ascii="Times New Roman" w:cs="Times New Roman" w:hAnsi="Times New Roman"/>
          <w:i/>
          <w:iCs/>
          <w:sz w:val="24"/>
          <w:szCs w:val="24"/>
        </w:rPr>
        <w:t>94</w:t>
      </w:r>
      <w:r>
        <w:rPr>
          <w:rFonts w:ascii="Times New Roman" w:cs="Times New Roman" w:hAnsi="Times New Roman"/>
          <w:sz w:val="24"/>
          <w:szCs w:val="24"/>
        </w:rPr>
        <w:t>(11), 2154-2169.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Lebelo, K., Malebo, N., Mochane, M. J., &amp; Masinde, M. (2021). Chemical contamination pathways and the food safety implications along the various stages of food production: a review. </w:t>
      </w:r>
      <w:r>
        <w:rPr>
          <w:rFonts w:ascii="Times New Roman" w:cs="Times New Roman" w:hAnsi="Times New Roman"/>
          <w:i/>
          <w:iCs/>
          <w:sz w:val="24"/>
          <w:szCs w:val="24"/>
        </w:rPr>
        <w:t>International journal of environmental research and public health</w:t>
      </w:r>
      <w:r>
        <w:rPr>
          <w:rFonts w:ascii="Times New Roman" w:cs="Times New Roman" w:hAnsi="Times New Roman"/>
          <w:sz w:val="24"/>
          <w:szCs w:val="24"/>
        </w:rPr>
        <w:t>, </w:t>
      </w:r>
      <w:r>
        <w:rPr>
          <w:rFonts w:ascii="Times New Roman" w:cs="Times New Roman" w:hAnsi="Times New Roman"/>
          <w:i/>
          <w:iCs/>
          <w:sz w:val="24"/>
          <w:szCs w:val="24"/>
        </w:rPr>
        <w:t>18</w:t>
      </w:r>
      <w:r>
        <w:rPr>
          <w:rFonts w:ascii="Times New Roman" w:cs="Times New Roman" w:hAnsi="Times New Roman"/>
          <w:sz w:val="24"/>
          <w:szCs w:val="24"/>
        </w:rPr>
        <w:t>(11), 5795.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lang w:val="nl-NL"/>
        </w:rPr>
        <w:t xml:space="preserve">Lelea, M. A., Garbaba, C. A., Guluma, A., &amp; Hensel, O. (2022). </w:t>
      </w:r>
      <w:r>
        <w:rPr>
          <w:rFonts w:ascii="Times New Roman" w:cs="Times New Roman" w:hAnsi="Times New Roman"/>
          <w:sz w:val="24"/>
          <w:szCs w:val="24"/>
        </w:rPr>
        <w:t>Gendering post-harvest loss research: responsibilities of women and men to manage maize after harvest in southwestern Ethiopia. </w:t>
      </w:r>
      <w:r>
        <w:rPr>
          <w:rFonts w:ascii="Times New Roman" w:cs="Times New Roman" w:hAnsi="Times New Roman"/>
          <w:i/>
          <w:iCs/>
          <w:sz w:val="24"/>
          <w:szCs w:val="24"/>
        </w:rPr>
        <w:t>Food Security</w:t>
      </w:r>
      <w:r>
        <w:rPr>
          <w:rFonts w:ascii="Times New Roman" w:cs="Times New Roman" w:hAnsi="Times New Roman"/>
          <w:sz w:val="24"/>
          <w:szCs w:val="24"/>
        </w:rPr>
        <w:t>, </w:t>
      </w:r>
      <w:r>
        <w:rPr>
          <w:rFonts w:ascii="Times New Roman" w:cs="Times New Roman" w:hAnsi="Times New Roman"/>
          <w:i/>
          <w:iCs/>
          <w:sz w:val="24"/>
          <w:szCs w:val="24"/>
        </w:rPr>
        <w:t>14</w:t>
      </w:r>
      <w:r>
        <w:rPr>
          <w:rFonts w:ascii="Times New Roman" w:cs="Times New Roman" w:hAnsi="Times New Roman"/>
          <w:sz w:val="24"/>
          <w:szCs w:val="24"/>
        </w:rPr>
        <w:t>(4), 951-963.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Madzivanzira, T., Mvumi, B. M., Nazare, R. M., Nyakudya, E., Mtambanengwe, F., &amp; Mapfumo, P. (2024). A review of appropriate mechanisation systems for sustainable traditional grain production by smallholder farmers in sub-Saharan Africa with particular reference to Zimbabwe. </w:t>
      </w:r>
      <w:r>
        <w:rPr>
          <w:rFonts w:ascii="Times New Roman" w:cs="Times New Roman" w:hAnsi="Times New Roman"/>
          <w:i/>
          <w:iCs/>
          <w:sz w:val="24"/>
          <w:szCs w:val="24"/>
        </w:rPr>
        <w:t>Heliyon</w:t>
      </w:r>
      <w:r>
        <w:rPr>
          <w:rFonts w:ascii="Times New Roman" w:cs="Times New Roman" w:hAnsi="Times New Roman"/>
          <w:sz w:val="24"/>
          <w:szCs w:val="24"/>
        </w:rPr>
        <w:t>, </w:t>
      </w:r>
      <w:r>
        <w:rPr>
          <w:rFonts w:ascii="Times New Roman" w:cs="Times New Roman" w:hAnsi="Times New Roman"/>
          <w:i/>
          <w:iCs/>
          <w:sz w:val="24"/>
          <w:szCs w:val="24"/>
        </w:rPr>
        <w:t>10</w:t>
      </w:r>
      <w:r>
        <w:rPr>
          <w:rFonts w:ascii="Times New Roman" w:cs="Times New Roman" w:hAnsi="Times New Roman"/>
          <w:sz w:val="24"/>
          <w:szCs w:val="24"/>
        </w:rPr>
        <w:t>(17).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Ogwu, M. C., Izah, S. C., Ntuli, N. R., &amp; Odubo, T. C. (2024). Food security complexities in the global south. In </w:t>
      </w:r>
      <w:r>
        <w:rPr>
          <w:rFonts w:ascii="Times New Roman" w:cs="Times New Roman" w:hAnsi="Times New Roman"/>
          <w:i/>
          <w:iCs/>
          <w:sz w:val="24"/>
          <w:szCs w:val="24"/>
        </w:rPr>
        <w:t>Food safety and quality in the global south</w:t>
      </w:r>
      <w:r>
        <w:rPr>
          <w:rFonts w:ascii="Times New Roman" w:cs="Times New Roman" w:hAnsi="Times New Roman"/>
          <w:sz w:val="24"/>
          <w:szCs w:val="24"/>
        </w:rPr>
        <w:t> (pp. 3-33). Singapore: Springer Nature Singapore.</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Oruma, S. O., Misra, S., &amp; Fernandez-Sanz, L. (2021). Agriculture 4.0: an implementation framework for food security attainment in Nigeria’s post-Covid-19 era. </w:t>
      </w:r>
      <w:r>
        <w:rPr>
          <w:rFonts w:ascii="Times New Roman" w:cs="Times New Roman" w:hAnsi="Times New Roman"/>
          <w:i/>
          <w:iCs/>
          <w:sz w:val="24"/>
          <w:szCs w:val="24"/>
        </w:rPr>
        <w:t>Ieee Access</w:t>
      </w:r>
      <w:r>
        <w:rPr>
          <w:rFonts w:ascii="Times New Roman" w:cs="Times New Roman" w:hAnsi="Times New Roman"/>
          <w:sz w:val="24"/>
          <w:szCs w:val="24"/>
        </w:rPr>
        <w:t>, </w:t>
      </w:r>
      <w:r>
        <w:rPr>
          <w:rFonts w:ascii="Times New Roman" w:cs="Times New Roman" w:hAnsi="Times New Roman"/>
          <w:i/>
          <w:iCs/>
          <w:sz w:val="24"/>
          <w:szCs w:val="24"/>
        </w:rPr>
        <w:t>9</w:t>
      </w:r>
      <w:r>
        <w:rPr>
          <w:rFonts w:ascii="Times New Roman" w:cs="Times New Roman" w:hAnsi="Times New Roman"/>
          <w:sz w:val="24"/>
          <w:szCs w:val="24"/>
        </w:rPr>
        <w:t>, 83592-83627.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lang w:val="nl-NL"/>
        </w:rPr>
        <w:t xml:space="preserve">Osuji, M. N., Ukoha, I. I., Obasi, P. C., Korie, O. C., &amp; Ehirim, N. C. (2024). </w:t>
      </w:r>
      <w:r>
        <w:rPr>
          <w:rFonts w:ascii="Times New Roman" w:cs="Times New Roman" w:hAnsi="Times New Roman"/>
          <w:sz w:val="24"/>
          <w:szCs w:val="24"/>
        </w:rPr>
        <w:t>Analysis of consumption pattern and food security status of cassava-based farmers in Imo State, Nigeria. </w:t>
      </w:r>
      <w:r>
        <w:rPr>
          <w:rFonts w:ascii="Times New Roman" w:cs="Times New Roman" w:hAnsi="Times New Roman"/>
          <w:i/>
          <w:iCs/>
          <w:sz w:val="24"/>
          <w:szCs w:val="24"/>
        </w:rPr>
        <w:t>Journal of Agriculture and Food Sciences</w:t>
      </w:r>
      <w:r>
        <w:rPr>
          <w:rFonts w:ascii="Times New Roman" w:cs="Times New Roman" w:hAnsi="Times New Roman"/>
          <w:sz w:val="24"/>
          <w:szCs w:val="24"/>
        </w:rPr>
        <w:t>, </w:t>
      </w:r>
      <w:r>
        <w:rPr>
          <w:rFonts w:ascii="Times New Roman" w:cs="Times New Roman" w:hAnsi="Times New Roman"/>
          <w:i/>
          <w:iCs/>
          <w:sz w:val="24"/>
          <w:szCs w:val="24"/>
        </w:rPr>
        <w:t>22</w:t>
      </w:r>
      <w:r>
        <w:rPr>
          <w:rFonts w:ascii="Times New Roman" w:cs="Times New Roman" w:hAnsi="Times New Roman"/>
          <w:sz w:val="24"/>
          <w:szCs w:val="24"/>
        </w:rPr>
        <w:t>(1), 58-68.</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Oyesigye, E., Cervini, C., Mahuku, G., &amp; Medina, A. (2024). Potential impact of current agricultural practices on mycotoxin occurrence and mycotoxin knowledge along the cassava value chain in Uganda. </w:t>
      </w:r>
      <w:r>
        <w:rPr>
          <w:rFonts w:ascii="Times New Roman" w:cs="Times New Roman" w:hAnsi="Times New Roman"/>
          <w:i/>
          <w:iCs/>
          <w:sz w:val="24"/>
          <w:szCs w:val="24"/>
        </w:rPr>
        <w:t>Journal of food protection</w:t>
      </w:r>
      <w:r>
        <w:rPr>
          <w:rFonts w:ascii="Times New Roman" w:cs="Times New Roman" w:hAnsi="Times New Roman"/>
          <w:sz w:val="24"/>
          <w:szCs w:val="24"/>
        </w:rPr>
        <w:t>, </w:t>
      </w:r>
      <w:r>
        <w:rPr>
          <w:rFonts w:ascii="Times New Roman" w:cs="Times New Roman" w:hAnsi="Times New Roman"/>
          <w:i/>
          <w:iCs/>
          <w:sz w:val="24"/>
          <w:szCs w:val="24"/>
        </w:rPr>
        <w:t>87</w:t>
      </w:r>
      <w:r>
        <w:rPr>
          <w:rFonts w:ascii="Times New Roman" w:cs="Times New Roman" w:hAnsi="Times New Roman"/>
          <w:sz w:val="24"/>
          <w:szCs w:val="24"/>
        </w:rPr>
        <w:t>(9), 100340.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lang w:val="nl-NL"/>
        </w:rPr>
        <w:t xml:space="preserve">Qazi, A., &amp; Al-Mhdawi, M. K. S. (2025). </w:t>
      </w:r>
      <w:r>
        <w:rPr>
          <w:rFonts w:ascii="Times New Roman" w:cs="Times New Roman" w:hAnsi="Times New Roman"/>
          <w:sz w:val="24"/>
          <w:szCs w:val="24"/>
        </w:rPr>
        <w:t>Quality and safety nexus: exploring critical factors in global food security. </w:t>
      </w:r>
      <w:r>
        <w:rPr>
          <w:rFonts w:ascii="Times New Roman" w:cs="Times New Roman" w:hAnsi="Times New Roman"/>
          <w:i/>
          <w:iCs/>
          <w:sz w:val="24"/>
          <w:szCs w:val="24"/>
        </w:rPr>
        <w:t>International Journal of Quality &amp; Reliability Management</w:t>
      </w:r>
      <w:r>
        <w:rPr>
          <w:rFonts w:ascii="Times New Roman" w:cs="Times New Roman" w:hAnsi="Times New Roman"/>
          <w:sz w:val="24"/>
          <w:szCs w:val="24"/>
        </w:rPr>
        <w:t>, </w:t>
      </w:r>
      <w:r>
        <w:rPr>
          <w:rFonts w:ascii="Times New Roman" w:cs="Times New Roman" w:hAnsi="Times New Roman"/>
          <w:i/>
          <w:iCs/>
          <w:sz w:val="24"/>
          <w:szCs w:val="24"/>
        </w:rPr>
        <w:t>42</w:t>
      </w:r>
      <w:r>
        <w:rPr>
          <w:rFonts w:ascii="Times New Roman" w:cs="Times New Roman" w:hAnsi="Times New Roman"/>
          <w:sz w:val="24"/>
          <w:szCs w:val="24"/>
        </w:rPr>
        <w:t>(3), 1018-1040.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Saha, B., Fatima, A., Saha, S., Sahoo, S. K., &amp; Poddar, P. (2024). Environmental Pollution Due to Improper Use of Chemical Fertilizers and Their Remediation. In </w:t>
      </w:r>
      <w:r>
        <w:rPr>
          <w:rFonts w:ascii="Times New Roman" w:cs="Times New Roman" w:hAnsi="Times New Roman"/>
          <w:i/>
          <w:iCs/>
          <w:sz w:val="24"/>
          <w:szCs w:val="24"/>
        </w:rPr>
        <w:t>Environmental Contaminants</w:t>
      </w:r>
      <w:r>
        <w:rPr>
          <w:rFonts w:ascii="Times New Roman" w:cs="Times New Roman" w:hAnsi="Times New Roman"/>
          <w:sz w:val="24"/>
          <w:szCs w:val="24"/>
        </w:rPr>
        <w:t> (pp. 203-219). Apple Academic Press.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Samuel, T. M., Adetifa, B. O., Uzzi, F. O., Lawal, N. S., &amp; Babalola, A. A. (2024). Food poisoning: Strategic implementation of hazards and quality analyses of critical control points for cassava processing. In </w:t>
      </w:r>
      <w:r>
        <w:rPr>
          <w:rFonts w:ascii="Times New Roman" w:cs="Times New Roman" w:hAnsi="Times New Roman"/>
          <w:i/>
          <w:iCs/>
          <w:sz w:val="24"/>
          <w:szCs w:val="24"/>
        </w:rPr>
        <w:t>Sustainable Engineering: Concepts and Practices</w:t>
      </w:r>
      <w:r>
        <w:rPr>
          <w:rFonts w:ascii="Times New Roman" w:cs="Times New Roman" w:hAnsi="Times New Roman"/>
          <w:sz w:val="24"/>
          <w:szCs w:val="24"/>
        </w:rPr>
        <w:t> (pp. 97-118). Cham: Springer International Publishing.</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Shahbazi, F., Shahbazi, S., &amp; Zare, D. (2025). Losses in Agricultural Produce: Causes and Effects on Food Security. </w:t>
      </w:r>
      <w:r>
        <w:rPr>
          <w:rFonts w:ascii="Times New Roman" w:cs="Times New Roman" w:hAnsi="Times New Roman"/>
          <w:i/>
          <w:iCs/>
          <w:sz w:val="24"/>
          <w:szCs w:val="24"/>
        </w:rPr>
        <w:t>Food and Energy Security</w:t>
      </w:r>
      <w:r>
        <w:rPr>
          <w:rFonts w:ascii="Times New Roman" w:cs="Times New Roman" w:hAnsi="Times New Roman"/>
          <w:sz w:val="24"/>
          <w:szCs w:val="24"/>
        </w:rPr>
        <w:t>, </w:t>
      </w:r>
      <w:r>
        <w:rPr>
          <w:rFonts w:ascii="Times New Roman" w:cs="Times New Roman" w:hAnsi="Times New Roman"/>
          <w:i/>
          <w:iCs/>
          <w:sz w:val="24"/>
          <w:szCs w:val="24"/>
        </w:rPr>
        <w:t>14</w:t>
      </w:r>
      <w:r>
        <w:rPr>
          <w:rFonts w:ascii="Times New Roman" w:cs="Times New Roman" w:hAnsi="Times New Roman"/>
          <w:sz w:val="24"/>
          <w:szCs w:val="24"/>
        </w:rPr>
        <w:t>(3), e70086.</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Temesgen, A., Yenew, C., Bayeh, G.M., Ejigu, A.G., Gebeyehu, A.A., Tsega, T.D., Ahmed, A.F., Yemata, G.A., Yirdaw, G., Tsega, S.S.  &amp; Yeshiwas, A. G. (2025). Assessing pesticide handling practices and predictors among farm workers in Awi zonal administration using health belief model. </w:t>
      </w:r>
      <w:r>
        <w:rPr>
          <w:rFonts w:ascii="Times New Roman" w:cs="Times New Roman" w:hAnsi="Times New Roman"/>
          <w:i/>
          <w:iCs/>
          <w:sz w:val="24"/>
          <w:szCs w:val="24"/>
        </w:rPr>
        <w:t>Scientific Reports</w:t>
      </w:r>
      <w:r>
        <w:rPr>
          <w:rFonts w:ascii="Times New Roman" w:cs="Times New Roman" w:hAnsi="Times New Roman"/>
          <w:sz w:val="24"/>
          <w:szCs w:val="24"/>
        </w:rPr>
        <w:t>, </w:t>
      </w:r>
      <w:r>
        <w:rPr>
          <w:rFonts w:ascii="Times New Roman" w:cs="Times New Roman" w:hAnsi="Times New Roman"/>
          <w:i/>
          <w:iCs/>
          <w:sz w:val="24"/>
          <w:szCs w:val="24"/>
        </w:rPr>
        <w:t>15</w:t>
      </w:r>
      <w:r>
        <w:rPr>
          <w:rFonts w:ascii="Times New Roman" w:cs="Times New Roman" w:hAnsi="Times New Roman"/>
          <w:sz w:val="24"/>
          <w:szCs w:val="24"/>
        </w:rPr>
        <w:t>(1), 33635.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Usman, A. (2024). Influence of Agricultural Practices on Food Safety in Nigeria. </w:t>
      </w:r>
      <w:r>
        <w:rPr>
          <w:rFonts w:ascii="Times New Roman" w:cs="Times New Roman" w:hAnsi="Times New Roman"/>
          <w:i/>
          <w:iCs/>
          <w:sz w:val="24"/>
          <w:szCs w:val="24"/>
        </w:rPr>
        <w:t>Int. J. Food Sci</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 43-54.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Uzoho, C. (2025). The role of contaminated water in food poisoning: An assessment of agricultural and processing practices. </w:t>
      </w:r>
      <w:r>
        <w:rPr>
          <w:rFonts w:ascii="Times New Roman" w:cs="Times New Roman" w:hAnsi="Times New Roman"/>
          <w:i/>
          <w:iCs/>
          <w:sz w:val="24"/>
          <w:szCs w:val="24"/>
        </w:rPr>
        <w:t>Communication in Physical Sciences</w:t>
      </w:r>
      <w:r>
        <w:rPr>
          <w:rFonts w:ascii="Times New Roman" w:cs="Times New Roman" w:hAnsi="Times New Roman"/>
          <w:sz w:val="24"/>
          <w:szCs w:val="24"/>
        </w:rPr>
        <w:t>, </w:t>
      </w:r>
      <w:r>
        <w:rPr>
          <w:rFonts w:ascii="Times New Roman" w:cs="Times New Roman" w:hAnsi="Times New Roman"/>
          <w:i/>
          <w:iCs/>
          <w:sz w:val="24"/>
          <w:szCs w:val="24"/>
        </w:rPr>
        <w:t>12</w:t>
      </w:r>
      <w:r>
        <w:rPr>
          <w:rFonts w:ascii="Times New Roman" w:cs="Times New Roman" w:hAnsi="Times New Roman"/>
          <w:sz w:val="24"/>
          <w:szCs w:val="24"/>
        </w:rPr>
        <w:t>(2), 658-673.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Wossen, T., Menkir, A., Alene, A., Abdoulaye, T., Ajala, S., Badu-Apraku, B., Gedil, M., Mengesha, W. &amp; Meseka, S. (2023). Drivers of transformation of the maize sector in Nigeria. </w:t>
      </w:r>
      <w:r>
        <w:rPr>
          <w:rFonts w:ascii="Times New Roman" w:cs="Times New Roman" w:hAnsi="Times New Roman"/>
          <w:i/>
          <w:iCs/>
          <w:sz w:val="24"/>
          <w:szCs w:val="24"/>
        </w:rPr>
        <w:t>Global Food Security</w:t>
      </w:r>
      <w:r>
        <w:rPr>
          <w:rFonts w:ascii="Times New Roman" w:cs="Times New Roman" w:hAnsi="Times New Roman"/>
          <w:sz w:val="24"/>
          <w:szCs w:val="24"/>
        </w:rPr>
        <w:t>, </w:t>
      </w:r>
      <w:r>
        <w:rPr>
          <w:rFonts w:ascii="Times New Roman" w:cs="Times New Roman" w:hAnsi="Times New Roman"/>
          <w:i/>
          <w:iCs/>
          <w:sz w:val="24"/>
          <w:szCs w:val="24"/>
        </w:rPr>
        <w:t>38</w:t>
      </w:r>
      <w:r>
        <w:rPr>
          <w:rFonts w:ascii="Times New Roman" w:cs="Times New Roman" w:hAnsi="Times New Roman"/>
          <w:sz w:val="24"/>
          <w:szCs w:val="24"/>
        </w:rPr>
        <w:t>, 100713.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lang w:val="nl-NL"/>
        </w:rPr>
        <w:t xml:space="preserve">Osei-Kwarteng, M., Ogwu, M. C., Mahunu, G. K., &amp; Afoakwah, N. A. (2024). </w:t>
      </w:r>
      <w:r>
        <w:rPr>
          <w:rFonts w:ascii="Times New Roman" w:cs="Times New Roman" w:hAnsi="Times New Roman"/>
          <w:sz w:val="24"/>
          <w:szCs w:val="24"/>
        </w:rPr>
        <w:t>Post-harvest Food Quality and Safety in the Global South: Sustainable Management Perspectives. In </w:t>
      </w:r>
      <w:r>
        <w:rPr>
          <w:rFonts w:ascii="Times New Roman" w:cs="Times New Roman" w:hAnsi="Times New Roman"/>
          <w:i/>
          <w:iCs/>
          <w:sz w:val="24"/>
          <w:szCs w:val="24"/>
        </w:rPr>
        <w:t>Food Safety and Quality in the Global South</w:t>
      </w:r>
      <w:r>
        <w:rPr>
          <w:rFonts w:ascii="Times New Roman" w:cs="Times New Roman" w:hAnsi="Times New Roman"/>
          <w:sz w:val="24"/>
          <w:szCs w:val="24"/>
        </w:rPr>
        <w:t> (pp. 151-195). Singapore: Springer Nature Singapore.</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Aworh, O. C. (2021). Food safety issues in fresh produce supply chain with particular reference to sub-Saharan Africa. </w:t>
      </w:r>
      <w:r>
        <w:rPr>
          <w:rFonts w:ascii="Times New Roman" w:cs="Times New Roman" w:hAnsi="Times New Roman"/>
          <w:i/>
          <w:iCs/>
          <w:sz w:val="24"/>
          <w:szCs w:val="24"/>
        </w:rPr>
        <w:t>Food Control</w:t>
      </w:r>
      <w:r>
        <w:rPr>
          <w:rFonts w:ascii="Times New Roman" w:cs="Times New Roman" w:hAnsi="Times New Roman"/>
          <w:sz w:val="24"/>
          <w:szCs w:val="24"/>
        </w:rPr>
        <w:t>, </w:t>
      </w:r>
      <w:r>
        <w:rPr>
          <w:rFonts w:ascii="Times New Roman" w:cs="Times New Roman" w:hAnsi="Times New Roman"/>
          <w:i/>
          <w:iCs/>
          <w:sz w:val="24"/>
          <w:szCs w:val="24"/>
        </w:rPr>
        <w:t>123</w:t>
      </w:r>
      <w:r>
        <w:rPr>
          <w:rFonts w:ascii="Times New Roman" w:cs="Times New Roman" w:hAnsi="Times New Roman"/>
          <w:sz w:val="24"/>
          <w:szCs w:val="24"/>
        </w:rPr>
        <w:t>, 107737.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Gichohi-Wainaina, W. N., Kumwenda, N., Zulu, R., Munthali, J., &amp; Okori, P. (2021). Aflatoxin contamination: Knowledge disparities among agriculture extension officers, frontline health workers and small holder farming households in Malawi. </w:t>
      </w:r>
      <w:r>
        <w:rPr>
          <w:rFonts w:ascii="Times New Roman" w:cs="Times New Roman" w:hAnsi="Times New Roman"/>
          <w:i/>
          <w:iCs/>
          <w:sz w:val="24"/>
          <w:szCs w:val="24"/>
        </w:rPr>
        <w:t>Food Control</w:t>
      </w:r>
      <w:r>
        <w:rPr>
          <w:rFonts w:ascii="Times New Roman" w:cs="Times New Roman" w:hAnsi="Times New Roman"/>
          <w:sz w:val="24"/>
          <w:szCs w:val="24"/>
        </w:rPr>
        <w:t>, </w:t>
      </w:r>
      <w:r>
        <w:rPr>
          <w:rFonts w:ascii="Times New Roman" w:cs="Times New Roman" w:hAnsi="Times New Roman"/>
          <w:i/>
          <w:iCs/>
          <w:sz w:val="24"/>
          <w:szCs w:val="24"/>
        </w:rPr>
        <w:t>121</w:t>
      </w:r>
      <w:r>
        <w:rPr>
          <w:rFonts w:ascii="Times New Roman" w:cs="Times New Roman" w:hAnsi="Times New Roman"/>
          <w:sz w:val="24"/>
          <w:szCs w:val="24"/>
        </w:rPr>
        <w:t>, 107672.</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Dewi, Y.A., Yulianti, A., Hanifah, V.W., Jamal, E., Sarwani, M., Mardiharini, M., Anugrah, I.S., Darwis, V., Suib, E., Herteddy, D.  &amp; Harsanti, E. S. (2022). Farmers' knowledge and practice regarding good agricultural practices (GAP) on safe pesticide usage in Indonesia. </w:t>
      </w:r>
      <w:r>
        <w:rPr>
          <w:rFonts w:ascii="Times New Roman" w:cs="Times New Roman" w:hAnsi="Times New Roman"/>
          <w:i/>
          <w:iCs/>
          <w:sz w:val="24"/>
          <w:szCs w:val="24"/>
        </w:rPr>
        <w:t>Heliyon</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(1).</w:t>
      </w:r>
      <w:r>
        <w:t xml:space="preserve"> </w:t>
      </w:r>
      <w:r>
        <w:rPr>
          <w:rFonts w:ascii="Times New Roman" w:cs="Times New Roman" w:hAnsi="Times New Roman"/>
          <w:sz w:val="24"/>
          <w:szCs w:val="24"/>
        </w:rPr>
        <w:t>e08708</w:t>
      </w:r>
      <w:r>
        <w:rPr>
          <w:rFonts w:ascii="Times New Roman" w:cs="Times New Roman" w:hAnsi="Times New Roman"/>
          <w:sz w:val="24"/>
          <w:szCs w:val="24"/>
        </w:rPr>
        <w:t>.</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Ogwu, M. C., Izah, S. C., Ntuli, N. R., &amp; Odubo, T. C. (2024). Food security complexities in the global south. In </w:t>
      </w:r>
      <w:r>
        <w:rPr>
          <w:rFonts w:ascii="Times New Roman" w:cs="Times New Roman" w:hAnsi="Times New Roman"/>
          <w:i/>
          <w:iCs/>
          <w:sz w:val="24"/>
          <w:szCs w:val="24"/>
        </w:rPr>
        <w:t>Food safety and quality in the global south</w:t>
      </w:r>
      <w:r>
        <w:rPr>
          <w:rFonts w:ascii="Times New Roman" w:cs="Times New Roman" w:hAnsi="Times New Roman"/>
          <w:sz w:val="24"/>
          <w:szCs w:val="24"/>
        </w:rPr>
        <w:t> (pp. 3-33). Singapore: Springer Nature Singapore.</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Mayanja, S., Mudege, N., Snyder, K. A., Kwikiriza, N., Munda, E., Achora, J., &amp; Grant, F. (2022). Commercialisation of the sweetpotato value chain: Impacts on women producers in Mozambique. </w:t>
      </w:r>
      <w:r>
        <w:rPr>
          <w:rFonts w:ascii="Times New Roman" w:cs="Times New Roman" w:hAnsi="Times New Roman"/>
          <w:i/>
          <w:iCs/>
          <w:sz w:val="24"/>
          <w:szCs w:val="24"/>
        </w:rPr>
        <w:t>Outlook on Agriculture</w:t>
      </w:r>
      <w:r>
        <w:rPr>
          <w:rFonts w:ascii="Times New Roman" w:cs="Times New Roman" w:hAnsi="Times New Roman"/>
          <w:sz w:val="24"/>
          <w:szCs w:val="24"/>
        </w:rPr>
        <w:t>, </w:t>
      </w:r>
      <w:r>
        <w:rPr>
          <w:rFonts w:ascii="Times New Roman" w:cs="Times New Roman" w:hAnsi="Times New Roman"/>
          <w:i/>
          <w:iCs/>
          <w:sz w:val="24"/>
          <w:szCs w:val="24"/>
        </w:rPr>
        <w:t>51</w:t>
      </w:r>
      <w:r>
        <w:rPr>
          <w:rFonts w:ascii="Times New Roman" w:cs="Times New Roman" w:hAnsi="Times New Roman"/>
          <w:sz w:val="24"/>
          <w:szCs w:val="24"/>
        </w:rPr>
        <w:t>(3), 349-358.</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Gyamfi, E. K., ElSayed, Z., Kropczynski, J., Yakubu, M. A., &amp; Elsayed, N. (2024, April). Agricultural 4.0 leveraging on technological solutions: Study for smart farming sector. In </w:t>
      </w:r>
      <w:r>
        <w:rPr>
          <w:rFonts w:ascii="Times New Roman" w:cs="Times New Roman" w:hAnsi="Times New Roman"/>
          <w:i/>
          <w:iCs/>
          <w:sz w:val="24"/>
          <w:szCs w:val="24"/>
        </w:rPr>
        <w:t>2024 IEEE 3rd International Conference on Computing and Machine Intelligence (ICMI)</w:t>
      </w:r>
      <w:r>
        <w:rPr>
          <w:rFonts w:ascii="Times New Roman" w:cs="Times New Roman" w:hAnsi="Times New Roman"/>
          <w:sz w:val="24"/>
          <w:szCs w:val="24"/>
        </w:rPr>
        <w:t> (pp. 1-9). IEEE.</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Malkanthi, S. H. P., Thenuwara, A. M., &amp; Weerasinghe, W. A. R. N. (2021). Attitude of Vegetable Farmers in Galle District in Sri Lanka Towards Good Agricultural Practices (GAP). </w:t>
      </w:r>
      <w:r>
        <w:rPr>
          <w:rFonts w:ascii="Times New Roman" w:cs="Times New Roman" w:hAnsi="Times New Roman"/>
          <w:i/>
          <w:iCs/>
          <w:sz w:val="24"/>
          <w:szCs w:val="24"/>
        </w:rPr>
        <w:t>Contemporary Agriculture</w:t>
      </w:r>
      <w:r>
        <w:rPr>
          <w:rFonts w:ascii="Times New Roman" w:cs="Times New Roman" w:hAnsi="Times New Roman"/>
          <w:sz w:val="24"/>
          <w:szCs w:val="24"/>
        </w:rPr>
        <w:t>, </w:t>
      </w:r>
      <w:r>
        <w:rPr>
          <w:rFonts w:ascii="Times New Roman" w:cs="Times New Roman" w:hAnsi="Times New Roman"/>
          <w:i/>
          <w:iCs/>
          <w:sz w:val="24"/>
          <w:szCs w:val="24"/>
        </w:rPr>
        <w:t>70</w:t>
      </w:r>
      <w:r>
        <w:rPr>
          <w:rFonts w:ascii="Times New Roman" w:cs="Times New Roman" w:hAnsi="Times New Roman"/>
          <w:sz w:val="24"/>
          <w:szCs w:val="24"/>
        </w:rPr>
        <w:t>(1-2), 54-66.</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Delgado-Demera, M. H., Vasquez-Gamboa, L., Zambrano-Alcivar, E. R., Zambrano-Gavilanes, M. P., Vera-Loor, L. E., López-Rauschemberg, M. K., ... &amp; Macías-Rodriguez, E. G. (2024). Impact of the educational level of the owners on the implementation of good livestock practices on selected farms. </w:t>
      </w:r>
      <w:r>
        <w:rPr>
          <w:rFonts w:ascii="Times New Roman" w:cs="Times New Roman" w:hAnsi="Times New Roman"/>
          <w:i/>
          <w:iCs/>
          <w:sz w:val="24"/>
          <w:szCs w:val="24"/>
        </w:rPr>
        <w:t>Journal of Animal Behaviour and Biometeorology</w:t>
      </w:r>
      <w:r>
        <w:rPr>
          <w:rFonts w:ascii="Times New Roman" w:cs="Times New Roman" w:hAnsi="Times New Roman"/>
          <w:sz w:val="24"/>
          <w:szCs w:val="24"/>
        </w:rPr>
        <w:t>, </w:t>
      </w:r>
      <w:r>
        <w:rPr>
          <w:rFonts w:ascii="Times New Roman" w:cs="Times New Roman" w:hAnsi="Times New Roman"/>
          <w:i/>
          <w:iCs/>
          <w:sz w:val="24"/>
          <w:szCs w:val="24"/>
        </w:rPr>
        <w:t>12</w:t>
      </w:r>
      <w:r>
        <w:rPr>
          <w:rFonts w:ascii="Times New Roman" w:cs="Times New Roman" w:hAnsi="Times New Roman"/>
          <w:sz w:val="24"/>
          <w:szCs w:val="24"/>
        </w:rPr>
        <w:t>(4), 2024027-2024027.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Madzivanzira, T., Mvumi, B. M., Nazare, R. M., Nyakudya, E., Mtambanengwe, F., &amp; Mapfumo, P. (2024). A review of appropriate mechanisation systems for sustainable traditional grain production by smallholder farmers in sub-Saharan Africa with particular reference to Zimbabwe. </w:t>
      </w:r>
      <w:r>
        <w:rPr>
          <w:rFonts w:ascii="Times New Roman" w:cs="Times New Roman" w:hAnsi="Times New Roman"/>
          <w:i/>
          <w:iCs/>
          <w:sz w:val="24"/>
          <w:szCs w:val="24"/>
        </w:rPr>
        <w:t>Heliyon</w:t>
      </w:r>
      <w:r>
        <w:rPr>
          <w:rFonts w:ascii="Times New Roman" w:cs="Times New Roman" w:hAnsi="Times New Roman"/>
          <w:sz w:val="24"/>
          <w:szCs w:val="24"/>
        </w:rPr>
        <w:t>, </w:t>
      </w:r>
      <w:r>
        <w:rPr>
          <w:rFonts w:ascii="Times New Roman" w:cs="Times New Roman" w:hAnsi="Times New Roman"/>
          <w:i/>
          <w:iCs/>
          <w:sz w:val="24"/>
          <w:szCs w:val="24"/>
        </w:rPr>
        <w:t>10</w:t>
      </w:r>
      <w:r>
        <w:rPr>
          <w:rFonts w:ascii="Times New Roman" w:cs="Times New Roman" w:hAnsi="Times New Roman"/>
          <w:sz w:val="24"/>
          <w:szCs w:val="24"/>
        </w:rPr>
        <w:t>(17).</w:t>
      </w:r>
      <w:r>
        <w:t xml:space="preserve"> </w:t>
      </w:r>
      <w:r>
        <w:rPr>
          <w:rFonts w:ascii="Times New Roman" w:cs="Times New Roman" w:hAnsi="Times New Roman"/>
          <w:sz w:val="24"/>
          <w:szCs w:val="24"/>
        </w:rPr>
        <w:t>e36695</w:t>
      </w:r>
      <w:r>
        <w:rPr>
          <w:rFonts w:ascii="Times New Roman" w:cs="Times New Roman" w:hAnsi="Times New Roman"/>
          <w:sz w:val="24"/>
          <w:szCs w:val="24"/>
        </w:rPr>
        <w:t>.</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lang w:val="nl-NL"/>
        </w:rPr>
        <w:t xml:space="preserve">Ugwuoke, C. U., Omeje, B. A., &amp; Eze, G. E. (2024). </w:t>
      </w:r>
      <w:r>
        <w:rPr>
          <w:rFonts w:ascii="Times New Roman" w:cs="Times New Roman" w:hAnsi="Times New Roman"/>
          <w:sz w:val="24"/>
          <w:szCs w:val="24"/>
        </w:rPr>
        <w:t>Consequences of Excessive Application of Agricultural Chemicals on the Sustainable Environment and Food Security. </w:t>
      </w:r>
      <w:r>
        <w:rPr>
          <w:rFonts w:ascii="Times New Roman" w:cs="Times New Roman" w:hAnsi="Times New Roman"/>
          <w:i/>
          <w:iCs/>
          <w:sz w:val="24"/>
          <w:szCs w:val="24"/>
        </w:rPr>
        <w:t>International Journal of Agricultural Education and Research, 2 (1) 100</w:t>
      </w:r>
      <w:r>
        <w:rPr>
          <w:rFonts w:ascii="Times New Roman" w:cs="Times New Roman" w:hAnsi="Times New Roman"/>
          <w:sz w:val="24"/>
          <w:szCs w:val="24"/>
        </w:rPr>
        <w:t>, </w:t>
      </w:r>
      <w:r>
        <w:rPr>
          <w:rFonts w:ascii="Times New Roman" w:cs="Times New Roman" w:hAnsi="Times New Roman"/>
          <w:i/>
          <w:iCs/>
          <w:sz w:val="24"/>
          <w:szCs w:val="24"/>
        </w:rPr>
        <w:t>108</w:t>
      </w:r>
      <w:r>
        <w:rPr>
          <w:rFonts w:ascii="Times New Roman" w:cs="Times New Roman" w:hAnsi="Times New Roman"/>
          <w:sz w:val="24"/>
          <w:szCs w:val="24"/>
        </w:rPr>
        <w:t>.</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Agou, G.D., Onwubuya, E.A., Agwu, E.A., Chah, J.M., Olaolu, M.O., Izuogu, C.U., Njoku, L.C., Obazi, S.A.&amp; Inyang, P. (2024). Food Safety Practices of Maize farmers in Taraba State, Nigeria. </w:t>
      </w:r>
      <w:r>
        <w:rPr>
          <w:rFonts w:ascii="Times New Roman" w:cs="Times New Roman" w:hAnsi="Times New Roman"/>
          <w:i/>
          <w:iCs/>
          <w:sz w:val="24"/>
          <w:szCs w:val="24"/>
        </w:rPr>
        <w:t>Journal of Agricultural Extension</w:t>
      </w:r>
      <w:r>
        <w:rPr>
          <w:rFonts w:ascii="Times New Roman" w:cs="Times New Roman" w:hAnsi="Times New Roman"/>
          <w:sz w:val="24"/>
          <w:szCs w:val="24"/>
        </w:rPr>
        <w:t>, </w:t>
      </w:r>
      <w:r>
        <w:rPr>
          <w:rFonts w:ascii="Times New Roman" w:cs="Times New Roman" w:hAnsi="Times New Roman"/>
          <w:i/>
          <w:iCs/>
          <w:sz w:val="24"/>
          <w:szCs w:val="24"/>
        </w:rPr>
        <w:t>28</w:t>
      </w:r>
      <w:r>
        <w:rPr>
          <w:rFonts w:ascii="Times New Roman" w:cs="Times New Roman" w:hAnsi="Times New Roman"/>
          <w:sz w:val="24"/>
          <w:szCs w:val="24"/>
        </w:rPr>
        <w:t>(2), 98-107.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Pranoto, Y. S., Hariadi, S. S., &amp; Raya, A. B. (2024). Urgency role of agricultural extension workers to improve the implementation of good agricultural practices geographical indications (gap-gi) for pepper farmers. </w:t>
      </w:r>
      <w:r>
        <w:rPr>
          <w:rFonts w:ascii="Times New Roman" w:cs="Times New Roman" w:hAnsi="Times New Roman"/>
          <w:i/>
          <w:iCs/>
          <w:sz w:val="24"/>
          <w:szCs w:val="24"/>
        </w:rPr>
        <w:t>International Journal of Academic Research in Business and Social Sciences</w:t>
      </w:r>
      <w:r>
        <w:rPr>
          <w:rFonts w:ascii="Times New Roman" w:cs="Times New Roman" w:hAnsi="Times New Roman"/>
          <w:sz w:val="24"/>
          <w:szCs w:val="24"/>
        </w:rPr>
        <w:t>, </w:t>
      </w:r>
      <w:r>
        <w:rPr>
          <w:rFonts w:ascii="Times New Roman" w:cs="Times New Roman" w:hAnsi="Times New Roman"/>
          <w:i/>
          <w:iCs/>
          <w:sz w:val="24"/>
          <w:szCs w:val="24"/>
        </w:rPr>
        <w:t>14</w:t>
      </w:r>
      <w:r>
        <w:rPr>
          <w:rFonts w:ascii="Times New Roman" w:cs="Times New Roman" w:hAnsi="Times New Roman"/>
          <w:sz w:val="24"/>
          <w:szCs w:val="24"/>
        </w:rPr>
        <w:t>(2), 762-775.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Zhang, R., Feng, Y., Li, Y., &amp; Zheng, K. (2024). Can different information channels promote farmers’ adoption of Agricultural Green Production Technologies? Empirical insights from Sichuan Province. </w:t>
      </w:r>
      <w:r>
        <w:rPr>
          <w:rFonts w:ascii="Times New Roman" w:cs="Times New Roman" w:hAnsi="Times New Roman"/>
          <w:i/>
          <w:iCs/>
          <w:sz w:val="24"/>
          <w:szCs w:val="24"/>
        </w:rPr>
        <w:t>PloS one</w:t>
      </w:r>
      <w:r>
        <w:rPr>
          <w:rFonts w:ascii="Times New Roman" w:cs="Times New Roman" w:hAnsi="Times New Roman"/>
          <w:sz w:val="24"/>
          <w:szCs w:val="24"/>
        </w:rPr>
        <w:t>, </w:t>
      </w:r>
      <w:r>
        <w:rPr>
          <w:rFonts w:ascii="Times New Roman" w:cs="Times New Roman" w:hAnsi="Times New Roman"/>
          <w:i/>
          <w:iCs/>
          <w:sz w:val="24"/>
          <w:szCs w:val="24"/>
        </w:rPr>
        <w:t>19</w:t>
      </w:r>
      <w:r>
        <w:rPr>
          <w:rFonts w:ascii="Times New Roman" w:cs="Times New Roman" w:hAnsi="Times New Roman"/>
          <w:sz w:val="24"/>
          <w:szCs w:val="24"/>
        </w:rPr>
        <w:t>(8), e0308398.</w:t>
      </w:r>
    </w:p>
    <w:p>
      <w:pPr>
        <w:pStyle w:val="style0"/>
        <w:ind w:left="720" w:hanging="720"/>
        <w:jc w:val="both"/>
        <w:rPr>
          <w:rFonts w:ascii="Times New Roman" w:cs="Times New Roman" w:hAnsi="Times New Roman"/>
          <w:sz w:val="24"/>
          <w:szCs w:val="24"/>
        </w:rPr>
      </w:pPr>
    </w:p>
    <w:p>
      <w:pPr>
        <w:pStyle w:val="style0"/>
        <w:ind w:left="720" w:hanging="72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Helvetica">
    <w:altName w:val="Times New Roman"/>
    <w:panose1 w:val="02020603050005020304"/>
    <w:charset w:val="00"/>
    <w:family w:val="roman"/>
    <w:pitch w:val="variable"/>
    <w:sig w:usb0="20007A87" w:usb1="80000000" w:usb2="00000008" w:usb3="00000000" w:csb0="000001FF" w:csb1="00000000"/>
  </w:font>
  <w:font w:name="MS Mincho">
    <w:altName w:val="Times New Roman"/>
    <w:panose1 w:val="02020603050005020304"/>
    <w:charset w:val="00"/>
    <w:family w:val="roman"/>
    <w:pitch w:val="variable"/>
    <w:sig w:usb0="20007A87" w:usb1="80000000" w:usb2="00000008"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4A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8A90440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A000CB2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F3652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139A73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C22A71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7C0A11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47DC55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AFADF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2EE208E2"/>
    <w:lvl w:ilvl="0" w:tplc="6590C6EC">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A"/>
    <w:multiLevelType w:val="hybridMultilevel"/>
    <w:tmpl w:val="67745E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multilevel"/>
    <w:tmpl w:val="324C0A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22C8CB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212A8EC2"/>
    <w:lvl w:ilvl="0" w:tplc="E7FC6D6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0"/>
  </w:num>
  <w:num w:numId="2">
    <w:abstractNumId w:val="4"/>
  </w:num>
  <w:num w:numId="3">
    <w:abstractNumId w:val="5"/>
  </w:num>
  <w:num w:numId="4">
    <w:abstractNumId w:val="11"/>
  </w:num>
  <w:num w:numId="5">
    <w:abstractNumId w:val="7"/>
  </w:num>
  <w:num w:numId="6">
    <w:abstractNumId w:val="12"/>
  </w:num>
  <w:num w:numId="7">
    <w:abstractNumId w:val="8"/>
  </w:num>
  <w:num w:numId="8">
    <w:abstractNumId w:val="0"/>
  </w:num>
  <w:num w:numId="9">
    <w:abstractNumId w:val="13"/>
  </w:num>
  <w:num w:numId="10">
    <w:abstractNumId w:val="6"/>
  </w:num>
  <w:num w:numId="11">
    <w:abstractNumId w:val="2"/>
  </w:num>
  <w:num w:numId="12">
    <w:abstractNumId w:val="3"/>
  </w:num>
  <w:num w:numId="13">
    <w:abstractNumId w:val="1"/>
  </w:num>
  <w:num w:numId="1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9"/>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0"/>
    <w:link w:val="style4098"/>
    <w:qFormat/>
    <w:uiPriority w:val="9"/>
    <w:pPr>
      <w:keepNext/>
      <w:keepLines/>
      <w:spacing w:before="40" w:after="0"/>
      <w:outlineLvl w:val="2"/>
    </w:pPr>
    <w:rPr>
      <w:rFonts w:ascii="Calibri Light" w:cs="宋体"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94">
    <w:name w:val="Normal (Web)"/>
    <w:basedOn w:val="style0"/>
    <w:next w:val="style94"/>
    <w:uiPriority w:val="99"/>
    <w:pPr/>
    <w:rPr>
      <w:rFonts w:ascii="Times New Roman" w:cs="Times New Roman" w:hAnsi="Times New Roman"/>
      <w:sz w:val="24"/>
      <w:szCs w:val="24"/>
    </w:rPr>
  </w:style>
  <w:style w:type="character" w:customStyle="1" w:styleId="style4098">
    <w:name w:val="Heading 3 Char_daa5b691-55d1-4951-b67c-637472b45ed5"/>
    <w:basedOn w:val="style65"/>
    <w:next w:val="style4098"/>
    <w:link w:val="style3"/>
    <w:uiPriority w:val="9"/>
    <w:rPr>
      <w:rFonts w:ascii="Calibri Light" w:cs="宋体" w:eastAsia="宋体" w:hAnsi="Calibri Light"/>
      <w:color w:val="1f3763"/>
      <w:sz w:val="24"/>
      <w:szCs w:val="24"/>
    </w:rPr>
  </w:style>
  <w:style w:type="character" w:customStyle="1" w:styleId="style4099">
    <w:name w:val="Heading 2 Char_cf79dd84-bb27-4e82-a4b7-8f94cf4b7a50"/>
    <w:basedOn w:val="style65"/>
    <w:next w:val="style4099"/>
    <w:link w:val="style2"/>
    <w:uiPriority w:val="9"/>
    <w:rPr>
      <w:rFonts w:ascii="Calibri Light" w:cs="宋体" w:eastAsia="宋体" w:hAnsi="Calibri Light"/>
      <w:color w:val="2f5496"/>
      <w:sz w:val="26"/>
      <w:szCs w:val="26"/>
    </w:rPr>
  </w:style>
  <w:style w:type="character" w:customStyle="1" w:styleId="style4100">
    <w:name w:val="Heading 1 Char_cca1ce49-fa7d-4c64-8ce9-e424accf6eca"/>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8bf0a325-f1bd-45bd-b3e4-47e6627fe1e7"/>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15e3ff5e-97cb-47b9-805c-ba582d0ef01f"/>
    <w:basedOn w:val="style65"/>
    <w:next w:val="style4102"/>
    <w:link w:val="style32"/>
    <w:uiPriority w:val="99"/>
  </w:style>
  <w:style w:type="paragraph" w:styleId="style66">
    <w:name w:val="Body Text"/>
    <w:basedOn w:val="style0"/>
    <w:next w:val="style4094"/>
    <w:pPr>
      <w:spacing w:after="0"/>
      <w:jc w:val="both"/>
    </w:pPr>
    <w:rPr>
      <w:rFonts w:ascii="Helvetica" w:cs="Helvetica" w:eastAsia="MS Mincho" w:hAnsi="Helvetica"/>
      <w:sz w:val="24"/>
      <w:szCs w:val="24"/>
      <w:lang w:val="fr-FR"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2489</TotalTime>
  <Words>6321</Words>
  <Pages>17</Pages>
  <Characters>36706</Characters>
  <Application>WPS Office</Application>
  <DocSecurity>0</DocSecurity>
  <Paragraphs>445</Paragraphs>
  <ScaleCrop>false</ScaleCrop>
  <LinksUpToDate>false</LinksUpToDate>
  <CharactersWithSpaces>42710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2025-10-18T00:25:00Z</dcterms:created>
  <dc:creator>GBUBEMI TUEDOGHEYE</dc:creator>
  <lastModifiedBy>TECNO CL6k</lastModifiedBy>
  <dcterms:modified xsi:type="dcterms:W3CDTF">2025-10-24T12:24:02Z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f96c2e13-158a-4ac9-878e-38579f867abe</vt:lpwstr>
  </property>
  <property fmtid="{D5CDD505-2E9C-101B-9397-08002B2CF9AE}" pid="3" name="ICV">
    <vt:lpwstr>187a645a3fd14847a0434dcada1cbbd6</vt:lpwstr>
  </property>
</Properties>
</file>