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FD3B" w14:textId="77777777" w:rsidR="008D3EAD" w:rsidRDefault="008D3EAD" w:rsidP="009A1139">
      <w:pPr>
        <w:spacing w:line="360" w:lineRule="auto"/>
        <w:jc w:val="right"/>
        <w:rPr>
          <w:rFonts w:ascii="Arial" w:hAnsi="Arial" w:cs="Arial"/>
          <w:b/>
          <w:bCs/>
          <w:sz w:val="24"/>
          <w:szCs w:val="24"/>
        </w:rPr>
      </w:pPr>
      <w:r w:rsidRPr="008D3EAD">
        <w:rPr>
          <w:rFonts w:ascii="Arial" w:hAnsi="Arial" w:cs="Arial"/>
          <w:b/>
          <w:bCs/>
          <w:sz w:val="24"/>
          <w:szCs w:val="24"/>
        </w:rPr>
        <w:t>Review Article</w:t>
      </w:r>
    </w:p>
    <w:p w14:paraId="01010DFF" w14:textId="3443E633" w:rsidR="001126FA" w:rsidRPr="001126FA" w:rsidRDefault="001126FA" w:rsidP="009A1139">
      <w:pPr>
        <w:spacing w:line="360" w:lineRule="auto"/>
        <w:jc w:val="right"/>
        <w:rPr>
          <w:rFonts w:ascii="Arial" w:hAnsi="Arial" w:cs="Arial"/>
          <w:b/>
          <w:bCs/>
          <w:sz w:val="24"/>
          <w:szCs w:val="24"/>
        </w:rPr>
      </w:pPr>
      <w:r w:rsidRPr="001126FA">
        <w:rPr>
          <w:rFonts w:ascii="Arial" w:hAnsi="Arial" w:cs="Arial"/>
          <w:b/>
          <w:bCs/>
          <w:sz w:val="24"/>
          <w:szCs w:val="24"/>
        </w:rPr>
        <w:t>Role of Energy Supplements in Enhancing Sports Performance: Current Evidence and Future Perspectives</w:t>
      </w:r>
    </w:p>
    <w:p w14:paraId="1E237159" w14:textId="77777777" w:rsidR="003E2AAB" w:rsidRPr="00FE7DCF" w:rsidRDefault="003E2AAB" w:rsidP="001126FA">
      <w:pPr>
        <w:jc w:val="right"/>
        <w:rPr>
          <w:rFonts w:ascii="Arial" w:hAnsi="Arial" w:cs="Arial"/>
          <w:b/>
          <w:bCs/>
          <w:i/>
          <w:iCs/>
          <w:sz w:val="24"/>
          <w:szCs w:val="24"/>
        </w:rPr>
      </w:pPr>
    </w:p>
    <w:p w14:paraId="018212F6" w14:textId="6A925A12" w:rsidR="00F47EF0" w:rsidRDefault="00F47EF0" w:rsidP="00E02250">
      <w:pPr>
        <w:spacing w:after="149"/>
        <w:ind w:right="6"/>
        <w:jc w:val="both"/>
        <w:rPr>
          <w:rFonts w:ascii="Arial" w:eastAsia="Calibri" w:hAnsi="Arial" w:cs="Arial"/>
          <w:b/>
          <w:bCs/>
          <w:sz w:val="24"/>
          <w:szCs w:val="24"/>
        </w:rPr>
      </w:pPr>
      <w:r>
        <w:rPr>
          <w:rFonts w:ascii="Arial" w:hAnsi="Arial" w:cs="Arial"/>
          <w:noProof/>
        </w:rPr>
        <mc:AlternateContent>
          <mc:Choice Requires="wps">
            <w:drawing>
              <wp:inline distT="0" distB="0" distL="0" distR="0" wp14:anchorId="45A53223" wp14:editId="4ADD69CB">
                <wp:extent cx="5733814" cy="45719"/>
                <wp:effectExtent l="0" t="0" r="19685" b="31115"/>
                <wp:docPr id="85969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814"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BE980F" id="_x0000_t32" coordsize="21600,21600" o:spt="32" o:oned="t" path="m,l21600,21600e" filled="f">
                <v:path arrowok="t" fillok="f" o:connecttype="none"/>
                <o:lock v:ext="edit" shapetype="t"/>
              </v:shapetype>
              <v:shape id="Straight Arrow Connector 1" o:spid="_x0000_s1026" type="#_x0000_t32" style="width:451.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" strokeweight="1.5pt">
                <w10:anchorlock/>
              </v:shape>
            </w:pict>
          </mc:Fallback>
        </mc:AlternateContent>
      </w:r>
    </w:p>
    <w:p w14:paraId="378573AD" w14:textId="23CBDCE3" w:rsidR="00E02250" w:rsidRPr="001126FA" w:rsidRDefault="00F47EF0" w:rsidP="00E02250">
      <w:pPr>
        <w:spacing w:after="149"/>
        <w:ind w:right="6"/>
        <w:jc w:val="both"/>
        <w:rPr>
          <w:rFonts w:ascii="Arial" w:eastAsia="Calibri" w:hAnsi="Arial" w:cs="Arial"/>
          <w:b/>
          <w:bCs/>
          <w:sz w:val="24"/>
          <w:szCs w:val="24"/>
        </w:rPr>
      </w:pPr>
      <w:r w:rsidRPr="001126FA">
        <w:rPr>
          <w:rFonts w:ascii="Arial" w:eastAsia="Calibri" w:hAnsi="Arial" w:cs="Arial"/>
          <w:b/>
          <w:bCs/>
          <w:sz w:val="24"/>
          <w:szCs w:val="24"/>
        </w:rPr>
        <w:t>ABSTRACT</w:t>
      </w:r>
    </w:p>
    <w:p w14:paraId="5FB0788B" w14:textId="7019C864" w:rsidR="00CF1776" w:rsidRPr="00F47EF0" w:rsidRDefault="000770C3" w:rsidP="00E02250">
      <w:pPr>
        <w:spacing w:after="149" w:line="360" w:lineRule="auto"/>
        <w:ind w:right="6" w:firstLine="720"/>
        <w:jc w:val="both"/>
        <w:rPr>
          <w:rFonts w:ascii="Arial" w:eastAsia="Calibri" w:hAnsi="Arial" w:cs="Arial"/>
        </w:rPr>
      </w:pPr>
      <w:r w:rsidRPr="000770C3">
        <w:rPr>
          <w:rFonts w:ascii="Arial" w:eastAsia="Calibri" w:hAnsi="Arial" w:cs="Arial"/>
        </w:rPr>
        <w:t>In sports nutrition, energy supplements refer to dietary products</w:t>
      </w:r>
      <w:r w:rsidR="00D977D7">
        <w:rPr>
          <w:rFonts w:ascii="Arial" w:eastAsia="Calibri" w:hAnsi="Arial" w:cs="Arial"/>
        </w:rPr>
        <w:t xml:space="preserve"> </w:t>
      </w:r>
      <w:r w:rsidRPr="000770C3">
        <w:rPr>
          <w:rFonts w:ascii="Arial" w:eastAsia="Calibri" w:hAnsi="Arial" w:cs="Arial"/>
        </w:rPr>
        <w:t>such as gels, drinks, bars, or powders</w:t>
      </w:r>
      <w:r w:rsidR="00D977D7">
        <w:rPr>
          <w:rFonts w:ascii="Arial" w:eastAsia="Calibri" w:hAnsi="Arial" w:cs="Arial"/>
        </w:rPr>
        <w:t xml:space="preserve"> </w:t>
      </w:r>
      <w:r w:rsidRPr="000770C3">
        <w:rPr>
          <w:rFonts w:ascii="Arial" w:eastAsia="Calibri" w:hAnsi="Arial" w:cs="Arial"/>
        </w:rPr>
        <w:t xml:space="preserve">developed to deliver rapid or sustained energy, maintain electrolyte balance, and promote recovery, thereby enhancing athletic output and overall performance efficiency. </w:t>
      </w:r>
      <w:r w:rsidR="00940152" w:rsidRPr="00940152">
        <w:rPr>
          <w:rFonts w:ascii="Arial" w:eastAsia="Calibri" w:hAnsi="Arial" w:cs="Arial"/>
        </w:rPr>
        <w:t>Energy supplements fall under the ergogenic and macronutrient-based category of sports nutrition. They primarily supply carbohydrates, proteins, and fats as energy sources, along with micronutrients (vitamins and minerals) and bioactive compounds such as caffeine, taurine, carnitine, and ginseng that enhance energy metabolism, endurance, and recovery.</w:t>
      </w:r>
      <w:r w:rsidR="00E02250" w:rsidRPr="00940152">
        <w:rPr>
          <w:rFonts w:ascii="Arial" w:eastAsia="Calibri" w:hAnsi="Arial" w:cs="Arial"/>
        </w:rPr>
        <w:t xml:space="preserve"> </w:t>
      </w:r>
      <w:r w:rsidR="00E02250" w:rsidRPr="00F47EF0">
        <w:rPr>
          <w:rFonts w:ascii="Arial" w:eastAsia="Calibri" w:hAnsi="Arial" w:cs="Arial"/>
        </w:rPr>
        <w:t>They provide rapid energy, maintain hydration, delay fatigue, and support metabolic, neuromuscular, and cognitive functions. Despite their benefits, challenges such as inconsistent nutrient content, variable individual responses, and safety concerns highlight the need for quality control and evidence-based use.</w:t>
      </w:r>
      <w:r w:rsidR="00235F14">
        <w:rPr>
          <w:rFonts w:ascii="Arial" w:eastAsia="Calibri" w:hAnsi="Arial" w:cs="Arial"/>
        </w:rPr>
        <w:t xml:space="preserve"> </w:t>
      </w:r>
      <w:r w:rsidR="00235F14" w:rsidRPr="00235F14">
        <w:rPr>
          <w:rFonts w:ascii="Arial" w:eastAsia="Calibri" w:hAnsi="Arial" w:cs="Arial"/>
        </w:rPr>
        <w:t>Supplement combinations such as carbohydrate–protein or carbohydrate–electrolyte mixtures have shown notable benefits in improving power and recovery, particularly in team sports. However, significant research gaps remain, especially regarding female athletes and sport-specific responses. Additionally, some studies report safety concerns and adverse effects, emphasizing the need for careful evaluation and evidence-based use of supplements.</w:t>
      </w:r>
      <w:r w:rsidR="00E02250" w:rsidRPr="00F47EF0">
        <w:rPr>
          <w:rFonts w:ascii="Arial" w:eastAsia="Calibri" w:hAnsi="Arial" w:cs="Arial"/>
        </w:rPr>
        <w:t xml:space="preserve"> Future strategies should focus on personalized supplementation, innovative delivery systems, micronutrient monitoring, and athlete education to optimize performance, reduce fatigue, and ensure long-term health.</w:t>
      </w:r>
    </w:p>
    <w:p w14:paraId="0A6826C8" w14:textId="0624EE8A" w:rsidR="007E060C" w:rsidRPr="00F47EF0" w:rsidRDefault="007E060C" w:rsidP="00F47EF0">
      <w:pPr>
        <w:spacing w:after="149" w:line="360" w:lineRule="auto"/>
        <w:ind w:right="6"/>
        <w:rPr>
          <w:rFonts w:ascii="Arial" w:eastAsia="Calibri" w:hAnsi="Arial" w:cs="Arial"/>
          <w:i/>
          <w:iCs/>
          <w:sz w:val="20"/>
          <w:szCs w:val="20"/>
        </w:rPr>
      </w:pPr>
      <w:r w:rsidRPr="00F47EF0">
        <w:rPr>
          <w:rFonts w:ascii="Arial" w:eastAsia="Calibri" w:hAnsi="Arial" w:cs="Arial"/>
          <w:i/>
          <w:iCs/>
          <w:sz w:val="20"/>
          <w:szCs w:val="20"/>
        </w:rPr>
        <w:t xml:space="preserve">Keywords: Energy supplements, </w:t>
      </w:r>
      <w:r w:rsidR="00D977D7" w:rsidRPr="00D977D7">
        <w:rPr>
          <w:rFonts w:ascii="Arial" w:eastAsia="Calibri" w:hAnsi="Arial" w:cs="Arial"/>
          <w:i/>
          <w:iCs/>
          <w:sz w:val="20"/>
          <w:szCs w:val="20"/>
        </w:rPr>
        <w:t>ergogenic</w:t>
      </w:r>
      <w:r w:rsidRPr="00F47EF0">
        <w:rPr>
          <w:rFonts w:ascii="Arial" w:eastAsia="Calibri" w:hAnsi="Arial" w:cs="Arial"/>
          <w:i/>
          <w:iCs/>
          <w:sz w:val="20"/>
          <w:szCs w:val="20"/>
        </w:rPr>
        <w:t>, athletic performance, health.</w:t>
      </w:r>
    </w:p>
    <w:p w14:paraId="119487D7" w14:textId="2B999F40" w:rsidR="006F47C4" w:rsidRPr="001126FA" w:rsidRDefault="00F47EF0" w:rsidP="00C8557A">
      <w:pPr>
        <w:pStyle w:val="ListParagraph"/>
        <w:numPr>
          <w:ilvl w:val="0"/>
          <w:numId w:val="10"/>
        </w:numPr>
        <w:spacing w:after="149"/>
        <w:ind w:left="284" w:right="6"/>
        <w:jc w:val="both"/>
        <w:rPr>
          <w:rFonts w:ascii="Arial" w:hAnsi="Arial" w:cs="Arial"/>
          <w:b/>
          <w:bCs/>
        </w:rPr>
      </w:pPr>
      <w:r w:rsidRPr="001126FA">
        <w:rPr>
          <w:rFonts w:ascii="Arial" w:eastAsia="Calibri" w:hAnsi="Arial" w:cs="Arial"/>
          <w:b/>
          <w:bCs/>
        </w:rPr>
        <w:t>INTRODUCTION</w:t>
      </w:r>
    </w:p>
    <w:p w14:paraId="6B4FDD22" w14:textId="69925B6A" w:rsidR="00125752" w:rsidRPr="003371A2" w:rsidRDefault="003371A2" w:rsidP="00125752">
      <w:pPr>
        <w:spacing w:line="360" w:lineRule="auto"/>
        <w:ind w:firstLine="720"/>
        <w:jc w:val="both"/>
        <w:rPr>
          <w:rFonts w:ascii="Arial" w:eastAsia="Times New Roman" w:hAnsi="Arial" w:cs="Arial"/>
          <w:sz w:val="20"/>
          <w:szCs w:val="20"/>
          <w:lang w:eastAsia="en-IN"/>
        </w:rPr>
      </w:pPr>
      <w:r w:rsidRPr="003371A2">
        <w:rPr>
          <w:rFonts w:ascii="Arial" w:hAnsi="Arial" w:cs="Arial"/>
          <w:sz w:val="20"/>
          <w:szCs w:val="20"/>
        </w:rPr>
        <w:t xml:space="preserve">Sports nutrition is a continually evolving discipline aimed at optimizing the health and performance of both recreationally active individuals and competitive athletes. Developing a personalized sports nutrition plan based on individual goals and physiological needs forms the foundation of optimal athletic performance (Kerksick et al., 2018). In this context, sports nutrition can be defined as the application of nutritional science to develop dietary strategies that meet the metabolic demands of physical activity, support recovery, enhance performance, and promote long-term health (Fink </w:t>
      </w:r>
      <w:r w:rsidR="00E11E33">
        <w:rPr>
          <w:rFonts w:ascii="Arial" w:hAnsi="Arial" w:cs="Arial"/>
          <w:sz w:val="20"/>
          <w:szCs w:val="20"/>
        </w:rPr>
        <w:t>and</w:t>
      </w:r>
      <w:r w:rsidRPr="003371A2">
        <w:rPr>
          <w:rFonts w:ascii="Arial" w:hAnsi="Arial" w:cs="Arial"/>
          <w:sz w:val="20"/>
          <w:szCs w:val="20"/>
        </w:rPr>
        <w:t xml:space="preserve"> Mikesky, 2017).</w:t>
      </w:r>
      <w:r w:rsidR="006F47C4" w:rsidRPr="003371A2">
        <w:rPr>
          <w:rFonts w:ascii="Arial" w:hAnsi="Arial" w:cs="Arial"/>
          <w:sz w:val="20"/>
          <w:szCs w:val="20"/>
        </w:rPr>
        <w:t xml:space="preserve"> </w:t>
      </w:r>
      <w:r w:rsidRPr="003371A2">
        <w:rPr>
          <w:rFonts w:ascii="Arial" w:hAnsi="Arial" w:cs="Arial"/>
          <w:sz w:val="20"/>
          <w:szCs w:val="20"/>
        </w:rPr>
        <w:t xml:space="preserve">Evidence suggests that a well-structured diet enables athletes to perform at their peak by ensuring adequate energy, nutrient, and fluid intake (Abdullah et al., 2022). Adhering to such a plan enhances hydration, immune function, concentration, and stamina, allowing for improved </w:t>
      </w:r>
      <w:r w:rsidRPr="003371A2">
        <w:rPr>
          <w:rFonts w:ascii="Arial" w:hAnsi="Arial" w:cs="Arial"/>
          <w:sz w:val="20"/>
          <w:szCs w:val="20"/>
        </w:rPr>
        <w:lastRenderedPageBreak/>
        <w:t xml:space="preserve">training capacity and endurance (Vitale </w:t>
      </w:r>
      <w:r w:rsidR="00E11E33">
        <w:rPr>
          <w:rFonts w:ascii="Arial" w:hAnsi="Arial" w:cs="Arial"/>
          <w:sz w:val="20"/>
          <w:szCs w:val="20"/>
        </w:rPr>
        <w:t>and</w:t>
      </w:r>
      <w:r w:rsidRPr="003371A2">
        <w:rPr>
          <w:rFonts w:ascii="Arial" w:hAnsi="Arial" w:cs="Arial"/>
          <w:sz w:val="20"/>
          <w:szCs w:val="20"/>
        </w:rPr>
        <w:t xml:space="preserve"> Getzin, 2019). According to sports nutritionists, maintaining a balanced diet is critical for sustaining energy levels before, during, and after exercise, as well as for promoting recovery and preventing fatigue (Arenas-Jal et al., 2020; Ravindra et al., 2020). Proper nutrition also contributes to maintaining muscle strength, resilience, and endurance throughout athletic performance and recovery (Potgieter, 2013). Moreover, ongoing research in sports nutrition continues to expand the understanding of exercise physiology and provides the evidence base for current best practice recommendations (Burke et al., 2018). </w:t>
      </w:r>
      <w:r w:rsidR="006F47C4" w:rsidRPr="003371A2">
        <w:rPr>
          <w:rFonts w:ascii="Arial" w:hAnsi="Arial" w:cs="Arial"/>
          <w:sz w:val="20"/>
          <w:szCs w:val="20"/>
        </w:rPr>
        <w:t>This review discusses the current role of energy supplements in sports performance and highlights future directions for their effective and safe use.</w:t>
      </w:r>
      <w:r w:rsidR="00125752" w:rsidRPr="003371A2">
        <w:rPr>
          <w:rFonts w:ascii="Arial" w:eastAsia="Times New Roman" w:hAnsi="Arial" w:cs="Arial"/>
          <w:sz w:val="20"/>
          <w:szCs w:val="20"/>
          <w:lang w:eastAsia="en-IN"/>
        </w:rPr>
        <w:t xml:space="preserve"> </w:t>
      </w:r>
    </w:p>
    <w:p w14:paraId="30B08C10" w14:textId="5B5539D0" w:rsidR="00125752" w:rsidRPr="00F47EF0" w:rsidRDefault="00125752" w:rsidP="00125752">
      <w:pPr>
        <w:spacing w:line="360" w:lineRule="auto"/>
        <w:ind w:firstLine="720"/>
        <w:jc w:val="both"/>
        <w:rPr>
          <w:rFonts w:ascii="Arial" w:hAnsi="Arial" w:cs="Arial"/>
          <w:sz w:val="20"/>
          <w:szCs w:val="20"/>
        </w:rPr>
      </w:pPr>
      <w:r w:rsidRPr="00F47EF0">
        <w:rPr>
          <w:rFonts w:ascii="Arial" w:hAnsi="Arial" w:cs="Arial"/>
          <w:sz w:val="20"/>
          <w:szCs w:val="20"/>
        </w:rPr>
        <w:t xml:space="preserve">Carbohydrate (CHO) sports drinks were first introduced in the 1960s–70s to address dehydration and energy depletion in athletes, followed shortly by CHO gels, which are portable, rapidly absorbed, and provide precise energy doses for both sports’ performance and </w:t>
      </w:r>
      <w:r w:rsidR="00D1245B" w:rsidRPr="00F47EF0">
        <w:rPr>
          <w:rFonts w:ascii="Arial" w:hAnsi="Arial" w:cs="Arial"/>
          <w:sz w:val="20"/>
          <w:szCs w:val="20"/>
        </w:rPr>
        <w:t>hypoglycaemia</w:t>
      </w:r>
      <w:r w:rsidRPr="00F47EF0">
        <w:rPr>
          <w:rFonts w:ascii="Arial" w:hAnsi="Arial" w:cs="Arial"/>
          <w:sz w:val="20"/>
          <w:szCs w:val="20"/>
        </w:rPr>
        <w:t xml:space="preserve"> management (Baur </w:t>
      </w:r>
      <w:r w:rsidR="00111911" w:rsidRPr="00F47EF0">
        <w:rPr>
          <w:rFonts w:ascii="Arial" w:hAnsi="Arial" w:cs="Arial"/>
          <w:sz w:val="20"/>
          <w:szCs w:val="20"/>
        </w:rPr>
        <w:t>and</w:t>
      </w:r>
      <w:r w:rsidRPr="00F47EF0">
        <w:rPr>
          <w:rFonts w:ascii="Arial" w:hAnsi="Arial" w:cs="Arial"/>
          <w:sz w:val="20"/>
          <w:szCs w:val="20"/>
        </w:rPr>
        <w:t xml:space="preserve"> Saunders, 2021; Juvenile Diabetes Research Foundation, 2022; Mayo Clinic, 2024). However, research shows frequent discrepancies between product labels and actual nutrient composition, with protein and energy values often outside acceptable ranges (Aly et al., 2023; Zapata-Muriel et al., 2022). Similar inconsistencies have been reported in supplements such as ecdysterone, fish oils, vitamin D, selenium, and ephedra (Ambrosio et al., 2020; Albert et al., 2015; LeBlanc et al., 2013; Veatch et al., 2005; Gurley et al., 2000). Although regulations permit ±20% variation in nutrient content (Center for Food Safety and Applied Nutrition, 2024), many products exceed this margin. Anecdotal reports further raise concerns about CHO gels, including fluctuating energy, reduced satiety, and mismatched texture and taste (Burgess </w:t>
      </w:r>
      <w:r w:rsidR="00111911" w:rsidRPr="00F47EF0">
        <w:rPr>
          <w:rFonts w:ascii="Arial" w:hAnsi="Arial" w:cs="Arial"/>
          <w:sz w:val="20"/>
          <w:szCs w:val="20"/>
        </w:rPr>
        <w:t>and</w:t>
      </w:r>
      <w:r w:rsidRPr="00F47EF0">
        <w:rPr>
          <w:rFonts w:ascii="Arial" w:hAnsi="Arial" w:cs="Arial"/>
          <w:sz w:val="20"/>
          <w:szCs w:val="20"/>
        </w:rPr>
        <w:t xml:space="preserve"> Ohm, 2024), underscoring the need for stricter regulation and scientific evaluation.</w:t>
      </w:r>
    </w:p>
    <w:p w14:paraId="3D5E185F" w14:textId="567FD840" w:rsidR="006F47C4" w:rsidRPr="00F47EF0" w:rsidRDefault="002A1FC6" w:rsidP="009B3E73">
      <w:pPr>
        <w:spacing w:line="360" w:lineRule="auto"/>
        <w:jc w:val="both"/>
        <w:rPr>
          <w:rFonts w:ascii="Arial" w:hAnsi="Arial" w:cs="Arial"/>
          <w:b/>
          <w:bCs/>
          <w:sz w:val="20"/>
          <w:szCs w:val="20"/>
        </w:rPr>
      </w:pPr>
      <w:r w:rsidRPr="00F47EF0">
        <w:rPr>
          <w:rFonts w:ascii="Arial" w:hAnsi="Arial" w:cs="Arial"/>
          <w:b/>
          <w:bCs/>
          <w:sz w:val="20"/>
          <w:szCs w:val="20"/>
        </w:rPr>
        <w:t xml:space="preserve">1.1 </w:t>
      </w:r>
      <w:r w:rsidR="000B687F" w:rsidRPr="00F47EF0">
        <w:rPr>
          <w:rFonts w:ascii="Arial" w:hAnsi="Arial" w:cs="Arial"/>
          <w:b/>
          <w:bCs/>
          <w:sz w:val="20"/>
          <w:szCs w:val="20"/>
        </w:rPr>
        <w:t>Role of energy supplements</w:t>
      </w:r>
    </w:p>
    <w:p w14:paraId="2AC3A8EA" w14:textId="77777777" w:rsidR="00125752" w:rsidRPr="00F47EF0" w:rsidRDefault="00125752" w:rsidP="00125752">
      <w:pPr>
        <w:spacing w:after="120" w:line="240" w:lineRule="auto"/>
        <w:rPr>
          <w:rFonts w:ascii="Arial" w:hAnsi="Arial" w:cs="Arial"/>
          <w:b/>
          <w:bCs/>
          <w:sz w:val="20"/>
          <w:szCs w:val="20"/>
        </w:rPr>
      </w:pPr>
      <w:r w:rsidRPr="00F47EF0">
        <w:rPr>
          <w:rFonts w:ascii="Arial" w:hAnsi="Arial" w:cs="Arial"/>
          <w:b/>
          <w:bCs/>
          <w:sz w:val="20"/>
          <w:szCs w:val="20"/>
        </w:rPr>
        <w:t>Table no. 1: Dietary supplements content and examples</w:t>
      </w:r>
    </w:p>
    <w:tbl>
      <w:tblPr>
        <w:tblStyle w:val="TableGrid"/>
        <w:tblW w:w="5000" w:type="pct"/>
        <w:tblInd w:w="0" w:type="dxa"/>
        <w:tblCellMar>
          <w:top w:w="8" w:type="dxa"/>
          <w:left w:w="112" w:type="dxa"/>
          <w:right w:w="45" w:type="dxa"/>
        </w:tblCellMar>
        <w:tblLook w:val="04A0" w:firstRow="1" w:lastRow="0" w:firstColumn="1" w:lastColumn="0" w:noHBand="0" w:noVBand="1"/>
      </w:tblPr>
      <w:tblGrid>
        <w:gridCol w:w="1644"/>
        <w:gridCol w:w="3490"/>
        <w:gridCol w:w="3892"/>
      </w:tblGrid>
      <w:tr w:rsidR="00125752" w:rsidRPr="00F47EF0" w14:paraId="124F338B" w14:textId="77777777" w:rsidTr="00072EF4">
        <w:trPr>
          <w:trHeight w:val="615"/>
        </w:trPr>
        <w:tc>
          <w:tcPr>
            <w:tcW w:w="910" w:type="pct"/>
            <w:tcBorders>
              <w:bottom w:val="single" w:sz="4" w:space="0" w:color="auto"/>
            </w:tcBorders>
          </w:tcPr>
          <w:p w14:paraId="725515EA" w14:textId="77777777" w:rsidR="00125752" w:rsidRPr="00F47EF0" w:rsidRDefault="00125752" w:rsidP="00D1245B">
            <w:pPr>
              <w:jc w:val="center"/>
              <w:rPr>
                <w:rFonts w:ascii="Arial" w:hAnsi="Arial" w:cs="Arial"/>
                <w:sz w:val="20"/>
                <w:szCs w:val="20"/>
              </w:rPr>
            </w:pPr>
            <w:r w:rsidRPr="00F47EF0">
              <w:rPr>
                <w:rFonts w:ascii="Arial" w:hAnsi="Arial" w:cs="Arial"/>
                <w:b/>
                <w:sz w:val="20"/>
                <w:szCs w:val="20"/>
              </w:rPr>
              <w:t>Dietary</w:t>
            </w:r>
          </w:p>
          <w:p w14:paraId="45369969" w14:textId="77777777" w:rsidR="00125752" w:rsidRPr="00F47EF0" w:rsidRDefault="00125752" w:rsidP="00D1245B">
            <w:pPr>
              <w:jc w:val="center"/>
              <w:rPr>
                <w:rFonts w:ascii="Arial" w:hAnsi="Arial" w:cs="Arial"/>
                <w:sz w:val="20"/>
                <w:szCs w:val="20"/>
              </w:rPr>
            </w:pPr>
            <w:r w:rsidRPr="00F47EF0">
              <w:rPr>
                <w:rFonts w:ascii="Arial" w:hAnsi="Arial" w:cs="Arial"/>
                <w:b/>
                <w:sz w:val="20"/>
                <w:szCs w:val="20"/>
              </w:rPr>
              <w:t>Supplements</w:t>
            </w:r>
          </w:p>
        </w:tc>
        <w:tc>
          <w:tcPr>
            <w:tcW w:w="1933" w:type="pct"/>
            <w:tcBorders>
              <w:bottom w:val="single" w:sz="4" w:space="0" w:color="auto"/>
            </w:tcBorders>
          </w:tcPr>
          <w:p w14:paraId="5AA81E18" w14:textId="77777777" w:rsidR="00125752" w:rsidRPr="00F47EF0" w:rsidRDefault="00125752" w:rsidP="00D1245B">
            <w:pPr>
              <w:jc w:val="center"/>
              <w:rPr>
                <w:rFonts w:ascii="Arial" w:hAnsi="Arial" w:cs="Arial"/>
                <w:sz w:val="20"/>
                <w:szCs w:val="20"/>
              </w:rPr>
            </w:pPr>
            <w:r w:rsidRPr="00F47EF0">
              <w:rPr>
                <w:rFonts w:ascii="Arial" w:hAnsi="Arial" w:cs="Arial"/>
                <w:b/>
                <w:sz w:val="20"/>
                <w:szCs w:val="20"/>
              </w:rPr>
              <w:t>Content</w:t>
            </w:r>
          </w:p>
        </w:tc>
        <w:tc>
          <w:tcPr>
            <w:tcW w:w="2156" w:type="pct"/>
            <w:tcBorders>
              <w:bottom w:val="single" w:sz="4" w:space="0" w:color="auto"/>
            </w:tcBorders>
          </w:tcPr>
          <w:p w14:paraId="7E976D76" w14:textId="77777777" w:rsidR="00125752" w:rsidRPr="00F47EF0" w:rsidRDefault="00125752" w:rsidP="00D1245B">
            <w:pPr>
              <w:jc w:val="center"/>
              <w:rPr>
                <w:rFonts w:ascii="Arial" w:hAnsi="Arial" w:cs="Arial"/>
                <w:sz w:val="20"/>
                <w:szCs w:val="20"/>
              </w:rPr>
            </w:pPr>
            <w:r w:rsidRPr="00F47EF0">
              <w:rPr>
                <w:rFonts w:ascii="Arial" w:hAnsi="Arial" w:cs="Arial"/>
                <w:b/>
                <w:sz w:val="20"/>
                <w:szCs w:val="20"/>
              </w:rPr>
              <w:t>Examples</w:t>
            </w:r>
          </w:p>
        </w:tc>
      </w:tr>
      <w:tr w:rsidR="00125752" w:rsidRPr="00F47EF0" w14:paraId="1F73307E" w14:textId="77777777" w:rsidTr="00072EF4">
        <w:trPr>
          <w:trHeight w:val="615"/>
        </w:trPr>
        <w:tc>
          <w:tcPr>
            <w:tcW w:w="910" w:type="pct"/>
            <w:tcBorders>
              <w:top w:val="single" w:sz="4" w:space="0" w:color="auto"/>
            </w:tcBorders>
          </w:tcPr>
          <w:p w14:paraId="03790FBA"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Energy gel </w:t>
            </w:r>
          </w:p>
        </w:tc>
        <w:tc>
          <w:tcPr>
            <w:tcW w:w="1933" w:type="pct"/>
            <w:tcBorders>
              <w:top w:val="single" w:sz="4" w:space="0" w:color="auto"/>
            </w:tcBorders>
          </w:tcPr>
          <w:p w14:paraId="565CF6D6"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Carbohydrate with or without minerals, amino acids, vitamins </w:t>
            </w:r>
          </w:p>
        </w:tc>
        <w:tc>
          <w:tcPr>
            <w:tcW w:w="2156" w:type="pct"/>
            <w:tcBorders>
              <w:top w:val="single" w:sz="4" w:space="0" w:color="auto"/>
            </w:tcBorders>
          </w:tcPr>
          <w:p w14:paraId="47764649" w14:textId="77777777" w:rsidR="00125752" w:rsidRPr="00F47EF0" w:rsidRDefault="00125752" w:rsidP="00072EF4">
            <w:pPr>
              <w:jc w:val="both"/>
              <w:rPr>
                <w:rFonts w:ascii="Arial" w:hAnsi="Arial" w:cs="Arial"/>
                <w:sz w:val="20"/>
                <w:szCs w:val="20"/>
              </w:rPr>
            </w:pPr>
            <w:r w:rsidRPr="00F47EF0">
              <w:rPr>
                <w:rFonts w:ascii="Arial" w:hAnsi="Arial" w:cs="Arial"/>
                <w:sz w:val="20"/>
                <w:szCs w:val="20"/>
              </w:rPr>
              <w:t xml:space="preserve">Carb-BOOM gel, GU carbohydrate gel, Power gel etc. </w:t>
            </w:r>
          </w:p>
        </w:tc>
      </w:tr>
      <w:tr w:rsidR="00125752" w:rsidRPr="00F47EF0" w14:paraId="4A9A0010" w14:textId="77777777" w:rsidTr="00072EF4">
        <w:trPr>
          <w:trHeight w:val="608"/>
        </w:trPr>
        <w:tc>
          <w:tcPr>
            <w:tcW w:w="910" w:type="pct"/>
          </w:tcPr>
          <w:p w14:paraId="211820AD"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Energy drink </w:t>
            </w:r>
          </w:p>
        </w:tc>
        <w:tc>
          <w:tcPr>
            <w:tcW w:w="1933" w:type="pct"/>
          </w:tcPr>
          <w:p w14:paraId="35AA4A97"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Carbohydrate or protein </w:t>
            </w:r>
          </w:p>
        </w:tc>
        <w:tc>
          <w:tcPr>
            <w:tcW w:w="2156" w:type="pct"/>
          </w:tcPr>
          <w:p w14:paraId="60FC501B" w14:textId="77777777" w:rsidR="00125752" w:rsidRPr="00F47EF0" w:rsidRDefault="00125752" w:rsidP="00072EF4">
            <w:pPr>
              <w:jc w:val="both"/>
              <w:rPr>
                <w:rFonts w:ascii="Arial" w:hAnsi="Arial" w:cs="Arial"/>
                <w:sz w:val="20"/>
                <w:szCs w:val="20"/>
              </w:rPr>
            </w:pPr>
            <w:r w:rsidRPr="00F47EF0">
              <w:rPr>
                <w:rFonts w:ascii="Arial" w:hAnsi="Arial" w:cs="Arial"/>
                <w:sz w:val="20"/>
                <w:szCs w:val="20"/>
              </w:rPr>
              <w:t xml:space="preserve">Ocean energy drink or water; Sting, Red bull and Hell energy drink etc. </w:t>
            </w:r>
          </w:p>
        </w:tc>
      </w:tr>
      <w:tr w:rsidR="00125752" w:rsidRPr="00F47EF0" w14:paraId="2AF09597" w14:textId="77777777" w:rsidTr="00072EF4">
        <w:trPr>
          <w:trHeight w:val="615"/>
        </w:trPr>
        <w:tc>
          <w:tcPr>
            <w:tcW w:w="910" w:type="pct"/>
          </w:tcPr>
          <w:p w14:paraId="11014101"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Energy bar </w:t>
            </w:r>
          </w:p>
        </w:tc>
        <w:tc>
          <w:tcPr>
            <w:tcW w:w="1933" w:type="pct"/>
          </w:tcPr>
          <w:p w14:paraId="78277902"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Carbohydrate or protein </w:t>
            </w:r>
          </w:p>
        </w:tc>
        <w:tc>
          <w:tcPr>
            <w:tcW w:w="2156" w:type="pct"/>
          </w:tcPr>
          <w:p w14:paraId="1D5A4408" w14:textId="77777777" w:rsidR="00125752" w:rsidRPr="00F47EF0" w:rsidRDefault="00125752" w:rsidP="00072EF4">
            <w:pPr>
              <w:jc w:val="both"/>
              <w:rPr>
                <w:rFonts w:ascii="Arial" w:hAnsi="Arial" w:cs="Arial"/>
                <w:sz w:val="20"/>
                <w:szCs w:val="20"/>
              </w:rPr>
            </w:pPr>
            <w:r w:rsidRPr="00F47EF0">
              <w:rPr>
                <w:rFonts w:ascii="Arial" w:hAnsi="Arial" w:cs="Arial"/>
                <w:sz w:val="20"/>
                <w:szCs w:val="20"/>
              </w:rPr>
              <w:t xml:space="preserve">Phab, Rite bite, Max protein and On the run energy bar etc. </w:t>
            </w:r>
          </w:p>
        </w:tc>
      </w:tr>
      <w:tr w:rsidR="00125752" w:rsidRPr="00F47EF0" w14:paraId="01E9EF18" w14:textId="77777777" w:rsidTr="00072EF4">
        <w:trPr>
          <w:trHeight w:val="307"/>
        </w:trPr>
        <w:tc>
          <w:tcPr>
            <w:tcW w:w="910" w:type="pct"/>
          </w:tcPr>
          <w:p w14:paraId="6AA77B8C"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Powder </w:t>
            </w:r>
          </w:p>
        </w:tc>
        <w:tc>
          <w:tcPr>
            <w:tcW w:w="1933" w:type="pct"/>
          </w:tcPr>
          <w:p w14:paraId="363BA4D1"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Electrolytes eg. Na, K etc. </w:t>
            </w:r>
          </w:p>
        </w:tc>
        <w:tc>
          <w:tcPr>
            <w:tcW w:w="2156" w:type="pct"/>
          </w:tcPr>
          <w:p w14:paraId="292EC28A" w14:textId="010170B8" w:rsidR="00125752" w:rsidRPr="00F47EF0" w:rsidRDefault="00125752" w:rsidP="00072EF4">
            <w:pPr>
              <w:jc w:val="both"/>
              <w:rPr>
                <w:rFonts w:ascii="Arial" w:hAnsi="Arial" w:cs="Arial"/>
                <w:sz w:val="20"/>
                <w:szCs w:val="20"/>
              </w:rPr>
            </w:pPr>
            <w:r w:rsidRPr="00F47EF0">
              <w:rPr>
                <w:rFonts w:ascii="Arial" w:hAnsi="Arial" w:cs="Arial"/>
                <w:sz w:val="20"/>
                <w:szCs w:val="20"/>
              </w:rPr>
              <w:t>Fast and up, Hydralyte, E- Hydration etc.</w:t>
            </w:r>
          </w:p>
        </w:tc>
      </w:tr>
      <w:tr w:rsidR="00125752" w:rsidRPr="00F47EF0" w14:paraId="67E93547" w14:textId="77777777" w:rsidTr="00072EF4">
        <w:trPr>
          <w:trHeight w:val="615"/>
        </w:trPr>
        <w:tc>
          <w:tcPr>
            <w:tcW w:w="910" w:type="pct"/>
          </w:tcPr>
          <w:p w14:paraId="06861FB9" w14:textId="10D443E8" w:rsidR="00125752" w:rsidRPr="00F47EF0" w:rsidRDefault="00125752" w:rsidP="00D1245B">
            <w:pPr>
              <w:rPr>
                <w:rFonts w:ascii="Arial" w:hAnsi="Arial" w:cs="Arial"/>
                <w:sz w:val="20"/>
                <w:szCs w:val="20"/>
              </w:rPr>
            </w:pPr>
            <w:r w:rsidRPr="00F47EF0">
              <w:rPr>
                <w:rFonts w:ascii="Arial" w:hAnsi="Arial" w:cs="Arial"/>
                <w:sz w:val="20"/>
                <w:szCs w:val="20"/>
              </w:rPr>
              <w:t xml:space="preserve">Capsule/ Tablets </w:t>
            </w:r>
          </w:p>
        </w:tc>
        <w:tc>
          <w:tcPr>
            <w:tcW w:w="1933" w:type="pct"/>
          </w:tcPr>
          <w:p w14:paraId="1409F3E3" w14:textId="7E710FFB" w:rsidR="008A374B" w:rsidRDefault="00125752" w:rsidP="008A374B">
            <w:pPr>
              <w:jc w:val="both"/>
              <w:rPr>
                <w:rFonts w:ascii="Arial" w:hAnsi="Arial" w:cs="Arial"/>
                <w:sz w:val="20"/>
                <w:szCs w:val="20"/>
              </w:rPr>
            </w:pPr>
            <w:r w:rsidRPr="00F47EF0">
              <w:rPr>
                <w:rFonts w:ascii="Arial" w:hAnsi="Arial" w:cs="Arial"/>
                <w:sz w:val="20"/>
                <w:szCs w:val="20"/>
              </w:rPr>
              <w:t>Vitamins, minerals, amino</w:t>
            </w:r>
            <w:r w:rsidR="008A374B">
              <w:rPr>
                <w:rFonts w:ascii="Arial" w:hAnsi="Arial" w:cs="Arial"/>
                <w:sz w:val="20"/>
                <w:szCs w:val="20"/>
              </w:rPr>
              <w:t xml:space="preserve"> </w:t>
            </w:r>
          </w:p>
          <w:p w14:paraId="627BB1EE" w14:textId="5CDE07DB"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acids etc. </w:t>
            </w:r>
          </w:p>
        </w:tc>
        <w:tc>
          <w:tcPr>
            <w:tcW w:w="2156" w:type="pct"/>
          </w:tcPr>
          <w:p w14:paraId="3E65F15C" w14:textId="415E6FD6" w:rsidR="00125752" w:rsidRPr="00F47EF0" w:rsidRDefault="00125752" w:rsidP="00072EF4">
            <w:pPr>
              <w:jc w:val="both"/>
              <w:rPr>
                <w:rFonts w:ascii="Arial" w:hAnsi="Arial" w:cs="Arial"/>
                <w:sz w:val="20"/>
                <w:szCs w:val="20"/>
              </w:rPr>
            </w:pPr>
            <w:r w:rsidRPr="00F47EF0">
              <w:rPr>
                <w:rFonts w:ascii="Arial" w:hAnsi="Arial" w:cs="Arial"/>
                <w:sz w:val="20"/>
                <w:szCs w:val="20"/>
              </w:rPr>
              <w:t xml:space="preserve">Nature life, Fast and up, H and C capsules etc. </w:t>
            </w:r>
          </w:p>
        </w:tc>
      </w:tr>
      <w:tr w:rsidR="00125752" w:rsidRPr="00F47EF0" w14:paraId="7618081E" w14:textId="77777777" w:rsidTr="00072EF4">
        <w:trPr>
          <w:trHeight w:val="608"/>
        </w:trPr>
        <w:tc>
          <w:tcPr>
            <w:tcW w:w="910" w:type="pct"/>
          </w:tcPr>
          <w:p w14:paraId="78ADE358"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Effervescent Tablet </w:t>
            </w:r>
          </w:p>
        </w:tc>
        <w:tc>
          <w:tcPr>
            <w:tcW w:w="1933" w:type="pct"/>
          </w:tcPr>
          <w:p w14:paraId="41F79F27"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Vitamin C, caffeine etc. </w:t>
            </w:r>
          </w:p>
        </w:tc>
        <w:tc>
          <w:tcPr>
            <w:tcW w:w="2156" w:type="pct"/>
          </w:tcPr>
          <w:p w14:paraId="2DDC4BBD" w14:textId="77777777" w:rsidR="00072EF4" w:rsidRDefault="00125752" w:rsidP="00072EF4">
            <w:pPr>
              <w:jc w:val="both"/>
              <w:rPr>
                <w:rFonts w:ascii="Arial" w:hAnsi="Arial" w:cs="Arial"/>
                <w:sz w:val="20"/>
                <w:szCs w:val="20"/>
              </w:rPr>
            </w:pPr>
            <w:r w:rsidRPr="00F47EF0">
              <w:rPr>
                <w:rFonts w:ascii="Arial" w:hAnsi="Arial" w:cs="Arial"/>
                <w:sz w:val="20"/>
                <w:szCs w:val="20"/>
              </w:rPr>
              <w:t>L-Glutathione,</w:t>
            </w:r>
            <w:r w:rsidR="00072EF4">
              <w:rPr>
                <w:rFonts w:ascii="Arial" w:hAnsi="Arial" w:cs="Arial"/>
                <w:sz w:val="20"/>
                <w:szCs w:val="20"/>
              </w:rPr>
              <w:t xml:space="preserve"> </w:t>
            </w:r>
            <w:r w:rsidRPr="00F47EF0">
              <w:rPr>
                <w:rFonts w:ascii="Arial" w:hAnsi="Arial" w:cs="Arial"/>
                <w:sz w:val="20"/>
                <w:szCs w:val="20"/>
              </w:rPr>
              <w:t>Effervescent</w:t>
            </w:r>
            <w:r w:rsidR="00072EF4">
              <w:rPr>
                <w:rFonts w:ascii="Arial" w:hAnsi="Arial" w:cs="Arial"/>
                <w:sz w:val="20"/>
                <w:szCs w:val="20"/>
              </w:rPr>
              <w:t xml:space="preserve"> </w:t>
            </w:r>
            <w:r w:rsidRPr="00F47EF0">
              <w:rPr>
                <w:rFonts w:ascii="Arial" w:hAnsi="Arial" w:cs="Arial"/>
                <w:sz w:val="20"/>
                <w:szCs w:val="20"/>
              </w:rPr>
              <w:t>tablet</w:t>
            </w:r>
            <w:r w:rsidR="00072EF4">
              <w:rPr>
                <w:rFonts w:ascii="Arial" w:hAnsi="Arial" w:cs="Arial"/>
                <w:sz w:val="20"/>
                <w:szCs w:val="20"/>
              </w:rPr>
              <w:t>-</w:t>
            </w:r>
          </w:p>
          <w:p w14:paraId="53A1827E" w14:textId="2CC57312" w:rsidR="00125752" w:rsidRPr="00F47EF0" w:rsidRDefault="00072EF4" w:rsidP="00072EF4">
            <w:pPr>
              <w:jc w:val="both"/>
              <w:rPr>
                <w:rFonts w:ascii="Arial" w:hAnsi="Arial" w:cs="Arial"/>
                <w:sz w:val="20"/>
                <w:szCs w:val="20"/>
              </w:rPr>
            </w:pPr>
            <w:r>
              <w:rPr>
                <w:rFonts w:ascii="Arial" w:hAnsi="Arial" w:cs="Arial"/>
                <w:sz w:val="20"/>
                <w:szCs w:val="20"/>
              </w:rPr>
              <w:t>m</w:t>
            </w:r>
            <w:r w:rsidR="00125752" w:rsidRPr="00F47EF0">
              <w:rPr>
                <w:rFonts w:ascii="Arial" w:hAnsi="Arial" w:cs="Arial"/>
                <w:sz w:val="20"/>
                <w:szCs w:val="20"/>
              </w:rPr>
              <w:t xml:space="preserve">ultivitamin etc. </w:t>
            </w:r>
          </w:p>
        </w:tc>
      </w:tr>
      <w:tr w:rsidR="00125752" w:rsidRPr="00F47EF0" w14:paraId="3B4C34E8" w14:textId="77777777" w:rsidTr="00072EF4">
        <w:trPr>
          <w:trHeight w:val="615"/>
        </w:trPr>
        <w:tc>
          <w:tcPr>
            <w:tcW w:w="910" w:type="pct"/>
          </w:tcPr>
          <w:p w14:paraId="12FC59C4"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Gummies </w:t>
            </w:r>
          </w:p>
        </w:tc>
        <w:tc>
          <w:tcPr>
            <w:tcW w:w="1933" w:type="pct"/>
          </w:tcPr>
          <w:p w14:paraId="760C7936"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Biotin, multivitamin, omega-3 etc. </w:t>
            </w:r>
          </w:p>
        </w:tc>
        <w:tc>
          <w:tcPr>
            <w:tcW w:w="2156" w:type="pct"/>
          </w:tcPr>
          <w:p w14:paraId="0CFDBA80" w14:textId="77777777" w:rsidR="008A374B" w:rsidRDefault="00125752" w:rsidP="00072EF4">
            <w:pPr>
              <w:tabs>
                <w:tab w:val="center" w:pos="1148"/>
                <w:tab w:val="center" w:pos="2381"/>
                <w:tab w:val="center" w:pos="3499"/>
                <w:tab w:val="right" w:pos="4663"/>
              </w:tabs>
              <w:jc w:val="both"/>
              <w:rPr>
                <w:rFonts w:ascii="Arial" w:hAnsi="Arial" w:cs="Arial"/>
                <w:sz w:val="20"/>
                <w:szCs w:val="20"/>
              </w:rPr>
            </w:pPr>
            <w:r w:rsidRPr="00F47EF0">
              <w:rPr>
                <w:rFonts w:ascii="Arial" w:hAnsi="Arial" w:cs="Arial"/>
                <w:sz w:val="20"/>
                <w:szCs w:val="20"/>
              </w:rPr>
              <w:t xml:space="preserve">Man matters (omega-3), </w:t>
            </w:r>
            <w:r w:rsidRPr="00F47EF0">
              <w:rPr>
                <w:rFonts w:ascii="Arial" w:hAnsi="Arial" w:cs="Arial"/>
                <w:sz w:val="20"/>
                <w:szCs w:val="20"/>
              </w:rPr>
              <w:tab/>
              <w:t>True</w:t>
            </w:r>
            <w:r w:rsidR="008A374B">
              <w:rPr>
                <w:rFonts w:ascii="Arial" w:hAnsi="Arial" w:cs="Arial"/>
                <w:sz w:val="20"/>
                <w:szCs w:val="20"/>
              </w:rPr>
              <w:t xml:space="preserve"> </w:t>
            </w:r>
            <w:r w:rsidRPr="00F47EF0">
              <w:rPr>
                <w:rFonts w:ascii="Arial" w:hAnsi="Arial" w:cs="Arial"/>
                <w:sz w:val="20"/>
                <w:szCs w:val="20"/>
              </w:rPr>
              <w:t xml:space="preserve">vitals </w:t>
            </w:r>
          </w:p>
          <w:p w14:paraId="5792F19F" w14:textId="745571DA" w:rsidR="00125752" w:rsidRPr="00F47EF0" w:rsidRDefault="00125752" w:rsidP="00072EF4">
            <w:pPr>
              <w:tabs>
                <w:tab w:val="center" w:pos="1148"/>
                <w:tab w:val="center" w:pos="2381"/>
                <w:tab w:val="center" w:pos="3499"/>
                <w:tab w:val="right" w:pos="4663"/>
              </w:tabs>
              <w:jc w:val="both"/>
              <w:rPr>
                <w:rFonts w:ascii="Arial" w:hAnsi="Arial" w:cs="Arial"/>
                <w:sz w:val="20"/>
                <w:szCs w:val="20"/>
              </w:rPr>
            </w:pPr>
            <w:r w:rsidRPr="00F47EF0">
              <w:rPr>
                <w:rFonts w:ascii="Arial" w:hAnsi="Arial" w:cs="Arial"/>
                <w:sz w:val="20"/>
                <w:szCs w:val="20"/>
              </w:rPr>
              <w:t xml:space="preserve">(multivitamin), Bodywise (biotin) etc. </w:t>
            </w:r>
          </w:p>
        </w:tc>
      </w:tr>
      <w:tr w:rsidR="00125752" w:rsidRPr="00F47EF0" w14:paraId="4DA70C40" w14:textId="77777777" w:rsidTr="00072EF4">
        <w:trPr>
          <w:trHeight w:val="615"/>
        </w:trPr>
        <w:tc>
          <w:tcPr>
            <w:tcW w:w="910" w:type="pct"/>
          </w:tcPr>
          <w:p w14:paraId="75968171" w14:textId="77777777" w:rsidR="00125752" w:rsidRPr="00F47EF0" w:rsidRDefault="00125752" w:rsidP="00D1245B">
            <w:pPr>
              <w:rPr>
                <w:rFonts w:ascii="Arial" w:hAnsi="Arial" w:cs="Arial"/>
                <w:sz w:val="20"/>
                <w:szCs w:val="20"/>
              </w:rPr>
            </w:pPr>
            <w:r w:rsidRPr="00F47EF0">
              <w:rPr>
                <w:rFonts w:ascii="Arial" w:hAnsi="Arial" w:cs="Arial"/>
                <w:sz w:val="20"/>
                <w:szCs w:val="20"/>
              </w:rPr>
              <w:t xml:space="preserve">Transdermal Patch </w:t>
            </w:r>
          </w:p>
        </w:tc>
        <w:tc>
          <w:tcPr>
            <w:tcW w:w="1933" w:type="pct"/>
          </w:tcPr>
          <w:p w14:paraId="29F0D219" w14:textId="77777777" w:rsidR="00125752" w:rsidRPr="00F47EF0" w:rsidRDefault="00125752" w:rsidP="008A374B">
            <w:pPr>
              <w:jc w:val="both"/>
              <w:rPr>
                <w:rFonts w:ascii="Arial" w:hAnsi="Arial" w:cs="Arial"/>
                <w:sz w:val="20"/>
                <w:szCs w:val="20"/>
              </w:rPr>
            </w:pPr>
            <w:r w:rsidRPr="00F47EF0">
              <w:rPr>
                <w:rFonts w:ascii="Arial" w:hAnsi="Arial" w:cs="Arial"/>
                <w:sz w:val="20"/>
                <w:szCs w:val="20"/>
              </w:rPr>
              <w:t xml:space="preserve">Scopolamine, </w:t>
            </w:r>
            <w:r w:rsidRPr="00F47EF0">
              <w:rPr>
                <w:rFonts w:ascii="Arial" w:hAnsi="Arial" w:cs="Arial"/>
                <w:sz w:val="20"/>
                <w:szCs w:val="20"/>
              </w:rPr>
              <w:tab/>
              <w:t xml:space="preserve">nitroglycerin, clonidine, estradiol etc. </w:t>
            </w:r>
          </w:p>
        </w:tc>
        <w:tc>
          <w:tcPr>
            <w:tcW w:w="2156" w:type="pct"/>
          </w:tcPr>
          <w:p w14:paraId="5D528252" w14:textId="77777777" w:rsidR="008A374B" w:rsidRDefault="00125752" w:rsidP="00072EF4">
            <w:pPr>
              <w:tabs>
                <w:tab w:val="center" w:pos="1150"/>
                <w:tab w:val="center" w:pos="2083"/>
                <w:tab w:val="center" w:pos="2940"/>
                <w:tab w:val="right" w:pos="4663"/>
              </w:tabs>
              <w:jc w:val="both"/>
              <w:rPr>
                <w:rFonts w:ascii="Arial" w:hAnsi="Arial" w:cs="Arial"/>
                <w:sz w:val="20"/>
                <w:szCs w:val="20"/>
              </w:rPr>
            </w:pPr>
            <w:r w:rsidRPr="00F47EF0">
              <w:rPr>
                <w:rFonts w:ascii="Arial" w:hAnsi="Arial" w:cs="Arial"/>
                <w:sz w:val="20"/>
                <w:szCs w:val="20"/>
              </w:rPr>
              <w:t xml:space="preserve">Pure science (Vit. </w:t>
            </w:r>
            <w:r w:rsidRPr="00F47EF0">
              <w:rPr>
                <w:rFonts w:ascii="Arial" w:hAnsi="Arial" w:cs="Arial"/>
                <w:sz w:val="20"/>
                <w:szCs w:val="20"/>
              </w:rPr>
              <w:tab/>
              <w:t>B12),</w:t>
            </w:r>
            <w:r w:rsidR="008A374B">
              <w:rPr>
                <w:rFonts w:ascii="Arial" w:hAnsi="Arial" w:cs="Arial"/>
                <w:sz w:val="20"/>
                <w:szCs w:val="20"/>
              </w:rPr>
              <w:t xml:space="preserve"> </w:t>
            </w:r>
            <w:r w:rsidRPr="00F47EF0">
              <w:rPr>
                <w:rFonts w:ascii="Arial" w:hAnsi="Arial" w:cs="Arial"/>
                <w:sz w:val="20"/>
                <w:szCs w:val="20"/>
              </w:rPr>
              <w:t xml:space="preserve">Nutripacth </w:t>
            </w:r>
          </w:p>
          <w:p w14:paraId="16B8E147" w14:textId="5DE2B54F" w:rsidR="00125752" w:rsidRPr="00F47EF0" w:rsidRDefault="00125752" w:rsidP="00072EF4">
            <w:pPr>
              <w:tabs>
                <w:tab w:val="center" w:pos="1150"/>
                <w:tab w:val="center" w:pos="2083"/>
                <w:tab w:val="center" w:pos="2940"/>
                <w:tab w:val="right" w:pos="4663"/>
              </w:tabs>
              <w:jc w:val="both"/>
              <w:rPr>
                <w:rFonts w:ascii="Arial" w:hAnsi="Arial" w:cs="Arial"/>
                <w:sz w:val="20"/>
                <w:szCs w:val="20"/>
              </w:rPr>
            </w:pPr>
            <w:r w:rsidRPr="00F47EF0">
              <w:rPr>
                <w:rFonts w:ascii="Arial" w:hAnsi="Arial" w:cs="Arial"/>
                <w:sz w:val="20"/>
                <w:szCs w:val="20"/>
              </w:rPr>
              <w:t xml:space="preserve">(Antioxidant), Cipla (Nicotex) etc. </w:t>
            </w:r>
          </w:p>
        </w:tc>
      </w:tr>
    </w:tbl>
    <w:p w14:paraId="1C8DDA94" w14:textId="77777777" w:rsidR="00125752" w:rsidRPr="00F47EF0" w:rsidRDefault="00125752" w:rsidP="00125752">
      <w:pPr>
        <w:spacing w:after="120" w:line="240" w:lineRule="auto"/>
        <w:rPr>
          <w:rFonts w:ascii="Arial" w:hAnsi="Arial" w:cs="Arial"/>
          <w:b/>
          <w:sz w:val="20"/>
          <w:szCs w:val="20"/>
        </w:rPr>
      </w:pPr>
      <w:r w:rsidRPr="00F47EF0">
        <w:rPr>
          <w:rFonts w:ascii="Arial" w:hAnsi="Arial" w:cs="Arial"/>
          <w:b/>
          <w:sz w:val="20"/>
          <w:szCs w:val="20"/>
        </w:rPr>
        <w:t xml:space="preserve"> </w:t>
      </w:r>
    </w:p>
    <w:p w14:paraId="4399BEA5" w14:textId="01A28975" w:rsidR="000B2226" w:rsidRDefault="000B2226" w:rsidP="00F24838">
      <w:pPr>
        <w:spacing w:line="360" w:lineRule="auto"/>
        <w:ind w:firstLine="720"/>
        <w:jc w:val="both"/>
        <w:rPr>
          <w:rFonts w:ascii="Arial" w:hAnsi="Arial" w:cs="Arial"/>
          <w:i/>
          <w:iCs/>
          <w:sz w:val="20"/>
          <w:szCs w:val="20"/>
        </w:rPr>
      </w:pPr>
      <w:r w:rsidRPr="000B2226">
        <w:rPr>
          <w:rFonts w:ascii="Arial" w:hAnsi="Arial" w:cs="Arial"/>
          <w:sz w:val="20"/>
          <w:szCs w:val="20"/>
        </w:rPr>
        <w:lastRenderedPageBreak/>
        <w:t>Protein supports muscle repair, recovery, and growth after training. Endurance and strength athletes need higher protein, especially during intense or new training phases. Adequate intake is easily met through varied diets including meat, eggs, and dairy, but athletes with restricted or poorly planned diets (e.g., low-fat or vegetarian)</w:t>
      </w:r>
      <w:r>
        <w:rPr>
          <w:rFonts w:ascii="Arial" w:hAnsi="Arial" w:cs="Arial"/>
          <w:sz w:val="20"/>
          <w:szCs w:val="20"/>
        </w:rPr>
        <w:t xml:space="preserve"> </w:t>
      </w:r>
      <w:r w:rsidRPr="000B2226">
        <w:rPr>
          <w:rFonts w:ascii="Arial" w:hAnsi="Arial" w:cs="Arial"/>
          <w:sz w:val="20"/>
          <w:szCs w:val="20"/>
        </w:rPr>
        <w:t>risk deficiency.</w:t>
      </w:r>
      <w:r>
        <w:rPr>
          <w:rFonts w:ascii="Arial" w:hAnsi="Arial" w:cs="Arial"/>
          <w:sz w:val="20"/>
          <w:szCs w:val="20"/>
        </w:rPr>
        <w:t xml:space="preserve"> </w:t>
      </w:r>
      <w:r w:rsidRPr="000B2226">
        <w:rPr>
          <w:rFonts w:ascii="Arial" w:hAnsi="Arial" w:cs="Arial"/>
          <w:sz w:val="20"/>
          <w:szCs w:val="20"/>
        </w:rPr>
        <w:t>Regular strenuous exercise may increase the need for certain vitamins and minerals, but supplementation is unnecessary if a nutrient-rich diet is maintained. Supplements are recommended only during energy restriction, travel, or limited food availability. Protein requirements rise with intense training (1.4–2.0 g/kg/day), and supplements help meet these needs, although excess intake offers no added benefits. Essential amino acids (EAAs) and branched-chain amino acids (BCAAs), especially leucine, promote protein synthesis, recovery, and fatigue delay. Creatine monohydrate (0.3 g/kg/day loading, then 3–5 g/day) effectively enhances high-intensity performance and muscle mass with proven safety. Caffeine, a natural stimulant found in coffee, tea, and energy drinks, improves endurance, power, and fat metabolism at doses of 3–6 mg/kg taken before exercise, though excessive intake may cause side effects such as palpitations or insomnia</w:t>
      </w:r>
      <w:r w:rsidR="002B07B2">
        <w:rPr>
          <w:rFonts w:ascii="Arial" w:hAnsi="Arial" w:cs="Arial"/>
          <w:sz w:val="20"/>
          <w:szCs w:val="20"/>
        </w:rPr>
        <w:t>. (</w:t>
      </w:r>
      <w:r w:rsidR="002B07B2" w:rsidRPr="00150FD8">
        <w:rPr>
          <w:rFonts w:ascii="Arial" w:hAnsi="Arial" w:cs="Arial"/>
          <w:sz w:val="20"/>
          <w:szCs w:val="20"/>
        </w:rPr>
        <w:t>Kreider</w:t>
      </w:r>
      <w:r w:rsidR="002B07B2">
        <w:rPr>
          <w:rFonts w:ascii="Arial" w:hAnsi="Arial" w:cs="Arial"/>
          <w:sz w:val="20"/>
          <w:szCs w:val="20"/>
        </w:rPr>
        <w:t xml:space="preserve"> et al.,2010; </w:t>
      </w:r>
      <w:r w:rsidR="002B07B2" w:rsidRPr="00150FD8">
        <w:rPr>
          <w:rFonts w:ascii="Arial" w:hAnsi="Arial" w:cs="Arial"/>
          <w:sz w:val="20"/>
          <w:szCs w:val="20"/>
        </w:rPr>
        <w:t>Antonio</w:t>
      </w:r>
      <w:r w:rsidR="002B07B2">
        <w:rPr>
          <w:rFonts w:ascii="Arial" w:hAnsi="Arial" w:cs="Arial"/>
          <w:sz w:val="20"/>
          <w:szCs w:val="20"/>
        </w:rPr>
        <w:t xml:space="preserve"> et al., 2008; </w:t>
      </w:r>
      <w:r w:rsidR="008A3D16" w:rsidRPr="00121FBD">
        <w:rPr>
          <w:rFonts w:ascii="Arial" w:hAnsi="Arial" w:cs="Arial"/>
          <w:sz w:val="20"/>
          <w:szCs w:val="20"/>
        </w:rPr>
        <w:t>Paddon-Jones</w:t>
      </w:r>
      <w:r w:rsidR="008A3D16">
        <w:rPr>
          <w:rFonts w:ascii="Arial" w:hAnsi="Arial" w:cs="Arial"/>
          <w:sz w:val="20"/>
          <w:szCs w:val="20"/>
        </w:rPr>
        <w:t xml:space="preserve"> et al., 2004).</w:t>
      </w:r>
    </w:p>
    <w:p w14:paraId="41F9D89A" w14:textId="46ABB05D" w:rsidR="00F24838" w:rsidRPr="00F47EF0" w:rsidRDefault="00F24838" w:rsidP="00F24838">
      <w:pPr>
        <w:spacing w:line="360" w:lineRule="auto"/>
        <w:ind w:firstLine="720"/>
        <w:jc w:val="both"/>
        <w:rPr>
          <w:rFonts w:ascii="Arial" w:hAnsi="Arial" w:cs="Arial"/>
          <w:sz w:val="20"/>
          <w:szCs w:val="20"/>
        </w:rPr>
      </w:pPr>
      <w:r w:rsidRPr="00F47EF0">
        <w:rPr>
          <w:rFonts w:ascii="Arial" w:hAnsi="Arial" w:cs="Arial"/>
          <w:sz w:val="20"/>
          <w:szCs w:val="20"/>
        </w:rPr>
        <w:t xml:space="preserve">Electrolytes such as potassium, sodium, magnesium, calcium, and phosphorus are vital for muscle, heart, and nervous system function. </w:t>
      </w:r>
      <w:r w:rsidR="00A94261" w:rsidRPr="00A94261">
        <w:rPr>
          <w:rFonts w:ascii="Arial" w:hAnsi="Arial" w:cs="Arial"/>
          <w:sz w:val="20"/>
          <w:szCs w:val="20"/>
        </w:rPr>
        <w:t>A well-balanced diet rich in vitamins, minerals, functional compounds, and sufficient water serves as a safe and effective means to support optimal athletic performance. During periods of intense physical activity, such a diet ensures adequate energy, macronutrients, protein for tissue repair, glycogen replenishment, essential fatty acids, and fat-soluble vitamins</w:t>
      </w:r>
      <w:r w:rsidR="00A94261">
        <w:rPr>
          <w:rFonts w:ascii="Arial" w:hAnsi="Arial" w:cs="Arial"/>
          <w:sz w:val="20"/>
          <w:szCs w:val="20"/>
        </w:rPr>
        <w:t xml:space="preserve"> </w:t>
      </w:r>
      <w:r w:rsidR="00A94261" w:rsidRPr="00A94261">
        <w:rPr>
          <w:rFonts w:ascii="Arial" w:hAnsi="Arial" w:cs="Arial"/>
          <w:sz w:val="20"/>
          <w:szCs w:val="20"/>
        </w:rPr>
        <w:t>(Gammone et al., 2014).</w:t>
      </w:r>
      <w:r w:rsidR="00A94261">
        <w:rPr>
          <w:rFonts w:ascii="Arial" w:hAnsi="Arial" w:cs="Arial"/>
          <w:sz w:val="20"/>
          <w:szCs w:val="20"/>
        </w:rPr>
        <w:t xml:space="preserve"> </w:t>
      </w:r>
      <w:r w:rsidRPr="00F47EF0">
        <w:rPr>
          <w:rFonts w:ascii="Arial" w:hAnsi="Arial" w:cs="Arial"/>
          <w:sz w:val="20"/>
          <w:szCs w:val="20"/>
        </w:rPr>
        <w:t>Key micronutrients include B vitamins, vitamins D, C, and E, iron, calcium, magnesium, zinc, selenium, and beta-carotene, many of which mitigate exercise-induced oxidative stress (Iannello</w:t>
      </w:r>
      <w:r w:rsidR="00B72FC4" w:rsidRPr="00F47EF0">
        <w:rPr>
          <w:rFonts w:ascii="Arial" w:hAnsi="Arial" w:cs="Arial"/>
          <w:sz w:val="20"/>
          <w:szCs w:val="20"/>
        </w:rPr>
        <w:t xml:space="preserve"> and</w:t>
      </w:r>
      <w:r w:rsidRPr="00F47EF0">
        <w:rPr>
          <w:rFonts w:ascii="Arial" w:hAnsi="Arial" w:cs="Arial"/>
          <w:sz w:val="20"/>
          <w:szCs w:val="20"/>
        </w:rPr>
        <w:t xml:space="preserve"> Belfiore, 2013; Nielsen, 2006). Deficiencies, especially in vegetarian or vegan athletes, can impair performance, oxygen delivery, and bone integrity (Ogan </w:t>
      </w:r>
      <w:r w:rsidR="00E11E33">
        <w:rPr>
          <w:rFonts w:ascii="Arial" w:hAnsi="Arial" w:cs="Arial"/>
          <w:sz w:val="20"/>
          <w:szCs w:val="20"/>
        </w:rPr>
        <w:t>and</w:t>
      </w:r>
      <w:r w:rsidRPr="00F47EF0">
        <w:rPr>
          <w:rFonts w:ascii="Arial" w:hAnsi="Arial" w:cs="Arial"/>
          <w:sz w:val="20"/>
          <w:szCs w:val="20"/>
        </w:rPr>
        <w:t xml:space="preserve"> Pritchett, 2013; Peeling et al., 2009; Brownlie et al., 2004). Energy gels, containing carbohydrates, electrolytes, and sometimes caffeine, provide rapid energy, support hydration, delay fatigue, and enhance endurance when used strategically during prolonged exercise.</w:t>
      </w:r>
    </w:p>
    <w:p w14:paraId="1DC7A64E" w14:textId="05262EB1" w:rsidR="00F24838" w:rsidRPr="00F47EF0" w:rsidRDefault="00425CCD" w:rsidP="00F24838">
      <w:pPr>
        <w:spacing w:line="360" w:lineRule="auto"/>
        <w:ind w:firstLine="720"/>
        <w:jc w:val="both"/>
        <w:rPr>
          <w:rFonts w:ascii="Arial" w:hAnsi="Arial" w:cs="Arial"/>
          <w:sz w:val="20"/>
          <w:szCs w:val="20"/>
        </w:rPr>
      </w:pPr>
      <w:r w:rsidRPr="00425CCD">
        <w:rPr>
          <w:rFonts w:ascii="Arial" w:hAnsi="Arial" w:cs="Arial"/>
          <w:sz w:val="20"/>
          <w:szCs w:val="20"/>
        </w:rPr>
        <w:t xml:space="preserve">Sports foods such as sports drinks, bars, gels, ready-to-drink supplements (RTDs), and meal replacement powders (MRPs) provide convenient options to meet athletes’ specific nutritional needs. These products, often fortified with vitamins and minerals, support energy supply, hydration, and recovery when used appropriately. Sports drinks deliver balanced carbohydrates and electrolytes for rehydration and </w:t>
      </w:r>
      <w:r w:rsidRPr="00425CCD">
        <w:rPr>
          <w:rFonts w:ascii="Arial" w:hAnsi="Arial" w:cs="Arial"/>
          <w:sz w:val="20"/>
          <w:szCs w:val="20"/>
        </w:rPr>
        <w:t>refuelling</w:t>
      </w:r>
      <w:r w:rsidRPr="00425CCD">
        <w:rPr>
          <w:rFonts w:ascii="Arial" w:hAnsi="Arial" w:cs="Arial"/>
          <w:sz w:val="20"/>
          <w:szCs w:val="20"/>
        </w:rPr>
        <w:t>, while sports bars offer easily digestible carbohydrates and proteins for pre- or post-exercise nutrition. Sports gels provide concentrated, rapidly absorbed carbohydrates for endurance performance, and RTDs or MRPs supply balanced nutrients for recovery and muscle repair. However, they should complement</w:t>
      </w:r>
      <w:r>
        <w:rPr>
          <w:rFonts w:ascii="Arial" w:hAnsi="Arial" w:cs="Arial"/>
          <w:sz w:val="20"/>
          <w:szCs w:val="20"/>
        </w:rPr>
        <w:t xml:space="preserve"> </w:t>
      </w:r>
      <w:r w:rsidRPr="00425CCD">
        <w:rPr>
          <w:rFonts w:ascii="Arial" w:hAnsi="Arial" w:cs="Arial"/>
          <w:sz w:val="20"/>
          <w:szCs w:val="20"/>
        </w:rPr>
        <w:t>not replace</w:t>
      </w:r>
      <w:r>
        <w:rPr>
          <w:rFonts w:ascii="Arial" w:hAnsi="Arial" w:cs="Arial"/>
          <w:sz w:val="20"/>
          <w:szCs w:val="20"/>
        </w:rPr>
        <w:t xml:space="preserve"> </w:t>
      </w:r>
      <w:r w:rsidRPr="00425CCD">
        <w:rPr>
          <w:rFonts w:ascii="Arial" w:hAnsi="Arial" w:cs="Arial"/>
          <w:sz w:val="20"/>
          <w:szCs w:val="20"/>
        </w:rPr>
        <w:t>a well-balanced diet</w:t>
      </w:r>
      <w:r>
        <w:rPr>
          <w:rFonts w:ascii="Arial" w:hAnsi="Arial" w:cs="Arial"/>
          <w:sz w:val="20"/>
          <w:szCs w:val="20"/>
        </w:rPr>
        <w:t xml:space="preserve"> </w:t>
      </w:r>
      <w:r w:rsidR="00F24838" w:rsidRPr="00F47EF0">
        <w:rPr>
          <w:rFonts w:ascii="Arial" w:hAnsi="Arial" w:cs="Arial"/>
          <w:sz w:val="20"/>
          <w:szCs w:val="20"/>
        </w:rPr>
        <w:t xml:space="preserve">(Negro, 2013). </w:t>
      </w:r>
      <w:r w:rsidR="00301AC3" w:rsidRPr="00301AC3">
        <w:rPr>
          <w:rFonts w:ascii="Arial" w:hAnsi="Arial" w:cs="Arial"/>
          <w:sz w:val="20"/>
          <w:szCs w:val="20"/>
        </w:rPr>
        <w:t>Sports drinks are categorized into three types based on their electrolyte and carbohydrate content: isotonic (4–8% electrolytes), hypotonic (6% electrolytes, 2% carbohydrates), and hypertonic (32% carbohydrates, 4% electrolytes). Isotonic drinks are ideal for regular intensive training, while hypertonic drinks are recommended for extreme physical exertion to rapidly restore energy reserves</w:t>
      </w:r>
      <w:r w:rsidR="006B4201">
        <w:rPr>
          <w:rFonts w:ascii="Arial" w:hAnsi="Arial" w:cs="Arial"/>
          <w:sz w:val="20"/>
          <w:szCs w:val="20"/>
        </w:rPr>
        <w:t xml:space="preserve"> (</w:t>
      </w:r>
      <w:r w:rsidR="006B4201" w:rsidRPr="00301AC3">
        <w:rPr>
          <w:rFonts w:ascii="Arial" w:hAnsi="Arial" w:cs="Arial"/>
          <w:sz w:val="20"/>
          <w:szCs w:val="20"/>
        </w:rPr>
        <w:t>Diel and Khanferyan</w:t>
      </w:r>
      <w:r w:rsidR="006B4201">
        <w:rPr>
          <w:rFonts w:ascii="Arial" w:hAnsi="Arial" w:cs="Arial"/>
          <w:sz w:val="20"/>
          <w:szCs w:val="20"/>
        </w:rPr>
        <w:t>,</w:t>
      </w:r>
      <w:r w:rsidR="006B4201" w:rsidRPr="00301AC3">
        <w:rPr>
          <w:rFonts w:ascii="Arial" w:hAnsi="Arial" w:cs="Arial"/>
          <w:sz w:val="20"/>
          <w:szCs w:val="20"/>
        </w:rPr>
        <w:t xml:space="preserve"> 2018</w:t>
      </w:r>
      <w:r w:rsidR="006B4201">
        <w:rPr>
          <w:rFonts w:ascii="Arial" w:hAnsi="Arial" w:cs="Arial"/>
          <w:sz w:val="20"/>
          <w:szCs w:val="20"/>
        </w:rPr>
        <w:t xml:space="preserve">). </w:t>
      </w:r>
      <w:r w:rsidR="00F24838" w:rsidRPr="00F47EF0">
        <w:rPr>
          <w:rFonts w:ascii="Arial" w:hAnsi="Arial" w:cs="Arial"/>
          <w:sz w:val="20"/>
          <w:szCs w:val="20"/>
        </w:rPr>
        <w:t xml:space="preserve">Other supplements like creatine, beta-alanine, and nitrate-rich products (e.g., beetroot juice) </w:t>
      </w:r>
      <w:r w:rsidR="00F24838" w:rsidRPr="00F47EF0">
        <w:rPr>
          <w:rFonts w:ascii="Arial" w:hAnsi="Arial" w:cs="Arial"/>
          <w:sz w:val="20"/>
          <w:szCs w:val="20"/>
        </w:rPr>
        <w:lastRenderedPageBreak/>
        <w:t>enhance strength, delay fatigue, and improve endurance. Effective use depends on timing, individual tolerance, sport type, intensity, and environmental conditions, helping to sustain performance, reduce fatigue, and accelerate recovery.</w:t>
      </w:r>
    </w:p>
    <w:p w14:paraId="75218FCF" w14:textId="2A6A5284" w:rsidR="0068539F" w:rsidRPr="00F47EF0" w:rsidRDefault="00F47EF0" w:rsidP="00C8557A">
      <w:pPr>
        <w:pStyle w:val="ListParagraph"/>
        <w:numPr>
          <w:ilvl w:val="0"/>
          <w:numId w:val="10"/>
        </w:numPr>
        <w:spacing w:line="360" w:lineRule="auto"/>
        <w:ind w:left="284"/>
        <w:jc w:val="both"/>
        <w:rPr>
          <w:rFonts w:ascii="Arial" w:hAnsi="Arial" w:cs="Arial"/>
          <w:b/>
          <w:bCs/>
        </w:rPr>
      </w:pPr>
      <w:r w:rsidRPr="00F47EF0">
        <w:rPr>
          <w:rFonts w:ascii="Arial" w:hAnsi="Arial" w:cs="Arial"/>
          <w:b/>
          <w:bCs/>
        </w:rPr>
        <w:t>LITERATURE REVIEW: CURRENT EVIDENCE</w:t>
      </w:r>
    </w:p>
    <w:p w14:paraId="597B8CDC" w14:textId="2A7D5EFD" w:rsidR="00090ACC" w:rsidRPr="00090ACC" w:rsidRDefault="001D160A" w:rsidP="00090ACC">
      <w:pPr>
        <w:spacing w:line="360" w:lineRule="auto"/>
        <w:ind w:firstLine="720"/>
        <w:jc w:val="both"/>
        <w:rPr>
          <w:rFonts w:ascii="Arial" w:eastAsia="Times New Roman" w:hAnsi="Arial" w:cs="Arial"/>
          <w:sz w:val="20"/>
          <w:szCs w:val="20"/>
          <w:lang w:eastAsia="en-IN"/>
        </w:rPr>
      </w:pPr>
      <w:r w:rsidRPr="00F47EF0">
        <w:rPr>
          <w:rFonts w:ascii="Arial" w:hAnsi="Arial" w:cs="Arial"/>
          <w:sz w:val="20"/>
          <w:szCs w:val="20"/>
        </w:rPr>
        <w:t xml:space="preserve"> Alsunni</w:t>
      </w:r>
      <w:r w:rsidR="00E11E33">
        <w:rPr>
          <w:rFonts w:ascii="Arial" w:hAnsi="Arial" w:cs="Arial"/>
          <w:sz w:val="20"/>
          <w:szCs w:val="20"/>
        </w:rPr>
        <w:t xml:space="preserve"> </w:t>
      </w:r>
      <w:r w:rsidRPr="00F47EF0">
        <w:rPr>
          <w:rFonts w:ascii="Arial" w:hAnsi="Arial" w:cs="Arial"/>
          <w:sz w:val="20"/>
          <w:szCs w:val="20"/>
        </w:rPr>
        <w:t>(2015) said that energy drink consumption has risen sharply in recent decades, especially among adolescents and young adults. Although marketed to boost energy and performance, scientific evidence supporting these claims is limited. Studies report both potential benefits for physical performance and adverse health effects, raising safety concerns. Until independent research confirms their safety, stricter regulation of energy drink marketing, particularly to adolescents, is recommended.</w:t>
      </w:r>
      <w:r w:rsidR="00CC4512" w:rsidRPr="00F47EF0">
        <w:rPr>
          <w:rFonts w:ascii="Arial" w:hAnsi="Arial" w:cs="Arial"/>
          <w:sz w:val="20"/>
          <w:szCs w:val="20"/>
        </w:rPr>
        <w:t xml:space="preserve"> </w:t>
      </w:r>
      <w:r w:rsidR="004130D6">
        <w:rPr>
          <w:rFonts w:ascii="Arial" w:hAnsi="Arial" w:cs="Arial"/>
          <w:sz w:val="20"/>
          <w:szCs w:val="20"/>
        </w:rPr>
        <w:t xml:space="preserve">Similarly, </w:t>
      </w:r>
      <w:r w:rsidR="00090ACC" w:rsidRPr="00090ACC">
        <w:rPr>
          <w:rFonts w:ascii="Arial" w:eastAsia="Times New Roman" w:hAnsi="Arial" w:cs="Arial"/>
          <w:sz w:val="20"/>
          <w:szCs w:val="20"/>
          <w:lang w:eastAsia="en-IN"/>
        </w:rPr>
        <w:t>Bell (2023) reported that adolescent athletes, particularly those participating in team sports, often do not meet recommended dietary intake levels. In an observational study involving 58 adolescent volleyball players and 58 age-matched nonathletic controls, athletes demonstrated higher energy expenditure and greater consumption of various food groups, macronutrients, and micronutrients. Although protein intake exceeded recommended levels across all groups, total energy intake accounted for only 60% of estimated requirements in athletes and 74% in nonathletes. Male athletes exhibited the lowest relative energy balance, and supplement use was notably more prevalent among athletes. Thus, despite higher energy intake compared to controls, adolescent volleyball players remained in an overall state of energy deficiency.</w:t>
      </w:r>
    </w:p>
    <w:p w14:paraId="7213ACE3" w14:textId="22E16B66" w:rsidR="00A00C34" w:rsidRPr="00F47EF0" w:rsidRDefault="00090ACC" w:rsidP="00F24838">
      <w:pPr>
        <w:spacing w:line="360" w:lineRule="auto"/>
        <w:ind w:firstLine="720"/>
        <w:jc w:val="both"/>
        <w:rPr>
          <w:rFonts w:ascii="Arial" w:eastAsia="Times New Roman" w:hAnsi="Arial" w:cs="Arial"/>
          <w:kern w:val="36"/>
          <w:sz w:val="20"/>
          <w:szCs w:val="20"/>
          <w:lang w:eastAsia="en-IN"/>
        </w:rPr>
      </w:pPr>
      <w:r>
        <w:rPr>
          <w:rFonts w:ascii="Arial" w:eastAsia="Times New Roman" w:hAnsi="Arial" w:cs="Arial"/>
          <w:sz w:val="20"/>
          <w:szCs w:val="20"/>
          <w:lang w:eastAsia="en-IN"/>
        </w:rPr>
        <w:t xml:space="preserve"> </w:t>
      </w:r>
      <w:r w:rsidR="00926157" w:rsidRPr="00F47EF0">
        <w:rPr>
          <w:rFonts w:ascii="Arial" w:hAnsi="Arial" w:cs="Arial"/>
          <w:sz w:val="20"/>
          <w:szCs w:val="20"/>
        </w:rPr>
        <w:t>Vitamins and minerals are essential for metabolic, neural, and muscular functions, influencing energy production, DNA synthesis, oxygen transport, and neurotransmission. This review focuses on B vitamins, vitamin C, iron, magnesium, and zinc, highlighting their molecular roles and linking deficiencies to cognitive impairments, psychological disturbances, and fatigue.</w:t>
      </w:r>
      <w:r w:rsidR="002452CA" w:rsidRPr="00F47EF0">
        <w:rPr>
          <w:rFonts w:ascii="Arial" w:hAnsi="Arial" w:cs="Arial"/>
          <w:sz w:val="20"/>
          <w:szCs w:val="20"/>
        </w:rPr>
        <w:t xml:space="preserve"> A low-dose energy supplement (55 mg caffeine) was tested in a double-blind, placebo-controlled study (N = 47) using resting-state EEG. Results showed it reversed fatigue-related brain activity in the high-theta/low-alpha band (6.5–10.5 Hz) 90 minutes post-ingestion, particularly in eyes-closed EEG, despite minimal </w:t>
      </w:r>
      <w:r w:rsidR="00BF5BCC" w:rsidRPr="00F47EF0">
        <w:rPr>
          <w:rFonts w:ascii="Arial" w:hAnsi="Arial" w:cs="Arial"/>
          <w:sz w:val="20"/>
          <w:szCs w:val="20"/>
        </w:rPr>
        <w:t>behavioural</w:t>
      </w:r>
      <w:r w:rsidR="002452CA" w:rsidRPr="00F47EF0">
        <w:rPr>
          <w:rFonts w:ascii="Arial" w:hAnsi="Arial" w:cs="Arial"/>
          <w:sz w:val="20"/>
          <w:szCs w:val="20"/>
        </w:rPr>
        <w:t xml:space="preserve"> effects. This suggests even small caffeine doses can influence neural activity</w:t>
      </w:r>
      <w:r w:rsidR="004130D6">
        <w:rPr>
          <w:rFonts w:ascii="Arial" w:hAnsi="Arial" w:cs="Arial"/>
          <w:sz w:val="20"/>
          <w:szCs w:val="20"/>
        </w:rPr>
        <w:t xml:space="preserve"> </w:t>
      </w:r>
      <w:r w:rsidR="002452CA" w:rsidRPr="00F47EF0">
        <w:rPr>
          <w:rFonts w:ascii="Arial" w:hAnsi="Arial" w:cs="Arial"/>
          <w:sz w:val="20"/>
          <w:szCs w:val="20"/>
        </w:rPr>
        <w:t>(Maciejewska and Moczarska, 2023).</w:t>
      </w:r>
      <w:r w:rsidR="00CC4512" w:rsidRPr="00F47EF0">
        <w:rPr>
          <w:rFonts w:ascii="Arial" w:hAnsi="Arial" w:cs="Arial"/>
          <w:sz w:val="20"/>
          <w:szCs w:val="20"/>
        </w:rPr>
        <w:t xml:space="preserve"> Fatigue and low energy in the absence of disease may stem from vitamin and mineral deficiencies. While elderly and pregnant individuals are known at-risk groups, young adults</w:t>
      </w:r>
      <w:r w:rsidR="008245D8">
        <w:rPr>
          <w:rFonts w:ascii="Arial" w:hAnsi="Arial" w:cs="Arial"/>
          <w:sz w:val="20"/>
          <w:szCs w:val="20"/>
        </w:rPr>
        <w:t xml:space="preserve"> </w:t>
      </w:r>
      <w:r w:rsidR="00CC4512" w:rsidRPr="00F47EF0">
        <w:rPr>
          <w:rFonts w:ascii="Arial" w:hAnsi="Arial" w:cs="Arial"/>
          <w:sz w:val="20"/>
          <w:szCs w:val="20"/>
        </w:rPr>
        <w:t>especially physically active women with demanding lifestyles and poor dietary habits</w:t>
      </w:r>
      <w:r w:rsidR="008245D8">
        <w:rPr>
          <w:rFonts w:ascii="Arial" w:hAnsi="Arial" w:cs="Arial"/>
          <w:sz w:val="20"/>
          <w:szCs w:val="20"/>
        </w:rPr>
        <w:t xml:space="preserve"> </w:t>
      </w:r>
      <w:r w:rsidR="00CC4512" w:rsidRPr="00F47EF0">
        <w:rPr>
          <w:rFonts w:ascii="Arial" w:hAnsi="Arial" w:cs="Arial"/>
          <w:sz w:val="20"/>
          <w:szCs w:val="20"/>
        </w:rPr>
        <w:t>also show inadequate micronutrient intake. Supplementation can correct deficiencies if taken consistently.</w:t>
      </w:r>
      <w:r w:rsidR="00A00C34" w:rsidRPr="00F47EF0">
        <w:rPr>
          <w:rFonts w:ascii="Arial" w:eastAsia="Times New Roman" w:hAnsi="Arial" w:cs="Arial"/>
          <w:sz w:val="20"/>
          <w:szCs w:val="20"/>
          <w:lang w:eastAsia="en-IN"/>
        </w:rPr>
        <w:t xml:space="preserve"> </w:t>
      </w:r>
      <w:r w:rsidR="00A00C34" w:rsidRPr="00F47EF0">
        <w:rPr>
          <w:rFonts w:ascii="Arial" w:hAnsi="Arial" w:cs="Arial"/>
          <w:sz w:val="20"/>
          <w:szCs w:val="20"/>
        </w:rPr>
        <w:t>Carbohydrate (CHO) gels enhance endurance by supplying energy, preserving glycogen, and stimulating the central nervous system. Analysis of eight popular gels showed that most contained less energy than labelled, while CHO content was generally accurate. Spring Energy products had major discrepancies, with up to 71% less energy and 72% less CHO, raising concerns for performance, clinical use, and labelling accuracy</w:t>
      </w:r>
      <w:r w:rsidR="00F24838" w:rsidRPr="00F47EF0">
        <w:rPr>
          <w:rFonts w:ascii="Arial" w:hAnsi="Arial" w:cs="Arial"/>
          <w:sz w:val="20"/>
          <w:szCs w:val="20"/>
        </w:rPr>
        <w:t xml:space="preserve"> (</w:t>
      </w:r>
      <w:r w:rsidR="00F24838" w:rsidRPr="00F47EF0">
        <w:rPr>
          <w:rFonts w:ascii="Arial" w:eastAsia="Times New Roman" w:hAnsi="Arial" w:cs="Arial"/>
          <w:kern w:val="36"/>
          <w:sz w:val="20"/>
          <w:szCs w:val="20"/>
          <w:lang w:eastAsia="en-IN"/>
        </w:rPr>
        <w:t>Tiller et al, 2024).</w:t>
      </w:r>
    </w:p>
    <w:p w14:paraId="1CBD901D" w14:textId="2E6F057F" w:rsidR="002A1FC6" w:rsidRPr="00F47EF0" w:rsidRDefault="009E5D74" w:rsidP="00300DD8">
      <w:pPr>
        <w:spacing w:line="360" w:lineRule="auto"/>
        <w:ind w:firstLine="720"/>
        <w:jc w:val="both"/>
        <w:rPr>
          <w:rFonts w:ascii="Arial" w:eastAsia="Times New Roman" w:hAnsi="Arial" w:cs="Arial"/>
          <w:kern w:val="36"/>
          <w:sz w:val="20"/>
          <w:szCs w:val="20"/>
          <w:lang w:eastAsia="en-IN"/>
        </w:rPr>
      </w:pPr>
      <w:r w:rsidRPr="009E5D74">
        <w:rPr>
          <w:rFonts w:ascii="Arial" w:eastAsia="Times New Roman" w:hAnsi="Arial" w:cs="Arial"/>
          <w:kern w:val="36"/>
          <w:sz w:val="20"/>
          <w:szCs w:val="20"/>
          <w:lang w:eastAsia="en-IN"/>
        </w:rPr>
        <w:t xml:space="preserve">Vitamin D supplementation is increasingly common among both athletes and the general population due to widespread deficiencies. Athletes who train indoors, live at high latitudes, or have darker skin are at greater risk of inadequate vitamin D synthesis, as factors like clothing, sunscreen </w:t>
      </w:r>
      <w:r w:rsidRPr="009E5D74">
        <w:rPr>
          <w:rFonts w:ascii="Arial" w:eastAsia="Times New Roman" w:hAnsi="Arial" w:cs="Arial"/>
          <w:kern w:val="36"/>
          <w:sz w:val="20"/>
          <w:szCs w:val="20"/>
          <w:lang w:eastAsia="en-IN"/>
        </w:rPr>
        <w:lastRenderedPageBreak/>
        <w:t>use, training schedules, and seasonal variation reduce sun exposure. Supplementation may offer ergogenic benefits for those deficient, with studies linking adequate vitamin D levels to improved muscle strength, power, and reduced stress fracture risk when combined with calcium</w:t>
      </w:r>
      <w:r>
        <w:rPr>
          <w:rFonts w:ascii="Arial" w:eastAsia="Times New Roman" w:hAnsi="Arial" w:cs="Arial"/>
          <w:kern w:val="36"/>
          <w:sz w:val="20"/>
          <w:szCs w:val="20"/>
          <w:lang w:eastAsia="en-IN"/>
        </w:rPr>
        <w:t xml:space="preserve"> (</w:t>
      </w:r>
      <w:r w:rsidRPr="009E5D74">
        <w:rPr>
          <w:rFonts w:ascii="Arial" w:hAnsi="Arial" w:cs="Arial"/>
          <w:sz w:val="20"/>
          <w:szCs w:val="20"/>
        </w:rPr>
        <w:t>Powers</w:t>
      </w:r>
      <w:r>
        <w:rPr>
          <w:rFonts w:ascii="Arial" w:hAnsi="Arial" w:cs="Arial"/>
          <w:sz w:val="20"/>
          <w:szCs w:val="20"/>
        </w:rPr>
        <w:t xml:space="preserve"> et al, 2011)</w:t>
      </w:r>
      <w:r w:rsidR="00D977D7">
        <w:rPr>
          <w:rFonts w:ascii="Arial" w:hAnsi="Arial" w:cs="Arial"/>
          <w:sz w:val="20"/>
          <w:szCs w:val="20"/>
        </w:rPr>
        <w:t>.</w:t>
      </w:r>
      <w:r w:rsidRPr="009E5D74">
        <w:rPr>
          <w:rFonts w:ascii="Arial" w:eastAsia="Times New Roman" w:hAnsi="Arial" w:cs="Arial"/>
          <w:kern w:val="36"/>
          <w:sz w:val="20"/>
          <w:szCs w:val="20"/>
          <w:lang w:eastAsia="en-IN"/>
        </w:rPr>
        <w:t xml:space="preserve"> The ACSM advises that athletes meeting energy needs through a balanced diet generally do not require additional supplementation. However, supplementation may be necessary for individuals with restricted diets, illnesses, injuries, or specific conditions</w:t>
      </w:r>
      <w:r w:rsidR="00E11E33">
        <w:rPr>
          <w:rFonts w:ascii="Arial" w:eastAsia="Times New Roman" w:hAnsi="Arial" w:cs="Arial"/>
          <w:kern w:val="36"/>
          <w:sz w:val="20"/>
          <w:szCs w:val="20"/>
          <w:lang w:eastAsia="en-IN"/>
        </w:rPr>
        <w:t xml:space="preserve">, </w:t>
      </w:r>
      <w:r w:rsidRPr="009E5D74">
        <w:rPr>
          <w:rFonts w:ascii="Arial" w:eastAsia="Times New Roman" w:hAnsi="Arial" w:cs="Arial"/>
          <w:kern w:val="36"/>
          <w:sz w:val="20"/>
          <w:szCs w:val="20"/>
          <w:lang w:eastAsia="en-IN"/>
        </w:rPr>
        <w:t>particularly vegetarians who may need vitamin B12, iron, calcium, vitamin D, riboflavin, and zinc. Certain vitamins, such as E, C, niacin, and folic acid, may also provide additional health benefits</w:t>
      </w:r>
      <w:r w:rsidR="00E11E33">
        <w:rPr>
          <w:rFonts w:ascii="Arial" w:eastAsia="Times New Roman" w:hAnsi="Arial" w:cs="Arial"/>
          <w:kern w:val="36"/>
          <w:sz w:val="20"/>
          <w:szCs w:val="20"/>
          <w:lang w:eastAsia="en-IN"/>
        </w:rPr>
        <w:t xml:space="preserve"> (</w:t>
      </w:r>
      <w:r w:rsidR="00E11E33" w:rsidRPr="009E5D74">
        <w:rPr>
          <w:rFonts w:ascii="Arial" w:hAnsi="Arial" w:cs="Arial"/>
          <w:sz w:val="20"/>
          <w:szCs w:val="20"/>
        </w:rPr>
        <w:t xml:space="preserve">Rodriquez </w:t>
      </w:r>
      <w:r w:rsidR="00E11E33">
        <w:rPr>
          <w:rFonts w:ascii="Arial" w:hAnsi="Arial" w:cs="Arial"/>
          <w:sz w:val="20"/>
          <w:szCs w:val="20"/>
        </w:rPr>
        <w:t xml:space="preserve">et al, 2012). </w:t>
      </w:r>
      <w:r w:rsidR="00300DD8" w:rsidRPr="00300DD8">
        <w:rPr>
          <w:rFonts w:ascii="Arial" w:eastAsia="Times New Roman" w:hAnsi="Arial" w:cs="Arial"/>
          <w:kern w:val="36"/>
          <w:sz w:val="20"/>
          <w:szCs w:val="20"/>
          <w:lang w:eastAsia="en-IN"/>
        </w:rPr>
        <w:t>Energy bars are an excellent source of natural sugars and proteins, offering a nutritionally balanced option to support athletic performance. Beyond providing quick energy, their protein content contributes to muscle development and tissue repair</w:t>
      </w:r>
      <w:r w:rsidR="00F24838" w:rsidRPr="00F47EF0">
        <w:rPr>
          <w:rFonts w:ascii="Arial" w:eastAsia="Times New Roman" w:hAnsi="Arial" w:cs="Arial"/>
          <w:kern w:val="36"/>
          <w:sz w:val="20"/>
          <w:szCs w:val="20"/>
          <w:lang w:eastAsia="en-IN"/>
        </w:rPr>
        <w:t xml:space="preserve"> </w:t>
      </w:r>
      <w:r w:rsidR="00300DD8">
        <w:rPr>
          <w:rFonts w:ascii="Arial" w:eastAsia="Times New Roman" w:hAnsi="Arial" w:cs="Arial"/>
          <w:kern w:val="36"/>
          <w:sz w:val="20"/>
          <w:szCs w:val="20"/>
          <w:lang w:eastAsia="en-IN"/>
        </w:rPr>
        <w:t>(</w:t>
      </w:r>
      <w:r w:rsidR="00300DD8" w:rsidRPr="00300DD8">
        <w:rPr>
          <w:rFonts w:ascii="Arial" w:hAnsi="Arial" w:cs="Arial"/>
          <w:sz w:val="20"/>
          <w:szCs w:val="20"/>
        </w:rPr>
        <w:t>Aljaloud</w:t>
      </w:r>
      <w:r w:rsidR="00300DD8">
        <w:rPr>
          <w:rFonts w:ascii="Arial" w:hAnsi="Arial" w:cs="Arial"/>
          <w:sz w:val="20"/>
          <w:szCs w:val="20"/>
        </w:rPr>
        <w:t xml:space="preserve"> et al., 2020)</w:t>
      </w:r>
      <w:r w:rsidR="00D977D7">
        <w:rPr>
          <w:rFonts w:ascii="Arial" w:hAnsi="Arial" w:cs="Arial"/>
          <w:sz w:val="20"/>
          <w:szCs w:val="20"/>
        </w:rPr>
        <w:t>.</w:t>
      </w:r>
      <w:r w:rsidR="00300DD8" w:rsidRPr="00F47EF0">
        <w:rPr>
          <w:rFonts w:ascii="Arial" w:eastAsia="Times New Roman" w:hAnsi="Arial" w:cs="Arial"/>
          <w:kern w:val="36"/>
          <w:sz w:val="20"/>
          <w:szCs w:val="20"/>
          <w:lang w:eastAsia="en-IN"/>
        </w:rPr>
        <w:t xml:space="preserve"> </w:t>
      </w:r>
      <w:r w:rsidR="00F24838" w:rsidRPr="00F47EF0">
        <w:rPr>
          <w:rFonts w:ascii="Arial" w:eastAsia="Times New Roman" w:hAnsi="Arial" w:cs="Arial"/>
          <w:kern w:val="36"/>
          <w:sz w:val="20"/>
          <w:szCs w:val="20"/>
          <w:lang w:eastAsia="en-IN"/>
        </w:rPr>
        <w:t>Magnesium is essential for neuromuscular, cardiovascular, and metabolic functions, and deficiency</w:t>
      </w:r>
      <w:r w:rsidR="000B2226">
        <w:rPr>
          <w:rFonts w:ascii="Arial" w:eastAsia="Times New Roman" w:hAnsi="Arial" w:cs="Arial"/>
          <w:kern w:val="36"/>
          <w:sz w:val="20"/>
          <w:szCs w:val="20"/>
          <w:lang w:eastAsia="en-IN"/>
        </w:rPr>
        <w:t xml:space="preserve"> </w:t>
      </w:r>
      <w:r w:rsidR="00F24838" w:rsidRPr="00F47EF0">
        <w:rPr>
          <w:rFonts w:ascii="Arial" w:eastAsia="Times New Roman" w:hAnsi="Arial" w:cs="Arial"/>
          <w:kern w:val="36"/>
          <w:sz w:val="20"/>
          <w:szCs w:val="20"/>
          <w:lang w:eastAsia="en-IN"/>
        </w:rPr>
        <w:t>common among active individuals</w:t>
      </w:r>
      <w:r w:rsidR="000B2226">
        <w:rPr>
          <w:rFonts w:ascii="Arial" w:eastAsia="Times New Roman" w:hAnsi="Arial" w:cs="Arial"/>
          <w:kern w:val="36"/>
          <w:sz w:val="20"/>
          <w:szCs w:val="20"/>
          <w:lang w:eastAsia="en-IN"/>
        </w:rPr>
        <w:t xml:space="preserve"> </w:t>
      </w:r>
      <w:r w:rsidR="00F24838" w:rsidRPr="00F47EF0">
        <w:rPr>
          <w:rFonts w:ascii="Arial" w:eastAsia="Times New Roman" w:hAnsi="Arial" w:cs="Arial"/>
          <w:kern w:val="36"/>
          <w:sz w:val="20"/>
          <w:szCs w:val="20"/>
          <w:lang w:eastAsia="en-IN"/>
        </w:rPr>
        <w:t xml:space="preserve">can impair performance (Bohl </w:t>
      </w:r>
      <w:r w:rsidR="00E11E33">
        <w:rPr>
          <w:rFonts w:ascii="Arial" w:eastAsia="Times New Roman" w:hAnsi="Arial" w:cs="Arial"/>
          <w:kern w:val="36"/>
          <w:sz w:val="20"/>
          <w:szCs w:val="20"/>
          <w:lang w:eastAsia="en-IN"/>
        </w:rPr>
        <w:t>and</w:t>
      </w:r>
      <w:r w:rsidR="00F24838" w:rsidRPr="00F47EF0">
        <w:rPr>
          <w:rFonts w:ascii="Arial" w:eastAsia="Times New Roman" w:hAnsi="Arial" w:cs="Arial"/>
          <w:kern w:val="36"/>
          <w:sz w:val="20"/>
          <w:szCs w:val="20"/>
          <w:lang w:eastAsia="en-IN"/>
        </w:rPr>
        <w:t xml:space="preserve"> Volpe, 2002). Beverage formulations using hydrocolloids like pectin improve the stability and acceptability of caffeine-enriched drinks (Cardozo</w:t>
      </w:r>
      <w:r w:rsidR="009B49C0">
        <w:rPr>
          <w:rFonts w:ascii="Arial" w:eastAsia="Times New Roman" w:hAnsi="Arial" w:cs="Arial"/>
          <w:kern w:val="36"/>
          <w:sz w:val="20"/>
          <w:szCs w:val="20"/>
          <w:lang w:eastAsia="en-IN"/>
        </w:rPr>
        <w:t xml:space="preserve"> et al.</w:t>
      </w:r>
      <w:r w:rsidR="00F24838" w:rsidRPr="00F47EF0">
        <w:rPr>
          <w:rFonts w:ascii="Arial" w:eastAsia="Times New Roman" w:hAnsi="Arial" w:cs="Arial"/>
          <w:kern w:val="36"/>
          <w:sz w:val="20"/>
          <w:szCs w:val="20"/>
          <w:lang w:eastAsia="en-IN"/>
        </w:rPr>
        <w:t>, 2017). Iron status is crucial for endurance performance, with intravenous supplementation more effectively increasing ferritin levels and improving VO</w:t>
      </w:r>
      <w:r w:rsidR="00F24838" w:rsidRPr="00F47EF0">
        <w:rPr>
          <w:rFonts w:ascii="Cambria Math" w:eastAsia="Times New Roman" w:hAnsi="Cambria Math" w:cs="Cambria Math"/>
          <w:kern w:val="36"/>
          <w:sz w:val="20"/>
          <w:szCs w:val="20"/>
          <w:lang w:eastAsia="en-IN"/>
        </w:rPr>
        <w:t>₂</w:t>
      </w:r>
      <w:r w:rsidR="00F24838" w:rsidRPr="00F47EF0">
        <w:rPr>
          <w:rFonts w:ascii="Arial" w:eastAsia="Times New Roman" w:hAnsi="Arial" w:cs="Arial"/>
          <w:kern w:val="36"/>
          <w:sz w:val="20"/>
          <w:szCs w:val="20"/>
          <w:lang w:eastAsia="en-IN"/>
        </w:rPr>
        <w:t> max and fatigue resistance compared to oral supplementation (Garvican et al., 2014)</w:t>
      </w:r>
      <w:r w:rsidR="002A1FC6" w:rsidRPr="00F47EF0">
        <w:rPr>
          <w:rFonts w:ascii="Arial" w:eastAsia="Times New Roman" w:hAnsi="Arial" w:cs="Arial"/>
          <w:kern w:val="36"/>
          <w:sz w:val="20"/>
          <w:szCs w:val="20"/>
          <w:lang w:eastAsia="en-IN"/>
        </w:rPr>
        <w:t>.</w:t>
      </w:r>
    </w:p>
    <w:p w14:paraId="13F10222" w14:textId="0BB680E0" w:rsidR="00DB0AF9" w:rsidRPr="00F47EF0" w:rsidRDefault="00F47EF0" w:rsidP="00C8557A">
      <w:pPr>
        <w:pStyle w:val="ListParagraph"/>
        <w:numPr>
          <w:ilvl w:val="0"/>
          <w:numId w:val="10"/>
        </w:numPr>
        <w:spacing w:line="360" w:lineRule="auto"/>
        <w:ind w:left="284"/>
        <w:jc w:val="both"/>
        <w:rPr>
          <w:rFonts w:ascii="Arial" w:hAnsi="Arial" w:cs="Arial"/>
          <w:b/>
          <w:bCs/>
        </w:rPr>
      </w:pPr>
      <w:r w:rsidRPr="00F47EF0">
        <w:rPr>
          <w:rFonts w:ascii="Arial" w:hAnsi="Arial" w:cs="Arial"/>
          <w:b/>
          <w:bCs/>
        </w:rPr>
        <w:t>MATERIAL AND METHODS</w:t>
      </w:r>
    </w:p>
    <w:p w14:paraId="7AA301EA" w14:textId="577D0967" w:rsidR="00AB19C3" w:rsidRPr="00F47EF0" w:rsidRDefault="00AB19C3" w:rsidP="00D977D7">
      <w:pPr>
        <w:spacing w:line="360" w:lineRule="auto"/>
        <w:ind w:firstLine="284"/>
        <w:jc w:val="both"/>
        <w:rPr>
          <w:rFonts w:ascii="Arial" w:hAnsi="Arial" w:cs="Arial"/>
          <w:sz w:val="20"/>
          <w:szCs w:val="20"/>
        </w:rPr>
      </w:pPr>
      <w:r w:rsidRPr="00F47EF0">
        <w:rPr>
          <w:rFonts w:ascii="Arial" w:hAnsi="Arial" w:cs="Arial"/>
          <w:sz w:val="20"/>
          <w:szCs w:val="20"/>
        </w:rPr>
        <w:t xml:space="preserve">This study employs a literature review approach to Role of Energy Supplements in Enhancing Sports Performance: Current Evidence and Future Perspectives. </w:t>
      </w:r>
      <w:bookmarkStart w:id="0" w:name="_Hlk210638886"/>
      <w:r w:rsidRPr="00F47EF0">
        <w:rPr>
          <w:rFonts w:ascii="Arial" w:hAnsi="Arial" w:cs="Arial"/>
          <w:sz w:val="20"/>
          <w:szCs w:val="20"/>
        </w:rPr>
        <w:t xml:space="preserve">The literature search was carried out using reputable scientific databases, including Google Scholar, ResearchGate, and ScienceDirect. </w:t>
      </w:r>
      <w:bookmarkEnd w:id="0"/>
      <w:r w:rsidRPr="00F47EF0">
        <w:rPr>
          <w:rFonts w:ascii="Arial" w:hAnsi="Arial" w:cs="Arial"/>
          <w:sz w:val="20"/>
          <w:szCs w:val="20"/>
        </w:rPr>
        <w:t xml:space="preserve">Keywords such as </w:t>
      </w:r>
      <w:r w:rsidRPr="00F47EF0">
        <w:rPr>
          <w:rFonts w:ascii="Arial" w:eastAsia="Calibri" w:hAnsi="Arial" w:cs="Arial"/>
          <w:sz w:val="20"/>
          <w:szCs w:val="20"/>
        </w:rPr>
        <w:t xml:space="preserve">energy supplements, electrolytes, athletic </w:t>
      </w:r>
      <w:r w:rsidR="002C3E54" w:rsidRPr="00F47EF0">
        <w:rPr>
          <w:rFonts w:ascii="Arial" w:eastAsia="Calibri" w:hAnsi="Arial" w:cs="Arial"/>
          <w:sz w:val="20"/>
          <w:szCs w:val="20"/>
        </w:rPr>
        <w:t>performance,</w:t>
      </w:r>
      <w:r w:rsidRPr="00F47EF0">
        <w:rPr>
          <w:rFonts w:ascii="Arial" w:eastAsia="Calibri" w:hAnsi="Arial" w:cs="Arial"/>
          <w:sz w:val="20"/>
          <w:szCs w:val="20"/>
        </w:rPr>
        <w:t xml:space="preserve"> and health </w:t>
      </w:r>
      <w:r w:rsidRPr="00F47EF0">
        <w:rPr>
          <w:rFonts w:ascii="Arial" w:hAnsi="Arial" w:cs="Arial"/>
          <w:sz w:val="20"/>
          <w:szCs w:val="20"/>
        </w:rPr>
        <w:t xml:space="preserve">were used to identify relevant studies. </w:t>
      </w:r>
    </w:p>
    <w:p w14:paraId="717D2581" w14:textId="481B0E27" w:rsidR="00F24838" w:rsidRPr="00F47EF0" w:rsidRDefault="00F47EF0" w:rsidP="00C8557A">
      <w:pPr>
        <w:pStyle w:val="ListParagraph"/>
        <w:numPr>
          <w:ilvl w:val="0"/>
          <w:numId w:val="10"/>
        </w:numPr>
        <w:spacing w:line="360" w:lineRule="auto"/>
        <w:ind w:left="284" w:hanging="284"/>
        <w:jc w:val="both"/>
        <w:rPr>
          <w:rFonts w:ascii="Arial" w:hAnsi="Arial" w:cs="Arial"/>
          <w:b/>
          <w:bCs/>
        </w:rPr>
      </w:pPr>
      <w:r w:rsidRPr="00F47EF0">
        <w:rPr>
          <w:rFonts w:ascii="Arial" w:hAnsi="Arial" w:cs="Arial"/>
          <w:b/>
          <w:bCs/>
        </w:rPr>
        <w:t>FUTURE PERSPECTIVES</w:t>
      </w:r>
    </w:p>
    <w:p w14:paraId="5B8EC857" w14:textId="7753BBD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 xml:space="preserve">Energy supplements are increasingly important for optimizing athletic performance, supporting recovery, and maintaining overall health. Carbohydrates, proteins, amino acids, caffeine, creatine, electrolytes, vitamins, and minerals play critical roles in energy metabolism, endurance, strength, cognitive function, and injury prevention. Despite their benefits, challenges remain, including inconsistencies between label claims and actual nutrient content, variable effectiveness among individuals, and limited research on some newer compounds. These issues highlight the need for improved quality control, stricter regulation, and standardized </w:t>
      </w:r>
      <w:r w:rsidR="00A741FD" w:rsidRPr="00F47EF0">
        <w:rPr>
          <w:rFonts w:ascii="Arial" w:hAnsi="Arial" w:cs="Arial"/>
          <w:sz w:val="20"/>
          <w:szCs w:val="20"/>
        </w:rPr>
        <w:t>labelling</w:t>
      </w:r>
      <w:r w:rsidRPr="00F47EF0">
        <w:rPr>
          <w:rFonts w:ascii="Arial" w:hAnsi="Arial" w:cs="Arial"/>
          <w:sz w:val="20"/>
          <w:szCs w:val="20"/>
        </w:rPr>
        <w:t xml:space="preserve"> to ensure safety and efficacy.</w:t>
      </w:r>
    </w:p>
    <w:p w14:paraId="541F165D" w14:textId="397E1F36" w:rsidR="0079699E" w:rsidRPr="00F47EF0" w:rsidRDefault="0079699E" w:rsidP="00D20E65">
      <w:pPr>
        <w:spacing w:line="360" w:lineRule="auto"/>
        <w:ind w:firstLine="720"/>
        <w:jc w:val="both"/>
        <w:rPr>
          <w:rFonts w:ascii="Arial" w:hAnsi="Arial" w:cs="Arial"/>
          <w:sz w:val="20"/>
          <w:szCs w:val="20"/>
        </w:rPr>
      </w:pPr>
      <w:r w:rsidRPr="00F47EF0">
        <w:rPr>
          <w:rFonts w:ascii="Arial" w:hAnsi="Arial" w:cs="Arial"/>
          <w:sz w:val="20"/>
          <w:szCs w:val="20"/>
        </w:rPr>
        <w:t>Future developments should focus on personalized supplementation strategies that consider an athlete’s physiology, sport type, training intensity, and environmental conditions. Tailoring supplement use can optimize energy availability, delay fatigue, enhance recovery, and reduce the risk of deficiencies or overuse. Innovative delivery systems, such as transdermal patches, functional bars, stable beverage formulations, and low-dose stimulants, offer opportunities to improve nutrient absorption, maintain bioavailability, and increase convenience during training and competition.</w:t>
      </w:r>
      <w:r w:rsidR="00D20E65" w:rsidRPr="00F47EF0">
        <w:rPr>
          <w:rFonts w:ascii="Arial" w:hAnsi="Arial" w:cs="Arial"/>
          <w:sz w:val="20"/>
          <w:szCs w:val="20"/>
        </w:rPr>
        <w:t xml:space="preserve"> </w:t>
      </w:r>
      <w:r w:rsidRPr="00F47EF0">
        <w:rPr>
          <w:rFonts w:ascii="Arial" w:hAnsi="Arial" w:cs="Arial"/>
          <w:sz w:val="20"/>
          <w:szCs w:val="20"/>
        </w:rPr>
        <w:t xml:space="preserve">Monitoring micronutrient status will also be a key area of focus. Ensuring adequate intake of vitamins, minerals, and antioxidants supports energy production, muscle function, bone health, immune </w:t>
      </w:r>
      <w:r w:rsidRPr="00F47EF0">
        <w:rPr>
          <w:rFonts w:ascii="Arial" w:hAnsi="Arial" w:cs="Arial"/>
          <w:sz w:val="20"/>
          <w:szCs w:val="20"/>
        </w:rPr>
        <w:lastRenderedPageBreak/>
        <w:t>regulation, and protection against oxidative stress. This is particularly important for athletes with high training loads or dietary restrictions, as deficiencies can impair performance, increase fatigue, and raise injury risk.</w:t>
      </w:r>
    </w:p>
    <w:p w14:paraId="0C44E071" w14:textId="0FA80EAA" w:rsidR="009348D0" w:rsidRPr="009348D0" w:rsidRDefault="0079699E" w:rsidP="009348D0">
      <w:pPr>
        <w:spacing w:line="360" w:lineRule="auto"/>
        <w:ind w:firstLine="720"/>
        <w:jc w:val="both"/>
        <w:rPr>
          <w:rFonts w:ascii="Arial" w:hAnsi="Arial" w:cs="Arial"/>
          <w:sz w:val="20"/>
          <w:szCs w:val="20"/>
        </w:rPr>
      </w:pPr>
      <w:r w:rsidRPr="009348D0">
        <w:rPr>
          <w:rFonts w:ascii="Arial" w:hAnsi="Arial" w:cs="Arial"/>
          <w:sz w:val="20"/>
          <w:szCs w:val="20"/>
        </w:rPr>
        <w:t>Strategically combining ergogenic compounds, such as caffeine with carbohydrates or nitrate-rich supplements, represents another avenue for enhancing performance. Research on optimal timing, dosing, and synergistic effects can help maximize benefits while minimizing potential side effects. Low-dose stimulants that influence neural activity and fatigue perception may also play a role in supporting cognitive function during intense training and competition.</w:t>
      </w:r>
      <w:r w:rsidR="00D20E65" w:rsidRPr="009348D0">
        <w:rPr>
          <w:rFonts w:ascii="Arial" w:hAnsi="Arial" w:cs="Arial"/>
          <w:sz w:val="20"/>
          <w:szCs w:val="20"/>
        </w:rPr>
        <w:t xml:space="preserve"> </w:t>
      </w:r>
      <w:r w:rsidRPr="009348D0">
        <w:rPr>
          <w:rFonts w:ascii="Arial" w:hAnsi="Arial" w:cs="Arial"/>
          <w:sz w:val="20"/>
          <w:szCs w:val="20"/>
        </w:rPr>
        <w:t>Education will be essential to maximize the benefits of supplementation. Athletes, coaches, and support staff should be informed about proper dosage, timing, safety considerations, and evidence-based strategies to ensure effective use. Combined with innovation, regulation, and personalized approaches, this knowledge will allow energy supplements to safely enhance endurance, strength, cognitive performance, and long-term athlete health.</w:t>
      </w:r>
      <w:r w:rsidR="009348D0" w:rsidRPr="009348D0">
        <w:rPr>
          <w:rFonts w:ascii="Times New Roman" w:eastAsia="Times New Roman" w:hAnsi="Times New Roman" w:cs="Times New Roman"/>
          <w:sz w:val="24"/>
          <w:szCs w:val="24"/>
          <w:lang w:eastAsia="en-IN"/>
        </w:rPr>
        <w:t xml:space="preserve"> </w:t>
      </w:r>
      <w:r w:rsidR="009348D0" w:rsidRPr="009348D0">
        <w:rPr>
          <w:rFonts w:ascii="Arial" w:hAnsi="Arial" w:cs="Arial"/>
          <w:sz w:val="20"/>
          <w:szCs w:val="20"/>
        </w:rPr>
        <w:t>Advances in sports genomics, nutrigenomics, and digital monitoring are enabling more precise and personalized energy supplementation. Genetic insights can guide nutrient choices based on individual metabolism, while nutrigenomics reveals how nutrients influence gene expression to optimize performance and recovery. Real-time data from wearables and monitoring devices allow dynamic adjustment of supplementation, enhancing effectiveness and safety. Together, these approaches support a precision nutrition strategy tailored to each athlete’s unique needs.</w:t>
      </w:r>
    </w:p>
    <w:p w14:paraId="5DC3E985" w14:textId="77777777" w:rsidR="00F77752" w:rsidRDefault="009348D0" w:rsidP="00F77752">
      <w:pPr>
        <w:spacing w:line="360" w:lineRule="auto"/>
        <w:ind w:firstLine="720"/>
        <w:jc w:val="both"/>
        <w:rPr>
          <w:rFonts w:ascii="Arial" w:hAnsi="Arial" w:cs="Arial"/>
          <w:sz w:val="20"/>
          <w:szCs w:val="20"/>
        </w:rPr>
      </w:pPr>
      <w:r w:rsidRPr="009348D0">
        <w:rPr>
          <w:rFonts w:ascii="Arial" w:hAnsi="Arial" w:cs="Arial"/>
          <w:sz w:val="20"/>
          <w:szCs w:val="20"/>
        </w:rPr>
        <w:t xml:space="preserve">Beyond sports genomics, nutrigenomics, and digital monitoring, several advanced tools are increasingly used to optimize sports nutrition and energy supplementation. Metabolomics platforms analyze metabolites in blood, urine, or sweat to monitor energy use, recovery, and nutrient needs in real time. Gut microbiome profiling provides insights into individual microbiota composition, helping tailor diets and supplements for improved digestion and nutrient absorption. Wearable physiological sensors track heart rate variability, oxygen saturation, and muscle activity, while continuous glucose monitors (CGMs) optimize carbohydrate intake based on real-time blood glucose data. Hydration and electrolyte sensors assess fluid balance, and 3D body composition scanners measure muscle, fat, and bone density to guide nutrition planning. Additionally, smart nutrition apps integrate dietary tracking, exercise metrics, and AI-based recommendations to provide personalized supplement strategies. </w:t>
      </w:r>
      <w:r w:rsidR="00F77752" w:rsidRPr="00F77752">
        <w:rPr>
          <w:rFonts w:ascii="Arial" w:hAnsi="Arial" w:cs="Arial"/>
          <w:sz w:val="20"/>
          <w:szCs w:val="20"/>
        </w:rPr>
        <w:t>Overall, the future of energy supplementation is expected to evolve through a holistic approach that emphasizes personalization, technological innovation, strict regulatory standards, and comprehensive education, thereby ensuring sustained support for optimal performance and overall health.</w:t>
      </w:r>
    </w:p>
    <w:p w14:paraId="43C787B0" w14:textId="663015DF" w:rsidR="0079699E" w:rsidRPr="00F47EF0" w:rsidRDefault="00F47EF0" w:rsidP="00C8557A">
      <w:pPr>
        <w:spacing w:line="360" w:lineRule="auto"/>
        <w:jc w:val="both"/>
        <w:rPr>
          <w:rFonts w:ascii="Arial" w:hAnsi="Arial" w:cs="Arial"/>
          <w:b/>
          <w:bCs/>
        </w:rPr>
      </w:pPr>
      <w:r w:rsidRPr="00F47EF0">
        <w:rPr>
          <w:rFonts w:ascii="Arial" w:hAnsi="Arial" w:cs="Arial"/>
          <w:b/>
          <w:bCs/>
        </w:rPr>
        <w:t>CONCLUSION</w:t>
      </w:r>
    </w:p>
    <w:p w14:paraId="0D6CFB56" w14:textId="788754EB" w:rsidR="003224EC" w:rsidRPr="00785A66" w:rsidRDefault="00785A66" w:rsidP="00D977D7">
      <w:pPr>
        <w:spacing w:before="240" w:after="0" w:line="360" w:lineRule="auto"/>
        <w:ind w:firstLine="720"/>
        <w:jc w:val="both"/>
        <w:rPr>
          <w:rFonts w:ascii="Arial" w:hAnsi="Arial" w:cs="Arial"/>
          <w:sz w:val="24"/>
          <w:szCs w:val="24"/>
        </w:rPr>
      </w:pPr>
      <w:r w:rsidRPr="00785A66">
        <w:rPr>
          <w:rFonts w:ascii="Arial" w:hAnsi="Arial" w:cs="Arial"/>
          <w:sz w:val="20"/>
          <w:szCs w:val="20"/>
        </w:rPr>
        <w:t xml:space="preserve">In conclusion, energy supplements are integral to modern sports nutrition, enhancing athletic performance, supporting recovery, and helping athletes meet elevated energy and nutrient demands. When used appropriately, alongside a balanced diet and individualized nutrition strategies, they can improve endurance, reduce fatigue, and optimize training adaptations. Advances in precision nutrition, including genomics, nutrigenomics, and digital monitoring, enable supplementation to be tailored to each athlete’s unique physiological and metabolic profile, maximizing benefits while minimizing risks. </w:t>
      </w:r>
      <w:r w:rsidRPr="00785A66">
        <w:rPr>
          <w:rFonts w:ascii="Arial" w:hAnsi="Arial" w:cs="Arial"/>
          <w:sz w:val="20"/>
          <w:szCs w:val="20"/>
        </w:rPr>
        <w:lastRenderedPageBreak/>
        <w:t xml:space="preserve">The effectiveness of these supplements depends on proper formulation, accurate </w:t>
      </w:r>
      <w:r w:rsidR="008B481E" w:rsidRPr="00785A66">
        <w:rPr>
          <w:rFonts w:ascii="Arial" w:hAnsi="Arial" w:cs="Arial"/>
          <w:sz w:val="20"/>
          <w:szCs w:val="20"/>
        </w:rPr>
        <w:t>labelling</w:t>
      </w:r>
      <w:r w:rsidRPr="00785A66">
        <w:rPr>
          <w:rFonts w:ascii="Arial" w:hAnsi="Arial" w:cs="Arial"/>
          <w:sz w:val="20"/>
          <w:szCs w:val="20"/>
        </w:rPr>
        <w:t>, individualized use, and timing relative to training and competition. Despite their advantages, challenges such as nutrient inconsistencies, variable individual responses, and potential safety concerns underscore the need for stricter regulation, quality control, and evidence-based guidance. Moving forward, the integration of personalized strategies, innovative delivery systems, micronutrient monitoring, and athlete education will be essential to ensure that energy supplements safely and effectively support performance, reduce fatigue, and promote long-term health.</w:t>
      </w:r>
    </w:p>
    <w:p w14:paraId="52FF7BBB" w14:textId="0C900DC5" w:rsidR="002A1FC6" w:rsidRPr="00785A66" w:rsidRDefault="0057750B" w:rsidP="0068539F">
      <w:pPr>
        <w:spacing w:before="240" w:after="0" w:line="360" w:lineRule="auto"/>
        <w:jc w:val="both"/>
        <w:rPr>
          <w:rFonts w:ascii="Arial" w:hAnsi="Arial" w:cs="Arial"/>
          <w:b/>
          <w:bCs/>
          <w:sz w:val="24"/>
          <w:szCs w:val="24"/>
        </w:rPr>
      </w:pPr>
      <w:r w:rsidRPr="00785A66">
        <w:rPr>
          <w:rFonts w:ascii="Arial" w:hAnsi="Arial" w:cs="Arial"/>
          <w:b/>
          <w:bCs/>
          <w:sz w:val="24"/>
          <w:szCs w:val="24"/>
        </w:rPr>
        <w:t>Disclaimer (Artificial Intelligence)</w:t>
      </w:r>
    </w:p>
    <w:p w14:paraId="416DC189" w14:textId="77777777" w:rsidR="00C545FF" w:rsidRPr="00785A66" w:rsidRDefault="00C545FF" w:rsidP="00C545FF">
      <w:pPr>
        <w:spacing w:before="240" w:after="0" w:line="360" w:lineRule="auto"/>
        <w:ind w:firstLine="720"/>
        <w:jc w:val="both"/>
        <w:rPr>
          <w:rFonts w:ascii="Arial" w:hAnsi="Arial" w:cs="Arial"/>
          <w:sz w:val="20"/>
          <w:szCs w:val="20"/>
        </w:rPr>
      </w:pPr>
      <w:r w:rsidRPr="00785A66">
        <w:rPr>
          <w:rFonts w:ascii="Arial" w:hAnsi="Arial" w:cs="Arial"/>
          <w:sz w:val="20"/>
          <w:szCs w:val="20"/>
        </w:rPr>
        <w:t>The author(s) declare that generative artificial intelligence (AI) technologies, including Large Language Models, were utilized during the preparation and/or editing of this manuscript. During the preparation of this manuscript, the author utilized ChatGPT to assist in improving the clarity and grammatical accuracy of the text. All content generated was carefully reviewed, revised, and verified by the author, who assumes full responsibility for the final version of the publication.</w:t>
      </w:r>
    </w:p>
    <w:p w14:paraId="64D14430" w14:textId="0DEF56D0" w:rsidR="00536CE1" w:rsidRPr="00F14D3D" w:rsidRDefault="00F47EF0" w:rsidP="00F14D3D">
      <w:pPr>
        <w:spacing w:line="360" w:lineRule="auto"/>
        <w:jc w:val="both"/>
        <w:rPr>
          <w:rFonts w:ascii="Arial" w:hAnsi="Arial" w:cs="Arial"/>
          <w:b/>
          <w:bCs/>
        </w:rPr>
      </w:pPr>
      <w:r w:rsidRPr="00F47EF0">
        <w:rPr>
          <w:rFonts w:ascii="Arial" w:hAnsi="Arial" w:cs="Arial"/>
          <w:b/>
          <w:bCs/>
        </w:rPr>
        <w:t>REFERENCES</w:t>
      </w:r>
    </w:p>
    <w:p w14:paraId="4B31C785" w14:textId="77777777"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Albert, B.B., Derraik, J.G.B., Cameron-Smith, D., Hofman, P.L., Tumanov, S., Villas-Boas, S. G., Garg, M.L., &amp; Cutfield, W.S. (2015). Fish oil supplements in New Zealand are highly oxidised and do not meet label content of n-3 PUFA. Scientific Reports, 5(1), Article 7928.</w:t>
      </w:r>
      <w:hyperlink r:id="rId7" w:history="1">
        <w:r w:rsidRPr="00536CE1">
          <w:rPr>
            <w:rStyle w:val="Hyperlink"/>
            <w:rFonts w:ascii="Arial" w:hAnsi="Arial" w:cs="Arial"/>
            <w:sz w:val="20"/>
            <w:szCs w:val="20"/>
          </w:rPr>
          <w:t>https://doi.org/10.1038/srep07928</w:t>
        </w:r>
      </w:hyperlink>
    </w:p>
    <w:p w14:paraId="4FC00A3D" w14:textId="77777777" w:rsidR="00536CE1" w:rsidRPr="00536CE1" w:rsidRDefault="00536CE1" w:rsidP="00300DD8">
      <w:pPr>
        <w:pStyle w:val="Default"/>
        <w:numPr>
          <w:ilvl w:val="0"/>
          <w:numId w:val="9"/>
        </w:numPr>
        <w:spacing w:line="360" w:lineRule="auto"/>
        <w:rPr>
          <w:rFonts w:ascii="Arial" w:hAnsi="Arial" w:cs="Arial"/>
          <w:sz w:val="20"/>
          <w:szCs w:val="20"/>
        </w:rPr>
      </w:pPr>
      <w:r w:rsidRPr="00536CE1">
        <w:rPr>
          <w:rFonts w:ascii="Arial" w:hAnsi="Arial" w:cs="Arial"/>
          <w:sz w:val="20"/>
          <w:szCs w:val="20"/>
        </w:rPr>
        <w:t>Aljaloud, S., Colleran, H. L. and Ibrahim, S.A. (2020). Nutritional value of date fruits and potential use in nutritional bars for athletes. Food and Nutrition Sciences. 11(6): 463-480.</w:t>
      </w:r>
    </w:p>
    <w:p w14:paraId="1555A699" w14:textId="77777777" w:rsidR="00536CE1" w:rsidRPr="00536CE1" w:rsidRDefault="00536CE1" w:rsidP="0068539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Alsunni A. A. Energy Drink Consumption: Beneficial and Adverse Health Effects. International Journal of Health Science. 9(4):468-74. https://doi.org/10.12816/0031237</w:t>
      </w:r>
    </w:p>
    <w:p w14:paraId="11E4E64B" w14:textId="77777777"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 xml:space="preserve">Aly, M.O., Ghobashy, S.M., &amp; Aborhyem, S.M. (2023). Authentication of protein, fat, carbohydrates, and total energy in commercialized high protein sports foods with their labeling data. Scientific Reports, 13(1), Article 15359. </w:t>
      </w:r>
      <w:hyperlink r:id="rId8" w:history="1">
        <w:r w:rsidRPr="00536CE1">
          <w:rPr>
            <w:rStyle w:val="Hyperlink"/>
            <w:rFonts w:ascii="Arial" w:hAnsi="Arial" w:cs="Arial"/>
            <w:color w:val="auto"/>
            <w:sz w:val="20"/>
            <w:szCs w:val="20"/>
            <w:u w:val="none"/>
          </w:rPr>
          <w:t>https://doi.org/10.1038/s41598-023-42084-3</w:t>
        </w:r>
      </w:hyperlink>
    </w:p>
    <w:p w14:paraId="15639341" w14:textId="77777777" w:rsidR="00536CE1" w:rsidRDefault="00536CE1" w:rsidP="00F47EF0">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 xml:space="preserve">Ambrosio, G., Wirth, D., Joseph, J.F., Mazzarino, M., de la Torre, X., Botrè, F., &amp; Parr, M.K. (2020). How reliable is dietary supplement labelling? - Experiences from the analysis of ecdysterone supplements. Journal of Pharmaceutical and Biomedical Analysis, 177, Article 112877. </w:t>
      </w:r>
      <w:hyperlink r:id="rId9" w:history="1">
        <w:r w:rsidRPr="00536CE1">
          <w:rPr>
            <w:rStyle w:val="Hyperlink"/>
            <w:rFonts w:ascii="Arial" w:hAnsi="Arial" w:cs="Arial"/>
            <w:color w:val="auto"/>
            <w:sz w:val="20"/>
            <w:szCs w:val="20"/>
            <w:u w:val="none"/>
          </w:rPr>
          <w:t>https://doi.org/10.1016/j.jpba.2019.112877</w:t>
        </w:r>
      </w:hyperlink>
      <w:r w:rsidRPr="00536CE1">
        <w:rPr>
          <w:rFonts w:ascii="Arial" w:hAnsi="Arial" w:cs="Arial"/>
          <w:sz w:val="20"/>
          <w:szCs w:val="20"/>
        </w:rPr>
        <w:t>.</w:t>
      </w:r>
    </w:p>
    <w:p w14:paraId="78EF5D2A" w14:textId="77777777" w:rsidR="00994773" w:rsidRDefault="00994773" w:rsidP="00994773">
      <w:pPr>
        <w:pStyle w:val="ListParagraph"/>
        <w:numPr>
          <w:ilvl w:val="0"/>
          <w:numId w:val="9"/>
        </w:numPr>
        <w:autoSpaceDE w:val="0"/>
        <w:autoSpaceDN w:val="0"/>
        <w:adjustRightInd w:val="0"/>
        <w:spacing w:after="0" w:line="360" w:lineRule="auto"/>
        <w:jc w:val="both"/>
        <w:rPr>
          <w:rFonts w:ascii="Arial" w:hAnsi="Arial" w:cs="Arial"/>
          <w:sz w:val="20"/>
          <w:szCs w:val="20"/>
        </w:rPr>
      </w:pPr>
      <w:r w:rsidRPr="00150FD8">
        <w:rPr>
          <w:rFonts w:ascii="Arial" w:hAnsi="Arial" w:cs="Arial"/>
          <w:sz w:val="20"/>
          <w:szCs w:val="20"/>
        </w:rPr>
        <w:t>Antonio, J., Kalman, D., Stout, J. R., Greenwood, M., Willoughby, D. S., &amp; Haff, G. G. (2008). Essentials of sports nutrition and supplements. Humana Press. </w:t>
      </w:r>
      <w:r>
        <w:rPr>
          <w:rFonts w:ascii="Arial" w:hAnsi="Arial" w:cs="Arial"/>
          <w:sz w:val="20"/>
          <w:szCs w:val="20"/>
        </w:rPr>
        <w:t xml:space="preserve"> </w:t>
      </w:r>
    </w:p>
    <w:p w14:paraId="11D608ED" w14:textId="77777777" w:rsidR="00994773" w:rsidRPr="00150FD8" w:rsidRDefault="00994773" w:rsidP="00994773">
      <w:pPr>
        <w:pStyle w:val="ListParagraph"/>
        <w:autoSpaceDE w:val="0"/>
        <w:autoSpaceDN w:val="0"/>
        <w:adjustRightInd w:val="0"/>
        <w:spacing w:after="0" w:line="360" w:lineRule="auto"/>
        <w:jc w:val="both"/>
        <w:rPr>
          <w:rFonts w:ascii="Arial" w:hAnsi="Arial" w:cs="Arial"/>
          <w:sz w:val="20"/>
          <w:szCs w:val="20"/>
        </w:rPr>
      </w:pPr>
      <w:hyperlink r:id="rId10" w:history="1">
        <w:r w:rsidRPr="00D9126B">
          <w:rPr>
            <w:rStyle w:val="Hyperlink"/>
            <w:rFonts w:ascii="Arial" w:hAnsi="Arial" w:cs="Arial"/>
            <w:sz w:val="20"/>
            <w:szCs w:val="20"/>
          </w:rPr>
          <w:t>https://doi.org/10.1007/978-1-59745-302-8</w:t>
        </w:r>
      </w:hyperlink>
    </w:p>
    <w:p w14:paraId="24067263" w14:textId="77777777" w:rsidR="00536CE1" w:rsidRDefault="00536CE1" w:rsidP="00536CE1">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Baur, D.A., &amp; Saunders, M.J. (2021). Carbohydrate supplementation: A critical review of recent innovations. European Journal of Applied Physiology, 121(1), 23–66.</w:t>
      </w:r>
      <w:r>
        <w:rPr>
          <w:rFonts w:ascii="Arial" w:hAnsi="Arial" w:cs="Arial"/>
          <w:sz w:val="20"/>
          <w:szCs w:val="20"/>
        </w:rPr>
        <w:t xml:space="preserve"> </w:t>
      </w:r>
    </w:p>
    <w:p w14:paraId="2814ED72" w14:textId="6997460D" w:rsidR="00536CE1" w:rsidRPr="00536CE1" w:rsidRDefault="00536CE1" w:rsidP="00536CE1">
      <w:pPr>
        <w:pStyle w:val="ListParagraph"/>
        <w:spacing w:line="360" w:lineRule="auto"/>
        <w:jc w:val="both"/>
        <w:rPr>
          <w:rFonts w:ascii="Arial" w:hAnsi="Arial" w:cs="Arial"/>
          <w:sz w:val="20"/>
          <w:szCs w:val="20"/>
        </w:rPr>
      </w:pPr>
      <w:hyperlink r:id="rId11" w:history="1">
        <w:r w:rsidRPr="00D9126B">
          <w:rPr>
            <w:rStyle w:val="Hyperlink"/>
            <w:rFonts w:ascii="Arial" w:hAnsi="Arial" w:cs="Arial"/>
            <w:sz w:val="20"/>
            <w:szCs w:val="20"/>
          </w:rPr>
          <w:t>https://doi.org/10.1007/s00421-020-04534-y</w:t>
        </w:r>
      </w:hyperlink>
      <w:r w:rsidRPr="00536CE1">
        <w:rPr>
          <w:rFonts w:ascii="Arial" w:hAnsi="Arial" w:cs="Arial"/>
          <w:sz w:val="20"/>
          <w:szCs w:val="20"/>
        </w:rPr>
        <w:t>.</w:t>
      </w:r>
    </w:p>
    <w:p w14:paraId="45E5F72B" w14:textId="1A5C8C2C" w:rsidR="00536CE1" w:rsidRPr="00536CE1" w:rsidRDefault="00536CE1"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eastAsia="Times New Roman" w:hAnsi="Arial" w:cs="Arial"/>
          <w:sz w:val="20"/>
          <w:szCs w:val="20"/>
          <w:lang w:eastAsia="en-IN"/>
        </w:rPr>
        <w:t xml:space="preserve">Bell, M., Ghatora, R., Retsidou, M.I., Chatzigianni, E., Klentrou, P. </w:t>
      </w:r>
      <w:r w:rsidR="001F320A">
        <w:rPr>
          <w:rFonts w:ascii="Arial" w:eastAsia="Times New Roman" w:hAnsi="Arial" w:cs="Arial"/>
          <w:sz w:val="20"/>
          <w:szCs w:val="20"/>
          <w:lang w:eastAsia="en-IN"/>
        </w:rPr>
        <w:t>(</w:t>
      </w:r>
      <w:r w:rsidRPr="00536CE1">
        <w:rPr>
          <w:rFonts w:ascii="Arial" w:eastAsia="Times New Roman" w:hAnsi="Arial" w:cs="Arial"/>
          <w:sz w:val="20"/>
          <w:szCs w:val="20"/>
          <w:lang w:eastAsia="en-IN"/>
        </w:rPr>
        <w:t>2023</w:t>
      </w:r>
      <w:r w:rsidR="001F320A">
        <w:rPr>
          <w:rFonts w:ascii="Arial" w:eastAsia="Times New Roman" w:hAnsi="Arial" w:cs="Arial"/>
          <w:sz w:val="20"/>
          <w:szCs w:val="20"/>
          <w:lang w:eastAsia="en-IN"/>
        </w:rPr>
        <w:t>).</w:t>
      </w:r>
      <w:r w:rsidRPr="00536CE1">
        <w:rPr>
          <w:rFonts w:ascii="Arial" w:eastAsia="Times New Roman" w:hAnsi="Arial" w:cs="Arial"/>
          <w:sz w:val="20"/>
          <w:szCs w:val="20"/>
          <w:lang w:eastAsia="en-IN"/>
        </w:rPr>
        <w:t xml:space="preserve"> </w:t>
      </w:r>
      <w:r w:rsidRPr="00536CE1">
        <w:rPr>
          <w:rFonts w:ascii="Arial" w:hAnsi="Arial" w:cs="Arial"/>
          <w:sz w:val="20"/>
          <w:szCs w:val="20"/>
        </w:rPr>
        <w:t xml:space="preserve">Energy Expenditure, Dietary Energy Intake, and Nutritional Supplements in Adolescent Volleyball Athletes versus Nonathletic Controls. Nutrients. 15, 1788. </w:t>
      </w:r>
      <w:hyperlink r:id="rId12" w:history="1">
        <w:r w:rsidRPr="00536CE1">
          <w:rPr>
            <w:rStyle w:val="Hyperlink"/>
            <w:rFonts w:ascii="Arial" w:hAnsi="Arial" w:cs="Arial"/>
            <w:color w:val="auto"/>
            <w:sz w:val="20"/>
            <w:szCs w:val="20"/>
            <w:u w:val="none"/>
          </w:rPr>
          <w:t>https://doi.org/10.3390/nu15071788</w:t>
        </w:r>
      </w:hyperlink>
    </w:p>
    <w:p w14:paraId="224814C6" w14:textId="77777777"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lastRenderedPageBreak/>
        <w:t>Brownlie T. I. V., Utermohlen V., Hinton P. S., Haas J. D. (2004). Tissue iron deficiency without anaemia impairs adaptation in endurance capacity after aerobic training in previously untrained women. American Journal of Clinical Nutrition. 79(3): 437–43. doi: 10.1093/ajcn/79.3.437.</w:t>
      </w:r>
    </w:p>
    <w:p w14:paraId="4251B5D7" w14:textId="06B7ABDC"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Burgess, B., &amp; Ohm, J. (2024</w:t>
      </w:r>
      <w:r w:rsidR="000508C7">
        <w:rPr>
          <w:rFonts w:ascii="Arial" w:hAnsi="Arial" w:cs="Arial"/>
          <w:sz w:val="20"/>
          <w:szCs w:val="20"/>
        </w:rPr>
        <w:t>)</w:t>
      </w:r>
      <w:r w:rsidRPr="00536CE1">
        <w:rPr>
          <w:rFonts w:ascii="Arial" w:hAnsi="Arial" w:cs="Arial"/>
          <w:sz w:val="20"/>
          <w:szCs w:val="20"/>
        </w:rPr>
        <w:t xml:space="preserve">. Investigation: Lab tests confirm spring energy misrepresents carbs and calories, 7 other brands have accurate labels. </w:t>
      </w:r>
      <w:hyperlink r:id="rId13" w:history="1">
        <w:r w:rsidRPr="00536CE1">
          <w:rPr>
            <w:rStyle w:val="Hyperlink"/>
            <w:rFonts w:ascii="Arial" w:hAnsi="Arial" w:cs="Arial"/>
            <w:color w:val="auto"/>
            <w:sz w:val="20"/>
            <w:szCs w:val="20"/>
            <w:u w:val="none"/>
          </w:rPr>
          <w:t>https://www.irunfar</w:t>
        </w:r>
      </w:hyperlink>
    </w:p>
    <w:p w14:paraId="53B9BEA3" w14:textId="77777777"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Cardozo C. J. M., Hernandez D. M., and Saraz J. (2017). Development of mango (Mangifera indica L.) energy drinks. Advance Journal of Food Science and Technology. 70(1): 8115-8121. 10.15446/rfna.v70n1.61770.</w:t>
      </w:r>
    </w:p>
    <w:p w14:paraId="4A0A0838" w14:textId="77777777" w:rsidR="00536CE1" w:rsidRDefault="00536CE1" w:rsidP="00536CE1">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Center for Food Safety and Applied Nutrition. (2024). Guidance for industry: Food labelling guide. FDA</w:t>
      </w:r>
      <w:r>
        <w:rPr>
          <w:rFonts w:ascii="Arial" w:hAnsi="Arial" w:cs="Arial"/>
          <w:sz w:val="20"/>
          <w:szCs w:val="20"/>
        </w:rPr>
        <w:t xml:space="preserve">. </w:t>
      </w:r>
    </w:p>
    <w:p w14:paraId="17D362A3" w14:textId="47128BBD" w:rsidR="00536CE1" w:rsidRPr="00536CE1" w:rsidRDefault="00536CE1" w:rsidP="00536CE1">
      <w:pPr>
        <w:pStyle w:val="ListParagraph"/>
        <w:spacing w:line="360" w:lineRule="auto"/>
        <w:jc w:val="both"/>
        <w:rPr>
          <w:rFonts w:ascii="Arial" w:hAnsi="Arial" w:cs="Arial"/>
          <w:sz w:val="20"/>
          <w:szCs w:val="20"/>
        </w:rPr>
      </w:pPr>
      <w:hyperlink r:id="rId14" w:history="1">
        <w:r w:rsidRPr="00D9126B">
          <w:rPr>
            <w:rStyle w:val="Hyperlink"/>
            <w:rFonts w:ascii="Arial" w:hAnsi="Arial" w:cs="Arial"/>
            <w:sz w:val="20"/>
            <w:szCs w:val="20"/>
          </w:rPr>
          <w:t>https://www.fda.gov/regulatory-information/search-fda-guidance-documents/guidanceindustry-food-labeling-guide</w:t>
        </w:r>
      </w:hyperlink>
    </w:p>
    <w:p w14:paraId="237BBE84" w14:textId="1C2D42EC" w:rsidR="00536CE1" w:rsidRPr="00536CE1" w:rsidRDefault="00536CE1" w:rsidP="00301AC3">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 xml:space="preserve">Diel, F. and Khanferyan, R. A. </w:t>
      </w:r>
      <w:r w:rsidR="000508C7">
        <w:rPr>
          <w:rFonts w:ascii="Arial" w:hAnsi="Arial" w:cs="Arial"/>
          <w:sz w:val="20"/>
          <w:szCs w:val="20"/>
        </w:rPr>
        <w:t>(</w:t>
      </w:r>
      <w:r w:rsidRPr="00536CE1">
        <w:rPr>
          <w:rFonts w:ascii="Arial" w:hAnsi="Arial" w:cs="Arial"/>
          <w:sz w:val="20"/>
          <w:szCs w:val="20"/>
        </w:rPr>
        <w:t>2018</w:t>
      </w:r>
      <w:r w:rsidR="000508C7">
        <w:rPr>
          <w:rFonts w:ascii="Arial" w:hAnsi="Arial" w:cs="Arial"/>
          <w:sz w:val="20"/>
          <w:szCs w:val="20"/>
        </w:rPr>
        <w:t>).</w:t>
      </w:r>
      <w:r w:rsidRPr="00536CE1">
        <w:rPr>
          <w:rFonts w:ascii="Arial" w:hAnsi="Arial" w:cs="Arial"/>
          <w:sz w:val="20"/>
          <w:szCs w:val="20"/>
        </w:rPr>
        <w:t xml:space="preserve"> Sports and energy drinks. Foods and Raw Materials. 6(2):379–391. </w:t>
      </w:r>
      <w:hyperlink r:id="rId15" w:history="1">
        <w:r w:rsidRPr="00536CE1">
          <w:rPr>
            <w:rStyle w:val="Hyperlink"/>
            <w:rFonts w:ascii="Arial" w:hAnsi="Arial" w:cs="Arial"/>
            <w:sz w:val="20"/>
            <w:szCs w:val="20"/>
          </w:rPr>
          <w:t>http://doi.org/10.21603/2308-4057-2018-2-379-391</w:t>
        </w:r>
      </w:hyperlink>
      <w:r w:rsidRPr="00536CE1">
        <w:rPr>
          <w:rFonts w:ascii="Arial" w:hAnsi="Arial" w:cs="Arial"/>
          <w:sz w:val="20"/>
          <w:szCs w:val="20"/>
        </w:rPr>
        <w:t>.</w:t>
      </w:r>
    </w:p>
    <w:p w14:paraId="1E8448C1" w14:textId="14B858EB" w:rsidR="00536CE1" w:rsidRPr="00536CE1" w:rsidRDefault="00536CE1" w:rsidP="00536CE1">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Gammone, M. A., Gemello, E., Riccioni, G., &amp; D’Orazio, N. (2014). Marine Bioactives and Potential Application in Sports.</w:t>
      </w:r>
      <w:r w:rsidRPr="00536CE1">
        <w:rPr>
          <w:rFonts w:ascii="Arial" w:hAnsi="Arial" w:cs="Arial"/>
          <w:sz w:val="20"/>
          <w:szCs w:val="20"/>
          <w:shd w:val="clear" w:color="auto" w:fill="FFFFFF"/>
        </w:rPr>
        <w:t xml:space="preserve"> </w:t>
      </w:r>
      <w:r w:rsidRPr="00536CE1">
        <w:rPr>
          <w:rFonts w:ascii="Arial" w:hAnsi="Arial" w:cs="Arial"/>
          <w:sz w:val="20"/>
          <w:szCs w:val="20"/>
        </w:rPr>
        <w:t xml:space="preserve">Marine Drugs.12(5): 2357-2382. </w:t>
      </w:r>
    </w:p>
    <w:p w14:paraId="6D101BA9" w14:textId="3AC7D006" w:rsidR="00536CE1" w:rsidRPr="00536CE1" w:rsidRDefault="00536CE1" w:rsidP="00536CE1">
      <w:pPr>
        <w:pStyle w:val="ListParagraph"/>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 </w:t>
      </w:r>
      <w:hyperlink r:id="rId16" w:history="1">
        <w:r w:rsidRPr="00536CE1">
          <w:rPr>
            <w:rStyle w:val="Hyperlink"/>
            <w:rFonts w:ascii="Arial" w:hAnsi="Arial" w:cs="Arial"/>
            <w:color w:val="auto"/>
            <w:sz w:val="20"/>
            <w:szCs w:val="20"/>
          </w:rPr>
          <w:t>https://doi.org/10.3390/md12052357</w:t>
        </w:r>
      </w:hyperlink>
    </w:p>
    <w:p w14:paraId="41E4E745" w14:textId="77777777" w:rsidR="00536CE1" w:rsidRPr="00536CE1" w:rsidRDefault="00536CE1" w:rsidP="0068539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Garvican L. A., Saunders P. U., Cardoso T, Macdougall I. C., Lobigs L. M., Fazakerley R., Gore C. J. (2014). Medical Science Sports Exercise. 46(2): 376–85. doi: </w:t>
      </w:r>
      <w:hyperlink r:id="rId17" w:tgtFrame="_blank" w:history="1">
        <w:r w:rsidRPr="00536CE1">
          <w:rPr>
            <w:rStyle w:val="Hyperlink"/>
            <w:rFonts w:ascii="Arial" w:hAnsi="Arial" w:cs="Arial"/>
            <w:color w:val="auto"/>
            <w:sz w:val="20"/>
            <w:szCs w:val="20"/>
            <w:u w:val="none"/>
          </w:rPr>
          <w:t>10.3390/life13102007</w:t>
        </w:r>
      </w:hyperlink>
    </w:p>
    <w:p w14:paraId="05892367" w14:textId="533A1C01"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 xml:space="preserve">Gurley, B.J., Gardner, S.F., &amp; Hubbard, M.A. (2000). Content versus label claims in ephedra-containing dietary supplements. American Journal of Health-System Pharmacy, 57(10), 963–969. </w:t>
      </w:r>
      <w:r w:rsidR="000508C7">
        <w:rPr>
          <w:rFonts w:ascii="Arial" w:hAnsi="Arial" w:cs="Arial"/>
          <w:sz w:val="20"/>
          <w:szCs w:val="20"/>
        </w:rPr>
        <w:t xml:space="preserve"> </w:t>
      </w:r>
      <w:hyperlink r:id="rId18" w:history="1">
        <w:r w:rsidR="000508C7" w:rsidRPr="00D9126B">
          <w:rPr>
            <w:rStyle w:val="Hyperlink"/>
            <w:rFonts w:ascii="Arial" w:hAnsi="Arial" w:cs="Arial"/>
            <w:sz w:val="20"/>
            <w:szCs w:val="20"/>
          </w:rPr>
          <w:t>https://doi.org/10.1093/ajhp/57.10.963</w:t>
        </w:r>
      </w:hyperlink>
    </w:p>
    <w:p w14:paraId="791FD804" w14:textId="6A03BD96" w:rsidR="00536CE1" w:rsidRPr="00536CE1" w:rsidRDefault="00536CE1" w:rsidP="00536CE1">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536CE1">
        <w:rPr>
          <w:rFonts w:ascii="Arial" w:eastAsia="Times New Roman" w:hAnsi="Arial" w:cs="Arial"/>
          <w:kern w:val="36"/>
          <w:sz w:val="20"/>
          <w:szCs w:val="20"/>
          <w:lang w:eastAsia="en-IN"/>
        </w:rPr>
        <w:t>Huskisson E., Maggini S. and Ruf M. (2007). The Role of Vitamins and Minerals in Energy Metabolism and Well-Being. The Journal of International Medical Research. 35: 277 – 289.</w:t>
      </w:r>
      <w:r w:rsidR="000508C7">
        <w:rPr>
          <w:rFonts w:ascii="Arial" w:eastAsia="Times New Roman" w:hAnsi="Arial" w:cs="Arial"/>
          <w:kern w:val="36"/>
          <w:sz w:val="20"/>
          <w:szCs w:val="20"/>
          <w:lang w:eastAsia="en-IN"/>
        </w:rPr>
        <w:t xml:space="preserve"> </w:t>
      </w:r>
      <w:r w:rsidRPr="00536CE1">
        <w:rPr>
          <w:rFonts w:ascii="Arial" w:eastAsia="Times New Roman" w:hAnsi="Arial" w:cs="Arial"/>
          <w:kern w:val="36"/>
          <w:sz w:val="20"/>
          <w:szCs w:val="20"/>
          <w:lang w:eastAsia="en-IN"/>
        </w:rPr>
        <w:t>https://journals.sagepub.com/doi/pdf/10.1177/147323000703500301</w:t>
      </w:r>
    </w:p>
    <w:p w14:paraId="55AF1B18" w14:textId="77777777" w:rsidR="00536CE1" w:rsidRPr="00994773" w:rsidRDefault="00536CE1" w:rsidP="007704C7">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 xml:space="preserve">Juvenile Diabetes Research Foundation. (2022). Not all sugars are the same: Using glucose to treat hypoglycemia.       </w:t>
      </w:r>
      <w:hyperlink r:id="rId19" w:history="1">
        <w:r w:rsidRPr="00536CE1">
          <w:rPr>
            <w:rStyle w:val="Hyperlink"/>
            <w:rFonts w:ascii="Arial" w:hAnsi="Arial" w:cs="Arial"/>
            <w:sz w:val="20"/>
            <w:szCs w:val="20"/>
          </w:rPr>
          <w:t>https://jdrf.ca/not-allsugars-are-the-same-using-glucose-to-treat-hypoglycemia/</w:t>
        </w:r>
      </w:hyperlink>
    </w:p>
    <w:p w14:paraId="32A13E6A" w14:textId="77777777" w:rsidR="00994773" w:rsidRPr="00150FD8" w:rsidRDefault="00994773" w:rsidP="00994773">
      <w:pPr>
        <w:pStyle w:val="ListParagraph"/>
        <w:numPr>
          <w:ilvl w:val="0"/>
          <w:numId w:val="9"/>
        </w:numPr>
        <w:autoSpaceDE w:val="0"/>
        <w:autoSpaceDN w:val="0"/>
        <w:adjustRightInd w:val="0"/>
        <w:spacing w:after="0" w:line="360" w:lineRule="auto"/>
        <w:jc w:val="both"/>
        <w:rPr>
          <w:rFonts w:ascii="Arial" w:hAnsi="Arial" w:cs="Arial"/>
          <w:sz w:val="20"/>
          <w:szCs w:val="20"/>
        </w:rPr>
      </w:pPr>
      <w:r w:rsidRPr="00150FD8">
        <w:rPr>
          <w:rFonts w:ascii="Arial" w:hAnsi="Arial" w:cs="Arial"/>
          <w:sz w:val="20"/>
          <w:szCs w:val="20"/>
        </w:rPr>
        <w:t>Kreider R.B., Wilborn C.D., Taylor L., Campbell B., Almada A.L., Collins R., Cooke M., Earnest C.P., Greenwood M., Kalman D.S., Kerksick C.M., Kleiner S.M., Leutholtz B., Lopez H., Lowery L.M., Mendel R., Smith A., Spano M., Wildman R., Willoughby D.S., Ziegenfuss T.N., Antonio J</w:t>
      </w:r>
      <w:r>
        <w:rPr>
          <w:rFonts w:ascii="Arial" w:hAnsi="Arial" w:cs="Arial"/>
          <w:sz w:val="20"/>
          <w:szCs w:val="20"/>
        </w:rPr>
        <w:t>. (2010).</w:t>
      </w:r>
      <w:r w:rsidRPr="00150FD8">
        <w:rPr>
          <w:rFonts w:ascii="BvmjhjAdvOT46dcae81" w:hAnsi="BvmjhjAdvOT46dcae81" w:cs="BvmjhjAdvOT46dcae81"/>
          <w:sz w:val="48"/>
          <w:szCs w:val="48"/>
        </w:rPr>
        <w:t xml:space="preserve"> </w:t>
      </w:r>
      <w:r w:rsidRPr="00150FD8">
        <w:rPr>
          <w:rFonts w:ascii="Arial" w:hAnsi="Arial" w:cs="Arial"/>
          <w:sz w:val="20"/>
          <w:szCs w:val="20"/>
        </w:rPr>
        <w:t>ISSN exercise &amp; sport nutrition review: research &amp; recommendations. Journal of the International Society of Sports Nutrition</w:t>
      </w:r>
      <w:r>
        <w:rPr>
          <w:rFonts w:ascii="Arial" w:hAnsi="Arial" w:cs="Arial"/>
          <w:sz w:val="20"/>
          <w:szCs w:val="20"/>
        </w:rPr>
        <w:t>.</w:t>
      </w:r>
      <w:r w:rsidRPr="00150FD8">
        <w:rPr>
          <w:rFonts w:ascii="Arial" w:hAnsi="Arial" w:cs="Arial"/>
          <w:sz w:val="20"/>
          <w:szCs w:val="20"/>
        </w:rPr>
        <w:t xml:space="preserve"> 7:7</w:t>
      </w:r>
      <w:r>
        <w:rPr>
          <w:rFonts w:ascii="Arial" w:hAnsi="Arial" w:cs="Arial"/>
          <w:sz w:val="20"/>
          <w:szCs w:val="20"/>
        </w:rPr>
        <w:t xml:space="preserve">. </w:t>
      </w:r>
      <w:r w:rsidRPr="00150FD8">
        <w:rPr>
          <w:rFonts w:ascii="Arial" w:hAnsi="Arial" w:cs="Arial"/>
          <w:sz w:val="20"/>
          <w:szCs w:val="20"/>
        </w:rPr>
        <w:t>http://www.jissn.com/content/7/1/7</w:t>
      </w:r>
    </w:p>
    <w:p w14:paraId="39AF5B7C" w14:textId="77777777" w:rsidR="00536CE1" w:rsidRPr="00536CE1" w:rsidRDefault="00536CE1" w:rsidP="00205ACF">
      <w:pPr>
        <w:pStyle w:val="ListParagraph"/>
        <w:numPr>
          <w:ilvl w:val="0"/>
          <w:numId w:val="9"/>
        </w:numPr>
        <w:spacing w:line="360" w:lineRule="auto"/>
        <w:jc w:val="both"/>
        <w:outlineLvl w:val="0"/>
        <w:rPr>
          <w:rFonts w:ascii="Arial" w:eastAsia="Times New Roman" w:hAnsi="Arial" w:cs="Arial"/>
          <w:kern w:val="36"/>
          <w:sz w:val="20"/>
          <w:szCs w:val="20"/>
          <w:lang w:eastAsia="en-IN"/>
        </w:rPr>
      </w:pPr>
      <w:r w:rsidRPr="00536CE1">
        <w:rPr>
          <w:rFonts w:ascii="Arial" w:hAnsi="Arial" w:cs="Arial"/>
          <w:sz w:val="20"/>
          <w:szCs w:val="20"/>
        </w:rPr>
        <w:t xml:space="preserve">Maciejewska K. and Moczarska W., 2023. </w:t>
      </w:r>
      <w:r w:rsidRPr="00536CE1">
        <w:rPr>
          <w:rFonts w:ascii="Arial" w:eastAsia="Times New Roman" w:hAnsi="Arial" w:cs="Arial"/>
          <w:kern w:val="36"/>
          <w:sz w:val="20"/>
          <w:szCs w:val="20"/>
          <w:lang w:eastAsia="en-IN"/>
        </w:rPr>
        <w:t>Single Dose of an Energy Dietary Supplement with a Small Amount of Caffeine Prevents an Increase of a Low Frequency Resting State EEG in Possible Mental Fatigue.</w:t>
      </w:r>
      <w:r w:rsidRPr="00536CE1">
        <w:rPr>
          <w:rFonts w:ascii="Arial" w:eastAsia="Times New Roman" w:hAnsi="Arial" w:cs="Arial"/>
          <w:sz w:val="20"/>
          <w:szCs w:val="20"/>
          <w:lang w:eastAsia="en-IN"/>
        </w:rPr>
        <w:t xml:space="preserve"> </w:t>
      </w:r>
      <w:hyperlink r:id="rId20" w:tooltip="Go to Neuroscience on ScienceDirect" w:history="1">
        <w:r w:rsidRPr="00536CE1">
          <w:rPr>
            <w:rStyle w:val="Hyperlink"/>
            <w:rFonts w:ascii="Arial" w:eastAsia="Times New Roman" w:hAnsi="Arial" w:cs="Arial"/>
            <w:color w:val="auto"/>
            <w:kern w:val="36"/>
            <w:sz w:val="20"/>
            <w:szCs w:val="20"/>
            <w:u w:val="none"/>
            <w:lang w:eastAsia="en-IN"/>
          </w:rPr>
          <w:t>Neuroscience</w:t>
        </w:r>
      </w:hyperlink>
      <w:r w:rsidRPr="00536CE1">
        <w:rPr>
          <w:rFonts w:ascii="Arial" w:eastAsia="Times New Roman" w:hAnsi="Arial" w:cs="Arial"/>
          <w:kern w:val="36"/>
          <w:sz w:val="20"/>
          <w:szCs w:val="20"/>
          <w:lang w:eastAsia="en-IN"/>
        </w:rPr>
        <w:t xml:space="preserve">. </w:t>
      </w:r>
      <w:hyperlink r:id="rId21" w:tooltip="Go to table of contents for this volume/issue" w:history="1">
        <w:r w:rsidRPr="00536CE1">
          <w:rPr>
            <w:rStyle w:val="Hyperlink"/>
            <w:rFonts w:ascii="Arial" w:eastAsia="Times New Roman" w:hAnsi="Arial" w:cs="Arial"/>
            <w:color w:val="auto"/>
            <w:kern w:val="36"/>
            <w:sz w:val="20"/>
            <w:szCs w:val="20"/>
            <w:u w:val="none"/>
            <w:lang w:eastAsia="en-IN"/>
          </w:rPr>
          <w:t>27</w:t>
        </w:r>
      </w:hyperlink>
      <w:r w:rsidRPr="00536CE1">
        <w:rPr>
          <w:rFonts w:ascii="Arial" w:eastAsia="Times New Roman" w:hAnsi="Arial" w:cs="Arial"/>
          <w:kern w:val="36"/>
          <w:sz w:val="20"/>
          <w:szCs w:val="20"/>
          <w:lang w:eastAsia="en-IN"/>
        </w:rPr>
        <w:t>: 1-10. 10.1016/j.neuroscience.2023.07.011. </w:t>
      </w:r>
    </w:p>
    <w:p w14:paraId="17556FE1" w14:textId="77777777"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Mayo Clinic. (2024). Diabetes and exercise: When to monitor your blood sugar.</w:t>
      </w:r>
      <w:hyperlink r:id="rId22" w:history="1">
        <w:r w:rsidRPr="00536CE1">
          <w:rPr>
            <w:rStyle w:val="Hyperlink"/>
            <w:rFonts w:ascii="Arial" w:hAnsi="Arial" w:cs="Arial"/>
            <w:sz w:val="20"/>
            <w:szCs w:val="20"/>
          </w:rPr>
          <w:t>https://www.mayoclinic.org/diseases-conditions/diabetes/indepth/diabetes-and-exercise/art-20045697</w:t>
        </w:r>
      </w:hyperlink>
    </w:p>
    <w:p w14:paraId="43B1B752" w14:textId="77777777" w:rsid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lastRenderedPageBreak/>
        <w:t>Morgan K. T. (2008). Nutritional determinants of bone health. Journal of Nutrition Elderly. 27 (1–2): 3–27. doi: 10.1080/01639360802059670.</w:t>
      </w:r>
    </w:p>
    <w:p w14:paraId="6A60AA7F" w14:textId="670225A7" w:rsidR="008245D8" w:rsidRPr="008245D8" w:rsidRDefault="008245D8" w:rsidP="008245D8">
      <w:pPr>
        <w:pStyle w:val="ListParagraph"/>
        <w:numPr>
          <w:ilvl w:val="0"/>
          <w:numId w:val="9"/>
        </w:numPr>
        <w:tabs>
          <w:tab w:val="left" w:pos="709"/>
        </w:tabs>
        <w:spacing w:line="360" w:lineRule="auto"/>
        <w:jc w:val="both"/>
        <w:rPr>
          <w:rFonts w:ascii="Arial" w:hAnsi="Arial" w:cs="Arial"/>
          <w:color w:val="000000" w:themeColor="text1"/>
          <w:sz w:val="20"/>
          <w:szCs w:val="20"/>
        </w:rPr>
      </w:pPr>
      <w:r w:rsidRPr="008245D8">
        <w:rPr>
          <w:rFonts w:ascii="Arial" w:hAnsi="Arial" w:cs="Arial"/>
          <w:color w:val="000000" w:themeColor="text1"/>
          <w:sz w:val="20"/>
          <w:szCs w:val="20"/>
        </w:rPr>
        <w:t>Negro M., Rucci S., Buonocore D., Focarelli A., Marzatico F. (2013). Sports Nutrition Sciences: an essential overview, progress in nutrition. 1(15): 3-30.</w:t>
      </w:r>
      <w:r w:rsidR="002F5A66">
        <w:rPr>
          <w:rFonts w:ascii="Arial" w:hAnsi="Arial" w:cs="Arial"/>
          <w:color w:val="000000" w:themeColor="text1"/>
          <w:sz w:val="20"/>
          <w:szCs w:val="20"/>
        </w:rPr>
        <w:t xml:space="preserve"> </w:t>
      </w:r>
      <w:hyperlink r:id="rId23" w:history="1">
        <w:r w:rsidR="002F5A66" w:rsidRPr="002F5A66">
          <w:rPr>
            <w:rStyle w:val="Hyperlink"/>
            <w:rFonts w:ascii="Arial" w:hAnsi="Arial" w:cs="Arial"/>
            <w:sz w:val="20"/>
            <w:szCs w:val="20"/>
          </w:rPr>
          <w:t>https://www.mattioli1885journals.com/index.php/progressinnutrition/article/view/2868</w:t>
        </w:r>
      </w:hyperlink>
      <w:r w:rsidR="002F5A66">
        <w:rPr>
          <w:rFonts w:ascii="Arial" w:hAnsi="Arial" w:cs="Arial"/>
          <w:color w:val="000000" w:themeColor="text1"/>
          <w:sz w:val="20"/>
          <w:szCs w:val="20"/>
        </w:rPr>
        <w:t>.</w:t>
      </w:r>
    </w:p>
    <w:p w14:paraId="13D2A18E" w14:textId="77777777" w:rsid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Ogan D, Pritchett K. (2013). Vitamin D and the athlete: risks, recommendations, and benefits. Nutrients. 5(6): 1856–68. doi: 10.3390/nu5061856.</w:t>
      </w:r>
    </w:p>
    <w:p w14:paraId="734BB11F" w14:textId="22775774" w:rsidR="00994773" w:rsidRPr="00994773" w:rsidRDefault="00994773" w:rsidP="00994773">
      <w:pPr>
        <w:pStyle w:val="ListParagraph"/>
        <w:numPr>
          <w:ilvl w:val="0"/>
          <w:numId w:val="9"/>
        </w:numPr>
        <w:spacing w:line="360" w:lineRule="auto"/>
        <w:jc w:val="both"/>
        <w:rPr>
          <w:rFonts w:ascii="Arial" w:hAnsi="Arial" w:cs="Arial"/>
          <w:sz w:val="20"/>
          <w:szCs w:val="20"/>
        </w:rPr>
      </w:pPr>
      <w:r w:rsidRPr="00121FBD">
        <w:rPr>
          <w:rFonts w:ascii="Arial" w:hAnsi="Arial" w:cs="Arial"/>
          <w:sz w:val="20"/>
          <w:szCs w:val="20"/>
        </w:rPr>
        <w:t>Paddon-Jones D., Sheffield-Moore M., Zhang X.-J., Volpi E., Wolf S.E., Aarsland A., Ferrando A.A., Wolfe R.R</w:t>
      </w:r>
      <w:r w:rsidRPr="000B2226">
        <w:rPr>
          <w:rFonts w:ascii="Arial" w:hAnsi="Arial" w:cs="Arial"/>
          <w:sz w:val="20"/>
          <w:szCs w:val="20"/>
        </w:rPr>
        <w:t xml:space="preserve">. </w:t>
      </w:r>
      <w:r>
        <w:rPr>
          <w:rFonts w:ascii="Arial" w:hAnsi="Arial" w:cs="Arial"/>
          <w:sz w:val="20"/>
          <w:szCs w:val="20"/>
        </w:rPr>
        <w:t xml:space="preserve">2004. </w:t>
      </w:r>
      <w:r w:rsidRPr="000B2226">
        <w:rPr>
          <w:rFonts w:ascii="Arial" w:hAnsi="Arial" w:cs="Arial"/>
          <w:sz w:val="20"/>
          <w:szCs w:val="20"/>
        </w:rPr>
        <w:t>Amino acid ingestion</w:t>
      </w:r>
      <w:r>
        <w:rPr>
          <w:rFonts w:ascii="Arial" w:hAnsi="Arial" w:cs="Arial"/>
          <w:sz w:val="20"/>
          <w:szCs w:val="20"/>
        </w:rPr>
        <w:t xml:space="preserve"> </w:t>
      </w:r>
      <w:r w:rsidRPr="000B2226">
        <w:rPr>
          <w:rFonts w:ascii="Arial" w:hAnsi="Arial" w:cs="Arial"/>
          <w:sz w:val="20"/>
          <w:szCs w:val="20"/>
        </w:rPr>
        <w:t>improves muscle protein synthesis in</w:t>
      </w:r>
      <w:r>
        <w:rPr>
          <w:rFonts w:ascii="Arial" w:hAnsi="Arial" w:cs="Arial"/>
          <w:sz w:val="20"/>
          <w:szCs w:val="20"/>
        </w:rPr>
        <w:t xml:space="preserve"> </w:t>
      </w:r>
      <w:r w:rsidRPr="000B2226">
        <w:rPr>
          <w:rFonts w:ascii="Arial" w:hAnsi="Arial" w:cs="Arial"/>
          <w:sz w:val="20"/>
          <w:szCs w:val="20"/>
        </w:rPr>
        <w:t>the young and elderly. Am</w:t>
      </w:r>
      <w:r>
        <w:rPr>
          <w:rFonts w:ascii="Arial" w:hAnsi="Arial" w:cs="Arial"/>
          <w:sz w:val="20"/>
          <w:szCs w:val="20"/>
        </w:rPr>
        <w:t>erican</w:t>
      </w:r>
      <w:r w:rsidRPr="000B2226">
        <w:rPr>
          <w:rFonts w:ascii="Arial" w:hAnsi="Arial" w:cs="Arial"/>
          <w:sz w:val="20"/>
          <w:szCs w:val="20"/>
        </w:rPr>
        <w:t xml:space="preserve"> J</w:t>
      </w:r>
      <w:r>
        <w:rPr>
          <w:rFonts w:ascii="Arial" w:hAnsi="Arial" w:cs="Arial"/>
          <w:sz w:val="20"/>
          <w:szCs w:val="20"/>
        </w:rPr>
        <w:t>ournal of</w:t>
      </w:r>
      <w:r w:rsidRPr="000B2226">
        <w:rPr>
          <w:rFonts w:ascii="Arial" w:hAnsi="Arial" w:cs="Arial"/>
          <w:sz w:val="20"/>
          <w:szCs w:val="20"/>
        </w:rPr>
        <w:t xml:space="preserve"> Physiol</w:t>
      </w:r>
      <w:r>
        <w:rPr>
          <w:rFonts w:ascii="Arial" w:hAnsi="Arial" w:cs="Arial"/>
          <w:sz w:val="20"/>
          <w:szCs w:val="20"/>
        </w:rPr>
        <w:t xml:space="preserve">ogy, </w:t>
      </w:r>
      <w:r w:rsidRPr="000B2226">
        <w:rPr>
          <w:rFonts w:ascii="Arial" w:hAnsi="Arial" w:cs="Arial"/>
          <w:sz w:val="20"/>
          <w:szCs w:val="20"/>
        </w:rPr>
        <w:t>Endocrinol</w:t>
      </w:r>
      <w:r>
        <w:rPr>
          <w:rFonts w:ascii="Arial" w:hAnsi="Arial" w:cs="Arial"/>
          <w:sz w:val="20"/>
          <w:szCs w:val="20"/>
        </w:rPr>
        <w:t>ogy and</w:t>
      </w:r>
      <w:r w:rsidRPr="000B2226">
        <w:rPr>
          <w:rFonts w:ascii="Arial" w:hAnsi="Arial" w:cs="Arial"/>
          <w:sz w:val="20"/>
          <w:szCs w:val="20"/>
        </w:rPr>
        <w:t xml:space="preserve"> Metab</w:t>
      </w:r>
      <w:r>
        <w:rPr>
          <w:rFonts w:ascii="Arial" w:hAnsi="Arial" w:cs="Arial"/>
          <w:sz w:val="20"/>
          <w:szCs w:val="20"/>
        </w:rPr>
        <w:t>olism.</w:t>
      </w:r>
      <w:r w:rsidRPr="000B2226">
        <w:rPr>
          <w:rFonts w:ascii="Arial" w:hAnsi="Arial" w:cs="Arial"/>
          <w:sz w:val="20"/>
          <w:szCs w:val="20"/>
        </w:rPr>
        <w:t xml:space="preserve"> 286(3):</w:t>
      </w:r>
      <w:r>
        <w:rPr>
          <w:rFonts w:ascii="Arial" w:hAnsi="Arial" w:cs="Arial"/>
          <w:sz w:val="20"/>
          <w:szCs w:val="20"/>
        </w:rPr>
        <w:t xml:space="preserve"> </w:t>
      </w:r>
      <w:r w:rsidRPr="000B2226">
        <w:rPr>
          <w:rFonts w:ascii="Arial" w:hAnsi="Arial" w:cs="Arial"/>
          <w:sz w:val="20"/>
          <w:szCs w:val="20"/>
        </w:rPr>
        <w:t>E321–E328</w:t>
      </w:r>
      <w:r>
        <w:rPr>
          <w:rFonts w:ascii="Arial" w:hAnsi="Arial" w:cs="Arial"/>
          <w:sz w:val="20"/>
          <w:szCs w:val="20"/>
        </w:rPr>
        <w:t xml:space="preserve">. </w:t>
      </w:r>
      <w:r w:rsidRPr="00121FBD">
        <w:rPr>
          <w:rFonts w:ascii="Arial" w:hAnsi="Arial" w:cs="Arial"/>
          <w:sz w:val="20"/>
          <w:szCs w:val="20"/>
        </w:rPr>
        <w:t>doi: 10.1152/ajpendo.00368.2003. Epub 2003 Oct 28.</w:t>
      </w:r>
    </w:p>
    <w:p w14:paraId="128C731F" w14:textId="77777777" w:rsidR="00536CE1" w:rsidRPr="00536CE1" w:rsidRDefault="00536CE1" w:rsidP="0068539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Peeling P., Dawson B., Goodman C., Landers G., Wiegerinck E. T., Swinkels D. W., Trinder D. (2009). Effects of exercise on hepcidin response and iron metabolism during recovery. International Journal of Sport Nutrition Exercise Metabolism. 19(6): 583–97. doi: 10.1123/ijsnem.19.6.583.</w:t>
      </w:r>
    </w:p>
    <w:p w14:paraId="6910899A" w14:textId="77777777" w:rsidR="00536CE1" w:rsidRDefault="00536CE1" w:rsidP="009E5D74">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Powers S, Nelson WB, Larson-Meyer E.</w:t>
      </w:r>
      <w:r>
        <w:rPr>
          <w:rFonts w:ascii="Arial" w:hAnsi="Arial" w:cs="Arial"/>
          <w:sz w:val="20"/>
          <w:szCs w:val="20"/>
        </w:rPr>
        <w:t xml:space="preserve"> (2011).</w:t>
      </w:r>
      <w:r w:rsidRPr="00536CE1">
        <w:rPr>
          <w:rFonts w:ascii="Arial" w:hAnsi="Arial" w:cs="Arial"/>
          <w:sz w:val="20"/>
          <w:szCs w:val="20"/>
        </w:rPr>
        <w:t xml:space="preserve"> Antioxidant and Vitamin D supplements for athletes: sense or nonsense? J Sports Sci</w:t>
      </w:r>
      <w:r>
        <w:rPr>
          <w:rFonts w:ascii="Arial" w:hAnsi="Arial" w:cs="Arial"/>
          <w:sz w:val="20"/>
          <w:szCs w:val="20"/>
        </w:rPr>
        <w:t xml:space="preserve">ence. </w:t>
      </w:r>
      <w:r w:rsidRPr="00536CE1">
        <w:rPr>
          <w:rFonts w:ascii="Arial" w:hAnsi="Arial" w:cs="Arial"/>
          <w:sz w:val="20"/>
          <w:szCs w:val="20"/>
        </w:rPr>
        <w:t>29(S1):</w:t>
      </w:r>
      <w:r>
        <w:rPr>
          <w:rFonts w:ascii="Arial" w:hAnsi="Arial" w:cs="Arial"/>
          <w:sz w:val="20"/>
          <w:szCs w:val="20"/>
        </w:rPr>
        <w:t xml:space="preserve"> </w:t>
      </w:r>
      <w:r w:rsidRPr="00536CE1">
        <w:rPr>
          <w:rFonts w:ascii="Arial" w:hAnsi="Arial" w:cs="Arial"/>
          <w:sz w:val="20"/>
          <w:szCs w:val="20"/>
        </w:rPr>
        <w:t xml:space="preserve">S47-S55. </w:t>
      </w:r>
      <w:r>
        <w:rPr>
          <w:rFonts w:ascii="Arial" w:hAnsi="Arial" w:cs="Arial"/>
          <w:sz w:val="20"/>
          <w:szCs w:val="20"/>
        </w:rPr>
        <w:t xml:space="preserve">  </w:t>
      </w:r>
    </w:p>
    <w:p w14:paraId="108B54A8" w14:textId="4D5C4D5B" w:rsidR="00536CE1" w:rsidRPr="00536CE1" w:rsidRDefault="00536CE1" w:rsidP="00536CE1">
      <w:pPr>
        <w:pStyle w:val="ListParagraph"/>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doi: 10.1080/02640414.2011.602098.</w:t>
      </w:r>
    </w:p>
    <w:p w14:paraId="7833AF1D" w14:textId="77777777" w:rsidR="000508C7" w:rsidRDefault="00536CE1" w:rsidP="00536CE1">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hAnsi="Arial" w:cs="Arial"/>
          <w:sz w:val="20"/>
          <w:szCs w:val="20"/>
        </w:rPr>
        <w:t xml:space="preserve">Rodriquez NR, DiMarco NM, Langley S. </w:t>
      </w:r>
      <w:r w:rsidR="000508C7">
        <w:rPr>
          <w:rFonts w:ascii="Arial" w:hAnsi="Arial" w:cs="Arial"/>
          <w:sz w:val="20"/>
          <w:szCs w:val="20"/>
        </w:rPr>
        <w:t xml:space="preserve">(2009). </w:t>
      </w:r>
      <w:r w:rsidRPr="00536CE1">
        <w:rPr>
          <w:rFonts w:ascii="Arial" w:hAnsi="Arial" w:cs="Arial"/>
          <w:sz w:val="20"/>
          <w:szCs w:val="20"/>
        </w:rPr>
        <w:t>Position of the American Dietetic Association, Dietitians of Canada, and the American College of Sports Medicine: Nutrition and athletic performance. J</w:t>
      </w:r>
      <w:r w:rsidR="000508C7">
        <w:rPr>
          <w:rFonts w:ascii="Arial" w:hAnsi="Arial" w:cs="Arial"/>
          <w:sz w:val="20"/>
          <w:szCs w:val="20"/>
        </w:rPr>
        <w:t xml:space="preserve">ournal of </w:t>
      </w:r>
      <w:r w:rsidRPr="00536CE1">
        <w:rPr>
          <w:rFonts w:ascii="Arial" w:hAnsi="Arial" w:cs="Arial"/>
          <w:sz w:val="20"/>
          <w:szCs w:val="20"/>
        </w:rPr>
        <w:t>Am</w:t>
      </w:r>
      <w:r w:rsidR="000508C7">
        <w:rPr>
          <w:rFonts w:ascii="Arial" w:hAnsi="Arial" w:cs="Arial"/>
          <w:sz w:val="20"/>
          <w:szCs w:val="20"/>
        </w:rPr>
        <w:t>erican</w:t>
      </w:r>
      <w:r w:rsidRPr="00536CE1">
        <w:rPr>
          <w:rFonts w:ascii="Arial" w:hAnsi="Arial" w:cs="Arial"/>
          <w:sz w:val="20"/>
          <w:szCs w:val="20"/>
        </w:rPr>
        <w:t xml:space="preserve"> Diet Assoc</w:t>
      </w:r>
      <w:r w:rsidR="000508C7">
        <w:rPr>
          <w:rFonts w:ascii="Arial" w:hAnsi="Arial" w:cs="Arial"/>
          <w:sz w:val="20"/>
          <w:szCs w:val="20"/>
        </w:rPr>
        <w:t>ietion</w:t>
      </w:r>
      <w:r w:rsidRPr="00536CE1">
        <w:rPr>
          <w:rFonts w:ascii="Arial" w:hAnsi="Arial" w:cs="Arial"/>
          <w:sz w:val="20"/>
          <w:szCs w:val="20"/>
        </w:rPr>
        <w:t xml:space="preserve">.;109(3):509-527 </w:t>
      </w:r>
    </w:p>
    <w:p w14:paraId="4C3B6688" w14:textId="1979FEE1" w:rsidR="00536CE1" w:rsidRPr="00536CE1" w:rsidRDefault="00536CE1" w:rsidP="000508C7">
      <w:pPr>
        <w:pStyle w:val="ListParagraph"/>
        <w:autoSpaceDE w:val="0"/>
        <w:autoSpaceDN w:val="0"/>
        <w:adjustRightInd w:val="0"/>
        <w:spacing w:after="0" w:line="360" w:lineRule="auto"/>
        <w:jc w:val="both"/>
        <w:rPr>
          <w:rFonts w:ascii="Arial" w:hAnsi="Arial" w:cs="Arial"/>
          <w:sz w:val="20"/>
          <w:szCs w:val="20"/>
        </w:rPr>
      </w:pPr>
      <w:hyperlink r:id="rId24" w:history="1">
        <w:r w:rsidRPr="00D9126B">
          <w:rPr>
            <w:rStyle w:val="Hyperlink"/>
            <w:rFonts w:ascii="Arial" w:hAnsi="Arial" w:cs="Arial"/>
            <w:sz w:val="20"/>
            <w:szCs w:val="20"/>
          </w:rPr>
          <w:t>http://journals.lww.com/acsmmsse/Fulltext/2009/03000/Nutrition_and_Athletic_Performance.27.aspx</w:t>
        </w:r>
      </w:hyperlink>
    </w:p>
    <w:p w14:paraId="1DD93D69" w14:textId="2495C65E" w:rsidR="00536CE1" w:rsidRPr="00536CE1" w:rsidRDefault="00536CE1" w:rsidP="00205ACF">
      <w:pPr>
        <w:pStyle w:val="ListParagraph"/>
        <w:numPr>
          <w:ilvl w:val="0"/>
          <w:numId w:val="9"/>
        </w:numPr>
        <w:spacing w:before="100" w:beforeAutospacing="1" w:after="100" w:afterAutospacing="1" w:line="360" w:lineRule="auto"/>
        <w:jc w:val="both"/>
        <w:rPr>
          <w:rFonts w:ascii="Arial" w:hAnsi="Arial" w:cs="Arial"/>
          <w:sz w:val="20"/>
          <w:szCs w:val="20"/>
          <w:shd w:val="clear" w:color="auto" w:fill="FFFFFF"/>
        </w:rPr>
      </w:pPr>
      <w:r w:rsidRPr="00536CE1">
        <w:rPr>
          <w:rFonts w:ascii="Arial" w:eastAsia="Times New Roman" w:hAnsi="Arial" w:cs="Arial"/>
          <w:sz w:val="20"/>
          <w:szCs w:val="20"/>
          <w:lang w:eastAsia="en-IN"/>
        </w:rPr>
        <w:t>Tardy A L, Pouteau E, Marquez D., Yilmaz C. and Scholey A.</w:t>
      </w:r>
      <w:r w:rsidRPr="00536CE1">
        <w:rPr>
          <w:rFonts w:ascii="Arial" w:hAnsi="Arial" w:cs="Arial"/>
          <w:sz w:val="20"/>
          <w:szCs w:val="20"/>
          <w:shd w:val="clear" w:color="auto" w:fill="FFFFFF"/>
        </w:rPr>
        <w:t xml:space="preserve"> </w:t>
      </w:r>
      <w:r w:rsidR="000508C7">
        <w:rPr>
          <w:rFonts w:ascii="Arial" w:hAnsi="Arial" w:cs="Arial"/>
          <w:sz w:val="20"/>
          <w:szCs w:val="20"/>
          <w:shd w:val="clear" w:color="auto" w:fill="FFFFFF"/>
        </w:rPr>
        <w:t>(</w:t>
      </w:r>
      <w:r w:rsidRPr="00536CE1">
        <w:rPr>
          <w:rFonts w:ascii="Arial" w:hAnsi="Arial" w:cs="Arial"/>
          <w:sz w:val="20"/>
          <w:szCs w:val="20"/>
          <w:shd w:val="clear" w:color="auto" w:fill="FFFFFF"/>
        </w:rPr>
        <w:t>2020</w:t>
      </w:r>
      <w:r w:rsidR="000508C7">
        <w:rPr>
          <w:rFonts w:ascii="Arial" w:hAnsi="Arial" w:cs="Arial"/>
          <w:sz w:val="20"/>
          <w:szCs w:val="20"/>
          <w:shd w:val="clear" w:color="auto" w:fill="FFFFFF"/>
        </w:rPr>
        <w:t>)</w:t>
      </w:r>
      <w:r w:rsidRPr="00536CE1">
        <w:rPr>
          <w:rFonts w:ascii="Arial" w:hAnsi="Arial" w:cs="Arial"/>
          <w:sz w:val="20"/>
          <w:szCs w:val="20"/>
          <w:shd w:val="clear" w:color="auto" w:fill="FFFFFF"/>
        </w:rPr>
        <w:t xml:space="preserve">. Vitamins and Minerals for Energy, Fatigue and Cognition: A Narrative Review of the Biochemical and Clinical Evidence. </w:t>
      </w:r>
      <w:r w:rsidRPr="00536CE1">
        <w:rPr>
          <w:rFonts w:ascii="Arial" w:eastAsia="Times New Roman" w:hAnsi="Arial" w:cs="Arial"/>
          <w:sz w:val="20"/>
          <w:szCs w:val="20"/>
          <w:lang w:eastAsia="en-IN"/>
        </w:rPr>
        <w:t>Nutrients. 12(1), 228; </w:t>
      </w:r>
      <w:hyperlink r:id="rId25" w:history="1">
        <w:r w:rsidRPr="00536CE1">
          <w:rPr>
            <w:rStyle w:val="Hyperlink"/>
            <w:rFonts w:ascii="Arial" w:eastAsia="Times New Roman" w:hAnsi="Arial" w:cs="Arial"/>
            <w:color w:val="auto"/>
            <w:sz w:val="20"/>
            <w:szCs w:val="20"/>
            <w:u w:val="none"/>
            <w:lang w:eastAsia="en-IN"/>
          </w:rPr>
          <w:t>https://doi.org/10.3390/nu12010228</w:t>
        </w:r>
      </w:hyperlink>
    </w:p>
    <w:p w14:paraId="32159BFE" w14:textId="68BF6A6B" w:rsidR="00536CE1" w:rsidRPr="00536CE1" w:rsidRDefault="00536CE1" w:rsidP="00205ACF">
      <w:pPr>
        <w:pStyle w:val="ListParagraph"/>
        <w:numPr>
          <w:ilvl w:val="0"/>
          <w:numId w:val="9"/>
        </w:numPr>
        <w:autoSpaceDE w:val="0"/>
        <w:autoSpaceDN w:val="0"/>
        <w:adjustRightInd w:val="0"/>
        <w:spacing w:after="0" w:line="360" w:lineRule="auto"/>
        <w:jc w:val="both"/>
        <w:rPr>
          <w:rFonts w:ascii="Arial" w:hAnsi="Arial" w:cs="Arial"/>
          <w:sz w:val="20"/>
          <w:szCs w:val="20"/>
        </w:rPr>
      </w:pPr>
      <w:r w:rsidRPr="00536CE1">
        <w:rPr>
          <w:rFonts w:ascii="Arial" w:eastAsia="Times New Roman" w:hAnsi="Arial" w:cs="Arial"/>
          <w:kern w:val="36"/>
          <w:sz w:val="20"/>
          <w:szCs w:val="20"/>
          <w:lang w:eastAsia="en-IN"/>
        </w:rPr>
        <w:t>Tiller N. B., Burke L. M., Howe S. M., Koop J., Ohm J. R., Burgess B.</w:t>
      </w:r>
      <w:r w:rsidRPr="00536CE1">
        <w:rPr>
          <w:rFonts w:ascii="Arial" w:hAnsi="Arial" w:cs="Arial"/>
          <w:sz w:val="20"/>
          <w:szCs w:val="20"/>
        </w:rPr>
        <w:t xml:space="preserve"> (2024). What’s (Not) in Your Supplement? An Energy and Macronutrient Analysis of Commercially Available Carbohydrate Gels. International Journal of Sport Nutrition and Exercise Metabolism.</w:t>
      </w:r>
      <w:r>
        <w:rPr>
          <w:rFonts w:ascii="Arial" w:hAnsi="Arial" w:cs="Arial"/>
          <w:sz w:val="20"/>
          <w:szCs w:val="20"/>
        </w:rPr>
        <w:t xml:space="preserve"> </w:t>
      </w:r>
      <w:r w:rsidRPr="00536CE1">
        <w:rPr>
          <w:rFonts w:ascii="Arial" w:hAnsi="Arial" w:cs="Arial"/>
          <w:sz w:val="20"/>
          <w:szCs w:val="20"/>
        </w:rPr>
        <w:t>https://doi.org/10.1123/ijsnem.2024-0232</w:t>
      </w:r>
    </w:p>
    <w:p w14:paraId="020E379E" w14:textId="23A7395D" w:rsidR="00536CE1" w:rsidRPr="00536CE1" w:rsidRDefault="00536CE1" w:rsidP="00205AC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Veatch, A.E., Brockman, J.D., Spate, V.L., Robertson, J.D., &amp; Morris, J.S. (2005). Selenium and nutrition: The accuracy and variability of the selenium content in commercial supplements. Journal of Radioanalytical and Nuclear Chemistry, 264(1), 33–38.</w:t>
      </w:r>
      <w:r>
        <w:rPr>
          <w:rFonts w:ascii="Arial" w:hAnsi="Arial" w:cs="Arial"/>
          <w:sz w:val="20"/>
          <w:szCs w:val="20"/>
        </w:rPr>
        <w:t xml:space="preserve"> </w:t>
      </w:r>
      <w:hyperlink r:id="rId26" w:history="1">
        <w:r w:rsidRPr="00D9126B">
          <w:rPr>
            <w:rStyle w:val="Hyperlink"/>
            <w:rFonts w:ascii="Arial" w:hAnsi="Arial" w:cs="Arial"/>
            <w:sz w:val="20"/>
            <w:szCs w:val="20"/>
          </w:rPr>
          <w:t>https://doi.org/10.1007/s10967-005-0671-3</w:t>
        </w:r>
      </w:hyperlink>
    </w:p>
    <w:p w14:paraId="767861CA" w14:textId="4BE4C1CA" w:rsidR="00536CE1" w:rsidRDefault="00536CE1" w:rsidP="0068539F">
      <w:pPr>
        <w:pStyle w:val="ListParagraph"/>
        <w:numPr>
          <w:ilvl w:val="0"/>
          <w:numId w:val="9"/>
        </w:numPr>
        <w:spacing w:line="360" w:lineRule="auto"/>
        <w:jc w:val="both"/>
        <w:rPr>
          <w:rFonts w:ascii="Arial" w:hAnsi="Arial" w:cs="Arial"/>
          <w:sz w:val="20"/>
          <w:szCs w:val="20"/>
        </w:rPr>
      </w:pPr>
      <w:r w:rsidRPr="00536CE1">
        <w:rPr>
          <w:rFonts w:ascii="Arial" w:hAnsi="Arial" w:cs="Arial"/>
          <w:sz w:val="20"/>
          <w:szCs w:val="20"/>
        </w:rPr>
        <w:t>Zapata-Muriel, A., Echeverry, P., Van Dusseldorp, T.A., Kurtz, J., &amp; Monsalves-Alvarez, M. (2022). Measured versus label declared macronutrient and calorie content in Colombian commercially available whey proteins. Journal of the International Society of Sports Nutrition, 19(1), 258–266.</w:t>
      </w:r>
      <w:r>
        <w:rPr>
          <w:rFonts w:ascii="Arial" w:hAnsi="Arial" w:cs="Arial"/>
          <w:sz w:val="20"/>
          <w:szCs w:val="20"/>
        </w:rPr>
        <w:t xml:space="preserve">  </w:t>
      </w:r>
      <w:r w:rsidRPr="00536CE1">
        <w:rPr>
          <w:rFonts w:ascii="Arial" w:hAnsi="Arial" w:cs="Arial"/>
          <w:sz w:val="20"/>
          <w:szCs w:val="20"/>
        </w:rPr>
        <w:t>https://doi.org/10.1080/15502783.2022.20908288 TILLER ET AL.</w:t>
      </w:r>
    </w:p>
    <w:sectPr w:rsidR="00536CE1">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7D29" w14:textId="77777777" w:rsidR="00962A45" w:rsidRDefault="00962A45" w:rsidP="003224EC">
      <w:pPr>
        <w:spacing w:after="0" w:line="240" w:lineRule="auto"/>
      </w:pPr>
      <w:r>
        <w:separator/>
      </w:r>
    </w:p>
  </w:endnote>
  <w:endnote w:type="continuationSeparator" w:id="0">
    <w:p w14:paraId="477C7592" w14:textId="77777777" w:rsidR="00962A45" w:rsidRDefault="00962A45" w:rsidP="003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vmjhjAdvOT46dcae81">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8B7F" w14:textId="77777777" w:rsidR="003224EC" w:rsidRDefault="0032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83C4" w14:textId="77777777" w:rsidR="003224EC" w:rsidRDefault="00322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8DE1" w14:textId="77777777" w:rsidR="003224EC" w:rsidRDefault="003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8189" w14:textId="77777777" w:rsidR="00962A45" w:rsidRDefault="00962A45" w:rsidP="003224EC">
      <w:pPr>
        <w:spacing w:after="0" w:line="240" w:lineRule="auto"/>
      </w:pPr>
      <w:r>
        <w:separator/>
      </w:r>
    </w:p>
  </w:footnote>
  <w:footnote w:type="continuationSeparator" w:id="0">
    <w:p w14:paraId="387472EA" w14:textId="77777777" w:rsidR="00962A45" w:rsidRDefault="00962A45" w:rsidP="003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B8EB" w14:textId="5E403B79" w:rsidR="003224EC" w:rsidRDefault="00000000">
    <w:pPr>
      <w:pStyle w:val="Header"/>
    </w:pPr>
    <w:r>
      <w:rPr>
        <w:noProof/>
      </w:rPr>
      <w:pict w14:anchorId="6885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2E9" w14:textId="05223D5A" w:rsidR="003224EC" w:rsidRDefault="00000000">
    <w:pPr>
      <w:pStyle w:val="Header"/>
    </w:pPr>
    <w:r>
      <w:rPr>
        <w:noProof/>
      </w:rPr>
      <w:pict w14:anchorId="717DE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6A12" w14:textId="6545078C" w:rsidR="003224EC" w:rsidRDefault="00000000">
    <w:pPr>
      <w:pStyle w:val="Header"/>
    </w:pPr>
    <w:r>
      <w:rPr>
        <w:noProof/>
      </w:rPr>
      <w:pict w14:anchorId="06BB9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914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028"/>
    <w:multiLevelType w:val="hybridMultilevel"/>
    <w:tmpl w:val="040A49A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A94AF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9067D"/>
    <w:multiLevelType w:val="multilevel"/>
    <w:tmpl w:val="513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600A"/>
    <w:multiLevelType w:val="hybridMultilevel"/>
    <w:tmpl w:val="5ED4498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401C65"/>
    <w:multiLevelType w:val="hybridMultilevel"/>
    <w:tmpl w:val="EEB8C332"/>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B2F1C"/>
    <w:multiLevelType w:val="hybridMultilevel"/>
    <w:tmpl w:val="EEB8C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B371C5"/>
    <w:multiLevelType w:val="hybridMultilevel"/>
    <w:tmpl w:val="040A49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5A4783"/>
    <w:multiLevelType w:val="hybridMultilevel"/>
    <w:tmpl w:val="929C0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5941E7"/>
    <w:multiLevelType w:val="hybridMultilevel"/>
    <w:tmpl w:val="EEB8C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3F79B1"/>
    <w:multiLevelType w:val="hybridMultilevel"/>
    <w:tmpl w:val="EEB8C3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052852"/>
    <w:multiLevelType w:val="hybridMultilevel"/>
    <w:tmpl w:val="1AFEF0F8"/>
    <w:lvl w:ilvl="0" w:tplc="82021392">
      <w:start w:val="1"/>
      <w:numFmt w:val="decimal"/>
      <w:lvlText w:val="%1."/>
      <w:lvlJc w:val="left"/>
      <w:pPr>
        <w:ind w:left="720" w:hanging="360"/>
      </w:pPr>
      <w:rPr>
        <w:rFonts w:eastAsia="Calibri"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05230C"/>
    <w:multiLevelType w:val="hybridMultilevel"/>
    <w:tmpl w:val="F746CF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D2254A7"/>
    <w:multiLevelType w:val="hybridMultilevel"/>
    <w:tmpl w:val="B342674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4364621">
    <w:abstractNumId w:val="7"/>
  </w:num>
  <w:num w:numId="2" w16cid:durableId="620576292">
    <w:abstractNumId w:val="12"/>
  </w:num>
  <w:num w:numId="3" w16cid:durableId="1671449132">
    <w:abstractNumId w:val="3"/>
  </w:num>
  <w:num w:numId="4" w16cid:durableId="1044594770">
    <w:abstractNumId w:val="0"/>
  </w:num>
  <w:num w:numId="5" w16cid:durableId="957371854">
    <w:abstractNumId w:val="1"/>
  </w:num>
  <w:num w:numId="6" w16cid:durableId="1238053627">
    <w:abstractNumId w:val="6"/>
  </w:num>
  <w:num w:numId="7" w16cid:durableId="1485975945">
    <w:abstractNumId w:val="11"/>
  </w:num>
  <w:num w:numId="8" w16cid:durableId="2097168857">
    <w:abstractNumId w:val="2"/>
  </w:num>
  <w:num w:numId="9" w16cid:durableId="947546346">
    <w:abstractNumId w:val="4"/>
  </w:num>
  <w:num w:numId="10" w16cid:durableId="1114206050">
    <w:abstractNumId w:val="10"/>
  </w:num>
  <w:num w:numId="11" w16cid:durableId="1265580328">
    <w:abstractNumId w:val="9"/>
  </w:num>
  <w:num w:numId="12" w16cid:durableId="1912812996">
    <w:abstractNumId w:val="8"/>
  </w:num>
  <w:num w:numId="13" w16cid:durableId="26974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C4"/>
    <w:rsid w:val="00001B85"/>
    <w:rsid w:val="000508C7"/>
    <w:rsid w:val="00072EF4"/>
    <w:rsid w:val="000770C3"/>
    <w:rsid w:val="00090ACC"/>
    <w:rsid w:val="000B2226"/>
    <w:rsid w:val="000B687F"/>
    <w:rsid w:val="00111911"/>
    <w:rsid w:val="001126FA"/>
    <w:rsid w:val="00117BAC"/>
    <w:rsid w:val="00121FBD"/>
    <w:rsid w:val="00124055"/>
    <w:rsid w:val="00125752"/>
    <w:rsid w:val="00150FD8"/>
    <w:rsid w:val="00175D22"/>
    <w:rsid w:val="001D160A"/>
    <w:rsid w:val="001E2B8B"/>
    <w:rsid w:val="001F320A"/>
    <w:rsid w:val="00205ACF"/>
    <w:rsid w:val="00235F14"/>
    <w:rsid w:val="002452CA"/>
    <w:rsid w:val="00272FCE"/>
    <w:rsid w:val="002A039B"/>
    <w:rsid w:val="002A1FC6"/>
    <w:rsid w:val="002B07B2"/>
    <w:rsid w:val="002C3E54"/>
    <w:rsid w:val="002D0A6A"/>
    <w:rsid w:val="002F5A66"/>
    <w:rsid w:val="00300DD8"/>
    <w:rsid w:val="00301AC3"/>
    <w:rsid w:val="003224EC"/>
    <w:rsid w:val="003371A2"/>
    <w:rsid w:val="003E2AAB"/>
    <w:rsid w:val="003F7CE4"/>
    <w:rsid w:val="004130D6"/>
    <w:rsid w:val="00425CCD"/>
    <w:rsid w:val="004A1629"/>
    <w:rsid w:val="00502D10"/>
    <w:rsid w:val="00533EBE"/>
    <w:rsid w:val="00536CE1"/>
    <w:rsid w:val="0057750B"/>
    <w:rsid w:val="0068539F"/>
    <w:rsid w:val="006B4201"/>
    <w:rsid w:val="006D77FB"/>
    <w:rsid w:val="006E473C"/>
    <w:rsid w:val="006F315A"/>
    <w:rsid w:val="006F47C4"/>
    <w:rsid w:val="007627DA"/>
    <w:rsid w:val="007704C7"/>
    <w:rsid w:val="00785A66"/>
    <w:rsid w:val="0079699E"/>
    <w:rsid w:val="007D4BC9"/>
    <w:rsid w:val="007E060C"/>
    <w:rsid w:val="00810E65"/>
    <w:rsid w:val="008245D8"/>
    <w:rsid w:val="008A374B"/>
    <w:rsid w:val="008A3D16"/>
    <w:rsid w:val="008B481E"/>
    <w:rsid w:val="008D3EAD"/>
    <w:rsid w:val="00920C86"/>
    <w:rsid w:val="00922430"/>
    <w:rsid w:val="00926157"/>
    <w:rsid w:val="009348D0"/>
    <w:rsid w:val="00940152"/>
    <w:rsid w:val="00943BD8"/>
    <w:rsid w:val="00962A45"/>
    <w:rsid w:val="00964CCC"/>
    <w:rsid w:val="00984C66"/>
    <w:rsid w:val="00994773"/>
    <w:rsid w:val="009A1139"/>
    <w:rsid w:val="009B3E73"/>
    <w:rsid w:val="009B49C0"/>
    <w:rsid w:val="009C7F92"/>
    <w:rsid w:val="009E5D74"/>
    <w:rsid w:val="00A00C34"/>
    <w:rsid w:val="00A5417C"/>
    <w:rsid w:val="00A55A97"/>
    <w:rsid w:val="00A635EA"/>
    <w:rsid w:val="00A741FD"/>
    <w:rsid w:val="00A94261"/>
    <w:rsid w:val="00AB19C3"/>
    <w:rsid w:val="00AB2C2B"/>
    <w:rsid w:val="00AF2978"/>
    <w:rsid w:val="00B72FC4"/>
    <w:rsid w:val="00B845C1"/>
    <w:rsid w:val="00BB7371"/>
    <w:rsid w:val="00BE3E50"/>
    <w:rsid w:val="00BE626D"/>
    <w:rsid w:val="00BF5BCC"/>
    <w:rsid w:val="00C545FF"/>
    <w:rsid w:val="00C60E0C"/>
    <w:rsid w:val="00C8557A"/>
    <w:rsid w:val="00CB6B52"/>
    <w:rsid w:val="00CC4512"/>
    <w:rsid w:val="00CE697D"/>
    <w:rsid w:val="00CF1776"/>
    <w:rsid w:val="00CF2D28"/>
    <w:rsid w:val="00D1245B"/>
    <w:rsid w:val="00D20E65"/>
    <w:rsid w:val="00D3792A"/>
    <w:rsid w:val="00D714B2"/>
    <w:rsid w:val="00D977D7"/>
    <w:rsid w:val="00DB0AF9"/>
    <w:rsid w:val="00DF4204"/>
    <w:rsid w:val="00DF5336"/>
    <w:rsid w:val="00E02250"/>
    <w:rsid w:val="00E03F56"/>
    <w:rsid w:val="00E11D08"/>
    <w:rsid w:val="00E11E33"/>
    <w:rsid w:val="00E30A17"/>
    <w:rsid w:val="00E32FB1"/>
    <w:rsid w:val="00E42B1B"/>
    <w:rsid w:val="00E71470"/>
    <w:rsid w:val="00F02220"/>
    <w:rsid w:val="00F14D3D"/>
    <w:rsid w:val="00F24838"/>
    <w:rsid w:val="00F444D4"/>
    <w:rsid w:val="00F47EF0"/>
    <w:rsid w:val="00F77752"/>
    <w:rsid w:val="00FB0FE1"/>
    <w:rsid w:val="00FB7F1D"/>
    <w:rsid w:val="00FD43A2"/>
    <w:rsid w:val="00FE7DCF"/>
    <w:rsid w:val="00FF6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9FF9"/>
  <w15:chartTrackingRefBased/>
  <w15:docId w15:val="{9173D198-E75B-41A7-B055-8A4EB1A9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4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4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7C4"/>
    <w:rPr>
      <w:rFonts w:eastAsiaTheme="majorEastAsia" w:cstheme="majorBidi"/>
      <w:color w:val="272727" w:themeColor="text1" w:themeTint="D8"/>
    </w:rPr>
  </w:style>
  <w:style w:type="paragraph" w:styleId="Title">
    <w:name w:val="Title"/>
    <w:basedOn w:val="Normal"/>
    <w:next w:val="Normal"/>
    <w:link w:val="TitleChar"/>
    <w:uiPriority w:val="10"/>
    <w:qFormat/>
    <w:rsid w:val="006F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7C4"/>
    <w:pPr>
      <w:spacing w:before="160"/>
      <w:jc w:val="center"/>
    </w:pPr>
    <w:rPr>
      <w:i/>
      <w:iCs/>
      <w:color w:val="404040" w:themeColor="text1" w:themeTint="BF"/>
    </w:rPr>
  </w:style>
  <w:style w:type="character" w:customStyle="1" w:styleId="QuoteChar">
    <w:name w:val="Quote Char"/>
    <w:basedOn w:val="DefaultParagraphFont"/>
    <w:link w:val="Quote"/>
    <w:uiPriority w:val="29"/>
    <w:rsid w:val="006F47C4"/>
    <w:rPr>
      <w:i/>
      <w:iCs/>
      <w:color w:val="404040" w:themeColor="text1" w:themeTint="BF"/>
    </w:rPr>
  </w:style>
  <w:style w:type="paragraph" w:styleId="ListParagraph">
    <w:name w:val="List Paragraph"/>
    <w:basedOn w:val="Normal"/>
    <w:uiPriority w:val="34"/>
    <w:qFormat/>
    <w:rsid w:val="006F47C4"/>
    <w:pPr>
      <w:ind w:left="720"/>
      <w:contextualSpacing/>
    </w:pPr>
  </w:style>
  <w:style w:type="character" w:styleId="IntenseEmphasis">
    <w:name w:val="Intense Emphasis"/>
    <w:basedOn w:val="DefaultParagraphFont"/>
    <w:uiPriority w:val="21"/>
    <w:qFormat/>
    <w:rsid w:val="006F47C4"/>
    <w:rPr>
      <w:i/>
      <w:iCs/>
      <w:color w:val="2F5496" w:themeColor="accent1" w:themeShade="BF"/>
    </w:rPr>
  </w:style>
  <w:style w:type="paragraph" w:styleId="IntenseQuote">
    <w:name w:val="Intense Quote"/>
    <w:basedOn w:val="Normal"/>
    <w:next w:val="Normal"/>
    <w:link w:val="IntenseQuoteChar"/>
    <w:uiPriority w:val="30"/>
    <w:qFormat/>
    <w:rsid w:val="006F4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7C4"/>
    <w:rPr>
      <w:i/>
      <w:iCs/>
      <w:color w:val="2F5496" w:themeColor="accent1" w:themeShade="BF"/>
    </w:rPr>
  </w:style>
  <w:style w:type="character" w:styleId="IntenseReference">
    <w:name w:val="Intense Reference"/>
    <w:basedOn w:val="DefaultParagraphFont"/>
    <w:uiPriority w:val="32"/>
    <w:qFormat/>
    <w:rsid w:val="006F47C4"/>
    <w:rPr>
      <w:b/>
      <w:bCs/>
      <w:smallCaps/>
      <w:color w:val="2F5496" w:themeColor="accent1" w:themeShade="BF"/>
      <w:spacing w:val="5"/>
    </w:rPr>
  </w:style>
  <w:style w:type="paragraph" w:styleId="NormalWeb">
    <w:name w:val="Normal (Web)"/>
    <w:basedOn w:val="Normal"/>
    <w:uiPriority w:val="99"/>
    <w:semiHidden/>
    <w:unhideWhenUsed/>
    <w:rsid w:val="00125752"/>
    <w:rPr>
      <w:rFonts w:ascii="Times New Roman" w:hAnsi="Times New Roman" w:cs="Times New Roman"/>
      <w:sz w:val="24"/>
      <w:szCs w:val="24"/>
    </w:rPr>
  </w:style>
  <w:style w:type="table" w:customStyle="1" w:styleId="TableGrid">
    <w:name w:val="TableGrid"/>
    <w:rsid w:val="00125752"/>
    <w:pPr>
      <w:spacing w:after="0" w:line="240" w:lineRule="auto"/>
    </w:pPr>
    <w:rPr>
      <w:rFonts w:eastAsiaTheme="minorEastAsia"/>
      <w:kern w:val="2"/>
      <w:sz w:val="24"/>
      <w:szCs w:val="24"/>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24055"/>
    <w:rPr>
      <w:color w:val="0563C1" w:themeColor="hyperlink"/>
      <w:u w:val="single"/>
    </w:rPr>
  </w:style>
  <w:style w:type="character" w:styleId="UnresolvedMention">
    <w:name w:val="Unresolved Mention"/>
    <w:basedOn w:val="DefaultParagraphFont"/>
    <w:uiPriority w:val="99"/>
    <w:semiHidden/>
    <w:unhideWhenUsed/>
    <w:rsid w:val="00124055"/>
    <w:rPr>
      <w:color w:val="605E5C"/>
      <w:shd w:val="clear" w:color="auto" w:fill="E1DFDD"/>
    </w:rPr>
  </w:style>
  <w:style w:type="character" w:styleId="Strong">
    <w:name w:val="Strong"/>
    <w:basedOn w:val="DefaultParagraphFont"/>
    <w:uiPriority w:val="22"/>
    <w:qFormat/>
    <w:rsid w:val="002A039B"/>
    <w:rPr>
      <w:b/>
      <w:bCs/>
    </w:rPr>
  </w:style>
  <w:style w:type="character" w:customStyle="1" w:styleId="title-text">
    <w:name w:val="title-text"/>
    <w:basedOn w:val="DefaultParagraphFont"/>
    <w:rsid w:val="00964CCC"/>
  </w:style>
  <w:style w:type="paragraph" w:styleId="Header">
    <w:name w:val="header"/>
    <w:basedOn w:val="Normal"/>
    <w:link w:val="HeaderChar"/>
    <w:uiPriority w:val="99"/>
    <w:unhideWhenUsed/>
    <w:rsid w:val="00322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EC"/>
  </w:style>
  <w:style w:type="paragraph" w:styleId="Footer">
    <w:name w:val="footer"/>
    <w:basedOn w:val="Normal"/>
    <w:link w:val="FooterChar"/>
    <w:uiPriority w:val="99"/>
    <w:unhideWhenUsed/>
    <w:rsid w:val="00322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EC"/>
  </w:style>
  <w:style w:type="character" w:styleId="CommentReference">
    <w:name w:val="annotation reference"/>
    <w:basedOn w:val="DefaultParagraphFont"/>
    <w:uiPriority w:val="99"/>
    <w:semiHidden/>
    <w:unhideWhenUsed/>
    <w:rsid w:val="00BE3E50"/>
    <w:rPr>
      <w:sz w:val="16"/>
      <w:szCs w:val="16"/>
    </w:rPr>
  </w:style>
  <w:style w:type="paragraph" w:styleId="CommentText">
    <w:name w:val="annotation text"/>
    <w:basedOn w:val="Normal"/>
    <w:link w:val="CommentTextChar"/>
    <w:uiPriority w:val="99"/>
    <w:unhideWhenUsed/>
    <w:rsid w:val="00BE3E50"/>
    <w:pPr>
      <w:spacing w:line="240" w:lineRule="auto"/>
    </w:pPr>
    <w:rPr>
      <w:sz w:val="20"/>
      <w:szCs w:val="20"/>
    </w:rPr>
  </w:style>
  <w:style w:type="character" w:customStyle="1" w:styleId="CommentTextChar">
    <w:name w:val="Comment Text Char"/>
    <w:basedOn w:val="DefaultParagraphFont"/>
    <w:link w:val="CommentText"/>
    <w:uiPriority w:val="99"/>
    <w:rsid w:val="00BE3E50"/>
    <w:rPr>
      <w:sz w:val="20"/>
      <w:szCs w:val="20"/>
    </w:rPr>
  </w:style>
  <w:style w:type="paragraph" w:styleId="CommentSubject">
    <w:name w:val="annotation subject"/>
    <w:basedOn w:val="CommentText"/>
    <w:next w:val="CommentText"/>
    <w:link w:val="CommentSubjectChar"/>
    <w:uiPriority w:val="99"/>
    <w:semiHidden/>
    <w:unhideWhenUsed/>
    <w:rsid w:val="00BE3E50"/>
    <w:rPr>
      <w:b/>
      <w:bCs/>
    </w:rPr>
  </w:style>
  <w:style w:type="character" w:customStyle="1" w:styleId="CommentSubjectChar">
    <w:name w:val="Comment Subject Char"/>
    <w:basedOn w:val="CommentTextChar"/>
    <w:link w:val="CommentSubject"/>
    <w:uiPriority w:val="99"/>
    <w:semiHidden/>
    <w:rsid w:val="00BE3E50"/>
    <w:rPr>
      <w:b/>
      <w:bCs/>
      <w:sz w:val="20"/>
      <w:szCs w:val="20"/>
    </w:rPr>
  </w:style>
  <w:style w:type="paragraph" w:customStyle="1" w:styleId="Default">
    <w:name w:val="Default"/>
    <w:rsid w:val="00300D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unfar" TargetMode="External"/><Relationship Id="rId18" Type="http://schemas.openxmlformats.org/officeDocument/2006/relationships/hyperlink" Target="https://doi.org/10.1093/ajhp/57.10.963" TargetMode="External"/><Relationship Id="rId26" Type="http://schemas.openxmlformats.org/officeDocument/2006/relationships/hyperlink" Target="https://doi.org/10.1007/s10967-005-0671-3" TargetMode="External"/><Relationship Id="rId3" Type="http://schemas.openxmlformats.org/officeDocument/2006/relationships/settings" Target="settings.xml"/><Relationship Id="rId21" Type="http://schemas.openxmlformats.org/officeDocument/2006/relationships/hyperlink" Target="https://www.sciencedirect.com/journal/neuroscience/vol/527/suppl/C" TargetMode="External"/><Relationship Id="rId34" Type="http://schemas.openxmlformats.org/officeDocument/2006/relationships/theme" Target="theme/theme1.xml"/><Relationship Id="rId7" Type="http://schemas.openxmlformats.org/officeDocument/2006/relationships/hyperlink" Target="https://doi.org/10.1038/srep07928" TargetMode="External"/><Relationship Id="rId12" Type="http://schemas.openxmlformats.org/officeDocument/2006/relationships/hyperlink" Target="https://doi.org/10.3390/nu15071788" TargetMode="External"/><Relationship Id="rId17" Type="http://schemas.openxmlformats.org/officeDocument/2006/relationships/hyperlink" Target="https://doi.org/10.3390/life13102007" TargetMode="External"/><Relationship Id="rId25" Type="http://schemas.openxmlformats.org/officeDocument/2006/relationships/hyperlink" Target="https://doi.org/10.3390/nu1201022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md12052357" TargetMode="External"/><Relationship Id="rId20" Type="http://schemas.openxmlformats.org/officeDocument/2006/relationships/hyperlink" Target="https://www.sciencedirect.com/journal/neuroscien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21-020-04534-y" TargetMode="External"/><Relationship Id="rId24" Type="http://schemas.openxmlformats.org/officeDocument/2006/relationships/hyperlink" Target="http://journals.lww.com/acsmmsse/Fulltext/2009/03000/Nutrition_and_Athletic_Performance.27.asp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oi.org/10.21603/2308-4057-2018-2-379-391" TargetMode="External"/><Relationship Id="rId23" Type="http://schemas.openxmlformats.org/officeDocument/2006/relationships/hyperlink" Target="https://www.mattioli1885journals.com/index.php/progressinnutrition/article/view/2868" TargetMode="External"/><Relationship Id="rId28" Type="http://schemas.openxmlformats.org/officeDocument/2006/relationships/header" Target="header2.xml"/><Relationship Id="rId10" Type="http://schemas.openxmlformats.org/officeDocument/2006/relationships/hyperlink" Target="https://doi.org/10.1007/978-1-59745-302-8" TargetMode="External"/><Relationship Id="rId19" Type="http://schemas.openxmlformats.org/officeDocument/2006/relationships/hyperlink" Target="https://jdrf.ca/not-allsugars-are-the-same-using-glucose-to-treat-hypoglycemia/"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jpba.2019.112877" TargetMode="External"/><Relationship Id="rId14" Type="http://schemas.openxmlformats.org/officeDocument/2006/relationships/hyperlink" Target="https://www.fda.gov/regulatory-information/search-fda-guidance-documents/guidanceindustry-food-labeling-guide" TargetMode="External"/><Relationship Id="rId22" Type="http://schemas.openxmlformats.org/officeDocument/2006/relationships/hyperlink" Target="https://www.mayoclinic.org/diseases-conditions/diabetes/indepth/diabetes-and-exercise/art-2004569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38/s41598-023-420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Kamble</dc:creator>
  <cp:keywords/>
  <dc:description/>
  <cp:lastModifiedBy>Parag Kamble</cp:lastModifiedBy>
  <cp:revision>17</cp:revision>
  <dcterms:created xsi:type="dcterms:W3CDTF">2025-10-09T13:17:00Z</dcterms:created>
  <dcterms:modified xsi:type="dcterms:W3CDTF">2025-10-09T18:30:00Z</dcterms:modified>
</cp:coreProperties>
</file>