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0908" w14:textId="0754CC7B" w:rsidR="00C8290E" w:rsidRDefault="00000000">
      <w:pPr>
        <w:spacing w:line="240" w:lineRule="auto"/>
        <w:jc w:val="both"/>
        <w:rPr>
          <w:rFonts w:ascii="Times New Roman" w:hAnsi="Times New Roman"/>
          <w:sz w:val="24"/>
          <w:szCs w:val="24"/>
        </w:rPr>
      </w:pPr>
      <w:r>
        <w:rPr>
          <w:rFonts w:ascii="Times New Roman" w:eastAsia="Calibri" w:hAnsi="Times New Roman"/>
          <w:sz w:val="24"/>
          <w:szCs w:val="24"/>
          <w:lang w:eastAsia="en-US"/>
        </w:rPr>
        <w:t xml:space="preserve">A study on food and feeding habit of </w:t>
      </w:r>
      <w:proofErr w:type="spellStart"/>
      <w:r>
        <w:rPr>
          <w:rFonts w:ascii="Times New Roman" w:eastAsia="Calibri" w:hAnsi="Times New Roman"/>
          <w:i/>
          <w:iCs/>
          <w:sz w:val="24"/>
          <w:szCs w:val="24"/>
          <w:highlight w:val="yellow"/>
          <w:lang w:eastAsia="en-US"/>
        </w:rPr>
        <w:t>Atya</w:t>
      </w:r>
      <w:proofErr w:type="spellEnd"/>
      <w:r>
        <w:rPr>
          <w:rFonts w:ascii="Times New Roman" w:eastAsia="Calibri" w:hAnsi="Times New Roman"/>
          <w:i/>
          <w:iCs/>
          <w:sz w:val="24"/>
          <w:szCs w:val="24"/>
          <w:highlight w:val="yellow"/>
          <w:lang w:eastAsia="en-US"/>
        </w:rPr>
        <w:t xml:space="preserve"> </w:t>
      </w:r>
      <w:proofErr w:type="spellStart"/>
      <w:r>
        <w:rPr>
          <w:rFonts w:ascii="Times New Roman" w:eastAsia="Calibri" w:hAnsi="Times New Roman"/>
          <w:i/>
          <w:iCs/>
          <w:sz w:val="24"/>
          <w:szCs w:val="24"/>
          <w:highlight w:val="yellow"/>
          <w:lang w:eastAsia="en-US"/>
        </w:rPr>
        <w:t>gabonensis</w:t>
      </w:r>
      <w:proofErr w:type="spellEnd"/>
      <w:r>
        <w:rPr>
          <w:rFonts w:ascii="Times New Roman" w:eastAsia="Calibri" w:hAnsi="Times New Roman"/>
          <w:sz w:val="24"/>
          <w:szCs w:val="24"/>
          <w:lang w:eastAsia="en-US"/>
        </w:rPr>
        <w:t xml:space="preserve"> and </w:t>
      </w:r>
      <w:r>
        <w:rPr>
          <w:rFonts w:ascii="Times New Roman" w:eastAsia="Calibri" w:hAnsi="Times New Roman"/>
          <w:i/>
          <w:iCs/>
          <w:sz w:val="24"/>
          <w:szCs w:val="24"/>
          <w:lang w:eastAsia="en-US"/>
        </w:rPr>
        <w:t xml:space="preserve">Macrobrachium </w:t>
      </w:r>
      <w:proofErr w:type="spellStart"/>
      <w:r>
        <w:rPr>
          <w:rFonts w:ascii="Times New Roman" w:eastAsia="Calibri" w:hAnsi="Times New Roman"/>
          <w:i/>
          <w:iCs/>
          <w:sz w:val="24"/>
          <w:szCs w:val="24"/>
          <w:lang w:eastAsia="en-US"/>
        </w:rPr>
        <w:t>macrobrachion</w:t>
      </w:r>
      <w:proofErr w:type="spellEnd"/>
      <w:r>
        <w:rPr>
          <w:rFonts w:ascii="Times New Roman" w:eastAsia="Calibri" w:hAnsi="Times New Roman"/>
          <w:i/>
          <w:iCs/>
          <w:sz w:val="24"/>
          <w:szCs w:val="24"/>
          <w:lang w:eastAsia="en-US"/>
        </w:rPr>
        <w:t xml:space="preserve"> </w:t>
      </w:r>
      <w:r>
        <w:rPr>
          <w:rFonts w:ascii="Times New Roman" w:eastAsia="Calibri" w:hAnsi="Times New Roman"/>
          <w:sz w:val="24"/>
          <w:szCs w:val="24"/>
          <w:lang w:eastAsia="en-US"/>
        </w:rPr>
        <w:t xml:space="preserve">and the </w:t>
      </w:r>
      <w:r>
        <w:rPr>
          <w:rFonts w:ascii="Times New Roman" w:eastAsia="Calibri" w:hAnsi="Times New Roman"/>
          <w:sz w:val="24"/>
          <w:szCs w:val="24"/>
          <w:highlight w:val="yellow"/>
          <w:lang w:eastAsia="en-US"/>
        </w:rPr>
        <w:t>physicochemical</w:t>
      </w:r>
      <w:r>
        <w:rPr>
          <w:rFonts w:ascii="Times New Roman" w:eastAsia="Calibri" w:hAnsi="Times New Roman"/>
          <w:sz w:val="24"/>
          <w:szCs w:val="24"/>
          <w:lang w:eastAsia="en-US"/>
        </w:rPr>
        <w:t xml:space="preserve"> parameters Lower River Benue at </w:t>
      </w:r>
      <w:proofErr w:type="spellStart"/>
      <w:r>
        <w:rPr>
          <w:rFonts w:ascii="Times New Roman" w:eastAsia="Calibri" w:hAnsi="Times New Roman"/>
          <w:sz w:val="24"/>
          <w:szCs w:val="24"/>
          <w:lang w:eastAsia="en-US"/>
        </w:rPr>
        <w:t>Wadata</w:t>
      </w:r>
      <w:proofErr w:type="spellEnd"/>
      <w:r>
        <w:rPr>
          <w:rFonts w:ascii="Times New Roman" w:eastAsia="Calibri" w:hAnsi="Times New Roman"/>
          <w:sz w:val="24"/>
          <w:szCs w:val="24"/>
          <w:lang w:eastAsia="en-US"/>
        </w:rPr>
        <w:t>, Makurdi, Nigeria</w:t>
      </w:r>
    </w:p>
    <w:p w14:paraId="724D56FD" w14:textId="77777777" w:rsidR="00C8290E" w:rsidRDefault="00C8290E">
      <w:pPr>
        <w:spacing w:line="240" w:lineRule="auto"/>
        <w:jc w:val="both"/>
        <w:rPr>
          <w:rFonts w:ascii="Times New Roman" w:hAnsi="Times New Roman"/>
          <w:sz w:val="24"/>
          <w:szCs w:val="24"/>
        </w:rPr>
      </w:pPr>
    </w:p>
    <w:p w14:paraId="1C0F1502" w14:textId="77777777" w:rsidR="00C8290E" w:rsidRDefault="00C8290E">
      <w:pPr>
        <w:spacing w:line="240" w:lineRule="auto"/>
        <w:jc w:val="both"/>
        <w:rPr>
          <w:rFonts w:ascii="Times New Roman" w:hAnsi="Times New Roman"/>
          <w:sz w:val="24"/>
          <w:szCs w:val="24"/>
        </w:rPr>
      </w:pPr>
    </w:p>
    <w:p w14:paraId="09A5B330" w14:textId="77777777" w:rsidR="00C8290E" w:rsidRDefault="00000000">
      <w:pPr>
        <w:spacing w:line="240" w:lineRule="auto"/>
        <w:jc w:val="both"/>
        <w:rPr>
          <w:rFonts w:ascii="Times New Roman" w:hAnsi="Times New Roman"/>
          <w:b/>
          <w:bCs/>
          <w:sz w:val="24"/>
          <w:szCs w:val="24"/>
        </w:rPr>
      </w:pPr>
      <w:r>
        <w:rPr>
          <w:rFonts w:ascii="Times New Roman" w:eastAsia="Calibri" w:hAnsi="Times New Roman"/>
          <w:b/>
          <w:bCs/>
          <w:sz w:val="24"/>
          <w:szCs w:val="24"/>
          <w:lang w:eastAsia="en-US"/>
        </w:rPr>
        <w:t>Abstract</w:t>
      </w:r>
    </w:p>
    <w:p w14:paraId="34D7FA86" w14:textId="6DAAE4D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This study was done to investigate the food and feeding habits of </w:t>
      </w:r>
      <w:r>
        <w:rPr>
          <w:rFonts w:ascii="Times New Roman" w:hAnsi="Times New Roman"/>
          <w:i/>
          <w:iCs/>
          <w:sz w:val="24"/>
          <w:szCs w:val="24"/>
        </w:rPr>
        <w:t xml:space="preserve">Macrobrachium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and </w:t>
      </w:r>
      <w:proofErr w:type="spellStart"/>
      <w:r>
        <w:rPr>
          <w:rFonts w:ascii="Times New Roman" w:hAnsi="Times New Roman"/>
          <w:i/>
          <w:iCs/>
          <w:sz w:val="24"/>
          <w:szCs w:val="24"/>
        </w:rPr>
        <w:t>Atya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from the Lower River Benue, Makurdi, as well as the influence of physicochemical parameters on their distribution. A total of 123 specimens of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and 195 specimens of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were collected between August 2021 and January 2022 using basket traps and hand-picking techniques. Stomach contents were analyzed by numerical and frequency of occurrence methods, while water quality parameters (temperature, dissolved oxygen, pH, transparency, total dissolved solids, and electrical conductivity) were monitored monthly. The results of the analysis showed that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had 14.5% empty stomachs, while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recorded 15.3%. Detritus formed the dominant food item for both species (30.6% in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and 42.9% in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followed by green algae, insect parts, and plant materials.  Seasonal variation in water quality was significant (p &lt; 0.05) across most parameters. Dissolved oxygen peaked in November (6.70±0.10 mg/L), pH was highest in January (7.22±0.01), temperature was highest in August (37.30±0.10 °C), transparency peaked in December (189.50±0.50 cm), TDS in August (62.00±1.00 mg/L), and electrical conductivity in January (148.00±2.00 µS/cm). The findings of this work indicates that both species are primarily detritivores with tendencies toward </w:t>
      </w:r>
      <w:proofErr w:type="spellStart"/>
      <w:r>
        <w:rPr>
          <w:rFonts w:ascii="Times New Roman" w:hAnsi="Times New Roman"/>
          <w:sz w:val="24"/>
          <w:szCs w:val="24"/>
        </w:rPr>
        <w:t>omnivory</w:t>
      </w:r>
      <w:proofErr w:type="spellEnd"/>
      <w:r>
        <w:rPr>
          <w:rFonts w:ascii="Times New Roman" w:hAnsi="Times New Roman"/>
          <w:sz w:val="24"/>
          <w:szCs w:val="24"/>
        </w:rPr>
        <w:t xml:space="preserve">. The findings also showed that the feeding ecology of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and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is closely tied to detritus availability, with environmental factors such as water quality fluctuations or stability which influence food resources and feeding intensity. The results provide essential data for the management and conservation of freshwater prawn populations in the River Benue ecosystem.</w:t>
      </w:r>
    </w:p>
    <w:p w14:paraId="5CB2C876"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highlight w:val="yellow"/>
        </w:rPr>
        <w:t>Key Words: Food, Feeding, Physicochemical, Parameters and Seasonal</w:t>
      </w:r>
    </w:p>
    <w:p w14:paraId="48993D92" w14:textId="77777777" w:rsidR="00C8290E" w:rsidRDefault="00C8290E">
      <w:pPr>
        <w:spacing w:line="240" w:lineRule="auto"/>
        <w:jc w:val="both"/>
        <w:rPr>
          <w:rFonts w:ascii="Times New Roman" w:hAnsi="Times New Roman"/>
          <w:b/>
          <w:bCs/>
          <w:sz w:val="24"/>
          <w:szCs w:val="24"/>
        </w:rPr>
      </w:pPr>
    </w:p>
    <w:p w14:paraId="39DBE561" w14:textId="77777777" w:rsidR="00C8290E" w:rsidRDefault="00C8290E">
      <w:pPr>
        <w:spacing w:line="240" w:lineRule="auto"/>
        <w:jc w:val="both"/>
        <w:rPr>
          <w:rFonts w:ascii="Times New Roman" w:hAnsi="Times New Roman"/>
          <w:b/>
          <w:bCs/>
          <w:sz w:val="24"/>
          <w:szCs w:val="24"/>
        </w:rPr>
      </w:pPr>
    </w:p>
    <w:p w14:paraId="3915E0E3" w14:textId="77777777" w:rsidR="00C8290E" w:rsidRDefault="00C8290E">
      <w:pPr>
        <w:spacing w:line="240" w:lineRule="auto"/>
        <w:jc w:val="both"/>
        <w:rPr>
          <w:rFonts w:ascii="Times New Roman" w:eastAsia="Calibri" w:hAnsi="Times New Roman"/>
          <w:sz w:val="24"/>
          <w:szCs w:val="24"/>
          <w:lang w:eastAsia="en-US"/>
        </w:rPr>
      </w:pPr>
    </w:p>
    <w:p w14:paraId="17612B0D" w14:textId="77777777" w:rsidR="00C8290E" w:rsidRDefault="00000000">
      <w:pPr>
        <w:spacing w:line="240" w:lineRule="auto"/>
        <w:jc w:val="both"/>
        <w:rPr>
          <w:rFonts w:ascii="Times New Roman" w:hAnsi="Times New Roman"/>
          <w:sz w:val="24"/>
          <w:szCs w:val="24"/>
        </w:rPr>
      </w:pPr>
      <w:r>
        <w:rPr>
          <w:rFonts w:ascii="Times New Roman" w:eastAsia="Calibri" w:hAnsi="Times New Roman"/>
          <w:sz w:val="24"/>
          <w:szCs w:val="24"/>
          <w:lang w:eastAsia="en-US"/>
        </w:rPr>
        <w:t>1.</w:t>
      </w:r>
      <w:r>
        <w:rPr>
          <w:rFonts w:ascii="Times New Roman" w:eastAsia="Calibri" w:hAnsi="Times New Roman"/>
          <w:b/>
          <w:bCs/>
          <w:sz w:val="24"/>
          <w:szCs w:val="24"/>
          <w:lang w:eastAsia="en-US"/>
        </w:rPr>
        <w:t>Introduction</w:t>
      </w:r>
    </w:p>
    <w:p w14:paraId="05BD4940" w14:textId="798D8DA8"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Food is simply referred to as any ingested material that can be digested, assimilated and utilized for energy production </w:t>
      </w:r>
      <w:r>
        <w:rPr>
          <w:rFonts w:ascii="Times New Roman" w:hAnsi="Times New Roman"/>
          <w:b/>
          <w:bCs/>
          <w:sz w:val="24"/>
          <w:szCs w:val="24"/>
          <w:highlight w:val="yellow"/>
        </w:rPr>
        <w:t>[1</w:t>
      </w:r>
      <w:proofErr w:type="gramStart"/>
      <w:r>
        <w:rPr>
          <w:rFonts w:ascii="Times New Roman" w:hAnsi="Times New Roman"/>
          <w:b/>
          <w:bCs/>
          <w:sz w:val="24"/>
          <w:szCs w:val="24"/>
          <w:highlight w:val="yellow"/>
        </w:rPr>
        <w:t xml:space="preserve">] </w:t>
      </w:r>
      <w:r>
        <w:rPr>
          <w:rFonts w:ascii="Times New Roman" w:hAnsi="Times New Roman"/>
          <w:sz w:val="24"/>
          <w:szCs w:val="24"/>
        </w:rPr>
        <w:t>.</w:t>
      </w:r>
      <w:proofErr w:type="gramEnd"/>
      <w:r>
        <w:rPr>
          <w:rFonts w:ascii="Times New Roman" w:hAnsi="Times New Roman"/>
          <w:sz w:val="24"/>
          <w:szCs w:val="24"/>
        </w:rPr>
        <w:t xml:space="preserve"> All living organisms </w:t>
      </w:r>
      <w:proofErr w:type="gramStart"/>
      <w:r>
        <w:rPr>
          <w:rFonts w:ascii="Times New Roman" w:hAnsi="Times New Roman"/>
          <w:sz w:val="24"/>
          <w:szCs w:val="24"/>
        </w:rPr>
        <w:t>have  the</w:t>
      </w:r>
      <w:proofErr w:type="gramEnd"/>
      <w:r>
        <w:rPr>
          <w:rFonts w:ascii="Times New Roman" w:hAnsi="Times New Roman"/>
          <w:sz w:val="24"/>
          <w:szCs w:val="24"/>
        </w:rPr>
        <w:t xml:space="preserve">  range of materials which can be effectively utilized as food as long as it can furnish the organism with the basic nutrients required for growth, repair of tissues and provide source of energy for reproduction. </w:t>
      </w:r>
    </w:p>
    <w:p w14:paraId="49AFC037" w14:textId="5874E621"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The food and feeding habit of organisms deals with the investigation of the dietary composition, their quantity and selectivity of the food materials (2). The knowledge of the natural diet of animal species is generally essential for the studies of their nutritional requirement, interaction with other organisms and their potential for culture. Several studies of food and feeding habits have </w:t>
      </w:r>
      <w:r>
        <w:rPr>
          <w:rFonts w:ascii="Times New Roman" w:hAnsi="Times New Roman"/>
          <w:sz w:val="24"/>
          <w:szCs w:val="24"/>
        </w:rPr>
        <w:lastRenderedPageBreak/>
        <w:t xml:space="preserve">emphasized more on the qualitative rather than quantitative aspects. Majority of quantitative studies on food consumed are time consuming and are therefore the work of specialists (3,1). Hence, the more common information has always been what the fish has </w:t>
      </w:r>
      <w:proofErr w:type="gramStart"/>
      <w:r>
        <w:rPr>
          <w:rFonts w:ascii="Times New Roman" w:hAnsi="Times New Roman"/>
          <w:sz w:val="24"/>
          <w:szCs w:val="24"/>
        </w:rPr>
        <w:t>eaten  in</w:t>
      </w:r>
      <w:proofErr w:type="gramEnd"/>
      <w:r>
        <w:rPr>
          <w:rFonts w:ascii="Times New Roman" w:hAnsi="Times New Roman"/>
          <w:sz w:val="24"/>
          <w:szCs w:val="24"/>
        </w:rPr>
        <w:t xml:space="preserve"> what proportions rather than show how much each species has eaten. </w:t>
      </w:r>
    </w:p>
    <w:p w14:paraId="766DDF02" w14:textId="67729BD1"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The dietary composition of aquatic species is fundamental to understanding their ecological roles and contributions to ecosystem dynamics. Studies on food and feeding habits of organisms are important because essential functions such as growth, development and reproduction </w:t>
      </w:r>
      <w:proofErr w:type="gramStart"/>
      <w:r>
        <w:rPr>
          <w:rFonts w:ascii="Times New Roman" w:hAnsi="Times New Roman"/>
          <w:sz w:val="24"/>
          <w:szCs w:val="24"/>
        </w:rPr>
        <w:t>depends</w:t>
      </w:r>
      <w:proofErr w:type="gramEnd"/>
      <w:r>
        <w:rPr>
          <w:rFonts w:ascii="Times New Roman" w:hAnsi="Times New Roman"/>
          <w:sz w:val="24"/>
          <w:szCs w:val="24"/>
        </w:rPr>
        <w:t xml:space="preserve"> on energy that enters in the form of food (4). One standard method used to study the diet is the stomach contents analysis (2). Stomach content analysis provides vital information on feeding relationships between species (5), habitat use, feeding strategies, influence of environmental factors on resource utilization, efficient utilization of resources within an ecosystem (6) and help in the development of management and conservation strategies that consider multiple species (7). The frequency of occurrence method and the numerical method are two of the most often utilized techniques (, 2,1; 8, 9). </w:t>
      </w:r>
      <w:r>
        <w:rPr>
          <w:rFonts w:ascii="Times New Roman" w:hAnsi="Times New Roman"/>
          <w:sz w:val="24"/>
          <w:szCs w:val="24"/>
        </w:rPr>
        <w:cr/>
      </w:r>
    </w:p>
    <w:p w14:paraId="7011588B" w14:textId="5200C70E" w:rsidR="00C8290E" w:rsidRDefault="00000000">
      <w:pPr>
        <w:spacing w:line="240" w:lineRule="auto"/>
        <w:jc w:val="both"/>
        <w:rPr>
          <w:rFonts w:ascii="Times New Roman" w:hAnsi="Times New Roman"/>
          <w:sz w:val="24"/>
          <w:szCs w:val="24"/>
        </w:rPr>
      </w:pPr>
      <w:r>
        <w:rPr>
          <w:rFonts w:ascii="Times New Roman" w:hAnsi="Times New Roman"/>
          <w:sz w:val="24"/>
          <w:szCs w:val="24"/>
        </w:rPr>
        <w:t>Prawns inhabit diverse aquatic environments including lakes, ponds, rivers irrigation ditches as well as in the estuaries (10,11</w:t>
      </w:r>
      <w:proofErr w:type="gramStart"/>
      <w:r>
        <w:rPr>
          <w:rFonts w:ascii="Times New Roman" w:hAnsi="Times New Roman"/>
          <w:sz w:val="24"/>
          <w:szCs w:val="24"/>
        </w:rPr>
        <w:t>)..</w:t>
      </w:r>
      <w:proofErr w:type="gramEnd"/>
      <w:r>
        <w:rPr>
          <w:rFonts w:ascii="Times New Roman" w:hAnsi="Times New Roman"/>
          <w:sz w:val="24"/>
          <w:szCs w:val="24"/>
        </w:rPr>
        <w:t xml:space="preserve"> Understanding the dietary habits of a species is fundamental for comprehending its ecological role. In the case of commercially valuable species like </w:t>
      </w:r>
      <w:proofErr w:type="gramStart"/>
      <w:r>
        <w:rPr>
          <w:rFonts w:ascii="Times New Roman" w:hAnsi="Times New Roman"/>
          <w:i/>
          <w:iCs/>
          <w:sz w:val="24"/>
          <w:szCs w:val="24"/>
        </w:rPr>
        <w:t xml:space="preserve">Macrobrachium  </w:t>
      </w:r>
      <w:r>
        <w:rPr>
          <w:rFonts w:ascii="Times New Roman" w:hAnsi="Times New Roman"/>
          <w:sz w:val="24"/>
          <w:szCs w:val="24"/>
        </w:rPr>
        <w:t>and</w:t>
      </w:r>
      <w:proofErr w:type="gramEnd"/>
      <w:r>
        <w:rPr>
          <w:rFonts w:ascii="Times New Roman" w:hAnsi="Times New Roman"/>
          <w:sz w:val="24"/>
          <w:szCs w:val="24"/>
        </w:rPr>
        <w:t xml:space="preserve"> </w:t>
      </w:r>
      <w:proofErr w:type="spellStart"/>
      <w:r>
        <w:rPr>
          <w:rFonts w:ascii="Times New Roman" w:hAnsi="Times New Roman"/>
          <w:i/>
          <w:iCs/>
          <w:sz w:val="24"/>
          <w:szCs w:val="24"/>
        </w:rPr>
        <w:t>Atya</w:t>
      </w:r>
      <w:r>
        <w:rPr>
          <w:rFonts w:ascii="Times New Roman" w:hAnsi="Times New Roman"/>
          <w:sz w:val="24"/>
          <w:szCs w:val="24"/>
        </w:rPr>
        <w:t>prawns</w:t>
      </w:r>
      <w:proofErr w:type="spellEnd"/>
      <w:r>
        <w:rPr>
          <w:rFonts w:ascii="Times New Roman" w:hAnsi="Times New Roman"/>
          <w:sz w:val="24"/>
          <w:szCs w:val="24"/>
        </w:rPr>
        <w:t>, this knowledge is also paramount for the success of its aquaculture</w:t>
      </w:r>
      <w:proofErr w:type="gramStart"/>
      <w:r>
        <w:rPr>
          <w:rFonts w:ascii="Times New Roman" w:hAnsi="Times New Roman"/>
          <w:sz w:val="24"/>
          <w:szCs w:val="24"/>
        </w:rPr>
        <w:t>. .</w:t>
      </w:r>
      <w:proofErr w:type="gramEnd"/>
      <w:r>
        <w:rPr>
          <w:rFonts w:ascii="Times New Roman" w:hAnsi="Times New Roman"/>
          <w:sz w:val="24"/>
          <w:szCs w:val="24"/>
        </w:rPr>
        <w:t xml:space="preserve"> Studies on stomach content can reveal important details about the diets and trophic position of a species as well as quantify its food sources and identify its preferred food. The knowledge of the diet in nature is crucial for the establishment of its nutritional needs and financial success of shrimp farming (12). Understanding the physicochemical properties of water is essential for assessing its quality and identifying potential risks to human health and ecosystem integrity (13). </w:t>
      </w:r>
    </w:p>
    <w:p w14:paraId="647EC069" w14:textId="1274E40E" w:rsidR="00C8290E" w:rsidRDefault="00000000">
      <w:pPr>
        <w:spacing w:line="240" w:lineRule="auto"/>
        <w:jc w:val="both"/>
        <w:rPr>
          <w:rFonts w:ascii="Times New Roman" w:hAnsi="Times New Roman"/>
          <w:sz w:val="24"/>
          <w:szCs w:val="24"/>
        </w:rPr>
      </w:pPr>
      <w:r>
        <w:rPr>
          <w:rFonts w:ascii="Times New Roman" w:hAnsi="Times New Roman"/>
          <w:sz w:val="24"/>
          <w:szCs w:val="24"/>
        </w:rPr>
        <w:t>Physicochemical parameters such as pH, temperature, dissolved oxygen, turbidity, conductivity, and nutrient concentrations provide valuable insights into the overall health and ecological status of aquatic environments (14). Changes in these parameters can indicate natural processes such as seasonal variations or anthropogenic influences such as pollution events (15). Several studies have highlighted the importance of monitoring and assessing water quality in rivers to mitigate pollution and safeguard environmental and public health (16, 15 and 14)</w:t>
      </w:r>
      <w:proofErr w:type="gramStart"/>
      <w:r>
        <w:rPr>
          <w:rFonts w:ascii="Times New Roman" w:hAnsi="Times New Roman"/>
          <w:sz w:val="24"/>
          <w:szCs w:val="24"/>
        </w:rPr>
        <w:t>. .</w:t>
      </w:r>
      <w:proofErr w:type="gramEnd"/>
      <w:r>
        <w:rPr>
          <w:rFonts w:ascii="Times New Roman" w:hAnsi="Times New Roman"/>
          <w:sz w:val="24"/>
          <w:szCs w:val="24"/>
        </w:rPr>
        <w:t xml:space="preserve"> Lower River Benue serves as a suitable habitat for many aquatic organisms including Prawn species. Despite high economic value and importance of these species their food and feeding habit are not highly </w:t>
      </w:r>
      <w:proofErr w:type="spellStart"/>
      <w:r>
        <w:rPr>
          <w:rFonts w:ascii="Times New Roman" w:hAnsi="Times New Roman"/>
          <w:sz w:val="24"/>
          <w:szCs w:val="24"/>
        </w:rPr>
        <w:t>iinvestigated</w:t>
      </w:r>
      <w:proofErr w:type="spellEnd"/>
      <w:r>
        <w:rPr>
          <w:rFonts w:ascii="Times New Roman" w:hAnsi="Times New Roman"/>
          <w:sz w:val="24"/>
          <w:szCs w:val="24"/>
        </w:rPr>
        <w:t xml:space="preserve"> hence this study aims to investigate the food and feeding habit of </w:t>
      </w:r>
      <w:proofErr w:type="spellStart"/>
      <w:r>
        <w:rPr>
          <w:rFonts w:ascii="Times New Roman" w:hAnsi="Times New Roman"/>
          <w:i/>
          <w:iCs/>
          <w:sz w:val="24"/>
          <w:szCs w:val="24"/>
        </w:rPr>
        <w:t>Atya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gabonesis</w:t>
      </w:r>
      <w:proofErr w:type="spellEnd"/>
      <w:r>
        <w:rPr>
          <w:rFonts w:ascii="Times New Roman" w:hAnsi="Times New Roman"/>
          <w:sz w:val="24"/>
          <w:szCs w:val="24"/>
        </w:rPr>
        <w:t xml:space="preserve"> and </w:t>
      </w:r>
      <w:r>
        <w:rPr>
          <w:rFonts w:ascii="Times New Roman" w:hAnsi="Times New Roman"/>
          <w:i/>
          <w:iCs/>
          <w:sz w:val="24"/>
          <w:szCs w:val="24"/>
        </w:rPr>
        <w:t xml:space="preserve">Macrobrachium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species from Lower River Benue. </w:t>
      </w:r>
    </w:p>
    <w:p w14:paraId="6DA855FB"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 xml:space="preserve">2.0 Materials and Methods </w:t>
      </w:r>
    </w:p>
    <w:p w14:paraId="6DF77637"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2.1 Study Area</w:t>
      </w:r>
    </w:p>
    <w:p w14:paraId="497F1BE2"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The study was conducted at the lower River Benue axis at </w:t>
      </w:r>
      <w:proofErr w:type="spellStart"/>
      <w:r>
        <w:rPr>
          <w:rFonts w:ascii="Times New Roman" w:hAnsi="Times New Roman"/>
          <w:sz w:val="24"/>
          <w:szCs w:val="24"/>
        </w:rPr>
        <w:t>Wadata</w:t>
      </w:r>
      <w:proofErr w:type="spellEnd"/>
      <w:r>
        <w:rPr>
          <w:rFonts w:ascii="Times New Roman" w:hAnsi="Times New Roman"/>
          <w:sz w:val="24"/>
          <w:szCs w:val="24"/>
        </w:rPr>
        <w:t xml:space="preserve"> Market in Makurdi.  </w:t>
      </w:r>
    </w:p>
    <w:p w14:paraId="1B6A9916"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2.2 Sample collection</w:t>
      </w:r>
    </w:p>
    <w:p w14:paraId="637FA999" w14:textId="35C4230C"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A total of one hundred and twenty-three (123) specimen of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and one hundred and ninety-five (195) </w:t>
      </w:r>
      <w:proofErr w:type="gramStart"/>
      <w:r>
        <w:rPr>
          <w:rFonts w:ascii="Times New Roman" w:hAnsi="Times New Roman"/>
          <w:sz w:val="24"/>
          <w:szCs w:val="24"/>
        </w:rPr>
        <w:t>specimen</w:t>
      </w:r>
      <w:proofErr w:type="gramEnd"/>
      <w:r>
        <w:rPr>
          <w:rFonts w:ascii="Times New Roman" w:hAnsi="Times New Roman"/>
          <w:sz w:val="24"/>
          <w:szCs w:val="24"/>
        </w:rPr>
        <w:t xml:space="preserve"> of </w:t>
      </w:r>
      <w:r>
        <w:rPr>
          <w:rFonts w:ascii="Times New Roman" w:hAnsi="Times New Roman"/>
          <w:i/>
          <w:iCs/>
          <w:sz w:val="24"/>
          <w:szCs w:val="24"/>
        </w:rPr>
        <w:t xml:space="preserve">A. </w:t>
      </w:r>
      <w:proofErr w:type="spellStart"/>
      <w:r>
        <w:rPr>
          <w:rFonts w:ascii="Times New Roman" w:hAnsi="Times New Roman"/>
          <w:i/>
          <w:iCs/>
          <w:sz w:val="24"/>
          <w:szCs w:val="24"/>
        </w:rPr>
        <w:t>gabonensis</w:t>
      </w:r>
      <w:proofErr w:type="spellEnd"/>
      <w:r>
        <w:rPr>
          <w:rFonts w:ascii="Times New Roman" w:hAnsi="Times New Roman"/>
          <w:i/>
          <w:iCs/>
          <w:sz w:val="24"/>
          <w:szCs w:val="24"/>
        </w:rPr>
        <w:t xml:space="preserve"> </w:t>
      </w:r>
      <w:r>
        <w:rPr>
          <w:rFonts w:ascii="Times New Roman" w:hAnsi="Times New Roman"/>
          <w:sz w:val="24"/>
          <w:szCs w:val="24"/>
        </w:rPr>
        <w:t xml:space="preserve">were hand-picked under rocks and crevices under the water by the help of fishermen who dived in, while </w:t>
      </w:r>
      <w:r>
        <w:rPr>
          <w:rFonts w:ascii="Times New Roman" w:hAnsi="Times New Roman"/>
          <w:i/>
          <w:iCs/>
          <w:sz w:val="24"/>
          <w:szCs w:val="24"/>
        </w:rPr>
        <w:t xml:space="preserve">M. </w:t>
      </w:r>
      <w:proofErr w:type="spellStart"/>
      <w:r>
        <w:rPr>
          <w:rFonts w:ascii="Times New Roman" w:hAnsi="Times New Roman"/>
          <w:i/>
          <w:iCs/>
          <w:sz w:val="24"/>
          <w:szCs w:val="24"/>
        </w:rPr>
        <w:t>macrobrachion</w:t>
      </w:r>
      <w:proofErr w:type="spellEnd"/>
      <w:r>
        <w:rPr>
          <w:rFonts w:ascii="Times New Roman" w:hAnsi="Times New Roman"/>
          <w:i/>
          <w:iCs/>
          <w:sz w:val="24"/>
          <w:szCs w:val="24"/>
        </w:rPr>
        <w:t xml:space="preserve"> </w:t>
      </w:r>
      <w:r>
        <w:rPr>
          <w:rFonts w:ascii="Times New Roman" w:hAnsi="Times New Roman"/>
          <w:sz w:val="24"/>
          <w:szCs w:val="24"/>
        </w:rPr>
        <w:t xml:space="preserve">were trapped using </w:t>
      </w:r>
      <w:r>
        <w:rPr>
          <w:rFonts w:ascii="Times New Roman" w:hAnsi="Times New Roman"/>
          <w:sz w:val="24"/>
          <w:szCs w:val="24"/>
        </w:rPr>
        <w:lastRenderedPageBreak/>
        <w:t xml:space="preserve">unabated local non-return basket trap made of bamboo and a non-return set trap. The collected samples were transported live to the fisheries laboratory, University of Agriculture, Makurdi in ice box containing shrimps were identified to the species level, using keys provided </w:t>
      </w:r>
      <w:proofErr w:type="gramStart"/>
      <w:r>
        <w:rPr>
          <w:rFonts w:ascii="Times New Roman" w:hAnsi="Times New Roman"/>
          <w:sz w:val="24"/>
          <w:szCs w:val="24"/>
        </w:rPr>
        <w:t>by .</w:t>
      </w:r>
      <w:proofErr w:type="gramEnd"/>
      <w:r>
        <w:rPr>
          <w:rFonts w:ascii="Times New Roman" w:hAnsi="Times New Roman"/>
          <w:sz w:val="24"/>
          <w:szCs w:val="24"/>
        </w:rPr>
        <w:t xml:space="preserve">(17).  </w:t>
      </w:r>
    </w:p>
    <w:p w14:paraId="339A2CCC" w14:textId="77777777" w:rsidR="00C8290E" w:rsidRDefault="00000000">
      <w:pPr>
        <w:spacing w:line="240" w:lineRule="auto"/>
        <w:jc w:val="both"/>
        <w:rPr>
          <w:rFonts w:ascii="Times New Roman" w:hAnsi="Times New Roman"/>
          <w:sz w:val="24"/>
          <w:szCs w:val="24"/>
        </w:rPr>
      </w:pPr>
      <w:r>
        <w:rPr>
          <w:rFonts w:ascii="Times New Roman" w:hAnsi="Times New Roman"/>
          <w:b/>
          <w:bCs/>
          <w:sz w:val="24"/>
          <w:szCs w:val="24"/>
        </w:rPr>
        <w:t>2.3 Laboratory procedures</w:t>
      </w:r>
      <w:r>
        <w:rPr>
          <w:rFonts w:ascii="Times New Roman" w:hAnsi="Times New Roman"/>
          <w:b/>
          <w:bCs/>
          <w:sz w:val="24"/>
          <w:szCs w:val="24"/>
        </w:rPr>
        <w:cr/>
      </w:r>
    </w:p>
    <w:p w14:paraId="3CB55C43" w14:textId="780BE32D" w:rsidR="00C8290E" w:rsidRDefault="00000000">
      <w:pPr>
        <w:spacing w:line="240" w:lineRule="auto"/>
        <w:jc w:val="both"/>
        <w:rPr>
          <w:rFonts w:ascii="Times New Roman" w:hAnsi="Times New Roman"/>
          <w:sz w:val="24"/>
          <w:szCs w:val="24"/>
        </w:rPr>
      </w:pPr>
      <w:r>
        <w:rPr>
          <w:rFonts w:ascii="Times New Roman" w:hAnsi="Times New Roman"/>
          <w:sz w:val="24"/>
          <w:szCs w:val="24"/>
        </w:rPr>
        <w:t>The stomachs of the collected prawns were examined and scored with regards to whether they are empty (0/4), ¼ full, ½ full, ¾ full and/or full (4/4). Each stomach contents were dissected out with the contents washed into a Petri dish. These contents were examined under a binocular microscope. The analysis of the stomach contents was carried out by both the numerical and frequency of occurrence methods as described by (18 and 2). The food items were identified with the aid of the keys using several texts (19, 20).</w:t>
      </w:r>
    </w:p>
    <w:p w14:paraId="14A13B21"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2.3.1 Water quality parameters</w:t>
      </w:r>
    </w:p>
    <w:p w14:paraId="08660ABA"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A six (6) month sampling was done between August, 2021 and January, 2022. Water samples were collected from </w:t>
      </w:r>
      <w:proofErr w:type="spellStart"/>
      <w:r>
        <w:rPr>
          <w:rFonts w:ascii="Times New Roman" w:hAnsi="Times New Roman"/>
          <w:sz w:val="24"/>
          <w:szCs w:val="24"/>
        </w:rPr>
        <w:t>Wadata</w:t>
      </w:r>
      <w:proofErr w:type="spellEnd"/>
      <w:r>
        <w:rPr>
          <w:rFonts w:ascii="Times New Roman" w:hAnsi="Times New Roman"/>
          <w:sz w:val="24"/>
          <w:szCs w:val="24"/>
        </w:rPr>
        <w:t xml:space="preserve"> landing site. Water samples were collected between the hours of 08:00am and 9:00am from the sampling site in 1-litre plastic containers. Prior to sample collection, the containers were washed with detergent and rinsed thoroughly to avoid any possible contaminant.</w:t>
      </w:r>
    </w:p>
    <w:p w14:paraId="4DB63BB7"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2.3.2 Temperature</w:t>
      </w:r>
    </w:p>
    <w:p w14:paraId="631DB385"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Temperature was determined </w:t>
      </w:r>
      <w:proofErr w:type="spellStart"/>
      <w:r>
        <w:rPr>
          <w:rFonts w:ascii="Times New Roman" w:hAnsi="Times New Roman"/>
          <w:sz w:val="24"/>
          <w:szCs w:val="24"/>
        </w:rPr>
        <w:t>insitu</w:t>
      </w:r>
      <w:proofErr w:type="spellEnd"/>
      <w:r>
        <w:rPr>
          <w:rFonts w:ascii="Times New Roman" w:hAnsi="Times New Roman"/>
          <w:sz w:val="24"/>
          <w:szCs w:val="24"/>
        </w:rPr>
        <w:t xml:space="preserve"> using Mercury-in-Glass Thermometer (0-100 C).</w:t>
      </w:r>
    </w:p>
    <w:p w14:paraId="057CDF92"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2.3.3 Dissolved Oxygen</w:t>
      </w:r>
    </w:p>
    <w:p w14:paraId="229986E2"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Well-knit oxygen meter (Model- DO 510) was used to determine the dissolved oxygen at the sampling site. This was done by immersing the probes of the DO meter into the water body and allowed to stabilize for few minutes and readings taken directly from the screen.</w:t>
      </w:r>
    </w:p>
    <w:p w14:paraId="76D85155"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2.3.4 pH (Hydrogen ion Concentration)</w:t>
      </w:r>
    </w:p>
    <w:p w14:paraId="63B523C9"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The pH of the water was determined using pH meter (Model – 0009) (III) </w:t>
      </w:r>
      <w:proofErr w:type="spellStart"/>
      <w:r>
        <w:rPr>
          <w:rFonts w:ascii="Times New Roman" w:hAnsi="Times New Roman"/>
          <w:sz w:val="24"/>
          <w:szCs w:val="24"/>
        </w:rPr>
        <w:t>Pentype</w:t>
      </w:r>
      <w:proofErr w:type="spellEnd"/>
      <w:r>
        <w:rPr>
          <w:rFonts w:ascii="Times New Roman" w:hAnsi="Times New Roman"/>
          <w:sz w:val="24"/>
          <w:szCs w:val="24"/>
        </w:rPr>
        <w:t>- automatic temperature compensation (0°C- 50°C) at the sampling station. The pH meter was inserted in the water and readings were taken.</w:t>
      </w:r>
    </w:p>
    <w:p w14:paraId="372AC43D" w14:textId="7B173BD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 xml:space="preserve">2.3.5 Transparency </w:t>
      </w:r>
    </w:p>
    <w:p w14:paraId="7EB7396A" w14:textId="638E0806"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Transparency was determined using Secchi disc, according to </w:t>
      </w:r>
      <w:proofErr w:type="gramStart"/>
      <w:r>
        <w:rPr>
          <w:rFonts w:ascii="Times New Roman" w:hAnsi="Times New Roman"/>
          <w:sz w:val="24"/>
          <w:szCs w:val="24"/>
        </w:rPr>
        <w:t>( 21</w:t>
      </w:r>
      <w:proofErr w:type="gramEnd"/>
      <w:r>
        <w:rPr>
          <w:rFonts w:ascii="Times New Roman" w:hAnsi="Times New Roman"/>
          <w:sz w:val="24"/>
          <w:szCs w:val="24"/>
        </w:rPr>
        <w:t xml:space="preserve"> </w:t>
      </w:r>
      <w:proofErr w:type="gramStart"/>
      <w:r>
        <w:rPr>
          <w:rFonts w:ascii="Times New Roman" w:hAnsi="Times New Roman"/>
          <w:sz w:val="24"/>
          <w:szCs w:val="24"/>
        </w:rPr>
        <w:t>)  a</w:t>
      </w:r>
      <w:proofErr w:type="gramEnd"/>
      <w:r>
        <w:rPr>
          <w:rFonts w:ascii="Times New Roman" w:hAnsi="Times New Roman"/>
          <w:sz w:val="24"/>
          <w:szCs w:val="24"/>
        </w:rPr>
        <w:t xml:space="preserve"> metallic disc of 20cm in diameter with four quadrants of alternate black and white on the upper surface. The disc with centrally placed weight at the lower surface was suspended with a graduated cord at the center. Transparency was measured by gradually lowering the Secchi disc at the sampling points. The depth at which it disappears in the water (X1) and reappears (X2) was noted. The transparency of the water body was computed as follows: </w:t>
      </w:r>
    </w:p>
    <w:p w14:paraId="56228EDE"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Transparency (Secchi Disc Transparency) = (X1 + X2)/2 </w:t>
      </w:r>
    </w:p>
    <w:p w14:paraId="06CFC221"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Where, X1 = Depth at which Secchi disc disappears </w:t>
      </w:r>
    </w:p>
    <w:p w14:paraId="6B57198B"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X2 = Depth at which Secchi disc reappears.</w:t>
      </w:r>
    </w:p>
    <w:p w14:paraId="077BD41F"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lastRenderedPageBreak/>
        <w:t>2.3.6 Total Dissolve solids (TDS)</w:t>
      </w:r>
    </w:p>
    <w:p w14:paraId="34856F05" w14:textId="5748937C"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Total dissolved solids (TDS) were measured using a PHT-027 </w:t>
      </w:r>
      <w:proofErr w:type="gramStart"/>
      <w:r>
        <w:rPr>
          <w:rFonts w:ascii="Times New Roman" w:hAnsi="Times New Roman"/>
          <w:sz w:val="24"/>
          <w:szCs w:val="24"/>
        </w:rPr>
        <w:t>Multi-parameter</w:t>
      </w:r>
      <w:proofErr w:type="gramEnd"/>
      <w:r>
        <w:rPr>
          <w:rFonts w:ascii="Times New Roman" w:hAnsi="Times New Roman"/>
          <w:sz w:val="24"/>
          <w:szCs w:val="24"/>
        </w:rPr>
        <w:t xml:space="preserve"> water quality monitor</w:t>
      </w:r>
      <w:proofErr w:type="gramStart"/>
      <w:r>
        <w:rPr>
          <w:rFonts w:ascii="Times New Roman" w:hAnsi="Times New Roman"/>
          <w:sz w:val="24"/>
          <w:szCs w:val="24"/>
        </w:rPr>
        <w:t>. .</w:t>
      </w:r>
      <w:proofErr w:type="gramEnd"/>
      <w:r>
        <w:rPr>
          <w:rFonts w:ascii="Times New Roman" w:hAnsi="Times New Roman"/>
          <w:sz w:val="24"/>
          <w:szCs w:val="24"/>
        </w:rPr>
        <w:t xml:space="preserve"> The meter was set to read the parameter of interest at a time. The probes were immersed into the water sample and allowed to stabilize for about five minutes and readings were taken directly from the screen of the meter and recorded.</w:t>
      </w:r>
    </w:p>
    <w:p w14:paraId="7E00F0C6" w14:textId="77777777" w:rsidR="00C8290E" w:rsidRDefault="00C8290E">
      <w:pPr>
        <w:spacing w:line="240" w:lineRule="auto"/>
        <w:jc w:val="both"/>
        <w:rPr>
          <w:rFonts w:ascii="Times New Roman" w:hAnsi="Times New Roman"/>
          <w:sz w:val="24"/>
          <w:szCs w:val="24"/>
        </w:rPr>
      </w:pPr>
    </w:p>
    <w:p w14:paraId="0521D398"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2.3.7 Electrical conductivity</w:t>
      </w:r>
      <w:r>
        <w:rPr>
          <w:rFonts w:ascii="Times New Roman" w:hAnsi="Times New Roman"/>
          <w:b/>
          <w:bCs/>
          <w:sz w:val="24"/>
          <w:szCs w:val="24"/>
        </w:rPr>
        <w:tab/>
      </w:r>
    </w:p>
    <w:p w14:paraId="7DBF24D7"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Electrical conductivity was determined at the sampling site using Pye </w:t>
      </w:r>
      <w:proofErr w:type="spellStart"/>
      <w:r>
        <w:rPr>
          <w:rFonts w:ascii="Times New Roman" w:hAnsi="Times New Roman"/>
          <w:sz w:val="24"/>
          <w:szCs w:val="24"/>
        </w:rPr>
        <w:t>Unicam</w:t>
      </w:r>
      <w:proofErr w:type="spellEnd"/>
      <w:r>
        <w:rPr>
          <w:rFonts w:ascii="Times New Roman" w:hAnsi="Times New Roman"/>
          <w:sz w:val="24"/>
          <w:szCs w:val="24"/>
        </w:rPr>
        <w:t xml:space="preserve"> (Model 292) conductivity meter (standardized with buffer solution at pH 4.0, 7.0 and 9.0).</w:t>
      </w:r>
    </w:p>
    <w:p w14:paraId="28F535E8"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 xml:space="preserve">3.0 Data Analysis </w:t>
      </w:r>
    </w:p>
    <w:p w14:paraId="6221CB0A"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Microsoft Excel (2007) was used for Data analysis.</w:t>
      </w:r>
    </w:p>
    <w:p w14:paraId="45771C98" w14:textId="77777777" w:rsidR="00C8290E" w:rsidRDefault="00000000">
      <w:pPr>
        <w:spacing w:line="240" w:lineRule="auto"/>
        <w:jc w:val="both"/>
        <w:rPr>
          <w:rFonts w:ascii="Times New Roman" w:hAnsi="Times New Roman"/>
          <w:b/>
          <w:bCs/>
          <w:sz w:val="24"/>
          <w:szCs w:val="24"/>
        </w:rPr>
      </w:pPr>
      <w:r>
        <w:rPr>
          <w:rFonts w:ascii="Times New Roman" w:hAnsi="Times New Roman"/>
          <w:b/>
          <w:bCs/>
          <w:sz w:val="24"/>
          <w:szCs w:val="24"/>
        </w:rPr>
        <w:t>4.0   Results</w:t>
      </w:r>
    </w:p>
    <w:p w14:paraId="0590C485"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Table 1 presents the occurrence of food items in the gut of prawns from Lower River Benue. The result showed that out of 318 counts of M .</w:t>
      </w:r>
      <w:proofErr w:type="spellStart"/>
      <w:r>
        <w:rPr>
          <w:rFonts w:ascii="Times New Roman" w:hAnsi="Times New Roman"/>
          <w:sz w:val="24"/>
          <w:szCs w:val="24"/>
        </w:rPr>
        <w:t>macrobrachion</w:t>
      </w:r>
      <w:proofErr w:type="spellEnd"/>
      <w:r>
        <w:rPr>
          <w:rFonts w:ascii="Times New Roman" w:hAnsi="Times New Roman"/>
          <w:sz w:val="24"/>
          <w:szCs w:val="24"/>
        </w:rPr>
        <w:t xml:space="preserve"> and A. </w:t>
      </w:r>
      <w:proofErr w:type="spellStart"/>
      <w:r>
        <w:rPr>
          <w:rFonts w:ascii="Times New Roman" w:hAnsi="Times New Roman"/>
          <w:sz w:val="24"/>
          <w:szCs w:val="24"/>
        </w:rPr>
        <w:t>gabonensis</w:t>
      </w:r>
      <w:proofErr w:type="spellEnd"/>
      <w:r>
        <w:rPr>
          <w:rFonts w:ascii="Times New Roman" w:hAnsi="Times New Roman"/>
          <w:sz w:val="24"/>
          <w:szCs w:val="24"/>
        </w:rPr>
        <w:t xml:space="preserve"> 18 empty stomach were found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a percentage of 14.50%,30 empty stomach were found in A. </w:t>
      </w:r>
      <w:proofErr w:type="spellStart"/>
      <w:r>
        <w:rPr>
          <w:rFonts w:ascii="Times New Roman" w:hAnsi="Times New Roman"/>
          <w:sz w:val="24"/>
          <w:szCs w:val="24"/>
        </w:rPr>
        <w:t>gabonensis</w:t>
      </w:r>
      <w:proofErr w:type="spellEnd"/>
      <w:r>
        <w:rPr>
          <w:rFonts w:ascii="Times New Roman" w:hAnsi="Times New Roman"/>
          <w:sz w:val="24"/>
          <w:szCs w:val="24"/>
        </w:rPr>
        <w:t xml:space="preserve"> with 15.30%,38 stomach recorded detritus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30.60% and 84 stomach recorded detritus for A. </w:t>
      </w:r>
      <w:proofErr w:type="spellStart"/>
      <w:r>
        <w:rPr>
          <w:rFonts w:ascii="Times New Roman" w:hAnsi="Times New Roman"/>
          <w:sz w:val="24"/>
          <w:szCs w:val="24"/>
        </w:rPr>
        <w:t>gabonensis</w:t>
      </w:r>
      <w:proofErr w:type="spellEnd"/>
      <w:r>
        <w:rPr>
          <w:rFonts w:ascii="Times New Roman" w:hAnsi="Times New Roman"/>
          <w:sz w:val="24"/>
          <w:szCs w:val="24"/>
        </w:rPr>
        <w:t xml:space="preserve">  with 42.90% 36 stomach recorded green algae for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29.00% and 37 in A. </w:t>
      </w:r>
      <w:proofErr w:type="spellStart"/>
      <w:r>
        <w:rPr>
          <w:rFonts w:ascii="Times New Roman" w:hAnsi="Times New Roman"/>
          <w:sz w:val="24"/>
          <w:szCs w:val="24"/>
        </w:rPr>
        <w:t>gabonensis</w:t>
      </w:r>
      <w:proofErr w:type="spellEnd"/>
      <w:r>
        <w:rPr>
          <w:rFonts w:ascii="Times New Roman" w:hAnsi="Times New Roman"/>
          <w:sz w:val="24"/>
          <w:szCs w:val="24"/>
        </w:rPr>
        <w:t xml:space="preserve"> with 18.90%,14 stomach recorded insect parts for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11.30%,29 for </w:t>
      </w:r>
      <w:r>
        <w:rPr>
          <w:rFonts w:ascii="Times New Roman" w:hAnsi="Times New Roman"/>
          <w:i/>
          <w:sz w:val="24"/>
          <w:szCs w:val="24"/>
          <w:highlight w:val="yellow"/>
        </w:rPr>
        <w:t xml:space="preserve">A. </w:t>
      </w:r>
      <w:proofErr w:type="spellStart"/>
      <w:r>
        <w:rPr>
          <w:rFonts w:ascii="Times New Roman" w:hAnsi="Times New Roman"/>
          <w:i/>
          <w:sz w:val="24"/>
          <w:szCs w:val="24"/>
          <w:highlight w:val="yellow"/>
        </w:rPr>
        <w:t>gabonensis</w:t>
      </w:r>
      <w:proofErr w:type="spellEnd"/>
      <w:r>
        <w:rPr>
          <w:rFonts w:ascii="Times New Roman" w:hAnsi="Times New Roman"/>
          <w:sz w:val="24"/>
          <w:szCs w:val="24"/>
        </w:rPr>
        <w:t xml:space="preserve"> with 14.80%, 17 stomach had plant materials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13.70%,15 in M .</w:t>
      </w:r>
      <w:proofErr w:type="spellStart"/>
      <w:r>
        <w:rPr>
          <w:rFonts w:ascii="Times New Roman" w:hAnsi="Times New Roman"/>
          <w:sz w:val="24"/>
          <w:szCs w:val="24"/>
        </w:rPr>
        <w:t>macrobrachion</w:t>
      </w:r>
      <w:proofErr w:type="spellEnd"/>
      <w:r>
        <w:rPr>
          <w:rFonts w:ascii="Times New Roman" w:hAnsi="Times New Roman"/>
          <w:sz w:val="24"/>
          <w:szCs w:val="24"/>
        </w:rPr>
        <w:t xml:space="preserve"> with 7.7%  .The total count for M .</w:t>
      </w:r>
      <w:proofErr w:type="spellStart"/>
      <w:r>
        <w:rPr>
          <w:rFonts w:ascii="Times New Roman" w:hAnsi="Times New Roman"/>
          <w:sz w:val="24"/>
          <w:szCs w:val="24"/>
        </w:rPr>
        <w:t>macrobrachion</w:t>
      </w:r>
      <w:proofErr w:type="spellEnd"/>
      <w:r>
        <w:rPr>
          <w:rFonts w:ascii="Times New Roman" w:hAnsi="Times New Roman"/>
          <w:sz w:val="24"/>
          <w:szCs w:val="24"/>
        </w:rPr>
        <w:t xml:space="preserve"> was 123 and A. </w:t>
      </w:r>
      <w:proofErr w:type="spellStart"/>
      <w:r>
        <w:rPr>
          <w:rFonts w:ascii="Times New Roman" w:hAnsi="Times New Roman"/>
          <w:sz w:val="24"/>
          <w:szCs w:val="24"/>
        </w:rPr>
        <w:t>gabonensis</w:t>
      </w:r>
      <w:proofErr w:type="spellEnd"/>
      <w:r>
        <w:rPr>
          <w:rFonts w:ascii="Times New Roman" w:hAnsi="Times New Roman"/>
          <w:sz w:val="24"/>
          <w:szCs w:val="24"/>
        </w:rPr>
        <w:t xml:space="preserve"> had 195 making a total of 318 within food items.</w:t>
      </w:r>
    </w:p>
    <w:p w14:paraId="1DCFD8DE" w14:textId="77777777" w:rsidR="00C8290E" w:rsidRDefault="00C8290E">
      <w:pPr>
        <w:spacing w:after="160" w:line="240" w:lineRule="auto"/>
        <w:jc w:val="both"/>
        <w:rPr>
          <w:rFonts w:ascii="Times New Roman" w:hAnsi="Times New Roman"/>
          <w:sz w:val="20"/>
          <w:szCs w:val="20"/>
        </w:rPr>
      </w:pPr>
    </w:p>
    <w:p w14:paraId="49BF791E" w14:textId="77777777" w:rsidR="00C8290E" w:rsidRDefault="00000000">
      <w:pPr>
        <w:spacing w:after="16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eastAsia="Calibri" w:hAnsi="Times New Roman"/>
          <w:b/>
          <w:bCs/>
          <w:i/>
          <w:iCs/>
          <w:sz w:val="20"/>
          <w:szCs w:val="20"/>
          <w:lang w:eastAsia="en-US"/>
        </w:rPr>
        <w:t>Table 1: Occurrence of Food Items in the Gut of Prawns from Lower River Benue</w:t>
      </w:r>
    </w:p>
    <w:tbl>
      <w:tblPr>
        <w:tblW w:w="8453" w:type="dxa"/>
        <w:tblInd w:w="10" w:type="dxa"/>
        <w:tblLayout w:type="fixed"/>
        <w:tblLook w:val="04A0" w:firstRow="1" w:lastRow="0" w:firstColumn="1" w:lastColumn="0" w:noHBand="0" w:noVBand="1"/>
      </w:tblPr>
      <w:tblGrid>
        <w:gridCol w:w="1404"/>
        <w:gridCol w:w="947"/>
        <w:gridCol w:w="1401"/>
        <w:gridCol w:w="791"/>
        <w:gridCol w:w="1777"/>
        <w:gridCol w:w="961"/>
        <w:gridCol w:w="1157"/>
        <w:gridCol w:w="15"/>
      </w:tblGrid>
      <w:tr w:rsidR="00C8290E" w14:paraId="7F9D9F66" w14:textId="77777777">
        <w:trPr>
          <w:gridAfter w:val="1"/>
          <w:wAfter w:w="16" w:type="dxa"/>
        </w:trPr>
        <w:tc>
          <w:tcPr>
            <w:tcW w:w="1620" w:type="dxa"/>
            <w:tcBorders>
              <w:top w:val="single" w:sz="4" w:space="0" w:color="7F7F7F"/>
              <w:bottom w:val="single" w:sz="4" w:space="0" w:color="7F7F7F"/>
            </w:tcBorders>
            <w:tcMar>
              <w:top w:w="0" w:type="dxa"/>
              <w:left w:w="108" w:type="dxa"/>
              <w:bottom w:w="0" w:type="dxa"/>
              <w:right w:w="108" w:type="dxa"/>
            </w:tcMar>
          </w:tcPr>
          <w:p w14:paraId="51963DC7"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Food Items</w:t>
            </w:r>
          </w:p>
        </w:tc>
        <w:tc>
          <w:tcPr>
            <w:tcW w:w="2704" w:type="dxa"/>
            <w:gridSpan w:val="2"/>
            <w:tcBorders>
              <w:top w:val="single" w:sz="4" w:space="0" w:color="7F7F7F"/>
              <w:bottom w:val="single" w:sz="4" w:space="0" w:color="7F7F7F"/>
            </w:tcBorders>
            <w:tcMar>
              <w:top w:w="0" w:type="dxa"/>
              <w:left w:w="108" w:type="dxa"/>
              <w:bottom w:w="0" w:type="dxa"/>
              <w:right w:w="108" w:type="dxa"/>
            </w:tcMar>
          </w:tcPr>
          <w:p w14:paraId="0BCCD8E2"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i/>
                <w:iCs/>
                <w:sz w:val="20"/>
                <w:szCs w:val="20"/>
                <w:lang w:eastAsia="en-US"/>
              </w:rPr>
              <w:t xml:space="preserve">Macrobrachium </w:t>
            </w:r>
            <w:proofErr w:type="spellStart"/>
            <w:r>
              <w:rPr>
                <w:rFonts w:ascii="Times New Roman" w:eastAsia="Calibri" w:hAnsi="Times New Roman"/>
                <w:i/>
                <w:iCs/>
                <w:sz w:val="20"/>
                <w:szCs w:val="20"/>
                <w:lang w:eastAsia="en-US"/>
              </w:rPr>
              <w:t>macrobrachion</w:t>
            </w:r>
            <w:proofErr w:type="spellEnd"/>
          </w:p>
        </w:tc>
        <w:tc>
          <w:tcPr>
            <w:tcW w:w="2967" w:type="dxa"/>
            <w:gridSpan w:val="2"/>
            <w:tcBorders>
              <w:top w:val="single" w:sz="4" w:space="0" w:color="7F7F7F"/>
              <w:bottom w:val="single" w:sz="4" w:space="0" w:color="7F7F7F"/>
            </w:tcBorders>
            <w:tcMar>
              <w:top w:w="0" w:type="dxa"/>
              <w:left w:w="108" w:type="dxa"/>
              <w:bottom w:w="0" w:type="dxa"/>
              <w:right w:w="108" w:type="dxa"/>
            </w:tcMar>
          </w:tcPr>
          <w:p w14:paraId="4CA9048F" w14:textId="164ECDA6" w:rsidR="00C8290E" w:rsidRDefault="00000000">
            <w:pPr>
              <w:spacing w:after="160" w:line="240" w:lineRule="auto"/>
              <w:jc w:val="both"/>
              <w:rPr>
                <w:rFonts w:ascii="Times New Roman" w:hAnsi="Times New Roman"/>
                <w:sz w:val="20"/>
                <w:szCs w:val="20"/>
              </w:rPr>
            </w:pPr>
            <w:proofErr w:type="spellStart"/>
            <w:r>
              <w:rPr>
                <w:rFonts w:ascii="Times New Roman" w:eastAsia="Calibri" w:hAnsi="Times New Roman"/>
                <w:i/>
                <w:iCs/>
                <w:sz w:val="20"/>
                <w:szCs w:val="20"/>
                <w:lang w:eastAsia="en-US"/>
              </w:rPr>
              <w:t>Atya</w:t>
            </w:r>
            <w:proofErr w:type="spellEnd"/>
            <w:r>
              <w:rPr>
                <w:rFonts w:ascii="Times New Roman" w:eastAsia="Calibri" w:hAnsi="Times New Roman"/>
                <w:i/>
                <w:iCs/>
                <w:sz w:val="20"/>
                <w:szCs w:val="20"/>
                <w:lang w:eastAsia="en-US"/>
              </w:rPr>
              <w:t xml:space="preserve"> </w:t>
            </w:r>
            <w:proofErr w:type="spellStart"/>
            <w:r>
              <w:rPr>
                <w:rFonts w:ascii="Times New Roman" w:eastAsia="Calibri" w:hAnsi="Times New Roman"/>
                <w:i/>
                <w:iCs/>
                <w:sz w:val="20"/>
                <w:szCs w:val="20"/>
                <w:lang w:eastAsia="en-US"/>
              </w:rPr>
              <w:t>gabonensis</w:t>
            </w:r>
            <w:proofErr w:type="spellEnd"/>
          </w:p>
        </w:tc>
        <w:tc>
          <w:tcPr>
            <w:tcW w:w="2432" w:type="dxa"/>
            <w:gridSpan w:val="2"/>
            <w:tcBorders>
              <w:top w:val="single" w:sz="4" w:space="0" w:color="7F7F7F"/>
              <w:bottom w:val="single" w:sz="4" w:space="0" w:color="7F7F7F"/>
            </w:tcBorders>
            <w:tcMar>
              <w:top w:w="0" w:type="dxa"/>
              <w:left w:w="108" w:type="dxa"/>
              <w:bottom w:w="0" w:type="dxa"/>
              <w:right w:w="108" w:type="dxa"/>
            </w:tcMar>
          </w:tcPr>
          <w:p w14:paraId="0B20AD1B"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Total (Within Food Items)</w:t>
            </w:r>
          </w:p>
        </w:tc>
      </w:tr>
      <w:tr w:rsidR="00C8290E" w14:paraId="76942948" w14:textId="77777777">
        <w:tc>
          <w:tcPr>
            <w:tcW w:w="1627" w:type="dxa"/>
            <w:tcMar>
              <w:top w:w="0" w:type="dxa"/>
              <w:left w:w="108" w:type="dxa"/>
              <w:bottom w:w="0" w:type="dxa"/>
              <w:right w:w="108" w:type="dxa"/>
            </w:tcMar>
          </w:tcPr>
          <w:p w14:paraId="5CF90DE7" w14:textId="77777777" w:rsidR="00C8290E" w:rsidRDefault="00C8290E">
            <w:pPr>
              <w:spacing w:after="160" w:line="240" w:lineRule="auto"/>
              <w:jc w:val="both"/>
              <w:rPr>
                <w:rFonts w:ascii="Times New Roman" w:hAnsi="Times New Roman"/>
                <w:sz w:val="20"/>
                <w:szCs w:val="20"/>
              </w:rPr>
            </w:pPr>
          </w:p>
        </w:tc>
        <w:tc>
          <w:tcPr>
            <w:tcW w:w="1082" w:type="dxa"/>
            <w:tcMar>
              <w:top w:w="0" w:type="dxa"/>
              <w:left w:w="108" w:type="dxa"/>
              <w:bottom w:w="0" w:type="dxa"/>
              <w:right w:w="108" w:type="dxa"/>
            </w:tcMar>
          </w:tcPr>
          <w:p w14:paraId="59974EE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Count</w:t>
            </w:r>
          </w:p>
        </w:tc>
        <w:tc>
          <w:tcPr>
            <w:tcW w:w="1622" w:type="dxa"/>
            <w:tcMar>
              <w:top w:w="0" w:type="dxa"/>
              <w:left w:w="108" w:type="dxa"/>
              <w:bottom w:w="0" w:type="dxa"/>
              <w:right w:w="108" w:type="dxa"/>
            </w:tcMar>
          </w:tcPr>
          <w:p w14:paraId="1CB9E029"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Percentage</w:t>
            </w:r>
          </w:p>
        </w:tc>
        <w:tc>
          <w:tcPr>
            <w:tcW w:w="897" w:type="dxa"/>
            <w:tcMar>
              <w:top w:w="0" w:type="dxa"/>
              <w:left w:w="108" w:type="dxa"/>
              <w:bottom w:w="0" w:type="dxa"/>
              <w:right w:w="108" w:type="dxa"/>
            </w:tcMar>
          </w:tcPr>
          <w:p w14:paraId="21D9573E"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Count</w:t>
            </w:r>
          </w:p>
        </w:tc>
        <w:tc>
          <w:tcPr>
            <w:tcW w:w="2070" w:type="dxa"/>
            <w:tcMar>
              <w:top w:w="0" w:type="dxa"/>
              <w:left w:w="108" w:type="dxa"/>
              <w:bottom w:w="0" w:type="dxa"/>
              <w:right w:w="108" w:type="dxa"/>
            </w:tcMar>
          </w:tcPr>
          <w:p w14:paraId="29F4B0E7"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Percentage</w:t>
            </w:r>
          </w:p>
        </w:tc>
        <w:tc>
          <w:tcPr>
            <w:tcW w:w="1099" w:type="dxa"/>
            <w:tcMar>
              <w:top w:w="0" w:type="dxa"/>
              <w:left w:w="108" w:type="dxa"/>
              <w:bottom w:w="0" w:type="dxa"/>
              <w:right w:w="108" w:type="dxa"/>
            </w:tcMar>
          </w:tcPr>
          <w:p w14:paraId="2B335D6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Count</w:t>
            </w:r>
          </w:p>
        </w:tc>
        <w:tc>
          <w:tcPr>
            <w:tcW w:w="1349" w:type="dxa"/>
            <w:gridSpan w:val="2"/>
            <w:tcMar>
              <w:top w:w="0" w:type="dxa"/>
              <w:left w:w="108" w:type="dxa"/>
              <w:bottom w:w="0" w:type="dxa"/>
              <w:right w:w="108" w:type="dxa"/>
            </w:tcMar>
          </w:tcPr>
          <w:p w14:paraId="6C93A0FE"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b/>
                <w:bCs/>
                <w:sz w:val="20"/>
                <w:szCs w:val="20"/>
                <w:lang w:eastAsia="en-US"/>
              </w:rPr>
              <w:t>Percentage</w:t>
            </w:r>
          </w:p>
        </w:tc>
      </w:tr>
      <w:tr w:rsidR="00C8290E" w14:paraId="4DDC71A3" w14:textId="77777777">
        <w:tc>
          <w:tcPr>
            <w:tcW w:w="1627" w:type="dxa"/>
            <w:tcMar>
              <w:top w:w="0" w:type="dxa"/>
              <w:left w:w="108" w:type="dxa"/>
              <w:bottom w:w="0" w:type="dxa"/>
              <w:right w:w="108" w:type="dxa"/>
            </w:tcMar>
          </w:tcPr>
          <w:p w14:paraId="2D00967C"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Empty</w:t>
            </w:r>
          </w:p>
        </w:tc>
        <w:tc>
          <w:tcPr>
            <w:tcW w:w="1082" w:type="dxa"/>
            <w:tcMar>
              <w:top w:w="0" w:type="dxa"/>
              <w:left w:w="108" w:type="dxa"/>
              <w:bottom w:w="0" w:type="dxa"/>
              <w:right w:w="108" w:type="dxa"/>
            </w:tcMar>
          </w:tcPr>
          <w:p w14:paraId="0A99D91C"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w:t>
            </w:r>
          </w:p>
        </w:tc>
        <w:tc>
          <w:tcPr>
            <w:tcW w:w="1622" w:type="dxa"/>
            <w:tcMar>
              <w:top w:w="0" w:type="dxa"/>
              <w:left w:w="108" w:type="dxa"/>
              <w:bottom w:w="0" w:type="dxa"/>
              <w:right w:w="108" w:type="dxa"/>
            </w:tcMar>
          </w:tcPr>
          <w:p w14:paraId="4B2AB447"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14.50 (37.50)</w:t>
            </w:r>
          </w:p>
        </w:tc>
        <w:tc>
          <w:tcPr>
            <w:tcW w:w="897" w:type="dxa"/>
            <w:tcMar>
              <w:top w:w="0" w:type="dxa"/>
              <w:left w:w="108" w:type="dxa"/>
              <w:bottom w:w="0" w:type="dxa"/>
              <w:right w:w="108" w:type="dxa"/>
            </w:tcMar>
          </w:tcPr>
          <w:p w14:paraId="4052EEF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30</w:t>
            </w:r>
          </w:p>
        </w:tc>
        <w:tc>
          <w:tcPr>
            <w:tcW w:w="2070" w:type="dxa"/>
            <w:tcMar>
              <w:top w:w="0" w:type="dxa"/>
              <w:left w:w="108" w:type="dxa"/>
              <w:bottom w:w="0" w:type="dxa"/>
              <w:right w:w="108" w:type="dxa"/>
            </w:tcMar>
          </w:tcPr>
          <w:p w14:paraId="48A67E81"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15.30 (62.50)</w:t>
            </w:r>
          </w:p>
        </w:tc>
        <w:tc>
          <w:tcPr>
            <w:tcW w:w="1099" w:type="dxa"/>
            <w:tcMar>
              <w:top w:w="0" w:type="dxa"/>
              <w:left w:w="108" w:type="dxa"/>
              <w:bottom w:w="0" w:type="dxa"/>
              <w:right w:w="108" w:type="dxa"/>
            </w:tcMar>
          </w:tcPr>
          <w:p w14:paraId="364FEF9C"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48</w:t>
            </w:r>
          </w:p>
        </w:tc>
        <w:tc>
          <w:tcPr>
            <w:tcW w:w="1349" w:type="dxa"/>
            <w:gridSpan w:val="2"/>
            <w:tcMar>
              <w:top w:w="0" w:type="dxa"/>
              <w:left w:w="108" w:type="dxa"/>
              <w:bottom w:w="0" w:type="dxa"/>
              <w:right w:w="108" w:type="dxa"/>
            </w:tcMar>
          </w:tcPr>
          <w:p w14:paraId="33A7F7DC"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59.76</w:t>
            </w:r>
          </w:p>
        </w:tc>
      </w:tr>
      <w:tr w:rsidR="00C8290E" w14:paraId="15F1E066" w14:textId="77777777">
        <w:tc>
          <w:tcPr>
            <w:tcW w:w="1627" w:type="dxa"/>
            <w:tcMar>
              <w:top w:w="0" w:type="dxa"/>
              <w:left w:w="108" w:type="dxa"/>
              <w:bottom w:w="0" w:type="dxa"/>
              <w:right w:w="108" w:type="dxa"/>
            </w:tcMar>
          </w:tcPr>
          <w:p w14:paraId="1D005555"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Detritus</w:t>
            </w:r>
          </w:p>
        </w:tc>
        <w:tc>
          <w:tcPr>
            <w:tcW w:w="1082" w:type="dxa"/>
            <w:tcMar>
              <w:top w:w="0" w:type="dxa"/>
              <w:left w:w="108" w:type="dxa"/>
              <w:bottom w:w="0" w:type="dxa"/>
              <w:right w:w="108" w:type="dxa"/>
            </w:tcMar>
          </w:tcPr>
          <w:p w14:paraId="30D64C8F"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38</w:t>
            </w:r>
          </w:p>
        </w:tc>
        <w:tc>
          <w:tcPr>
            <w:tcW w:w="1622" w:type="dxa"/>
            <w:tcMar>
              <w:top w:w="0" w:type="dxa"/>
              <w:left w:w="108" w:type="dxa"/>
              <w:bottom w:w="0" w:type="dxa"/>
              <w:right w:w="108" w:type="dxa"/>
            </w:tcMar>
          </w:tcPr>
          <w:p w14:paraId="2843EA0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30.60 (31.10)</w:t>
            </w:r>
          </w:p>
        </w:tc>
        <w:tc>
          <w:tcPr>
            <w:tcW w:w="897" w:type="dxa"/>
            <w:tcMar>
              <w:top w:w="0" w:type="dxa"/>
              <w:left w:w="108" w:type="dxa"/>
              <w:bottom w:w="0" w:type="dxa"/>
              <w:right w:w="108" w:type="dxa"/>
            </w:tcMar>
          </w:tcPr>
          <w:p w14:paraId="5075235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84</w:t>
            </w:r>
          </w:p>
        </w:tc>
        <w:tc>
          <w:tcPr>
            <w:tcW w:w="2070" w:type="dxa"/>
            <w:tcMar>
              <w:top w:w="0" w:type="dxa"/>
              <w:left w:w="108" w:type="dxa"/>
              <w:bottom w:w="0" w:type="dxa"/>
              <w:right w:w="108" w:type="dxa"/>
            </w:tcMar>
          </w:tcPr>
          <w:p w14:paraId="38D8DD67"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42.90 (68.90)</w:t>
            </w:r>
          </w:p>
        </w:tc>
        <w:tc>
          <w:tcPr>
            <w:tcW w:w="1099" w:type="dxa"/>
            <w:tcMar>
              <w:top w:w="0" w:type="dxa"/>
              <w:left w:w="108" w:type="dxa"/>
              <w:bottom w:w="0" w:type="dxa"/>
              <w:right w:w="108" w:type="dxa"/>
            </w:tcMar>
          </w:tcPr>
          <w:p w14:paraId="72B27F5F"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122</w:t>
            </w:r>
          </w:p>
        </w:tc>
        <w:tc>
          <w:tcPr>
            <w:tcW w:w="1349" w:type="dxa"/>
            <w:gridSpan w:val="2"/>
            <w:tcMar>
              <w:top w:w="0" w:type="dxa"/>
              <w:left w:w="108" w:type="dxa"/>
              <w:bottom w:w="0" w:type="dxa"/>
              <w:right w:w="108" w:type="dxa"/>
            </w:tcMar>
          </w:tcPr>
          <w:p w14:paraId="44CD603D"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35.12</w:t>
            </w:r>
          </w:p>
        </w:tc>
      </w:tr>
      <w:tr w:rsidR="00C8290E" w14:paraId="3EC0C8C1" w14:textId="77777777">
        <w:tc>
          <w:tcPr>
            <w:tcW w:w="1627" w:type="dxa"/>
            <w:tcMar>
              <w:top w:w="0" w:type="dxa"/>
              <w:left w:w="108" w:type="dxa"/>
              <w:bottom w:w="0" w:type="dxa"/>
              <w:right w:w="108" w:type="dxa"/>
            </w:tcMar>
          </w:tcPr>
          <w:p w14:paraId="7B3A7388"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Algae</w:t>
            </w:r>
          </w:p>
        </w:tc>
        <w:tc>
          <w:tcPr>
            <w:tcW w:w="1082" w:type="dxa"/>
            <w:tcMar>
              <w:top w:w="0" w:type="dxa"/>
              <w:left w:w="108" w:type="dxa"/>
              <w:bottom w:w="0" w:type="dxa"/>
              <w:right w:w="108" w:type="dxa"/>
            </w:tcMar>
          </w:tcPr>
          <w:p w14:paraId="0C6F1761"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36</w:t>
            </w:r>
          </w:p>
        </w:tc>
        <w:tc>
          <w:tcPr>
            <w:tcW w:w="1622" w:type="dxa"/>
            <w:tcMar>
              <w:top w:w="0" w:type="dxa"/>
              <w:left w:w="108" w:type="dxa"/>
              <w:bottom w:w="0" w:type="dxa"/>
              <w:right w:w="108" w:type="dxa"/>
            </w:tcMar>
          </w:tcPr>
          <w:p w14:paraId="1CE0982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29.00 (49.30)</w:t>
            </w:r>
          </w:p>
        </w:tc>
        <w:tc>
          <w:tcPr>
            <w:tcW w:w="897" w:type="dxa"/>
            <w:tcMar>
              <w:top w:w="0" w:type="dxa"/>
              <w:left w:w="108" w:type="dxa"/>
              <w:bottom w:w="0" w:type="dxa"/>
              <w:right w:w="108" w:type="dxa"/>
            </w:tcMar>
          </w:tcPr>
          <w:p w14:paraId="6F3A586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37</w:t>
            </w:r>
          </w:p>
        </w:tc>
        <w:tc>
          <w:tcPr>
            <w:tcW w:w="2070" w:type="dxa"/>
            <w:tcMar>
              <w:top w:w="0" w:type="dxa"/>
              <w:left w:w="108" w:type="dxa"/>
              <w:bottom w:w="0" w:type="dxa"/>
              <w:right w:w="108" w:type="dxa"/>
            </w:tcMar>
          </w:tcPr>
          <w:p w14:paraId="2C5D41E7"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18.90 (50.70)</w:t>
            </w:r>
          </w:p>
        </w:tc>
        <w:tc>
          <w:tcPr>
            <w:tcW w:w="1099" w:type="dxa"/>
            <w:tcMar>
              <w:top w:w="0" w:type="dxa"/>
              <w:left w:w="108" w:type="dxa"/>
              <w:bottom w:w="0" w:type="dxa"/>
              <w:right w:w="108" w:type="dxa"/>
            </w:tcMar>
          </w:tcPr>
          <w:p w14:paraId="10B60B7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73</w:t>
            </w:r>
          </w:p>
        </w:tc>
        <w:tc>
          <w:tcPr>
            <w:tcW w:w="1349" w:type="dxa"/>
            <w:gridSpan w:val="2"/>
            <w:tcMar>
              <w:top w:w="0" w:type="dxa"/>
              <w:left w:w="108" w:type="dxa"/>
              <w:bottom w:w="0" w:type="dxa"/>
              <w:right w:w="108" w:type="dxa"/>
            </w:tcMar>
          </w:tcPr>
          <w:p w14:paraId="32E2B83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5.12</w:t>
            </w:r>
          </w:p>
        </w:tc>
      </w:tr>
      <w:tr w:rsidR="00C8290E" w14:paraId="2051AB92" w14:textId="77777777">
        <w:tc>
          <w:tcPr>
            <w:tcW w:w="1627" w:type="dxa"/>
            <w:tcMar>
              <w:top w:w="0" w:type="dxa"/>
              <w:left w:w="108" w:type="dxa"/>
              <w:bottom w:w="0" w:type="dxa"/>
              <w:right w:w="108" w:type="dxa"/>
            </w:tcMar>
          </w:tcPr>
          <w:p w14:paraId="04E25A40"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Insect Parts</w:t>
            </w:r>
          </w:p>
        </w:tc>
        <w:tc>
          <w:tcPr>
            <w:tcW w:w="1082" w:type="dxa"/>
            <w:tcMar>
              <w:top w:w="0" w:type="dxa"/>
              <w:left w:w="108" w:type="dxa"/>
              <w:bottom w:w="0" w:type="dxa"/>
              <w:right w:w="108" w:type="dxa"/>
            </w:tcMar>
          </w:tcPr>
          <w:p w14:paraId="7AACFD5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w:t>
            </w:r>
          </w:p>
        </w:tc>
        <w:tc>
          <w:tcPr>
            <w:tcW w:w="1622" w:type="dxa"/>
            <w:tcMar>
              <w:top w:w="0" w:type="dxa"/>
              <w:left w:w="108" w:type="dxa"/>
              <w:bottom w:w="0" w:type="dxa"/>
              <w:right w:w="108" w:type="dxa"/>
            </w:tcMar>
          </w:tcPr>
          <w:p w14:paraId="597F3C35"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11.30 (32.60)</w:t>
            </w:r>
          </w:p>
        </w:tc>
        <w:tc>
          <w:tcPr>
            <w:tcW w:w="897" w:type="dxa"/>
            <w:tcMar>
              <w:top w:w="0" w:type="dxa"/>
              <w:left w:w="108" w:type="dxa"/>
              <w:bottom w:w="0" w:type="dxa"/>
              <w:right w:w="108" w:type="dxa"/>
            </w:tcMar>
          </w:tcPr>
          <w:p w14:paraId="01359C31"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29</w:t>
            </w:r>
          </w:p>
        </w:tc>
        <w:tc>
          <w:tcPr>
            <w:tcW w:w="2070" w:type="dxa"/>
            <w:tcMar>
              <w:top w:w="0" w:type="dxa"/>
              <w:left w:w="108" w:type="dxa"/>
              <w:bottom w:w="0" w:type="dxa"/>
              <w:right w:w="108" w:type="dxa"/>
            </w:tcMar>
          </w:tcPr>
          <w:p w14:paraId="00B5BC9A"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14.80 (67.40)</w:t>
            </w:r>
          </w:p>
        </w:tc>
        <w:tc>
          <w:tcPr>
            <w:tcW w:w="1099" w:type="dxa"/>
            <w:tcMar>
              <w:top w:w="0" w:type="dxa"/>
              <w:left w:w="108" w:type="dxa"/>
              <w:bottom w:w="0" w:type="dxa"/>
              <w:right w:w="108" w:type="dxa"/>
            </w:tcMar>
          </w:tcPr>
          <w:p w14:paraId="5711074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43</w:t>
            </w:r>
          </w:p>
        </w:tc>
        <w:tc>
          <w:tcPr>
            <w:tcW w:w="1349" w:type="dxa"/>
            <w:gridSpan w:val="2"/>
            <w:tcMar>
              <w:top w:w="0" w:type="dxa"/>
              <w:left w:w="108" w:type="dxa"/>
              <w:bottom w:w="0" w:type="dxa"/>
              <w:right w:w="108" w:type="dxa"/>
            </w:tcMar>
          </w:tcPr>
          <w:p w14:paraId="4351485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w:t>
            </w:r>
          </w:p>
        </w:tc>
      </w:tr>
      <w:tr w:rsidR="00C8290E" w14:paraId="5B93F2F7" w14:textId="77777777">
        <w:tc>
          <w:tcPr>
            <w:tcW w:w="1627" w:type="dxa"/>
            <w:tcMar>
              <w:top w:w="0" w:type="dxa"/>
              <w:left w:w="108" w:type="dxa"/>
              <w:bottom w:w="0" w:type="dxa"/>
              <w:right w:w="108" w:type="dxa"/>
            </w:tcMar>
          </w:tcPr>
          <w:p w14:paraId="782FB1B7"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Plant Materials</w:t>
            </w:r>
          </w:p>
        </w:tc>
        <w:tc>
          <w:tcPr>
            <w:tcW w:w="1082" w:type="dxa"/>
            <w:tcMar>
              <w:top w:w="0" w:type="dxa"/>
              <w:left w:w="108" w:type="dxa"/>
              <w:bottom w:w="0" w:type="dxa"/>
              <w:right w:w="108" w:type="dxa"/>
            </w:tcMar>
          </w:tcPr>
          <w:p w14:paraId="58C1A3BA"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17</w:t>
            </w:r>
          </w:p>
        </w:tc>
        <w:tc>
          <w:tcPr>
            <w:tcW w:w="1622" w:type="dxa"/>
            <w:tcMar>
              <w:top w:w="0" w:type="dxa"/>
              <w:left w:w="108" w:type="dxa"/>
              <w:bottom w:w="0" w:type="dxa"/>
              <w:right w:w="108" w:type="dxa"/>
            </w:tcMar>
          </w:tcPr>
          <w:p w14:paraId="17B3064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13.70 (53.10)</w:t>
            </w:r>
          </w:p>
        </w:tc>
        <w:tc>
          <w:tcPr>
            <w:tcW w:w="897" w:type="dxa"/>
            <w:tcMar>
              <w:top w:w="0" w:type="dxa"/>
              <w:left w:w="108" w:type="dxa"/>
              <w:bottom w:w="0" w:type="dxa"/>
              <w:right w:w="108" w:type="dxa"/>
            </w:tcMar>
          </w:tcPr>
          <w:p w14:paraId="4A05180E"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15</w:t>
            </w:r>
          </w:p>
        </w:tc>
        <w:tc>
          <w:tcPr>
            <w:tcW w:w="2070" w:type="dxa"/>
            <w:tcMar>
              <w:top w:w="0" w:type="dxa"/>
              <w:left w:w="108" w:type="dxa"/>
              <w:bottom w:w="0" w:type="dxa"/>
              <w:right w:w="108" w:type="dxa"/>
            </w:tcMar>
          </w:tcPr>
          <w:p w14:paraId="40789C64"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7.70 (46.90)</w:t>
            </w:r>
          </w:p>
        </w:tc>
        <w:tc>
          <w:tcPr>
            <w:tcW w:w="1099" w:type="dxa"/>
            <w:tcMar>
              <w:top w:w="0" w:type="dxa"/>
              <w:left w:w="108" w:type="dxa"/>
              <w:bottom w:w="0" w:type="dxa"/>
              <w:right w:w="108" w:type="dxa"/>
            </w:tcMar>
          </w:tcPr>
          <w:p w14:paraId="6E1470D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32</w:t>
            </w:r>
          </w:p>
        </w:tc>
        <w:tc>
          <w:tcPr>
            <w:tcW w:w="1349" w:type="dxa"/>
            <w:gridSpan w:val="2"/>
            <w:tcMar>
              <w:top w:w="0" w:type="dxa"/>
              <w:left w:w="108" w:type="dxa"/>
              <w:bottom w:w="0" w:type="dxa"/>
              <w:right w:w="108" w:type="dxa"/>
            </w:tcMar>
          </w:tcPr>
          <w:p w14:paraId="213A7B2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w:t>
            </w:r>
          </w:p>
        </w:tc>
      </w:tr>
      <w:tr w:rsidR="00C8290E" w14:paraId="16B7E8C9" w14:textId="77777777">
        <w:tc>
          <w:tcPr>
            <w:tcW w:w="1627" w:type="dxa"/>
            <w:tcBorders>
              <w:bottom w:val="single" w:sz="4" w:space="0" w:color="7F7F7F"/>
            </w:tcBorders>
            <w:tcMar>
              <w:top w:w="0" w:type="dxa"/>
              <w:left w:w="108" w:type="dxa"/>
              <w:bottom w:w="0" w:type="dxa"/>
              <w:right w:w="108" w:type="dxa"/>
            </w:tcMar>
          </w:tcPr>
          <w:p w14:paraId="55DCDF78"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Total</w:t>
            </w:r>
          </w:p>
        </w:tc>
        <w:tc>
          <w:tcPr>
            <w:tcW w:w="1082" w:type="dxa"/>
            <w:tcBorders>
              <w:bottom w:val="single" w:sz="4" w:space="0" w:color="7F7F7F"/>
            </w:tcBorders>
            <w:tcMar>
              <w:top w:w="0" w:type="dxa"/>
              <w:left w:w="108" w:type="dxa"/>
              <w:bottom w:w="0" w:type="dxa"/>
              <w:right w:w="108" w:type="dxa"/>
            </w:tcMar>
          </w:tcPr>
          <w:p w14:paraId="1575F475"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123</w:t>
            </w:r>
          </w:p>
        </w:tc>
        <w:tc>
          <w:tcPr>
            <w:tcW w:w="1622" w:type="dxa"/>
            <w:tcBorders>
              <w:bottom w:val="single" w:sz="4" w:space="0" w:color="7F7F7F"/>
            </w:tcBorders>
            <w:tcMar>
              <w:top w:w="0" w:type="dxa"/>
              <w:left w:w="108" w:type="dxa"/>
              <w:bottom w:w="0" w:type="dxa"/>
              <w:right w:w="108" w:type="dxa"/>
            </w:tcMar>
          </w:tcPr>
          <w:p w14:paraId="692FFBA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100.00 (38.68)</w:t>
            </w:r>
          </w:p>
        </w:tc>
        <w:tc>
          <w:tcPr>
            <w:tcW w:w="897" w:type="dxa"/>
            <w:tcBorders>
              <w:bottom w:val="single" w:sz="4" w:space="0" w:color="7F7F7F"/>
            </w:tcBorders>
            <w:tcMar>
              <w:top w:w="0" w:type="dxa"/>
              <w:left w:w="108" w:type="dxa"/>
              <w:bottom w:w="0" w:type="dxa"/>
              <w:right w:w="108" w:type="dxa"/>
            </w:tcMar>
          </w:tcPr>
          <w:p w14:paraId="70D5222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195</w:t>
            </w:r>
          </w:p>
        </w:tc>
        <w:tc>
          <w:tcPr>
            <w:tcW w:w="2070" w:type="dxa"/>
            <w:tcBorders>
              <w:bottom w:val="single" w:sz="4" w:space="0" w:color="7F7F7F"/>
            </w:tcBorders>
            <w:tcMar>
              <w:top w:w="0" w:type="dxa"/>
              <w:left w:w="108" w:type="dxa"/>
              <w:bottom w:w="0" w:type="dxa"/>
              <w:right w:w="108" w:type="dxa"/>
            </w:tcMar>
          </w:tcPr>
          <w:p w14:paraId="3B8B599A"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100.00 (61.32)</w:t>
            </w:r>
          </w:p>
        </w:tc>
        <w:tc>
          <w:tcPr>
            <w:tcW w:w="1099" w:type="dxa"/>
            <w:tcBorders>
              <w:bottom w:val="single" w:sz="4" w:space="0" w:color="7F7F7F"/>
            </w:tcBorders>
            <w:tcMar>
              <w:top w:w="0" w:type="dxa"/>
              <w:left w:w="108" w:type="dxa"/>
              <w:bottom w:w="0" w:type="dxa"/>
              <w:right w:w="108" w:type="dxa"/>
            </w:tcMar>
          </w:tcPr>
          <w:p w14:paraId="6BF94E79"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318</w:t>
            </w:r>
          </w:p>
        </w:tc>
        <w:tc>
          <w:tcPr>
            <w:tcW w:w="1349" w:type="dxa"/>
            <w:gridSpan w:val="2"/>
            <w:tcBorders>
              <w:bottom w:val="single" w:sz="4" w:space="0" w:color="7F7F7F"/>
            </w:tcBorders>
            <w:tcMar>
              <w:top w:w="0" w:type="dxa"/>
              <w:left w:w="108" w:type="dxa"/>
              <w:bottom w:w="0" w:type="dxa"/>
              <w:right w:w="108" w:type="dxa"/>
            </w:tcMar>
          </w:tcPr>
          <w:p w14:paraId="56445684"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100.00</w:t>
            </w:r>
          </w:p>
        </w:tc>
      </w:tr>
    </w:tbl>
    <w:p w14:paraId="286A30E7" w14:textId="77777777" w:rsidR="00C8290E" w:rsidRDefault="00000000">
      <w:pPr>
        <w:spacing w:line="240" w:lineRule="auto"/>
        <w:jc w:val="both"/>
        <w:rPr>
          <w:rFonts w:ascii="Times New Roman" w:hAnsi="Times New Roman"/>
          <w:sz w:val="20"/>
          <w:szCs w:val="20"/>
        </w:rPr>
      </w:pPr>
      <w:r>
        <w:rPr>
          <w:rStyle w:val="SubtleEmphasis"/>
          <w:iCs/>
          <w:sz w:val="20"/>
          <w:szCs w:val="20"/>
          <w:lang w:eastAsia="en-US"/>
        </w:rPr>
        <w:t>*</w:t>
      </w:r>
      <w:proofErr w:type="gramStart"/>
      <w:r>
        <w:rPr>
          <w:rStyle w:val="SubtleEmphasis"/>
          <w:iCs/>
          <w:sz w:val="20"/>
          <w:szCs w:val="20"/>
          <w:lang w:eastAsia="en-US"/>
        </w:rPr>
        <w:t>values</w:t>
      </w:r>
      <w:proofErr w:type="gramEnd"/>
      <w:r>
        <w:rPr>
          <w:rStyle w:val="SubtleEmphasis"/>
          <w:iCs/>
          <w:sz w:val="20"/>
          <w:szCs w:val="20"/>
          <w:lang w:eastAsia="en-US"/>
        </w:rPr>
        <w:t xml:space="preserve"> in the parentheses represent the percentage occurrence within food items</w:t>
      </w:r>
    </w:p>
    <w:p w14:paraId="0CE2C525" w14:textId="77777777" w:rsidR="00C8290E" w:rsidRDefault="00000000">
      <w:pPr>
        <w:spacing w:after="160" w:line="240" w:lineRule="auto"/>
        <w:jc w:val="both"/>
        <w:rPr>
          <w:rFonts w:ascii="Times New Roman" w:hAnsi="Times New Roman"/>
          <w:sz w:val="20"/>
          <w:szCs w:val="20"/>
        </w:rPr>
      </w:pPr>
      <w:r>
        <w:rPr>
          <w:rFonts w:ascii="Times New Roman" w:hAnsi="Times New Roman"/>
          <w:sz w:val="20"/>
          <w:szCs w:val="20"/>
        </w:rPr>
        <w:t>Mean Monthly Water Quality Parameters from Lower River Benue</w:t>
      </w:r>
    </w:p>
    <w:p w14:paraId="72B1CAE5"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lastRenderedPageBreak/>
        <w:t xml:space="preserve">Table 2 shows the mean monthly water quality parameters from Lower River Benue. The result shows that dissolved oxygen in Aug showed significant difference with all the months at (p&lt;0.05) significant difference was also not seen in Sept and December. </w:t>
      </w:r>
    </w:p>
    <w:p w14:paraId="29C1A4B6"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The highest mean values for DO were recorded in Nov (6.70±0.10).PH in Aug showed significant difference between Sept, Dec and Jan but did not differ significantly with October and Nov the highest mean value (7.22±0.01) for PH were seen in January. </w:t>
      </w:r>
    </w:p>
    <w:p w14:paraId="04D894CA"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Temperature showed significant difference in all the months with the highest mean value (37.30±0.10) recorded in Aug. </w:t>
      </w:r>
    </w:p>
    <w:p w14:paraId="03D0C57B"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Transparency showed that Aug differed significantly with the rest of the months, but there was no significant difference between Sept, Oct and Dec, Jan also differed significantly with the rest of the months the highest mean value (189.50±0.50) was recorded in Dec. </w:t>
      </w:r>
    </w:p>
    <w:p w14:paraId="7B34A6B8"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TDS showed that apart from Oct the TDS in Aug showed significant difference with the rest of the months no significant difference was seen between Sept and Oct. Dec and Jan also differed significantly from each other the highest mean value (62.00±1.00) was recorded in Aug.</w:t>
      </w:r>
    </w:p>
    <w:p w14:paraId="2DECD309"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EC apart from Aug and Dec EC differed significantly in each of the months with the highest mean value (148.00±2.00) recorded in Jan. </w:t>
      </w:r>
    </w:p>
    <w:p w14:paraId="7168D336" w14:textId="77777777" w:rsidR="00C8290E" w:rsidRDefault="00C8290E">
      <w:pPr>
        <w:spacing w:after="160" w:line="240" w:lineRule="auto"/>
        <w:jc w:val="both"/>
        <w:rPr>
          <w:rFonts w:ascii="Times New Roman" w:eastAsia="Calibri" w:hAnsi="Times New Roman"/>
          <w:b/>
          <w:bCs/>
          <w:sz w:val="20"/>
          <w:szCs w:val="20"/>
          <w:lang w:eastAsia="en-US"/>
        </w:rPr>
      </w:pPr>
    </w:p>
    <w:p w14:paraId="5D7BC1BE"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b/>
          <w:bCs/>
          <w:sz w:val="20"/>
          <w:szCs w:val="20"/>
          <w:lang w:eastAsia="en-US"/>
        </w:rPr>
        <w:t>Table 2: Mean Monthly Water Quality Parameters of Lower River Benue</w:t>
      </w:r>
    </w:p>
    <w:tbl>
      <w:tblPr>
        <w:tblW w:w="8306" w:type="dxa"/>
        <w:tblLayout w:type="fixed"/>
        <w:tblLook w:val="04A0" w:firstRow="1" w:lastRow="0" w:firstColumn="1" w:lastColumn="0" w:noHBand="0" w:noVBand="1"/>
      </w:tblPr>
      <w:tblGrid>
        <w:gridCol w:w="1108"/>
        <w:gridCol w:w="87"/>
        <w:gridCol w:w="965"/>
        <w:gridCol w:w="78"/>
        <w:gridCol w:w="1043"/>
        <w:gridCol w:w="1118"/>
        <w:gridCol w:w="311"/>
        <w:gridCol w:w="928"/>
        <w:gridCol w:w="615"/>
        <w:gridCol w:w="703"/>
        <w:gridCol w:w="1350"/>
      </w:tblGrid>
      <w:tr w:rsidR="00C8290E" w14:paraId="43F3D845" w14:textId="77777777">
        <w:trPr>
          <w:trHeight w:val="553"/>
        </w:trPr>
        <w:tc>
          <w:tcPr>
            <w:tcW w:w="1380" w:type="dxa"/>
            <w:gridSpan w:val="2"/>
            <w:tcBorders>
              <w:top w:val="single" w:sz="4" w:space="0" w:color="7F7F7F"/>
              <w:bottom w:val="single" w:sz="4" w:space="0" w:color="7F7F7F"/>
            </w:tcBorders>
            <w:tcMar>
              <w:top w:w="0" w:type="dxa"/>
              <w:left w:w="108" w:type="dxa"/>
              <w:bottom w:w="0" w:type="dxa"/>
              <w:right w:w="108" w:type="dxa"/>
            </w:tcMar>
          </w:tcPr>
          <w:p w14:paraId="6FC46B11"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Month</w:t>
            </w:r>
          </w:p>
        </w:tc>
        <w:tc>
          <w:tcPr>
            <w:tcW w:w="1197" w:type="dxa"/>
            <w:gridSpan w:val="2"/>
            <w:tcBorders>
              <w:top w:val="single" w:sz="4" w:space="0" w:color="7F7F7F"/>
              <w:bottom w:val="single" w:sz="4" w:space="0" w:color="7F7F7F"/>
            </w:tcBorders>
            <w:tcMar>
              <w:top w:w="0" w:type="dxa"/>
              <w:left w:w="108" w:type="dxa"/>
              <w:bottom w:w="0" w:type="dxa"/>
              <w:right w:w="108" w:type="dxa"/>
            </w:tcMar>
          </w:tcPr>
          <w:p w14:paraId="5D4C4B3B"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Dissolved Oxygen</w:t>
            </w:r>
          </w:p>
        </w:tc>
        <w:tc>
          <w:tcPr>
            <w:tcW w:w="1199" w:type="dxa"/>
            <w:tcBorders>
              <w:top w:val="single" w:sz="4" w:space="0" w:color="7F7F7F"/>
              <w:bottom w:val="single" w:sz="4" w:space="0" w:color="7F7F7F"/>
            </w:tcBorders>
            <w:tcMar>
              <w:top w:w="0" w:type="dxa"/>
              <w:left w:w="108" w:type="dxa"/>
              <w:bottom w:w="0" w:type="dxa"/>
              <w:right w:w="108" w:type="dxa"/>
            </w:tcMar>
          </w:tcPr>
          <w:p w14:paraId="52EF118A"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pH</w:t>
            </w:r>
          </w:p>
        </w:tc>
        <w:tc>
          <w:tcPr>
            <w:tcW w:w="1655" w:type="dxa"/>
            <w:gridSpan w:val="2"/>
            <w:tcBorders>
              <w:top w:val="single" w:sz="4" w:space="0" w:color="7F7F7F"/>
              <w:bottom w:val="single" w:sz="4" w:space="0" w:color="7F7F7F"/>
            </w:tcBorders>
            <w:tcMar>
              <w:top w:w="0" w:type="dxa"/>
              <w:left w:w="108" w:type="dxa"/>
              <w:bottom w:w="0" w:type="dxa"/>
              <w:right w:w="108" w:type="dxa"/>
            </w:tcMar>
          </w:tcPr>
          <w:p w14:paraId="3880C5AE"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Temperature</w:t>
            </w:r>
          </w:p>
        </w:tc>
        <w:tc>
          <w:tcPr>
            <w:tcW w:w="1787" w:type="dxa"/>
            <w:gridSpan w:val="2"/>
            <w:tcBorders>
              <w:top w:val="single" w:sz="4" w:space="0" w:color="7F7F7F"/>
              <w:bottom w:val="single" w:sz="4" w:space="0" w:color="7F7F7F"/>
            </w:tcBorders>
            <w:tcMar>
              <w:top w:w="0" w:type="dxa"/>
              <w:left w:w="108" w:type="dxa"/>
              <w:bottom w:w="0" w:type="dxa"/>
              <w:right w:w="108" w:type="dxa"/>
            </w:tcMar>
          </w:tcPr>
          <w:p w14:paraId="3F2C894A"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Transparency</w:t>
            </w:r>
          </w:p>
        </w:tc>
        <w:tc>
          <w:tcPr>
            <w:tcW w:w="793" w:type="dxa"/>
            <w:tcBorders>
              <w:top w:val="single" w:sz="4" w:space="0" w:color="7F7F7F"/>
              <w:bottom w:val="single" w:sz="4" w:space="0" w:color="7F7F7F"/>
            </w:tcBorders>
            <w:tcMar>
              <w:top w:w="0" w:type="dxa"/>
              <w:left w:w="108" w:type="dxa"/>
              <w:bottom w:w="0" w:type="dxa"/>
              <w:right w:w="108" w:type="dxa"/>
            </w:tcMar>
          </w:tcPr>
          <w:p w14:paraId="2A9BB6FF"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TDS</w:t>
            </w:r>
          </w:p>
        </w:tc>
        <w:tc>
          <w:tcPr>
            <w:tcW w:w="1565" w:type="dxa"/>
            <w:tcBorders>
              <w:top w:val="single" w:sz="4" w:space="0" w:color="7F7F7F"/>
              <w:bottom w:val="single" w:sz="4" w:space="0" w:color="7F7F7F"/>
            </w:tcBorders>
            <w:tcMar>
              <w:top w:w="0" w:type="dxa"/>
              <w:left w:w="108" w:type="dxa"/>
              <w:bottom w:w="0" w:type="dxa"/>
              <w:right w:w="108" w:type="dxa"/>
            </w:tcMar>
          </w:tcPr>
          <w:p w14:paraId="32C829AE"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EC</w:t>
            </w:r>
          </w:p>
        </w:tc>
      </w:tr>
      <w:tr w:rsidR="00C8290E" w14:paraId="6D2D7F64" w14:textId="77777777">
        <w:trPr>
          <w:trHeight w:val="535"/>
        </w:trPr>
        <w:tc>
          <w:tcPr>
            <w:tcW w:w="1277" w:type="dxa"/>
            <w:tcMar>
              <w:top w:w="0" w:type="dxa"/>
              <w:left w:w="108" w:type="dxa"/>
              <w:bottom w:w="0" w:type="dxa"/>
              <w:right w:w="108" w:type="dxa"/>
            </w:tcMar>
          </w:tcPr>
          <w:p w14:paraId="7CBCA3A8"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August</w:t>
            </w:r>
          </w:p>
        </w:tc>
        <w:tc>
          <w:tcPr>
            <w:tcW w:w="1210" w:type="dxa"/>
            <w:gridSpan w:val="2"/>
            <w:tcMar>
              <w:top w:w="0" w:type="dxa"/>
              <w:left w:w="108" w:type="dxa"/>
              <w:bottom w:w="0" w:type="dxa"/>
              <w:right w:w="108" w:type="dxa"/>
            </w:tcMar>
          </w:tcPr>
          <w:p w14:paraId="6BDF6701"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5.40±0.10</w:t>
            </w:r>
            <w:r>
              <w:rPr>
                <w:rFonts w:ascii="Times New Roman" w:hAnsi="Times New Roman"/>
                <w:sz w:val="20"/>
                <w:szCs w:val="20"/>
                <w:vertAlign w:val="superscript"/>
                <w:lang w:eastAsia="en-US"/>
              </w:rPr>
              <w:t>e</w:t>
            </w:r>
          </w:p>
        </w:tc>
        <w:tc>
          <w:tcPr>
            <w:tcW w:w="1289" w:type="dxa"/>
            <w:gridSpan w:val="2"/>
            <w:tcMar>
              <w:top w:w="0" w:type="dxa"/>
              <w:left w:w="108" w:type="dxa"/>
              <w:bottom w:w="0" w:type="dxa"/>
              <w:right w:w="108" w:type="dxa"/>
            </w:tcMar>
          </w:tcPr>
          <w:p w14:paraId="747F7EAE"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6.95±0.05</w:t>
            </w:r>
            <w:r>
              <w:rPr>
                <w:rFonts w:ascii="Times New Roman" w:hAnsi="Times New Roman"/>
                <w:sz w:val="20"/>
                <w:szCs w:val="20"/>
                <w:vertAlign w:val="superscript"/>
                <w:lang w:eastAsia="en-US"/>
              </w:rPr>
              <w:t>bc</w:t>
            </w:r>
          </w:p>
        </w:tc>
        <w:tc>
          <w:tcPr>
            <w:tcW w:w="1289" w:type="dxa"/>
            <w:tcMar>
              <w:top w:w="0" w:type="dxa"/>
              <w:left w:w="108" w:type="dxa"/>
              <w:bottom w:w="0" w:type="dxa"/>
              <w:right w:w="108" w:type="dxa"/>
            </w:tcMar>
          </w:tcPr>
          <w:p w14:paraId="5A2BDA03"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37.30±0.10</w:t>
            </w:r>
            <w:r>
              <w:rPr>
                <w:rFonts w:ascii="Times New Roman" w:hAnsi="Times New Roman"/>
                <w:sz w:val="20"/>
                <w:szCs w:val="20"/>
                <w:vertAlign w:val="superscript"/>
                <w:lang w:eastAsia="en-US"/>
              </w:rPr>
              <w:t>a</w:t>
            </w:r>
          </w:p>
        </w:tc>
        <w:tc>
          <w:tcPr>
            <w:tcW w:w="1433" w:type="dxa"/>
            <w:gridSpan w:val="2"/>
            <w:tcMar>
              <w:top w:w="0" w:type="dxa"/>
              <w:left w:w="108" w:type="dxa"/>
              <w:bottom w:w="0" w:type="dxa"/>
              <w:right w:w="108" w:type="dxa"/>
            </w:tcMar>
          </w:tcPr>
          <w:p w14:paraId="5F57883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173.00±1.00</w:t>
            </w:r>
            <w:r>
              <w:rPr>
                <w:rFonts w:ascii="Times New Roman" w:hAnsi="Times New Roman"/>
                <w:sz w:val="20"/>
                <w:szCs w:val="20"/>
                <w:vertAlign w:val="superscript"/>
                <w:lang w:eastAsia="en-US"/>
              </w:rPr>
              <w:t>c</w:t>
            </w:r>
          </w:p>
        </w:tc>
        <w:tc>
          <w:tcPr>
            <w:tcW w:w="1513" w:type="dxa"/>
            <w:gridSpan w:val="2"/>
            <w:tcMar>
              <w:top w:w="0" w:type="dxa"/>
              <w:left w:w="108" w:type="dxa"/>
              <w:bottom w:w="0" w:type="dxa"/>
              <w:right w:w="108" w:type="dxa"/>
            </w:tcMar>
          </w:tcPr>
          <w:p w14:paraId="3C11B219"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62.00±1.00</w:t>
            </w:r>
            <w:r>
              <w:rPr>
                <w:rFonts w:ascii="Times New Roman" w:hAnsi="Times New Roman"/>
                <w:sz w:val="20"/>
                <w:szCs w:val="20"/>
                <w:vertAlign w:val="superscript"/>
                <w:lang w:eastAsia="en-US"/>
              </w:rPr>
              <w:t>a</w:t>
            </w:r>
          </w:p>
        </w:tc>
        <w:tc>
          <w:tcPr>
            <w:tcW w:w="1565" w:type="dxa"/>
            <w:tcBorders>
              <w:top w:val="single" w:sz="4" w:space="0" w:color="7F7F7F"/>
            </w:tcBorders>
            <w:tcMar>
              <w:top w:w="0" w:type="dxa"/>
              <w:left w:w="108" w:type="dxa"/>
              <w:bottom w:w="0" w:type="dxa"/>
              <w:right w:w="108" w:type="dxa"/>
            </w:tcMar>
          </w:tcPr>
          <w:p w14:paraId="0DEA363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134.50±0.50</w:t>
            </w:r>
            <w:r>
              <w:rPr>
                <w:rFonts w:ascii="Times New Roman" w:hAnsi="Times New Roman"/>
                <w:sz w:val="20"/>
                <w:szCs w:val="20"/>
                <w:vertAlign w:val="superscript"/>
                <w:lang w:eastAsia="en-US"/>
              </w:rPr>
              <w:t>b</w:t>
            </w:r>
          </w:p>
        </w:tc>
      </w:tr>
      <w:tr w:rsidR="00C8290E" w14:paraId="5982F91D" w14:textId="77777777">
        <w:trPr>
          <w:trHeight w:val="535"/>
        </w:trPr>
        <w:tc>
          <w:tcPr>
            <w:tcW w:w="1277" w:type="dxa"/>
            <w:tcMar>
              <w:top w:w="0" w:type="dxa"/>
              <w:left w:w="108" w:type="dxa"/>
              <w:bottom w:w="0" w:type="dxa"/>
              <w:right w:w="108" w:type="dxa"/>
            </w:tcMar>
          </w:tcPr>
          <w:p w14:paraId="057D02C3"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September</w:t>
            </w:r>
          </w:p>
        </w:tc>
        <w:tc>
          <w:tcPr>
            <w:tcW w:w="1210" w:type="dxa"/>
            <w:gridSpan w:val="2"/>
            <w:tcMar>
              <w:top w:w="0" w:type="dxa"/>
              <w:left w:w="108" w:type="dxa"/>
              <w:bottom w:w="0" w:type="dxa"/>
              <w:right w:w="108" w:type="dxa"/>
            </w:tcMar>
          </w:tcPr>
          <w:p w14:paraId="27DFA7D1"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5.95±0.05</w:t>
            </w:r>
            <w:r>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4A35C083"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6.49±0.01</w:t>
            </w:r>
            <w:r>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0B27354A"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33.53±0.03</w:t>
            </w:r>
            <w:r>
              <w:rPr>
                <w:rFonts w:ascii="Times New Roman" w:hAnsi="Times New Roman"/>
                <w:sz w:val="20"/>
                <w:szCs w:val="20"/>
                <w:vertAlign w:val="superscript"/>
                <w:lang w:eastAsia="en-US"/>
              </w:rPr>
              <w:t>d</w:t>
            </w:r>
          </w:p>
        </w:tc>
        <w:tc>
          <w:tcPr>
            <w:tcW w:w="1433" w:type="dxa"/>
            <w:gridSpan w:val="2"/>
            <w:tcMar>
              <w:top w:w="0" w:type="dxa"/>
              <w:left w:w="108" w:type="dxa"/>
              <w:bottom w:w="0" w:type="dxa"/>
              <w:right w:w="108" w:type="dxa"/>
            </w:tcMar>
          </w:tcPr>
          <w:p w14:paraId="7A34073C"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188.00±0.00</w:t>
            </w:r>
            <w:r>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9068135"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59.00±1.00</w:t>
            </w:r>
            <w:r>
              <w:rPr>
                <w:rFonts w:ascii="Times New Roman" w:hAnsi="Times New Roman"/>
                <w:sz w:val="20"/>
                <w:szCs w:val="20"/>
                <w:vertAlign w:val="superscript"/>
                <w:lang w:eastAsia="en-US"/>
              </w:rPr>
              <w:t>b</w:t>
            </w:r>
          </w:p>
        </w:tc>
        <w:tc>
          <w:tcPr>
            <w:tcW w:w="1565" w:type="dxa"/>
            <w:tcMar>
              <w:top w:w="0" w:type="dxa"/>
              <w:left w:w="108" w:type="dxa"/>
              <w:bottom w:w="0" w:type="dxa"/>
              <w:right w:w="108" w:type="dxa"/>
            </w:tcMar>
          </w:tcPr>
          <w:p w14:paraId="4997A43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117.50±2.50</w:t>
            </w:r>
            <w:r>
              <w:rPr>
                <w:rFonts w:ascii="Times New Roman" w:hAnsi="Times New Roman"/>
                <w:sz w:val="20"/>
                <w:szCs w:val="20"/>
                <w:vertAlign w:val="superscript"/>
                <w:lang w:eastAsia="en-US"/>
              </w:rPr>
              <w:t>d</w:t>
            </w:r>
          </w:p>
        </w:tc>
      </w:tr>
      <w:tr w:rsidR="00C8290E" w14:paraId="06CE3BF6" w14:textId="77777777">
        <w:trPr>
          <w:trHeight w:val="535"/>
        </w:trPr>
        <w:tc>
          <w:tcPr>
            <w:tcW w:w="1277" w:type="dxa"/>
            <w:tcMar>
              <w:top w:w="0" w:type="dxa"/>
              <w:left w:w="108" w:type="dxa"/>
              <w:bottom w:w="0" w:type="dxa"/>
              <w:right w:w="108" w:type="dxa"/>
            </w:tcMar>
          </w:tcPr>
          <w:p w14:paraId="109BBD68"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October</w:t>
            </w:r>
          </w:p>
        </w:tc>
        <w:tc>
          <w:tcPr>
            <w:tcW w:w="1210" w:type="dxa"/>
            <w:gridSpan w:val="2"/>
            <w:tcMar>
              <w:top w:w="0" w:type="dxa"/>
              <w:left w:w="108" w:type="dxa"/>
              <w:bottom w:w="0" w:type="dxa"/>
              <w:right w:w="108" w:type="dxa"/>
            </w:tcMar>
          </w:tcPr>
          <w:p w14:paraId="41BDF986"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6.35±0.05</w:t>
            </w:r>
            <w:r>
              <w:rPr>
                <w:rFonts w:ascii="Times New Roman" w:hAnsi="Times New Roman"/>
                <w:sz w:val="20"/>
                <w:szCs w:val="20"/>
                <w:vertAlign w:val="superscript"/>
                <w:lang w:eastAsia="en-US"/>
              </w:rPr>
              <w:t>b</w:t>
            </w:r>
          </w:p>
        </w:tc>
        <w:tc>
          <w:tcPr>
            <w:tcW w:w="1289" w:type="dxa"/>
            <w:gridSpan w:val="2"/>
            <w:tcMar>
              <w:top w:w="0" w:type="dxa"/>
              <w:left w:w="108" w:type="dxa"/>
              <w:bottom w:w="0" w:type="dxa"/>
              <w:right w:w="108" w:type="dxa"/>
            </w:tcMar>
          </w:tcPr>
          <w:p w14:paraId="301A731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6.85±0.05</w:t>
            </w:r>
            <w:r>
              <w:rPr>
                <w:rFonts w:ascii="Times New Roman" w:hAnsi="Times New Roman"/>
                <w:sz w:val="20"/>
                <w:szCs w:val="20"/>
                <w:vertAlign w:val="superscript"/>
                <w:lang w:eastAsia="en-US"/>
              </w:rPr>
              <w:t>c</w:t>
            </w:r>
          </w:p>
        </w:tc>
        <w:tc>
          <w:tcPr>
            <w:tcW w:w="1289" w:type="dxa"/>
            <w:tcMar>
              <w:top w:w="0" w:type="dxa"/>
              <w:left w:w="108" w:type="dxa"/>
              <w:bottom w:w="0" w:type="dxa"/>
              <w:right w:w="108" w:type="dxa"/>
            </w:tcMar>
          </w:tcPr>
          <w:p w14:paraId="01BE9C1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32.74±0.04</w:t>
            </w:r>
            <w:r>
              <w:rPr>
                <w:rFonts w:ascii="Times New Roman" w:hAnsi="Times New Roman"/>
                <w:sz w:val="20"/>
                <w:szCs w:val="20"/>
                <w:vertAlign w:val="superscript"/>
                <w:lang w:eastAsia="en-US"/>
              </w:rPr>
              <w:t>e</w:t>
            </w:r>
          </w:p>
        </w:tc>
        <w:tc>
          <w:tcPr>
            <w:tcW w:w="1433" w:type="dxa"/>
            <w:gridSpan w:val="2"/>
            <w:tcMar>
              <w:top w:w="0" w:type="dxa"/>
              <w:left w:w="108" w:type="dxa"/>
              <w:bottom w:w="0" w:type="dxa"/>
              <w:right w:w="108" w:type="dxa"/>
            </w:tcMar>
          </w:tcPr>
          <w:p w14:paraId="0876EA9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187.80±0.20</w:t>
            </w:r>
            <w:r>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55113F6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59.50±0.50</w:t>
            </w:r>
            <w:r>
              <w:rPr>
                <w:rFonts w:ascii="Times New Roman" w:hAnsi="Times New Roman"/>
                <w:sz w:val="20"/>
                <w:szCs w:val="20"/>
                <w:vertAlign w:val="superscript"/>
                <w:lang w:eastAsia="en-US"/>
              </w:rPr>
              <w:t>ab</w:t>
            </w:r>
          </w:p>
        </w:tc>
        <w:tc>
          <w:tcPr>
            <w:tcW w:w="1565" w:type="dxa"/>
            <w:tcMar>
              <w:top w:w="0" w:type="dxa"/>
              <w:left w:w="108" w:type="dxa"/>
              <w:bottom w:w="0" w:type="dxa"/>
              <w:right w:w="108" w:type="dxa"/>
            </w:tcMar>
          </w:tcPr>
          <w:p w14:paraId="11B92507"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124.50±0.50</w:t>
            </w:r>
            <w:r>
              <w:rPr>
                <w:rFonts w:ascii="Times New Roman" w:hAnsi="Times New Roman"/>
                <w:sz w:val="20"/>
                <w:szCs w:val="20"/>
                <w:vertAlign w:val="superscript"/>
                <w:lang w:eastAsia="en-US"/>
              </w:rPr>
              <w:t>c</w:t>
            </w:r>
          </w:p>
        </w:tc>
      </w:tr>
      <w:tr w:rsidR="00C8290E" w14:paraId="47106DA9" w14:textId="77777777">
        <w:trPr>
          <w:trHeight w:val="535"/>
        </w:trPr>
        <w:tc>
          <w:tcPr>
            <w:tcW w:w="1277" w:type="dxa"/>
            <w:tcMar>
              <w:top w:w="0" w:type="dxa"/>
              <w:left w:w="108" w:type="dxa"/>
              <w:bottom w:w="0" w:type="dxa"/>
              <w:right w:w="108" w:type="dxa"/>
            </w:tcMar>
          </w:tcPr>
          <w:p w14:paraId="30DF0B9C"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November</w:t>
            </w:r>
          </w:p>
        </w:tc>
        <w:tc>
          <w:tcPr>
            <w:tcW w:w="1210" w:type="dxa"/>
            <w:gridSpan w:val="2"/>
            <w:tcMar>
              <w:top w:w="0" w:type="dxa"/>
              <w:left w:w="108" w:type="dxa"/>
              <w:bottom w:w="0" w:type="dxa"/>
              <w:right w:w="108" w:type="dxa"/>
            </w:tcMar>
          </w:tcPr>
          <w:p w14:paraId="77CD1ED5"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6.70±0.10</w:t>
            </w:r>
            <w:r>
              <w:rPr>
                <w:rFonts w:ascii="Times New Roman" w:hAnsi="Times New Roman"/>
                <w:sz w:val="20"/>
                <w:szCs w:val="20"/>
                <w:vertAlign w:val="superscript"/>
                <w:lang w:eastAsia="en-US"/>
              </w:rPr>
              <w:t>a</w:t>
            </w:r>
          </w:p>
        </w:tc>
        <w:tc>
          <w:tcPr>
            <w:tcW w:w="1289" w:type="dxa"/>
            <w:gridSpan w:val="2"/>
            <w:tcMar>
              <w:top w:w="0" w:type="dxa"/>
              <w:left w:w="108" w:type="dxa"/>
              <w:bottom w:w="0" w:type="dxa"/>
              <w:right w:w="108" w:type="dxa"/>
            </w:tcMar>
          </w:tcPr>
          <w:p w14:paraId="1324D64E"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7.05±0.05</w:t>
            </w:r>
            <w:r>
              <w:rPr>
                <w:rFonts w:ascii="Times New Roman" w:hAnsi="Times New Roman"/>
                <w:sz w:val="20"/>
                <w:szCs w:val="20"/>
                <w:vertAlign w:val="superscript"/>
                <w:lang w:eastAsia="en-US"/>
              </w:rPr>
              <w:t>ab</w:t>
            </w:r>
          </w:p>
        </w:tc>
        <w:tc>
          <w:tcPr>
            <w:tcW w:w="1289" w:type="dxa"/>
            <w:tcMar>
              <w:top w:w="0" w:type="dxa"/>
              <w:left w:w="108" w:type="dxa"/>
              <w:bottom w:w="0" w:type="dxa"/>
              <w:right w:w="108" w:type="dxa"/>
            </w:tcMar>
          </w:tcPr>
          <w:p w14:paraId="073E2ACF"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29.54±0.04</w:t>
            </w:r>
            <w:r>
              <w:rPr>
                <w:rFonts w:ascii="Times New Roman" w:hAnsi="Times New Roman"/>
                <w:sz w:val="20"/>
                <w:szCs w:val="20"/>
                <w:vertAlign w:val="superscript"/>
                <w:lang w:eastAsia="en-US"/>
              </w:rPr>
              <w:t>f</w:t>
            </w:r>
          </w:p>
        </w:tc>
        <w:tc>
          <w:tcPr>
            <w:tcW w:w="1433" w:type="dxa"/>
            <w:gridSpan w:val="2"/>
            <w:tcMar>
              <w:top w:w="0" w:type="dxa"/>
              <w:left w:w="108" w:type="dxa"/>
              <w:bottom w:w="0" w:type="dxa"/>
              <w:right w:w="108" w:type="dxa"/>
            </w:tcMar>
          </w:tcPr>
          <w:p w14:paraId="76FCEAB6"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184.75±0.25</w:t>
            </w:r>
            <w:r>
              <w:rPr>
                <w:rFonts w:ascii="Times New Roman" w:hAnsi="Times New Roman"/>
                <w:sz w:val="20"/>
                <w:szCs w:val="20"/>
                <w:vertAlign w:val="superscript"/>
                <w:lang w:eastAsia="en-US"/>
              </w:rPr>
              <w:t>b</w:t>
            </w:r>
          </w:p>
        </w:tc>
        <w:tc>
          <w:tcPr>
            <w:tcW w:w="1513" w:type="dxa"/>
            <w:gridSpan w:val="2"/>
            <w:tcMar>
              <w:top w:w="0" w:type="dxa"/>
              <w:left w:w="108" w:type="dxa"/>
              <w:bottom w:w="0" w:type="dxa"/>
              <w:right w:w="108" w:type="dxa"/>
            </w:tcMar>
          </w:tcPr>
          <w:p w14:paraId="5FC54C1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32.00±1.00</w:t>
            </w:r>
            <w:r>
              <w:rPr>
                <w:rFonts w:ascii="Times New Roman" w:hAnsi="Times New Roman"/>
                <w:sz w:val="20"/>
                <w:szCs w:val="20"/>
                <w:vertAlign w:val="superscript"/>
                <w:lang w:eastAsia="en-US"/>
              </w:rPr>
              <w:t>f</w:t>
            </w:r>
          </w:p>
        </w:tc>
        <w:tc>
          <w:tcPr>
            <w:tcW w:w="1565" w:type="dxa"/>
            <w:tcMar>
              <w:top w:w="0" w:type="dxa"/>
              <w:left w:w="108" w:type="dxa"/>
              <w:bottom w:w="0" w:type="dxa"/>
              <w:right w:w="108" w:type="dxa"/>
            </w:tcMar>
          </w:tcPr>
          <w:p w14:paraId="2F03FD1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143.50±1.50</w:t>
            </w:r>
            <w:r>
              <w:rPr>
                <w:rFonts w:ascii="Times New Roman" w:hAnsi="Times New Roman"/>
                <w:sz w:val="20"/>
                <w:szCs w:val="20"/>
                <w:vertAlign w:val="superscript"/>
                <w:lang w:eastAsia="en-US"/>
              </w:rPr>
              <w:t>a</w:t>
            </w:r>
          </w:p>
        </w:tc>
      </w:tr>
      <w:tr w:rsidR="00C8290E" w14:paraId="42C6F941" w14:textId="77777777">
        <w:trPr>
          <w:trHeight w:val="535"/>
        </w:trPr>
        <w:tc>
          <w:tcPr>
            <w:tcW w:w="1277" w:type="dxa"/>
            <w:tcMar>
              <w:top w:w="0" w:type="dxa"/>
              <w:left w:w="108" w:type="dxa"/>
              <w:bottom w:w="0" w:type="dxa"/>
              <w:right w:w="108" w:type="dxa"/>
            </w:tcMar>
          </w:tcPr>
          <w:p w14:paraId="5C4BC93B"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December</w:t>
            </w:r>
          </w:p>
        </w:tc>
        <w:tc>
          <w:tcPr>
            <w:tcW w:w="1210" w:type="dxa"/>
            <w:gridSpan w:val="2"/>
            <w:tcMar>
              <w:top w:w="0" w:type="dxa"/>
              <w:left w:w="108" w:type="dxa"/>
              <w:bottom w:w="0" w:type="dxa"/>
              <w:right w:w="108" w:type="dxa"/>
            </w:tcMar>
          </w:tcPr>
          <w:p w14:paraId="6273B84B"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5.90±0.10</w:t>
            </w:r>
            <w:r>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0C72099D"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6.43±0.01</w:t>
            </w:r>
            <w:r>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0DE782E3"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35.24±0.04</w:t>
            </w:r>
            <w:r>
              <w:rPr>
                <w:rFonts w:ascii="Times New Roman" w:hAnsi="Times New Roman"/>
                <w:sz w:val="20"/>
                <w:szCs w:val="20"/>
                <w:vertAlign w:val="superscript"/>
                <w:lang w:eastAsia="en-US"/>
              </w:rPr>
              <w:t>b</w:t>
            </w:r>
          </w:p>
        </w:tc>
        <w:tc>
          <w:tcPr>
            <w:tcW w:w="1433" w:type="dxa"/>
            <w:gridSpan w:val="2"/>
            <w:tcMar>
              <w:top w:w="0" w:type="dxa"/>
              <w:left w:w="108" w:type="dxa"/>
              <w:bottom w:w="0" w:type="dxa"/>
              <w:right w:w="108" w:type="dxa"/>
            </w:tcMar>
          </w:tcPr>
          <w:p w14:paraId="0594F072"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189.50±0.50</w:t>
            </w:r>
            <w:r>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DD8FECF"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49.50±0.50</w:t>
            </w:r>
            <w:r>
              <w:rPr>
                <w:rFonts w:ascii="Times New Roman" w:hAnsi="Times New Roman"/>
                <w:sz w:val="20"/>
                <w:szCs w:val="20"/>
                <w:vertAlign w:val="superscript"/>
                <w:lang w:eastAsia="en-US"/>
              </w:rPr>
              <w:t>d</w:t>
            </w:r>
          </w:p>
        </w:tc>
        <w:tc>
          <w:tcPr>
            <w:tcW w:w="1565" w:type="dxa"/>
            <w:tcMar>
              <w:top w:w="0" w:type="dxa"/>
              <w:left w:w="108" w:type="dxa"/>
              <w:bottom w:w="0" w:type="dxa"/>
              <w:right w:w="108" w:type="dxa"/>
            </w:tcMar>
          </w:tcPr>
          <w:p w14:paraId="48B42A4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131.50±1.50</w:t>
            </w:r>
            <w:r>
              <w:rPr>
                <w:rFonts w:ascii="Times New Roman" w:hAnsi="Times New Roman"/>
                <w:sz w:val="20"/>
                <w:szCs w:val="20"/>
                <w:vertAlign w:val="superscript"/>
                <w:lang w:eastAsia="en-US"/>
              </w:rPr>
              <w:t>b</w:t>
            </w:r>
          </w:p>
        </w:tc>
      </w:tr>
      <w:tr w:rsidR="00C8290E" w14:paraId="7960B93A" w14:textId="77777777">
        <w:trPr>
          <w:trHeight w:val="535"/>
        </w:trPr>
        <w:tc>
          <w:tcPr>
            <w:tcW w:w="1277" w:type="dxa"/>
            <w:tcMar>
              <w:top w:w="0" w:type="dxa"/>
              <w:left w:w="108" w:type="dxa"/>
              <w:bottom w:w="0" w:type="dxa"/>
              <w:right w:w="108" w:type="dxa"/>
            </w:tcMar>
          </w:tcPr>
          <w:p w14:paraId="6654F812"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January</w:t>
            </w:r>
          </w:p>
        </w:tc>
        <w:tc>
          <w:tcPr>
            <w:tcW w:w="1210" w:type="dxa"/>
            <w:gridSpan w:val="2"/>
            <w:tcMar>
              <w:top w:w="0" w:type="dxa"/>
              <w:left w:w="108" w:type="dxa"/>
              <w:bottom w:w="0" w:type="dxa"/>
              <w:right w:w="108" w:type="dxa"/>
            </w:tcMar>
          </w:tcPr>
          <w:p w14:paraId="64BDB2FD"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5.65±0.05</w:t>
            </w:r>
            <w:r>
              <w:rPr>
                <w:rFonts w:ascii="Times New Roman" w:hAnsi="Times New Roman"/>
                <w:sz w:val="20"/>
                <w:szCs w:val="20"/>
                <w:vertAlign w:val="superscript"/>
                <w:lang w:eastAsia="en-US"/>
              </w:rPr>
              <w:t>de</w:t>
            </w:r>
          </w:p>
        </w:tc>
        <w:tc>
          <w:tcPr>
            <w:tcW w:w="1289" w:type="dxa"/>
            <w:gridSpan w:val="2"/>
            <w:tcMar>
              <w:top w:w="0" w:type="dxa"/>
              <w:left w:w="108" w:type="dxa"/>
              <w:bottom w:w="0" w:type="dxa"/>
              <w:right w:w="108" w:type="dxa"/>
            </w:tcMar>
          </w:tcPr>
          <w:p w14:paraId="5C8875B1"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7.22±0.01</w:t>
            </w:r>
            <w:r>
              <w:rPr>
                <w:rFonts w:ascii="Times New Roman" w:hAnsi="Times New Roman"/>
                <w:sz w:val="20"/>
                <w:szCs w:val="20"/>
                <w:vertAlign w:val="superscript"/>
                <w:lang w:eastAsia="en-US"/>
              </w:rPr>
              <w:t>a</w:t>
            </w:r>
          </w:p>
        </w:tc>
        <w:tc>
          <w:tcPr>
            <w:tcW w:w="1289" w:type="dxa"/>
            <w:tcMar>
              <w:top w:w="0" w:type="dxa"/>
              <w:left w:w="108" w:type="dxa"/>
              <w:bottom w:w="0" w:type="dxa"/>
              <w:right w:w="108" w:type="dxa"/>
            </w:tcMar>
          </w:tcPr>
          <w:p w14:paraId="7A17E2B6"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34.35±0.05</w:t>
            </w:r>
            <w:r>
              <w:rPr>
                <w:rFonts w:ascii="Times New Roman" w:hAnsi="Times New Roman"/>
                <w:sz w:val="20"/>
                <w:szCs w:val="20"/>
                <w:vertAlign w:val="superscript"/>
                <w:lang w:eastAsia="en-US"/>
              </w:rPr>
              <w:t>c</w:t>
            </w:r>
          </w:p>
        </w:tc>
        <w:tc>
          <w:tcPr>
            <w:tcW w:w="1433" w:type="dxa"/>
            <w:gridSpan w:val="2"/>
            <w:tcMar>
              <w:top w:w="0" w:type="dxa"/>
              <w:left w:w="108" w:type="dxa"/>
              <w:bottom w:w="0" w:type="dxa"/>
              <w:right w:w="108" w:type="dxa"/>
            </w:tcMar>
          </w:tcPr>
          <w:p w14:paraId="0161510A"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161.50±0.50</w:t>
            </w:r>
            <w:r>
              <w:rPr>
                <w:rFonts w:ascii="Times New Roman" w:hAnsi="Times New Roman"/>
                <w:sz w:val="20"/>
                <w:szCs w:val="20"/>
                <w:vertAlign w:val="superscript"/>
                <w:lang w:eastAsia="en-US"/>
              </w:rPr>
              <w:t>d</w:t>
            </w:r>
          </w:p>
        </w:tc>
        <w:tc>
          <w:tcPr>
            <w:tcW w:w="1513" w:type="dxa"/>
            <w:gridSpan w:val="2"/>
            <w:tcMar>
              <w:top w:w="0" w:type="dxa"/>
              <w:left w:w="108" w:type="dxa"/>
              <w:bottom w:w="0" w:type="dxa"/>
              <w:right w:w="108" w:type="dxa"/>
            </w:tcMar>
          </w:tcPr>
          <w:p w14:paraId="0D6E95EC"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54.00±1.00</w:t>
            </w:r>
            <w:r>
              <w:rPr>
                <w:rFonts w:ascii="Times New Roman" w:hAnsi="Times New Roman"/>
                <w:sz w:val="20"/>
                <w:szCs w:val="20"/>
                <w:vertAlign w:val="superscript"/>
                <w:lang w:eastAsia="en-US"/>
              </w:rPr>
              <w:t>c</w:t>
            </w:r>
          </w:p>
        </w:tc>
        <w:tc>
          <w:tcPr>
            <w:tcW w:w="1565" w:type="dxa"/>
            <w:tcMar>
              <w:top w:w="0" w:type="dxa"/>
              <w:left w:w="108" w:type="dxa"/>
              <w:bottom w:w="0" w:type="dxa"/>
              <w:right w:w="108" w:type="dxa"/>
            </w:tcMar>
          </w:tcPr>
          <w:p w14:paraId="667A356E"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148.00±2.00</w:t>
            </w:r>
            <w:r>
              <w:rPr>
                <w:rFonts w:ascii="Times New Roman" w:hAnsi="Times New Roman"/>
                <w:sz w:val="20"/>
                <w:szCs w:val="20"/>
                <w:vertAlign w:val="superscript"/>
                <w:lang w:eastAsia="en-US"/>
              </w:rPr>
              <w:t>a</w:t>
            </w:r>
          </w:p>
        </w:tc>
      </w:tr>
      <w:tr w:rsidR="00C8290E" w14:paraId="26DE321E" w14:textId="77777777">
        <w:trPr>
          <w:trHeight w:val="535"/>
        </w:trPr>
        <w:tc>
          <w:tcPr>
            <w:tcW w:w="1277" w:type="dxa"/>
            <w:tcBorders>
              <w:bottom w:val="single" w:sz="4" w:space="0" w:color="7F7F7F"/>
            </w:tcBorders>
            <w:tcMar>
              <w:top w:w="0" w:type="dxa"/>
              <w:left w:w="108" w:type="dxa"/>
              <w:bottom w:w="0" w:type="dxa"/>
              <w:right w:w="108" w:type="dxa"/>
            </w:tcMar>
          </w:tcPr>
          <w:p w14:paraId="0EAEDCC3" w14:textId="77777777" w:rsidR="00C8290E" w:rsidRDefault="00000000">
            <w:pPr>
              <w:spacing w:after="160" w:line="240" w:lineRule="auto"/>
              <w:jc w:val="both"/>
              <w:rPr>
                <w:rFonts w:ascii="Times New Roman" w:hAnsi="Times New Roman"/>
                <w:sz w:val="20"/>
                <w:szCs w:val="20"/>
              </w:rPr>
            </w:pPr>
            <w:r>
              <w:rPr>
                <w:rFonts w:ascii="Times New Roman" w:eastAsia="Calibri" w:hAnsi="Times New Roman"/>
                <w:sz w:val="20"/>
                <w:szCs w:val="20"/>
                <w:lang w:eastAsia="en-US"/>
              </w:rPr>
              <w:t>P-Value</w:t>
            </w:r>
          </w:p>
        </w:tc>
        <w:tc>
          <w:tcPr>
            <w:tcW w:w="1210" w:type="dxa"/>
            <w:gridSpan w:val="2"/>
            <w:tcBorders>
              <w:bottom w:val="single" w:sz="4" w:space="0" w:color="7F7F7F"/>
            </w:tcBorders>
            <w:tcMar>
              <w:top w:w="0" w:type="dxa"/>
              <w:left w:w="108" w:type="dxa"/>
              <w:bottom w:w="0" w:type="dxa"/>
              <w:right w:w="108" w:type="dxa"/>
            </w:tcMar>
          </w:tcPr>
          <w:p w14:paraId="6557CD86"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289" w:type="dxa"/>
            <w:gridSpan w:val="2"/>
            <w:tcBorders>
              <w:bottom w:val="single" w:sz="4" w:space="0" w:color="7F7F7F"/>
            </w:tcBorders>
            <w:tcMar>
              <w:top w:w="0" w:type="dxa"/>
              <w:left w:w="108" w:type="dxa"/>
              <w:bottom w:w="0" w:type="dxa"/>
              <w:right w:w="108" w:type="dxa"/>
            </w:tcMar>
          </w:tcPr>
          <w:p w14:paraId="74747FB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289" w:type="dxa"/>
            <w:tcBorders>
              <w:bottom w:val="single" w:sz="4" w:space="0" w:color="7F7F7F"/>
            </w:tcBorders>
            <w:tcMar>
              <w:top w:w="0" w:type="dxa"/>
              <w:left w:w="108" w:type="dxa"/>
              <w:bottom w:w="0" w:type="dxa"/>
              <w:right w:w="108" w:type="dxa"/>
            </w:tcMar>
          </w:tcPr>
          <w:p w14:paraId="3454A138"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433" w:type="dxa"/>
            <w:gridSpan w:val="2"/>
            <w:tcBorders>
              <w:bottom w:val="single" w:sz="4" w:space="0" w:color="7F7F7F"/>
            </w:tcBorders>
            <w:tcMar>
              <w:top w:w="0" w:type="dxa"/>
              <w:left w:w="108" w:type="dxa"/>
              <w:bottom w:w="0" w:type="dxa"/>
              <w:right w:w="108" w:type="dxa"/>
            </w:tcMar>
          </w:tcPr>
          <w:p w14:paraId="2DB9A00F"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513" w:type="dxa"/>
            <w:gridSpan w:val="2"/>
            <w:tcBorders>
              <w:bottom w:val="single" w:sz="4" w:space="0" w:color="7F7F7F"/>
            </w:tcBorders>
            <w:tcMar>
              <w:top w:w="0" w:type="dxa"/>
              <w:left w:w="108" w:type="dxa"/>
              <w:bottom w:w="0" w:type="dxa"/>
              <w:right w:w="108" w:type="dxa"/>
            </w:tcMar>
          </w:tcPr>
          <w:p w14:paraId="453E3A90"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c>
          <w:tcPr>
            <w:tcW w:w="1565" w:type="dxa"/>
            <w:tcBorders>
              <w:bottom w:val="single" w:sz="4" w:space="0" w:color="7F7F7F"/>
            </w:tcBorders>
            <w:tcMar>
              <w:top w:w="0" w:type="dxa"/>
              <w:left w:w="108" w:type="dxa"/>
              <w:bottom w:w="0" w:type="dxa"/>
              <w:right w:w="108" w:type="dxa"/>
            </w:tcMar>
          </w:tcPr>
          <w:p w14:paraId="7F597B5A" w14:textId="77777777" w:rsidR="00C8290E" w:rsidRDefault="00000000">
            <w:pPr>
              <w:tabs>
                <w:tab w:val="decimal" w:pos="360"/>
              </w:tabs>
              <w:spacing w:line="240" w:lineRule="auto"/>
              <w:jc w:val="both"/>
              <w:rPr>
                <w:rFonts w:ascii="Times New Roman" w:hAnsi="Times New Roman"/>
                <w:sz w:val="20"/>
                <w:szCs w:val="20"/>
              </w:rPr>
            </w:pPr>
            <w:r>
              <w:rPr>
                <w:rFonts w:ascii="Times New Roman" w:hAnsi="Times New Roman"/>
                <w:sz w:val="20"/>
                <w:szCs w:val="20"/>
                <w:lang w:eastAsia="en-US"/>
              </w:rPr>
              <w:t>0.00</w:t>
            </w:r>
          </w:p>
        </w:tc>
      </w:tr>
    </w:tbl>
    <w:p w14:paraId="35357DA5" w14:textId="77777777" w:rsidR="00C8290E" w:rsidRDefault="00000000">
      <w:pPr>
        <w:spacing w:after="160" w:line="240" w:lineRule="auto"/>
        <w:jc w:val="both"/>
        <w:rPr>
          <w:rFonts w:ascii="Times New Roman" w:hAnsi="Times New Roman"/>
          <w:sz w:val="24"/>
          <w:szCs w:val="24"/>
        </w:rPr>
      </w:pPr>
      <w:r>
        <w:rPr>
          <w:rStyle w:val="SubtleEmphasis"/>
          <w:iCs/>
          <w:sz w:val="20"/>
          <w:szCs w:val="20"/>
          <w:lang w:eastAsia="en-US"/>
        </w:rPr>
        <w:t>*</w:t>
      </w:r>
      <w:proofErr w:type="gramStart"/>
      <w:r>
        <w:rPr>
          <w:rStyle w:val="SubtleEmphasis"/>
          <w:iCs/>
          <w:sz w:val="20"/>
          <w:szCs w:val="20"/>
          <w:lang w:eastAsia="en-US"/>
        </w:rPr>
        <w:t>means</w:t>
      </w:r>
      <w:proofErr w:type="gramEnd"/>
      <w:r>
        <w:rPr>
          <w:rStyle w:val="SubtleEmphasis"/>
          <w:iCs/>
          <w:sz w:val="20"/>
          <w:szCs w:val="20"/>
          <w:lang w:eastAsia="en-US"/>
        </w:rPr>
        <w:t xml:space="preserve"> in the same column with different superscripts differ significantly</w:t>
      </w:r>
    </w:p>
    <w:p w14:paraId="6021E720" w14:textId="77777777" w:rsidR="00C8290E" w:rsidRDefault="00C8290E">
      <w:pPr>
        <w:spacing w:after="160" w:line="240" w:lineRule="auto"/>
        <w:jc w:val="both"/>
        <w:rPr>
          <w:rStyle w:val="SubtleEmphasis"/>
          <w:b/>
          <w:bCs/>
          <w:i w:val="0"/>
          <w:sz w:val="24"/>
          <w:szCs w:val="24"/>
          <w:lang w:eastAsia="en-US"/>
        </w:rPr>
      </w:pPr>
    </w:p>
    <w:p w14:paraId="0FAC9BB5" w14:textId="77777777" w:rsidR="00C8290E" w:rsidRDefault="00C8290E">
      <w:pPr>
        <w:spacing w:after="160" w:line="240" w:lineRule="auto"/>
        <w:jc w:val="both"/>
        <w:rPr>
          <w:rStyle w:val="SubtleEmphasis"/>
          <w:b/>
          <w:bCs/>
          <w:i w:val="0"/>
          <w:sz w:val="24"/>
          <w:szCs w:val="24"/>
          <w:lang w:eastAsia="en-US"/>
        </w:rPr>
      </w:pPr>
    </w:p>
    <w:p w14:paraId="6BDE2380" w14:textId="77777777" w:rsidR="00C8290E" w:rsidRDefault="00C8290E">
      <w:pPr>
        <w:spacing w:after="160" w:line="240" w:lineRule="auto"/>
        <w:jc w:val="both"/>
        <w:rPr>
          <w:rStyle w:val="SubtleEmphasis"/>
          <w:b/>
          <w:bCs/>
          <w:i w:val="0"/>
          <w:sz w:val="24"/>
          <w:szCs w:val="24"/>
          <w:lang w:eastAsia="en-US"/>
        </w:rPr>
      </w:pPr>
    </w:p>
    <w:p w14:paraId="4404E0E8" w14:textId="77777777" w:rsidR="00C8290E" w:rsidRDefault="00000000">
      <w:pPr>
        <w:spacing w:after="160" w:line="240" w:lineRule="auto"/>
        <w:jc w:val="both"/>
        <w:rPr>
          <w:rFonts w:ascii="Times New Roman" w:hAnsi="Times New Roman"/>
          <w:b/>
          <w:bCs/>
          <w:sz w:val="24"/>
          <w:szCs w:val="24"/>
        </w:rPr>
      </w:pPr>
      <w:r>
        <w:rPr>
          <w:rStyle w:val="SubtleEmphasis"/>
          <w:b/>
          <w:bCs/>
          <w:i w:val="0"/>
          <w:sz w:val="24"/>
          <w:szCs w:val="24"/>
          <w:lang w:eastAsia="en-US"/>
        </w:rPr>
        <w:lastRenderedPageBreak/>
        <w:t>5.0 Discussion</w:t>
      </w:r>
    </w:p>
    <w:p w14:paraId="2EF73212" w14:textId="74C196F9" w:rsidR="00C8290E" w:rsidRDefault="00000000">
      <w:pPr>
        <w:spacing w:after="16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 food items found in the stomach of the prawns were categorized into four groups. These were detritus, green algae, insect parts and plant materials the food mostly eaten by the species was detritus followed by green algae this is  in agreement with (22) who also found similar food items in the stomach of </w:t>
      </w:r>
      <w:r>
        <w:rPr>
          <w:rFonts w:ascii="Times New Roman" w:eastAsia="Calibri" w:hAnsi="Times New Roman"/>
          <w:i/>
          <w:iCs/>
          <w:sz w:val="24"/>
          <w:szCs w:val="24"/>
          <w:lang w:eastAsia="en-US"/>
        </w:rPr>
        <w:t xml:space="preserve">A. </w:t>
      </w:r>
      <w:proofErr w:type="spellStart"/>
      <w:r>
        <w:rPr>
          <w:rFonts w:ascii="Times New Roman" w:eastAsia="Calibri" w:hAnsi="Times New Roman"/>
          <w:i/>
          <w:iCs/>
          <w:sz w:val="24"/>
          <w:szCs w:val="24"/>
          <w:lang w:eastAsia="en-US"/>
        </w:rPr>
        <w:t>gabonensis</w:t>
      </w:r>
      <w:proofErr w:type="spellEnd"/>
      <w:r>
        <w:rPr>
          <w:rFonts w:ascii="Times New Roman" w:eastAsia="Calibri" w:hAnsi="Times New Roman"/>
          <w:sz w:val="24"/>
          <w:szCs w:val="24"/>
          <w:lang w:eastAsia="en-US"/>
        </w:rPr>
        <w:t xml:space="preserve"> it also agreed with the findings from Other studies such as  (23) who reported that detritus was the most frequently encountered food item in </w:t>
      </w:r>
      <w:proofErr w:type="spellStart"/>
      <w:r>
        <w:rPr>
          <w:rFonts w:ascii="Times New Roman" w:eastAsia="Calibri" w:hAnsi="Times New Roman"/>
          <w:sz w:val="24"/>
          <w:szCs w:val="24"/>
          <w:lang w:eastAsia="en-US"/>
        </w:rPr>
        <w:t>Pseudopalaemon</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bouvieri</w:t>
      </w:r>
      <w:proofErr w:type="spellEnd"/>
      <w:r>
        <w:rPr>
          <w:rFonts w:ascii="Times New Roman" w:eastAsia="Calibri" w:hAnsi="Times New Roman"/>
          <w:sz w:val="24"/>
          <w:szCs w:val="24"/>
          <w:lang w:eastAsia="en-US"/>
        </w:rPr>
        <w:t xml:space="preserve">, supporting the view that prawns rely heavily on organic matter in sediments. Similarly, (24) observed that detritus dominated the diet of Macrobrachium </w:t>
      </w:r>
      <w:proofErr w:type="spellStart"/>
      <w:r>
        <w:rPr>
          <w:rFonts w:ascii="Times New Roman" w:eastAsia="Calibri" w:hAnsi="Times New Roman"/>
          <w:sz w:val="24"/>
          <w:szCs w:val="24"/>
          <w:lang w:eastAsia="en-US"/>
        </w:rPr>
        <w:t>amazonicum</w:t>
      </w:r>
      <w:proofErr w:type="spellEnd"/>
      <w:r>
        <w:rPr>
          <w:rFonts w:ascii="Times New Roman" w:eastAsia="Calibri" w:hAnsi="Times New Roman"/>
          <w:sz w:val="24"/>
          <w:szCs w:val="24"/>
          <w:lang w:eastAsia="en-US"/>
        </w:rPr>
        <w:t xml:space="preserve"> in Brazilian floodplain lakes, while algae and plant materials complemented the diet, confirming their omnivorous and opportunistic feeding </w:t>
      </w:r>
      <w:proofErr w:type="spellStart"/>
      <w:r>
        <w:rPr>
          <w:rFonts w:ascii="Times New Roman" w:eastAsia="Calibri" w:hAnsi="Times New Roman"/>
          <w:sz w:val="24"/>
          <w:szCs w:val="24"/>
          <w:lang w:eastAsia="en-US"/>
        </w:rPr>
        <w:t>habit at</w:t>
      </w:r>
      <w:proofErr w:type="spellEnd"/>
      <w:r>
        <w:rPr>
          <w:rFonts w:ascii="Times New Roman" w:eastAsia="Calibri" w:hAnsi="Times New Roman"/>
          <w:sz w:val="24"/>
          <w:szCs w:val="24"/>
          <w:lang w:eastAsia="en-US"/>
        </w:rPr>
        <w:t xml:space="preserve">. (25) found that in some tropical rivers, prawns consumed higher proportions of algae and insect fragments during certain seasons, suggesting that food preference is strongly influenced by resource availability. Likewise, (26) highlighted that while detritus was common in giant freshwater prawns (Macrobrachium </w:t>
      </w:r>
      <w:proofErr w:type="spellStart"/>
      <w:r>
        <w:rPr>
          <w:rFonts w:ascii="Times New Roman" w:eastAsia="Calibri" w:hAnsi="Times New Roman"/>
          <w:sz w:val="24"/>
          <w:szCs w:val="24"/>
          <w:lang w:eastAsia="en-US"/>
        </w:rPr>
        <w:t>rosenbergii</w:t>
      </w:r>
      <w:proofErr w:type="spellEnd"/>
      <w:r>
        <w:rPr>
          <w:rFonts w:ascii="Times New Roman" w:eastAsia="Calibri" w:hAnsi="Times New Roman"/>
          <w:sz w:val="24"/>
          <w:szCs w:val="24"/>
          <w:lang w:eastAsia="en-US"/>
        </w:rPr>
        <w:t>), plant materials and even anthropogenic debris were also present, demonstrating flexibility in feeding.</w:t>
      </w:r>
    </w:p>
    <w:p w14:paraId="5C48B507" w14:textId="09ED3F59" w:rsidR="00C8290E" w:rsidRDefault="00000000">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The physicochemical parameters of Lower River Benue showed some variation for months and seasons. The water temperature of the Lower River Benue was within the range of 29.54⁰ʗ - 37.30⁰ʗ meant for domestic purposes and for fish culture in the tropics (27; 28). The lowest water temperature was recorded in the rainy seasons than the dry seasons in this study, this was similar to the findings of (29) and (30) but differs from other studies where the water temperatures were observed to be low during the dry season (</w:t>
      </w:r>
      <w:proofErr w:type="gramStart"/>
      <w:r>
        <w:rPr>
          <w:rFonts w:ascii="Times New Roman" w:eastAsia="Calibri" w:hAnsi="Times New Roman"/>
          <w:sz w:val="24"/>
          <w:szCs w:val="24"/>
          <w:lang w:eastAsia="en-US"/>
        </w:rPr>
        <w:t>31,,</w:t>
      </w:r>
      <w:proofErr w:type="gramEnd"/>
      <w:r>
        <w:rPr>
          <w:rFonts w:ascii="Times New Roman" w:eastAsia="Calibri" w:hAnsi="Times New Roman"/>
          <w:sz w:val="24"/>
          <w:szCs w:val="24"/>
          <w:lang w:eastAsia="en-US"/>
        </w:rPr>
        <w:t xml:space="preserve"> 32 and 33). The variation in water temperature for months and seasons could be attributed to meteorological conditions such as trade winds, sunshine durations and absorption of solar radiation by the reservoir water. </w:t>
      </w:r>
    </w:p>
    <w:p w14:paraId="6C55BB3C" w14:textId="5E272094" w:rsidR="00C8290E" w:rsidRDefault="00000000">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 xml:space="preserve">The transparency was low in rainy season than dry season. The low transparency of the river in the rainy season may be attributed to the washing silt, sediments, debris, organic and inorganic suspended particles flushed into the reservoir by flood and surface run-off during rainy season. High water transparency in the dry season could be due to absence of flood water and settling of the particles at the bottom of the reservoir. This result is similar with the findings of (32), (34)) and (30). Lower transparency recorded during rainy season when there </w:t>
      </w:r>
      <w:proofErr w:type="gramStart"/>
      <w:r>
        <w:rPr>
          <w:rFonts w:ascii="Times New Roman" w:eastAsia="Calibri" w:hAnsi="Times New Roman"/>
          <w:sz w:val="24"/>
          <w:szCs w:val="24"/>
          <w:lang w:eastAsia="en-US"/>
        </w:rPr>
        <w:t>was</w:t>
      </w:r>
      <w:proofErr w:type="gramEnd"/>
      <w:r>
        <w:rPr>
          <w:rFonts w:ascii="Times New Roman" w:eastAsia="Calibri" w:hAnsi="Times New Roman"/>
          <w:sz w:val="24"/>
          <w:szCs w:val="24"/>
          <w:lang w:eastAsia="en-US"/>
        </w:rPr>
        <w:t xml:space="preserve"> turbulence and high turbidity, has a corresponding low primary productivity, because turbidity reduces the amount of light penetration, which in turn reduces photosynthesis and hence primary productivity (35, 36)</w:t>
      </w:r>
    </w:p>
    <w:p w14:paraId="2FFCEA01" w14:textId="0CE9A812" w:rsidR="00C8290E" w:rsidRDefault="00000000">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 xml:space="preserve">The hydrogen ion concentration (pH) was near neutral throughout the wet and dry season, and it was within the range for inland waters (pH 6.4 – 7.22). Environmental Protection Agency (37) recommended pH 6.5 - 8.5 for drinking and 6.0 – 9.0 for aquatic life. </w:t>
      </w:r>
      <w:proofErr w:type="gramStart"/>
      <w:r>
        <w:rPr>
          <w:rFonts w:ascii="Times New Roman" w:eastAsia="Calibri" w:hAnsi="Times New Roman"/>
          <w:sz w:val="24"/>
          <w:szCs w:val="24"/>
          <w:lang w:eastAsia="en-US"/>
        </w:rPr>
        <w:t>Thus</w:t>
      </w:r>
      <w:proofErr w:type="gramEnd"/>
      <w:r>
        <w:rPr>
          <w:rFonts w:ascii="Times New Roman" w:eastAsia="Calibri" w:hAnsi="Times New Roman"/>
          <w:sz w:val="24"/>
          <w:szCs w:val="24"/>
          <w:lang w:eastAsia="en-US"/>
        </w:rPr>
        <w:t xml:space="preserve"> the pH range recorded in this study is within the acceptable level of 6.0 -8.5 for culturing tropical fish species (27) and for drinking water (38). Aquatic organisms are affected by pH because most of metabolic activities are pH dependent (</w:t>
      </w:r>
      <w:proofErr w:type="gramStart"/>
      <w:r>
        <w:rPr>
          <w:rFonts w:ascii="Times New Roman" w:eastAsia="Calibri" w:hAnsi="Times New Roman"/>
          <w:sz w:val="24"/>
          <w:szCs w:val="24"/>
          <w:lang w:eastAsia="en-US"/>
        </w:rPr>
        <w:t>38)Fresh</w:t>
      </w:r>
      <w:proofErr w:type="gramEnd"/>
      <w:r>
        <w:rPr>
          <w:rFonts w:ascii="Times New Roman" w:eastAsia="Calibri" w:hAnsi="Times New Roman"/>
          <w:sz w:val="24"/>
          <w:szCs w:val="24"/>
          <w:lang w:eastAsia="en-US"/>
        </w:rPr>
        <w:t xml:space="preserve"> water ranges of pH 6.0 – 9.0 have been noted to be productive and thus recommended for fish culture (40), outside this range, water may have sour taste and could be corrosive to metals. (34) (39), (33) (30) reported similar findings in some of the Nigeria water bodies.</w:t>
      </w:r>
    </w:p>
    <w:p w14:paraId="14A9EFEC" w14:textId="651DB839" w:rsidR="00C8290E" w:rsidRDefault="00000000">
      <w:pPr>
        <w:spacing w:after="160" w:line="240" w:lineRule="auto"/>
        <w:jc w:val="both"/>
        <w:rPr>
          <w:rFonts w:ascii="Times New Roman" w:hAnsi="Times New Roman"/>
          <w:b/>
          <w:bCs/>
          <w:sz w:val="24"/>
          <w:szCs w:val="24"/>
        </w:rPr>
      </w:pPr>
      <w:r>
        <w:rPr>
          <w:rFonts w:ascii="Times New Roman" w:eastAsia="Calibri" w:hAnsi="Times New Roman"/>
          <w:sz w:val="24"/>
          <w:szCs w:val="24"/>
          <w:lang w:eastAsia="en-US"/>
        </w:rPr>
        <w:t xml:space="preserve">The total dissolved solid which usually consist of inorganic materials dissolved in water (40) are essential in the life of aquatic bio-community, and water bodies normally containing 80 to 400mg/L of TDS are unlikely to support good fisheries (34). Total dissolved solids act directly on fish swimming in the water, causing death or reduction of growth rate and resistance to diseases; as low TDS could prevent successful development of eggs and larvae and reduce the abundance </w:t>
      </w:r>
      <w:r>
        <w:rPr>
          <w:rFonts w:ascii="Times New Roman" w:eastAsia="Calibri" w:hAnsi="Times New Roman"/>
          <w:sz w:val="24"/>
          <w:szCs w:val="24"/>
          <w:lang w:eastAsia="en-US"/>
        </w:rPr>
        <w:lastRenderedPageBreak/>
        <w:t xml:space="preserve">of food available to fish (43). Though the monthly values obtained from this study were lower than what was obtained by (29), (34) and (30) The </w:t>
      </w:r>
      <w:proofErr w:type="gramStart"/>
      <w:r>
        <w:rPr>
          <w:rFonts w:ascii="Times New Roman" w:eastAsia="Calibri" w:hAnsi="Times New Roman"/>
          <w:sz w:val="24"/>
          <w:szCs w:val="24"/>
          <w:lang w:eastAsia="en-US"/>
        </w:rPr>
        <w:t>range  in</w:t>
      </w:r>
      <w:proofErr w:type="gramEnd"/>
      <w:r>
        <w:rPr>
          <w:rFonts w:ascii="Times New Roman" w:eastAsia="Calibri" w:hAnsi="Times New Roman"/>
          <w:sz w:val="24"/>
          <w:szCs w:val="24"/>
          <w:lang w:eastAsia="en-US"/>
        </w:rPr>
        <w:t xml:space="preserve"> this work are in line with the findings of (34)</w:t>
      </w:r>
    </w:p>
    <w:p w14:paraId="5665F61E" w14:textId="0B79F9C8" w:rsidR="00C8290E" w:rsidRDefault="00000000">
      <w:pPr>
        <w:spacing w:after="16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Conductivity levels below 50μmhos/cm are regarded as low; those between 50-600μmhos/cm are medium while those above 600μmhos/cm are high conductivity (30). </w:t>
      </w:r>
      <w:proofErr w:type="gramStart"/>
      <w:r>
        <w:rPr>
          <w:rFonts w:ascii="Times New Roman" w:eastAsia="Calibri" w:hAnsi="Times New Roman"/>
          <w:sz w:val="24"/>
          <w:szCs w:val="24"/>
          <w:lang w:eastAsia="en-US"/>
        </w:rPr>
        <w:t>Thus</w:t>
      </w:r>
      <w:proofErr w:type="gramEnd"/>
      <w:r>
        <w:rPr>
          <w:rFonts w:ascii="Times New Roman" w:eastAsia="Calibri" w:hAnsi="Times New Roman"/>
          <w:sz w:val="24"/>
          <w:szCs w:val="24"/>
          <w:lang w:eastAsia="en-US"/>
        </w:rPr>
        <w:t xml:space="preserve"> the range of 124.50 -148μs/cm electrical conductivity obtained in this study indicates low conductivity of the reservoir when compared with findings of (29), (34) and Anago et al. (2013). A value above 50μS/cm but below 600μS/cm indicates medium conductivity of the Reservoirs. (42) reported that natural water normally has conductivity ranges from 20- 1500μS/cm.</w:t>
      </w:r>
    </w:p>
    <w:p w14:paraId="209FBE62" w14:textId="77777777" w:rsidR="00C8290E" w:rsidRDefault="00C8290E">
      <w:pPr>
        <w:spacing w:after="160" w:line="240" w:lineRule="auto"/>
        <w:jc w:val="both"/>
        <w:rPr>
          <w:rFonts w:ascii="Times New Roman" w:eastAsia="Calibri" w:hAnsi="Times New Roman"/>
          <w:sz w:val="24"/>
          <w:szCs w:val="24"/>
          <w:lang w:eastAsia="en-US"/>
        </w:rPr>
      </w:pPr>
    </w:p>
    <w:p w14:paraId="2B577524" w14:textId="77777777" w:rsidR="00C8290E" w:rsidRDefault="00C8290E">
      <w:pPr>
        <w:spacing w:after="160" w:line="240" w:lineRule="auto"/>
        <w:jc w:val="both"/>
        <w:rPr>
          <w:rFonts w:ascii="Times New Roman" w:eastAsia="Calibri" w:hAnsi="Times New Roman"/>
          <w:sz w:val="24"/>
          <w:szCs w:val="24"/>
          <w:lang w:eastAsia="en-US"/>
        </w:rPr>
      </w:pPr>
    </w:p>
    <w:p w14:paraId="177459A4" w14:textId="77C28B09" w:rsidR="00C8290E" w:rsidRDefault="00000000">
      <w:pPr>
        <w:spacing w:after="160" w:line="24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Dissolved oxygen (DO) is by far the most important chemical parameter in aquaculture. Low dissolved oxygen levels are responsible for most fish kills, either directly or indirectly, </w:t>
      </w:r>
      <w:proofErr w:type="gramStart"/>
      <w:r>
        <w:rPr>
          <w:rFonts w:ascii="Times New Roman" w:eastAsia="Calibri" w:hAnsi="Times New Roman"/>
          <w:sz w:val="24"/>
          <w:szCs w:val="24"/>
          <w:lang w:eastAsia="en-US"/>
        </w:rPr>
        <w:t>than  all</w:t>
      </w:r>
      <w:proofErr w:type="gramEnd"/>
      <w:r>
        <w:rPr>
          <w:rFonts w:ascii="Times New Roman" w:eastAsia="Calibri" w:hAnsi="Times New Roman"/>
          <w:sz w:val="24"/>
          <w:szCs w:val="24"/>
          <w:lang w:eastAsia="en-US"/>
        </w:rPr>
        <w:t xml:space="preserve"> other problems combined. The dissolved oxygen value recorded 5.40- 6.40ppm in </w:t>
      </w:r>
      <w:proofErr w:type="gramStart"/>
      <w:r>
        <w:rPr>
          <w:rFonts w:ascii="Times New Roman" w:eastAsia="Calibri" w:hAnsi="Times New Roman"/>
          <w:sz w:val="24"/>
          <w:szCs w:val="24"/>
          <w:lang w:eastAsia="en-US"/>
        </w:rPr>
        <w:t>Benue river</w:t>
      </w:r>
      <w:proofErr w:type="gramEnd"/>
      <w:r>
        <w:rPr>
          <w:rFonts w:ascii="Times New Roman" w:eastAsia="Calibri" w:hAnsi="Times New Roman"/>
          <w:sz w:val="24"/>
          <w:szCs w:val="24"/>
          <w:lang w:eastAsia="en-US"/>
        </w:rPr>
        <w:t xml:space="preserve"> indicated the water to be of good quality and will support fish production. (43) recommended 5mg/l dissolved oxygen for warm fresh water fish species. (42) reported </w:t>
      </w:r>
      <w:proofErr w:type="spellStart"/>
      <w:r>
        <w:rPr>
          <w:rFonts w:ascii="Times New Roman" w:eastAsia="Calibri" w:hAnsi="Times New Roman"/>
          <w:sz w:val="24"/>
          <w:szCs w:val="24"/>
          <w:lang w:eastAsia="en-US"/>
        </w:rPr>
        <w:t>thats</w:t>
      </w:r>
      <w:proofErr w:type="spellEnd"/>
      <w:r>
        <w:rPr>
          <w:rFonts w:ascii="Times New Roman" w:eastAsia="Calibri" w:hAnsi="Times New Roman"/>
          <w:sz w:val="24"/>
          <w:szCs w:val="24"/>
          <w:lang w:eastAsia="en-US"/>
        </w:rPr>
        <w:t xml:space="preserve">  dissolved oxygen concentration of 3mg/L to 12mg/L will promote the growth and survival of fish in reservoirs, ,while the following values has also been reported at various reservoirs 4.8 – 8.2mg/l in Oyun Reservoir (29) 4.7 – 9.8mg/l in Sabke Reservoir (34), 2.24 – 3.46mg/l in Ona River Apata, Ibadan and 0.7 – 1.8mg/l in </w:t>
      </w:r>
      <w:proofErr w:type="spellStart"/>
      <w:r>
        <w:rPr>
          <w:rFonts w:ascii="Times New Roman" w:eastAsia="Calibri" w:hAnsi="Times New Roman"/>
          <w:sz w:val="24"/>
          <w:szCs w:val="24"/>
          <w:lang w:eastAsia="en-US"/>
        </w:rPr>
        <w:t>Awba</w:t>
      </w:r>
      <w:proofErr w:type="spellEnd"/>
      <w:r>
        <w:rPr>
          <w:rFonts w:ascii="Times New Roman" w:eastAsia="Calibri" w:hAnsi="Times New Roman"/>
          <w:sz w:val="24"/>
          <w:szCs w:val="24"/>
          <w:lang w:eastAsia="en-US"/>
        </w:rPr>
        <w:t xml:space="preserve"> Reservoir (Anago et al., 2013).</w:t>
      </w:r>
      <w:r>
        <w:rPr>
          <w:rFonts w:ascii="Times New Roman" w:eastAsia="Calibri" w:hAnsi="Times New Roman"/>
          <w:b/>
          <w:bCs/>
          <w:sz w:val="24"/>
          <w:szCs w:val="24"/>
          <w:lang w:eastAsia="en-US"/>
        </w:rPr>
        <w:t xml:space="preserve">. </w:t>
      </w:r>
    </w:p>
    <w:p w14:paraId="659F966F" w14:textId="77777777" w:rsidR="00C8290E" w:rsidRDefault="00000000">
      <w:pPr>
        <w:spacing w:after="160" w:line="24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 </w:t>
      </w:r>
    </w:p>
    <w:p w14:paraId="365B0075" w14:textId="77777777" w:rsidR="00C8290E" w:rsidRDefault="00000000">
      <w:pPr>
        <w:spacing w:after="160" w:line="240" w:lineRule="auto"/>
        <w:jc w:val="both"/>
        <w:rPr>
          <w:rFonts w:ascii="Times New Roman" w:hAnsi="Times New Roman"/>
          <w:b/>
          <w:bCs/>
          <w:sz w:val="24"/>
          <w:szCs w:val="24"/>
        </w:rPr>
      </w:pPr>
      <w:r>
        <w:rPr>
          <w:rFonts w:ascii="Times New Roman" w:eastAsia="Calibri" w:hAnsi="Times New Roman"/>
          <w:b/>
          <w:bCs/>
          <w:sz w:val="24"/>
          <w:szCs w:val="24"/>
          <w:lang w:eastAsia="en-US"/>
        </w:rPr>
        <w:t>6.0 Conclusions</w:t>
      </w:r>
      <w:r>
        <w:rPr>
          <w:rFonts w:ascii="Times New Roman" w:eastAsia="Calibri" w:hAnsi="Times New Roman"/>
          <w:sz w:val="24"/>
          <w:szCs w:val="24"/>
          <w:lang w:eastAsia="en-US"/>
        </w:rPr>
        <w:t xml:space="preserve"> </w:t>
      </w:r>
    </w:p>
    <w:p w14:paraId="5C2D6411"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The study revealed that </w:t>
      </w:r>
      <w:r>
        <w:rPr>
          <w:rFonts w:ascii="Times New Roman" w:hAnsi="Times New Roman"/>
          <w:i/>
          <w:iCs/>
          <w:sz w:val="24"/>
          <w:szCs w:val="24"/>
        </w:rPr>
        <w:t xml:space="preserve">Macrobrachium </w:t>
      </w:r>
      <w:proofErr w:type="spellStart"/>
      <w:r>
        <w:rPr>
          <w:rFonts w:ascii="Times New Roman" w:hAnsi="Times New Roman"/>
          <w:i/>
          <w:iCs/>
          <w:sz w:val="24"/>
          <w:szCs w:val="24"/>
        </w:rPr>
        <w:t>macrobrachion</w:t>
      </w:r>
      <w:proofErr w:type="spellEnd"/>
      <w:r>
        <w:rPr>
          <w:rFonts w:ascii="Times New Roman" w:hAnsi="Times New Roman"/>
          <w:sz w:val="24"/>
          <w:szCs w:val="24"/>
        </w:rPr>
        <w:t xml:space="preserve"> and </w:t>
      </w:r>
      <w:proofErr w:type="spellStart"/>
      <w:r>
        <w:rPr>
          <w:rFonts w:ascii="Times New Roman" w:hAnsi="Times New Roman"/>
          <w:i/>
          <w:iCs/>
          <w:sz w:val="24"/>
          <w:szCs w:val="24"/>
        </w:rPr>
        <w:t>Atya</w:t>
      </w:r>
      <w:proofErr w:type="spellEnd"/>
      <w:r>
        <w:rPr>
          <w:rFonts w:ascii="Times New Roman" w:hAnsi="Times New Roman"/>
          <w:i/>
          <w:iCs/>
          <w:sz w:val="24"/>
          <w:szCs w:val="24"/>
        </w:rPr>
        <w:t xml:space="preserve"> </w:t>
      </w:r>
      <w:proofErr w:type="spellStart"/>
      <w:r>
        <w:rPr>
          <w:rFonts w:ascii="Times New Roman" w:hAnsi="Times New Roman"/>
          <w:i/>
          <w:iCs/>
          <w:sz w:val="24"/>
          <w:szCs w:val="24"/>
        </w:rPr>
        <w:t>gabonensis</w:t>
      </w:r>
      <w:proofErr w:type="spellEnd"/>
      <w:r>
        <w:rPr>
          <w:rFonts w:ascii="Times New Roman" w:hAnsi="Times New Roman"/>
          <w:sz w:val="24"/>
          <w:szCs w:val="24"/>
        </w:rPr>
        <w:t xml:space="preserve"> fed majorly on detritus, with green algae, insect parts, and plant materials as supplementary items, confirming their omnivorous </w:t>
      </w:r>
      <w:proofErr w:type="spellStart"/>
      <w:r>
        <w:rPr>
          <w:rFonts w:ascii="Times New Roman" w:hAnsi="Times New Roman"/>
          <w:sz w:val="24"/>
          <w:szCs w:val="24"/>
        </w:rPr>
        <w:t>detritivorous</w:t>
      </w:r>
      <w:proofErr w:type="spellEnd"/>
      <w:r>
        <w:rPr>
          <w:rFonts w:ascii="Times New Roman" w:hAnsi="Times New Roman"/>
          <w:sz w:val="24"/>
          <w:szCs w:val="24"/>
        </w:rPr>
        <w:t xml:space="preserve"> feeding habit. Seasonal variations in water quality parameters of the Lower River Benue, including temperature, transparency, pH, total dissolved solids, conductivity, and dissolved oxygen, were all within ranges suitable for sustaining aquatic life and fish culture. </w:t>
      </w:r>
    </w:p>
    <w:p w14:paraId="5464B8AA" w14:textId="77777777" w:rsidR="00C8290E"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These findings indicate that the river provides favorable conditions for prawn populations and highlight the importance of detritus availability and water quality stability in maintaining their ecological </w:t>
      </w:r>
      <w:proofErr w:type="spellStart"/>
      <w:r>
        <w:rPr>
          <w:rFonts w:ascii="Times New Roman" w:hAnsi="Times New Roman"/>
          <w:sz w:val="24"/>
          <w:szCs w:val="24"/>
        </w:rPr>
        <w:t>balance.</w:t>
      </w:r>
      <w:r>
        <w:rPr>
          <w:rFonts w:ascii="Times New Roman" w:eastAsia="Calibri" w:hAnsi="Times New Roman"/>
          <w:sz w:val="24"/>
          <w:szCs w:val="24"/>
          <w:lang w:eastAsia="en-US"/>
        </w:rPr>
        <w:t>Since</w:t>
      </w:r>
      <w:proofErr w:type="spellEnd"/>
      <w:r>
        <w:rPr>
          <w:rFonts w:ascii="Times New Roman" w:eastAsia="Calibri" w:hAnsi="Times New Roman"/>
          <w:sz w:val="24"/>
          <w:szCs w:val="24"/>
          <w:lang w:eastAsia="en-US"/>
        </w:rPr>
        <w:t xml:space="preserve"> both species rely  on detritus and are influenced by fluctuations in physicochemical parameters, protecting riparian vegetation, reducing organic pollution, and maintaining water quality,  stability will help secure their food base and habitats by linking feeding ecology with environmental conditions, this study provides a scientific basis for habitat protection, sustainable harvesting, and long-term conservation of prawn biodiversity in the Lower River Benue. </w:t>
      </w:r>
    </w:p>
    <w:p w14:paraId="370D3F74" w14:textId="77777777" w:rsidR="00C8290E" w:rsidRDefault="00C8290E">
      <w:pPr>
        <w:spacing w:after="160" w:line="240" w:lineRule="auto"/>
        <w:jc w:val="both"/>
        <w:rPr>
          <w:rFonts w:ascii="Times New Roman" w:hAnsi="Times New Roman"/>
          <w:sz w:val="24"/>
          <w:szCs w:val="24"/>
        </w:rPr>
      </w:pPr>
    </w:p>
    <w:p w14:paraId="3898A353" w14:textId="77777777" w:rsidR="00C8290E" w:rsidRDefault="00C8290E">
      <w:pPr>
        <w:spacing w:after="160" w:line="240" w:lineRule="auto"/>
        <w:jc w:val="both"/>
        <w:rPr>
          <w:rFonts w:ascii="Times New Roman" w:hAnsi="Times New Roman"/>
          <w:sz w:val="24"/>
          <w:szCs w:val="24"/>
        </w:rPr>
      </w:pPr>
    </w:p>
    <w:p w14:paraId="52BE6677" w14:textId="77777777" w:rsidR="00C8290E" w:rsidRDefault="00C8290E">
      <w:pPr>
        <w:spacing w:after="160" w:line="240" w:lineRule="auto"/>
        <w:jc w:val="both"/>
        <w:rPr>
          <w:rFonts w:ascii="Times New Roman" w:hAnsi="Times New Roman"/>
          <w:sz w:val="24"/>
          <w:szCs w:val="24"/>
        </w:rPr>
      </w:pPr>
    </w:p>
    <w:p w14:paraId="7640A252" w14:textId="77777777" w:rsidR="00521790" w:rsidRPr="00521790" w:rsidRDefault="00521790" w:rsidP="00521790">
      <w:pPr>
        <w:rPr>
          <w:highlight w:val="yellow"/>
        </w:rPr>
      </w:pPr>
      <w:r w:rsidRPr="00521790">
        <w:rPr>
          <w:highlight w:val="yellow"/>
        </w:rPr>
        <w:t>Disclaimer (Artificial intelligence)</w:t>
      </w:r>
    </w:p>
    <w:p w14:paraId="28A011DC" w14:textId="77777777" w:rsidR="00521790" w:rsidRPr="00521790" w:rsidRDefault="00521790" w:rsidP="00521790">
      <w:pPr>
        <w:rPr>
          <w:highlight w:val="yellow"/>
        </w:rPr>
      </w:pPr>
      <w:r w:rsidRPr="00521790">
        <w:rPr>
          <w:highlight w:val="yellow"/>
        </w:rPr>
        <w:lastRenderedPageBreak/>
        <w:t xml:space="preserve">Option 1: </w:t>
      </w:r>
    </w:p>
    <w:p w14:paraId="1FD9F852" w14:textId="77777777" w:rsidR="00521790" w:rsidRPr="00521790" w:rsidRDefault="00521790" w:rsidP="00521790">
      <w:pPr>
        <w:rPr>
          <w:highlight w:val="yellow"/>
        </w:rPr>
      </w:pPr>
      <w:r w:rsidRPr="00521790">
        <w:rPr>
          <w:highlight w:val="yellow"/>
        </w:rPr>
        <w:t xml:space="preserve">Author(s) hereby </w:t>
      </w:r>
      <w:proofErr w:type="gramStart"/>
      <w:r w:rsidRPr="00521790">
        <w:rPr>
          <w:highlight w:val="yellow"/>
        </w:rPr>
        <w:t>declare</w:t>
      </w:r>
      <w:proofErr w:type="gramEnd"/>
      <w:r w:rsidRPr="00521790">
        <w:rPr>
          <w:highlight w:val="yellow"/>
        </w:rPr>
        <w:t xml:space="preserve"> that NO generative AI technologies such as Large Language Models (ChatGPT, COPILOT, etc.) and text-to-image generators have been used during the writing or editing of this manuscript. </w:t>
      </w:r>
    </w:p>
    <w:p w14:paraId="08181BA3" w14:textId="77777777" w:rsidR="00521790" w:rsidRPr="00521790" w:rsidRDefault="00521790" w:rsidP="00521790">
      <w:pPr>
        <w:rPr>
          <w:highlight w:val="yellow"/>
        </w:rPr>
      </w:pPr>
      <w:r w:rsidRPr="00521790">
        <w:rPr>
          <w:highlight w:val="yellow"/>
        </w:rPr>
        <w:t xml:space="preserve">Option 2: </w:t>
      </w:r>
    </w:p>
    <w:p w14:paraId="1FE8F862" w14:textId="77777777" w:rsidR="00521790" w:rsidRPr="00521790" w:rsidRDefault="00521790" w:rsidP="00521790">
      <w:pPr>
        <w:rPr>
          <w:highlight w:val="yellow"/>
        </w:rPr>
      </w:pPr>
      <w:r w:rsidRPr="00521790">
        <w:rPr>
          <w:highlight w:val="yellow"/>
        </w:rPr>
        <w:t xml:space="preserve">Author(s) hereby </w:t>
      </w:r>
      <w:proofErr w:type="gramStart"/>
      <w:r w:rsidRPr="00521790">
        <w:rPr>
          <w:highlight w:val="yellow"/>
        </w:rPr>
        <w:t>declare</w:t>
      </w:r>
      <w:proofErr w:type="gramEnd"/>
      <w:r w:rsidRPr="0052179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8D9BF8" w14:textId="77777777" w:rsidR="00521790" w:rsidRPr="00521790" w:rsidRDefault="00521790" w:rsidP="00521790">
      <w:pPr>
        <w:rPr>
          <w:highlight w:val="yellow"/>
        </w:rPr>
      </w:pPr>
      <w:r w:rsidRPr="00521790">
        <w:rPr>
          <w:highlight w:val="yellow"/>
        </w:rPr>
        <w:t>Details of the AI usage are given below:</w:t>
      </w:r>
    </w:p>
    <w:p w14:paraId="1EA5672A" w14:textId="77777777" w:rsidR="00521790" w:rsidRPr="00521790" w:rsidRDefault="00521790" w:rsidP="00521790">
      <w:pPr>
        <w:rPr>
          <w:highlight w:val="yellow"/>
        </w:rPr>
      </w:pPr>
      <w:r w:rsidRPr="00521790">
        <w:rPr>
          <w:highlight w:val="yellow"/>
        </w:rPr>
        <w:t>1.</w:t>
      </w:r>
    </w:p>
    <w:p w14:paraId="4A738994" w14:textId="77777777" w:rsidR="00521790" w:rsidRPr="00521790" w:rsidRDefault="00521790" w:rsidP="00521790">
      <w:pPr>
        <w:rPr>
          <w:highlight w:val="yellow"/>
        </w:rPr>
      </w:pPr>
      <w:r w:rsidRPr="00521790">
        <w:rPr>
          <w:highlight w:val="yellow"/>
        </w:rPr>
        <w:t>2.</w:t>
      </w:r>
    </w:p>
    <w:p w14:paraId="4D71CC01" w14:textId="77777777" w:rsidR="00521790" w:rsidRPr="0053103C" w:rsidRDefault="00521790" w:rsidP="00521790">
      <w:r w:rsidRPr="00521790">
        <w:rPr>
          <w:highlight w:val="yellow"/>
        </w:rPr>
        <w:t>3.</w:t>
      </w:r>
    </w:p>
    <w:p w14:paraId="70E26BA6" w14:textId="77777777" w:rsidR="00C8290E" w:rsidRDefault="00C8290E">
      <w:pPr>
        <w:spacing w:after="160" w:line="240" w:lineRule="auto"/>
        <w:jc w:val="both"/>
        <w:rPr>
          <w:rFonts w:ascii="Times New Roman" w:hAnsi="Times New Roman"/>
          <w:sz w:val="24"/>
          <w:szCs w:val="24"/>
        </w:rPr>
      </w:pPr>
    </w:p>
    <w:p w14:paraId="3948C5CD" w14:textId="77777777" w:rsidR="00C8290E" w:rsidRDefault="00C8290E">
      <w:pPr>
        <w:spacing w:after="160" w:line="240" w:lineRule="auto"/>
        <w:jc w:val="both"/>
        <w:rPr>
          <w:rFonts w:ascii="Times New Roman" w:hAnsi="Times New Roman"/>
          <w:sz w:val="24"/>
          <w:szCs w:val="24"/>
        </w:rPr>
      </w:pPr>
    </w:p>
    <w:p w14:paraId="37D9251C" w14:textId="77777777" w:rsidR="00C8290E" w:rsidRDefault="00C8290E">
      <w:pPr>
        <w:spacing w:after="160" w:line="240" w:lineRule="auto"/>
        <w:jc w:val="both"/>
        <w:rPr>
          <w:rFonts w:ascii="Times New Roman" w:hAnsi="Times New Roman"/>
          <w:sz w:val="24"/>
          <w:szCs w:val="24"/>
        </w:rPr>
      </w:pPr>
    </w:p>
    <w:p w14:paraId="207182A2" w14:textId="77777777" w:rsidR="00C8290E"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 xml:space="preserve">7.0 References </w:t>
      </w:r>
    </w:p>
    <w:p w14:paraId="46E383DE" w14:textId="228BB416" w:rsidR="00C8290E" w:rsidRDefault="00000000">
      <w:pPr>
        <w:autoSpaceDE w:val="0"/>
        <w:autoSpaceDN w:val="0"/>
        <w:adjustRightInd w:val="0"/>
        <w:spacing w:after="160" w:line="240" w:lineRule="auto"/>
        <w:ind w:left="-142" w:hanging="851"/>
        <w:jc w:val="both"/>
        <w:rPr>
          <w:rFonts w:ascii="Times New Roman" w:hAnsi="Times New Roman"/>
          <w:b/>
          <w:bCs/>
          <w:sz w:val="24"/>
          <w:szCs w:val="24"/>
        </w:rPr>
      </w:pPr>
      <w:r>
        <w:rPr>
          <w:rFonts w:ascii="Times New Roman" w:eastAsia="Calibri" w:hAnsi="Times New Roman"/>
          <w:color w:val="000000"/>
          <w:sz w:val="24"/>
          <w:szCs w:val="24"/>
          <w:lang w:eastAsia="en-US"/>
        </w:rPr>
        <w:t xml:space="preserve"> </w:t>
      </w:r>
    </w:p>
    <w:p w14:paraId="2146ABD3" w14:textId="2F703EE2" w:rsidR="00C8290E" w:rsidRDefault="00C8290E">
      <w:pPr>
        <w:autoSpaceDE w:val="0"/>
        <w:autoSpaceDN w:val="0"/>
        <w:adjustRightInd w:val="0"/>
        <w:spacing w:after="160" w:line="240" w:lineRule="auto"/>
        <w:ind w:left="-142" w:hanging="851"/>
        <w:jc w:val="both"/>
        <w:rPr>
          <w:rFonts w:ascii="Times New Roman" w:hAnsi="Times New Roman"/>
          <w:b/>
          <w:bCs/>
          <w:sz w:val="24"/>
          <w:szCs w:val="24"/>
          <w:lang w:val="de-CH"/>
        </w:rPr>
      </w:pPr>
    </w:p>
    <w:p w14:paraId="2F3A7EC4" w14:textId="5374C991"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309186BC" w14:textId="033BAF51" w:rsidR="00C8290E" w:rsidRDefault="00000000">
      <w:pPr>
        <w:autoSpaceDE w:val="0"/>
        <w:autoSpaceDN w:val="0"/>
        <w:adjustRightInd w:val="0"/>
        <w:spacing w:after="160" w:line="240" w:lineRule="auto"/>
        <w:ind w:left="-142" w:hanging="851"/>
        <w:jc w:val="both"/>
        <w:rPr>
          <w:rFonts w:ascii="Times New Roman" w:hAnsi="Times New Roman"/>
          <w:b/>
          <w:bCs/>
          <w:sz w:val="24"/>
          <w:szCs w:val="24"/>
        </w:rPr>
      </w:pPr>
      <w:r>
        <w:rPr>
          <w:rFonts w:ascii="Times New Roman" w:hAnsi="Times New Roman"/>
          <w:sz w:val="24"/>
          <w:szCs w:val="24"/>
        </w:rPr>
        <w:t xml:space="preserve">. </w:t>
      </w:r>
    </w:p>
    <w:p w14:paraId="59EAA0CE" w14:textId="4BBB4F1B"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53A8FF8B" w14:textId="247A0D72"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156067D1" w14:textId="79628ACE"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7A486FDF" w14:textId="69DD68D5" w:rsidR="00C8290E" w:rsidRDefault="00C8290E">
      <w:pPr>
        <w:autoSpaceDE w:val="0"/>
        <w:autoSpaceDN w:val="0"/>
        <w:adjustRightInd w:val="0"/>
        <w:spacing w:after="160" w:line="240" w:lineRule="auto"/>
        <w:ind w:left="-142" w:hanging="851"/>
        <w:jc w:val="both"/>
        <w:rPr>
          <w:rFonts w:ascii="Times New Roman" w:hAnsi="Times New Roman"/>
          <w:b/>
          <w:bCs/>
          <w:sz w:val="24"/>
          <w:szCs w:val="24"/>
        </w:rPr>
      </w:pPr>
    </w:p>
    <w:p w14:paraId="2A83EE4D" w14:textId="77777777" w:rsidR="00C8290E" w:rsidRDefault="00000000" w:rsidP="005B49C2">
      <w:pPr>
        <w:autoSpaceDE w:val="0"/>
        <w:autoSpaceDN w:val="0"/>
        <w:adjustRightInd w:val="0"/>
        <w:spacing w:after="160" w:line="240" w:lineRule="auto"/>
        <w:ind w:left="-142" w:hanging="851"/>
        <w:jc w:val="both"/>
        <w:rPr>
          <w:rFonts w:ascii="Times New Roman" w:hAnsi="Times New Roman"/>
          <w:sz w:val="24"/>
          <w:szCs w:val="24"/>
        </w:rPr>
      </w:pPr>
      <w:r>
        <w:t xml:space="preserve">.         1.Ugwumba, A. A. A., &amp; </w:t>
      </w:r>
      <w:proofErr w:type="spellStart"/>
      <w:r>
        <w:t>Ugwumba</w:t>
      </w:r>
      <w:proofErr w:type="spellEnd"/>
      <w:r>
        <w:t xml:space="preserve">, O. A. (2007). Food and feeding ecology of fishes in Nigeria. </w:t>
      </w:r>
      <w:proofErr w:type="spellStart"/>
      <w:r>
        <w:t>Canaanland</w:t>
      </w:r>
      <w:proofErr w:type="spellEnd"/>
      <w:r>
        <w:t>: Tims Print &amp; Pub.</w:t>
      </w:r>
    </w:p>
    <w:p w14:paraId="2259C9B4"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t xml:space="preserve">          2. </w:t>
      </w:r>
      <w:r>
        <w:rPr>
          <w:rFonts w:ascii="Times New Roman" w:hAnsi="Times New Roman"/>
          <w:sz w:val="24"/>
          <w:szCs w:val="24"/>
        </w:rPr>
        <w:t xml:space="preserve">Hyslop, E. J. (1980). Stomach contents analysis—A review of methods and their application. Journal of Fish Biology, 17(4), 411–429. </w:t>
      </w:r>
      <w:hyperlink r:id="rId6" w:history="1">
        <w:r w:rsidR="00C8290E">
          <w:rPr>
            <w:rStyle w:val="Hyperlink"/>
            <w:rFonts w:ascii="Times New Roman" w:hAnsi="Times New Roman"/>
            <w:sz w:val="24"/>
            <w:szCs w:val="24"/>
          </w:rPr>
          <w:t>https://doi.org/10.1111/j.10958649.1980.tb02775.x</w:t>
        </w:r>
      </w:hyperlink>
    </w:p>
    <w:p w14:paraId="699BCE0A" w14:textId="77777777" w:rsidR="00C8290E" w:rsidRDefault="00000000">
      <w:pPr>
        <w:rPr>
          <w:rFonts w:ascii="Times New Roman" w:hAnsi="Times New Roman"/>
          <w:sz w:val="24"/>
          <w:szCs w:val="24"/>
        </w:rPr>
      </w:pPr>
      <w:r>
        <w:rPr>
          <w:rFonts w:ascii="Times New Roman" w:hAnsi="Times New Roman"/>
          <w:sz w:val="24"/>
          <w:szCs w:val="24"/>
        </w:rPr>
        <w:lastRenderedPageBreak/>
        <w:t>3.Food and Agriculture Organization (FAO). (1972). Manual of methods in aquatic environment research: Part 3, Sampling and analyses of biological material. FAO Fisheries Technical Paper No. 115.</w:t>
      </w:r>
    </w:p>
    <w:p w14:paraId="193C32B2" w14:textId="77777777" w:rsidR="00C8290E" w:rsidRDefault="00000000">
      <w:pPr>
        <w:rPr>
          <w:rFonts w:ascii="Times New Roman" w:hAnsi="Times New Roman"/>
          <w:sz w:val="24"/>
          <w:szCs w:val="24"/>
        </w:rPr>
      </w:pPr>
      <w:r>
        <w:t>4.Kenmochi, Y., Nagata, T., &amp; Takahashi, S. (2025). Feeding habits and ecological roles of marine cladocerans in offshore zooplankton food‐web in Suruga Bay, Japan. Journal of Oceanography, 81(2), 1–20. https://doi.org/10.1007/s10872-025-00773-9</w:t>
      </w:r>
    </w:p>
    <w:p w14:paraId="3571A112" w14:textId="77777777" w:rsidR="00C8290E" w:rsidRDefault="00000000">
      <w:pPr>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de-CH"/>
        </w:rPr>
        <w:t xml:space="preserve">Arrington, D. A., Winemiller, K. O., Loftus, W. F., &amp; Akin, S. (2002). </w:t>
      </w:r>
      <w:r>
        <w:rPr>
          <w:rFonts w:ascii="Times New Roman" w:hAnsi="Times New Roman"/>
          <w:sz w:val="24"/>
          <w:szCs w:val="24"/>
        </w:rPr>
        <w:t xml:space="preserve">How often do fishes “run on empty”? Ecology, 83(8), 2145–2151. </w:t>
      </w:r>
      <w:hyperlink r:id="rId7" w:history="1">
        <w:r w:rsidR="00C8290E">
          <w:rPr>
            <w:rStyle w:val="Hyperlink"/>
            <w:rFonts w:ascii="Times New Roman" w:hAnsi="Times New Roman"/>
            <w:sz w:val="24"/>
            <w:szCs w:val="24"/>
          </w:rPr>
          <w:t>https://doi.org/10.1890/0012-9658(2002)083[2145:HOFROE]2.0.CO;2</w:t>
        </w:r>
      </w:hyperlink>
    </w:p>
    <w:p w14:paraId="633CF12D" w14:textId="77777777" w:rsidR="00C8290E" w:rsidRDefault="00000000">
      <w:pPr>
        <w:autoSpaceDE w:val="0"/>
        <w:autoSpaceDN w:val="0"/>
        <w:adjustRightInd w:val="0"/>
        <w:spacing w:after="160" w:line="240" w:lineRule="auto"/>
        <w:ind w:left="-142"/>
        <w:jc w:val="both"/>
        <w:rPr>
          <w:rFonts w:ascii="Times New Roman" w:hAnsi="Times New Roman"/>
          <w:sz w:val="24"/>
          <w:szCs w:val="24"/>
        </w:rPr>
      </w:pPr>
      <w:r>
        <w:rPr>
          <w:rFonts w:ascii="Times New Roman" w:hAnsi="Times New Roman"/>
          <w:sz w:val="24"/>
          <w:szCs w:val="24"/>
        </w:rPr>
        <w:t xml:space="preserve">  </w:t>
      </w:r>
      <w:r w:rsidRPr="00521790">
        <w:rPr>
          <w:rFonts w:ascii="Times New Roman" w:hAnsi="Times New Roman"/>
          <w:sz w:val="24"/>
          <w:szCs w:val="24"/>
          <w:lang w:val="nl-BE"/>
        </w:rPr>
        <w:t xml:space="preserve">6.Chea, R., Guo, C., Grenouillet, G., Lek, S., &amp; Lek-Ang, S. (2017). </w:t>
      </w:r>
      <w:r>
        <w:rPr>
          <w:rFonts w:ascii="Times New Roman" w:hAnsi="Times New Roman"/>
          <w:sz w:val="24"/>
          <w:szCs w:val="24"/>
        </w:rPr>
        <w:t xml:space="preserve">Spatial–temporal variation in fish assemblages and trophic guilds along the Tonle Sap River, Cambodia. Environmental </w:t>
      </w:r>
    </w:p>
    <w:p w14:paraId="33FD29AF" w14:textId="77777777" w:rsidR="00C8290E" w:rsidRDefault="00000000">
      <w:pPr>
        <w:rPr>
          <w:rFonts w:ascii="Times New Roman" w:hAnsi="Times New Roman"/>
          <w:sz w:val="24"/>
          <w:szCs w:val="24"/>
        </w:rPr>
      </w:pPr>
      <w:r>
        <w:rPr>
          <w:rFonts w:ascii="Times New Roman" w:hAnsi="Times New Roman"/>
          <w:sz w:val="24"/>
          <w:szCs w:val="24"/>
        </w:rPr>
        <w:t xml:space="preserve">7.Abdel-Aziz, N. E., &amp; Gharib, S. M. (2007). Food and feeding habits of round herring </w:t>
      </w:r>
      <w:proofErr w:type="spellStart"/>
      <w:r>
        <w:rPr>
          <w:rFonts w:ascii="Times New Roman" w:hAnsi="Times New Roman"/>
          <w:sz w:val="24"/>
          <w:szCs w:val="24"/>
        </w:rPr>
        <w:t>Etrumeus</w:t>
      </w:r>
      <w:proofErr w:type="spellEnd"/>
      <w:r>
        <w:rPr>
          <w:rFonts w:ascii="Times New Roman" w:hAnsi="Times New Roman"/>
          <w:sz w:val="24"/>
          <w:szCs w:val="24"/>
        </w:rPr>
        <w:t xml:space="preserve"> teres (Dekay, 1842) in the Egyptian Mediterranean waters. Egyptian Journal of Aquatic Research, 33(1), 202–221.</w:t>
      </w:r>
    </w:p>
    <w:p w14:paraId="1234EC5A" w14:textId="77777777" w:rsidR="00C8290E" w:rsidRDefault="00000000">
      <w:pPr>
        <w:rPr>
          <w:rFonts w:ascii="Times New Roman" w:hAnsi="Times New Roman"/>
          <w:sz w:val="24"/>
          <w:szCs w:val="24"/>
        </w:rPr>
      </w:pPr>
      <w:r>
        <w:rPr>
          <w:rFonts w:ascii="Times New Roman" w:hAnsi="Times New Roman"/>
          <w:sz w:val="24"/>
          <w:szCs w:val="24"/>
        </w:rPr>
        <w:t xml:space="preserve">8.Akuna, J., &amp; Amachree, D. (2019). Food and feeding habits of Oreochromis niloticus in </w:t>
      </w:r>
      <w:proofErr w:type="spellStart"/>
      <w:r>
        <w:rPr>
          <w:rFonts w:ascii="Times New Roman" w:hAnsi="Times New Roman"/>
          <w:sz w:val="24"/>
          <w:szCs w:val="24"/>
        </w:rPr>
        <w:t>Ogbese</w:t>
      </w:r>
      <w:proofErr w:type="spellEnd"/>
      <w:r>
        <w:rPr>
          <w:rFonts w:ascii="Times New Roman" w:hAnsi="Times New Roman"/>
          <w:sz w:val="24"/>
          <w:szCs w:val="24"/>
        </w:rPr>
        <w:t xml:space="preserve"> River, Ondo State, Nigeria. Asian Journal of Fisheries and Aquatic Research, 3(1), 1–8. </w:t>
      </w:r>
      <w:hyperlink r:id="rId8" w:history="1">
        <w:r w:rsidR="00C8290E">
          <w:rPr>
            <w:rStyle w:val="Hyperlink"/>
            <w:rFonts w:ascii="Times New Roman" w:hAnsi="Times New Roman"/>
            <w:sz w:val="24"/>
            <w:szCs w:val="24"/>
            <w:lang w:val="de-CH"/>
          </w:rPr>
          <w:t>https://doi.org/10.9734/ajfar/2019/v3i130027</w:t>
        </w:r>
      </w:hyperlink>
    </w:p>
    <w:p w14:paraId="135C0101" w14:textId="77777777" w:rsidR="00C8290E" w:rsidRDefault="00000000">
      <w:pPr>
        <w:rPr>
          <w:rFonts w:ascii="Times New Roman" w:hAnsi="Times New Roman"/>
          <w:sz w:val="24"/>
          <w:szCs w:val="24"/>
        </w:rPr>
      </w:pPr>
      <w:r w:rsidRPr="00521790">
        <w:rPr>
          <w:lang w:val="nl-BE"/>
        </w:rPr>
        <w:t xml:space="preserve">9.Okadi, O. F., Dike, P. C., &amp; Owhonda, I. M. (2024). </w:t>
      </w:r>
      <w:r>
        <w:t xml:space="preserve">Stomach content analysis of Clarias </w:t>
      </w:r>
      <w:proofErr w:type="spellStart"/>
      <w:r>
        <w:t>gariepinus</w:t>
      </w:r>
      <w:proofErr w:type="spellEnd"/>
      <w:r>
        <w:t xml:space="preserve"> from freshwater ecosystems in Southern Nigeria. Nigerian Journal of Fisheries and Aquaculture, 12(1), 33–41.</w:t>
      </w:r>
    </w:p>
    <w:p w14:paraId="4B9F41B4" w14:textId="77777777" w:rsidR="00C8290E" w:rsidRDefault="00000000">
      <w:pPr>
        <w:rPr>
          <w:rFonts w:ascii="Times New Roman" w:hAnsi="Times New Roman"/>
          <w:sz w:val="24"/>
          <w:szCs w:val="24"/>
        </w:rPr>
      </w:pPr>
      <w:r>
        <w:t xml:space="preserve">10.New, M. B. (2002). Farming freshwater prawns: A manual for the culture of the giant river prawn (Macrobrachium </w:t>
      </w:r>
      <w:proofErr w:type="spellStart"/>
      <w:r>
        <w:t>rosenbergii</w:t>
      </w:r>
      <w:proofErr w:type="spellEnd"/>
      <w:r>
        <w:t>). FAO Fisheries Technical Paper No. 428.</w:t>
      </w:r>
    </w:p>
    <w:p w14:paraId="37A87507" w14:textId="77777777" w:rsidR="00C8290E" w:rsidRDefault="00000000">
      <w:pPr>
        <w:rPr>
          <w:rFonts w:ascii="Times New Roman" w:hAnsi="Times New Roman"/>
          <w:sz w:val="24"/>
          <w:szCs w:val="24"/>
        </w:rPr>
      </w:pPr>
      <w:r>
        <w:t xml:space="preserve"> </w:t>
      </w:r>
    </w:p>
    <w:p w14:paraId="549E50D4" w14:textId="77777777" w:rsidR="00C8290E" w:rsidRPr="00521790" w:rsidRDefault="00000000">
      <w:pPr>
        <w:autoSpaceDE w:val="0"/>
        <w:autoSpaceDN w:val="0"/>
        <w:adjustRightInd w:val="0"/>
        <w:spacing w:after="160" w:line="240" w:lineRule="auto"/>
        <w:ind w:left="-142" w:hanging="840"/>
        <w:jc w:val="both"/>
        <w:rPr>
          <w:rFonts w:ascii="Times New Roman" w:hAnsi="Times New Roman"/>
          <w:sz w:val="24"/>
          <w:szCs w:val="24"/>
          <w:lang w:val="nl-BE"/>
        </w:rPr>
      </w:pPr>
      <w:r>
        <w:t xml:space="preserve">.            11. </w:t>
      </w:r>
      <w:r>
        <w:rPr>
          <w:rFonts w:ascii="Times New Roman" w:hAnsi="Times New Roman"/>
          <w:sz w:val="24"/>
          <w:szCs w:val="24"/>
        </w:rPr>
        <w:t xml:space="preserve">De Grave, S., &amp; Fransen, C. H. J. M. (2011). </w:t>
      </w:r>
      <w:proofErr w:type="spellStart"/>
      <w:r>
        <w:rPr>
          <w:rFonts w:ascii="Times New Roman" w:hAnsi="Times New Roman"/>
          <w:sz w:val="24"/>
          <w:szCs w:val="24"/>
        </w:rPr>
        <w:t>Carideorum</w:t>
      </w:r>
      <w:proofErr w:type="spellEnd"/>
      <w:r>
        <w:rPr>
          <w:rFonts w:ascii="Times New Roman" w:hAnsi="Times New Roman"/>
          <w:sz w:val="24"/>
          <w:szCs w:val="24"/>
        </w:rPr>
        <w:t xml:space="preserve"> </w:t>
      </w:r>
      <w:proofErr w:type="spellStart"/>
      <w:r>
        <w:rPr>
          <w:rFonts w:ascii="Times New Roman" w:hAnsi="Times New Roman"/>
          <w:sz w:val="24"/>
          <w:szCs w:val="24"/>
        </w:rPr>
        <w:t>catalogus</w:t>
      </w:r>
      <w:proofErr w:type="spellEnd"/>
      <w:r>
        <w:rPr>
          <w:rFonts w:ascii="Times New Roman" w:hAnsi="Times New Roman"/>
          <w:sz w:val="24"/>
          <w:szCs w:val="24"/>
        </w:rPr>
        <w:t xml:space="preserve">: The recent species of the dendrobranchiate, </w:t>
      </w:r>
      <w:proofErr w:type="spellStart"/>
      <w:r>
        <w:rPr>
          <w:rFonts w:ascii="Times New Roman" w:hAnsi="Times New Roman"/>
          <w:sz w:val="24"/>
          <w:szCs w:val="24"/>
        </w:rPr>
        <w:t>stenopodidean</w:t>
      </w:r>
      <w:proofErr w:type="spellEnd"/>
      <w:r>
        <w:rPr>
          <w:rFonts w:ascii="Times New Roman" w:hAnsi="Times New Roman"/>
          <w:sz w:val="24"/>
          <w:szCs w:val="24"/>
        </w:rPr>
        <w:t xml:space="preserve">, </w:t>
      </w:r>
      <w:proofErr w:type="spellStart"/>
      <w:r>
        <w:rPr>
          <w:rFonts w:ascii="Times New Roman" w:hAnsi="Times New Roman"/>
          <w:sz w:val="24"/>
          <w:szCs w:val="24"/>
        </w:rPr>
        <w:t>procarididean</w:t>
      </w:r>
      <w:proofErr w:type="spellEnd"/>
      <w:r>
        <w:rPr>
          <w:rFonts w:ascii="Times New Roman" w:hAnsi="Times New Roman"/>
          <w:sz w:val="24"/>
          <w:szCs w:val="24"/>
        </w:rPr>
        <w:t xml:space="preserve"> and caridean shrimps (Crustacea: Decapoda). </w:t>
      </w:r>
      <w:r w:rsidRPr="00521790">
        <w:rPr>
          <w:rFonts w:ascii="Times New Roman" w:hAnsi="Times New Roman"/>
          <w:sz w:val="24"/>
          <w:szCs w:val="24"/>
          <w:lang w:val="nl-BE"/>
        </w:rPr>
        <w:t>Zoologische Mededelingen, 85(9), 195–588.</w:t>
      </w:r>
    </w:p>
    <w:p w14:paraId="588FB333" w14:textId="77777777" w:rsidR="00C8290E" w:rsidRDefault="00000000">
      <w:pPr>
        <w:rPr>
          <w:rFonts w:ascii="Times New Roman" w:hAnsi="Times New Roman"/>
          <w:sz w:val="24"/>
          <w:szCs w:val="24"/>
        </w:rPr>
      </w:pPr>
      <w:r w:rsidRPr="00521790">
        <w:rPr>
          <w:lang w:val="nl-BE"/>
        </w:rPr>
        <w:t xml:space="preserve">12.Ayisi, C. L., Zhao, J., Wu, J. W., Shen, J. Y., &amp; Ayisi, K. K. (2017). </w:t>
      </w:r>
      <w:r>
        <w:t>A review of fish nutrition and feeding management: Toward sustainable aquaculture. Aquaculture Research, 48(1), 1–17. https://doi.org/10.1111/are.13151</w:t>
      </w:r>
    </w:p>
    <w:p w14:paraId="1BDA91BB" w14:textId="77777777" w:rsidR="00C8290E" w:rsidRDefault="00000000">
      <w:pPr>
        <w:rPr>
          <w:rFonts w:ascii="Times New Roman" w:hAnsi="Times New Roman"/>
          <w:sz w:val="24"/>
          <w:szCs w:val="24"/>
        </w:rPr>
      </w:pPr>
      <w:r>
        <w:rPr>
          <w:rFonts w:ascii="Times New Roman" w:hAnsi="Times New Roman"/>
          <w:sz w:val="24"/>
          <w:szCs w:val="24"/>
        </w:rPr>
        <w:t xml:space="preserve">13.Chakraborty, P. (2021). Water quality and its impact on human health and environment: An overview. Current World Environment, 16(1), 23–33. </w:t>
      </w:r>
      <w:hyperlink r:id="rId9" w:history="1">
        <w:r w:rsidR="00C8290E">
          <w:rPr>
            <w:rStyle w:val="Hyperlink"/>
            <w:rFonts w:ascii="Times New Roman" w:hAnsi="Times New Roman"/>
            <w:sz w:val="24"/>
            <w:szCs w:val="24"/>
          </w:rPr>
          <w:t>https://doi.org/10.12944/CWE.16.1.05</w:t>
        </w:r>
      </w:hyperlink>
    </w:p>
    <w:p w14:paraId="2B15837C" w14:textId="77777777" w:rsidR="00C8290E" w:rsidRDefault="00000000">
      <w:pPr>
        <w:rPr>
          <w:rFonts w:ascii="Times New Roman" w:hAnsi="Times New Roman"/>
          <w:sz w:val="24"/>
          <w:szCs w:val="24"/>
        </w:rPr>
      </w:pPr>
      <w:r>
        <w:t xml:space="preserve">14.Rahman, M. S., Hossain, M. B., Jewel, M. A. S., &amp; Rahman, M. M. (2021). Assessment of physicochemical parameters of water quality in rivers of Bangladesh. Environmental Nanotechnology, Monitoring &amp; Management, 16, 100502. https://doi.org/10.1016/j.enmm.2021.100502 </w:t>
      </w:r>
    </w:p>
    <w:p w14:paraId="7361E9A3" w14:textId="77777777" w:rsidR="00C8290E" w:rsidRDefault="00000000">
      <w:pPr>
        <w:rPr>
          <w:rFonts w:ascii="Times New Roman" w:hAnsi="Times New Roman"/>
          <w:sz w:val="24"/>
          <w:szCs w:val="24"/>
        </w:rPr>
      </w:pPr>
      <w:r>
        <w:rPr>
          <w:rFonts w:ascii="Times New Roman" w:hAnsi="Times New Roman"/>
          <w:sz w:val="24"/>
          <w:szCs w:val="24"/>
        </w:rPr>
        <w:lastRenderedPageBreak/>
        <w:t>15.</w:t>
      </w:r>
      <w:r>
        <w:rPr>
          <w:rFonts w:ascii="Times New Roman" w:hAnsi="Times New Roman"/>
          <w:sz w:val="24"/>
          <w:szCs w:val="24"/>
          <w:lang w:val="de-CH"/>
        </w:rPr>
        <w:t xml:space="preserve">Mammeri, H., Aouissi, H. A., &amp; Benguerai, A. (2023). </w:t>
      </w:r>
      <w:r>
        <w:rPr>
          <w:rFonts w:ascii="Times New Roman" w:hAnsi="Times New Roman"/>
          <w:sz w:val="24"/>
          <w:szCs w:val="24"/>
        </w:rPr>
        <w:t xml:space="preserve">Assessment of water quality in rivers: Physicochemical parameters and ecological health indicators. Environmental Monitoring and Assessment, 195(2), 1–15. </w:t>
      </w:r>
      <w:hyperlink r:id="rId10" w:history="1">
        <w:r w:rsidR="00C8290E">
          <w:rPr>
            <w:rStyle w:val="Hyperlink"/>
            <w:rFonts w:ascii="Times New Roman" w:hAnsi="Times New Roman"/>
            <w:sz w:val="24"/>
            <w:szCs w:val="24"/>
          </w:rPr>
          <w:t>https://doi.org/10.1007/s10661-022-10722-w</w:t>
        </w:r>
      </w:hyperlink>
    </w:p>
    <w:p w14:paraId="0E4CF7E5" w14:textId="77777777" w:rsidR="00C8290E" w:rsidRDefault="00000000">
      <w:pPr>
        <w:rPr>
          <w:rFonts w:ascii="Times New Roman" w:hAnsi="Times New Roman"/>
          <w:sz w:val="24"/>
          <w:szCs w:val="24"/>
        </w:rPr>
      </w:pPr>
      <w:r>
        <w:t xml:space="preserve">16. </w:t>
      </w:r>
      <w:proofErr w:type="spellStart"/>
      <w:r>
        <w:t>Kassegne</w:t>
      </w:r>
      <w:proofErr w:type="spellEnd"/>
      <w:r>
        <w:t>, K., &amp; Leta, S. (2020). Physicochemical water quality parameters of Awash River, Ethiopia. Applied Water Science, 10(7), 1–9. https://doi.org/10.1007/s13201-020-01271-3</w:t>
      </w:r>
    </w:p>
    <w:p w14:paraId="39CED266" w14:textId="77777777" w:rsidR="00C8290E" w:rsidRDefault="00000000">
      <w:pPr>
        <w:rPr>
          <w:rFonts w:ascii="Times New Roman" w:hAnsi="Times New Roman"/>
          <w:sz w:val="24"/>
          <w:szCs w:val="24"/>
        </w:rPr>
      </w:pPr>
      <w:r>
        <w:t xml:space="preserve">17Ramirez, J. L., Santos, A. C., &amp; Silva, P. H. (2021). DNA barcoding of </w:t>
      </w:r>
      <w:proofErr w:type="spellStart"/>
      <w:r>
        <w:t>Penaeidae</w:t>
      </w:r>
      <w:proofErr w:type="spellEnd"/>
      <w:r>
        <w:t xml:space="preserve"> (Decapoda; Crustacea): Resolving taxonomic ambiguities and detecting cryptic species in commercially important shrimp. Biodiversity, 13(10), 460. https://doi.org/10.3390/biodiversity13100460</w:t>
      </w:r>
    </w:p>
    <w:p w14:paraId="4E6A7476"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t xml:space="preserve">.               </w:t>
      </w:r>
      <w:proofErr w:type="gramStart"/>
      <w:r>
        <w:t xml:space="preserve">18  </w:t>
      </w:r>
      <w:r>
        <w:rPr>
          <w:rFonts w:ascii="Times New Roman" w:hAnsi="Times New Roman"/>
          <w:sz w:val="24"/>
          <w:szCs w:val="24"/>
        </w:rPr>
        <w:t>Lagler</w:t>
      </w:r>
      <w:proofErr w:type="gramEnd"/>
      <w:r>
        <w:rPr>
          <w:rFonts w:ascii="Times New Roman" w:hAnsi="Times New Roman"/>
          <w:sz w:val="24"/>
          <w:szCs w:val="24"/>
        </w:rPr>
        <w:t>, K. F. (1978). Ichthyology (2nd ed.). New York: John Wiley &amp; Sons.</w:t>
      </w:r>
    </w:p>
    <w:p w14:paraId="6502B1CD" w14:textId="77777777" w:rsidR="00C8290E" w:rsidRDefault="00C8290E">
      <w:pPr>
        <w:rPr>
          <w:rFonts w:ascii="Times New Roman" w:hAnsi="Times New Roman"/>
          <w:sz w:val="24"/>
          <w:szCs w:val="24"/>
        </w:rPr>
      </w:pPr>
    </w:p>
    <w:p w14:paraId="336BE4A2"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    19.Snieder, R. (1990). A guided tour of mathematical methods for the physical sciences. Cambridge: Cambridge University Press.</w:t>
      </w:r>
    </w:p>
    <w:p w14:paraId="4D2EE88D"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t>.            20Anderson, J. C. (1999). Fish ecology and management. Oxford: Blackwell Science.</w:t>
      </w:r>
    </w:p>
    <w:p w14:paraId="1B9C50ED" w14:textId="77777777" w:rsidR="00C8290E" w:rsidRDefault="00000000">
      <w:pPr>
        <w:autoSpaceDE w:val="0"/>
        <w:autoSpaceDN w:val="0"/>
        <w:adjustRightInd w:val="0"/>
        <w:spacing w:after="160" w:line="240" w:lineRule="auto"/>
        <w:ind w:left="-142"/>
        <w:jc w:val="both"/>
        <w:rPr>
          <w:rFonts w:ascii="Times New Roman" w:hAnsi="Times New Roman"/>
          <w:sz w:val="24"/>
          <w:szCs w:val="24"/>
        </w:rPr>
      </w:pPr>
      <w:r>
        <w:t xml:space="preserve">21.Fall, K. A., Massey, G. M., &amp; Friedrichs, C. T. (2020). Secchi disk measurements in turbid water. Journal of Geophysical Research: Oceans, 125(6), e2020JC016172. https://doi.org/10.1029/2020JC016172 </w:t>
      </w:r>
    </w:p>
    <w:p w14:paraId="56D9568F" w14:textId="77777777" w:rsidR="00C8290E" w:rsidRDefault="00C8290E">
      <w:pPr>
        <w:autoSpaceDE w:val="0"/>
        <w:autoSpaceDN w:val="0"/>
        <w:adjustRightInd w:val="0"/>
        <w:spacing w:after="160" w:line="240" w:lineRule="auto"/>
        <w:ind w:left="-142" w:hanging="840"/>
        <w:jc w:val="both"/>
        <w:rPr>
          <w:rFonts w:ascii="Times New Roman" w:hAnsi="Times New Roman"/>
          <w:sz w:val="24"/>
          <w:szCs w:val="24"/>
        </w:rPr>
      </w:pPr>
    </w:p>
    <w:p w14:paraId="6ADA8A35"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sz w:val="28"/>
          <w:szCs w:val="28"/>
          <w:lang w:eastAsia="en-US"/>
        </w:rPr>
        <w:t xml:space="preserve">.     22.  Obande, R.A. and </w:t>
      </w:r>
      <w:proofErr w:type="spellStart"/>
      <w:r>
        <w:rPr>
          <w:rFonts w:ascii="Times New Roman" w:eastAsia="Calibri" w:hAnsi="Times New Roman"/>
          <w:sz w:val="28"/>
          <w:szCs w:val="28"/>
          <w:lang w:eastAsia="en-US"/>
        </w:rPr>
        <w:t>Kusemiju</w:t>
      </w:r>
      <w:proofErr w:type="spellEnd"/>
      <w:r>
        <w:rPr>
          <w:rFonts w:ascii="Times New Roman" w:eastAsia="Calibri" w:hAnsi="Times New Roman"/>
          <w:sz w:val="28"/>
          <w:szCs w:val="28"/>
          <w:lang w:eastAsia="en-US"/>
        </w:rPr>
        <w:t xml:space="preserve">, K., 2006. Food and feeding habit of </w:t>
      </w:r>
      <w:proofErr w:type="spellStart"/>
      <w:r>
        <w:rPr>
          <w:rFonts w:ascii="Times New Roman" w:eastAsia="Calibri" w:hAnsi="Times New Roman"/>
          <w:i/>
          <w:iCs/>
          <w:sz w:val="28"/>
          <w:szCs w:val="28"/>
          <w:lang w:eastAsia="en-US"/>
        </w:rPr>
        <w:t>Atya</w:t>
      </w:r>
      <w:proofErr w:type="spellEnd"/>
      <w:r>
        <w:rPr>
          <w:rFonts w:ascii="Times New Roman" w:eastAsia="Calibri" w:hAnsi="Times New Roman"/>
          <w:i/>
          <w:iCs/>
          <w:sz w:val="28"/>
          <w:szCs w:val="28"/>
          <w:lang w:eastAsia="en-US"/>
        </w:rPr>
        <w:t xml:space="preserve"> </w:t>
      </w:r>
      <w:proofErr w:type="spellStart"/>
      <w:r>
        <w:rPr>
          <w:rFonts w:ascii="Times New Roman" w:eastAsia="Calibri" w:hAnsi="Times New Roman"/>
          <w:i/>
          <w:iCs/>
          <w:sz w:val="28"/>
          <w:szCs w:val="28"/>
          <w:lang w:eastAsia="en-US"/>
        </w:rPr>
        <w:t>gabonensi</w:t>
      </w:r>
      <w:proofErr w:type="spellEnd"/>
      <w:r>
        <w:rPr>
          <w:rFonts w:ascii="Times New Roman" w:eastAsia="Calibri" w:hAnsi="Times New Roman"/>
          <w:i/>
          <w:iCs/>
          <w:sz w:val="28"/>
          <w:szCs w:val="28"/>
          <w:lang w:eastAsia="en-US"/>
        </w:rPr>
        <w:t xml:space="preserve"> </w:t>
      </w:r>
      <w:r>
        <w:tab/>
      </w:r>
      <w:r>
        <w:rPr>
          <w:rFonts w:ascii="Times New Roman" w:eastAsia="Calibri" w:hAnsi="Times New Roman"/>
          <w:sz w:val="28"/>
          <w:szCs w:val="28"/>
          <w:lang w:eastAsia="en-US"/>
        </w:rPr>
        <w:t xml:space="preserve">from Lower River Benue in Northern Nigeria. </w:t>
      </w:r>
      <w:r>
        <w:rPr>
          <w:rFonts w:ascii="Times New Roman" w:eastAsia="Calibri" w:hAnsi="Times New Roman"/>
          <w:i/>
          <w:iCs/>
          <w:sz w:val="28"/>
          <w:szCs w:val="28"/>
          <w:lang w:eastAsia="en-US"/>
        </w:rPr>
        <w:t xml:space="preserve">West African Journal of </w:t>
      </w:r>
      <w:r>
        <w:tab/>
      </w:r>
      <w:r>
        <w:rPr>
          <w:rFonts w:ascii="Times New Roman" w:eastAsia="Calibri" w:hAnsi="Times New Roman"/>
          <w:i/>
          <w:iCs/>
          <w:sz w:val="28"/>
          <w:szCs w:val="28"/>
          <w:lang w:eastAsia="en-US"/>
        </w:rPr>
        <w:t>Applied Ecology</w:t>
      </w:r>
      <w:r>
        <w:rPr>
          <w:rFonts w:ascii="Times New Roman" w:eastAsia="Calibri" w:hAnsi="Times New Roman"/>
          <w:sz w:val="28"/>
          <w:szCs w:val="28"/>
          <w:lang w:eastAsia="en-US"/>
        </w:rPr>
        <w:t>, 13, 19-18.</w:t>
      </w:r>
    </w:p>
    <w:p w14:paraId="5CF5006C" w14:textId="77777777" w:rsidR="00C8290E" w:rsidRDefault="00000000">
      <w:pPr>
        <w:autoSpaceDE w:val="0"/>
        <w:autoSpaceDN w:val="0"/>
        <w:adjustRightInd w:val="0"/>
        <w:spacing w:after="160" w:line="240" w:lineRule="auto"/>
        <w:ind w:left="-142"/>
        <w:jc w:val="both"/>
        <w:rPr>
          <w:rFonts w:ascii="Times New Roman" w:hAnsi="Times New Roman"/>
          <w:sz w:val="24"/>
          <w:szCs w:val="24"/>
        </w:rPr>
      </w:pPr>
      <w:r>
        <w:rPr>
          <w:rFonts w:ascii="Times New Roman" w:eastAsia="Calibri" w:hAnsi="Times New Roman"/>
          <w:sz w:val="28"/>
          <w:szCs w:val="28"/>
          <w:lang w:eastAsia="en-US"/>
        </w:rPr>
        <w:t xml:space="preserve"> 23.  </w:t>
      </w:r>
      <w:proofErr w:type="spellStart"/>
      <w:r>
        <w:rPr>
          <w:rFonts w:ascii="Times New Roman" w:eastAsia="Calibri" w:hAnsi="Times New Roman"/>
          <w:sz w:val="28"/>
          <w:szCs w:val="28"/>
          <w:lang w:eastAsia="en-US"/>
        </w:rPr>
        <w:t>Ferrareze</w:t>
      </w:r>
      <w:proofErr w:type="spellEnd"/>
      <w:r>
        <w:rPr>
          <w:rFonts w:ascii="Times New Roman" w:eastAsia="Calibri" w:hAnsi="Times New Roman"/>
          <w:sz w:val="28"/>
          <w:szCs w:val="28"/>
          <w:lang w:eastAsia="en-US"/>
        </w:rPr>
        <w:t xml:space="preserve">, M., Nogueira, M. G., &amp; </w:t>
      </w:r>
      <w:proofErr w:type="spellStart"/>
      <w:r>
        <w:rPr>
          <w:rFonts w:ascii="Times New Roman" w:eastAsia="Calibri" w:hAnsi="Times New Roman"/>
          <w:sz w:val="28"/>
          <w:szCs w:val="28"/>
          <w:lang w:eastAsia="en-US"/>
        </w:rPr>
        <w:t>Casatti</w:t>
      </w:r>
      <w:proofErr w:type="spellEnd"/>
      <w:r>
        <w:rPr>
          <w:rFonts w:ascii="Times New Roman" w:eastAsia="Calibri" w:hAnsi="Times New Roman"/>
          <w:sz w:val="28"/>
          <w:szCs w:val="28"/>
          <w:lang w:eastAsia="en-US"/>
        </w:rPr>
        <w:t xml:space="preserve">, L. (2015). Trophic ecology of the freshwater prawn </w:t>
      </w:r>
      <w:proofErr w:type="spellStart"/>
      <w:r>
        <w:rPr>
          <w:rFonts w:ascii="Times New Roman" w:eastAsia="Calibri" w:hAnsi="Times New Roman"/>
          <w:sz w:val="28"/>
          <w:szCs w:val="28"/>
          <w:lang w:eastAsia="en-US"/>
        </w:rPr>
        <w:t>Pseudopalaemon</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bouvieri</w:t>
      </w:r>
      <w:proofErr w:type="spellEnd"/>
      <w:r>
        <w:rPr>
          <w:rFonts w:ascii="Times New Roman" w:eastAsia="Calibri" w:hAnsi="Times New Roman"/>
          <w:sz w:val="28"/>
          <w:szCs w:val="28"/>
          <w:lang w:eastAsia="en-US"/>
        </w:rPr>
        <w:t xml:space="preserve"> (Decapoda: </w:t>
      </w:r>
      <w:proofErr w:type="spellStart"/>
      <w:r>
        <w:rPr>
          <w:rFonts w:ascii="Times New Roman" w:eastAsia="Calibri" w:hAnsi="Times New Roman"/>
          <w:sz w:val="28"/>
          <w:szCs w:val="28"/>
          <w:lang w:eastAsia="en-US"/>
        </w:rPr>
        <w:t>Palaemonidae</w:t>
      </w:r>
      <w:proofErr w:type="spellEnd"/>
      <w:r>
        <w:rPr>
          <w:rFonts w:ascii="Times New Roman" w:eastAsia="Calibri" w:hAnsi="Times New Roman"/>
          <w:sz w:val="28"/>
          <w:szCs w:val="28"/>
          <w:lang w:eastAsia="en-US"/>
        </w:rPr>
        <w:t xml:space="preserve">) in Northeastern Argentina, with remarks on population structure. Brazilian Journal of Biology, 75(2), 380–390. https://doi.org/10.1590/1519-6984.14713 </w:t>
      </w:r>
    </w:p>
    <w:p w14:paraId="3E1E221A"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t xml:space="preserve">.       24.Magalhães, C., Walker, I., Campos, M. R., &amp; Rocha, S. S. (2016). Feeding ecology of Macrobrachium </w:t>
      </w:r>
      <w:proofErr w:type="spellStart"/>
      <w:r>
        <w:t>amazonicum</w:t>
      </w:r>
      <w:proofErr w:type="spellEnd"/>
      <w:r>
        <w:t xml:space="preserve"> in Amazonian floodplain lakes. </w:t>
      </w:r>
      <w:proofErr w:type="spellStart"/>
      <w:r>
        <w:t>Hydrobiologia</w:t>
      </w:r>
      <w:proofErr w:type="spellEnd"/>
      <w:r>
        <w:t>, 781(1), 21–34. https://doi.org/10.1007/s10750-016-2822-2</w:t>
      </w:r>
    </w:p>
    <w:p w14:paraId="250F0462" w14:textId="77777777" w:rsidR="00C8290E" w:rsidRDefault="00000000">
      <w:pPr>
        <w:autoSpaceDE w:val="0"/>
        <w:autoSpaceDN w:val="0"/>
        <w:adjustRightInd w:val="0"/>
        <w:spacing w:after="160" w:line="240" w:lineRule="auto"/>
        <w:ind w:left="-142"/>
        <w:jc w:val="both"/>
        <w:rPr>
          <w:rFonts w:ascii="Times New Roman" w:hAnsi="Times New Roman"/>
          <w:sz w:val="24"/>
          <w:szCs w:val="24"/>
        </w:rPr>
      </w:pPr>
      <w:r>
        <w:t>25.Chowdhury, M. M. R., Mamun, A., &amp; Hoque, M. A. (2021). Feeding ecology of freshwater prawns in tropical river systems of Bangladesh. Journal of Applied Aquaculture, 33(4), 321–337. https://doi.org/10.1080/10454438.2020.1866587</w:t>
      </w:r>
    </w:p>
    <w:p w14:paraId="4C27DB46"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t xml:space="preserve">.          26Tee-hor, K., </w:t>
      </w:r>
      <w:proofErr w:type="spellStart"/>
      <w:r>
        <w:t>Nitiratsuwan</w:t>
      </w:r>
      <w:proofErr w:type="spellEnd"/>
      <w:r>
        <w:t xml:space="preserve">, T., Pradit, S., </w:t>
      </w:r>
      <w:proofErr w:type="spellStart"/>
      <w:r>
        <w:t>Suteerachanon</w:t>
      </w:r>
      <w:proofErr w:type="spellEnd"/>
      <w:r>
        <w:t xml:space="preserve">, S., &amp; Klumpp, D. (2023). Identification of anthropogenic debris in the stomach and intestines of giant freshwater prawns from the Trang River in southern Thailand. </w:t>
      </w:r>
      <w:proofErr w:type="spellStart"/>
      <w:r>
        <w:t>PeerJ</w:t>
      </w:r>
      <w:proofErr w:type="spellEnd"/>
      <w:r>
        <w:t xml:space="preserve">, 11, e16082. https://doi.org/10.7717/peerj.16082 </w:t>
      </w:r>
    </w:p>
    <w:p w14:paraId="3013E4B2"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27Huet, M. (1977). </w:t>
      </w:r>
      <w:r>
        <w:rPr>
          <w:rFonts w:ascii="Times New Roman" w:eastAsia="Calibri" w:hAnsi="Times New Roman"/>
          <w:i/>
          <w:iCs/>
          <w:color w:val="000000"/>
          <w:sz w:val="24"/>
          <w:szCs w:val="24"/>
          <w:lang w:eastAsia="en-US"/>
        </w:rPr>
        <w:t xml:space="preserve">Text book of fish culture, breeding and cultivation of fish </w:t>
      </w:r>
      <w:r>
        <w:rPr>
          <w:rFonts w:ascii="Times New Roman" w:eastAsia="Calibri" w:hAnsi="Times New Roman"/>
          <w:color w:val="000000"/>
          <w:sz w:val="24"/>
          <w:szCs w:val="24"/>
          <w:lang w:eastAsia="en-US"/>
        </w:rPr>
        <w:t xml:space="preserve">2nd </w:t>
      </w:r>
      <w:r>
        <w:tab/>
      </w:r>
      <w:r>
        <w:rPr>
          <w:rFonts w:ascii="Times New Roman" w:eastAsia="Calibri" w:hAnsi="Times New Roman"/>
          <w:color w:val="000000"/>
          <w:sz w:val="24"/>
          <w:szCs w:val="24"/>
          <w:lang w:eastAsia="en-US"/>
        </w:rPr>
        <w:t>edition, Fishing News books, published University press, Cambridge, 438pp</w:t>
      </w:r>
      <w:r>
        <w:rPr>
          <w:rFonts w:ascii="Times New Roman" w:eastAsia="Calibri" w:hAnsi="Times New Roman"/>
          <w:b/>
          <w:bCs/>
          <w:color w:val="000000"/>
          <w:sz w:val="24"/>
          <w:szCs w:val="24"/>
          <w:lang w:eastAsia="en-US"/>
        </w:rPr>
        <w:t>.</w:t>
      </w:r>
    </w:p>
    <w:p w14:paraId="06395975"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lastRenderedPageBreak/>
        <w:t xml:space="preserve">     .  28.  </w:t>
      </w:r>
      <w:r>
        <w:rPr>
          <w:rFonts w:ascii="Times New Roman" w:hAnsi="Times New Roman"/>
          <w:sz w:val="24"/>
          <w:szCs w:val="24"/>
        </w:rPr>
        <w:t xml:space="preserve">World Health Organization (W.H.O., 1984). Guide lines for drinking water </w:t>
      </w:r>
      <w:r>
        <w:tab/>
      </w:r>
      <w:r>
        <w:rPr>
          <w:rFonts w:ascii="Times New Roman" w:hAnsi="Times New Roman"/>
          <w:sz w:val="24"/>
          <w:szCs w:val="24"/>
        </w:rPr>
        <w:t xml:space="preserve">quality, World Health Organization, Geneva, pp205. </w:t>
      </w:r>
    </w:p>
    <w:p w14:paraId="61299A58"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29.    Mustapha M.K., (2008). Assessment of the Water Quality of Oyun Reservoir, </w:t>
      </w:r>
      <w:r>
        <w:tab/>
      </w:r>
      <w:r>
        <w:rPr>
          <w:rFonts w:ascii="Times New Roman" w:hAnsi="Times New Roman"/>
          <w:sz w:val="24"/>
          <w:szCs w:val="24"/>
        </w:rPr>
        <w:t xml:space="preserve">Offa, Nigeria, Using Selected Physico-Chemical Parameters. Turkish </w:t>
      </w:r>
      <w:r>
        <w:tab/>
      </w:r>
      <w:r>
        <w:rPr>
          <w:rFonts w:ascii="Times New Roman" w:hAnsi="Times New Roman"/>
          <w:sz w:val="24"/>
          <w:szCs w:val="24"/>
        </w:rPr>
        <w:t xml:space="preserve">Journal of Fisheries and Aquatic Science, 8:309-319. </w:t>
      </w:r>
    </w:p>
    <w:p w14:paraId="14130EB1"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30.Anago, I. J., I. K. </w:t>
      </w:r>
      <w:proofErr w:type="spellStart"/>
      <w:r>
        <w:rPr>
          <w:rFonts w:ascii="Times New Roman" w:eastAsia="Calibri" w:hAnsi="Times New Roman"/>
          <w:color w:val="000000"/>
          <w:sz w:val="24"/>
          <w:szCs w:val="24"/>
          <w:lang w:eastAsia="en-US"/>
        </w:rPr>
        <w:t>Esenowo</w:t>
      </w:r>
      <w:proofErr w:type="spellEnd"/>
      <w:r>
        <w:rPr>
          <w:rFonts w:ascii="Times New Roman" w:eastAsia="Calibri" w:hAnsi="Times New Roman"/>
          <w:color w:val="000000"/>
          <w:sz w:val="24"/>
          <w:szCs w:val="24"/>
          <w:lang w:eastAsia="en-US"/>
        </w:rPr>
        <w:t xml:space="preserve"> and A. A. A. </w:t>
      </w:r>
      <w:proofErr w:type="spellStart"/>
      <w:r>
        <w:rPr>
          <w:rFonts w:ascii="Times New Roman" w:eastAsia="Calibri" w:hAnsi="Times New Roman"/>
          <w:color w:val="000000"/>
          <w:sz w:val="24"/>
          <w:szCs w:val="24"/>
          <w:lang w:eastAsia="en-US"/>
        </w:rPr>
        <w:t>Ugwumba</w:t>
      </w:r>
      <w:proofErr w:type="spellEnd"/>
      <w:r>
        <w:rPr>
          <w:rFonts w:ascii="Times New Roman" w:eastAsia="Calibri" w:hAnsi="Times New Roman"/>
          <w:color w:val="000000"/>
          <w:sz w:val="24"/>
          <w:szCs w:val="24"/>
          <w:lang w:eastAsia="en-US"/>
        </w:rPr>
        <w:t xml:space="preserve"> (2013). The </w:t>
      </w:r>
      <w:proofErr w:type="spellStart"/>
      <w:r>
        <w:rPr>
          <w:rFonts w:ascii="Times New Roman" w:eastAsia="Calibri" w:hAnsi="Times New Roman"/>
          <w:color w:val="000000"/>
          <w:sz w:val="24"/>
          <w:szCs w:val="24"/>
          <w:lang w:eastAsia="en-US"/>
        </w:rPr>
        <w:t>physico</w:t>
      </w:r>
      <w:proofErr w:type="spellEnd"/>
      <w:r>
        <w:rPr>
          <w:rFonts w:ascii="Times New Roman" w:eastAsia="Calibri" w:hAnsi="Times New Roman"/>
          <w:color w:val="000000"/>
          <w:sz w:val="24"/>
          <w:szCs w:val="24"/>
          <w:lang w:eastAsia="en-US"/>
        </w:rPr>
        <w:t xml:space="preserve">-chemistry </w:t>
      </w:r>
      <w:proofErr w:type="spellStart"/>
      <w:r>
        <w:rPr>
          <w:rFonts w:ascii="Times New Roman" w:eastAsia="Calibri" w:hAnsi="Times New Roman"/>
          <w:color w:val="000000"/>
          <w:sz w:val="24"/>
          <w:szCs w:val="24"/>
          <w:lang w:eastAsia="en-US"/>
        </w:rPr>
        <w:t>andplankton</w:t>
      </w:r>
      <w:proofErr w:type="spellEnd"/>
      <w:r>
        <w:rPr>
          <w:rFonts w:ascii="Times New Roman" w:eastAsia="Calibri" w:hAnsi="Times New Roman"/>
          <w:color w:val="000000"/>
          <w:sz w:val="24"/>
          <w:szCs w:val="24"/>
          <w:lang w:eastAsia="en-US"/>
        </w:rPr>
        <w:t xml:space="preserve"> </w:t>
      </w:r>
      <w:r>
        <w:tab/>
      </w:r>
      <w:r>
        <w:tab/>
      </w:r>
      <w:r>
        <w:tab/>
      </w:r>
      <w:r>
        <w:rPr>
          <w:rFonts w:ascii="Times New Roman" w:eastAsia="Calibri" w:hAnsi="Times New Roman"/>
          <w:color w:val="000000"/>
          <w:sz w:val="24"/>
          <w:szCs w:val="24"/>
          <w:lang w:eastAsia="en-US"/>
        </w:rPr>
        <w:t xml:space="preserve">diversity of </w:t>
      </w:r>
      <w:proofErr w:type="spellStart"/>
      <w:r>
        <w:rPr>
          <w:rFonts w:ascii="Times New Roman" w:eastAsia="Calibri" w:hAnsi="Times New Roman"/>
          <w:color w:val="000000"/>
          <w:sz w:val="24"/>
          <w:szCs w:val="24"/>
          <w:lang w:eastAsia="en-US"/>
        </w:rPr>
        <w:t>Awba</w:t>
      </w:r>
      <w:proofErr w:type="spellEnd"/>
      <w:r>
        <w:rPr>
          <w:rFonts w:ascii="Times New Roman" w:eastAsia="Calibri" w:hAnsi="Times New Roman"/>
          <w:color w:val="000000"/>
          <w:sz w:val="24"/>
          <w:szCs w:val="24"/>
          <w:lang w:eastAsia="en-US"/>
        </w:rPr>
        <w:t xml:space="preserve"> Reservoir, University of Ibadan, Ibadan, </w:t>
      </w:r>
      <w:r>
        <w:tab/>
      </w:r>
      <w:r>
        <w:rPr>
          <w:rFonts w:ascii="Times New Roman" w:eastAsia="Calibri" w:hAnsi="Times New Roman"/>
          <w:color w:val="000000"/>
          <w:sz w:val="24"/>
          <w:szCs w:val="24"/>
          <w:lang w:eastAsia="en-US"/>
        </w:rPr>
        <w:t xml:space="preserve">Nigeria. </w:t>
      </w:r>
      <w:r>
        <w:rPr>
          <w:rFonts w:ascii="Times New Roman" w:eastAsia="Calibri" w:hAnsi="Times New Roman"/>
          <w:i/>
          <w:iCs/>
          <w:color w:val="000000"/>
          <w:sz w:val="24"/>
          <w:szCs w:val="24"/>
          <w:lang w:eastAsia="en-US"/>
        </w:rPr>
        <w:t xml:space="preserve">Research Journal of </w:t>
      </w:r>
      <w:r>
        <w:tab/>
      </w:r>
      <w:r>
        <w:tab/>
      </w:r>
      <w:r>
        <w:tab/>
      </w:r>
      <w:r>
        <w:rPr>
          <w:rFonts w:ascii="Times New Roman" w:eastAsia="Calibri" w:hAnsi="Times New Roman"/>
          <w:i/>
          <w:iCs/>
          <w:color w:val="000000"/>
          <w:sz w:val="24"/>
          <w:szCs w:val="24"/>
          <w:lang w:eastAsia="en-US"/>
        </w:rPr>
        <w:t>Environmental and Earth Sciences</w:t>
      </w:r>
      <w:r>
        <w:rPr>
          <w:rFonts w:ascii="Times New Roman" w:eastAsia="Calibri" w:hAnsi="Times New Roman"/>
          <w:color w:val="000000"/>
          <w:sz w:val="24"/>
          <w:szCs w:val="24"/>
          <w:lang w:eastAsia="en-US"/>
        </w:rPr>
        <w:t>, 5(11): 638-</w:t>
      </w:r>
      <w:r>
        <w:tab/>
      </w:r>
      <w:r>
        <w:rPr>
          <w:rFonts w:ascii="Times New Roman" w:eastAsia="Calibri" w:hAnsi="Times New Roman"/>
          <w:color w:val="000000"/>
          <w:sz w:val="24"/>
          <w:szCs w:val="24"/>
          <w:lang w:eastAsia="en-US"/>
        </w:rPr>
        <w:t>644</w:t>
      </w:r>
    </w:p>
    <w:p w14:paraId="3A276548" w14:textId="77777777" w:rsidR="00C8290E" w:rsidRDefault="00000000">
      <w:pPr>
        <w:autoSpaceDE w:val="0"/>
        <w:autoSpaceDN w:val="0"/>
        <w:adjustRightInd w:val="0"/>
        <w:spacing w:after="160" w:line="240" w:lineRule="auto"/>
        <w:ind w:left="-142"/>
        <w:jc w:val="both"/>
        <w:rPr>
          <w:rFonts w:ascii="Times New Roman" w:hAnsi="Times New Roman"/>
          <w:sz w:val="24"/>
          <w:szCs w:val="24"/>
        </w:rPr>
      </w:pPr>
      <w:r>
        <w:rPr>
          <w:rFonts w:ascii="Times New Roman" w:eastAsia="Calibri" w:hAnsi="Times New Roman"/>
          <w:color w:val="000000"/>
          <w:sz w:val="24"/>
          <w:szCs w:val="24"/>
          <w:lang w:eastAsia="en-US"/>
        </w:rPr>
        <w:t xml:space="preserve">31.Oladimeji, A. A. and Wade, J. W. (1984). Effects of effluents from sewage </w:t>
      </w:r>
      <w:r>
        <w:tab/>
      </w:r>
      <w:r>
        <w:rPr>
          <w:rFonts w:ascii="Times New Roman" w:eastAsia="Calibri" w:hAnsi="Times New Roman"/>
          <w:color w:val="000000"/>
          <w:sz w:val="24"/>
          <w:szCs w:val="24"/>
          <w:lang w:eastAsia="en-US"/>
        </w:rPr>
        <w:t xml:space="preserve">treatment plant on the aquatic organisms. </w:t>
      </w:r>
      <w:r>
        <w:rPr>
          <w:rFonts w:ascii="Times New Roman" w:eastAsia="Calibri" w:hAnsi="Times New Roman"/>
          <w:i/>
          <w:iCs/>
          <w:color w:val="000000"/>
          <w:sz w:val="24"/>
          <w:szCs w:val="24"/>
          <w:lang w:eastAsia="en-US"/>
        </w:rPr>
        <w:t>Soil, Air and Water pollution</w:t>
      </w:r>
      <w:r>
        <w:rPr>
          <w:rFonts w:ascii="Times New Roman" w:eastAsia="Calibri" w:hAnsi="Times New Roman"/>
          <w:color w:val="000000"/>
          <w:sz w:val="24"/>
          <w:szCs w:val="24"/>
          <w:lang w:eastAsia="en-US"/>
        </w:rPr>
        <w:t xml:space="preserve">, </w:t>
      </w:r>
      <w:r>
        <w:rPr>
          <w:rFonts w:ascii="Times New Roman" w:eastAsia="Calibri" w:hAnsi="Times New Roman"/>
          <w:b/>
          <w:bCs/>
          <w:color w:val="000000"/>
          <w:sz w:val="24"/>
          <w:szCs w:val="24"/>
          <w:lang w:eastAsia="en-US"/>
        </w:rPr>
        <w:t xml:space="preserve">23: </w:t>
      </w:r>
      <w:r>
        <w:tab/>
      </w:r>
      <w:r>
        <w:rPr>
          <w:rFonts w:ascii="Times New Roman" w:eastAsia="Calibri" w:hAnsi="Times New Roman"/>
          <w:color w:val="000000"/>
          <w:sz w:val="24"/>
          <w:szCs w:val="24"/>
          <w:lang w:eastAsia="en-US"/>
        </w:rPr>
        <w:t>309-315.</w:t>
      </w:r>
    </w:p>
    <w:p w14:paraId="146551DA"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32.Ibrahim, B. U., Auta, J., &amp; Balogun, J. K. (2009b). An assessment of the </w:t>
      </w:r>
      <w:proofErr w:type="spellStart"/>
      <w:r>
        <w:rPr>
          <w:rFonts w:ascii="Times New Roman" w:hAnsi="Times New Roman"/>
          <w:sz w:val="24"/>
          <w:szCs w:val="24"/>
        </w:rPr>
        <w:t>physico</w:t>
      </w:r>
      <w:proofErr w:type="spellEnd"/>
      <w:r>
        <w:rPr>
          <w:rFonts w:ascii="Times New Roman" w:hAnsi="Times New Roman"/>
          <w:sz w:val="24"/>
          <w:szCs w:val="24"/>
        </w:rPr>
        <w:t xml:space="preserve">-chemical parameters of Kontagora Reservoir, Niger State, Nigeria. </w:t>
      </w:r>
      <w:proofErr w:type="spellStart"/>
      <w:r>
        <w:rPr>
          <w:rFonts w:ascii="Times New Roman" w:hAnsi="Times New Roman"/>
          <w:sz w:val="24"/>
          <w:szCs w:val="24"/>
        </w:rPr>
        <w:t>Bayero</w:t>
      </w:r>
      <w:proofErr w:type="spellEnd"/>
      <w:r>
        <w:rPr>
          <w:rFonts w:ascii="Times New Roman" w:hAnsi="Times New Roman"/>
          <w:sz w:val="24"/>
          <w:szCs w:val="24"/>
        </w:rPr>
        <w:t xml:space="preserve"> Journal of Pure and Applied Sciences, 2(1), 64–69.</w:t>
      </w:r>
    </w:p>
    <w:p w14:paraId="0E01D1BE"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33.Andem, A. B., Udofia, U., </w:t>
      </w:r>
      <w:proofErr w:type="spellStart"/>
      <w:r>
        <w:rPr>
          <w:rFonts w:ascii="Times New Roman" w:eastAsia="Calibri" w:hAnsi="Times New Roman"/>
          <w:color w:val="000000"/>
          <w:sz w:val="24"/>
          <w:szCs w:val="24"/>
          <w:lang w:eastAsia="en-US"/>
        </w:rPr>
        <w:t>Okorafor</w:t>
      </w:r>
      <w:proofErr w:type="spellEnd"/>
      <w:r>
        <w:rPr>
          <w:rFonts w:ascii="Times New Roman" w:eastAsia="Calibri" w:hAnsi="Times New Roman"/>
          <w:color w:val="000000"/>
          <w:sz w:val="24"/>
          <w:szCs w:val="24"/>
          <w:lang w:eastAsia="en-US"/>
        </w:rPr>
        <w:t xml:space="preserve">, K. A., </w:t>
      </w:r>
      <w:proofErr w:type="spellStart"/>
      <w:r>
        <w:rPr>
          <w:rFonts w:ascii="Times New Roman" w:eastAsia="Calibri" w:hAnsi="Times New Roman"/>
          <w:color w:val="000000"/>
          <w:sz w:val="24"/>
          <w:szCs w:val="24"/>
          <w:lang w:eastAsia="en-US"/>
        </w:rPr>
        <w:t>Okete</w:t>
      </w:r>
      <w:proofErr w:type="spellEnd"/>
      <w:r>
        <w:rPr>
          <w:rFonts w:ascii="Times New Roman" w:eastAsia="Calibri" w:hAnsi="Times New Roman"/>
          <w:color w:val="000000"/>
          <w:sz w:val="24"/>
          <w:szCs w:val="24"/>
          <w:lang w:eastAsia="en-US"/>
        </w:rPr>
        <w:t xml:space="preserve">, J.A. and </w:t>
      </w:r>
      <w:proofErr w:type="spellStart"/>
      <w:r>
        <w:rPr>
          <w:rFonts w:ascii="Times New Roman" w:eastAsia="Calibri" w:hAnsi="Times New Roman"/>
          <w:color w:val="000000"/>
          <w:sz w:val="24"/>
          <w:szCs w:val="24"/>
          <w:lang w:eastAsia="en-US"/>
        </w:rPr>
        <w:t>Ugwumba</w:t>
      </w:r>
      <w:proofErr w:type="spellEnd"/>
      <w:r>
        <w:rPr>
          <w:rFonts w:ascii="Times New Roman" w:eastAsia="Calibri" w:hAnsi="Times New Roman"/>
          <w:color w:val="000000"/>
          <w:sz w:val="24"/>
          <w:szCs w:val="24"/>
          <w:lang w:eastAsia="en-US"/>
        </w:rPr>
        <w:t xml:space="preserve">, A. A. A. </w:t>
      </w:r>
      <w:r>
        <w:tab/>
      </w:r>
      <w:r>
        <w:rPr>
          <w:rFonts w:ascii="Times New Roman" w:eastAsia="Calibri" w:hAnsi="Times New Roman"/>
          <w:color w:val="000000"/>
          <w:sz w:val="24"/>
          <w:szCs w:val="24"/>
          <w:lang w:eastAsia="en-US"/>
        </w:rPr>
        <w:t xml:space="preserve">(2012). A study on some physical and chemical characteristics of Ona River, </w:t>
      </w:r>
      <w:r>
        <w:tab/>
      </w:r>
      <w:r>
        <w:rPr>
          <w:rFonts w:ascii="Times New Roman" w:eastAsia="Calibri" w:hAnsi="Times New Roman"/>
          <w:color w:val="000000"/>
          <w:sz w:val="24"/>
          <w:szCs w:val="24"/>
          <w:lang w:eastAsia="en-US"/>
        </w:rPr>
        <w:t xml:space="preserve">Apata, Ibadan, South-West, Oyo State, Nigeria. </w:t>
      </w:r>
      <w:r>
        <w:rPr>
          <w:rFonts w:ascii="Times New Roman" w:eastAsia="Calibri" w:hAnsi="Times New Roman"/>
          <w:i/>
          <w:iCs/>
          <w:color w:val="000000"/>
          <w:sz w:val="24"/>
          <w:szCs w:val="24"/>
          <w:lang w:eastAsia="en-US"/>
        </w:rPr>
        <w:t xml:space="preserve">European Journal of </w:t>
      </w:r>
      <w:r>
        <w:tab/>
      </w:r>
      <w:r>
        <w:rPr>
          <w:rFonts w:ascii="Times New Roman" w:eastAsia="Calibri" w:hAnsi="Times New Roman"/>
          <w:i/>
          <w:iCs/>
          <w:color w:val="000000"/>
          <w:sz w:val="24"/>
          <w:szCs w:val="24"/>
          <w:lang w:eastAsia="en-US"/>
        </w:rPr>
        <w:t>Zoological Research</w:t>
      </w:r>
      <w:r>
        <w:rPr>
          <w:rFonts w:ascii="Times New Roman" w:eastAsia="Calibri" w:hAnsi="Times New Roman"/>
          <w:color w:val="000000"/>
          <w:sz w:val="24"/>
          <w:szCs w:val="24"/>
          <w:lang w:eastAsia="en-US"/>
        </w:rPr>
        <w:t xml:space="preserve">, </w:t>
      </w:r>
      <w:r>
        <w:rPr>
          <w:rFonts w:ascii="Times New Roman" w:eastAsia="Calibri" w:hAnsi="Times New Roman"/>
          <w:b/>
          <w:bCs/>
          <w:color w:val="000000"/>
          <w:sz w:val="24"/>
          <w:szCs w:val="24"/>
          <w:lang w:eastAsia="en-US"/>
        </w:rPr>
        <w:t>1</w:t>
      </w:r>
      <w:r>
        <w:rPr>
          <w:rFonts w:ascii="Times New Roman" w:eastAsia="Calibri" w:hAnsi="Times New Roman"/>
          <w:color w:val="000000"/>
          <w:sz w:val="24"/>
          <w:szCs w:val="24"/>
          <w:lang w:eastAsia="en-US"/>
        </w:rPr>
        <w:t>(2): 37-46</w:t>
      </w:r>
    </w:p>
    <w:p w14:paraId="76D82CAE" w14:textId="77777777" w:rsidR="00C8290E" w:rsidRDefault="00C8290E">
      <w:pPr>
        <w:autoSpaceDE w:val="0"/>
        <w:autoSpaceDN w:val="0"/>
        <w:adjustRightInd w:val="0"/>
        <w:spacing w:after="160" w:line="240" w:lineRule="auto"/>
        <w:ind w:left="-142" w:hanging="840"/>
        <w:jc w:val="both"/>
        <w:rPr>
          <w:rFonts w:ascii="Times New Roman" w:hAnsi="Times New Roman"/>
          <w:sz w:val="24"/>
          <w:szCs w:val="24"/>
        </w:rPr>
      </w:pPr>
    </w:p>
    <w:p w14:paraId="5E36F410"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34. Bala, U. and P. I. </w:t>
      </w:r>
      <w:proofErr w:type="spellStart"/>
      <w:r>
        <w:rPr>
          <w:rFonts w:ascii="Times New Roman" w:hAnsi="Times New Roman"/>
          <w:sz w:val="24"/>
          <w:szCs w:val="24"/>
        </w:rPr>
        <w:t>Bolorunduro</w:t>
      </w:r>
      <w:proofErr w:type="spellEnd"/>
      <w:r>
        <w:rPr>
          <w:rFonts w:ascii="Times New Roman" w:hAnsi="Times New Roman"/>
          <w:sz w:val="24"/>
          <w:szCs w:val="24"/>
        </w:rPr>
        <w:t xml:space="preserve"> (2011). Limnological survey and nutrient load of </w:t>
      </w:r>
      <w:r>
        <w:tab/>
      </w:r>
      <w:r>
        <w:rPr>
          <w:rFonts w:ascii="Times New Roman" w:hAnsi="Times New Roman"/>
          <w:sz w:val="24"/>
          <w:szCs w:val="24"/>
        </w:rPr>
        <w:t>Sabke Reservoir, Katsina State, Nigeria. African Scientist, 12. (3):163- 168.</w:t>
      </w:r>
    </w:p>
    <w:p w14:paraId="7D3DF688" w14:textId="77777777" w:rsidR="00C8290E" w:rsidRDefault="00000000">
      <w:pPr>
        <w:autoSpaceDE w:val="0"/>
        <w:autoSpaceDN w:val="0"/>
        <w:adjustRightInd w:val="0"/>
        <w:spacing w:after="160" w:line="240" w:lineRule="auto"/>
        <w:ind w:left="-142"/>
        <w:jc w:val="both"/>
        <w:rPr>
          <w:rFonts w:ascii="Times New Roman" w:hAnsi="Times New Roman"/>
          <w:sz w:val="24"/>
          <w:szCs w:val="24"/>
        </w:rPr>
      </w:pPr>
      <w:r>
        <w:rPr>
          <w:rFonts w:ascii="Times New Roman" w:eastAsia="Calibri" w:hAnsi="Times New Roman"/>
          <w:color w:val="000000"/>
          <w:sz w:val="24"/>
          <w:szCs w:val="24"/>
          <w:lang w:eastAsia="en-US"/>
        </w:rPr>
        <w:t xml:space="preserve">35.United States Environmental Protection Agency (USEPA, 1991). Volunteer lake </w:t>
      </w:r>
      <w:r>
        <w:rPr>
          <w:rFonts w:ascii="Times New Roman" w:eastAsia="Calibri" w:hAnsi="Times New Roman"/>
          <w:sz w:val="24"/>
          <w:szCs w:val="24"/>
          <w:lang w:eastAsia="en-US"/>
        </w:rPr>
        <w:t xml:space="preserve">monitoring: EPA 440/4-91-002. U.S. Government Protection Agency, </w:t>
      </w:r>
      <w:r>
        <w:tab/>
      </w:r>
      <w:r>
        <w:rPr>
          <w:rFonts w:ascii="Times New Roman" w:eastAsia="Calibri" w:hAnsi="Times New Roman"/>
          <w:sz w:val="24"/>
          <w:szCs w:val="24"/>
          <w:lang w:eastAsia="en-US"/>
        </w:rPr>
        <w:t>Washington DC.</w:t>
      </w:r>
    </w:p>
    <w:p w14:paraId="4D27AEC0" w14:textId="77777777" w:rsidR="00C8290E" w:rsidRDefault="00C8290E">
      <w:pPr>
        <w:autoSpaceDE w:val="0"/>
        <w:autoSpaceDN w:val="0"/>
        <w:adjustRightInd w:val="0"/>
        <w:spacing w:after="160" w:line="240" w:lineRule="auto"/>
        <w:ind w:left="-142" w:hanging="840"/>
        <w:jc w:val="both"/>
        <w:rPr>
          <w:rFonts w:ascii="Times New Roman" w:hAnsi="Times New Roman"/>
          <w:sz w:val="24"/>
          <w:szCs w:val="24"/>
        </w:rPr>
      </w:pPr>
    </w:p>
    <w:p w14:paraId="0667D299" w14:textId="77777777" w:rsidR="00C8290E" w:rsidRDefault="00000000">
      <w:pPr>
        <w:rPr>
          <w:rFonts w:ascii="Times New Roman" w:hAnsi="Times New Roman"/>
          <w:sz w:val="24"/>
          <w:szCs w:val="24"/>
        </w:rPr>
      </w:pPr>
      <w:r>
        <w:rPr>
          <w:rFonts w:ascii="Times New Roman" w:hAnsi="Times New Roman"/>
          <w:sz w:val="24"/>
          <w:szCs w:val="24"/>
        </w:rPr>
        <w:t>36.American Public Health Association (APHA). (1995). Standard methods for the examination of water and wastewater (19th ed.). Washington, DC: American Public Health Association.</w:t>
      </w:r>
    </w:p>
    <w:p w14:paraId="5806D8B3" w14:textId="77777777" w:rsidR="00C8290E" w:rsidRDefault="00000000">
      <w:pPr>
        <w:rPr>
          <w:rFonts w:ascii="Times New Roman" w:hAnsi="Times New Roman"/>
          <w:sz w:val="24"/>
          <w:szCs w:val="24"/>
        </w:rPr>
      </w:pPr>
      <w:r>
        <w:rPr>
          <w:rFonts w:ascii="Times New Roman" w:hAnsi="Times New Roman"/>
          <w:sz w:val="24"/>
          <w:szCs w:val="24"/>
        </w:rPr>
        <w:t xml:space="preserve">37.Environmental Protection Agency (EPA, 1976). Quality criteria for water by </w:t>
      </w:r>
      <w:r>
        <w:tab/>
      </w:r>
      <w:r>
        <w:rPr>
          <w:rFonts w:ascii="Times New Roman" w:hAnsi="Times New Roman"/>
          <w:sz w:val="24"/>
          <w:szCs w:val="24"/>
        </w:rPr>
        <w:t xml:space="preserve">United States. E.P.A. office of water planning and standards, Washington, </w:t>
      </w:r>
      <w:r>
        <w:tab/>
      </w:r>
      <w:r>
        <w:rPr>
          <w:rFonts w:ascii="Times New Roman" w:hAnsi="Times New Roman"/>
          <w:sz w:val="24"/>
          <w:szCs w:val="24"/>
        </w:rPr>
        <w:t>D.C 20460.</w:t>
      </w:r>
    </w:p>
    <w:p w14:paraId="19B42FCF"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38. Wang, W., Wang, A., Chen, L., Liu, Y. and Sun, R. (2002). Effects of pH on </w:t>
      </w:r>
      <w:r>
        <w:tab/>
      </w:r>
      <w:r>
        <w:rPr>
          <w:rFonts w:ascii="Times New Roman" w:hAnsi="Times New Roman"/>
          <w:sz w:val="24"/>
          <w:szCs w:val="24"/>
        </w:rPr>
        <w:t xml:space="preserve">survival, Phosphorus concentration, Adenylate Energy charge and Na+-K+ </w:t>
      </w:r>
      <w:r>
        <w:tab/>
      </w:r>
      <w:proofErr w:type="spellStart"/>
      <w:r>
        <w:rPr>
          <w:rFonts w:ascii="Times New Roman" w:hAnsi="Times New Roman"/>
          <w:sz w:val="24"/>
          <w:szCs w:val="24"/>
        </w:rPr>
        <w:t>ATPaser</w:t>
      </w:r>
      <w:proofErr w:type="spellEnd"/>
      <w:r>
        <w:rPr>
          <w:rFonts w:ascii="Times New Roman" w:hAnsi="Times New Roman"/>
          <w:sz w:val="24"/>
          <w:szCs w:val="24"/>
        </w:rPr>
        <w:t xml:space="preserve"> Activities of Penaeus chinensis </w:t>
      </w:r>
      <w:proofErr w:type="spellStart"/>
      <w:r>
        <w:rPr>
          <w:rFonts w:ascii="Times New Roman" w:hAnsi="Times New Roman"/>
          <w:sz w:val="24"/>
          <w:szCs w:val="24"/>
        </w:rPr>
        <w:t>Osbek</w:t>
      </w:r>
      <w:proofErr w:type="spellEnd"/>
      <w:r>
        <w:rPr>
          <w:rFonts w:ascii="Times New Roman" w:hAnsi="Times New Roman"/>
          <w:sz w:val="24"/>
          <w:szCs w:val="24"/>
        </w:rPr>
        <w:t xml:space="preserve"> Juveniles, Aquatic </w:t>
      </w:r>
      <w:r>
        <w:tab/>
      </w:r>
      <w:r>
        <w:rPr>
          <w:rFonts w:ascii="Times New Roman" w:hAnsi="Times New Roman"/>
          <w:sz w:val="24"/>
          <w:szCs w:val="24"/>
        </w:rPr>
        <w:t xml:space="preserve">Toxicology, 60: 75-83. </w:t>
      </w:r>
    </w:p>
    <w:p w14:paraId="309AD771"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eastAsia="Calibri" w:hAnsi="Times New Roman"/>
          <w:color w:val="000000"/>
          <w:sz w:val="24"/>
          <w:szCs w:val="24"/>
          <w:lang w:eastAsia="en-US"/>
        </w:rPr>
        <w:t xml:space="preserve">.             39.Offem, B. O., Ayotunde, E. O., </w:t>
      </w:r>
      <w:proofErr w:type="spellStart"/>
      <w:r>
        <w:rPr>
          <w:rFonts w:ascii="Times New Roman" w:eastAsia="Calibri" w:hAnsi="Times New Roman"/>
          <w:color w:val="000000"/>
          <w:sz w:val="24"/>
          <w:szCs w:val="24"/>
          <w:lang w:eastAsia="en-US"/>
        </w:rPr>
        <w:t>Ikpi</w:t>
      </w:r>
      <w:proofErr w:type="spellEnd"/>
      <w:r>
        <w:rPr>
          <w:rFonts w:ascii="Times New Roman" w:eastAsia="Calibri" w:hAnsi="Times New Roman"/>
          <w:color w:val="000000"/>
          <w:sz w:val="24"/>
          <w:szCs w:val="24"/>
          <w:lang w:eastAsia="en-US"/>
        </w:rPr>
        <w:t xml:space="preserve">, G. U., </w:t>
      </w:r>
      <w:proofErr w:type="spellStart"/>
      <w:proofErr w:type="gramStart"/>
      <w:r>
        <w:rPr>
          <w:rFonts w:ascii="Times New Roman" w:eastAsia="Calibri" w:hAnsi="Times New Roman"/>
          <w:color w:val="000000"/>
          <w:sz w:val="24"/>
          <w:szCs w:val="24"/>
          <w:lang w:eastAsia="en-US"/>
        </w:rPr>
        <w:t>Ochang,S.N</w:t>
      </w:r>
      <w:proofErr w:type="spellEnd"/>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 xml:space="preserve"> and F. B. Ada (2011). </w:t>
      </w:r>
      <w:r>
        <w:tab/>
      </w:r>
      <w:r>
        <w:rPr>
          <w:rFonts w:ascii="Times New Roman" w:eastAsia="Calibri" w:hAnsi="Times New Roman"/>
          <w:color w:val="000000"/>
          <w:sz w:val="24"/>
          <w:szCs w:val="24"/>
          <w:lang w:eastAsia="en-US"/>
        </w:rPr>
        <w:t xml:space="preserve">Influence of seasons on water quality, abundance of fish and plankton </w:t>
      </w:r>
      <w:r>
        <w:tab/>
      </w:r>
      <w:r>
        <w:rPr>
          <w:rFonts w:ascii="Times New Roman" w:eastAsia="Calibri" w:hAnsi="Times New Roman"/>
          <w:color w:val="000000"/>
          <w:sz w:val="24"/>
          <w:szCs w:val="24"/>
          <w:lang w:eastAsia="en-US"/>
        </w:rPr>
        <w:t xml:space="preserve">species of </w:t>
      </w:r>
      <w:proofErr w:type="spellStart"/>
      <w:r>
        <w:rPr>
          <w:rFonts w:ascii="Times New Roman" w:eastAsia="Calibri" w:hAnsi="Times New Roman"/>
          <w:color w:val="000000"/>
          <w:sz w:val="24"/>
          <w:szCs w:val="24"/>
          <w:lang w:eastAsia="en-US"/>
        </w:rPr>
        <w:t>Ikwori</w:t>
      </w:r>
      <w:proofErr w:type="spellEnd"/>
      <w:r>
        <w:rPr>
          <w:rFonts w:ascii="Times New Roman" w:eastAsia="Calibri" w:hAnsi="Times New Roman"/>
          <w:color w:val="000000"/>
          <w:sz w:val="24"/>
          <w:szCs w:val="24"/>
          <w:lang w:eastAsia="en-US"/>
        </w:rPr>
        <w:t xml:space="preserve"> lake, South-Eastern Nigeria. </w:t>
      </w:r>
      <w:r>
        <w:rPr>
          <w:rFonts w:ascii="Times New Roman" w:eastAsia="Calibri" w:hAnsi="Times New Roman"/>
          <w:i/>
          <w:iCs/>
          <w:color w:val="000000"/>
          <w:sz w:val="24"/>
          <w:szCs w:val="24"/>
          <w:lang w:eastAsia="en-US"/>
        </w:rPr>
        <w:t xml:space="preserve">Fisheries and Aquaculture </w:t>
      </w:r>
      <w:r>
        <w:tab/>
      </w:r>
      <w:r>
        <w:rPr>
          <w:rFonts w:ascii="Times New Roman" w:eastAsia="Calibri" w:hAnsi="Times New Roman"/>
          <w:i/>
          <w:iCs/>
          <w:color w:val="000000"/>
          <w:sz w:val="24"/>
          <w:szCs w:val="24"/>
          <w:lang w:eastAsia="en-US"/>
        </w:rPr>
        <w:t>Journal</w:t>
      </w:r>
      <w:r>
        <w:rPr>
          <w:rFonts w:ascii="Times New Roman" w:eastAsia="Calibri" w:hAnsi="Times New Roman"/>
          <w:color w:val="000000"/>
          <w:sz w:val="24"/>
          <w:szCs w:val="24"/>
          <w:lang w:eastAsia="en-US"/>
        </w:rPr>
        <w:t xml:space="preserve">, </w:t>
      </w:r>
      <w:r>
        <w:rPr>
          <w:rFonts w:ascii="Times New Roman" w:eastAsia="Calibri" w:hAnsi="Times New Roman"/>
          <w:b/>
          <w:bCs/>
          <w:color w:val="000000"/>
          <w:sz w:val="24"/>
          <w:szCs w:val="24"/>
          <w:lang w:eastAsia="en-US"/>
        </w:rPr>
        <w:t xml:space="preserve">13, </w:t>
      </w:r>
      <w:r>
        <w:rPr>
          <w:rFonts w:ascii="Times New Roman" w:eastAsia="Calibri" w:hAnsi="Times New Roman"/>
          <w:color w:val="000000"/>
          <w:sz w:val="24"/>
          <w:szCs w:val="24"/>
          <w:lang w:eastAsia="en-US"/>
        </w:rPr>
        <w:t>1</w:t>
      </w:r>
      <w:r>
        <w:rPr>
          <w:rFonts w:ascii="Times New Roman" w:eastAsia="Calibri" w:hAnsi="Times New Roman"/>
          <w:b/>
          <w:bCs/>
          <w:color w:val="000000"/>
          <w:sz w:val="24"/>
          <w:szCs w:val="24"/>
          <w:lang w:eastAsia="en-US"/>
        </w:rPr>
        <w:t>-</w:t>
      </w:r>
      <w:r>
        <w:rPr>
          <w:rFonts w:ascii="Times New Roman" w:eastAsia="Calibri" w:hAnsi="Times New Roman"/>
          <w:color w:val="000000"/>
          <w:sz w:val="24"/>
          <w:szCs w:val="24"/>
          <w:lang w:eastAsia="en-US"/>
        </w:rPr>
        <w:t>18</w:t>
      </w:r>
      <w:r>
        <w:rPr>
          <w:rFonts w:ascii="Times New Roman" w:eastAsia="Calibri" w:hAnsi="Times New Roman"/>
          <w:b/>
          <w:bCs/>
          <w:color w:val="000000"/>
          <w:sz w:val="24"/>
          <w:szCs w:val="24"/>
          <w:lang w:eastAsia="en-US"/>
        </w:rPr>
        <w:t xml:space="preserve">. </w:t>
      </w:r>
    </w:p>
    <w:p w14:paraId="3F47C937"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40.Wetzel R. G. (1983): Limnology 2nd Edition, Saunders College Publishing, </w:t>
      </w:r>
      <w:r>
        <w:tab/>
      </w:r>
      <w:r>
        <w:rPr>
          <w:rFonts w:ascii="Times New Roman" w:hAnsi="Times New Roman"/>
          <w:sz w:val="24"/>
          <w:szCs w:val="24"/>
        </w:rPr>
        <w:t xml:space="preserve">Philadelphia, 860p. </w:t>
      </w:r>
    </w:p>
    <w:p w14:paraId="3FFF218A" w14:textId="77777777" w:rsidR="00C8290E" w:rsidRDefault="00C8290E">
      <w:pPr>
        <w:spacing w:after="160" w:line="240" w:lineRule="auto"/>
        <w:ind w:left="567"/>
        <w:jc w:val="both"/>
        <w:rPr>
          <w:rFonts w:ascii="Times New Roman" w:hAnsi="Times New Roman"/>
          <w:sz w:val="24"/>
          <w:szCs w:val="24"/>
        </w:rPr>
      </w:pPr>
    </w:p>
    <w:p w14:paraId="39B68DD0"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lastRenderedPageBreak/>
        <w:t>.         41.Alabaster, J. S., &amp; Lloyd, R. (1980). Water quality criteria for freshwater fish (2nd ed.). London: Butterworths</w:t>
      </w:r>
    </w:p>
    <w:p w14:paraId="2B6B46DF" w14:textId="77777777" w:rsidR="00C8290E" w:rsidRDefault="00000000">
      <w:pPr>
        <w:rPr>
          <w:rFonts w:ascii="Times New Roman" w:hAnsi="Times New Roman"/>
          <w:sz w:val="24"/>
          <w:szCs w:val="24"/>
        </w:rPr>
      </w:pPr>
      <w:r>
        <w:rPr>
          <w:rFonts w:ascii="Times New Roman" w:hAnsi="Times New Roman"/>
          <w:sz w:val="24"/>
          <w:szCs w:val="24"/>
        </w:rPr>
        <w:t xml:space="preserve">42.Boyd, C. E. (1979). Water quality in warm water fish ponds 1st edition, </w:t>
      </w:r>
      <w:r>
        <w:tab/>
      </w:r>
      <w:r>
        <w:rPr>
          <w:rFonts w:ascii="Times New Roman" w:hAnsi="Times New Roman"/>
          <w:sz w:val="24"/>
          <w:szCs w:val="24"/>
        </w:rPr>
        <w:t xml:space="preserve">Agricultural Experimental Station Auburn University, </w:t>
      </w:r>
      <w:proofErr w:type="spellStart"/>
      <w:r>
        <w:rPr>
          <w:rFonts w:ascii="Times New Roman" w:hAnsi="Times New Roman"/>
          <w:sz w:val="24"/>
          <w:szCs w:val="24"/>
        </w:rPr>
        <w:t>Craftsmaster</w:t>
      </w:r>
      <w:proofErr w:type="spellEnd"/>
      <w:r>
        <w:rPr>
          <w:rFonts w:ascii="Times New Roman" w:hAnsi="Times New Roman"/>
          <w:sz w:val="24"/>
          <w:szCs w:val="24"/>
        </w:rPr>
        <w:t xml:space="preserve"> </w:t>
      </w:r>
      <w:r>
        <w:tab/>
      </w:r>
      <w:r>
        <w:rPr>
          <w:rFonts w:ascii="Times New Roman" w:hAnsi="Times New Roman"/>
          <w:sz w:val="24"/>
          <w:szCs w:val="24"/>
        </w:rPr>
        <w:t>publication company, Alabama, U.S.A. 341pp</w:t>
      </w:r>
    </w:p>
    <w:p w14:paraId="4D8A987A" w14:textId="77777777" w:rsidR="00C8290E" w:rsidRDefault="00000000">
      <w:pPr>
        <w:rPr>
          <w:rFonts w:ascii="Times New Roman" w:hAnsi="Times New Roman"/>
          <w:sz w:val="24"/>
          <w:szCs w:val="24"/>
        </w:rPr>
      </w:pPr>
      <w:r>
        <w:rPr>
          <w:rFonts w:ascii="Times New Roman" w:hAnsi="Times New Roman"/>
          <w:sz w:val="24"/>
          <w:szCs w:val="24"/>
        </w:rPr>
        <w:t xml:space="preserve">43 Duodoroff, D. and Fry, F. E. J. (1959). How should we determine dissolved </w:t>
      </w:r>
      <w:r>
        <w:tab/>
      </w:r>
      <w:r>
        <w:rPr>
          <w:rFonts w:ascii="Times New Roman" w:hAnsi="Times New Roman"/>
          <w:sz w:val="24"/>
          <w:szCs w:val="24"/>
        </w:rPr>
        <w:t xml:space="preserve">oxygen criteria for fresh water fishes? Trans. 2nd Seminar: </w:t>
      </w:r>
      <w:proofErr w:type="spellStart"/>
      <w:r>
        <w:rPr>
          <w:rFonts w:ascii="Times New Roman" w:hAnsi="Times New Roman"/>
          <w:sz w:val="24"/>
          <w:szCs w:val="24"/>
        </w:rPr>
        <w:t>Biolgy</w:t>
      </w:r>
      <w:proofErr w:type="spellEnd"/>
      <w:r>
        <w:rPr>
          <w:rFonts w:ascii="Times New Roman" w:hAnsi="Times New Roman"/>
          <w:sz w:val="24"/>
          <w:szCs w:val="24"/>
        </w:rPr>
        <w:t xml:space="preserve"> on </w:t>
      </w:r>
      <w:r>
        <w:tab/>
      </w:r>
      <w:r>
        <w:rPr>
          <w:rFonts w:ascii="Times New Roman" w:hAnsi="Times New Roman"/>
          <w:sz w:val="24"/>
          <w:szCs w:val="24"/>
        </w:rPr>
        <w:t xml:space="preserve">problems of water pollution. </w:t>
      </w:r>
      <w:r>
        <w:tab/>
      </w:r>
      <w:r>
        <w:rPr>
          <w:rFonts w:ascii="Times New Roman" w:hAnsi="Times New Roman"/>
          <w:sz w:val="24"/>
          <w:szCs w:val="24"/>
        </w:rPr>
        <w:t>W.S.P.H.W., pp.1-10.</w:t>
      </w:r>
    </w:p>
    <w:p w14:paraId="59085463" w14:textId="77777777" w:rsidR="00C8290E" w:rsidRDefault="00000000">
      <w:pPr>
        <w:autoSpaceDE w:val="0"/>
        <w:autoSpaceDN w:val="0"/>
        <w:adjustRightInd w:val="0"/>
        <w:spacing w:after="160" w:line="240" w:lineRule="auto"/>
        <w:ind w:left="-142" w:hanging="840"/>
        <w:jc w:val="both"/>
        <w:rPr>
          <w:rFonts w:ascii="Times New Roman" w:hAnsi="Times New Roman"/>
          <w:sz w:val="24"/>
          <w:szCs w:val="24"/>
        </w:rPr>
      </w:pPr>
      <w:r>
        <w:rPr>
          <w:rFonts w:ascii="Times New Roman" w:hAnsi="Times New Roman"/>
          <w:sz w:val="24"/>
          <w:szCs w:val="24"/>
        </w:rPr>
        <w:t xml:space="preserve"> </w:t>
      </w:r>
    </w:p>
    <w:p w14:paraId="4D3B36B1" w14:textId="77777777" w:rsidR="00C8290E" w:rsidRDefault="00C8290E">
      <w:pPr>
        <w:spacing w:after="160" w:line="240" w:lineRule="auto"/>
        <w:ind w:left="567"/>
        <w:jc w:val="both"/>
        <w:rPr>
          <w:rFonts w:ascii="Times New Roman" w:hAnsi="Times New Roman"/>
          <w:sz w:val="24"/>
          <w:szCs w:val="24"/>
        </w:rPr>
      </w:pPr>
    </w:p>
    <w:p w14:paraId="73ADF1C6" w14:textId="77777777" w:rsidR="00C8290E" w:rsidRDefault="00C8290E">
      <w:pPr>
        <w:spacing w:after="160" w:line="240" w:lineRule="auto"/>
        <w:ind w:left="567"/>
        <w:jc w:val="both"/>
        <w:rPr>
          <w:rFonts w:ascii="Times New Roman" w:hAnsi="Times New Roman"/>
          <w:sz w:val="24"/>
          <w:szCs w:val="24"/>
        </w:rPr>
      </w:pPr>
    </w:p>
    <w:p w14:paraId="73213216" w14:textId="77777777" w:rsidR="00C8290E" w:rsidRDefault="00C8290E">
      <w:pPr>
        <w:spacing w:after="160" w:line="240" w:lineRule="auto"/>
        <w:jc w:val="both"/>
        <w:rPr>
          <w:rFonts w:ascii="Times New Roman" w:hAnsi="Times New Roman"/>
          <w:sz w:val="24"/>
          <w:szCs w:val="24"/>
        </w:rPr>
      </w:pPr>
    </w:p>
    <w:p w14:paraId="5B8B6B41" w14:textId="77777777" w:rsidR="00C8290E" w:rsidRDefault="00C8290E">
      <w:pPr>
        <w:spacing w:after="160" w:line="240" w:lineRule="auto"/>
        <w:jc w:val="both"/>
        <w:rPr>
          <w:rFonts w:ascii="Times New Roman" w:hAnsi="Times New Roman"/>
          <w:sz w:val="24"/>
          <w:szCs w:val="24"/>
        </w:rPr>
      </w:pPr>
    </w:p>
    <w:p w14:paraId="0E9E80CC" w14:textId="77777777" w:rsidR="00C8290E" w:rsidRDefault="00C8290E">
      <w:pPr>
        <w:spacing w:after="160" w:line="240" w:lineRule="auto"/>
        <w:jc w:val="both"/>
        <w:rPr>
          <w:rFonts w:ascii="Times New Roman" w:hAnsi="Times New Roman"/>
          <w:sz w:val="24"/>
          <w:szCs w:val="24"/>
        </w:rPr>
      </w:pPr>
    </w:p>
    <w:p w14:paraId="71BFBFF6" w14:textId="77777777" w:rsidR="00C8290E" w:rsidRDefault="00C8290E">
      <w:pPr>
        <w:spacing w:after="160" w:line="240" w:lineRule="auto"/>
        <w:jc w:val="both"/>
        <w:rPr>
          <w:rFonts w:ascii="Times New Roman" w:hAnsi="Times New Roman"/>
          <w:sz w:val="24"/>
          <w:szCs w:val="24"/>
        </w:rPr>
      </w:pPr>
    </w:p>
    <w:p w14:paraId="643446DD" w14:textId="77777777" w:rsidR="00C8290E" w:rsidRDefault="00C8290E">
      <w:pPr>
        <w:spacing w:after="160" w:line="240" w:lineRule="auto"/>
        <w:jc w:val="both"/>
        <w:rPr>
          <w:rFonts w:ascii="Times New Roman" w:hAnsi="Times New Roman"/>
          <w:sz w:val="24"/>
          <w:szCs w:val="24"/>
        </w:rPr>
      </w:pPr>
    </w:p>
    <w:p w14:paraId="448F67EC" w14:textId="77777777" w:rsidR="00C8290E" w:rsidRDefault="00C8290E">
      <w:pPr>
        <w:spacing w:after="160" w:line="240" w:lineRule="auto"/>
        <w:jc w:val="both"/>
        <w:rPr>
          <w:rFonts w:ascii="Times New Roman" w:hAnsi="Times New Roman"/>
          <w:sz w:val="24"/>
          <w:szCs w:val="24"/>
        </w:rPr>
      </w:pPr>
    </w:p>
    <w:p w14:paraId="4C92A831" w14:textId="77777777" w:rsidR="00C8290E" w:rsidRDefault="00C8290E">
      <w:pPr>
        <w:spacing w:after="160" w:line="240" w:lineRule="auto"/>
        <w:jc w:val="both"/>
        <w:rPr>
          <w:rFonts w:ascii="Times New Roman" w:hAnsi="Times New Roman"/>
          <w:sz w:val="24"/>
          <w:szCs w:val="24"/>
        </w:rPr>
      </w:pPr>
    </w:p>
    <w:p w14:paraId="314B4960" w14:textId="77777777" w:rsidR="00C8290E" w:rsidRDefault="00C8290E">
      <w:pPr>
        <w:spacing w:after="160" w:line="240" w:lineRule="auto"/>
        <w:jc w:val="both"/>
        <w:rPr>
          <w:rFonts w:ascii="Times New Roman" w:hAnsi="Times New Roman"/>
          <w:sz w:val="24"/>
          <w:szCs w:val="24"/>
        </w:rPr>
      </w:pPr>
    </w:p>
    <w:p w14:paraId="304ABF18" w14:textId="77777777" w:rsidR="00C8290E" w:rsidRDefault="00C8290E">
      <w:pPr>
        <w:spacing w:after="160" w:line="240" w:lineRule="auto"/>
        <w:jc w:val="both"/>
        <w:rPr>
          <w:rFonts w:ascii="Times New Roman" w:hAnsi="Times New Roman"/>
          <w:sz w:val="24"/>
          <w:szCs w:val="24"/>
        </w:rPr>
      </w:pPr>
    </w:p>
    <w:p w14:paraId="3E91BFAE" w14:textId="77777777" w:rsidR="00C8290E" w:rsidRDefault="00C8290E">
      <w:pPr>
        <w:spacing w:line="240" w:lineRule="auto"/>
        <w:jc w:val="both"/>
        <w:rPr>
          <w:rFonts w:ascii="Times New Roman" w:hAnsi="Times New Roman"/>
          <w:sz w:val="24"/>
          <w:szCs w:val="24"/>
        </w:rPr>
      </w:pPr>
    </w:p>
    <w:p w14:paraId="78734662" w14:textId="77777777" w:rsidR="00C8290E" w:rsidRDefault="00C8290E">
      <w:pPr>
        <w:spacing w:line="240" w:lineRule="auto"/>
        <w:jc w:val="both"/>
        <w:rPr>
          <w:rFonts w:ascii="Times New Roman" w:hAnsi="Times New Roman"/>
          <w:sz w:val="24"/>
          <w:szCs w:val="24"/>
        </w:rPr>
      </w:pPr>
    </w:p>
    <w:p w14:paraId="79600513" w14:textId="77777777" w:rsidR="00C8290E" w:rsidRDefault="00000000">
      <w:pPr>
        <w:spacing w:line="240" w:lineRule="auto"/>
        <w:jc w:val="both"/>
        <w:rPr>
          <w:rFonts w:ascii="Times New Roman" w:hAnsi="Times New Roman"/>
          <w:sz w:val="24"/>
          <w:szCs w:val="24"/>
        </w:rPr>
      </w:pPr>
      <w:r>
        <w:rPr>
          <w:rFonts w:ascii="Times New Roman" w:hAnsi="Times New Roman"/>
          <w:sz w:val="24"/>
          <w:szCs w:val="24"/>
        </w:rPr>
        <w:t xml:space="preserve"> </w:t>
      </w:r>
    </w:p>
    <w:sectPr w:rsidR="00C8290E">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641D" w14:textId="77777777" w:rsidR="00260790" w:rsidRDefault="00260790">
      <w:pPr>
        <w:spacing w:after="0" w:line="240" w:lineRule="auto"/>
      </w:pPr>
      <w:r>
        <w:separator/>
      </w:r>
    </w:p>
  </w:endnote>
  <w:endnote w:type="continuationSeparator" w:id="0">
    <w:p w14:paraId="5DDEABB6" w14:textId="77777777" w:rsidR="00260790" w:rsidRDefault="0026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9E02" w14:textId="77777777" w:rsidR="00C8290E" w:rsidRDefault="00C82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78E6" w14:textId="77777777" w:rsidR="00C8290E" w:rsidRDefault="00C8290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120B" w14:textId="77777777" w:rsidR="00260790" w:rsidRDefault="00260790">
      <w:pPr>
        <w:spacing w:after="0" w:line="240" w:lineRule="auto"/>
      </w:pPr>
      <w:r>
        <w:separator/>
      </w:r>
    </w:p>
  </w:footnote>
  <w:footnote w:type="continuationSeparator" w:id="0">
    <w:p w14:paraId="2A7BCF54" w14:textId="77777777" w:rsidR="00260790" w:rsidRDefault="00260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0BA9" w14:textId="77777777" w:rsidR="00C8290E" w:rsidRDefault="00000000">
    <w:pPr>
      <w:pStyle w:val="Header"/>
    </w:pPr>
    <w:r>
      <w:rPr>
        <w:noProof/>
      </w:rPr>
      <w:pict w14:anchorId="599C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5C8A" w14:textId="77777777" w:rsidR="00C8290E" w:rsidRDefault="00000000">
    <w:pPr>
      <w:jc w:val="center"/>
    </w:pPr>
    <w:r>
      <w:rPr>
        <w:noProof/>
      </w:rPr>
      <w:pict w14:anchorId="6FBAB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left:0;text-align:left;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288D" w14:textId="77777777" w:rsidR="00C8290E" w:rsidRDefault="00000000">
    <w:pPr>
      <w:pStyle w:val="Header"/>
    </w:pPr>
    <w:r>
      <w:rPr>
        <w:noProof/>
      </w:rPr>
      <w:pict w14:anchorId="68CD4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0E"/>
    <w:rsid w:val="00260790"/>
    <w:rsid w:val="00521790"/>
    <w:rsid w:val="005B49C2"/>
    <w:rsid w:val="006624E9"/>
    <w:rsid w:val="009A286F"/>
    <w:rsid w:val="00C8290E"/>
    <w:rsid w:val="00D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C2D6A"/>
  <w15:docId w15:val="{8067A2B4-56D9-4731-A449-5A53DDB8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uiPriority w:val="9"/>
    <w:semiHidden/>
    <w:unhideWhenUsed/>
    <w:qFormat/>
    <w:pPr>
      <w:keepNext/>
      <w:keepLines/>
      <w:widowControl w:val="0"/>
      <w:spacing w:before="200" w:after="0"/>
      <w:outlineLvl w:val="1"/>
    </w:pPr>
    <w:rPr>
      <w:rFonts w:ascii="Calibri Light" w:hAnsi="Calibri Light" w:cs="SimSu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quot;Decimal Aligned&quot;"/>
    <w:basedOn w:val="Normal"/>
    <w:qFormat/>
    <w:pPr>
      <w:tabs>
        <w:tab w:val="decimal" w:pos="360"/>
      </w:tabs>
    </w:pPr>
    <w:rPr>
      <w:rFonts w:ascii="Times New Roman" w:hAnsi="Times New Roman"/>
      <w:sz w:val="21"/>
    </w:r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FootnoteText">
    <w:name w:val="footnote text"/>
    <w:basedOn w:val="Normal"/>
    <w:pPr>
      <w:spacing w:after="0" w:line="240" w:lineRule="auto"/>
    </w:pPr>
    <w:rPr>
      <w:rFonts w:ascii="Times New Roman" w:hAnsi="Times New Roman"/>
      <w:sz w:val="20"/>
      <w:szCs w:val="20"/>
    </w:rPr>
  </w:style>
  <w:style w:type="character" w:styleId="SubtleEmphasis">
    <w:name w:val="Subtle Emphasis"/>
    <w:qFormat/>
    <w:rPr>
      <w:rFonts w:ascii="Times New Roman" w:eastAsia="SimSun" w:hAnsi="Times New Roman" w:cs="Times New Roman"/>
      <w:i/>
      <w:sz w:val="21"/>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eastAsia="zh-CN"/>
    </w:rPr>
  </w:style>
  <w:style w:type="paragraph" w:styleId="ListParagraph">
    <w:name w:val="List Paragraph"/>
    <w:basedOn w:val="Normal"/>
    <w:qFormat/>
    <w:pPr>
      <w:spacing w:after="0"/>
      <w:ind w:left="720"/>
    </w:pPr>
    <w:rPr>
      <w:rFonts w:ascii="Times New Roman" w:hAnsi="Times New Roman"/>
      <w:sz w:val="21"/>
    </w:rPr>
  </w:style>
  <w:style w:type="paragraph" w:customStyle="1" w:styleId="DecimalAligned0">
    <w:name w:val="&quot;Decimal Aligned&quot;"/>
    <w:basedOn w:val="Normal"/>
    <w:qFormat/>
    <w:pPr>
      <w:tabs>
        <w:tab w:val="decimal" w:pos="360"/>
      </w:tabs>
    </w:pPr>
    <w:rPr>
      <w:rFonts w:ascii="Times New Roman" w:hAnsi="Times New Roman"/>
      <w:sz w:val="21"/>
    </w:rPr>
  </w:style>
  <w:style w:type="paragraph" w:customStyle="1" w:styleId="Default0">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1">
    <w:name w:val="&quot;Decimal Aligned&quot;"/>
    <w:basedOn w:val="Normal"/>
    <w:qFormat/>
    <w:pPr>
      <w:tabs>
        <w:tab w:val="decimal" w:pos="360"/>
      </w:tabs>
    </w:pPr>
    <w:rPr>
      <w:rFonts w:ascii="Times New Roman" w:hAnsi="Times New Roman"/>
      <w:sz w:val="21"/>
    </w:rPr>
  </w:style>
  <w:style w:type="paragraph" w:customStyle="1" w:styleId="Default1">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2">
    <w:name w:val="&quot;Decimal Aligned&quot;"/>
    <w:basedOn w:val="Normal"/>
    <w:qFormat/>
    <w:pPr>
      <w:tabs>
        <w:tab w:val="decimal" w:pos="360"/>
      </w:tabs>
    </w:pPr>
    <w:rPr>
      <w:rFonts w:ascii="Times New Roman" w:hAnsi="Times New Roman"/>
      <w:sz w:val="21"/>
    </w:rPr>
  </w:style>
  <w:style w:type="paragraph" w:customStyle="1" w:styleId="Default2">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3">
    <w:name w:val="&quot;Decimal Aligned&quot;"/>
    <w:basedOn w:val="Normal"/>
    <w:qFormat/>
    <w:pPr>
      <w:tabs>
        <w:tab w:val="decimal" w:pos="360"/>
      </w:tabs>
    </w:pPr>
    <w:rPr>
      <w:rFonts w:ascii="Times New Roman" w:hAnsi="Times New Roman"/>
      <w:sz w:val="21"/>
    </w:rPr>
  </w:style>
  <w:style w:type="paragraph" w:customStyle="1" w:styleId="Default3">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4">
    <w:name w:val="&quot;Decimal Aligned&quot;"/>
    <w:basedOn w:val="Normal"/>
    <w:qFormat/>
    <w:pPr>
      <w:tabs>
        <w:tab w:val="decimal" w:pos="360"/>
      </w:tabs>
    </w:pPr>
    <w:rPr>
      <w:rFonts w:ascii="Times New Roman" w:hAnsi="Times New Roman"/>
      <w:sz w:val="21"/>
    </w:rPr>
  </w:style>
  <w:style w:type="paragraph" w:customStyle="1" w:styleId="Default4">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5">
    <w:name w:val="&quot;Decimal Aligned&quot;"/>
    <w:basedOn w:val="Normal"/>
    <w:qFormat/>
    <w:pPr>
      <w:tabs>
        <w:tab w:val="decimal" w:pos="360"/>
      </w:tabs>
    </w:pPr>
    <w:rPr>
      <w:rFonts w:ascii="Times New Roman" w:hAnsi="Times New Roman"/>
      <w:sz w:val="21"/>
    </w:rPr>
  </w:style>
  <w:style w:type="paragraph" w:customStyle="1" w:styleId="Default5">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6">
    <w:name w:val="&quot;Decimal Aligned&quot;"/>
    <w:basedOn w:val="Normal"/>
    <w:qFormat/>
    <w:pPr>
      <w:tabs>
        <w:tab w:val="decimal" w:pos="360"/>
      </w:tabs>
    </w:pPr>
    <w:rPr>
      <w:rFonts w:ascii="Times New Roman" w:hAnsi="Times New Roman"/>
      <w:sz w:val="21"/>
    </w:rPr>
  </w:style>
  <w:style w:type="paragraph" w:customStyle="1" w:styleId="Default6">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7">
    <w:name w:val="&quot;Decimal Aligned&quot;"/>
    <w:basedOn w:val="Normal"/>
    <w:qFormat/>
    <w:pPr>
      <w:tabs>
        <w:tab w:val="decimal" w:pos="360"/>
      </w:tabs>
    </w:pPr>
    <w:rPr>
      <w:rFonts w:ascii="Times New Roman" w:hAnsi="Times New Roman"/>
      <w:sz w:val="21"/>
    </w:rPr>
  </w:style>
  <w:style w:type="paragraph" w:customStyle="1" w:styleId="Default7">
    <w:name w:val="&quot;Default&quot;"/>
    <w:pPr>
      <w:autoSpaceDE w:val="0"/>
      <w:autoSpaceDN w:val="0"/>
      <w:adjustRightInd w:val="0"/>
    </w:pPr>
    <w:rPr>
      <w:rFonts w:ascii="Times New Roman" w:hAnsi="Times New Roman"/>
      <w:color w:val="000000"/>
      <w:sz w:val="24"/>
      <w:szCs w:val="24"/>
      <w:lang w:eastAsia="zh-CN"/>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zh-CN"/>
    </w:rPr>
  </w:style>
  <w:style w:type="character" w:styleId="FollowedHyperlink">
    <w:name w:val="FollowedHyperlink"/>
    <w:basedOn w:val="DefaultParagraphFont"/>
    <w:uiPriority w:val="99"/>
    <w:rPr>
      <w:color w:val="800080"/>
      <w:u w:val="single"/>
    </w:rPr>
  </w:style>
  <w:style w:type="paragraph" w:customStyle="1" w:styleId="DecimalAligned8">
    <w:name w:val="&quot;Decimal Aligned&quot;"/>
    <w:basedOn w:val="Normal"/>
    <w:qFormat/>
    <w:pPr>
      <w:tabs>
        <w:tab w:val="decimal" w:pos="360"/>
      </w:tabs>
    </w:pPr>
    <w:rPr>
      <w:rFonts w:ascii="Times New Roman" w:hAnsi="Times New Roman"/>
      <w:sz w:val="21"/>
    </w:rPr>
  </w:style>
  <w:style w:type="paragraph" w:customStyle="1" w:styleId="Default8">
    <w:name w:val="&quot;Default&quot;"/>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5B49C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9734/ajfar/2019/v3i130027"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890/0012-9658(2002)083%5b2145:HOFROE%5d2.0.CO;2"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11/j.1095-8649.1980.tb02775.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07/s10661-022-10722-w" TargetMode="External"/><Relationship Id="rId4" Type="http://schemas.openxmlformats.org/officeDocument/2006/relationships/footnotes" Target="footnotes.xml"/><Relationship Id="rId9" Type="http://schemas.openxmlformats.org/officeDocument/2006/relationships/hyperlink" Target="https://doi.org/10.12944/CWE.16.1.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4391</Words>
  <Characters>25032</Characters>
  <Application>Microsoft Office Word</Application>
  <DocSecurity>0</DocSecurity>
  <Lines>208</Lines>
  <Paragraphs>58</Paragraphs>
  <ScaleCrop>false</ScaleCrop>
  <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SM-T561</dc:creator>
  <cp:lastModifiedBy>Editor-90</cp:lastModifiedBy>
  <cp:revision>13</cp:revision>
  <dcterms:created xsi:type="dcterms:W3CDTF">2025-09-10T12:41:00Z</dcterms:created>
  <dcterms:modified xsi:type="dcterms:W3CDTF">2025-09-16T12:48:00Z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65f5373020e54cc8977abff0ae0a4815</vt:lpwstr>
  </property>
</Properties>
</file>