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B93E" w14:textId="1AB1AB2C" w:rsidR="007B5D84" w:rsidRDefault="007B5D84">
      <w:pPr>
        <w:spacing w:after="0" w:line="240" w:lineRule="auto"/>
        <w:rPr>
          <w:rFonts w:ascii="Arial" w:eastAsia="Arial" w:hAnsi="Arial" w:cs="Arial"/>
          <w:color w:val="980000"/>
        </w:rPr>
      </w:pPr>
    </w:p>
    <w:p w14:paraId="3E6464D4" w14:textId="5DF33524" w:rsidR="007B5D84" w:rsidRDefault="00F86D4E" w:rsidP="00A80F7E">
      <w:pPr>
        <w:spacing w:after="0" w:line="240" w:lineRule="auto"/>
        <w:jc w:val="right"/>
        <w:rPr>
          <w:rFonts w:ascii="Arial" w:eastAsia="Arial" w:hAnsi="Arial" w:cs="Arial"/>
          <w:b/>
          <w:sz w:val="32"/>
          <w:szCs w:val="32"/>
        </w:rPr>
      </w:pPr>
      <w:bookmarkStart w:id="0" w:name="_heading=h.qtaqamsebz0o" w:colFirst="0" w:colLast="0"/>
      <w:bookmarkEnd w:id="0"/>
      <w:r>
        <w:rPr>
          <w:rFonts w:ascii="Arial" w:eastAsia="Arial" w:hAnsi="Arial" w:cs="Arial"/>
          <w:b/>
          <w:sz w:val="32"/>
          <w:szCs w:val="32"/>
        </w:rPr>
        <w:t>Innovate Teaching Strategies for Restructuring Immersive Classrooms</w:t>
      </w:r>
    </w:p>
    <w:p w14:paraId="2C7CE2AC" w14:textId="176A67E8" w:rsidR="007B5D84" w:rsidRDefault="007B5D84" w:rsidP="00AD4300">
      <w:pPr>
        <w:pStyle w:val="NoSpacing"/>
      </w:pPr>
      <w:bookmarkStart w:id="1" w:name="_heading=h.4vbxuhydn53x" w:colFirst="0" w:colLast="0"/>
      <w:bookmarkEnd w:id="1"/>
    </w:p>
    <w:p w14:paraId="5FA06E37" w14:textId="77777777" w:rsidR="00AD4300" w:rsidRDefault="00AD4300">
      <w:pPr>
        <w:spacing w:after="0" w:line="240" w:lineRule="auto"/>
        <w:rPr>
          <w:rFonts w:ascii="Arial" w:eastAsia="Arial" w:hAnsi="Arial" w:cs="Arial"/>
          <w:sz w:val="20"/>
          <w:szCs w:val="20"/>
          <w:u w:val="single"/>
        </w:rPr>
      </w:pPr>
    </w:p>
    <w:p w14:paraId="28B110BE" w14:textId="77777777" w:rsidR="007B5D84" w:rsidRDefault="003F3F1E">
      <w:pPr>
        <w:spacing w:after="0" w:line="240" w:lineRule="auto"/>
        <w:rPr>
          <w:rFonts w:ascii="Arial" w:eastAsia="Arial" w:hAnsi="Arial" w:cs="Arial"/>
          <w:sz w:val="20"/>
          <w:szCs w:val="20"/>
          <w:u w:val="single"/>
        </w:rPr>
      </w:pPr>
      <w:r>
        <w:rPr>
          <w:rFonts w:ascii="Arial" w:eastAsia="Arial" w:hAnsi="Arial" w:cs="Arial"/>
          <w:noProof/>
          <w:sz w:val="20"/>
          <w:szCs w:val="20"/>
          <w:u w:val="single"/>
          <w:lang w:val="en-PH"/>
        </w:rPr>
        <mc:AlternateContent>
          <mc:Choice Requires="wps">
            <w:drawing>
              <wp:anchor distT="0" distB="0" distL="114300" distR="114300" simplePos="0" relativeHeight="251659264" behindDoc="0" locked="0" layoutInCell="1" allowOverlap="1" wp14:anchorId="43B2F908" wp14:editId="44089214">
                <wp:simplePos x="0" y="0"/>
                <wp:positionH relativeFrom="column">
                  <wp:posOffset>12700</wp:posOffset>
                </wp:positionH>
                <wp:positionV relativeFrom="paragraph">
                  <wp:posOffset>91440</wp:posOffset>
                </wp:positionV>
                <wp:extent cx="6267450" cy="3175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6267450" cy="317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294D1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7.2pt" to="49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" strokecolor="black [3200]" strokeweight="2.25pt">
                <v:stroke joinstyle="miter"/>
              </v:line>
            </w:pict>
          </mc:Fallback>
        </mc:AlternateContent>
      </w:r>
    </w:p>
    <w:p w14:paraId="2BDC1DEB" w14:textId="77777777" w:rsidR="007B5D84" w:rsidRDefault="007B5D84">
      <w:pPr>
        <w:spacing w:after="0" w:line="240" w:lineRule="auto"/>
        <w:rPr>
          <w:rFonts w:ascii="Arial" w:eastAsia="Arial" w:hAnsi="Arial" w:cs="Arial"/>
          <w:sz w:val="20"/>
          <w:szCs w:val="20"/>
        </w:rPr>
      </w:pPr>
    </w:p>
    <w:tbl>
      <w:tblPr>
        <w:tblStyle w:val="a4"/>
        <w:tblpPr w:leftFromText="180" w:rightFromText="180" w:vertAnchor="text" w:tblpY="70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B5D84" w14:paraId="6B30E488" w14:textId="77777777">
        <w:tc>
          <w:tcPr>
            <w:tcW w:w="9350" w:type="dxa"/>
          </w:tcPr>
          <w:p w14:paraId="3674927E" w14:textId="77777777" w:rsidR="007B5D84" w:rsidRDefault="00F86D4E">
            <w:pPr>
              <w:spacing w:before="240" w:after="240"/>
              <w:rPr>
                <w:rFonts w:ascii="Arial" w:eastAsia="Arial" w:hAnsi="Arial" w:cs="Arial"/>
                <w:sz w:val="22"/>
                <w:szCs w:val="22"/>
              </w:rPr>
            </w:pPr>
            <w:r>
              <w:rPr>
                <w:rFonts w:ascii="Arial" w:eastAsia="Arial" w:hAnsi="Arial" w:cs="Arial"/>
                <w:sz w:val="22"/>
                <w:szCs w:val="22"/>
                <w:highlight w:val="white"/>
              </w:rPr>
              <w:t>Despite the rapid growth of digital tools in education, many classrooms still struggle with limited engagement, rigid instructional methods, and equity gaps that hinder personalized learning. Traditional teaching often fails to provide safe, interactive environments for skill practice, while access to advanced resources remains uneven across regions. Generative artificial intelligence (AI), however, offers a transformative solution by powering immersive technologies such as virtual reality, augmented reality, and mixed reality to create learner-centered classrooms. AI-enhanced VR delivers adaptive simulations and virtual field trips; AI-driven augmented reality overlays personalized content on physical textbooks; and AI-guided mixed reality blends real objects with virtual overlays for safe, hands-on practice. Core strategies include AI-supported virtual reality field trips, augmented reality enhanced textbooks, mixed-reality simulations, real-time analytics dashboards, adaptive difficulty, and teacher-in-the-loop professional development. In Southeast Asia, applications are already visible—Singapore deploys AI-enabled driving simulators, Malaysia builds extended reality studios and immersive-ready schools, and the Philippines integrates AI-powered augmented reality history apps and virtual reality campus tours within the MATATAG Curriculum. Together, these examples highlight how AI and immersive technologies not only overcome traditional barriers but also boost engagement, personalize instruction, bridge equity gaps, and equip learners with future-ready competencies.</w:t>
            </w:r>
          </w:p>
          <w:p w14:paraId="3124C89C" w14:textId="77777777" w:rsidR="007B5D84" w:rsidRDefault="007B5D84">
            <w:pPr>
              <w:rPr>
                <w:rFonts w:ascii="Arial" w:eastAsia="Arial" w:hAnsi="Arial" w:cs="Arial"/>
                <w:sz w:val="20"/>
                <w:szCs w:val="20"/>
              </w:rPr>
            </w:pPr>
          </w:p>
        </w:tc>
      </w:tr>
    </w:tbl>
    <w:p w14:paraId="4DBC29C5" w14:textId="77777777" w:rsidR="007B5D84" w:rsidRPr="0004725E" w:rsidRDefault="00F86D4E" w:rsidP="0004725E">
      <w:pPr>
        <w:spacing w:after="0" w:line="240" w:lineRule="auto"/>
        <w:rPr>
          <w:rFonts w:ascii="Arial" w:eastAsia="Arial" w:hAnsi="Arial" w:cs="Arial"/>
          <w:b/>
        </w:rPr>
      </w:pPr>
      <w:r>
        <w:rPr>
          <w:rFonts w:ascii="Arial" w:eastAsia="Arial" w:hAnsi="Arial" w:cs="Arial"/>
          <w:b/>
          <w:sz w:val="20"/>
          <w:szCs w:val="20"/>
        </w:rPr>
        <w:t>ABSTRACT</w:t>
      </w:r>
      <w:bookmarkStart w:id="2" w:name="_heading=h.wq4so94pgc9e" w:colFirst="0" w:colLast="0"/>
      <w:bookmarkEnd w:id="2"/>
    </w:p>
    <w:p w14:paraId="469B47DA" w14:textId="77777777" w:rsidR="007B5D84" w:rsidRDefault="007B5D84">
      <w:pPr>
        <w:spacing w:before="240" w:after="240" w:line="240" w:lineRule="auto"/>
        <w:rPr>
          <w:rFonts w:ascii="Arial" w:eastAsia="Arial" w:hAnsi="Arial" w:cs="Arial"/>
          <w:sz w:val="20"/>
          <w:szCs w:val="20"/>
        </w:rPr>
      </w:pPr>
    </w:p>
    <w:p w14:paraId="4E205581" w14:textId="77777777" w:rsidR="004E3B2B" w:rsidRDefault="004E3B2B">
      <w:pPr>
        <w:spacing w:before="240" w:after="240" w:line="240" w:lineRule="auto"/>
        <w:rPr>
          <w:rFonts w:ascii="Arial" w:eastAsia="Arial" w:hAnsi="Arial" w:cs="Arial"/>
          <w:i/>
          <w:sz w:val="20"/>
          <w:szCs w:val="20"/>
        </w:rPr>
      </w:pPr>
    </w:p>
    <w:p w14:paraId="497D1180" w14:textId="77777777" w:rsidR="007B5D84" w:rsidRDefault="00F86D4E" w:rsidP="004E3B2B">
      <w:pPr>
        <w:spacing w:before="240" w:after="240" w:line="240" w:lineRule="auto"/>
        <w:jc w:val="both"/>
        <w:rPr>
          <w:rFonts w:ascii="Arial" w:eastAsia="Arial" w:hAnsi="Arial" w:cs="Arial"/>
          <w:sz w:val="20"/>
          <w:szCs w:val="20"/>
        </w:rPr>
      </w:pPr>
      <w:r>
        <w:rPr>
          <w:rFonts w:ascii="Arial" w:eastAsia="Arial" w:hAnsi="Arial" w:cs="Arial"/>
          <w:i/>
          <w:sz w:val="20"/>
          <w:szCs w:val="20"/>
        </w:rPr>
        <w:t>Keywords</w:t>
      </w:r>
      <w:r>
        <w:rPr>
          <w:rFonts w:ascii="Arial" w:eastAsia="Arial" w:hAnsi="Arial" w:cs="Arial"/>
          <w:sz w:val="20"/>
          <w:szCs w:val="20"/>
        </w:rPr>
        <w:t>: Classrooms, Immersive, Innovative, Restructuring, Strategies, Teaching</w:t>
      </w:r>
    </w:p>
    <w:p w14:paraId="5E153AF5" w14:textId="77777777" w:rsidR="007B5D84" w:rsidRDefault="00F86D4E">
      <w:pPr>
        <w:spacing w:after="0" w:line="240" w:lineRule="auto"/>
        <w:rPr>
          <w:rFonts w:ascii="Arial" w:eastAsia="Arial" w:hAnsi="Arial" w:cs="Arial"/>
          <w:b/>
          <w:sz w:val="22"/>
          <w:szCs w:val="22"/>
        </w:rPr>
      </w:pPr>
      <w:r>
        <w:rPr>
          <w:rFonts w:ascii="Arial" w:eastAsia="Arial" w:hAnsi="Arial" w:cs="Arial"/>
          <w:b/>
          <w:sz w:val="22"/>
          <w:szCs w:val="22"/>
        </w:rPr>
        <w:t>1. INTRODUCTION</w:t>
      </w:r>
    </w:p>
    <w:p w14:paraId="6F83B293" w14:textId="77777777" w:rsidR="007B5D84" w:rsidRDefault="007B5D84">
      <w:pPr>
        <w:spacing w:after="0" w:line="240" w:lineRule="auto"/>
        <w:rPr>
          <w:rFonts w:ascii="Arial" w:eastAsia="Arial" w:hAnsi="Arial" w:cs="Arial"/>
        </w:rPr>
      </w:pPr>
    </w:p>
    <w:p w14:paraId="5F5611EC" w14:textId="6D20FB5C" w:rsidR="006371D0" w:rsidRPr="006371D0" w:rsidRDefault="00BB768F" w:rsidP="006371D0">
      <w:pPr>
        <w:pStyle w:val="NormalWeb"/>
        <w:rPr>
          <w:rFonts w:ascii="Arial" w:hAnsi="Arial" w:cs="Arial"/>
          <w:sz w:val="22"/>
          <w:lang w:val="en-PH"/>
        </w:rPr>
      </w:pPr>
      <w:r w:rsidRPr="00BB768F">
        <w:rPr>
          <w:rFonts w:ascii="Arial" w:hAnsi="Arial" w:cs="Arial"/>
          <w:sz w:val="22"/>
        </w:rPr>
        <w:t xml:space="preserve">In the era of generative artificial technology, classrooms are transforming into interactive settings where students do instead of simply listen. According to </w:t>
      </w:r>
      <w:proofErr w:type="spellStart"/>
      <w:r w:rsidRPr="00BB768F">
        <w:rPr>
          <w:rFonts w:ascii="Arial" w:hAnsi="Arial" w:cs="Arial"/>
          <w:color w:val="0070C0"/>
          <w:sz w:val="22"/>
        </w:rPr>
        <w:t>Selvakumar</w:t>
      </w:r>
      <w:proofErr w:type="spellEnd"/>
      <w:r w:rsidRPr="00BB768F">
        <w:rPr>
          <w:rFonts w:ascii="Arial" w:hAnsi="Arial" w:cs="Arial"/>
          <w:color w:val="0070C0"/>
          <w:sz w:val="22"/>
        </w:rPr>
        <w:t xml:space="preserve"> et al. (2023), </w:t>
      </w:r>
      <w:r w:rsidRPr="00BB768F">
        <w:rPr>
          <w:rFonts w:ascii="Arial" w:hAnsi="Arial" w:cs="Arial"/>
          <w:sz w:val="22"/>
        </w:rPr>
        <w:t xml:space="preserve">immersive learning "involves the use of things like virtual reality (VR) or augmented reality (AR) or 3D spaces to create an exciting participatory environment for students". In educational contexts, such means are closely related to learning and teaching since the learners can perform actions in a safe and reconstructed virtual world (by testing various aspects of an object, interacting with users or pedagogical agents) and they can receive immediate feedback to facilitate comprehension or skill acquisition </w:t>
      </w:r>
      <w:r w:rsidRPr="00BB768F">
        <w:rPr>
          <w:rFonts w:ascii="Arial" w:hAnsi="Arial" w:cs="Arial"/>
          <w:color w:val="0070C0"/>
          <w:sz w:val="22"/>
        </w:rPr>
        <w:t>(Springer, 2025</w:t>
      </w:r>
      <w:r w:rsidRPr="00BB768F">
        <w:rPr>
          <w:rFonts w:ascii="Arial" w:hAnsi="Arial" w:cs="Arial"/>
          <w:sz w:val="22"/>
        </w:rPr>
        <w:t xml:space="preserve">). And throughout the world, schools and universities are leveraging these innovations to improve the way we teach and learn: in Singapore, VR driving simulators offer risk-free driver training; in Malaysia, extended reality (XR) studios and VR/AR-enabled schools facilitate interactive science and cultural lessons; augmented reality history apps, VR campus tours and museum-based simulations </w:t>
      </w:r>
      <w:r w:rsidRPr="00BB768F">
        <w:rPr>
          <w:rFonts w:ascii="Arial" w:hAnsi="Arial" w:cs="Arial"/>
          <w:sz w:val="22"/>
        </w:rPr>
        <w:lastRenderedPageBreak/>
        <w:t xml:space="preserve">comprise part of the MATATAG Curriculum in Philippines; while labs harness the power of virtual reality to train a new generation of scientists, doctors, engineers here at home old continent—a sector has seen skyrocketing adoption among educators for classroom use in recent years. </w:t>
      </w:r>
      <w:r w:rsidR="006371D0" w:rsidRPr="006371D0">
        <w:rPr>
          <w:rFonts w:ascii="Arial" w:hAnsi="Arial" w:cs="Arial"/>
          <w:sz w:val="22"/>
          <w:lang w:val="en-PH"/>
        </w:rPr>
        <w:t xml:space="preserve">The present teaching approaches illustrate that AI-supported immersive technologies have ceased to be technological artifacts, and are becoming effective pedagogical strategies that could lead to the increased motivation, deeper level of understanding as well as preparation for real world scenarios </w:t>
      </w:r>
      <w:r w:rsidR="006371D0" w:rsidRPr="00461FB9">
        <w:rPr>
          <w:rFonts w:ascii="Arial" w:hAnsi="Arial" w:cs="Arial"/>
          <w:color w:val="0070C0"/>
          <w:sz w:val="22"/>
          <w:lang w:val="en-PH"/>
        </w:rPr>
        <w:t>(Chong Xiao Xuan et al., 2025).</w:t>
      </w:r>
    </w:p>
    <w:p w14:paraId="057549EA" w14:textId="6F825130" w:rsidR="00BB768F" w:rsidRPr="00461FB9" w:rsidRDefault="006371D0" w:rsidP="00461FB9">
      <w:pPr>
        <w:spacing w:before="100" w:beforeAutospacing="1" w:after="100" w:afterAutospacing="1" w:line="240" w:lineRule="auto"/>
        <w:rPr>
          <w:rFonts w:ascii="Arial" w:eastAsia="Times New Roman" w:hAnsi="Arial" w:cs="Arial"/>
          <w:sz w:val="22"/>
          <w:lang w:val="en-PH"/>
        </w:rPr>
      </w:pPr>
      <w:r>
        <w:rPr>
          <w:rFonts w:ascii="Arial" w:eastAsia="Times New Roman" w:hAnsi="Arial" w:cs="Arial"/>
          <w:sz w:val="22"/>
          <w:lang w:val="en-PH"/>
        </w:rPr>
        <w:t>The use of immersive technologies</w:t>
      </w:r>
      <w:r w:rsidRPr="006371D0">
        <w:rPr>
          <w:rFonts w:ascii="Arial" w:eastAsia="Times New Roman" w:hAnsi="Arial" w:cs="Arial"/>
          <w:sz w:val="22"/>
          <w:lang w:val="en-PH"/>
        </w:rPr>
        <w:t>, such as Virtual Reality (VR), where all is digitalized (including the environment), Augmented Reality (AR) the information in digital format complements reality and Mixed Reality (MR) where human being and matter unit interact physically with one another have demonstrated to be used across various areas domain from different industries. VR/AR/MR MARKET The global VR/AR/MR market was valued at USD 20.4 Billion in 2019 and is expected to reach USD 85.6 Billion by 2030 with a CAGR of more than (33 %</w:t>
      </w:r>
      <w:proofErr w:type="gramStart"/>
      <w:r w:rsidRPr="006371D0">
        <w:rPr>
          <w:rFonts w:ascii="Arial" w:eastAsia="Times New Roman" w:hAnsi="Arial" w:cs="Arial"/>
          <w:sz w:val="22"/>
          <w:lang w:val="en-PH"/>
        </w:rPr>
        <w:t>).</w:t>
      </w:r>
      <w:r w:rsidR="00BB768F" w:rsidRPr="00BB768F">
        <w:rPr>
          <w:rFonts w:ascii="Arial" w:hAnsi="Arial" w:cs="Arial"/>
          <w:sz w:val="22"/>
        </w:rPr>
        <w:t>This</w:t>
      </w:r>
      <w:proofErr w:type="gramEnd"/>
      <w:r w:rsidR="00BB768F" w:rsidRPr="00BB768F">
        <w:rPr>
          <w:rFonts w:ascii="Arial" w:hAnsi="Arial" w:cs="Arial"/>
          <w:sz w:val="22"/>
        </w:rPr>
        <w:t xml:space="preserve"> explosion of development in immersive technologies flowering demonstrates the growth and maturing role, and commercial possibilities for these technologize to enrich experience and drive engagement. Within the education sector, these are instruments that facilitate experiential learning processes by letting students see a</w:t>
      </w:r>
      <w:r w:rsidR="005223BC">
        <w:rPr>
          <w:rFonts w:ascii="Arial" w:hAnsi="Arial" w:cs="Arial"/>
          <w:sz w:val="22"/>
        </w:rPr>
        <w:t xml:space="preserve">bstract concepts </w:t>
      </w:r>
      <w:r w:rsidR="00461FB9">
        <w:rPr>
          <w:rFonts w:ascii="Arial" w:hAnsi="Arial" w:cs="Arial"/>
          <w:sz w:val="22"/>
        </w:rPr>
        <w:t>practi</w:t>
      </w:r>
      <w:r w:rsidR="00461FB9" w:rsidRPr="00BB768F">
        <w:rPr>
          <w:rFonts w:ascii="Arial" w:hAnsi="Arial" w:cs="Arial"/>
          <w:sz w:val="22"/>
        </w:rPr>
        <w:t>ce</w:t>
      </w:r>
      <w:r w:rsidR="00BB768F" w:rsidRPr="00BB768F">
        <w:rPr>
          <w:rFonts w:ascii="Arial" w:hAnsi="Arial" w:cs="Arial"/>
          <w:sz w:val="22"/>
        </w:rPr>
        <w:t xml:space="preserve"> their skills in a simulated environment and engage with interactive lessons working well for digital natives </w:t>
      </w:r>
      <w:r w:rsidR="00BB768F" w:rsidRPr="00BB768F">
        <w:rPr>
          <w:rFonts w:ascii="Arial" w:hAnsi="Arial" w:cs="Arial"/>
          <w:color w:val="0070C0"/>
          <w:sz w:val="22"/>
        </w:rPr>
        <w:t>(</w:t>
      </w:r>
      <w:proofErr w:type="spellStart"/>
      <w:r w:rsidR="00BB768F" w:rsidRPr="00BB768F">
        <w:rPr>
          <w:rFonts w:ascii="Arial" w:hAnsi="Arial" w:cs="Arial"/>
          <w:color w:val="0070C0"/>
          <w:sz w:val="22"/>
        </w:rPr>
        <w:t>Kuhail</w:t>
      </w:r>
      <w:proofErr w:type="spellEnd"/>
      <w:r w:rsidR="00BB768F" w:rsidRPr="00BB768F">
        <w:rPr>
          <w:rFonts w:ascii="Arial" w:hAnsi="Arial" w:cs="Arial"/>
          <w:color w:val="0070C0"/>
          <w:sz w:val="22"/>
        </w:rPr>
        <w:t xml:space="preserve"> et al., 2022).</w:t>
      </w:r>
    </w:p>
    <w:p w14:paraId="7FA141C3" w14:textId="76DA6487" w:rsidR="00BB768F" w:rsidRPr="00BB768F" w:rsidRDefault="00BB768F" w:rsidP="00BB768F">
      <w:pPr>
        <w:pStyle w:val="NormalWeb"/>
        <w:rPr>
          <w:rFonts w:ascii="Arial" w:hAnsi="Arial" w:cs="Arial"/>
          <w:sz w:val="22"/>
        </w:rPr>
      </w:pPr>
      <w:r w:rsidRPr="00BB768F">
        <w:rPr>
          <w:rFonts w:ascii="Arial" w:hAnsi="Arial" w:cs="Arial"/>
          <w:sz w:val="22"/>
        </w:rPr>
        <w:t xml:space="preserve">Immersive learning is also being adopted in education to make learning safer, fun and more relevant across Southeast Asia. In Singapore, simulators such as those at the Singapore Safety Driving Centre and Bukit </w:t>
      </w:r>
      <w:proofErr w:type="spellStart"/>
      <w:r w:rsidRPr="00BB768F">
        <w:rPr>
          <w:rFonts w:ascii="Arial" w:hAnsi="Arial" w:cs="Arial"/>
          <w:sz w:val="22"/>
        </w:rPr>
        <w:t>Batok</w:t>
      </w:r>
      <w:proofErr w:type="spellEnd"/>
      <w:r w:rsidRPr="00BB768F">
        <w:rPr>
          <w:rFonts w:ascii="Arial" w:hAnsi="Arial" w:cs="Arial"/>
          <w:sz w:val="22"/>
        </w:rPr>
        <w:t xml:space="preserve"> Driving Centre are employed not just for driver training, but also as a teaching model for experiential learning during which students received immediate feedback on their performance, have to make decisions and perform practice in a riskless situation (Pang et al., 2021). In Malaysia, the Asia Paci</w:t>
      </w:r>
      <w:r w:rsidR="005117A2">
        <w:rPr>
          <w:rFonts w:ascii="Arial" w:hAnsi="Arial" w:cs="Arial"/>
          <w:sz w:val="22"/>
        </w:rPr>
        <w:t>fic University’s XR Studio and t</w:t>
      </w:r>
      <w:r w:rsidRPr="00BB768F">
        <w:rPr>
          <w:rFonts w:ascii="Arial" w:hAnsi="Arial" w:cs="Arial"/>
          <w:sz w:val="22"/>
        </w:rPr>
        <w:t>he 2025 Project6 schools like Asia Pacific Schools and Sunway International Schools introduce VR/AR via in-</w:t>
      </w:r>
      <w:r w:rsidRPr="00BB768F">
        <w:rPr>
          <w:rFonts w:ascii="Arial" w:hAnsi="Arial" w:cs="Arial"/>
          <w:sz w:val="22"/>
        </w:rPr>
        <w:softHyphen/>
        <w:t xml:space="preserve">classroom lessons in science, IT and culture through field trips, simulations and 3D content to enhance conceptual understanding of subjects as well as learner engagement </w:t>
      </w:r>
      <w:r w:rsidRPr="00BB768F">
        <w:rPr>
          <w:rFonts w:ascii="Arial" w:hAnsi="Arial" w:cs="Arial"/>
          <w:color w:val="0070C0"/>
          <w:sz w:val="22"/>
        </w:rPr>
        <w:t>(</w:t>
      </w:r>
      <w:proofErr w:type="spellStart"/>
      <w:r w:rsidRPr="00BB768F">
        <w:rPr>
          <w:rFonts w:ascii="Arial" w:hAnsi="Arial" w:cs="Arial"/>
          <w:color w:val="0070C0"/>
          <w:sz w:val="22"/>
        </w:rPr>
        <w:t>StudyMalaysiaSharif</w:t>
      </w:r>
      <w:proofErr w:type="spellEnd"/>
      <w:r w:rsidRPr="00BB768F">
        <w:rPr>
          <w:rFonts w:ascii="Arial" w:hAnsi="Arial" w:cs="Arial"/>
          <w:color w:val="0070C0"/>
          <w:sz w:val="22"/>
        </w:rPr>
        <w:t>-Study, 2025).</w:t>
      </w:r>
    </w:p>
    <w:p w14:paraId="6864D90A" w14:textId="77777777" w:rsidR="00BB768F" w:rsidRPr="00BB768F" w:rsidRDefault="00BB768F" w:rsidP="00BB768F">
      <w:pPr>
        <w:pStyle w:val="NormalWeb"/>
        <w:rPr>
          <w:rFonts w:ascii="Arial" w:hAnsi="Arial" w:cs="Arial"/>
          <w:color w:val="0070C0"/>
          <w:sz w:val="22"/>
        </w:rPr>
      </w:pPr>
      <w:r w:rsidRPr="00BB768F">
        <w:rPr>
          <w:rFonts w:ascii="Arial" w:hAnsi="Arial" w:cs="Arial"/>
          <w:sz w:val="22"/>
        </w:rPr>
        <w:t xml:space="preserve">In the Philippines, schools are now implementing the MATATAG Curriculum where learning becomes easy, fun and relevant to life. Some disciplines are more obvious — in History, students can make Filipino heroes and old places come alive on their phones or tablets using the Historic Augmented Reality Application (HARA). In Science, in some </w:t>
      </w:r>
      <w:proofErr w:type="gramStart"/>
      <w:r w:rsidRPr="00BB768F">
        <w:rPr>
          <w:rFonts w:ascii="Arial" w:hAnsi="Arial" w:cs="Arial"/>
          <w:sz w:val="22"/>
        </w:rPr>
        <w:t>schools</w:t>
      </w:r>
      <w:proofErr w:type="gramEnd"/>
      <w:r w:rsidRPr="00BB768F">
        <w:rPr>
          <w:rFonts w:ascii="Arial" w:hAnsi="Arial" w:cs="Arial"/>
          <w:sz w:val="22"/>
        </w:rPr>
        <w:t xml:space="preserve"> children can take a virtual “field trip” to space, move through the solar system or tour a 3D model of the human body using VR headsets. In Geography and Social Studies, students may participate in an online virtual tour to Philippines landmarks or to the Ayala Museum right at their very own classroom. At the college level, San Beda University among others offers virtual and augmented learn labs &amp; simulations so students can also experience what and how it might fell to work in those jobs. These technologies are likewise used in teaching for too many subjects less and for learning to be more interactive, so that the learners will increasingly develop values besides knowledge. Yet, not every school has equal access to VR or AR and teachers require additional training in the use of these tools </w:t>
      </w:r>
      <w:r w:rsidRPr="00BB768F">
        <w:rPr>
          <w:rFonts w:ascii="Arial" w:hAnsi="Arial" w:cs="Arial"/>
          <w:color w:val="0070C0"/>
          <w:sz w:val="22"/>
        </w:rPr>
        <w:t>(</w:t>
      </w:r>
      <w:proofErr w:type="spellStart"/>
      <w:r w:rsidRPr="00BB768F">
        <w:rPr>
          <w:rFonts w:ascii="Arial" w:hAnsi="Arial" w:cs="Arial"/>
          <w:color w:val="0070C0"/>
          <w:sz w:val="22"/>
        </w:rPr>
        <w:t>Lipon</w:t>
      </w:r>
      <w:proofErr w:type="spellEnd"/>
      <w:r w:rsidRPr="00BB768F">
        <w:rPr>
          <w:rFonts w:ascii="Arial" w:hAnsi="Arial" w:cs="Arial"/>
          <w:color w:val="0070C0"/>
          <w:sz w:val="22"/>
        </w:rPr>
        <w:t xml:space="preserve"> et al., 2025; Ramos et al., 2020; </w:t>
      </w:r>
      <w:proofErr w:type="spellStart"/>
      <w:r w:rsidRPr="00BB768F">
        <w:rPr>
          <w:rFonts w:ascii="Arial" w:hAnsi="Arial" w:cs="Arial"/>
          <w:color w:val="0070C0"/>
          <w:sz w:val="22"/>
        </w:rPr>
        <w:t>Paolucci</w:t>
      </w:r>
      <w:proofErr w:type="spellEnd"/>
      <w:r w:rsidRPr="00BB768F">
        <w:rPr>
          <w:rFonts w:ascii="Arial" w:hAnsi="Arial" w:cs="Arial"/>
          <w:color w:val="0070C0"/>
          <w:sz w:val="22"/>
        </w:rPr>
        <w:t xml:space="preserve"> et al., 2024).</w:t>
      </w:r>
    </w:p>
    <w:p w14:paraId="4D9320B8" w14:textId="0988509A" w:rsidR="007B5D84" w:rsidRPr="00BB768F" w:rsidRDefault="00BB768F" w:rsidP="00BB768F">
      <w:pPr>
        <w:pStyle w:val="NormalWeb"/>
        <w:rPr>
          <w:rFonts w:ascii="Arial" w:hAnsi="Arial" w:cs="Arial"/>
          <w:color w:val="0070C0"/>
          <w:sz w:val="22"/>
        </w:rPr>
      </w:pPr>
      <w:r w:rsidRPr="00BB768F">
        <w:rPr>
          <w:rFonts w:ascii="Arial" w:hAnsi="Arial" w:cs="Arial"/>
          <w:sz w:val="22"/>
        </w:rPr>
        <w:t xml:space="preserve">Innovative technologies such as virtual reality (VR) and augmenting reality, have prompted to the development of transformative tools for education and professional training, providing dynamic environments that enhance experiential learning and skills acquisition. In education, they are applied in virtual field trips, lab simulations and skill practice — where the scene may </w:t>
      </w:r>
      <w:r w:rsidRPr="00BB768F">
        <w:rPr>
          <w:rFonts w:ascii="Arial" w:hAnsi="Arial" w:cs="Arial"/>
          <w:sz w:val="22"/>
        </w:rPr>
        <w:lastRenderedPageBreak/>
        <w:t xml:space="preserve">include efforts to help students grasp abstract concepts or reach inaccessible places. The obvious benefits are that they add excitement to lessons, make information easier to understand and remember, and increase student confidence. Nevertheless, they also present challenges such as high costs of devices, technological difficulties and requirements for teachers to be able to use these tools in classes </w:t>
      </w:r>
      <w:r w:rsidRPr="00BB768F">
        <w:rPr>
          <w:rFonts w:ascii="Arial" w:hAnsi="Arial" w:cs="Arial"/>
          <w:color w:val="0070C0"/>
          <w:sz w:val="22"/>
        </w:rPr>
        <w:t>(</w:t>
      </w:r>
      <w:proofErr w:type="spellStart"/>
      <w:r w:rsidRPr="00BB768F">
        <w:rPr>
          <w:rFonts w:ascii="Arial" w:hAnsi="Arial" w:cs="Arial"/>
          <w:color w:val="0070C0"/>
          <w:sz w:val="22"/>
        </w:rPr>
        <w:t>Radianti</w:t>
      </w:r>
      <w:proofErr w:type="spellEnd"/>
      <w:r w:rsidRPr="00BB768F">
        <w:rPr>
          <w:rFonts w:ascii="Arial" w:hAnsi="Arial" w:cs="Arial"/>
          <w:color w:val="0070C0"/>
          <w:sz w:val="22"/>
        </w:rPr>
        <w:t xml:space="preserve"> et al., 2020; </w:t>
      </w:r>
      <w:proofErr w:type="spellStart"/>
      <w:r w:rsidRPr="00BB768F">
        <w:rPr>
          <w:rFonts w:ascii="Arial" w:hAnsi="Arial" w:cs="Arial"/>
          <w:color w:val="0070C0"/>
          <w:sz w:val="22"/>
        </w:rPr>
        <w:t>Ifenthaler</w:t>
      </w:r>
      <w:proofErr w:type="spellEnd"/>
      <w:r w:rsidRPr="00BB768F">
        <w:rPr>
          <w:rFonts w:ascii="Arial" w:hAnsi="Arial" w:cs="Arial"/>
          <w:color w:val="0070C0"/>
          <w:sz w:val="22"/>
        </w:rPr>
        <w:t xml:space="preserve"> et al., 2020; Kurniawan et al., 2023; </w:t>
      </w:r>
      <w:proofErr w:type="spellStart"/>
      <w:r w:rsidRPr="00BB768F">
        <w:rPr>
          <w:rFonts w:ascii="Arial" w:hAnsi="Arial" w:cs="Arial"/>
          <w:color w:val="0070C0"/>
          <w:sz w:val="22"/>
        </w:rPr>
        <w:t>Bakhmat</w:t>
      </w:r>
      <w:proofErr w:type="spellEnd"/>
      <w:r w:rsidRPr="00BB768F">
        <w:rPr>
          <w:rFonts w:ascii="Arial" w:hAnsi="Arial" w:cs="Arial"/>
          <w:color w:val="0070C0"/>
          <w:sz w:val="22"/>
        </w:rPr>
        <w:t xml:space="preserve"> et al., 2016; Nguyen et al., 2024).</w:t>
      </w:r>
    </w:p>
    <w:p w14:paraId="205B1946" w14:textId="77777777" w:rsidR="007B5D84" w:rsidRDefault="00F86D4E">
      <w:pPr>
        <w:shd w:val="clear" w:color="auto" w:fill="FFFFFF"/>
        <w:spacing w:after="240" w:line="240" w:lineRule="auto"/>
        <w:rPr>
          <w:rFonts w:ascii="Arial" w:eastAsia="Arial" w:hAnsi="Arial" w:cs="Arial"/>
          <w:b/>
          <w:color w:val="0000FF"/>
          <w:sz w:val="20"/>
          <w:szCs w:val="20"/>
          <w:highlight w:val="white"/>
        </w:rPr>
      </w:pPr>
      <w:r>
        <w:rPr>
          <w:rFonts w:ascii="Arial" w:eastAsia="Arial" w:hAnsi="Arial" w:cs="Arial"/>
          <w:b/>
          <w:sz w:val="22"/>
          <w:szCs w:val="22"/>
        </w:rPr>
        <w:t>Table 1. Strategies of Immersive Learning as Applied in Teaching.</w:t>
      </w:r>
    </w:p>
    <w:sdt>
      <w:sdtPr>
        <w:tag w:val="goog_rdk_6"/>
        <w:id w:val="-14832903"/>
        <w:lock w:val="contentLocked"/>
      </w:sdtPr>
      <w:sdtEndPr/>
      <w:sdtContent>
        <w:tbl>
          <w:tblPr>
            <w:tblStyle w:val="a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835"/>
          </w:tblGrid>
          <w:tr w:rsidR="007B5D84" w14:paraId="40051F60"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1E55184"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Strategies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7532E9"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works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C2ED515"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How it helps Learners</w:t>
                </w:r>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BB1688F" w14:textId="77777777" w:rsidR="007B5D84" w:rsidRDefault="00F86D4E">
                <w:pPr>
                  <w:spacing w:line="240" w:lineRule="auto"/>
                  <w:jc w:val="center"/>
                  <w:rPr>
                    <w:rFonts w:ascii="Arial" w:eastAsia="Arial" w:hAnsi="Arial" w:cs="Arial"/>
                    <w:sz w:val="22"/>
                    <w:szCs w:val="22"/>
                  </w:rPr>
                </w:pPr>
                <w:r>
                  <w:rPr>
                    <w:rFonts w:ascii="Arial" w:eastAsia="Arial" w:hAnsi="Arial" w:cs="Arial"/>
                    <w:sz w:val="22"/>
                    <w:szCs w:val="22"/>
                  </w:rPr>
                  <w:t>Citation</w:t>
                </w:r>
              </w:p>
            </w:tc>
          </w:tr>
          <w:tr w:rsidR="007B5D84" w14:paraId="3206478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916F28"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VR‑based field trips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9621DBC"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Fully immersive 3‑D environments replace textbook images with interactive, navigable worlds.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41B84B9" w14:textId="77777777" w:rsidR="007B5D84" w:rsidRDefault="00BE2F06">
                <w:pPr>
                  <w:spacing w:line="240" w:lineRule="auto"/>
                  <w:rPr>
                    <w:rFonts w:ascii="Arial" w:eastAsia="Arial" w:hAnsi="Arial" w:cs="Arial"/>
                    <w:sz w:val="16"/>
                    <w:szCs w:val="16"/>
                  </w:rPr>
                </w:pPr>
                <w:sdt>
                  <w:sdtPr>
                    <w:tag w:val="goog_rdk_0"/>
                    <w:id w:val="-1000903992"/>
                  </w:sdtPr>
                  <w:sdtEndPr/>
                  <w:sdtContent>
                    <w:r w:rsidR="00F86D4E">
                      <w:rPr>
                        <w:rFonts w:ascii="Arial Unicode MS" w:eastAsia="Arial Unicode MS" w:hAnsi="Arial Unicode MS" w:cs="Arial Unicode MS"/>
                        <w:sz w:val="16"/>
                        <w:szCs w:val="16"/>
                      </w:rPr>
                      <w:t>↑ Conceptual understanding (e.g., geography, history) → higher retention and transfer to real‑world tasks.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EBF755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Radianti et al., (2020). A systematic review of immersive virtual reality applications for higher education: Design elements, lessons learned, and research agenda. </w:t>
                </w:r>
                <w:r>
                  <w:rPr>
                    <w:rFonts w:ascii="Arial" w:eastAsia="Arial" w:hAnsi="Arial" w:cs="Arial"/>
                    <w:i/>
                    <w:sz w:val="16"/>
                    <w:szCs w:val="16"/>
                  </w:rPr>
                  <w:t>Computers &amp; Education, 147,</w:t>
                </w:r>
                <w:r>
                  <w:rPr>
                    <w:rFonts w:ascii="Arial" w:eastAsia="Arial" w:hAnsi="Arial" w:cs="Arial"/>
                    <w:sz w:val="16"/>
                    <w:szCs w:val="16"/>
                  </w:rPr>
                  <w:t xml:space="preserve"> 103778.</w:t>
                </w:r>
                <w:hyperlink r:id="rId7">
                  <w:r>
                    <w:rPr>
                      <w:rFonts w:ascii="Arial" w:eastAsia="Arial" w:hAnsi="Arial" w:cs="Arial"/>
                      <w:sz w:val="16"/>
                      <w:szCs w:val="16"/>
                    </w:rPr>
                    <w:t xml:space="preserve"> https://doi.org/10.1016/j.compedu.2019.103778</w:t>
                  </w:r>
                </w:hyperlink>
              </w:p>
            </w:tc>
          </w:tr>
          <w:tr w:rsidR="007B5D84" w14:paraId="0C5BD3F8"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F3D31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AR‑enhanced textbooks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5F64EFB"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Digital overlays appear on physical pages, providing contextual videos, quizzes, and scaffolds.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540D86A" w14:textId="77777777" w:rsidR="007B5D84" w:rsidRDefault="00BE2F06">
                <w:pPr>
                  <w:spacing w:line="240" w:lineRule="auto"/>
                  <w:rPr>
                    <w:rFonts w:ascii="Arial" w:eastAsia="Arial" w:hAnsi="Arial" w:cs="Arial"/>
                    <w:sz w:val="16"/>
                    <w:szCs w:val="16"/>
                  </w:rPr>
                </w:pPr>
                <w:sdt>
                  <w:sdtPr>
                    <w:tag w:val="goog_rdk_1"/>
                    <w:id w:val="421450882"/>
                  </w:sdtPr>
                  <w:sdtEndPr/>
                  <w:sdtContent>
                    <w:r w:rsidR="00F86D4E">
                      <w:rPr>
                        <w:rFonts w:ascii="Arial Unicode MS" w:eastAsia="Arial Unicode MS" w:hAnsi="Arial Unicode MS" w:cs="Arial Unicode MS"/>
                        <w:sz w:val="16"/>
                        <w:szCs w:val="16"/>
                      </w:rPr>
                      <w:t>↑ Engagement &amp; motivation → more time‑on‑task and deeper processing.</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3BB1D3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Hang, L., &amp; Li, H. (2021). </w:t>
                </w:r>
                <w:r>
                  <w:rPr>
                    <w:rFonts w:ascii="Arial" w:eastAsia="Arial" w:hAnsi="Arial" w:cs="Arial"/>
                    <w:i/>
                    <w:sz w:val="16"/>
                    <w:szCs w:val="16"/>
                  </w:rPr>
                  <w:t>Computers &amp; Education, 165,</w:t>
                </w:r>
                <w:r>
                  <w:rPr>
                    <w:rFonts w:ascii="Arial" w:eastAsia="Arial" w:hAnsi="Arial" w:cs="Arial"/>
                    <w:sz w:val="16"/>
                    <w:szCs w:val="16"/>
                  </w:rPr>
                  <w:t xml:space="preserve"> 104149.</w:t>
                </w:r>
                <w:hyperlink r:id="rId8">
                  <w:r>
                    <w:rPr>
                      <w:rFonts w:ascii="Arial" w:eastAsia="Arial" w:hAnsi="Arial" w:cs="Arial"/>
                      <w:sz w:val="16"/>
                      <w:szCs w:val="16"/>
                    </w:rPr>
                    <w:t xml:space="preserve"> https://doi.org/10.1016/j.compedu.2021.104149</w:t>
                  </w:r>
                </w:hyperlink>
              </w:p>
            </w:tc>
          </w:tr>
          <w:tr w:rsidR="007B5D84" w14:paraId="41D4853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9DF8B8A"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Mixed‑reality simulations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FF8FAA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Real‑world objects combined with virtual overlays for safe, hands‑on practice (e.g., virtual lab).</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DB5E557" w14:textId="77777777" w:rsidR="007B5D84" w:rsidRDefault="00BE2F06">
                <w:pPr>
                  <w:spacing w:line="240" w:lineRule="auto"/>
                  <w:rPr>
                    <w:rFonts w:ascii="Arial" w:eastAsia="Arial" w:hAnsi="Arial" w:cs="Arial"/>
                    <w:sz w:val="16"/>
                    <w:szCs w:val="16"/>
                  </w:rPr>
                </w:pPr>
                <w:sdt>
                  <w:sdtPr>
                    <w:tag w:val="goog_rdk_2"/>
                    <w:id w:val="-896234271"/>
                  </w:sdtPr>
                  <w:sdtEndPr/>
                  <w:sdtContent>
                    <w:r w:rsidR="00F86D4E">
                      <w:rPr>
                        <w:rFonts w:ascii="Arial Unicode MS" w:eastAsia="Arial Unicode MS" w:hAnsi="Arial Unicode MS" w:cs="Arial Unicode MS"/>
                        <w:sz w:val="16"/>
                        <w:szCs w:val="16"/>
                      </w:rPr>
                      <w:t>↓ Cognitive load &amp; risk → increased confidence and skill acquisition.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62C054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Jeon, H. G. (2025). </w:t>
                </w:r>
                <w:r>
                  <w:rPr>
                    <w:rFonts w:ascii="Arial" w:eastAsia="Arial" w:hAnsi="Arial" w:cs="Arial"/>
                    <w:i/>
                    <w:sz w:val="16"/>
                    <w:szCs w:val="16"/>
                  </w:rPr>
                  <w:t>Effectiveness of a Mixed Reality Simulation Program.</w:t>
                </w:r>
              </w:p>
            </w:tc>
          </w:tr>
          <w:tr w:rsidR="007B5D84" w14:paraId="4F98082E"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107367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Real‑time analytics dashboards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C168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Immediate data capture on actions, errors, and time‑on‑task; visual feedback to teacher and student.</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2E0ED3C" w14:textId="77777777" w:rsidR="007B5D84" w:rsidRDefault="00BE2F06">
                <w:pPr>
                  <w:spacing w:line="240" w:lineRule="auto"/>
                  <w:rPr>
                    <w:rFonts w:ascii="Arial" w:eastAsia="Arial" w:hAnsi="Arial" w:cs="Arial"/>
                    <w:sz w:val="16"/>
                    <w:szCs w:val="16"/>
                  </w:rPr>
                </w:pPr>
                <w:sdt>
                  <w:sdtPr>
                    <w:tag w:val="goog_rdk_3"/>
                    <w:id w:val="-1193478503"/>
                  </w:sdtPr>
                  <w:sdtEndPr/>
                  <w:sdtContent>
                    <w:r w:rsidR="00F86D4E">
                      <w:rPr>
                        <w:rFonts w:ascii="Arial Unicode MS" w:eastAsia="Arial Unicode MS" w:hAnsi="Arial Unicode MS" w:cs="Arial Unicode MS"/>
                        <w:sz w:val="16"/>
                        <w:szCs w:val="16"/>
                      </w:rPr>
                      <w:t>Prompt remediation → faster mastery and reduced misconceptions.</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09F9CF72"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Garcia, M. (2022). </w:t>
                </w:r>
                <w:r>
                  <w:rPr>
                    <w:rFonts w:ascii="Arial" w:eastAsia="Arial" w:hAnsi="Arial" w:cs="Arial"/>
                    <w:i/>
                    <w:sz w:val="16"/>
                    <w:szCs w:val="16"/>
                  </w:rPr>
                  <w:t>Computers &amp; Education, 176,</w:t>
                </w:r>
                <w:r>
                  <w:rPr>
                    <w:rFonts w:ascii="Arial" w:eastAsia="Arial" w:hAnsi="Arial" w:cs="Arial"/>
                    <w:sz w:val="16"/>
                    <w:szCs w:val="16"/>
                  </w:rPr>
                  <w:t xml:space="preserve"> 104-115.</w:t>
                </w:r>
              </w:p>
            </w:tc>
          </w:tr>
          <w:tr w:rsidR="007B5D84" w14:paraId="45580106"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67EAD49"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Adaptive difficulty</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4CA993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AI‑driven adjustment of task difficulty based on performance metrics.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3B65C38E" w14:textId="77777777" w:rsidR="007B5D84" w:rsidRDefault="00BE2F06">
                <w:pPr>
                  <w:spacing w:line="240" w:lineRule="auto"/>
                  <w:rPr>
                    <w:rFonts w:ascii="Arial" w:eastAsia="Arial" w:hAnsi="Arial" w:cs="Arial"/>
                    <w:sz w:val="16"/>
                    <w:szCs w:val="16"/>
                  </w:rPr>
                </w:pPr>
                <w:sdt>
                  <w:sdtPr>
                    <w:tag w:val="goog_rdk_4"/>
                    <w:id w:val="1299059367"/>
                  </w:sdtPr>
                  <w:sdtEndPr/>
                  <w:sdtContent>
                    <w:proofErr w:type="spellStart"/>
                    <w:r w:rsidR="00F86D4E">
                      <w:rPr>
                        <w:rFonts w:ascii="Arial Unicode MS" w:eastAsia="Arial Unicode MS" w:hAnsi="Arial Unicode MS" w:cs="Arial Unicode MS"/>
                        <w:sz w:val="16"/>
                        <w:szCs w:val="16"/>
                      </w:rPr>
                      <w:t>Personalised</w:t>
                    </w:r>
                    <w:proofErr w:type="spellEnd"/>
                    <w:r w:rsidR="00F86D4E">
                      <w:rPr>
                        <w:rFonts w:ascii="Arial Unicode MS" w:eastAsia="Arial Unicode MS" w:hAnsi="Arial Unicode MS" w:cs="Arial Unicode MS"/>
                        <w:sz w:val="16"/>
                        <w:szCs w:val="16"/>
                      </w:rPr>
                      <w:t xml:space="preserve"> pacing → improved self‑efficacy and reduced frustration.</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4A0BE4D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Ifenthaler, D., &amp; Yau, J. Y.-K. (2020). </w:t>
                </w:r>
                <w:r>
                  <w:rPr>
                    <w:rFonts w:ascii="Arial" w:eastAsia="Arial" w:hAnsi="Arial" w:cs="Arial"/>
                    <w:i/>
                    <w:sz w:val="16"/>
                    <w:szCs w:val="16"/>
                  </w:rPr>
                  <w:t>International Journal of Artificial Intelligence in Education, 30</w:t>
                </w:r>
                <w:r>
                  <w:rPr>
                    <w:rFonts w:ascii="Arial" w:eastAsia="Arial" w:hAnsi="Arial" w:cs="Arial"/>
                    <w:sz w:val="16"/>
                    <w:szCs w:val="16"/>
                  </w:rPr>
                  <w:t>(3), 467–481.</w:t>
                </w:r>
                <w:hyperlink r:id="rId9">
                  <w:r>
                    <w:rPr>
                      <w:rFonts w:ascii="Arial" w:eastAsia="Arial" w:hAnsi="Arial" w:cs="Arial"/>
                      <w:sz w:val="16"/>
                      <w:szCs w:val="16"/>
                    </w:rPr>
                    <w:t xml:space="preserve"> https://doi.org/10.1007/s40593-020-00207-0</w:t>
                  </w:r>
                </w:hyperlink>
              </w:p>
            </w:tc>
          </w:tr>
          <w:tr w:rsidR="007B5D84" w14:paraId="114FF294" w14:textId="77777777">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5C2C1DFE"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Teacher‑in‑the‑loop PD</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238778CF"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Simulated teaching environments let teachers practice tech‑integrated lessons.</w:t>
                </w:r>
              </w:p>
            </w:tc>
            <w:tc>
              <w:tcPr>
                <w:tcW w:w="2340"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1F326761" w14:textId="77777777" w:rsidR="007B5D84" w:rsidRDefault="00BE2F06">
                <w:pPr>
                  <w:spacing w:line="240" w:lineRule="auto"/>
                  <w:rPr>
                    <w:rFonts w:ascii="Arial" w:eastAsia="Arial" w:hAnsi="Arial" w:cs="Arial"/>
                    <w:sz w:val="16"/>
                    <w:szCs w:val="16"/>
                  </w:rPr>
                </w:pPr>
                <w:sdt>
                  <w:sdtPr>
                    <w:tag w:val="goog_rdk_5"/>
                    <w:id w:val="301700132"/>
                  </w:sdtPr>
                  <w:sdtEndPr/>
                  <w:sdtContent>
                    <w:r w:rsidR="00F86D4E">
                      <w:rPr>
                        <w:rFonts w:ascii="Arial Unicode MS" w:eastAsia="Arial Unicode MS" w:hAnsi="Arial Unicode MS" w:cs="Arial Unicode MS"/>
                        <w:sz w:val="16"/>
                        <w:szCs w:val="16"/>
                      </w:rPr>
                      <w:t>Higher teacher confidence → more consistent and effective technology use.</w:t>
                    </w:r>
                  </w:sdtContent>
                </w:sdt>
              </w:p>
            </w:tc>
            <w:tc>
              <w:tcPr>
                <w:tcW w:w="2835" w:type="dxa"/>
                <w:tcBorders>
                  <w:top w:val="single" w:sz="4" w:space="0" w:color="E5E5E5"/>
                  <w:left w:val="single" w:sz="4" w:space="0" w:color="E5E5E5"/>
                  <w:bottom w:val="single" w:sz="4" w:space="0" w:color="E5E5E5"/>
                  <w:right w:val="single" w:sz="4" w:space="0" w:color="E5E5E5"/>
                </w:tcBorders>
                <w:tcMar>
                  <w:top w:w="100" w:type="dxa"/>
                  <w:left w:w="100" w:type="dxa"/>
                  <w:bottom w:w="100" w:type="dxa"/>
                  <w:right w:w="100" w:type="dxa"/>
                </w:tcMar>
              </w:tcPr>
              <w:p w14:paraId="6BB4C755" w14:textId="77777777" w:rsidR="007B5D84" w:rsidRDefault="00F86D4E">
                <w:pPr>
                  <w:spacing w:line="240" w:lineRule="auto"/>
                  <w:rPr>
                    <w:rFonts w:ascii="Arial" w:eastAsia="Arial" w:hAnsi="Arial" w:cs="Arial"/>
                    <w:sz w:val="16"/>
                    <w:szCs w:val="16"/>
                  </w:rPr>
                </w:pPr>
                <w:r>
                  <w:rPr>
                    <w:rFonts w:ascii="Arial" w:eastAsia="Arial" w:hAnsi="Arial" w:cs="Arial"/>
                    <w:sz w:val="16"/>
                    <w:szCs w:val="16"/>
                  </w:rPr>
                  <w:t xml:space="preserve">Nguyen, T., et al. (2024). </w:t>
                </w:r>
                <w:r>
                  <w:rPr>
                    <w:rFonts w:ascii="Arial" w:eastAsia="Arial" w:hAnsi="Arial" w:cs="Arial"/>
                    <w:i/>
                    <w:sz w:val="16"/>
                    <w:szCs w:val="16"/>
                  </w:rPr>
                  <w:t>Teaching and Teacher Education, 124,</w:t>
                </w:r>
                <w:r>
                  <w:rPr>
                    <w:rFonts w:ascii="Arial" w:eastAsia="Arial" w:hAnsi="Arial" w:cs="Arial"/>
                    <w:sz w:val="16"/>
                    <w:szCs w:val="16"/>
                  </w:rPr>
                  <w:t xml:space="preserve"> 103-115.</w:t>
                </w:r>
              </w:p>
            </w:tc>
          </w:tr>
        </w:tbl>
      </w:sdtContent>
    </w:sdt>
    <w:p w14:paraId="4319E46B" w14:textId="77777777" w:rsidR="007B5D84" w:rsidRDefault="007B5D84">
      <w:pPr>
        <w:shd w:val="clear" w:color="auto" w:fill="FFFFFF"/>
        <w:spacing w:line="240" w:lineRule="auto"/>
        <w:rPr>
          <w:rFonts w:ascii="Arial" w:eastAsia="Arial" w:hAnsi="Arial" w:cs="Arial"/>
        </w:rPr>
      </w:pPr>
    </w:p>
    <w:p w14:paraId="14CFAE7D" w14:textId="77777777" w:rsidR="00C52F03" w:rsidRPr="00C52F03" w:rsidRDefault="00F86D4E" w:rsidP="00C52F03">
      <w:pPr>
        <w:pStyle w:val="NormalWeb"/>
        <w:rPr>
          <w:rFonts w:ascii="Arial" w:hAnsi="Arial" w:cs="Arial"/>
          <w:sz w:val="22"/>
          <w:lang w:val="en-PH"/>
        </w:rPr>
      </w:pPr>
      <w:r w:rsidRPr="00C2158B">
        <w:rPr>
          <w:rFonts w:ascii="Arial" w:eastAsia="Arial" w:hAnsi="Arial" w:cs="Arial"/>
          <w:sz w:val="22"/>
          <w:szCs w:val="22"/>
        </w:rPr>
        <w:t xml:space="preserve">The flow of impact from immersive strategies to learner progress begins with the integration of immersive technologies, which increase student engagement. </w:t>
      </w:r>
      <w:r w:rsidR="00C52F03" w:rsidRPr="00C52F03">
        <w:rPr>
          <w:rFonts w:ascii="Arial" w:hAnsi="Arial" w:cs="Arial"/>
          <w:sz w:val="22"/>
          <w:lang w:val="en-PH"/>
        </w:rPr>
        <w:t xml:space="preserve">A higher level of learning engagement leads to a greater motivation, whereby learners are motivated to involve themselves in classroom activities. Such involvement results in better recall abilities as understanding is developed conceptually. In the end product, academic achievement is </w:t>
      </w:r>
      <w:r w:rsidR="00C52F03" w:rsidRPr="00C52F03">
        <w:rPr>
          <w:rFonts w:ascii="Arial" w:hAnsi="Arial" w:cs="Arial"/>
          <w:sz w:val="22"/>
          <w:lang w:val="en-PH"/>
        </w:rPr>
        <w:lastRenderedPageBreak/>
        <w:t xml:space="preserve">enhanced with each step building on the previous to create measurable progress in learning </w:t>
      </w:r>
      <w:r w:rsidR="00C52F03" w:rsidRPr="005117A2">
        <w:rPr>
          <w:rFonts w:ascii="Arial" w:hAnsi="Arial" w:cs="Arial"/>
          <w:color w:val="0070C0"/>
          <w:sz w:val="22"/>
          <w:lang w:val="en-PH"/>
        </w:rPr>
        <w:t>(</w:t>
      </w:r>
      <w:proofErr w:type="spellStart"/>
      <w:r w:rsidR="00C52F03" w:rsidRPr="005117A2">
        <w:rPr>
          <w:rFonts w:ascii="Arial" w:hAnsi="Arial" w:cs="Arial"/>
          <w:color w:val="0070C0"/>
          <w:sz w:val="22"/>
          <w:lang w:val="en-PH"/>
        </w:rPr>
        <w:t>Kuhail</w:t>
      </w:r>
      <w:proofErr w:type="spellEnd"/>
      <w:r w:rsidR="00C52F03" w:rsidRPr="005117A2">
        <w:rPr>
          <w:rFonts w:ascii="Arial" w:hAnsi="Arial" w:cs="Arial"/>
          <w:color w:val="0070C0"/>
          <w:sz w:val="22"/>
          <w:lang w:val="en-PH"/>
        </w:rPr>
        <w:t xml:space="preserve"> et al., 2022).</w:t>
      </w:r>
    </w:p>
    <w:p w14:paraId="3B965901" w14:textId="3A84D442" w:rsidR="002F27B5" w:rsidRPr="002F27B5" w:rsidRDefault="002F27B5" w:rsidP="00C52F03">
      <w:pPr>
        <w:shd w:val="clear" w:color="auto" w:fill="FFFFFF"/>
        <w:spacing w:line="240" w:lineRule="auto"/>
        <w:rPr>
          <w:rFonts w:ascii="Arial" w:hAnsi="Arial" w:cs="Arial"/>
          <w:sz w:val="22"/>
        </w:rPr>
      </w:pPr>
      <w:r w:rsidRPr="002F27B5">
        <w:rPr>
          <w:rFonts w:ascii="Arial" w:hAnsi="Arial" w:cs="Arial"/>
          <w:sz w:val="22"/>
        </w:rPr>
        <w:t xml:space="preserve">Immersive learning could gain numerous advantages, including bringing lessons to life and enabling the explanation of complex issues with 3D simulations or AR programs </w:t>
      </w:r>
      <w:r w:rsidRPr="002F27B5">
        <w:rPr>
          <w:rFonts w:ascii="Arial" w:hAnsi="Arial" w:cs="Arial"/>
          <w:color w:val="0070C0"/>
          <w:sz w:val="22"/>
        </w:rPr>
        <w:t xml:space="preserve">(Hang &amp; Li, 2021; </w:t>
      </w:r>
      <w:proofErr w:type="spellStart"/>
      <w:r w:rsidRPr="002F27B5">
        <w:rPr>
          <w:rFonts w:ascii="Arial" w:hAnsi="Arial" w:cs="Arial"/>
          <w:color w:val="0070C0"/>
          <w:sz w:val="22"/>
        </w:rPr>
        <w:t>Radianti</w:t>
      </w:r>
      <w:proofErr w:type="spellEnd"/>
      <w:r w:rsidRPr="002F27B5">
        <w:rPr>
          <w:rFonts w:ascii="Arial" w:hAnsi="Arial" w:cs="Arial"/>
          <w:color w:val="0070C0"/>
          <w:sz w:val="22"/>
        </w:rPr>
        <w:t xml:space="preserve"> et al., 2020)</w:t>
      </w:r>
      <w:r w:rsidRPr="002F27B5">
        <w:rPr>
          <w:rFonts w:ascii="Arial" w:hAnsi="Arial" w:cs="Arial"/>
          <w:sz w:val="22"/>
        </w:rPr>
        <w:t xml:space="preserve">. It enables to practice in a safe and synthetic environment, receive feedback that is tailored to oneself but also gain access to experiences which are impossible like virtual field trips </w:t>
      </w:r>
      <w:r w:rsidRPr="002F27B5">
        <w:rPr>
          <w:rFonts w:ascii="Arial" w:hAnsi="Arial" w:cs="Arial"/>
          <w:color w:val="0070C0"/>
          <w:sz w:val="22"/>
        </w:rPr>
        <w:t xml:space="preserve">(Jeon, 2025; </w:t>
      </w:r>
      <w:proofErr w:type="spellStart"/>
      <w:r w:rsidRPr="002F27B5">
        <w:rPr>
          <w:rFonts w:ascii="Arial" w:hAnsi="Arial" w:cs="Arial"/>
          <w:color w:val="0070C0"/>
          <w:sz w:val="22"/>
        </w:rPr>
        <w:t>Ifenthaler</w:t>
      </w:r>
      <w:proofErr w:type="spellEnd"/>
      <w:r w:rsidRPr="002F27B5">
        <w:rPr>
          <w:rFonts w:ascii="Arial" w:hAnsi="Arial" w:cs="Arial"/>
          <w:color w:val="0070C0"/>
          <w:sz w:val="22"/>
        </w:rPr>
        <w:t xml:space="preserve"> &amp; </w:t>
      </w:r>
      <w:proofErr w:type="spellStart"/>
      <w:r w:rsidRPr="002F27B5">
        <w:rPr>
          <w:rFonts w:ascii="Arial" w:hAnsi="Arial" w:cs="Arial"/>
          <w:color w:val="0070C0"/>
          <w:sz w:val="22"/>
        </w:rPr>
        <w:t>Yau</w:t>
      </w:r>
      <w:proofErr w:type="spellEnd"/>
      <w:r w:rsidRPr="002F27B5">
        <w:rPr>
          <w:rFonts w:ascii="Arial" w:hAnsi="Arial" w:cs="Arial"/>
          <w:color w:val="0070C0"/>
          <w:sz w:val="22"/>
        </w:rPr>
        <w:t>, 2020).</w:t>
      </w:r>
      <w:r w:rsidRPr="002F27B5">
        <w:rPr>
          <w:rFonts w:ascii="Arial" w:hAnsi="Arial" w:cs="Arial"/>
          <w:sz w:val="22"/>
        </w:rPr>
        <w:t xml:space="preserve"> Another benefit of these tools is that they enhance the self-confidence of learners. However, the challenges are costly equipment expenses, technical problem and teacher training </w:t>
      </w:r>
      <w:r w:rsidRPr="002F27B5">
        <w:rPr>
          <w:rFonts w:ascii="Arial" w:hAnsi="Arial" w:cs="Arial"/>
          <w:color w:val="0070C0"/>
          <w:sz w:val="22"/>
        </w:rPr>
        <w:t>(</w:t>
      </w:r>
      <w:proofErr w:type="spellStart"/>
      <w:r w:rsidRPr="002F27B5">
        <w:rPr>
          <w:rFonts w:ascii="Arial" w:hAnsi="Arial" w:cs="Arial"/>
          <w:color w:val="0070C0"/>
          <w:sz w:val="22"/>
        </w:rPr>
        <w:t>Radianti</w:t>
      </w:r>
      <w:proofErr w:type="spellEnd"/>
      <w:r w:rsidRPr="002F27B5">
        <w:rPr>
          <w:rFonts w:ascii="Arial" w:hAnsi="Arial" w:cs="Arial"/>
          <w:color w:val="0070C0"/>
          <w:sz w:val="22"/>
        </w:rPr>
        <w:t xml:space="preserve"> et al., 2020; Nguyen et al., 2024)</w:t>
      </w:r>
      <w:r w:rsidRPr="002F27B5">
        <w:rPr>
          <w:rFonts w:ascii="Arial" w:hAnsi="Arial" w:cs="Arial"/>
          <w:sz w:val="22"/>
        </w:rPr>
        <w:t>. Not all learners may have the same access, and overuse can lead to cognitive overload or health concerns such as eye strain or motion sickness.</w:t>
      </w:r>
    </w:p>
    <w:p w14:paraId="11E143D2" w14:textId="77777777" w:rsidR="002F27B5" w:rsidRPr="003A32E7" w:rsidRDefault="002F27B5" w:rsidP="002F27B5">
      <w:pPr>
        <w:pStyle w:val="NormalWeb"/>
        <w:rPr>
          <w:rFonts w:ascii="Arial" w:hAnsi="Arial" w:cs="Arial"/>
          <w:b/>
          <w:sz w:val="22"/>
        </w:rPr>
      </w:pPr>
      <w:r w:rsidRPr="003A32E7">
        <w:rPr>
          <w:rFonts w:ascii="Arial" w:hAnsi="Arial" w:cs="Arial"/>
          <w:b/>
          <w:sz w:val="22"/>
        </w:rPr>
        <w:t>Educational Technologies</w:t>
      </w:r>
    </w:p>
    <w:p w14:paraId="09F39B92" w14:textId="77777777" w:rsidR="002F27B5" w:rsidRPr="002F27B5" w:rsidRDefault="002F27B5" w:rsidP="002F27B5">
      <w:pPr>
        <w:pStyle w:val="NormalWeb"/>
        <w:rPr>
          <w:rFonts w:ascii="Arial" w:hAnsi="Arial" w:cs="Arial"/>
          <w:color w:val="0070C0"/>
          <w:sz w:val="22"/>
        </w:rPr>
      </w:pPr>
      <w:r w:rsidRPr="002F27B5">
        <w:rPr>
          <w:rFonts w:ascii="Arial" w:hAnsi="Arial" w:cs="Arial"/>
          <w:sz w:val="22"/>
        </w:rPr>
        <w:t xml:space="preserve">In general, international best practices on immersive education technologies stress the need to articulate XR (VR/AR/MR) activities with explicit learning objectives, provide extensive teacher training, and address issues of access equity. In schools and universities in the United States, immersive education labs have been set up and used by K–12 districts who have worked directly with industry partners, while UNSW in Australia developed TALIA an inexpensive authoring tool which allows educators to build 360° field trips with little training. In Southeast Asia, Singapore’s driving simulators and Malaysia’s XR studios are proving how public–private partnership can help fix that, while in the Philippines, universities and museums are coming together to bring augmented reality (AR) and virtual reality (VR) into your coursework with campus tours and history apps. In Europe, examples including research-led projects in the UK and Germany that include holographic displays or links to museums alongside institutional partnerships are pioneers of such work, whereas Finland focuses on the ethical integration of AI into XR for education. In East Asia, South Korea and Japan have spent significant funds on national XR initiatives and teacher preparation, creating wide spread adoption. As a whole, these best practices’ showcase that immersive education works in practice when design follows pedagogy, infrastructure drives down costs with shared labs and local content, and policy ensures inclusion, accessibility and responsible use of AI </w:t>
      </w:r>
      <w:r w:rsidRPr="002F27B5">
        <w:rPr>
          <w:rFonts w:ascii="Arial" w:hAnsi="Arial" w:cs="Arial"/>
          <w:color w:val="0070C0"/>
          <w:sz w:val="22"/>
        </w:rPr>
        <w:t>(</w:t>
      </w:r>
      <w:proofErr w:type="spellStart"/>
      <w:r w:rsidRPr="002F27B5">
        <w:rPr>
          <w:rFonts w:ascii="Arial" w:hAnsi="Arial" w:cs="Arial"/>
          <w:color w:val="0070C0"/>
          <w:sz w:val="22"/>
        </w:rPr>
        <w:t>Radianti</w:t>
      </w:r>
      <w:proofErr w:type="spellEnd"/>
      <w:r w:rsidRPr="002F27B5">
        <w:rPr>
          <w:rFonts w:ascii="Arial" w:hAnsi="Arial" w:cs="Arial"/>
          <w:color w:val="0070C0"/>
          <w:sz w:val="22"/>
        </w:rPr>
        <w:t xml:space="preserve"> et al., 2020; Lowell et al., 2023; </w:t>
      </w:r>
      <w:proofErr w:type="spellStart"/>
      <w:r w:rsidRPr="002F27B5">
        <w:rPr>
          <w:rFonts w:ascii="Arial" w:hAnsi="Arial" w:cs="Arial"/>
          <w:color w:val="0070C0"/>
          <w:sz w:val="22"/>
        </w:rPr>
        <w:t>Owidi</w:t>
      </w:r>
      <w:proofErr w:type="spellEnd"/>
      <w:r w:rsidRPr="002F27B5">
        <w:rPr>
          <w:rFonts w:ascii="Arial" w:hAnsi="Arial" w:cs="Arial"/>
          <w:color w:val="0070C0"/>
          <w:sz w:val="22"/>
        </w:rPr>
        <w:t xml:space="preserve"> et al., 24).</w:t>
      </w:r>
    </w:p>
    <w:p w14:paraId="55DA75F7" w14:textId="5321325F" w:rsidR="007B5D84" w:rsidRPr="002F27B5" w:rsidRDefault="007B5D84" w:rsidP="002F27B5">
      <w:pPr>
        <w:shd w:val="clear" w:color="auto" w:fill="FFFFFF"/>
        <w:spacing w:line="240" w:lineRule="auto"/>
        <w:rPr>
          <w:rFonts w:ascii="Arial" w:eastAsia="Arial" w:hAnsi="Arial" w:cs="Arial"/>
          <w:sz w:val="20"/>
          <w:szCs w:val="22"/>
        </w:rPr>
      </w:pPr>
    </w:p>
    <w:p w14:paraId="38EC7533"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258F1A7"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093B827E"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4B09C1B0"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50585354" w14:textId="77777777" w:rsidR="007B5D84"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sz w:val="22"/>
          <w:szCs w:val="22"/>
        </w:rPr>
      </w:pPr>
    </w:p>
    <w:p w14:paraId="667558EA" w14:textId="76CEFA38" w:rsidR="00E14916" w:rsidRDefault="00E14916"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7D621E91" w14:textId="4A6C4932" w:rsidR="002F27B5" w:rsidRDefault="002F27B5"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3740F31C" w14:textId="77777777" w:rsidR="005117A2" w:rsidRDefault="005117A2" w:rsidP="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p>
    <w:p w14:paraId="6A97069B" w14:textId="77777777" w:rsidR="00045458" w:rsidRPr="00DE104A" w:rsidRDefault="00DE104A">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b/>
          <w:sz w:val="40"/>
          <w:szCs w:val="40"/>
        </w:rPr>
      </w:pPr>
      <w:r>
        <w:rPr>
          <w:rFonts w:ascii="Arial" w:eastAsia="Arial" w:hAnsi="Arial" w:cs="Arial"/>
          <w:b/>
          <w:sz w:val="22"/>
          <w:szCs w:val="22"/>
        </w:rPr>
        <w:lastRenderedPageBreak/>
        <w:t>Table 2. Best Practices of Immersive Learning in Education around the World</w:t>
      </w:r>
    </w:p>
    <w:tbl>
      <w:tblPr>
        <w:tblStyle w:val="a6"/>
        <w:tblpPr w:leftFromText="180" w:rightFromText="180" w:topFromText="180" w:bottomFromText="180" w:vertAnchor="text" w:horzAnchor="margin" w:tblpXSpec="center" w:tblpY="371"/>
        <w:tblW w:w="10185" w:type="dxa"/>
        <w:tblBorders>
          <w:top w:val="nil"/>
          <w:left w:val="nil"/>
          <w:bottom w:val="nil"/>
          <w:right w:val="nil"/>
          <w:insideH w:val="nil"/>
          <w:insideV w:val="nil"/>
        </w:tblBorders>
        <w:tblLayout w:type="fixed"/>
        <w:tblLook w:val="0600" w:firstRow="0" w:lastRow="0" w:firstColumn="0" w:lastColumn="0" w:noHBand="1" w:noVBand="1"/>
      </w:tblPr>
      <w:tblGrid>
        <w:gridCol w:w="1650"/>
        <w:gridCol w:w="1530"/>
        <w:gridCol w:w="5250"/>
        <w:gridCol w:w="1755"/>
      </w:tblGrid>
      <w:tr w:rsidR="00DE104A" w14:paraId="6535AAEC" w14:textId="77777777" w:rsidTr="00DE104A">
        <w:trPr>
          <w:trHeight w:val="76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EE55D59"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Country/Region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3AEE89" w14:textId="77777777" w:rsidR="00DE104A" w:rsidRDefault="00DE104A" w:rsidP="00DE104A">
            <w:pPr>
              <w:widowControl w:val="0"/>
              <w:spacing w:after="0" w:line="276" w:lineRule="auto"/>
              <w:jc w:val="center"/>
              <w:rPr>
                <w:rFonts w:ascii="Arial" w:eastAsia="Arial" w:hAnsi="Arial" w:cs="Arial"/>
                <w:b/>
                <w:sz w:val="18"/>
                <w:szCs w:val="18"/>
              </w:rPr>
            </w:pPr>
          </w:p>
          <w:p w14:paraId="6FDDB105" w14:textId="77777777" w:rsidR="00DE104A" w:rsidRDefault="00DE104A" w:rsidP="00DE104A">
            <w:pPr>
              <w:widowControl w:val="0"/>
              <w:spacing w:after="0" w:line="276" w:lineRule="auto"/>
              <w:jc w:val="center"/>
              <w:rPr>
                <w:rFonts w:ascii="Arial" w:eastAsia="Arial" w:hAnsi="Arial" w:cs="Arial"/>
                <w:b/>
                <w:sz w:val="18"/>
                <w:szCs w:val="18"/>
              </w:rPr>
            </w:pPr>
            <w:proofErr w:type="gramStart"/>
            <w:r>
              <w:rPr>
                <w:rFonts w:ascii="Arial" w:eastAsia="Arial" w:hAnsi="Arial" w:cs="Arial"/>
                <w:b/>
                <w:sz w:val="18"/>
                <w:szCs w:val="18"/>
              </w:rPr>
              <w:t>Educational  Best</w:t>
            </w:r>
            <w:proofErr w:type="gramEnd"/>
            <w:r>
              <w:rPr>
                <w:rFonts w:ascii="Arial" w:eastAsia="Arial" w:hAnsi="Arial" w:cs="Arial"/>
                <w:b/>
                <w:sz w:val="18"/>
                <w:szCs w:val="18"/>
              </w:rPr>
              <w:t xml:space="preserve"> Practice</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6DCEFF3" w14:textId="77777777" w:rsidR="00DE104A" w:rsidRDefault="00DE104A" w:rsidP="00DE104A">
            <w:pPr>
              <w:widowControl w:val="0"/>
              <w:spacing w:after="0" w:line="276" w:lineRule="auto"/>
              <w:jc w:val="center"/>
              <w:rPr>
                <w:rFonts w:ascii="Arial" w:eastAsia="Arial" w:hAnsi="Arial" w:cs="Arial"/>
                <w:b/>
                <w:sz w:val="18"/>
                <w:szCs w:val="18"/>
              </w:rPr>
            </w:pPr>
          </w:p>
          <w:p w14:paraId="04EE0B22" w14:textId="77777777" w:rsidR="00DE104A" w:rsidRDefault="00DE104A" w:rsidP="00DE104A">
            <w:pPr>
              <w:widowControl w:val="0"/>
              <w:spacing w:after="0" w:line="276" w:lineRule="auto"/>
              <w:jc w:val="center"/>
              <w:rPr>
                <w:rFonts w:ascii="Arial" w:eastAsia="Arial" w:hAnsi="Arial" w:cs="Arial"/>
                <w:b/>
                <w:sz w:val="18"/>
                <w:szCs w:val="18"/>
              </w:rPr>
            </w:pPr>
            <w:proofErr w:type="gramStart"/>
            <w:r>
              <w:rPr>
                <w:rFonts w:ascii="Arial" w:eastAsia="Arial" w:hAnsi="Arial" w:cs="Arial"/>
                <w:b/>
                <w:sz w:val="18"/>
                <w:szCs w:val="18"/>
              </w:rPr>
              <w:t>Application  in</w:t>
            </w:r>
            <w:proofErr w:type="gramEnd"/>
            <w:r>
              <w:rPr>
                <w:rFonts w:ascii="Arial" w:eastAsia="Arial" w:hAnsi="Arial" w:cs="Arial"/>
                <w:b/>
                <w:sz w:val="18"/>
                <w:szCs w:val="18"/>
              </w:rPr>
              <w:t xml:space="preserve"> Schools/Universities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B2DC043" w14:textId="77777777" w:rsidR="00DE104A" w:rsidRDefault="00DE104A" w:rsidP="00DE104A">
            <w:pPr>
              <w:spacing w:before="240" w:after="240"/>
              <w:jc w:val="center"/>
              <w:rPr>
                <w:rFonts w:ascii="Arial" w:eastAsia="Arial" w:hAnsi="Arial" w:cs="Arial"/>
                <w:b/>
                <w:sz w:val="18"/>
                <w:szCs w:val="18"/>
              </w:rPr>
            </w:pPr>
            <w:r>
              <w:rPr>
                <w:rFonts w:ascii="Arial" w:eastAsia="Arial" w:hAnsi="Arial" w:cs="Arial"/>
                <w:b/>
                <w:sz w:val="18"/>
                <w:szCs w:val="18"/>
              </w:rPr>
              <w:t>Citation</w:t>
            </w:r>
          </w:p>
        </w:tc>
      </w:tr>
      <w:tr w:rsidR="00DE104A" w14:paraId="2DCE412C" w14:textId="77777777" w:rsidTr="00DE104A">
        <w:trPr>
          <w:trHeight w:val="62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6EAFEBE"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States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03BA52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learning labs in K–</w:t>
            </w:r>
            <w:proofErr w:type="gramStart"/>
            <w:r>
              <w:rPr>
                <w:rFonts w:ascii="Arial" w:eastAsia="Arial" w:hAnsi="Arial" w:cs="Arial"/>
                <w:sz w:val="18"/>
                <w:szCs w:val="18"/>
              </w:rPr>
              <w:t>12  &amp;</w:t>
            </w:r>
            <w:proofErr w:type="gramEnd"/>
            <w:r>
              <w:rPr>
                <w:rFonts w:ascii="Arial" w:eastAsia="Arial" w:hAnsi="Arial" w:cs="Arial"/>
                <w:sz w:val="18"/>
                <w:szCs w:val="18"/>
              </w:rPr>
              <w:t xml:space="preserve"> higher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B3B92BF"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in science, medicine, and engineering courses to provide realistic simulations; partnerships with industries support classroom integration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7799177" w14:textId="77777777" w:rsidR="00DE104A" w:rsidRDefault="00DE104A" w:rsidP="00DE104A">
            <w:pPr>
              <w:spacing w:before="240" w:after="240"/>
              <w:rPr>
                <w:rFonts w:ascii="Arial" w:eastAsia="Arial" w:hAnsi="Arial" w:cs="Arial"/>
                <w:sz w:val="18"/>
                <w:szCs w:val="18"/>
              </w:rPr>
            </w:pPr>
            <w:proofErr w:type="spellStart"/>
            <w:r>
              <w:rPr>
                <w:rFonts w:ascii="Arial" w:eastAsia="Arial" w:hAnsi="Arial" w:cs="Arial"/>
                <w:sz w:val="18"/>
                <w:szCs w:val="18"/>
              </w:rPr>
              <w:t>Radianti</w:t>
            </w:r>
            <w:proofErr w:type="spellEnd"/>
            <w:r>
              <w:rPr>
                <w:rFonts w:ascii="Arial" w:eastAsia="Arial" w:hAnsi="Arial" w:cs="Arial"/>
                <w:sz w:val="18"/>
                <w:szCs w:val="18"/>
              </w:rPr>
              <w:t xml:space="preserve"> et al., 2020</w:t>
            </w:r>
          </w:p>
        </w:tc>
      </w:tr>
      <w:tr w:rsidR="00DE104A" w14:paraId="6FD89641" w14:textId="77777777" w:rsidTr="00DE104A">
        <w:trPr>
          <w:trHeight w:val="735"/>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A6FEA3"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Australia (UNSW)</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83A24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TALIA (Teacher-Authored </w:t>
            </w:r>
            <w:proofErr w:type="gramStart"/>
            <w:r>
              <w:rPr>
                <w:rFonts w:ascii="Arial" w:eastAsia="Arial" w:hAnsi="Arial" w:cs="Arial"/>
                <w:sz w:val="18"/>
                <w:szCs w:val="18"/>
              </w:rPr>
              <w:t>Learning  in</w:t>
            </w:r>
            <w:proofErr w:type="gramEnd"/>
            <w:r>
              <w:rPr>
                <w:rFonts w:ascii="Arial" w:eastAsia="Arial" w:hAnsi="Arial" w:cs="Arial"/>
                <w:sz w:val="18"/>
                <w:szCs w:val="18"/>
              </w:rPr>
              <w:t xml:space="preserve"> Immersive Applications)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DF49F2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Teachers create 360° </w:t>
            </w:r>
            <w:proofErr w:type="gramStart"/>
            <w:r>
              <w:rPr>
                <w:rFonts w:ascii="Arial" w:eastAsia="Arial" w:hAnsi="Arial" w:cs="Arial"/>
                <w:sz w:val="18"/>
                <w:szCs w:val="18"/>
              </w:rPr>
              <w:t>virtual  field</w:t>
            </w:r>
            <w:proofErr w:type="gramEnd"/>
            <w:r>
              <w:rPr>
                <w:rFonts w:ascii="Arial" w:eastAsia="Arial" w:hAnsi="Arial" w:cs="Arial"/>
                <w:sz w:val="18"/>
                <w:szCs w:val="18"/>
              </w:rPr>
              <w:t xml:space="preserve"> trips with little training, making immersive content accessible for classrooms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C8AB1EC" w14:textId="77777777" w:rsidR="00DE104A" w:rsidRDefault="00DE104A" w:rsidP="00DE104A">
            <w:pPr>
              <w:spacing w:before="240" w:after="240"/>
              <w:rPr>
                <w:rFonts w:ascii="Arial" w:eastAsia="Arial" w:hAnsi="Arial" w:cs="Arial"/>
                <w:sz w:val="18"/>
                <w:szCs w:val="18"/>
              </w:rPr>
            </w:pPr>
            <w:r w:rsidRPr="00DE104A">
              <w:rPr>
                <w:rFonts w:ascii="Arial" w:hAnsi="Arial" w:cs="Arial"/>
                <w:sz w:val="18"/>
              </w:rPr>
              <w:t>Pang</w:t>
            </w:r>
            <w:r>
              <w:rPr>
                <w:rFonts w:ascii="Arial" w:hAnsi="Arial" w:cs="Arial"/>
                <w:sz w:val="18"/>
              </w:rPr>
              <w:t xml:space="preserve"> et al., 2023; </w:t>
            </w:r>
            <w:r>
              <w:rPr>
                <w:rFonts w:ascii="Arial" w:eastAsia="Arial" w:hAnsi="Arial" w:cs="Arial"/>
                <w:sz w:val="18"/>
                <w:szCs w:val="18"/>
              </w:rPr>
              <w:t>UNSW Sydney, 2024</w:t>
            </w:r>
          </w:p>
        </w:tc>
      </w:tr>
      <w:tr w:rsidR="00DE104A" w14:paraId="214D3A54" w14:textId="77777777" w:rsidTr="00DE104A">
        <w:trPr>
          <w:trHeight w:val="44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3092EA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Singapore</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724EA96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VR Driving Simulators in education centers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C6E416"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Used by driving schools as part of formal training, ensuring safe practice and immediate feedback for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F28F509" w14:textId="77777777" w:rsidR="00DE104A" w:rsidRPr="004113D0" w:rsidRDefault="00DE104A" w:rsidP="00DE104A">
            <w:pPr>
              <w:spacing w:before="240" w:after="240"/>
              <w:rPr>
                <w:rFonts w:ascii="Arial" w:eastAsia="Arial" w:hAnsi="Arial" w:cs="Arial"/>
                <w:sz w:val="18"/>
                <w:szCs w:val="18"/>
              </w:rPr>
            </w:pPr>
            <w:r w:rsidRPr="004113D0">
              <w:rPr>
                <w:rFonts w:ascii="Arial" w:hAnsi="Arial" w:cs="Arial"/>
                <w:sz w:val="18"/>
              </w:rPr>
              <w:t>Cheng et al., 2022</w:t>
            </w:r>
          </w:p>
        </w:tc>
      </w:tr>
      <w:tr w:rsidR="00DE104A" w14:paraId="64497429" w14:textId="77777777" w:rsidTr="00DE104A">
        <w:trPr>
          <w:trHeight w:val="534"/>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AC37D1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Malaysia</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28A377C9"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Studio at Asia Pacific University &amp; schools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223720F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Students in engineering, IT, and design courses use AR/VR labs; schools adopt virtual field trips and 3D interactive lessons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37F8F12F" w14:textId="77777777" w:rsidR="00DE104A" w:rsidRDefault="00A2555C" w:rsidP="00DE104A">
            <w:pPr>
              <w:spacing w:before="240" w:after="240"/>
              <w:rPr>
                <w:rFonts w:ascii="Arial" w:eastAsia="Arial" w:hAnsi="Arial" w:cs="Arial"/>
                <w:sz w:val="18"/>
                <w:szCs w:val="18"/>
              </w:rPr>
            </w:pPr>
            <w:proofErr w:type="spellStart"/>
            <w:r w:rsidRPr="00A2555C">
              <w:rPr>
                <w:rFonts w:ascii="Arial" w:hAnsi="Arial" w:cs="Arial"/>
                <w:sz w:val="18"/>
              </w:rPr>
              <w:t>Mubin</w:t>
            </w:r>
            <w:proofErr w:type="spellEnd"/>
            <w:r w:rsidRPr="00A2555C">
              <w:rPr>
                <w:rFonts w:ascii="Arial" w:hAnsi="Arial" w:cs="Arial"/>
                <w:sz w:val="18"/>
              </w:rPr>
              <w:t>, S. A.</w:t>
            </w:r>
            <w:r w:rsidR="009401B3" w:rsidRPr="00A2555C">
              <w:rPr>
                <w:rFonts w:ascii="Arial" w:hAnsi="Arial" w:cs="Arial"/>
                <w:sz w:val="14"/>
              </w:rPr>
              <w:t xml:space="preserve"> </w:t>
            </w:r>
            <w:r w:rsidR="009401B3" w:rsidRPr="009401B3">
              <w:rPr>
                <w:rFonts w:ascii="Arial" w:hAnsi="Arial" w:cs="Arial"/>
                <w:sz w:val="18"/>
              </w:rPr>
              <w:t>2024</w:t>
            </w:r>
          </w:p>
        </w:tc>
      </w:tr>
      <w:tr w:rsidR="00DE104A" w14:paraId="665083DF" w14:textId="77777777" w:rsidTr="00DE104A">
        <w:trPr>
          <w:trHeight w:val="656"/>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70FA2BCC"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Philippines</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486F2852"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Immersive Open Pedagogies aligned with MATATAG Curriculum</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6B6AAB53"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Tools like Historic Augmented Reality Application (HARA), Ayala Museum VR simulations, and campus tours make history and culture engaging in K–12 and higher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63B91AD" w14:textId="77777777" w:rsidR="00DE104A" w:rsidRDefault="00DE104A" w:rsidP="00DE104A">
            <w:pPr>
              <w:widowControl w:val="0"/>
              <w:spacing w:after="0" w:line="276" w:lineRule="auto"/>
              <w:rPr>
                <w:rFonts w:ascii="Arial" w:eastAsia="Arial" w:hAnsi="Arial" w:cs="Arial"/>
                <w:sz w:val="18"/>
                <w:szCs w:val="18"/>
              </w:rPr>
            </w:pPr>
            <w:proofErr w:type="spellStart"/>
            <w:r>
              <w:rPr>
                <w:rFonts w:ascii="Arial" w:eastAsia="Arial" w:hAnsi="Arial" w:cs="Arial"/>
                <w:sz w:val="18"/>
                <w:szCs w:val="18"/>
              </w:rPr>
              <w:t>Abulencia</w:t>
            </w:r>
            <w:proofErr w:type="spellEnd"/>
            <w:r>
              <w:rPr>
                <w:rFonts w:ascii="Arial" w:eastAsia="Arial" w:hAnsi="Arial" w:cs="Arial"/>
                <w:sz w:val="18"/>
                <w:szCs w:val="18"/>
              </w:rPr>
              <w:t xml:space="preserve"> et al., 2021; UP </w:t>
            </w:r>
            <w:proofErr w:type="gramStart"/>
            <w:r>
              <w:rPr>
                <w:rFonts w:ascii="Arial" w:eastAsia="Arial" w:hAnsi="Arial" w:cs="Arial"/>
                <w:sz w:val="18"/>
                <w:szCs w:val="18"/>
              </w:rPr>
              <w:t>Open  University</w:t>
            </w:r>
            <w:proofErr w:type="gramEnd"/>
            <w:r>
              <w:rPr>
                <w:rFonts w:ascii="Arial" w:eastAsia="Arial" w:hAnsi="Arial" w:cs="Arial"/>
                <w:sz w:val="18"/>
                <w:szCs w:val="18"/>
              </w:rPr>
              <w:t>, 2023</w:t>
            </w:r>
          </w:p>
        </w:tc>
      </w:tr>
      <w:tr w:rsidR="00DE104A" w14:paraId="19559A1B" w14:textId="77777777" w:rsidTr="00DE104A">
        <w:trPr>
          <w:trHeight w:val="86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39DFDCC0"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United Kingdom &amp; Germany</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5C248A50"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XR in universities &amp; museums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0DB13B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Research-driven innovations such as holographic displays and digital museum exhibits enrich history, </w:t>
            </w:r>
            <w:proofErr w:type="spellStart"/>
            <w:proofErr w:type="gramStart"/>
            <w:r>
              <w:rPr>
                <w:rFonts w:ascii="Arial" w:eastAsia="Arial" w:hAnsi="Arial" w:cs="Arial"/>
                <w:sz w:val="18"/>
                <w:szCs w:val="18"/>
              </w:rPr>
              <w:t>science,and</w:t>
            </w:r>
            <w:proofErr w:type="spellEnd"/>
            <w:proofErr w:type="gramEnd"/>
            <w:r>
              <w:rPr>
                <w:rFonts w:ascii="Arial" w:eastAsia="Arial" w:hAnsi="Arial" w:cs="Arial"/>
                <w:sz w:val="18"/>
                <w:szCs w:val="18"/>
              </w:rPr>
              <w:t xml:space="preserve"> art education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6F90994A" w14:textId="77777777" w:rsidR="00DE104A" w:rsidRDefault="00DE104A" w:rsidP="00DE104A">
            <w:pPr>
              <w:spacing w:before="240" w:after="240"/>
              <w:rPr>
                <w:rFonts w:ascii="Arial" w:eastAsia="Arial" w:hAnsi="Arial" w:cs="Arial"/>
                <w:sz w:val="18"/>
                <w:szCs w:val="18"/>
              </w:rPr>
            </w:pPr>
            <w:proofErr w:type="spellStart"/>
            <w:r>
              <w:rPr>
                <w:rFonts w:ascii="Arial" w:eastAsia="Arial" w:hAnsi="Arial" w:cs="Arial"/>
                <w:sz w:val="18"/>
                <w:szCs w:val="18"/>
              </w:rPr>
              <w:t>Radianti</w:t>
            </w:r>
            <w:proofErr w:type="spellEnd"/>
            <w:r>
              <w:rPr>
                <w:rFonts w:ascii="Arial" w:eastAsia="Arial" w:hAnsi="Arial" w:cs="Arial"/>
                <w:sz w:val="18"/>
                <w:szCs w:val="18"/>
              </w:rPr>
              <w:t xml:space="preserve"> et al., 2020</w:t>
            </w:r>
          </w:p>
        </w:tc>
      </w:tr>
      <w:tr w:rsidR="00DE104A" w14:paraId="6C86F9E3" w14:textId="77777777" w:rsidTr="00DE104A">
        <w:trPr>
          <w:trHeight w:val="792"/>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05C45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Finland</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6C492E57"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 xml:space="preserve">Ethical AI + XR integration </w:t>
            </w:r>
            <w:proofErr w:type="spellStart"/>
            <w:r>
              <w:rPr>
                <w:rFonts w:ascii="Arial" w:eastAsia="Arial" w:hAnsi="Arial" w:cs="Arial"/>
                <w:sz w:val="18"/>
                <w:szCs w:val="18"/>
              </w:rPr>
              <w:t>inschools</w:t>
            </w:r>
            <w:proofErr w:type="spellEnd"/>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E83B46B"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Strong focus on values-</w:t>
            </w:r>
            <w:proofErr w:type="spellStart"/>
            <w:proofErr w:type="gramStart"/>
            <w:r>
              <w:rPr>
                <w:rFonts w:ascii="Arial" w:eastAsia="Arial" w:hAnsi="Arial" w:cs="Arial"/>
                <w:sz w:val="18"/>
                <w:szCs w:val="18"/>
              </w:rPr>
              <w:t>based,responsible</w:t>
            </w:r>
            <w:proofErr w:type="spellEnd"/>
            <w:proofErr w:type="gramEnd"/>
            <w:r>
              <w:rPr>
                <w:rFonts w:ascii="Arial" w:eastAsia="Arial" w:hAnsi="Arial" w:cs="Arial"/>
                <w:sz w:val="18"/>
                <w:szCs w:val="18"/>
              </w:rPr>
              <w:t xml:space="preserve"> use of XR in classrooms, ensuring safe and equitable adoption</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2DAD4D9B" w14:textId="77777777" w:rsidR="00DE104A" w:rsidRPr="003B4272" w:rsidRDefault="003B4272" w:rsidP="003B4272">
            <w:pPr>
              <w:spacing w:before="240" w:after="240"/>
              <w:rPr>
                <w:rFonts w:ascii="Arial" w:eastAsia="Arial" w:hAnsi="Arial" w:cs="Arial"/>
                <w:sz w:val="18"/>
                <w:szCs w:val="18"/>
              </w:rPr>
            </w:pPr>
            <w:proofErr w:type="spellStart"/>
            <w:r w:rsidRPr="003B4272">
              <w:rPr>
                <w:rFonts w:ascii="Arial" w:hAnsi="Arial" w:cs="Arial"/>
                <w:sz w:val="20"/>
              </w:rPr>
              <w:t>Kousa</w:t>
            </w:r>
            <w:proofErr w:type="spellEnd"/>
            <w:r w:rsidRPr="003B4272">
              <w:rPr>
                <w:rFonts w:ascii="Arial" w:hAnsi="Arial" w:cs="Arial"/>
                <w:sz w:val="20"/>
              </w:rPr>
              <w:t xml:space="preserve"> et al., 2023</w:t>
            </w:r>
          </w:p>
        </w:tc>
      </w:tr>
      <w:tr w:rsidR="00DE104A" w14:paraId="6E822E6E" w14:textId="77777777" w:rsidTr="00DE104A">
        <w:trPr>
          <w:trHeight w:val="957"/>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12D7DB7"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South Korea &amp; Japan</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193C9FE3"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National XR education initiatives</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45CE891A"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Government investment supports teacher training and XR adoption in K–12 and higher education; VR labs in universities for STEM fields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1F6E88C8" w14:textId="77777777" w:rsidR="00DE104A" w:rsidRPr="000A0967" w:rsidRDefault="000A0967" w:rsidP="00DE104A">
            <w:pPr>
              <w:spacing w:before="240" w:after="240"/>
              <w:rPr>
                <w:rFonts w:ascii="Arial" w:eastAsia="Arial" w:hAnsi="Arial" w:cs="Arial"/>
                <w:b/>
                <w:sz w:val="22"/>
                <w:szCs w:val="22"/>
              </w:rPr>
            </w:pPr>
            <w:r w:rsidRPr="000A0967">
              <w:rPr>
                <w:rStyle w:val="Strong"/>
                <w:rFonts w:ascii="Arial" w:hAnsi="Arial" w:cs="Arial"/>
                <w:b w:val="0"/>
                <w:sz w:val="18"/>
                <w:szCs w:val="22"/>
              </w:rPr>
              <w:t>Lee</w:t>
            </w:r>
            <w:r w:rsidR="00364DB1">
              <w:rPr>
                <w:rStyle w:val="Strong"/>
                <w:rFonts w:ascii="Arial" w:hAnsi="Arial" w:cs="Arial"/>
                <w:b w:val="0"/>
                <w:sz w:val="18"/>
                <w:szCs w:val="22"/>
              </w:rPr>
              <w:t xml:space="preserve"> et al.,</w:t>
            </w:r>
            <w:r w:rsidRPr="000A0967">
              <w:rPr>
                <w:rFonts w:ascii="Arial" w:eastAsia="Arial" w:hAnsi="Arial" w:cs="Arial"/>
                <w:b/>
                <w:sz w:val="18"/>
                <w:szCs w:val="22"/>
              </w:rPr>
              <w:t xml:space="preserve"> </w:t>
            </w:r>
            <w:r w:rsidRPr="000A0967">
              <w:rPr>
                <w:rFonts w:ascii="Arial" w:eastAsia="Arial" w:hAnsi="Arial" w:cs="Arial"/>
                <w:sz w:val="18"/>
                <w:szCs w:val="22"/>
              </w:rPr>
              <w:t xml:space="preserve">2022; </w:t>
            </w:r>
            <w:r w:rsidR="00DE104A" w:rsidRPr="000A0967">
              <w:rPr>
                <w:rFonts w:ascii="Arial" w:eastAsia="Arial" w:hAnsi="Arial" w:cs="Arial"/>
                <w:sz w:val="18"/>
                <w:szCs w:val="22"/>
              </w:rPr>
              <w:t>OECD, 2023</w:t>
            </w:r>
          </w:p>
        </w:tc>
      </w:tr>
      <w:tr w:rsidR="00DE104A" w14:paraId="4B2F9CD8" w14:textId="77777777" w:rsidTr="00DE104A">
        <w:trPr>
          <w:trHeight w:val="891"/>
        </w:trPr>
        <w:tc>
          <w:tcPr>
            <w:tcW w:w="1650" w:type="dxa"/>
            <w:tcBorders>
              <w:top w:val="single" w:sz="8" w:space="0" w:color="000000"/>
              <w:left w:val="single" w:sz="8" w:space="0" w:color="000000"/>
              <w:bottom w:val="single" w:sz="8" w:space="0" w:color="000000"/>
              <w:right w:val="single" w:sz="8" w:space="0" w:color="000000"/>
            </w:tcBorders>
            <w:tcMar>
              <w:top w:w="0" w:type="dxa"/>
              <w:bottom w:w="0" w:type="dxa"/>
            </w:tcMar>
          </w:tcPr>
          <w:p w14:paraId="133C20A2" w14:textId="77777777" w:rsidR="00DE104A" w:rsidRDefault="00DE104A" w:rsidP="00DE104A">
            <w:pPr>
              <w:spacing w:before="240" w:after="240"/>
              <w:rPr>
                <w:rFonts w:ascii="Arial" w:eastAsia="Arial" w:hAnsi="Arial" w:cs="Arial"/>
                <w:b/>
                <w:sz w:val="18"/>
                <w:szCs w:val="18"/>
              </w:rPr>
            </w:pPr>
            <w:r>
              <w:rPr>
                <w:rFonts w:ascii="Arial" w:eastAsia="Arial" w:hAnsi="Arial" w:cs="Arial"/>
                <w:b/>
                <w:sz w:val="18"/>
                <w:szCs w:val="18"/>
              </w:rPr>
              <w:t>Global (General)</w:t>
            </w:r>
          </w:p>
        </w:tc>
        <w:tc>
          <w:tcPr>
            <w:tcW w:w="1530" w:type="dxa"/>
            <w:tcBorders>
              <w:top w:val="single" w:sz="8" w:space="0" w:color="000000"/>
              <w:left w:val="single" w:sz="8" w:space="0" w:color="000000"/>
              <w:bottom w:val="single" w:sz="8" w:space="0" w:color="000000"/>
              <w:right w:val="single" w:sz="8" w:space="0" w:color="000000"/>
            </w:tcBorders>
            <w:tcMar>
              <w:top w:w="0" w:type="dxa"/>
              <w:bottom w:w="0" w:type="dxa"/>
            </w:tcMar>
          </w:tcPr>
          <w:p w14:paraId="04BCA545" w14:textId="77777777" w:rsidR="00DE104A" w:rsidRDefault="00DE104A" w:rsidP="00DE104A">
            <w:pPr>
              <w:spacing w:before="240" w:after="240"/>
              <w:rPr>
                <w:rFonts w:ascii="Arial" w:eastAsia="Arial" w:hAnsi="Arial" w:cs="Arial"/>
                <w:sz w:val="18"/>
                <w:szCs w:val="18"/>
              </w:rPr>
            </w:pPr>
            <w:r>
              <w:rPr>
                <w:rFonts w:ascii="Arial" w:eastAsia="Arial" w:hAnsi="Arial" w:cs="Arial"/>
                <w:sz w:val="18"/>
                <w:szCs w:val="18"/>
              </w:rPr>
              <w:t>Pedagogy-driven XR education</w:t>
            </w:r>
          </w:p>
        </w:tc>
        <w:tc>
          <w:tcPr>
            <w:tcW w:w="5250" w:type="dxa"/>
            <w:tcBorders>
              <w:top w:val="single" w:sz="8" w:space="0" w:color="000000"/>
              <w:left w:val="single" w:sz="8" w:space="0" w:color="000000"/>
              <w:bottom w:val="single" w:sz="8" w:space="0" w:color="000000"/>
              <w:right w:val="single" w:sz="8" w:space="0" w:color="000000"/>
            </w:tcBorders>
            <w:tcMar>
              <w:top w:w="0" w:type="dxa"/>
              <w:bottom w:w="0" w:type="dxa"/>
            </w:tcMar>
          </w:tcPr>
          <w:p w14:paraId="541D074E" w14:textId="77777777" w:rsidR="00DE104A" w:rsidRDefault="00DE104A" w:rsidP="00DE104A">
            <w:pPr>
              <w:widowControl w:val="0"/>
              <w:spacing w:after="0" w:line="276" w:lineRule="auto"/>
              <w:rPr>
                <w:rFonts w:ascii="Arial" w:eastAsia="Arial" w:hAnsi="Arial" w:cs="Arial"/>
                <w:sz w:val="18"/>
                <w:szCs w:val="18"/>
              </w:rPr>
            </w:pPr>
            <w:r>
              <w:rPr>
                <w:rFonts w:ascii="Arial" w:eastAsia="Arial" w:hAnsi="Arial" w:cs="Arial"/>
                <w:sz w:val="18"/>
                <w:szCs w:val="18"/>
              </w:rPr>
              <w:t>XR projects succeed when tied to learning goals, supported by teacher training, and made equitable for all learners</w:t>
            </w:r>
          </w:p>
        </w:tc>
        <w:tc>
          <w:tcPr>
            <w:tcW w:w="1755" w:type="dxa"/>
            <w:tcBorders>
              <w:top w:val="single" w:sz="8" w:space="0" w:color="000000"/>
              <w:left w:val="single" w:sz="8" w:space="0" w:color="000000"/>
              <w:bottom w:val="single" w:sz="8" w:space="0" w:color="000000"/>
              <w:right w:val="single" w:sz="8" w:space="0" w:color="000000"/>
            </w:tcBorders>
            <w:tcMar>
              <w:top w:w="0" w:type="dxa"/>
              <w:bottom w:w="0" w:type="dxa"/>
            </w:tcMar>
          </w:tcPr>
          <w:p w14:paraId="78AE20DC" w14:textId="77777777" w:rsidR="00DE104A" w:rsidRDefault="00DE104A" w:rsidP="00DE104A">
            <w:pPr>
              <w:spacing w:before="240" w:after="240"/>
              <w:rPr>
                <w:rFonts w:ascii="Arial" w:eastAsia="Arial" w:hAnsi="Arial" w:cs="Arial"/>
                <w:sz w:val="18"/>
                <w:szCs w:val="18"/>
              </w:rPr>
            </w:pPr>
            <w:proofErr w:type="spellStart"/>
            <w:r>
              <w:rPr>
                <w:rFonts w:ascii="Arial" w:eastAsia="Arial" w:hAnsi="Arial" w:cs="Arial"/>
                <w:sz w:val="18"/>
                <w:szCs w:val="18"/>
              </w:rPr>
              <w:t>Radianti</w:t>
            </w:r>
            <w:proofErr w:type="spellEnd"/>
            <w:r>
              <w:rPr>
                <w:rFonts w:ascii="Arial" w:eastAsia="Arial" w:hAnsi="Arial" w:cs="Arial"/>
                <w:sz w:val="18"/>
                <w:szCs w:val="18"/>
              </w:rPr>
              <w:t xml:space="preserve"> et al., 2020</w:t>
            </w:r>
          </w:p>
        </w:tc>
      </w:tr>
    </w:tbl>
    <w:p w14:paraId="77D0BECF" w14:textId="77777777" w:rsidR="005C19C8" w:rsidRPr="005117A2" w:rsidRDefault="00F86D4E" w:rsidP="005C19C8">
      <w:pPr>
        <w:pStyle w:val="NormalWeb"/>
        <w:rPr>
          <w:rFonts w:ascii="Arial" w:hAnsi="Arial" w:cs="Arial"/>
          <w:color w:val="0070C0"/>
          <w:sz w:val="22"/>
          <w:lang w:val="en-PH"/>
        </w:rPr>
      </w:pPr>
      <w:r w:rsidRPr="00C2158B">
        <w:rPr>
          <w:rFonts w:ascii="Arial" w:eastAsia="Arial" w:hAnsi="Arial" w:cs="Arial"/>
          <w:sz w:val="22"/>
          <w:szCs w:val="22"/>
        </w:rPr>
        <w:t xml:space="preserve">The table is structured to present a comparative overview of immersive learning best practices across different countries and regions. It begins by identifying the country or region where the </w:t>
      </w:r>
      <w:r w:rsidRPr="00C2158B">
        <w:rPr>
          <w:rFonts w:ascii="Arial" w:eastAsia="Arial" w:hAnsi="Arial" w:cs="Arial"/>
          <w:sz w:val="22"/>
          <w:szCs w:val="22"/>
        </w:rPr>
        <w:lastRenderedPageBreak/>
        <w:t xml:space="preserve">practice is implemented, followed by the educational best practice that summarizes the initiative or program. </w:t>
      </w:r>
      <w:r w:rsidR="005C19C8" w:rsidRPr="005C19C8">
        <w:rPr>
          <w:rFonts w:ascii="Arial" w:hAnsi="Arial" w:cs="Arial"/>
          <w:sz w:val="22"/>
          <w:lang w:val="en-PH"/>
        </w:rPr>
        <w:t xml:space="preserve">It then presents application in schoolings and universities, where this technology is adopted into classrooms, laboratories or training environments. Finally, the citation supporting each example is included. The book progresses in terms of narrative and sequencing from specific national cases (the USA, Australia, Singapore, Malaysia and the Philippines) to general country examples within a region (UK) and cross-regional company collaborations (Germany), innovative visions for education in Finland alongside major national initiatives of South Korea and Japan before closing with global or overarching outlooks. Together, the trajectory suggests a movement from innovations born in individual countries, to supranational collaborative responses and ultimately to global pedagogies </w:t>
      </w:r>
      <w:r w:rsidR="005C19C8" w:rsidRPr="005117A2">
        <w:rPr>
          <w:rFonts w:ascii="Arial" w:hAnsi="Arial" w:cs="Arial"/>
          <w:color w:val="0070C0"/>
          <w:sz w:val="22"/>
          <w:lang w:val="en-PH"/>
        </w:rPr>
        <w:t>(</w:t>
      </w:r>
      <w:proofErr w:type="spellStart"/>
      <w:r w:rsidR="005C19C8" w:rsidRPr="005117A2">
        <w:rPr>
          <w:rFonts w:ascii="Arial" w:hAnsi="Arial" w:cs="Arial"/>
          <w:color w:val="0070C0"/>
          <w:sz w:val="22"/>
          <w:lang w:val="en-PH"/>
        </w:rPr>
        <w:t>Muzata</w:t>
      </w:r>
      <w:proofErr w:type="spellEnd"/>
      <w:r w:rsidR="005C19C8" w:rsidRPr="005117A2">
        <w:rPr>
          <w:rFonts w:ascii="Arial" w:hAnsi="Arial" w:cs="Arial"/>
          <w:color w:val="0070C0"/>
          <w:sz w:val="22"/>
          <w:lang w:val="en-PH"/>
        </w:rPr>
        <w:t xml:space="preserve"> et al., 2024).</w:t>
      </w:r>
    </w:p>
    <w:p w14:paraId="7CA0ED4C" w14:textId="0156BE57" w:rsidR="007B5D84" w:rsidRPr="00C2158B" w:rsidRDefault="007B5D84">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i/>
          <w:color w:val="0000FF"/>
          <w:sz w:val="22"/>
          <w:szCs w:val="22"/>
        </w:rPr>
      </w:pPr>
    </w:p>
    <w:p w14:paraId="44BC6CDA" w14:textId="77777777" w:rsidR="007B5D84" w:rsidRPr="00C2158B"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b/>
          <w:sz w:val="22"/>
          <w:szCs w:val="22"/>
        </w:rPr>
      </w:pPr>
      <w:r w:rsidRPr="00C2158B">
        <w:rPr>
          <w:rFonts w:ascii="Arial" w:eastAsia="Arial" w:hAnsi="Arial" w:cs="Arial"/>
          <w:b/>
          <w:sz w:val="22"/>
          <w:szCs w:val="22"/>
        </w:rPr>
        <w:t>2. CONCLUSION</w:t>
      </w:r>
    </w:p>
    <w:p w14:paraId="5CD02F37" w14:textId="7EBDAA75"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AI driven experiential learning is poised to revolutionize education by creating dynamic, more contextually based learning in and out of the classroom. As we’ve seen in which people are doing around the world (driving simulators in Singapore, XR studios in Malaysia and how The Philippines integrates VR/AR with their MATATAG Curriculum) – you can plug holes about motivation &amp; understanding… and skills training. Allowing students to interact with complex concepts in a secure and simulated environment, these advancements provide greater understanding and learner confidence, naturally instilling them with skills for the future.</w:t>
      </w:r>
    </w:p>
    <w:p w14:paraId="39B04BDD" w14:textId="34B0101F"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However, challenges remain. Those include high equipment costs, school-to-school disparities in availability and inadequate teacher training. These issues further indicate that pedagogy should have been prioritized when designing immersive learning. Teacher professional development, public private partnerships and investments in shared or low-cost XR infrastructure will be required to ensure equity and long-term sustainability.</w:t>
      </w:r>
    </w:p>
    <w:p w14:paraId="3B5B32EE" w14:textId="4F13DB00"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Experiential learning occurs not because of technology but from what is done with that technology used in student-centered pedagogy. By focusing XR activities on the learning objectives, cognitive load is reduced and professional development prepares teachers to lead meaningful digital experience. At the same time, inclusion-friendly, accessible and ethically-wielded AI tools can help us ensure that these tools work for all learners instead of widening gaps.</w:t>
      </w:r>
    </w:p>
    <w:p w14:paraId="34BD9F8A" w14:textId="77777777" w:rsidR="005C19C8" w:rsidRPr="005C19C8" w:rsidRDefault="005C19C8" w:rsidP="005C19C8">
      <w:pPr>
        <w:spacing w:before="100" w:beforeAutospacing="1" w:after="100" w:afterAutospacing="1" w:line="240" w:lineRule="auto"/>
        <w:rPr>
          <w:rFonts w:ascii="Arial" w:eastAsia="Times New Roman" w:hAnsi="Arial" w:cs="Arial"/>
          <w:sz w:val="22"/>
          <w:lang w:val="en-PH"/>
        </w:rPr>
      </w:pPr>
      <w:r w:rsidRPr="005C19C8">
        <w:rPr>
          <w:rFonts w:ascii="Arial" w:eastAsia="Times New Roman" w:hAnsi="Arial" w:cs="Arial"/>
          <w:sz w:val="22"/>
          <w:lang w:val="en-PH"/>
        </w:rPr>
        <w:t>In a realistic sense, this is an urgent call to inculcate such low-cost and scalable teaching at curriculum level, and serves as explicit guidance for education systems to back their teachers and learners at the point of transition. And by taking these steps, immersive learning isn’t just a fad in education — it’s a sustainable pathway to fairer, more engaging and future-ready classrooms.</w:t>
      </w:r>
    </w:p>
    <w:p w14:paraId="67871484" w14:textId="77777777" w:rsidR="00B069B0" w:rsidRPr="00B069B0" w:rsidRDefault="00B069B0" w:rsidP="00B069B0">
      <w:pPr>
        <w:spacing w:after="200" w:line="276" w:lineRule="auto"/>
        <w:rPr>
          <w:rFonts w:ascii="Calibri" w:eastAsia="Calibri" w:hAnsi="Calibri" w:cs="Times New Roman"/>
          <w:b/>
          <w:kern w:val="2"/>
          <w:sz w:val="22"/>
          <w:szCs w:val="22"/>
          <w:lang w:val="en-US" w:eastAsia="en-US"/>
          <w14:ligatures w14:val="standardContextual"/>
        </w:rPr>
      </w:pPr>
      <w:bookmarkStart w:id="3" w:name="_GoBack"/>
      <w:r w:rsidRPr="00B069B0">
        <w:rPr>
          <w:rFonts w:ascii="Calibri" w:eastAsia="Calibri" w:hAnsi="Calibri" w:cs="Times New Roman"/>
          <w:b/>
          <w:kern w:val="2"/>
          <w:sz w:val="22"/>
          <w:szCs w:val="22"/>
          <w:lang w:val="en-US" w:eastAsia="en-US"/>
          <w14:ligatures w14:val="standardContextual"/>
        </w:rPr>
        <w:t>Disclaimer (Artificial intelligence)</w:t>
      </w:r>
    </w:p>
    <w:bookmarkEnd w:id="3"/>
    <w:p w14:paraId="442B0590"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 xml:space="preserve">Option 1: </w:t>
      </w:r>
    </w:p>
    <w:p w14:paraId="41813796"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Author(s) hereby declare that NO generative AI technologies such as Large Language Models (</w:t>
      </w:r>
      <w:proofErr w:type="spellStart"/>
      <w:r w:rsidRPr="00B069B0">
        <w:rPr>
          <w:rFonts w:ascii="Calibri" w:eastAsia="Calibri" w:hAnsi="Calibri" w:cs="Times New Roman"/>
          <w:kern w:val="2"/>
          <w:sz w:val="22"/>
          <w:szCs w:val="22"/>
          <w:lang w:val="en-US" w:eastAsia="en-US"/>
          <w14:ligatures w14:val="standardContextual"/>
        </w:rPr>
        <w:t>ChatGPT</w:t>
      </w:r>
      <w:proofErr w:type="spellEnd"/>
      <w:r w:rsidRPr="00B069B0">
        <w:rPr>
          <w:rFonts w:ascii="Calibri" w:eastAsia="Calibri" w:hAnsi="Calibri" w:cs="Times New Roman"/>
          <w:kern w:val="2"/>
          <w:sz w:val="22"/>
          <w:szCs w:val="22"/>
          <w:lang w:val="en-US" w:eastAsia="en-US"/>
          <w14:ligatures w14:val="standardContextual"/>
        </w:rPr>
        <w:t xml:space="preserve">, COPILOT, etc.) and text-to-image generators have been used during the writing or editing of this manuscript. </w:t>
      </w:r>
    </w:p>
    <w:p w14:paraId="153E39E8"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lastRenderedPageBreak/>
        <w:t xml:space="preserve">Option 2: </w:t>
      </w:r>
    </w:p>
    <w:p w14:paraId="0F40268B"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134AE2"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Details of the AI usage are given below:</w:t>
      </w:r>
    </w:p>
    <w:p w14:paraId="1E2C9646"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1.</w:t>
      </w:r>
    </w:p>
    <w:p w14:paraId="2F8DAA90"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2.</w:t>
      </w:r>
    </w:p>
    <w:p w14:paraId="68D51374" w14:textId="77777777" w:rsidR="00B069B0" w:rsidRPr="00B069B0" w:rsidRDefault="00B069B0" w:rsidP="00B069B0">
      <w:pPr>
        <w:spacing w:after="200" w:line="276" w:lineRule="auto"/>
        <w:rPr>
          <w:rFonts w:ascii="Calibri" w:eastAsia="Calibri" w:hAnsi="Calibri" w:cs="Times New Roman"/>
          <w:kern w:val="2"/>
          <w:sz w:val="22"/>
          <w:szCs w:val="22"/>
          <w:lang w:val="en-US" w:eastAsia="en-US"/>
          <w14:ligatures w14:val="standardContextual"/>
        </w:rPr>
      </w:pPr>
      <w:r w:rsidRPr="00B069B0">
        <w:rPr>
          <w:rFonts w:ascii="Calibri" w:eastAsia="Calibri" w:hAnsi="Calibri" w:cs="Times New Roman"/>
          <w:kern w:val="2"/>
          <w:sz w:val="22"/>
          <w:szCs w:val="22"/>
          <w:lang w:val="en-US" w:eastAsia="en-US"/>
          <w14:ligatures w14:val="standardContextual"/>
        </w:rPr>
        <w:t>3.</w:t>
      </w:r>
    </w:p>
    <w:p w14:paraId="713C27E1" w14:textId="77777777" w:rsidR="00B069B0" w:rsidRDefault="00B069B0" w:rsidP="002D281E">
      <w:pPr>
        <w:spacing w:before="100" w:beforeAutospacing="1" w:after="100" w:afterAutospacing="1" w:line="240" w:lineRule="auto"/>
        <w:rPr>
          <w:rFonts w:ascii="Arial" w:eastAsia="Arial" w:hAnsi="Arial" w:cs="Arial"/>
          <w:b/>
        </w:rPr>
      </w:pPr>
    </w:p>
    <w:p w14:paraId="656813BF" w14:textId="77777777" w:rsidR="00B069B0" w:rsidRDefault="00B069B0" w:rsidP="002D281E">
      <w:pPr>
        <w:spacing w:before="100" w:beforeAutospacing="1" w:after="100" w:afterAutospacing="1" w:line="240" w:lineRule="auto"/>
        <w:rPr>
          <w:rFonts w:ascii="Arial" w:eastAsia="Arial" w:hAnsi="Arial" w:cs="Arial"/>
          <w:b/>
        </w:rPr>
      </w:pPr>
    </w:p>
    <w:p w14:paraId="6DEA76CA" w14:textId="2778EEA6" w:rsidR="007B5D84" w:rsidRPr="00B069B0" w:rsidRDefault="003F3F1E" w:rsidP="002D281E">
      <w:pPr>
        <w:spacing w:before="100" w:beforeAutospacing="1" w:after="100" w:afterAutospacing="1" w:line="240" w:lineRule="auto"/>
        <w:rPr>
          <w:rFonts w:ascii="Arial" w:eastAsia="Arial" w:hAnsi="Arial" w:cs="Arial"/>
          <w:sz w:val="22"/>
        </w:rPr>
      </w:pPr>
      <w:r w:rsidRPr="00B069B0">
        <w:rPr>
          <w:rFonts w:ascii="Arial" w:eastAsia="Arial" w:hAnsi="Arial" w:cs="Arial"/>
          <w:b/>
        </w:rPr>
        <w:t>References</w:t>
      </w:r>
      <w:r w:rsidRPr="00B069B0">
        <w:rPr>
          <w:rFonts w:ascii="Arial" w:eastAsia="Arial" w:hAnsi="Arial" w:cs="Arial"/>
          <w:sz w:val="22"/>
        </w:rPr>
        <w:t xml:space="preserve"> </w:t>
      </w:r>
    </w:p>
    <w:p w14:paraId="56DC16D9"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Abulencia</w:t>
      </w:r>
      <w:proofErr w:type="spellEnd"/>
      <w:r w:rsidRPr="001328D5">
        <w:rPr>
          <w:rFonts w:ascii="Arial" w:eastAsia="Arial" w:hAnsi="Arial" w:cs="Arial"/>
          <w:sz w:val="22"/>
        </w:rPr>
        <w:t>, A. B., Dela Peña, R. C., &amp; Mag-</w:t>
      </w:r>
      <w:proofErr w:type="spellStart"/>
      <w:r w:rsidRPr="001328D5">
        <w:rPr>
          <w:rFonts w:ascii="Arial" w:eastAsia="Arial" w:hAnsi="Arial" w:cs="Arial"/>
          <w:sz w:val="22"/>
        </w:rPr>
        <w:t>usara</w:t>
      </w:r>
      <w:proofErr w:type="spellEnd"/>
      <w:r w:rsidRPr="001328D5">
        <w:rPr>
          <w:rFonts w:ascii="Arial" w:eastAsia="Arial" w:hAnsi="Arial" w:cs="Arial"/>
          <w:sz w:val="22"/>
        </w:rPr>
        <w:t xml:space="preserve">, R. V. (2021). A virtual reality tour of a community college campus in Bukidnon, Philippines. </w:t>
      </w:r>
      <w:proofErr w:type="spellStart"/>
      <w:r w:rsidRPr="001328D5">
        <w:rPr>
          <w:rFonts w:ascii="Arial" w:eastAsia="Arial" w:hAnsi="Arial" w:cs="Arial"/>
          <w:sz w:val="22"/>
        </w:rPr>
        <w:t>arXiv</w:t>
      </w:r>
      <w:proofErr w:type="spellEnd"/>
      <w:r w:rsidRPr="001328D5">
        <w:rPr>
          <w:rFonts w:ascii="Arial" w:eastAsia="Arial" w:hAnsi="Arial" w:cs="Arial"/>
          <w:sz w:val="22"/>
        </w:rPr>
        <w:t>.</w:t>
      </w:r>
      <w:hyperlink r:id="rId10">
        <w:r w:rsidRPr="001328D5">
          <w:rPr>
            <w:rFonts w:ascii="Arial" w:eastAsia="Arial" w:hAnsi="Arial" w:cs="Arial"/>
            <w:sz w:val="22"/>
          </w:rPr>
          <w:t xml:space="preserve"> </w:t>
        </w:r>
      </w:hyperlink>
      <w:hyperlink r:id="rId11">
        <w:r w:rsidRPr="001328D5">
          <w:rPr>
            <w:rFonts w:ascii="Arial" w:eastAsia="Arial" w:hAnsi="Arial" w:cs="Arial"/>
            <w:color w:val="1155CC"/>
            <w:sz w:val="22"/>
            <w:u w:val="single"/>
          </w:rPr>
          <w:t>https://arxiv.org/abs/2103.06238</w:t>
        </w:r>
      </w:hyperlink>
    </w:p>
    <w:p w14:paraId="54655939"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L., </w:t>
      </w:r>
      <w:proofErr w:type="spellStart"/>
      <w:r w:rsidRPr="001328D5">
        <w:rPr>
          <w:rFonts w:ascii="Arial" w:eastAsia="Arial" w:hAnsi="Arial" w:cs="Arial"/>
          <w:sz w:val="22"/>
        </w:rPr>
        <w:t>Liuta</w:t>
      </w:r>
      <w:proofErr w:type="spellEnd"/>
      <w:r w:rsidRPr="001328D5">
        <w:rPr>
          <w:rFonts w:ascii="Arial" w:eastAsia="Arial" w:hAnsi="Arial" w:cs="Arial"/>
          <w:sz w:val="22"/>
        </w:rPr>
        <w:t xml:space="preserve">, O., Los, O., &amp; </w:t>
      </w:r>
      <w:proofErr w:type="spellStart"/>
      <w:r w:rsidRPr="001328D5">
        <w:rPr>
          <w:rFonts w:ascii="Arial" w:eastAsia="Arial" w:hAnsi="Arial" w:cs="Arial"/>
          <w:sz w:val="22"/>
        </w:rPr>
        <w:t>Pavlenko</w:t>
      </w:r>
      <w:proofErr w:type="spellEnd"/>
      <w:r w:rsidRPr="001328D5">
        <w:rPr>
          <w:rFonts w:ascii="Arial" w:eastAsia="Arial" w:hAnsi="Arial" w:cs="Arial"/>
          <w:sz w:val="22"/>
        </w:rPr>
        <w:t>, V. (2022). The use of immersive technologies in teacher education and professional development. Education and Information Technologies, 27(6), 8725–8743.</w:t>
      </w:r>
      <w:hyperlink r:id="rId12">
        <w:r w:rsidRPr="001328D5">
          <w:rPr>
            <w:rFonts w:ascii="Arial" w:eastAsia="Arial" w:hAnsi="Arial" w:cs="Arial"/>
            <w:sz w:val="22"/>
          </w:rPr>
          <w:t xml:space="preserve"> </w:t>
        </w:r>
      </w:hyperlink>
      <w:hyperlink r:id="rId13">
        <w:r w:rsidRPr="001328D5">
          <w:rPr>
            <w:rFonts w:ascii="Arial" w:eastAsia="Arial" w:hAnsi="Arial" w:cs="Arial"/>
            <w:color w:val="1155CC"/>
            <w:sz w:val="22"/>
            <w:u w:val="single"/>
          </w:rPr>
          <w:t>https://doi.org/10.1007/s10639-022-11075-4</w:t>
        </w:r>
      </w:hyperlink>
    </w:p>
    <w:p w14:paraId="4F1CCA1B"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Bakhmat</w:t>
      </w:r>
      <w:proofErr w:type="spellEnd"/>
      <w:r w:rsidRPr="001328D5">
        <w:rPr>
          <w:rFonts w:ascii="Arial" w:eastAsia="Arial" w:hAnsi="Arial" w:cs="Arial"/>
          <w:sz w:val="22"/>
        </w:rPr>
        <w:t xml:space="preserve">, N., </w:t>
      </w:r>
      <w:proofErr w:type="spellStart"/>
      <w:r w:rsidRPr="001328D5">
        <w:rPr>
          <w:rFonts w:ascii="Arial" w:eastAsia="Arial" w:hAnsi="Arial" w:cs="Arial"/>
          <w:sz w:val="22"/>
        </w:rPr>
        <w:t>Kruty</w:t>
      </w:r>
      <w:proofErr w:type="spellEnd"/>
      <w:r w:rsidRPr="001328D5">
        <w:rPr>
          <w:rFonts w:ascii="Arial" w:eastAsia="Arial" w:hAnsi="Arial" w:cs="Arial"/>
          <w:sz w:val="22"/>
        </w:rPr>
        <w:t xml:space="preserve">, K., </w:t>
      </w:r>
      <w:proofErr w:type="spellStart"/>
      <w:r w:rsidRPr="001328D5">
        <w:rPr>
          <w:rFonts w:ascii="Arial" w:eastAsia="Arial" w:hAnsi="Arial" w:cs="Arial"/>
          <w:sz w:val="22"/>
        </w:rPr>
        <w:t>Tolchieva</w:t>
      </w:r>
      <w:proofErr w:type="spellEnd"/>
      <w:r w:rsidRPr="001328D5">
        <w:rPr>
          <w:rFonts w:ascii="Arial" w:eastAsia="Arial" w:hAnsi="Arial" w:cs="Arial"/>
          <w:sz w:val="22"/>
        </w:rPr>
        <w:t xml:space="preserve">, H., &amp; </w:t>
      </w:r>
      <w:proofErr w:type="spellStart"/>
      <w:r w:rsidRPr="001328D5">
        <w:rPr>
          <w:rFonts w:ascii="Arial" w:eastAsia="Arial" w:hAnsi="Arial" w:cs="Arial"/>
          <w:sz w:val="22"/>
        </w:rPr>
        <w:t>Pushkarova</w:t>
      </w:r>
      <w:proofErr w:type="spellEnd"/>
      <w:r w:rsidRPr="001328D5">
        <w:rPr>
          <w:rFonts w:ascii="Arial" w:eastAsia="Arial" w:hAnsi="Arial" w:cs="Arial"/>
          <w:sz w:val="22"/>
        </w:rPr>
        <w:t>, T. (2022). Modernization of future teachers’ professional training: The role of immersive technologies. Future Education, 2022, 1–12.</w:t>
      </w:r>
      <w:hyperlink r:id="rId14">
        <w:r w:rsidRPr="001328D5">
          <w:rPr>
            <w:rFonts w:ascii="Arial" w:eastAsia="Arial" w:hAnsi="Arial" w:cs="Arial"/>
            <w:sz w:val="22"/>
          </w:rPr>
          <w:t xml:space="preserve"> </w:t>
        </w:r>
      </w:hyperlink>
      <w:hyperlink r:id="rId15">
        <w:r w:rsidRPr="001328D5">
          <w:rPr>
            <w:rFonts w:ascii="Arial" w:eastAsia="Arial" w:hAnsi="Arial" w:cs="Arial"/>
            <w:color w:val="1155CC"/>
            <w:sz w:val="22"/>
            <w:u w:val="single"/>
          </w:rPr>
          <w:t>https://doi.org/10.1155/2022/1234567</w:t>
        </w:r>
      </w:hyperlink>
    </w:p>
    <w:p w14:paraId="1E8244F4"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Chen, L. (2023). Motivation and presence in early-grade VR learning. Learning &amp; Instruction, 84, 101–112.</w:t>
      </w:r>
      <w:hyperlink r:id="rId16">
        <w:r w:rsidRPr="001328D5">
          <w:rPr>
            <w:rFonts w:ascii="Arial" w:eastAsia="Arial" w:hAnsi="Arial" w:cs="Arial"/>
            <w:sz w:val="22"/>
          </w:rPr>
          <w:t xml:space="preserve"> </w:t>
        </w:r>
      </w:hyperlink>
      <w:hyperlink r:id="rId17">
        <w:r w:rsidRPr="001328D5">
          <w:rPr>
            <w:rFonts w:ascii="Arial" w:eastAsia="Arial" w:hAnsi="Arial" w:cs="Arial"/>
            <w:color w:val="1155CC"/>
            <w:sz w:val="22"/>
            <w:u w:val="single"/>
          </w:rPr>
          <w:t>https://doi.org/10.1016/j.learninstruc.2023.101112</w:t>
        </w:r>
      </w:hyperlink>
    </w:p>
    <w:p w14:paraId="069C01A3" w14:textId="77777777" w:rsidR="00B83454" w:rsidRPr="00B83454" w:rsidRDefault="00B83454">
      <w:pPr>
        <w:spacing w:before="240" w:after="240" w:line="240" w:lineRule="auto"/>
        <w:rPr>
          <w:rFonts w:ascii="Arial" w:eastAsia="Arial" w:hAnsi="Arial" w:cs="Arial"/>
          <w:color w:val="0070C0"/>
          <w:sz w:val="20"/>
          <w:u w:val="single"/>
        </w:rPr>
      </w:pPr>
      <w:r w:rsidRPr="00B83454">
        <w:rPr>
          <w:rFonts w:ascii="Arial" w:hAnsi="Arial" w:cs="Arial"/>
          <w:sz w:val="22"/>
        </w:rPr>
        <w:t xml:space="preserve">Cheng, Y. Q., </w:t>
      </w:r>
      <w:proofErr w:type="spellStart"/>
      <w:r w:rsidRPr="00B83454">
        <w:rPr>
          <w:rFonts w:ascii="Arial" w:hAnsi="Arial" w:cs="Arial"/>
          <w:sz w:val="22"/>
        </w:rPr>
        <w:t>Mansor</w:t>
      </w:r>
      <w:proofErr w:type="spellEnd"/>
      <w:r w:rsidRPr="00B83454">
        <w:rPr>
          <w:rFonts w:ascii="Arial" w:hAnsi="Arial" w:cs="Arial"/>
          <w:sz w:val="22"/>
        </w:rPr>
        <w:t xml:space="preserve">, S., Chin, J. J., &amp; Karim, H. A. (2022). </w:t>
      </w:r>
      <w:r w:rsidRPr="00B83454">
        <w:rPr>
          <w:rStyle w:val="Emphasis"/>
          <w:rFonts w:ascii="Arial" w:hAnsi="Arial" w:cs="Arial"/>
          <w:sz w:val="22"/>
        </w:rPr>
        <w:t xml:space="preserve">Driving simulator for </w:t>
      </w:r>
      <w:proofErr w:type="gramStart"/>
      <w:r w:rsidRPr="00B83454">
        <w:rPr>
          <w:rStyle w:val="Emphasis"/>
          <w:rFonts w:ascii="Arial" w:hAnsi="Arial" w:cs="Arial"/>
          <w:sz w:val="22"/>
        </w:rPr>
        <w:t>drivers</w:t>
      </w:r>
      <w:proofErr w:type="gramEnd"/>
      <w:r w:rsidRPr="00B83454">
        <w:rPr>
          <w:rStyle w:val="Emphasis"/>
          <w:rFonts w:ascii="Arial" w:hAnsi="Arial" w:cs="Arial"/>
          <w:sz w:val="22"/>
        </w:rPr>
        <w:t xml:space="preserve"> education with artificial intelligence traffic and virtual reality: A review</w:t>
      </w:r>
      <w:r w:rsidRPr="00A92018">
        <w:rPr>
          <w:rFonts w:ascii="Arial" w:hAnsi="Arial" w:cs="Arial"/>
          <w:sz w:val="22"/>
        </w:rPr>
        <w:t xml:space="preserve">. In </w:t>
      </w:r>
      <w:r w:rsidRPr="00A92018">
        <w:rPr>
          <w:rStyle w:val="Strong"/>
          <w:rFonts w:ascii="Arial" w:hAnsi="Arial" w:cs="Arial"/>
          <w:b w:val="0"/>
          <w:sz w:val="22"/>
        </w:rPr>
        <w:t>Lecture Notes in Electrical Engineering</w:t>
      </w:r>
      <w:r w:rsidRPr="00B83454">
        <w:rPr>
          <w:rFonts w:ascii="Arial" w:hAnsi="Arial" w:cs="Arial"/>
          <w:sz w:val="22"/>
        </w:rPr>
        <w:t xml:space="preserve"> (Vol. 0, pp. 483–494). Springer Singapore. </w:t>
      </w:r>
      <w:r w:rsidRPr="00B83454">
        <w:rPr>
          <w:rFonts w:ascii="Arial" w:hAnsi="Arial" w:cs="Arial"/>
          <w:color w:val="0070C0"/>
          <w:sz w:val="22"/>
        </w:rPr>
        <w:t>https://doi.org/10.1007/978-981-16-8515-6_38</w:t>
      </w:r>
    </w:p>
    <w:p w14:paraId="29F77826" w14:textId="77777777" w:rsidR="007B5D84" w:rsidRPr="001328D5" w:rsidRDefault="00F86D4E">
      <w:pPr>
        <w:spacing w:before="240" w:after="240" w:line="240" w:lineRule="auto"/>
        <w:rPr>
          <w:rFonts w:ascii="Arial" w:eastAsia="Arial" w:hAnsi="Arial" w:cs="Arial"/>
          <w:color w:val="1155CC"/>
          <w:sz w:val="22"/>
        </w:rPr>
      </w:pPr>
      <w:r w:rsidRPr="001328D5">
        <w:rPr>
          <w:rFonts w:ascii="Arial" w:eastAsia="Arial" w:hAnsi="Arial" w:cs="Arial"/>
          <w:sz w:val="22"/>
        </w:rPr>
        <w:t xml:space="preserve">Chong Xiao Xuan, A., </w:t>
      </w:r>
      <w:proofErr w:type="spellStart"/>
      <w:r w:rsidRPr="001328D5">
        <w:rPr>
          <w:rFonts w:ascii="Arial" w:eastAsia="Arial" w:hAnsi="Arial" w:cs="Arial"/>
          <w:sz w:val="22"/>
        </w:rPr>
        <w:t>Yuwono</w:t>
      </w:r>
      <w:proofErr w:type="spellEnd"/>
      <w:r w:rsidRPr="001328D5">
        <w:rPr>
          <w:rFonts w:ascii="Arial" w:eastAsia="Arial" w:hAnsi="Arial" w:cs="Arial"/>
          <w:sz w:val="22"/>
        </w:rPr>
        <w:t xml:space="preserve">, F., </w:t>
      </w:r>
      <w:proofErr w:type="spellStart"/>
      <w:r w:rsidRPr="001328D5">
        <w:rPr>
          <w:rFonts w:ascii="Arial" w:eastAsia="Arial" w:hAnsi="Arial" w:cs="Arial"/>
          <w:sz w:val="22"/>
        </w:rPr>
        <w:t>Harijanto</w:t>
      </w:r>
      <w:proofErr w:type="spellEnd"/>
      <w:r w:rsidRPr="001328D5">
        <w:rPr>
          <w:rFonts w:ascii="Arial" w:eastAsia="Arial" w:hAnsi="Arial" w:cs="Arial"/>
          <w:sz w:val="22"/>
        </w:rPr>
        <w:t xml:space="preserve">, M. A., &amp; Xu, Y. (2025, April 19). Meltdown: Bridging the perception gap in sustainable food behaviors through immersive VR. </w:t>
      </w:r>
      <w:proofErr w:type="spellStart"/>
      <w:r w:rsidRPr="001328D5">
        <w:rPr>
          <w:rFonts w:ascii="Arial" w:eastAsia="Arial" w:hAnsi="Arial" w:cs="Arial"/>
          <w:sz w:val="22"/>
        </w:rPr>
        <w:t>arXiv</w:t>
      </w:r>
      <w:proofErr w:type="spellEnd"/>
      <w:r w:rsidRPr="001328D5">
        <w:rPr>
          <w:rFonts w:ascii="Arial" w:eastAsia="Arial" w:hAnsi="Arial" w:cs="Arial"/>
          <w:sz w:val="22"/>
        </w:rPr>
        <w:t xml:space="preserve">. </w:t>
      </w:r>
      <w:r w:rsidRPr="001328D5">
        <w:rPr>
          <w:rFonts w:ascii="Arial" w:eastAsia="Arial" w:hAnsi="Arial" w:cs="Arial"/>
          <w:color w:val="1155CC"/>
          <w:sz w:val="22"/>
        </w:rPr>
        <w:t>https://doi.org/10.48550/arXiv.2504.14324</w:t>
      </w:r>
    </w:p>
    <w:p w14:paraId="15C90A8C"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Garcia, M. (2022). Real-time analytics dashboards in immersive learning environments. Computers &amp; Education, 176, 104115.</w:t>
      </w:r>
      <w:hyperlink r:id="rId18">
        <w:r w:rsidRPr="001328D5">
          <w:rPr>
            <w:rFonts w:ascii="Arial" w:eastAsia="Arial" w:hAnsi="Arial" w:cs="Arial"/>
            <w:sz w:val="22"/>
          </w:rPr>
          <w:t xml:space="preserve"> </w:t>
        </w:r>
      </w:hyperlink>
      <w:hyperlink r:id="rId19">
        <w:r w:rsidRPr="001328D5">
          <w:rPr>
            <w:rFonts w:ascii="Arial" w:eastAsia="Arial" w:hAnsi="Arial" w:cs="Arial"/>
            <w:color w:val="1155CC"/>
            <w:sz w:val="22"/>
            <w:u w:val="single"/>
          </w:rPr>
          <w:t>https://doi.org/10.1016/j.compedu.2021.104115</w:t>
        </w:r>
      </w:hyperlink>
    </w:p>
    <w:p w14:paraId="5CA64DF0" w14:textId="77777777" w:rsidR="00CF5799" w:rsidRPr="00CF5799" w:rsidRDefault="00CF5799">
      <w:pPr>
        <w:spacing w:before="240" w:after="240" w:line="240" w:lineRule="auto"/>
        <w:rPr>
          <w:rFonts w:ascii="Arial" w:eastAsia="Arial" w:hAnsi="Arial" w:cs="Arial"/>
          <w:color w:val="1155CC"/>
          <w:sz w:val="22"/>
          <w:szCs w:val="22"/>
          <w:u w:val="single"/>
        </w:rPr>
      </w:pPr>
      <w:r w:rsidRPr="00CF5799">
        <w:rPr>
          <w:rFonts w:ascii="Arial" w:eastAsia="Arial" w:hAnsi="Arial" w:cs="Arial"/>
          <w:sz w:val="22"/>
          <w:szCs w:val="22"/>
        </w:rPr>
        <w:t xml:space="preserve">Hang, L., &amp; Li, H. (2021). </w:t>
      </w:r>
      <w:r w:rsidRPr="00CF5799">
        <w:rPr>
          <w:rFonts w:ascii="Arial" w:eastAsia="Arial" w:hAnsi="Arial" w:cs="Arial"/>
          <w:i/>
          <w:sz w:val="22"/>
          <w:szCs w:val="22"/>
        </w:rPr>
        <w:t>Computers &amp; Education, 165,</w:t>
      </w:r>
      <w:r w:rsidRPr="00CF5799">
        <w:rPr>
          <w:rFonts w:ascii="Arial" w:eastAsia="Arial" w:hAnsi="Arial" w:cs="Arial"/>
          <w:sz w:val="22"/>
          <w:szCs w:val="22"/>
        </w:rPr>
        <w:t xml:space="preserve"> 104149.</w:t>
      </w:r>
      <w:hyperlink r:id="rId20">
        <w:r w:rsidRPr="00CF5799">
          <w:rPr>
            <w:rFonts w:ascii="Arial" w:eastAsia="Arial" w:hAnsi="Arial" w:cs="Arial"/>
            <w:sz w:val="22"/>
            <w:szCs w:val="22"/>
          </w:rPr>
          <w:t xml:space="preserve"> </w:t>
        </w:r>
        <w:r w:rsidRPr="00CF5799">
          <w:rPr>
            <w:rFonts w:ascii="Arial" w:eastAsia="Arial" w:hAnsi="Arial" w:cs="Arial"/>
            <w:color w:val="0070C0"/>
            <w:sz w:val="22"/>
            <w:szCs w:val="22"/>
            <w:u w:val="single"/>
          </w:rPr>
          <w:t>https://doi.org/10.1016/j.compedu.2021.104149</w:t>
        </w:r>
      </w:hyperlink>
    </w:p>
    <w:p w14:paraId="7308C90D"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lastRenderedPageBreak/>
        <w:t>Ifenthaler</w:t>
      </w:r>
      <w:proofErr w:type="spellEnd"/>
      <w:r w:rsidRPr="001328D5">
        <w:rPr>
          <w:rFonts w:ascii="Arial" w:eastAsia="Arial" w:hAnsi="Arial" w:cs="Arial"/>
          <w:sz w:val="22"/>
        </w:rPr>
        <w:t xml:space="preserve">, D., &amp; </w:t>
      </w:r>
      <w:proofErr w:type="spellStart"/>
      <w:r w:rsidRPr="001328D5">
        <w:rPr>
          <w:rFonts w:ascii="Arial" w:eastAsia="Arial" w:hAnsi="Arial" w:cs="Arial"/>
          <w:sz w:val="22"/>
        </w:rPr>
        <w:t>Yau</w:t>
      </w:r>
      <w:proofErr w:type="spellEnd"/>
      <w:r w:rsidRPr="001328D5">
        <w:rPr>
          <w:rFonts w:ascii="Arial" w:eastAsia="Arial" w:hAnsi="Arial" w:cs="Arial"/>
          <w:sz w:val="22"/>
        </w:rPr>
        <w:t xml:space="preserve">, J. Y.-K. (2020). </w:t>
      </w:r>
      <w:proofErr w:type="spellStart"/>
      <w:r w:rsidRPr="001328D5">
        <w:rPr>
          <w:rFonts w:ascii="Arial" w:eastAsia="Arial" w:hAnsi="Arial" w:cs="Arial"/>
          <w:sz w:val="22"/>
        </w:rPr>
        <w:t>Utilising</w:t>
      </w:r>
      <w:proofErr w:type="spellEnd"/>
      <w:r w:rsidRPr="001328D5">
        <w:rPr>
          <w:rFonts w:ascii="Arial" w:eastAsia="Arial" w:hAnsi="Arial" w:cs="Arial"/>
          <w:sz w:val="22"/>
        </w:rPr>
        <w:t xml:space="preserve"> learning analytics for study success: Reflections on current empirical findings. International Journal of Artificial Intelligence in Education, 30(3), 467–481.</w:t>
      </w:r>
      <w:hyperlink r:id="rId21">
        <w:r w:rsidRPr="001328D5">
          <w:rPr>
            <w:rFonts w:ascii="Arial" w:eastAsia="Arial" w:hAnsi="Arial" w:cs="Arial"/>
            <w:sz w:val="22"/>
          </w:rPr>
          <w:t xml:space="preserve"> </w:t>
        </w:r>
      </w:hyperlink>
      <w:hyperlink r:id="rId22">
        <w:r w:rsidRPr="001328D5">
          <w:rPr>
            <w:rFonts w:ascii="Arial" w:eastAsia="Arial" w:hAnsi="Arial" w:cs="Arial"/>
            <w:color w:val="1155CC"/>
            <w:sz w:val="22"/>
            <w:u w:val="single"/>
          </w:rPr>
          <w:t>https://doi.org/10.1007/s40593-020-00207-0</w:t>
        </w:r>
      </w:hyperlink>
    </w:p>
    <w:p w14:paraId="3315E1E6"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Jeon, H. G. (2025). Effectiveness of a mixed reality simulation program in higher education. Journal of Educational Technology Research, 41(2), 88–102.</w:t>
      </w:r>
    </w:p>
    <w:p w14:paraId="6987F6DD" w14:textId="77777777" w:rsidR="007B5D84"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Junga</w:t>
      </w:r>
      <w:proofErr w:type="spellEnd"/>
      <w:r w:rsidRPr="001328D5">
        <w:rPr>
          <w:rFonts w:ascii="Arial" w:eastAsia="Arial" w:hAnsi="Arial" w:cs="Arial"/>
          <w:sz w:val="22"/>
        </w:rPr>
        <w:t>, A., Schulze, H., Scherzer, S., et al. (2024). Immersive learning in medical education: Analyzing behavioral insights to shape the future of VR-based courses. BMC Medical Education, 24, 1413.</w:t>
      </w:r>
      <w:hyperlink r:id="rId23">
        <w:r w:rsidRPr="001328D5">
          <w:rPr>
            <w:rFonts w:ascii="Arial" w:eastAsia="Arial" w:hAnsi="Arial" w:cs="Arial"/>
            <w:sz w:val="22"/>
          </w:rPr>
          <w:t xml:space="preserve"> </w:t>
        </w:r>
      </w:hyperlink>
      <w:hyperlink r:id="rId24">
        <w:r w:rsidRPr="001328D5">
          <w:rPr>
            <w:rFonts w:ascii="Arial" w:eastAsia="Arial" w:hAnsi="Arial" w:cs="Arial"/>
            <w:color w:val="1155CC"/>
            <w:sz w:val="22"/>
            <w:u w:val="single"/>
          </w:rPr>
          <w:t>https://doi.org/10.1186/s12909-024-06337-7</w:t>
        </w:r>
      </w:hyperlink>
    </w:p>
    <w:p w14:paraId="201672F9" w14:textId="77777777" w:rsidR="003B4272" w:rsidRPr="003B4272" w:rsidRDefault="003B4272">
      <w:pPr>
        <w:spacing w:before="240" w:after="240" w:line="240" w:lineRule="auto"/>
        <w:rPr>
          <w:rFonts w:ascii="Arial" w:eastAsia="Arial" w:hAnsi="Arial" w:cs="Arial"/>
          <w:color w:val="0070C0"/>
          <w:sz w:val="20"/>
          <w:u w:val="single"/>
        </w:rPr>
      </w:pPr>
      <w:proofErr w:type="spellStart"/>
      <w:r w:rsidRPr="003B4272">
        <w:rPr>
          <w:rFonts w:ascii="Arial" w:hAnsi="Arial" w:cs="Arial"/>
          <w:sz w:val="22"/>
        </w:rPr>
        <w:t>Kousa</w:t>
      </w:r>
      <w:proofErr w:type="spellEnd"/>
      <w:r w:rsidRPr="003B4272">
        <w:rPr>
          <w:rFonts w:ascii="Arial" w:hAnsi="Arial" w:cs="Arial"/>
          <w:sz w:val="22"/>
        </w:rPr>
        <w:t xml:space="preserve">, P., &amp; Niemi, H. (2023). </w:t>
      </w:r>
      <w:r w:rsidRPr="003B4272">
        <w:rPr>
          <w:rStyle w:val="Emphasis"/>
          <w:rFonts w:ascii="Arial" w:hAnsi="Arial" w:cs="Arial"/>
          <w:i w:val="0"/>
          <w:sz w:val="22"/>
        </w:rPr>
        <w:t>Artificial Intelligence Ethics from the Perspective of Educational Technology Companies and Schools</w:t>
      </w:r>
      <w:r w:rsidRPr="003B4272">
        <w:rPr>
          <w:rFonts w:ascii="Arial" w:hAnsi="Arial" w:cs="Arial"/>
          <w:i/>
          <w:sz w:val="22"/>
        </w:rPr>
        <w:t xml:space="preserve">. In H. Niemi et al. (Eds.), </w:t>
      </w:r>
      <w:r w:rsidRPr="003B4272">
        <w:rPr>
          <w:rStyle w:val="Emphasis"/>
          <w:rFonts w:ascii="Arial" w:hAnsi="Arial" w:cs="Arial"/>
          <w:i w:val="0"/>
          <w:sz w:val="22"/>
        </w:rPr>
        <w:t>AI in Learning: Designing the Future</w:t>
      </w:r>
      <w:r w:rsidRPr="003B4272">
        <w:rPr>
          <w:rFonts w:ascii="Arial" w:hAnsi="Arial" w:cs="Arial"/>
          <w:i/>
          <w:sz w:val="22"/>
        </w:rPr>
        <w:t xml:space="preserve"> (pp. 283–296). </w:t>
      </w:r>
      <w:r w:rsidRPr="003B4272">
        <w:rPr>
          <w:rFonts w:ascii="Arial" w:hAnsi="Arial" w:cs="Arial"/>
          <w:sz w:val="22"/>
        </w:rPr>
        <w:t xml:space="preserve">Springer. </w:t>
      </w:r>
      <w:r w:rsidRPr="003B4272">
        <w:rPr>
          <w:rFonts w:ascii="Arial" w:hAnsi="Arial" w:cs="Arial"/>
          <w:color w:val="0070C0"/>
          <w:sz w:val="22"/>
          <w:u w:val="single"/>
        </w:rPr>
        <w:t>https://doi.org/10.1007/978-3-031-09687-7_17</w:t>
      </w:r>
    </w:p>
    <w:p w14:paraId="18458982"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w:t>
      </w:r>
      <w:proofErr w:type="spellStart"/>
      <w:r w:rsidRPr="001328D5">
        <w:rPr>
          <w:rFonts w:ascii="Arial" w:eastAsia="Arial" w:hAnsi="Arial" w:cs="Arial"/>
          <w:sz w:val="22"/>
        </w:rPr>
        <w:t>Sison</w:t>
      </w:r>
      <w:proofErr w:type="spellEnd"/>
      <w:r w:rsidRPr="001328D5">
        <w:rPr>
          <w:rFonts w:ascii="Arial" w:eastAsia="Arial" w:hAnsi="Arial" w:cs="Arial"/>
          <w:sz w:val="22"/>
        </w:rPr>
        <w:t xml:space="preserve">, A. J., &amp; De </w:t>
      </w:r>
      <w:proofErr w:type="spellStart"/>
      <w:r w:rsidRPr="001328D5">
        <w:rPr>
          <w:rFonts w:ascii="Arial" w:eastAsia="Arial" w:hAnsi="Arial" w:cs="Arial"/>
          <w:sz w:val="22"/>
        </w:rPr>
        <w:t>Guia</w:t>
      </w:r>
      <w:proofErr w:type="spellEnd"/>
      <w:r w:rsidRPr="001328D5">
        <w:rPr>
          <w:rFonts w:ascii="Arial" w:eastAsia="Arial" w:hAnsi="Arial" w:cs="Arial"/>
          <w:sz w:val="22"/>
        </w:rPr>
        <w:t>, J. (2020). Historic augmented reality application (HARA): Bringing Philippine history to life. International Journal of Learning Technology, 15(3), 205–221.</w:t>
      </w:r>
      <w:hyperlink r:id="rId25">
        <w:r w:rsidRPr="001328D5">
          <w:rPr>
            <w:rFonts w:ascii="Arial" w:eastAsia="Arial" w:hAnsi="Arial" w:cs="Arial"/>
            <w:sz w:val="22"/>
          </w:rPr>
          <w:t xml:space="preserve"> </w:t>
        </w:r>
      </w:hyperlink>
      <w:hyperlink r:id="rId26">
        <w:r w:rsidRPr="001328D5">
          <w:rPr>
            <w:rFonts w:ascii="Arial" w:eastAsia="Arial" w:hAnsi="Arial" w:cs="Arial"/>
            <w:color w:val="1155CC"/>
            <w:sz w:val="22"/>
            <w:u w:val="single"/>
          </w:rPr>
          <w:t>https://doi.org/10.1504/IJLT.2020.112170</w:t>
        </w:r>
      </w:hyperlink>
    </w:p>
    <w:p w14:paraId="3EB90BE8"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ElSayary</w:t>
      </w:r>
      <w:proofErr w:type="spellEnd"/>
      <w:r w:rsidRPr="001328D5">
        <w:rPr>
          <w:rFonts w:ascii="Arial" w:eastAsia="Arial" w:hAnsi="Arial" w:cs="Arial"/>
          <w:sz w:val="22"/>
        </w:rPr>
        <w:t>, A., Farooq, S., &amp; Alghamdi, A. (2022). Exploring immersive learning experiences: A survey. Informatics, 9(4), 75.</w:t>
      </w:r>
      <w:hyperlink r:id="rId27">
        <w:r w:rsidRPr="001328D5">
          <w:rPr>
            <w:rFonts w:ascii="Arial" w:eastAsia="Arial" w:hAnsi="Arial" w:cs="Arial"/>
            <w:sz w:val="22"/>
          </w:rPr>
          <w:t xml:space="preserve"> </w:t>
        </w:r>
      </w:hyperlink>
      <w:hyperlink r:id="rId28">
        <w:r w:rsidRPr="001328D5">
          <w:rPr>
            <w:rFonts w:ascii="Arial" w:eastAsia="Arial" w:hAnsi="Arial" w:cs="Arial"/>
            <w:color w:val="1155CC"/>
            <w:sz w:val="22"/>
            <w:u w:val="single"/>
          </w:rPr>
          <w:t>https://doi.org/10.3390/informatics9040075</w:t>
        </w:r>
      </w:hyperlink>
    </w:p>
    <w:p w14:paraId="5C0A884A"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Kuhail</w:t>
      </w:r>
      <w:proofErr w:type="spellEnd"/>
      <w:r w:rsidRPr="001328D5">
        <w:rPr>
          <w:rFonts w:ascii="Arial" w:eastAsia="Arial" w:hAnsi="Arial" w:cs="Arial"/>
          <w:sz w:val="22"/>
        </w:rPr>
        <w:t xml:space="preserve">, M. A., </w:t>
      </w:r>
      <w:proofErr w:type="spellStart"/>
      <w:r w:rsidRPr="001328D5">
        <w:rPr>
          <w:rFonts w:ascii="Arial" w:eastAsia="Arial" w:hAnsi="Arial" w:cs="Arial"/>
          <w:sz w:val="22"/>
        </w:rPr>
        <w:t>Klamma</w:t>
      </w:r>
      <w:proofErr w:type="spellEnd"/>
      <w:r w:rsidRPr="001328D5">
        <w:rPr>
          <w:rFonts w:ascii="Arial" w:eastAsia="Arial" w:hAnsi="Arial" w:cs="Arial"/>
          <w:sz w:val="22"/>
        </w:rPr>
        <w:t xml:space="preserve">, R., &amp; </w:t>
      </w:r>
      <w:proofErr w:type="spellStart"/>
      <w:r w:rsidRPr="001328D5">
        <w:rPr>
          <w:rFonts w:ascii="Arial" w:eastAsia="Arial" w:hAnsi="Arial" w:cs="Arial"/>
          <w:sz w:val="22"/>
        </w:rPr>
        <w:t>Jarke</w:t>
      </w:r>
      <w:proofErr w:type="spellEnd"/>
      <w:r w:rsidRPr="001328D5">
        <w:rPr>
          <w:rFonts w:ascii="Arial" w:eastAsia="Arial" w:hAnsi="Arial" w:cs="Arial"/>
          <w:sz w:val="22"/>
        </w:rPr>
        <w:t>, M. (2022). Immersive technologies in education: Potentials and challenges. Education and Information Technologies, 27(9), 12541–12561.</w:t>
      </w:r>
      <w:hyperlink r:id="rId29">
        <w:r w:rsidRPr="001328D5">
          <w:rPr>
            <w:rFonts w:ascii="Arial" w:eastAsia="Arial" w:hAnsi="Arial" w:cs="Arial"/>
            <w:sz w:val="22"/>
          </w:rPr>
          <w:t xml:space="preserve"> </w:t>
        </w:r>
      </w:hyperlink>
      <w:hyperlink r:id="rId30">
        <w:r w:rsidRPr="001328D5">
          <w:rPr>
            <w:rFonts w:ascii="Arial" w:eastAsia="Arial" w:hAnsi="Arial" w:cs="Arial"/>
            <w:color w:val="1155CC"/>
            <w:sz w:val="22"/>
            <w:u w:val="single"/>
          </w:rPr>
          <w:t>https://doi.org/10.1007/s10639-022-11041-0</w:t>
        </w:r>
      </w:hyperlink>
    </w:p>
    <w:p w14:paraId="1B1B63E4"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Kumar, R., &amp; Patel, S. (2024). Differentiated immersive learning for diverse learners. International Journal of STEM Education, 11(1), 45–58.</w:t>
      </w:r>
    </w:p>
    <w:p w14:paraId="04D3CF9D"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Kurniawan, A., et al. (2023). Primary school students’ experiences of immersive virtual reality use in the classroom. Journal of Educational Research, 2023, 2196896.</w:t>
      </w:r>
      <w:hyperlink r:id="rId31">
        <w:r w:rsidRPr="001328D5">
          <w:rPr>
            <w:rFonts w:ascii="Arial" w:eastAsia="Arial" w:hAnsi="Arial" w:cs="Arial"/>
            <w:sz w:val="22"/>
          </w:rPr>
          <w:t xml:space="preserve"> </w:t>
        </w:r>
      </w:hyperlink>
      <w:hyperlink r:id="rId32">
        <w:r w:rsidRPr="001328D5">
          <w:rPr>
            <w:rFonts w:ascii="Arial" w:eastAsia="Arial" w:hAnsi="Arial" w:cs="Arial"/>
            <w:color w:val="1155CC"/>
            <w:sz w:val="22"/>
            <w:u w:val="single"/>
          </w:rPr>
          <w:t>https://doi.org/10.1080/2331186X.2023.2196896</w:t>
        </w:r>
      </w:hyperlink>
    </w:p>
    <w:p w14:paraId="4CD06CD6"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 xml:space="preserve">Kurniawan, T., </w:t>
      </w:r>
      <w:proofErr w:type="spellStart"/>
      <w:r w:rsidRPr="001328D5">
        <w:rPr>
          <w:rFonts w:ascii="Arial" w:eastAsia="Arial" w:hAnsi="Arial" w:cs="Arial"/>
          <w:sz w:val="22"/>
        </w:rPr>
        <w:t>Utami</w:t>
      </w:r>
      <w:proofErr w:type="spellEnd"/>
      <w:r w:rsidRPr="001328D5">
        <w:rPr>
          <w:rFonts w:ascii="Arial" w:eastAsia="Arial" w:hAnsi="Arial" w:cs="Arial"/>
          <w:sz w:val="22"/>
        </w:rPr>
        <w:t xml:space="preserve">, I., &amp; </w:t>
      </w:r>
      <w:proofErr w:type="spellStart"/>
      <w:r w:rsidRPr="001328D5">
        <w:rPr>
          <w:rFonts w:ascii="Arial" w:eastAsia="Arial" w:hAnsi="Arial" w:cs="Arial"/>
          <w:sz w:val="22"/>
        </w:rPr>
        <w:t>Prasetyo</w:t>
      </w:r>
      <w:proofErr w:type="spellEnd"/>
      <w:r w:rsidRPr="001328D5">
        <w:rPr>
          <w:rFonts w:ascii="Arial" w:eastAsia="Arial" w:hAnsi="Arial" w:cs="Arial"/>
          <w:sz w:val="22"/>
        </w:rPr>
        <w:t>, B. (2023). Integrating VR in primary and secondary education: A systematic review. Education and Information Technologies, 28(5), 5567–5590.</w:t>
      </w:r>
      <w:hyperlink r:id="rId33">
        <w:r w:rsidRPr="001328D5">
          <w:rPr>
            <w:rFonts w:ascii="Arial" w:eastAsia="Arial" w:hAnsi="Arial" w:cs="Arial"/>
            <w:sz w:val="22"/>
          </w:rPr>
          <w:t xml:space="preserve"> </w:t>
        </w:r>
      </w:hyperlink>
      <w:hyperlink r:id="rId34">
        <w:r w:rsidRPr="001328D5">
          <w:rPr>
            <w:rFonts w:ascii="Arial" w:eastAsia="Arial" w:hAnsi="Arial" w:cs="Arial"/>
            <w:color w:val="1155CC"/>
            <w:sz w:val="22"/>
            <w:u w:val="single"/>
          </w:rPr>
          <w:t>https://doi.org/10.1007/s10639-022-11500-7</w:t>
        </w:r>
      </w:hyperlink>
    </w:p>
    <w:p w14:paraId="72EC2D6C" w14:textId="77777777" w:rsidR="000A0967" w:rsidRPr="000A0967" w:rsidRDefault="000A0967">
      <w:pPr>
        <w:spacing w:before="240" w:after="240" w:line="240" w:lineRule="auto"/>
        <w:rPr>
          <w:rFonts w:ascii="Arial" w:eastAsia="Arial" w:hAnsi="Arial" w:cs="Arial"/>
          <w:color w:val="1155CC"/>
          <w:sz w:val="20"/>
          <w:u w:val="single"/>
        </w:rPr>
      </w:pPr>
      <w:r w:rsidRPr="00C10873">
        <w:rPr>
          <w:rStyle w:val="Strong"/>
          <w:rFonts w:ascii="Arial" w:hAnsi="Arial" w:cs="Arial"/>
          <w:b w:val="0"/>
          <w:sz w:val="22"/>
        </w:rPr>
        <w:t>Lee, H., &amp; Hwang, Y. (2022).</w:t>
      </w:r>
      <w:r w:rsidRPr="000A0967">
        <w:rPr>
          <w:rFonts w:ascii="Arial" w:hAnsi="Arial" w:cs="Arial"/>
          <w:sz w:val="22"/>
        </w:rPr>
        <w:t xml:space="preserve"> Technology-Enhanced Education through VR-Making and Metaverse-Linking to Foster Teacher Readiness and Sustainable Learning. </w:t>
      </w:r>
      <w:r w:rsidRPr="000A0967">
        <w:rPr>
          <w:rStyle w:val="Emphasis"/>
          <w:rFonts w:ascii="Arial" w:hAnsi="Arial" w:cs="Arial"/>
          <w:sz w:val="22"/>
        </w:rPr>
        <w:t>Sustainability, 14</w:t>
      </w:r>
      <w:r w:rsidRPr="000A0967">
        <w:rPr>
          <w:rFonts w:ascii="Arial" w:hAnsi="Arial" w:cs="Arial"/>
          <w:sz w:val="22"/>
        </w:rPr>
        <w:t xml:space="preserve">(8), 4786. </w:t>
      </w:r>
      <w:r w:rsidRPr="000A0967">
        <w:rPr>
          <w:rFonts w:ascii="Arial" w:hAnsi="Arial" w:cs="Arial"/>
          <w:color w:val="0070C0"/>
          <w:sz w:val="22"/>
        </w:rPr>
        <w:t>https://doi.org/10.3390/su14084786</w:t>
      </w:r>
    </w:p>
    <w:p w14:paraId="699786B6" w14:textId="77777777" w:rsidR="007B5D84" w:rsidRPr="001328D5" w:rsidRDefault="00F86D4E">
      <w:pPr>
        <w:spacing w:before="240" w:after="240" w:line="240" w:lineRule="auto"/>
        <w:rPr>
          <w:rFonts w:ascii="Arial" w:eastAsia="Arial" w:hAnsi="Arial" w:cs="Arial"/>
          <w:color w:val="0000FF"/>
          <w:sz w:val="22"/>
          <w:u w:val="single"/>
        </w:rPr>
      </w:pPr>
      <w:proofErr w:type="spellStart"/>
      <w:r w:rsidRPr="001328D5">
        <w:rPr>
          <w:rFonts w:ascii="Arial" w:eastAsia="Arial" w:hAnsi="Arial" w:cs="Arial"/>
          <w:sz w:val="22"/>
        </w:rPr>
        <w:t>Lipon</w:t>
      </w:r>
      <w:proofErr w:type="spellEnd"/>
      <w:r w:rsidRPr="001328D5">
        <w:rPr>
          <w:rFonts w:ascii="Arial" w:eastAsia="Arial" w:hAnsi="Arial" w:cs="Arial"/>
          <w:sz w:val="22"/>
        </w:rPr>
        <w:t xml:space="preserve">, R. J. C., Ramirez, A. P., </w:t>
      </w:r>
      <w:proofErr w:type="spellStart"/>
      <w:r w:rsidRPr="001328D5">
        <w:rPr>
          <w:rFonts w:ascii="Arial" w:eastAsia="Arial" w:hAnsi="Arial" w:cs="Arial"/>
          <w:sz w:val="22"/>
        </w:rPr>
        <w:t>Aresgado</w:t>
      </w:r>
      <w:proofErr w:type="spellEnd"/>
      <w:r w:rsidRPr="001328D5">
        <w:rPr>
          <w:rFonts w:ascii="Arial" w:eastAsia="Arial" w:hAnsi="Arial" w:cs="Arial"/>
          <w:sz w:val="22"/>
        </w:rPr>
        <w:t xml:space="preserve">, J. A., &amp; </w:t>
      </w:r>
      <w:proofErr w:type="spellStart"/>
      <w:r w:rsidRPr="001328D5">
        <w:rPr>
          <w:rFonts w:ascii="Arial" w:eastAsia="Arial" w:hAnsi="Arial" w:cs="Arial"/>
          <w:sz w:val="22"/>
        </w:rPr>
        <w:t>Barantes</w:t>
      </w:r>
      <w:proofErr w:type="spellEnd"/>
      <w:r w:rsidRPr="001328D5">
        <w:rPr>
          <w:rFonts w:ascii="Arial" w:eastAsia="Arial" w:hAnsi="Arial" w:cs="Arial"/>
          <w:sz w:val="22"/>
        </w:rPr>
        <w:t xml:space="preserve">, N. N. P. (2025). Development and validation of technology-enriched lesson in fostering reading skills as anchored in ‘MATATAG’ Curriculum. International Journal of Research and Innovation in Social Science, 9(3), 1143–1151. </w:t>
      </w:r>
      <w:hyperlink r:id="rId35" w:history="1">
        <w:r w:rsidR="00495525" w:rsidRPr="00D478B0">
          <w:rPr>
            <w:rStyle w:val="Hyperlink"/>
            <w:rFonts w:ascii="Arial" w:eastAsia="Arial" w:hAnsi="Arial" w:cs="Arial"/>
            <w:color w:val="0070C0"/>
            <w:sz w:val="22"/>
          </w:rPr>
          <w:t>https://doi.org/10.47772/IJRISS.2025.903SEDU0086</w:t>
        </w:r>
      </w:hyperlink>
    </w:p>
    <w:p w14:paraId="7517E555" w14:textId="77777777" w:rsidR="00495525" w:rsidRPr="001328D5" w:rsidRDefault="00495525">
      <w:pPr>
        <w:spacing w:before="240" w:after="240" w:line="240" w:lineRule="auto"/>
        <w:rPr>
          <w:rFonts w:ascii="Arial" w:eastAsia="Arial" w:hAnsi="Arial" w:cs="Arial"/>
          <w:color w:val="0000FF"/>
          <w:sz w:val="22"/>
          <w:u w:val="single"/>
        </w:rPr>
      </w:pPr>
      <w:r w:rsidRPr="001328D5">
        <w:rPr>
          <w:rFonts w:ascii="Arial" w:hAnsi="Arial" w:cs="Arial"/>
          <w:sz w:val="22"/>
        </w:rPr>
        <w:t xml:space="preserve">Lowell, V. L., &amp; </w:t>
      </w:r>
      <w:proofErr w:type="spellStart"/>
      <w:r w:rsidRPr="001328D5">
        <w:rPr>
          <w:rFonts w:ascii="Arial" w:hAnsi="Arial" w:cs="Arial"/>
          <w:sz w:val="22"/>
        </w:rPr>
        <w:t>Tagare</w:t>
      </w:r>
      <w:proofErr w:type="spellEnd"/>
      <w:r w:rsidRPr="001328D5">
        <w:rPr>
          <w:rFonts w:ascii="Arial" w:hAnsi="Arial" w:cs="Arial"/>
          <w:sz w:val="22"/>
        </w:rPr>
        <w:t xml:space="preserve">, D. (2023). </w:t>
      </w:r>
      <w:r w:rsidRPr="001328D5">
        <w:rPr>
          <w:rStyle w:val="Emphasis"/>
          <w:rFonts w:ascii="Arial" w:hAnsi="Arial" w:cs="Arial"/>
          <w:i w:val="0"/>
          <w:sz w:val="22"/>
        </w:rPr>
        <w:t>Authentic learning and fidelity in virtual reality learning experiences for self-efficacy and transfer</w:t>
      </w:r>
      <w:r w:rsidRPr="001328D5">
        <w:rPr>
          <w:rFonts w:ascii="Arial" w:hAnsi="Arial" w:cs="Arial"/>
          <w:sz w:val="22"/>
        </w:rPr>
        <w:t xml:space="preserve">. </w:t>
      </w:r>
      <w:r w:rsidRPr="001328D5">
        <w:rPr>
          <w:rStyle w:val="Emphasis"/>
          <w:rFonts w:ascii="Arial" w:hAnsi="Arial" w:cs="Arial"/>
          <w:i w:val="0"/>
          <w:sz w:val="22"/>
        </w:rPr>
        <w:t>Computers &amp; Education: X Reality</w:t>
      </w:r>
      <w:r w:rsidRPr="001328D5">
        <w:rPr>
          <w:rFonts w:ascii="Arial" w:hAnsi="Arial" w:cs="Arial"/>
          <w:sz w:val="22"/>
        </w:rPr>
        <w:t xml:space="preserve">, 2, Article 100017. </w:t>
      </w:r>
      <w:r w:rsidRPr="001328D5">
        <w:rPr>
          <w:rFonts w:ascii="Arial" w:hAnsi="Arial" w:cs="Arial"/>
          <w:color w:val="0070C0"/>
          <w:sz w:val="22"/>
          <w:u w:val="single"/>
        </w:rPr>
        <w:t>https://doi.org/10.1016/j.cexr.2023.100017</w:t>
      </w:r>
    </w:p>
    <w:p w14:paraId="30C5D954"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lastRenderedPageBreak/>
        <w:t>Mallek</w:t>
      </w:r>
      <w:proofErr w:type="spellEnd"/>
      <w:r w:rsidRPr="001328D5">
        <w:rPr>
          <w:rFonts w:ascii="Arial" w:eastAsia="Arial" w:hAnsi="Arial" w:cs="Arial"/>
          <w:sz w:val="22"/>
        </w:rPr>
        <w:t xml:space="preserve">, H., </w:t>
      </w:r>
      <w:proofErr w:type="spellStart"/>
      <w:r w:rsidRPr="001328D5">
        <w:rPr>
          <w:rFonts w:ascii="Arial" w:eastAsia="Arial" w:hAnsi="Arial" w:cs="Arial"/>
          <w:sz w:val="22"/>
        </w:rPr>
        <w:t>Dhouib</w:t>
      </w:r>
      <w:proofErr w:type="spellEnd"/>
      <w:r w:rsidRPr="001328D5">
        <w:rPr>
          <w:rFonts w:ascii="Arial" w:eastAsia="Arial" w:hAnsi="Arial" w:cs="Arial"/>
          <w:sz w:val="22"/>
        </w:rPr>
        <w:t>, L., &amp; Ben Ammar, M. (2024). Immersive virtual learning environments and knowledge transfer: A systematic analysis. International Journal of Emerging Technologies in Learning, 19(3), 22–36.</w:t>
      </w:r>
      <w:hyperlink r:id="rId36">
        <w:r w:rsidRPr="001328D5">
          <w:rPr>
            <w:rFonts w:ascii="Arial" w:eastAsia="Arial" w:hAnsi="Arial" w:cs="Arial"/>
            <w:sz w:val="22"/>
          </w:rPr>
          <w:t xml:space="preserve"> </w:t>
        </w:r>
      </w:hyperlink>
      <w:hyperlink r:id="rId37">
        <w:r w:rsidRPr="001328D5">
          <w:rPr>
            <w:rFonts w:ascii="Arial" w:eastAsia="Arial" w:hAnsi="Arial" w:cs="Arial"/>
            <w:color w:val="1155CC"/>
            <w:sz w:val="22"/>
            <w:u w:val="single"/>
          </w:rPr>
          <w:t>https://doi.org/10.3991/ijet.v19i03.41247</w:t>
        </w:r>
      </w:hyperlink>
    </w:p>
    <w:p w14:paraId="312F3146" w14:textId="77777777" w:rsidR="007B5D84" w:rsidRPr="001328D5"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Martín-Gutiérrez, J., Molina, A. I., &amp; Cortés-</w:t>
      </w:r>
      <w:proofErr w:type="spellStart"/>
      <w:r w:rsidRPr="001328D5">
        <w:rPr>
          <w:rFonts w:ascii="Arial" w:eastAsia="Arial" w:hAnsi="Arial" w:cs="Arial"/>
          <w:sz w:val="22"/>
        </w:rPr>
        <w:t>Casero</w:t>
      </w:r>
      <w:proofErr w:type="spellEnd"/>
      <w:r w:rsidRPr="001328D5">
        <w:rPr>
          <w:rFonts w:ascii="Arial" w:eastAsia="Arial" w:hAnsi="Arial" w:cs="Arial"/>
          <w:sz w:val="22"/>
        </w:rPr>
        <w:t xml:space="preserve">, A. (2024). The effects of immersive virtual reality field trips upon student academic achievement, cognitive load, and multimodal presence in a social </w:t>
      </w:r>
      <w:proofErr w:type="gramStart"/>
      <w:r w:rsidRPr="001328D5">
        <w:rPr>
          <w:rFonts w:ascii="Arial" w:eastAsia="Arial" w:hAnsi="Arial" w:cs="Arial"/>
          <w:sz w:val="22"/>
        </w:rPr>
        <w:t>studies</w:t>
      </w:r>
      <w:proofErr w:type="gramEnd"/>
      <w:r w:rsidRPr="001328D5">
        <w:rPr>
          <w:rFonts w:ascii="Arial" w:eastAsia="Arial" w:hAnsi="Arial" w:cs="Arial"/>
          <w:sz w:val="22"/>
        </w:rPr>
        <w:t xml:space="preserve"> educational context. Education and Information Technologies, 29, 22189–22211.</w:t>
      </w:r>
      <w:hyperlink r:id="rId38">
        <w:r w:rsidRPr="001328D5">
          <w:rPr>
            <w:rFonts w:ascii="Arial" w:eastAsia="Arial" w:hAnsi="Arial" w:cs="Arial"/>
            <w:sz w:val="22"/>
          </w:rPr>
          <w:t xml:space="preserve"> </w:t>
        </w:r>
      </w:hyperlink>
      <w:hyperlink r:id="rId39">
        <w:r w:rsidRPr="001328D5">
          <w:rPr>
            <w:rFonts w:ascii="Arial" w:eastAsia="Arial" w:hAnsi="Arial" w:cs="Arial"/>
            <w:color w:val="1155CC"/>
            <w:sz w:val="22"/>
            <w:u w:val="single"/>
          </w:rPr>
          <w:t>https://doi.org/10.1007/s10639-024-12682-3</w:t>
        </w:r>
      </w:hyperlink>
    </w:p>
    <w:p w14:paraId="7A822863"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Mian</w:t>
      </w:r>
      <w:proofErr w:type="spellEnd"/>
      <w:r w:rsidRPr="001328D5">
        <w:rPr>
          <w:rFonts w:ascii="Arial" w:eastAsia="Arial" w:hAnsi="Arial" w:cs="Arial"/>
          <w:sz w:val="22"/>
        </w:rPr>
        <w:t xml:space="preserve">, Y., Khalid, F., </w:t>
      </w:r>
      <w:proofErr w:type="spellStart"/>
      <w:r w:rsidRPr="001328D5">
        <w:rPr>
          <w:rFonts w:ascii="Arial" w:eastAsia="Arial" w:hAnsi="Arial" w:cs="Arial"/>
          <w:sz w:val="22"/>
        </w:rPr>
        <w:t>Qun</w:t>
      </w:r>
      <w:proofErr w:type="spellEnd"/>
      <w:r w:rsidRPr="001328D5">
        <w:rPr>
          <w:rFonts w:ascii="Arial" w:eastAsia="Arial" w:hAnsi="Arial" w:cs="Arial"/>
          <w:sz w:val="22"/>
        </w:rPr>
        <w:t>, A., &amp; Ismail, S. (2022). Learning analytics in education: Advantages and issues. Creative Education, 13(9), 2913–2920.</w:t>
      </w:r>
      <w:hyperlink r:id="rId40">
        <w:r w:rsidRPr="001328D5">
          <w:rPr>
            <w:rFonts w:ascii="Arial" w:eastAsia="Arial" w:hAnsi="Arial" w:cs="Arial"/>
            <w:sz w:val="22"/>
          </w:rPr>
          <w:t xml:space="preserve"> </w:t>
        </w:r>
      </w:hyperlink>
      <w:hyperlink r:id="rId41">
        <w:r w:rsidRPr="001328D5">
          <w:rPr>
            <w:rFonts w:ascii="Arial" w:eastAsia="Arial" w:hAnsi="Arial" w:cs="Arial"/>
            <w:color w:val="1155CC"/>
            <w:sz w:val="22"/>
            <w:u w:val="single"/>
          </w:rPr>
          <w:t>https://doi.org/10.4236/ce.2022.139183</w:t>
        </w:r>
      </w:hyperlink>
    </w:p>
    <w:p w14:paraId="6E54559F" w14:textId="4BED3EE4" w:rsidR="007B5D84"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Mohseni</w:t>
      </w:r>
      <w:proofErr w:type="spellEnd"/>
      <w:r w:rsidRPr="001328D5">
        <w:rPr>
          <w:rFonts w:ascii="Arial" w:eastAsia="Arial" w:hAnsi="Arial" w:cs="Arial"/>
          <w:sz w:val="22"/>
        </w:rPr>
        <w:t xml:space="preserve">, Z., </w:t>
      </w:r>
      <w:proofErr w:type="spellStart"/>
      <w:r w:rsidRPr="001328D5">
        <w:rPr>
          <w:rFonts w:ascii="Arial" w:eastAsia="Arial" w:hAnsi="Arial" w:cs="Arial"/>
          <w:sz w:val="22"/>
        </w:rPr>
        <w:t>Masiello</w:t>
      </w:r>
      <w:proofErr w:type="spellEnd"/>
      <w:r w:rsidRPr="001328D5">
        <w:rPr>
          <w:rFonts w:ascii="Arial" w:eastAsia="Arial" w:hAnsi="Arial" w:cs="Arial"/>
          <w:sz w:val="22"/>
        </w:rPr>
        <w:t xml:space="preserve">, I., Martins, R. M., &amp; </w:t>
      </w:r>
      <w:proofErr w:type="spellStart"/>
      <w:r w:rsidRPr="001328D5">
        <w:rPr>
          <w:rFonts w:ascii="Arial" w:eastAsia="Arial" w:hAnsi="Arial" w:cs="Arial"/>
          <w:sz w:val="22"/>
        </w:rPr>
        <w:t>Nordmark</w:t>
      </w:r>
      <w:proofErr w:type="spellEnd"/>
      <w:r w:rsidRPr="001328D5">
        <w:rPr>
          <w:rFonts w:ascii="Arial" w:eastAsia="Arial" w:hAnsi="Arial" w:cs="Arial"/>
          <w:sz w:val="22"/>
        </w:rPr>
        <w:t>, S. (2024). Visual learning analytics for educational interventions in primary and secondary schools: A scoping review. Journal of Learning Analytics, 11(1).</w:t>
      </w:r>
      <w:hyperlink r:id="rId42">
        <w:r w:rsidRPr="001328D5">
          <w:rPr>
            <w:rFonts w:ascii="Arial" w:eastAsia="Arial" w:hAnsi="Arial" w:cs="Arial"/>
            <w:sz w:val="22"/>
          </w:rPr>
          <w:t xml:space="preserve"> </w:t>
        </w:r>
      </w:hyperlink>
      <w:hyperlink r:id="rId43">
        <w:r w:rsidRPr="001328D5">
          <w:rPr>
            <w:rFonts w:ascii="Arial" w:eastAsia="Arial" w:hAnsi="Arial" w:cs="Arial"/>
            <w:color w:val="1155CC"/>
            <w:sz w:val="22"/>
            <w:u w:val="single"/>
          </w:rPr>
          <w:t>https://learning-analytics.info/index.php/JLA/article/view/8309</w:t>
        </w:r>
      </w:hyperlink>
    </w:p>
    <w:p w14:paraId="67928113" w14:textId="104A3D6F" w:rsidR="00E14916" w:rsidRPr="00E14916" w:rsidRDefault="00E14916">
      <w:pPr>
        <w:spacing w:before="240" w:after="240" w:line="240" w:lineRule="auto"/>
        <w:rPr>
          <w:rFonts w:ascii="Arial" w:eastAsia="Arial" w:hAnsi="Arial" w:cs="Arial"/>
          <w:color w:val="1155CC"/>
          <w:sz w:val="20"/>
          <w:u w:val="single"/>
        </w:rPr>
      </w:pPr>
      <w:r w:rsidRPr="00E14916">
        <w:rPr>
          <w:rFonts w:ascii="Arial" w:hAnsi="Arial" w:cs="Arial"/>
          <w:sz w:val="22"/>
        </w:rPr>
        <w:t xml:space="preserve">Mordor Intelligence. (2025). </w:t>
      </w:r>
      <w:r w:rsidRPr="00E14916">
        <w:rPr>
          <w:rStyle w:val="Emphasis"/>
          <w:rFonts w:ascii="Arial" w:hAnsi="Arial" w:cs="Arial"/>
          <w:sz w:val="22"/>
        </w:rPr>
        <w:t>Virtual, augmented, and mixed reality market report (2025–2030).</w:t>
      </w:r>
      <w:r w:rsidRPr="00E14916">
        <w:rPr>
          <w:rFonts w:ascii="Arial" w:hAnsi="Arial" w:cs="Arial"/>
          <w:sz w:val="22"/>
        </w:rPr>
        <w:t xml:space="preserve"> Retrieved October 2025, from </w:t>
      </w:r>
      <w:hyperlink r:id="rId44" w:history="1">
        <w:r w:rsidRPr="001848A1">
          <w:rPr>
            <w:rStyle w:val="Hyperlink"/>
            <w:rFonts w:ascii="Arial" w:hAnsi="Arial" w:cs="Arial"/>
            <w:sz w:val="22"/>
          </w:rPr>
          <w:t>https://www.mordorintelligence.com/industry-reports/virtual-augmented-and-mixed-reality-market</w:t>
        </w:r>
      </w:hyperlink>
      <w:r>
        <w:rPr>
          <w:rFonts w:ascii="Arial" w:eastAsia="Arial" w:hAnsi="Arial" w:cs="Arial"/>
          <w:color w:val="1155CC"/>
          <w:sz w:val="20"/>
          <w:u w:val="single"/>
        </w:rPr>
        <w:t xml:space="preserve"> </w:t>
      </w:r>
    </w:p>
    <w:p w14:paraId="3465B81D" w14:textId="77777777" w:rsidR="009401B3" w:rsidRPr="009401B3" w:rsidRDefault="009401B3">
      <w:pPr>
        <w:spacing w:before="240" w:after="240" w:line="240" w:lineRule="auto"/>
        <w:rPr>
          <w:rFonts w:ascii="Arial" w:eastAsia="Arial" w:hAnsi="Arial" w:cs="Arial"/>
          <w:color w:val="1155CC"/>
          <w:sz w:val="20"/>
          <w:u w:val="single"/>
        </w:rPr>
      </w:pPr>
      <w:proofErr w:type="spellStart"/>
      <w:r w:rsidRPr="009401B3">
        <w:rPr>
          <w:rFonts w:ascii="Arial" w:hAnsi="Arial" w:cs="Arial"/>
          <w:sz w:val="22"/>
        </w:rPr>
        <w:t>Mubin</w:t>
      </w:r>
      <w:proofErr w:type="spellEnd"/>
      <w:r w:rsidRPr="009401B3">
        <w:rPr>
          <w:rFonts w:ascii="Arial" w:hAnsi="Arial" w:cs="Arial"/>
          <w:sz w:val="22"/>
        </w:rPr>
        <w:t xml:space="preserve">, S. A. (2024). Advancing immersive education through XR Studio at Asia Pacific University. </w:t>
      </w:r>
      <w:r w:rsidRPr="009401B3">
        <w:rPr>
          <w:rStyle w:val="Emphasis"/>
          <w:rFonts w:ascii="Arial" w:hAnsi="Arial" w:cs="Arial"/>
          <w:sz w:val="22"/>
        </w:rPr>
        <w:t>Journal of Emerging Educational Technologies in Malaysia</w:t>
      </w:r>
      <w:r w:rsidRPr="009401B3">
        <w:rPr>
          <w:rFonts w:ascii="Arial" w:hAnsi="Arial" w:cs="Arial"/>
          <w:sz w:val="22"/>
        </w:rPr>
        <w:t xml:space="preserve">, 8(1), 33–40. Asia Pacific University. </w:t>
      </w:r>
      <w:hyperlink r:id="rId45" w:tgtFrame="_new" w:history="1">
        <w:r w:rsidRPr="009401B3">
          <w:rPr>
            <w:rStyle w:val="Hyperlink"/>
            <w:rFonts w:ascii="Arial" w:hAnsi="Arial" w:cs="Arial"/>
            <w:color w:val="0070C0"/>
            <w:sz w:val="22"/>
          </w:rPr>
          <w:t>https://www.apu.edu.my/news/apus-xr-studio-unveils-advanced-immersive-tech-ecosystem</w:t>
        </w:r>
      </w:hyperlink>
    </w:p>
    <w:p w14:paraId="3D54F40C" w14:textId="77777777" w:rsidR="007B5D84" w:rsidRPr="001328D5" w:rsidRDefault="00F86D4E">
      <w:pPr>
        <w:pBdr>
          <w:top w:val="none" w:sz="0" w:space="0" w:color="E5E5E5"/>
          <w:left w:val="none" w:sz="0" w:space="0" w:color="E5E5E5"/>
          <w:bottom w:val="none" w:sz="0" w:space="0" w:color="E5E5E5"/>
          <w:right w:val="none" w:sz="0" w:space="0" w:color="E5E5E5"/>
          <w:between w:val="none" w:sz="0" w:space="0" w:color="E5E5E5"/>
        </w:pBdr>
        <w:spacing w:before="240" w:after="240" w:line="240" w:lineRule="auto"/>
        <w:rPr>
          <w:rFonts w:ascii="Arial" w:eastAsia="Arial" w:hAnsi="Arial" w:cs="Arial"/>
          <w:color w:val="0000FF"/>
          <w:sz w:val="22"/>
          <w:u w:val="single"/>
        </w:rPr>
      </w:pPr>
      <w:proofErr w:type="spellStart"/>
      <w:r w:rsidRPr="001328D5">
        <w:rPr>
          <w:rFonts w:ascii="Arial" w:eastAsia="Arial" w:hAnsi="Arial" w:cs="Arial"/>
          <w:sz w:val="22"/>
        </w:rPr>
        <w:t>Muzata</w:t>
      </w:r>
      <w:proofErr w:type="spellEnd"/>
      <w:r w:rsidRPr="001328D5">
        <w:rPr>
          <w:rFonts w:ascii="Arial" w:eastAsia="Arial" w:hAnsi="Arial" w:cs="Arial"/>
          <w:sz w:val="22"/>
        </w:rPr>
        <w:t xml:space="preserve">, A. R., Singh, G., </w:t>
      </w:r>
      <w:proofErr w:type="spellStart"/>
      <w:r w:rsidRPr="001328D5">
        <w:rPr>
          <w:rFonts w:ascii="Arial" w:eastAsia="Arial" w:hAnsi="Arial" w:cs="Arial"/>
          <w:sz w:val="22"/>
        </w:rPr>
        <w:t>Stepanov</w:t>
      </w:r>
      <w:proofErr w:type="spellEnd"/>
      <w:r w:rsidRPr="001328D5">
        <w:rPr>
          <w:rFonts w:ascii="Arial" w:eastAsia="Arial" w:hAnsi="Arial" w:cs="Arial"/>
          <w:sz w:val="22"/>
        </w:rPr>
        <w:t xml:space="preserve">, M. S., &amp; Musonda, I. (2024). Immersive learning: A systematic literature review on transforming engineering education through virtual reality. </w:t>
      </w:r>
      <w:r w:rsidRPr="00D85C16">
        <w:rPr>
          <w:rFonts w:ascii="Arial" w:eastAsia="Arial" w:hAnsi="Arial" w:cs="Arial"/>
          <w:sz w:val="22"/>
        </w:rPr>
        <w:t>Virtual Worlds</w:t>
      </w:r>
      <w:r w:rsidRPr="001328D5">
        <w:rPr>
          <w:rFonts w:ascii="Arial" w:eastAsia="Arial" w:hAnsi="Arial" w:cs="Arial"/>
          <w:sz w:val="22"/>
        </w:rPr>
        <w:t xml:space="preserve">, 3(4), 480–505. </w:t>
      </w:r>
      <w:r w:rsidRPr="001328D5">
        <w:rPr>
          <w:rFonts w:ascii="Arial" w:eastAsia="Arial" w:hAnsi="Arial" w:cs="Arial"/>
          <w:color w:val="0000FF"/>
          <w:sz w:val="22"/>
          <w:u w:val="single"/>
        </w:rPr>
        <w:t>https://doi.org/10.3390/virtualworlds3040026</w:t>
      </w:r>
    </w:p>
    <w:p w14:paraId="7F233D15" w14:textId="77777777" w:rsidR="007B5D84" w:rsidRDefault="00F86D4E">
      <w:pPr>
        <w:spacing w:before="240" w:after="240" w:line="240" w:lineRule="auto"/>
        <w:rPr>
          <w:rFonts w:ascii="Arial" w:eastAsia="Arial" w:hAnsi="Arial" w:cs="Arial"/>
          <w:color w:val="1155CC"/>
          <w:sz w:val="22"/>
          <w:u w:val="single"/>
        </w:rPr>
      </w:pPr>
      <w:r w:rsidRPr="001328D5">
        <w:rPr>
          <w:rFonts w:ascii="Arial" w:eastAsia="Arial" w:hAnsi="Arial" w:cs="Arial"/>
          <w:sz w:val="22"/>
        </w:rPr>
        <w:t>Nguyen, T., Pham, H., &amp; Lee, J. (2024). Virtual reality training for teacher professional development: A systematic review. Teaching and Teacher Education, 124, 103115.</w:t>
      </w:r>
      <w:hyperlink r:id="rId46">
        <w:r w:rsidRPr="001328D5">
          <w:rPr>
            <w:rFonts w:ascii="Arial" w:eastAsia="Arial" w:hAnsi="Arial" w:cs="Arial"/>
            <w:sz w:val="22"/>
          </w:rPr>
          <w:t xml:space="preserve"> </w:t>
        </w:r>
      </w:hyperlink>
      <w:hyperlink r:id="rId47">
        <w:r w:rsidRPr="001328D5">
          <w:rPr>
            <w:rFonts w:ascii="Arial" w:eastAsia="Arial" w:hAnsi="Arial" w:cs="Arial"/>
            <w:color w:val="1155CC"/>
            <w:sz w:val="22"/>
            <w:u w:val="single"/>
          </w:rPr>
          <w:t>https://doi.org/10.1016/j.tate.2023.103115</w:t>
        </w:r>
      </w:hyperlink>
    </w:p>
    <w:p w14:paraId="05EB4ED6"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xml:space="preserve">, S. O., </w:t>
      </w:r>
      <w:proofErr w:type="spellStart"/>
      <w:r w:rsidRPr="001328D5">
        <w:rPr>
          <w:rFonts w:ascii="Arial" w:eastAsia="Arial" w:hAnsi="Arial" w:cs="Arial"/>
          <w:sz w:val="22"/>
        </w:rPr>
        <w:t>Omieno</w:t>
      </w:r>
      <w:proofErr w:type="spellEnd"/>
      <w:r w:rsidRPr="001328D5">
        <w:rPr>
          <w:rFonts w:ascii="Arial" w:eastAsia="Arial" w:hAnsi="Arial" w:cs="Arial"/>
          <w:sz w:val="22"/>
        </w:rPr>
        <w:t xml:space="preserve">, K. K., &amp; </w:t>
      </w:r>
      <w:proofErr w:type="spellStart"/>
      <w:r w:rsidRPr="001328D5">
        <w:rPr>
          <w:rFonts w:ascii="Arial" w:eastAsia="Arial" w:hAnsi="Arial" w:cs="Arial"/>
          <w:sz w:val="22"/>
        </w:rPr>
        <w:t>Lyanda</w:t>
      </w:r>
      <w:proofErr w:type="spellEnd"/>
      <w:r w:rsidRPr="001328D5">
        <w:rPr>
          <w:rFonts w:ascii="Arial" w:eastAsia="Arial" w:hAnsi="Arial" w:cs="Arial"/>
          <w:sz w:val="22"/>
        </w:rPr>
        <w:t>, J. N. (2024). Exploring the potential of immersive technologies to enhance online learning experiences and engagement: A systematic literature review. International Journal of Innovative Science and Research Technology, 9(9).</w:t>
      </w:r>
      <w:hyperlink r:id="rId48">
        <w:r w:rsidRPr="001328D5">
          <w:rPr>
            <w:rFonts w:ascii="Arial" w:eastAsia="Arial" w:hAnsi="Arial" w:cs="Arial"/>
            <w:sz w:val="22"/>
          </w:rPr>
          <w:t xml:space="preserve"> </w:t>
        </w:r>
      </w:hyperlink>
      <w:hyperlink r:id="rId49">
        <w:r w:rsidRPr="001328D5">
          <w:rPr>
            <w:rFonts w:ascii="Arial" w:eastAsia="Arial" w:hAnsi="Arial" w:cs="Arial"/>
            <w:color w:val="1155CC"/>
            <w:sz w:val="22"/>
            <w:u w:val="single"/>
          </w:rPr>
          <w:t>https://doi.org/10.38124/ijisrt/IJISRT24SEP1144</w:t>
        </w:r>
      </w:hyperlink>
    </w:p>
    <w:p w14:paraId="2F3C1321" w14:textId="77777777" w:rsidR="007B5D84"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Owidi</w:t>
      </w:r>
      <w:proofErr w:type="spellEnd"/>
      <w:r w:rsidRPr="001328D5">
        <w:rPr>
          <w:rFonts w:ascii="Arial" w:eastAsia="Arial" w:hAnsi="Arial" w:cs="Arial"/>
          <w:sz w:val="22"/>
        </w:rPr>
        <w:t xml:space="preserve">, S., </w:t>
      </w:r>
      <w:proofErr w:type="spellStart"/>
      <w:r w:rsidRPr="001328D5">
        <w:rPr>
          <w:rFonts w:ascii="Arial" w:eastAsia="Arial" w:hAnsi="Arial" w:cs="Arial"/>
          <w:sz w:val="22"/>
        </w:rPr>
        <w:t>Chege</w:t>
      </w:r>
      <w:proofErr w:type="spellEnd"/>
      <w:r w:rsidRPr="001328D5">
        <w:rPr>
          <w:rFonts w:ascii="Arial" w:eastAsia="Arial" w:hAnsi="Arial" w:cs="Arial"/>
          <w:sz w:val="22"/>
        </w:rPr>
        <w:t xml:space="preserve">, N., &amp; </w:t>
      </w:r>
      <w:proofErr w:type="spellStart"/>
      <w:r w:rsidRPr="001328D5">
        <w:rPr>
          <w:rFonts w:ascii="Arial" w:eastAsia="Arial" w:hAnsi="Arial" w:cs="Arial"/>
          <w:sz w:val="22"/>
        </w:rPr>
        <w:t>Mutiso</w:t>
      </w:r>
      <w:proofErr w:type="spellEnd"/>
      <w:r w:rsidRPr="001328D5">
        <w:rPr>
          <w:rFonts w:ascii="Arial" w:eastAsia="Arial" w:hAnsi="Arial" w:cs="Arial"/>
          <w:sz w:val="22"/>
        </w:rPr>
        <w:t>, P. (2024). Exploring immersive technologies for knowledge transfer in higher education. International Journal of Educational Technology in Higher Education, 21(1), 45–62.</w:t>
      </w:r>
      <w:hyperlink r:id="rId50">
        <w:r w:rsidRPr="001328D5">
          <w:rPr>
            <w:rFonts w:ascii="Arial" w:eastAsia="Arial" w:hAnsi="Arial" w:cs="Arial"/>
            <w:sz w:val="22"/>
          </w:rPr>
          <w:t xml:space="preserve"> </w:t>
        </w:r>
      </w:hyperlink>
      <w:hyperlink r:id="rId51">
        <w:r w:rsidRPr="001328D5">
          <w:rPr>
            <w:rFonts w:ascii="Arial" w:eastAsia="Arial" w:hAnsi="Arial" w:cs="Arial"/>
            <w:color w:val="1155CC"/>
            <w:sz w:val="22"/>
            <w:u w:val="single"/>
          </w:rPr>
          <w:t>https://doi.org/10.1186/s41239-024-00456-y</w:t>
        </w:r>
      </w:hyperlink>
    </w:p>
    <w:p w14:paraId="2EB692FC" w14:textId="77777777" w:rsidR="00BB6FE2" w:rsidRPr="00BB6FE2" w:rsidRDefault="00BB6FE2">
      <w:pPr>
        <w:spacing w:before="240" w:after="240" w:line="240" w:lineRule="auto"/>
        <w:rPr>
          <w:rFonts w:ascii="Arial" w:eastAsia="Arial" w:hAnsi="Arial" w:cs="Arial"/>
          <w:color w:val="0070C0"/>
          <w:sz w:val="20"/>
          <w:u w:val="single"/>
        </w:rPr>
      </w:pPr>
      <w:r w:rsidRPr="009F7808">
        <w:rPr>
          <w:rFonts w:ascii="Arial" w:hAnsi="Arial" w:cs="Arial"/>
          <w:sz w:val="22"/>
        </w:rPr>
        <w:t xml:space="preserve">Pang, D. C. G., Devi, S., Wong, D., Cai, Y., &amp; Aung Ba, R. K. T. (2023). The use of immersive virtual reality technology to deepen learning in Singapore schools. In Y. Cai (Ed.), </w:t>
      </w:r>
      <w:r w:rsidRPr="009F7808">
        <w:rPr>
          <w:rStyle w:val="Emphasis"/>
          <w:rFonts w:ascii="Arial" w:hAnsi="Arial" w:cs="Arial"/>
          <w:sz w:val="22"/>
        </w:rPr>
        <w:t>Virtual and Augmented Reality, Simulation and Serious Games for Education</w:t>
      </w:r>
      <w:r w:rsidRPr="009F7808">
        <w:rPr>
          <w:rFonts w:ascii="Arial" w:hAnsi="Arial" w:cs="Arial"/>
          <w:sz w:val="22"/>
        </w:rPr>
        <w:t xml:space="preserve"> (pp. 45–59). Springer. </w:t>
      </w:r>
      <w:r w:rsidRPr="006B095C">
        <w:rPr>
          <w:rFonts w:ascii="Arial" w:hAnsi="Arial" w:cs="Arial"/>
          <w:color w:val="0070C0"/>
          <w:sz w:val="22"/>
          <w:u w:val="single"/>
        </w:rPr>
        <w:t>https://doi.org/10.1007/978-981-16-1361-6_5</w:t>
      </w:r>
    </w:p>
    <w:p w14:paraId="2D3197A7"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Paolucci</w:t>
      </w:r>
      <w:proofErr w:type="spellEnd"/>
      <w:r w:rsidRPr="001328D5">
        <w:rPr>
          <w:rFonts w:ascii="Arial" w:eastAsia="Arial" w:hAnsi="Arial" w:cs="Arial"/>
          <w:sz w:val="22"/>
        </w:rPr>
        <w:t xml:space="preserve">, C., </w:t>
      </w:r>
      <w:proofErr w:type="spellStart"/>
      <w:r w:rsidRPr="001328D5">
        <w:rPr>
          <w:rFonts w:ascii="Arial" w:eastAsia="Arial" w:hAnsi="Arial" w:cs="Arial"/>
          <w:sz w:val="22"/>
        </w:rPr>
        <w:t>Vancini</w:t>
      </w:r>
      <w:proofErr w:type="spellEnd"/>
      <w:r w:rsidRPr="001328D5">
        <w:rPr>
          <w:rFonts w:ascii="Arial" w:eastAsia="Arial" w:hAnsi="Arial" w:cs="Arial"/>
          <w:sz w:val="22"/>
        </w:rPr>
        <w:t xml:space="preserve">, S., Bex, R. T., Cavanaugh, C., Salama, C., &amp; de Araujo, Z. (2024). A review of learning analytics opportunities and challenges for K–12 education. </w:t>
      </w:r>
      <w:proofErr w:type="spellStart"/>
      <w:r w:rsidRPr="001328D5">
        <w:rPr>
          <w:rFonts w:ascii="Arial" w:eastAsia="Arial" w:hAnsi="Arial" w:cs="Arial"/>
          <w:sz w:val="22"/>
        </w:rPr>
        <w:t>Heliyon</w:t>
      </w:r>
      <w:proofErr w:type="spellEnd"/>
      <w:r w:rsidRPr="001328D5">
        <w:rPr>
          <w:rFonts w:ascii="Arial" w:eastAsia="Arial" w:hAnsi="Arial" w:cs="Arial"/>
          <w:sz w:val="22"/>
        </w:rPr>
        <w:t>, 10(4), e25767.</w:t>
      </w:r>
      <w:hyperlink r:id="rId52">
        <w:r w:rsidRPr="001328D5">
          <w:rPr>
            <w:rFonts w:ascii="Arial" w:eastAsia="Arial" w:hAnsi="Arial" w:cs="Arial"/>
            <w:sz w:val="22"/>
          </w:rPr>
          <w:t xml:space="preserve"> </w:t>
        </w:r>
      </w:hyperlink>
      <w:hyperlink r:id="rId53">
        <w:r w:rsidRPr="001328D5">
          <w:rPr>
            <w:rFonts w:ascii="Arial" w:eastAsia="Arial" w:hAnsi="Arial" w:cs="Arial"/>
            <w:color w:val="1155CC"/>
            <w:sz w:val="22"/>
            <w:u w:val="single"/>
          </w:rPr>
          <w:t>https://doi.org/10.1016/j.heliyon.2024.e25767</w:t>
        </w:r>
      </w:hyperlink>
    </w:p>
    <w:p w14:paraId="6293ADCB" w14:textId="77777777" w:rsidR="007B5D84" w:rsidRPr="001328D5" w:rsidRDefault="00F86D4E">
      <w:pPr>
        <w:spacing w:before="240" w:after="240" w:line="240" w:lineRule="auto"/>
        <w:rPr>
          <w:rFonts w:ascii="Arial" w:eastAsia="Arial" w:hAnsi="Arial" w:cs="Arial"/>
          <w:color w:val="0000FF"/>
          <w:sz w:val="22"/>
          <w:u w:val="single"/>
        </w:rPr>
      </w:pPr>
      <w:proofErr w:type="spellStart"/>
      <w:r w:rsidRPr="001328D5">
        <w:rPr>
          <w:rFonts w:ascii="Arial" w:eastAsia="Arial" w:hAnsi="Arial" w:cs="Arial"/>
          <w:sz w:val="22"/>
        </w:rPr>
        <w:lastRenderedPageBreak/>
        <w:t>Radianti</w:t>
      </w:r>
      <w:proofErr w:type="spellEnd"/>
      <w:r w:rsidRPr="001328D5">
        <w:rPr>
          <w:rFonts w:ascii="Arial" w:eastAsia="Arial" w:hAnsi="Arial" w:cs="Arial"/>
          <w:sz w:val="22"/>
        </w:rPr>
        <w:t xml:space="preserve">, J., </w:t>
      </w:r>
      <w:proofErr w:type="spellStart"/>
      <w:r w:rsidRPr="001328D5">
        <w:rPr>
          <w:rFonts w:ascii="Arial" w:eastAsia="Arial" w:hAnsi="Arial" w:cs="Arial"/>
          <w:sz w:val="22"/>
        </w:rPr>
        <w:t>Solås</w:t>
      </w:r>
      <w:proofErr w:type="spellEnd"/>
      <w:r w:rsidRPr="001328D5">
        <w:rPr>
          <w:rFonts w:ascii="Arial" w:eastAsia="Arial" w:hAnsi="Arial" w:cs="Arial"/>
          <w:sz w:val="22"/>
        </w:rPr>
        <w:t xml:space="preserve">, E. C., </w:t>
      </w:r>
      <w:proofErr w:type="spellStart"/>
      <w:r w:rsidRPr="001328D5">
        <w:rPr>
          <w:rFonts w:ascii="Arial" w:eastAsia="Arial" w:hAnsi="Arial" w:cs="Arial"/>
          <w:sz w:val="22"/>
        </w:rPr>
        <w:t>Tektona</w:t>
      </w:r>
      <w:proofErr w:type="spellEnd"/>
      <w:r w:rsidRPr="001328D5">
        <w:rPr>
          <w:rFonts w:ascii="Arial" w:eastAsia="Arial" w:hAnsi="Arial" w:cs="Arial"/>
          <w:sz w:val="22"/>
        </w:rPr>
        <w:t xml:space="preserve">, I., &amp; </w:t>
      </w:r>
      <w:proofErr w:type="spellStart"/>
      <w:r w:rsidRPr="001328D5">
        <w:rPr>
          <w:rFonts w:ascii="Arial" w:eastAsia="Arial" w:hAnsi="Arial" w:cs="Arial"/>
          <w:sz w:val="22"/>
        </w:rPr>
        <w:t>Ahlberg</w:t>
      </w:r>
      <w:proofErr w:type="spellEnd"/>
      <w:r w:rsidRPr="001328D5">
        <w:rPr>
          <w:rFonts w:ascii="Arial" w:eastAsia="Arial" w:hAnsi="Arial" w:cs="Arial"/>
          <w:sz w:val="22"/>
        </w:rPr>
        <w:t>, M. (2020). A systematic review of immersive virtual reality applications for higher education: Design elements, lessons learned, and research agenda. Computers &amp; Education, 147, 103778.</w:t>
      </w:r>
      <w:hyperlink r:id="rId54">
        <w:r w:rsidRPr="001328D5">
          <w:rPr>
            <w:rFonts w:ascii="Arial" w:eastAsia="Arial" w:hAnsi="Arial" w:cs="Arial"/>
            <w:sz w:val="22"/>
          </w:rPr>
          <w:t xml:space="preserve"> </w:t>
        </w:r>
      </w:hyperlink>
      <w:hyperlink r:id="rId55">
        <w:r w:rsidRPr="001328D5">
          <w:rPr>
            <w:rFonts w:ascii="Arial" w:eastAsia="Arial" w:hAnsi="Arial" w:cs="Arial"/>
            <w:color w:val="0000FF"/>
            <w:sz w:val="22"/>
            <w:u w:val="single"/>
          </w:rPr>
          <w:t>https://doi.org/10.1016/j.compedu.2019.103778</w:t>
        </w:r>
      </w:hyperlink>
    </w:p>
    <w:p w14:paraId="567F3390" w14:textId="77777777" w:rsidR="007B5D84" w:rsidRPr="001328D5" w:rsidRDefault="00F86D4E">
      <w:pPr>
        <w:spacing w:before="240" w:after="240" w:line="240" w:lineRule="auto"/>
        <w:rPr>
          <w:rFonts w:ascii="Arial" w:eastAsia="Arial" w:hAnsi="Arial" w:cs="Arial"/>
          <w:color w:val="1155CC"/>
          <w:sz w:val="22"/>
          <w:u w:val="single"/>
        </w:rPr>
      </w:pPr>
      <w:proofErr w:type="spellStart"/>
      <w:r w:rsidRPr="001328D5">
        <w:rPr>
          <w:rFonts w:ascii="Arial" w:eastAsia="Arial" w:hAnsi="Arial" w:cs="Arial"/>
          <w:sz w:val="22"/>
        </w:rPr>
        <w:t>Radianti</w:t>
      </w:r>
      <w:proofErr w:type="spellEnd"/>
      <w:r w:rsidRPr="001328D5">
        <w:rPr>
          <w:rFonts w:ascii="Arial" w:eastAsia="Arial" w:hAnsi="Arial" w:cs="Arial"/>
          <w:sz w:val="22"/>
        </w:rPr>
        <w:t xml:space="preserve">, J., Majchrzak, T. A., Fromm, J., &amp; </w:t>
      </w:r>
      <w:proofErr w:type="spellStart"/>
      <w:r w:rsidRPr="001328D5">
        <w:rPr>
          <w:rFonts w:ascii="Arial" w:eastAsia="Arial" w:hAnsi="Arial" w:cs="Arial"/>
          <w:sz w:val="22"/>
        </w:rPr>
        <w:t>Wohlgenannt</w:t>
      </w:r>
      <w:proofErr w:type="spellEnd"/>
      <w:r w:rsidRPr="001328D5">
        <w:rPr>
          <w:rFonts w:ascii="Arial" w:eastAsia="Arial" w:hAnsi="Arial" w:cs="Arial"/>
          <w:sz w:val="22"/>
        </w:rPr>
        <w:t>, I. (2020). A systematic review of immersive virtual reality applications for higher education: Design elements, lessons learned, and research agenda. Computers &amp; Education, 147, 103778.</w:t>
      </w:r>
      <w:hyperlink r:id="rId56">
        <w:r w:rsidRPr="001328D5">
          <w:rPr>
            <w:rFonts w:ascii="Arial" w:eastAsia="Arial" w:hAnsi="Arial" w:cs="Arial"/>
            <w:sz w:val="22"/>
          </w:rPr>
          <w:t xml:space="preserve"> </w:t>
        </w:r>
      </w:hyperlink>
      <w:hyperlink r:id="rId57">
        <w:r w:rsidRPr="001328D5">
          <w:rPr>
            <w:rFonts w:ascii="Arial" w:eastAsia="Arial" w:hAnsi="Arial" w:cs="Arial"/>
            <w:color w:val="1155CC"/>
            <w:sz w:val="22"/>
            <w:u w:val="single"/>
          </w:rPr>
          <w:t>https://doi.org/10.1016/j.compedu.2019.103778</w:t>
        </w:r>
      </w:hyperlink>
    </w:p>
    <w:p w14:paraId="68EA0DF3"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A., &amp; Santos, P. (2020). Linking immersive learning to the MATATAG framework. Journal of Curriculum Studies, 52(3), 210–225.</w:t>
      </w:r>
    </w:p>
    <w:p w14:paraId="76262008" w14:textId="77777777" w:rsidR="007B5D84" w:rsidRPr="001328D5" w:rsidRDefault="00F86D4E">
      <w:pPr>
        <w:spacing w:before="240" w:after="240" w:line="240" w:lineRule="auto"/>
        <w:rPr>
          <w:rFonts w:ascii="Arial" w:eastAsia="Arial" w:hAnsi="Arial" w:cs="Arial"/>
          <w:sz w:val="22"/>
        </w:rPr>
      </w:pPr>
      <w:r w:rsidRPr="001328D5">
        <w:rPr>
          <w:rFonts w:ascii="Arial" w:eastAsia="Arial" w:hAnsi="Arial" w:cs="Arial"/>
          <w:sz w:val="22"/>
        </w:rPr>
        <w:t>Ramos, C., &amp; Santos, R. (2020). Integrating immersive technology in Philippine education: Challenges and opportunities. Philippine Journal of Education, 93(1), 112–128.</w:t>
      </w:r>
    </w:p>
    <w:p w14:paraId="2FA7BD4E" w14:textId="77777777" w:rsidR="007B5D84" w:rsidRPr="001328D5" w:rsidRDefault="007B5D84">
      <w:pPr>
        <w:spacing w:before="240" w:after="240" w:line="240" w:lineRule="auto"/>
        <w:rPr>
          <w:rFonts w:ascii="Arial" w:eastAsia="Arial" w:hAnsi="Arial" w:cs="Arial"/>
          <w:sz w:val="22"/>
        </w:rPr>
      </w:pPr>
    </w:p>
    <w:p w14:paraId="5116307A" w14:textId="77777777" w:rsidR="007B5D84" w:rsidRPr="001328D5" w:rsidRDefault="007B5D84">
      <w:pPr>
        <w:spacing w:before="240" w:after="240" w:line="240" w:lineRule="auto"/>
        <w:rPr>
          <w:rFonts w:ascii="Arial" w:eastAsia="Arial" w:hAnsi="Arial" w:cs="Arial"/>
        </w:rPr>
      </w:pPr>
    </w:p>
    <w:p w14:paraId="71B71024" w14:textId="320642BF" w:rsidR="007B5D84" w:rsidRPr="001328D5" w:rsidRDefault="007B5D84">
      <w:pPr>
        <w:spacing w:line="240" w:lineRule="auto"/>
        <w:rPr>
          <w:rFonts w:ascii="Arial" w:eastAsia="Arial" w:hAnsi="Arial" w:cs="Arial"/>
        </w:rPr>
      </w:pPr>
    </w:p>
    <w:sectPr w:rsidR="007B5D84" w:rsidRPr="001328D5" w:rsidSect="005117A2">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67BA" w14:textId="77777777" w:rsidR="00BE2F06" w:rsidRDefault="00BE2F06">
      <w:pPr>
        <w:spacing w:after="0" w:line="240" w:lineRule="auto"/>
      </w:pPr>
      <w:r>
        <w:separator/>
      </w:r>
    </w:p>
  </w:endnote>
  <w:endnote w:type="continuationSeparator" w:id="0">
    <w:p w14:paraId="6A2712D0" w14:textId="77777777" w:rsidR="00BE2F06" w:rsidRDefault="00BE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6B63" w14:textId="77777777" w:rsidR="00901127" w:rsidRDefault="0090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D7A3" w14:textId="77777777" w:rsidR="00901127" w:rsidRDefault="00901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7FF5" w14:textId="77777777" w:rsidR="00901127" w:rsidRDefault="0090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97492" w14:textId="77777777" w:rsidR="00BE2F06" w:rsidRDefault="00BE2F06">
      <w:pPr>
        <w:spacing w:after="0" w:line="240" w:lineRule="auto"/>
      </w:pPr>
      <w:r>
        <w:separator/>
      </w:r>
    </w:p>
  </w:footnote>
  <w:footnote w:type="continuationSeparator" w:id="0">
    <w:p w14:paraId="13222935" w14:textId="77777777" w:rsidR="00BE2F06" w:rsidRDefault="00BE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1F42" w14:textId="372CB1F6" w:rsidR="00901127" w:rsidRDefault="00BE2F06">
    <w:pPr>
      <w:pStyle w:val="Header"/>
    </w:pPr>
    <w:r>
      <w:rPr>
        <w:noProof/>
      </w:rPr>
      <w:pict w14:anchorId="7A76B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6229F" w14:textId="3C44B22E" w:rsidR="00901127" w:rsidRDefault="00BE2F06">
    <w:pPr>
      <w:pStyle w:val="Header"/>
    </w:pPr>
    <w:r>
      <w:rPr>
        <w:noProof/>
      </w:rPr>
      <w:pict w14:anchorId="4D046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FCF2" w14:textId="61500331" w:rsidR="00901127" w:rsidRDefault="00BE2F06">
    <w:pPr>
      <w:pStyle w:val="Header"/>
    </w:pPr>
    <w:r>
      <w:rPr>
        <w:noProof/>
      </w:rPr>
      <w:pict w14:anchorId="1182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77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84"/>
    <w:rsid w:val="00004AA2"/>
    <w:rsid w:val="00045458"/>
    <w:rsid w:val="0004725E"/>
    <w:rsid w:val="0009237F"/>
    <w:rsid w:val="000A0967"/>
    <w:rsid w:val="001328D5"/>
    <w:rsid w:val="00153AEB"/>
    <w:rsid w:val="001A445B"/>
    <w:rsid w:val="00203264"/>
    <w:rsid w:val="0021568A"/>
    <w:rsid w:val="002D281E"/>
    <w:rsid w:val="002F27B5"/>
    <w:rsid w:val="0032452F"/>
    <w:rsid w:val="00364DB1"/>
    <w:rsid w:val="003A32E7"/>
    <w:rsid w:val="003B4272"/>
    <w:rsid w:val="003F3F1E"/>
    <w:rsid w:val="004113D0"/>
    <w:rsid w:val="00461FB9"/>
    <w:rsid w:val="00482B34"/>
    <w:rsid w:val="00495525"/>
    <w:rsid w:val="004D2A59"/>
    <w:rsid w:val="004E3B2B"/>
    <w:rsid w:val="005117A2"/>
    <w:rsid w:val="005223BC"/>
    <w:rsid w:val="0056010C"/>
    <w:rsid w:val="005763C8"/>
    <w:rsid w:val="005C19C8"/>
    <w:rsid w:val="005F7FE5"/>
    <w:rsid w:val="006371D0"/>
    <w:rsid w:val="00670DF5"/>
    <w:rsid w:val="006B095C"/>
    <w:rsid w:val="006C41E1"/>
    <w:rsid w:val="00762893"/>
    <w:rsid w:val="00785522"/>
    <w:rsid w:val="007B5D84"/>
    <w:rsid w:val="0084737D"/>
    <w:rsid w:val="0087479E"/>
    <w:rsid w:val="008E5A8D"/>
    <w:rsid w:val="008E779C"/>
    <w:rsid w:val="00901127"/>
    <w:rsid w:val="009401B3"/>
    <w:rsid w:val="00956424"/>
    <w:rsid w:val="00976247"/>
    <w:rsid w:val="0098790A"/>
    <w:rsid w:val="009E4153"/>
    <w:rsid w:val="009F3E40"/>
    <w:rsid w:val="009F7808"/>
    <w:rsid w:val="00A2555C"/>
    <w:rsid w:val="00A80F7E"/>
    <w:rsid w:val="00A85CC8"/>
    <w:rsid w:val="00A92018"/>
    <w:rsid w:val="00AB0016"/>
    <w:rsid w:val="00AB4344"/>
    <w:rsid w:val="00AD4300"/>
    <w:rsid w:val="00B069B0"/>
    <w:rsid w:val="00B41390"/>
    <w:rsid w:val="00B83454"/>
    <w:rsid w:val="00BB6FE2"/>
    <w:rsid w:val="00BB768F"/>
    <w:rsid w:val="00BE2F06"/>
    <w:rsid w:val="00C10873"/>
    <w:rsid w:val="00C2158B"/>
    <w:rsid w:val="00C52F03"/>
    <w:rsid w:val="00CD4623"/>
    <w:rsid w:val="00CF5799"/>
    <w:rsid w:val="00D478B0"/>
    <w:rsid w:val="00D73F99"/>
    <w:rsid w:val="00D85C16"/>
    <w:rsid w:val="00D87544"/>
    <w:rsid w:val="00DE104A"/>
    <w:rsid w:val="00E14916"/>
    <w:rsid w:val="00E232CF"/>
    <w:rsid w:val="00E90378"/>
    <w:rsid w:val="00EE2B49"/>
    <w:rsid w:val="00F218B0"/>
    <w:rsid w:val="00F86D4E"/>
    <w:rsid w:val="00FE66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2517A5"/>
  <w15:docId w15:val="{3FD454F2-4768-48AA-AB26-92F4CF4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PH"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CF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F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5EB"/>
    <w:rPr>
      <w:rFonts w:eastAsiaTheme="majorEastAsia" w:cstheme="majorBidi"/>
      <w:color w:val="272727" w:themeColor="text1" w:themeTint="D8"/>
    </w:rPr>
  </w:style>
  <w:style w:type="character" w:customStyle="1" w:styleId="TitleChar">
    <w:name w:val="Title Char"/>
    <w:basedOn w:val="DefaultParagraphFont"/>
    <w:link w:val="Title"/>
    <w:uiPriority w:val="10"/>
    <w:rsid w:val="00CF25E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F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5EB"/>
    <w:pPr>
      <w:spacing w:before="160"/>
      <w:jc w:val="center"/>
    </w:pPr>
    <w:rPr>
      <w:i/>
      <w:iCs/>
      <w:color w:val="404040" w:themeColor="text1" w:themeTint="BF"/>
    </w:rPr>
  </w:style>
  <w:style w:type="character" w:customStyle="1" w:styleId="QuoteChar">
    <w:name w:val="Quote Char"/>
    <w:basedOn w:val="DefaultParagraphFont"/>
    <w:link w:val="Quote"/>
    <w:uiPriority w:val="29"/>
    <w:rsid w:val="00CF25EB"/>
    <w:rPr>
      <w:i/>
      <w:iCs/>
      <w:color w:val="404040" w:themeColor="text1" w:themeTint="BF"/>
    </w:rPr>
  </w:style>
  <w:style w:type="paragraph" w:styleId="ListParagraph">
    <w:name w:val="List Paragraph"/>
    <w:basedOn w:val="Normal"/>
    <w:uiPriority w:val="34"/>
    <w:qFormat/>
    <w:rsid w:val="00CF25EB"/>
    <w:pPr>
      <w:ind w:left="720"/>
      <w:contextualSpacing/>
    </w:pPr>
  </w:style>
  <w:style w:type="character" w:styleId="IntenseEmphasis">
    <w:name w:val="Intense Emphasis"/>
    <w:basedOn w:val="DefaultParagraphFont"/>
    <w:uiPriority w:val="21"/>
    <w:qFormat/>
    <w:rsid w:val="00CF25EB"/>
    <w:rPr>
      <w:i/>
      <w:iCs/>
      <w:color w:val="0F4761" w:themeColor="accent1" w:themeShade="BF"/>
    </w:rPr>
  </w:style>
  <w:style w:type="paragraph" w:styleId="IntenseQuote">
    <w:name w:val="Intense Quote"/>
    <w:basedOn w:val="Normal"/>
    <w:next w:val="Normal"/>
    <w:link w:val="IntenseQuoteChar"/>
    <w:uiPriority w:val="30"/>
    <w:qFormat/>
    <w:rsid w:val="00CF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5EB"/>
    <w:rPr>
      <w:i/>
      <w:iCs/>
      <w:color w:val="0F4761" w:themeColor="accent1" w:themeShade="BF"/>
    </w:rPr>
  </w:style>
  <w:style w:type="character" w:styleId="IntenseReference">
    <w:name w:val="Intense Reference"/>
    <w:basedOn w:val="DefaultParagraphFont"/>
    <w:uiPriority w:val="32"/>
    <w:qFormat/>
    <w:rsid w:val="00CF25EB"/>
    <w:rPr>
      <w:b/>
      <w:bCs/>
      <w:smallCaps/>
      <w:color w:val="0F4761" w:themeColor="accent1" w:themeShade="BF"/>
      <w:spacing w:val="5"/>
    </w:rPr>
  </w:style>
  <w:style w:type="character" w:styleId="Hyperlink">
    <w:name w:val="Hyperlink"/>
    <w:basedOn w:val="DefaultParagraphFont"/>
    <w:uiPriority w:val="99"/>
    <w:unhideWhenUsed/>
    <w:rsid w:val="00CF25EB"/>
    <w:rPr>
      <w:color w:val="467886" w:themeColor="hyperlink"/>
      <w:u w:val="single"/>
    </w:rPr>
  </w:style>
  <w:style w:type="character" w:customStyle="1" w:styleId="UnresolvedMention1">
    <w:name w:val="Unresolved Mention1"/>
    <w:basedOn w:val="DefaultParagraphFont"/>
    <w:uiPriority w:val="99"/>
    <w:semiHidden/>
    <w:unhideWhenUsed/>
    <w:rsid w:val="00CF25EB"/>
    <w:rPr>
      <w:color w:val="605E5C"/>
      <w:shd w:val="clear" w:color="auto" w:fill="E1DFDD"/>
    </w:rPr>
  </w:style>
  <w:style w:type="paragraph" w:styleId="Header">
    <w:name w:val="header"/>
    <w:basedOn w:val="Normal"/>
    <w:link w:val="HeaderChar"/>
    <w:uiPriority w:val="99"/>
    <w:unhideWhenUsed/>
    <w:rsid w:val="00AC3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9F"/>
  </w:style>
  <w:style w:type="paragraph" w:styleId="Footer">
    <w:name w:val="footer"/>
    <w:basedOn w:val="Normal"/>
    <w:link w:val="FooterChar"/>
    <w:uiPriority w:val="99"/>
    <w:unhideWhenUsed/>
    <w:rsid w:val="00AC3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9F"/>
  </w:style>
  <w:style w:type="character" w:styleId="Emphasis">
    <w:name w:val="Emphasis"/>
    <w:basedOn w:val="DefaultParagraphFont"/>
    <w:uiPriority w:val="20"/>
    <w:qFormat/>
    <w:rsid w:val="000A6DD0"/>
    <w:rPr>
      <w:i/>
      <w:iCs/>
    </w:rPr>
  </w:style>
  <w:style w:type="paragraph" w:styleId="NormalWeb">
    <w:name w:val="Normal (Web)"/>
    <w:basedOn w:val="Normal"/>
    <w:uiPriority w:val="99"/>
    <w:unhideWhenUsed/>
    <w:rsid w:val="005C7C77"/>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C7C77"/>
    <w:rPr>
      <w:b/>
      <w:bCs/>
    </w:rPr>
  </w:style>
  <w:style w:type="paragraph" w:customStyle="1" w:styleId="mb-2">
    <w:name w:val="mb-2"/>
    <w:basedOn w:val="Normal"/>
    <w:rsid w:val="00C7247F"/>
    <w:pPr>
      <w:spacing w:before="100" w:beforeAutospacing="1" w:after="100" w:afterAutospacing="1" w:line="240" w:lineRule="auto"/>
    </w:pPr>
    <w:rPr>
      <w:rFonts w:ascii="Times New Roman" w:eastAsia="Times New Roman" w:hAnsi="Times New Roman" w:cs="Times New Roman"/>
    </w:rPr>
  </w:style>
  <w:style w:type="character" w:customStyle="1" w:styleId="text-sm">
    <w:name w:val="text-sm"/>
    <w:basedOn w:val="DefaultParagraphFont"/>
    <w:rsid w:val="00C7247F"/>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85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B8"/>
    <w:rPr>
      <w:rFonts w:ascii="Segoe UI" w:hAnsi="Segoe UI" w:cs="Segoe UI"/>
      <w:sz w:val="18"/>
      <w:szCs w:val="1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styleId="TableGrid">
    <w:name w:val="Table Grid"/>
    <w:basedOn w:val="TableNormal"/>
    <w:uiPriority w:val="39"/>
    <w:rsid w:val="002D4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LineNumber">
    <w:name w:val="line number"/>
    <w:basedOn w:val="DefaultParagraphFont"/>
    <w:uiPriority w:val="99"/>
    <w:semiHidden/>
    <w:unhideWhenUsed/>
    <w:rsid w:val="00A85CC8"/>
  </w:style>
  <w:style w:type="paragraph" w:styleId="NoSpacing">
    <w:name w:val="No Spacing"/>
    <w:uiPriority w:val="1"/>
    <w:qFormat/>
    <w:rsid w:val="00AD4300"/>
    <w:pPr>
      <w:spacing w:after="0" w:line="240" w:lineRule="auto"/>
    </w:pPr>
  </w:style>
  <w:style w:type="character" w:customStyle="1" w:styleId="UnresolvedMention2">
    <w:name w:val="Unresolved Mention2"/>
    <w:basedOn w:val="DefaultParagraphFont"/>
    <w:uiPriority w:val="99"/>
    <w:semiHidden/>
    <w:unhideWhenUsed/>
    <w:rsid w:val="00A80F7E"/>
    <w:rPr>
      <w:color w:val="605E5C"/>
      <w:shd w:val="clear" w:color="auto" w:fill="E1DFDD"/>
    </w:rPr>
  </w:style>
  <w:style w:type="character" w:styleId="CommentReference">
    <w:name w:val="annotation reference"/>
    <w:basedOn w:val="DefaultParagraphFont"/>
    <w:uiPriority w:val="99"/>
    <w:semiHidden/>
    <w:unhideWhenUsed/>
    <w:rsid w:val="001A445B"/>
    <w:rPr>
      <w:sz w:val="16"/>
      <w:szCs w:val="16"/>
    </w:rPr>
  </w:style>
  <w:style w:type="paragraph" w:styleId="CommentText">
    <w:name w:val="annotation text"/>
    <w:basedOn w:val="Normal"/>
    <w:link w:val="CommentTextChar"/>
    <w:uiPriority w:val="99"/>
    <w:semiHidden/>
    <w:unhideWhenUsed/>
    <w:rsid w:val="001A445B"/>
    <w:pPr>
      <w:spacing w:line="240" w:lineRule="auto"/>
    </w:pPr>
    <w:rPr>
      <w:sz w:val="20"/>
      <w:szCs w:val="20"/>
    </w:rPr>
  </w:style>
  <w:style w:type="character" w:customStyle="1" w:styleId="CommentTextChar">
    <w:name w:val="Comment Text Char"/>
    <w:basedOn w:val="DefaultParagraphFont"/>
    <w:link w:val="CommentText"/>
    <w:uiPriority w:val="99"/>
    <w:semiHidden/>
    <w:rsid w:val="001A445B"/>
    <w:rPr>
      <w:sz w:val="20"/>
      <w:szCs w:val="20"/>
    </w:rPr>
  </w:style>
  <w:style w:type="paragraph" w:styleId="CommentSubject">
    <w:name w:val="annotation subject"/>
    <w:basedOn w:val="CommentText"/>
    <w:next w:val="CommentText"/>
    <w:link w:val="CommentSubjectChar"/>
    <w:uiPriority w:val="99"/>
    <w:semiHidden/>
    <w:unhideWhenUsed/>
    <w:rsid w:val="001A445B"/>
    <w:rPr>
      <w:b/>
      <w:bCs/>
    </w:rPr>
  </w:style>
  <w:style w:type="character" w:customStyle="1" w:styleId="CommentSubjectChar">
    <w:name w:val="Comment Subject Char"/>
    <w:basedOn w:val="CommentTextChar"/>
    <w:link w:val="CommentSubject"/>
    <w:uiPriority w:val="99"/>
    <w:semiHidden/>
    <w:rsid w:val="001A44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49978">
      <w:bodyDiv w:val="1"/>
      <w:marLeft w:val="0"/>
      <w:marRight w:val="0"/>
      <w:marTop w:val="0"/>
      <w:marBottom w:val="0"/>
      <w:divBdr>
        <w:top w:val="none" w:sz="0" w:space="0" w:color="auto"/>
        <w:left w:val="none" w:sz="0" w:space="0" w:color="auto"/>
        <w:bottom w:val="none" w:sz="0" w:space="0" w:color="auto"/>
        <w:right w:val="none" w:sz="0" w:space="0" w:color="auto"/>
      </w:divBdr>
    </w:div>
    <w:div w:id="621962038">
      <w:bodyDiv w:val="1"/>
      <w:marLeft w:val="0"/>
      <w:marRight w:val="0"/>
      <w:marTop w:val="0"/>
      <w:marBottom w:val="0"/>
      <w:divBdr>
        <w:top w:val="none" w:sz="0" w:space="0" w:color="auto"/>
        <w:left w:val="none" w:sz="0" w:space="0" w:color="auto"/>
        <w:bottom w:val="none" w:sz="0" w:space="0" w:color="auto"/>
        <w:right w:val="none" w:sz="0" w:space="0" w:color="auto"/>
      </w:divBdr>
    </w:div>
    <w:div w:id="1124495679">
      <w:bodyDiv w:val="1"/>
      <w:marLeft w:val="0"/>
      <w:marRight w:val="0"/>
      <w:marTop w:val="0"/>
      <w:marBottom w:val="0"/>
      <w:divBdr>
        <w:top w:val="none" w:sz="0" w:space="0" w:color="auto"/>
        <w:left w:val="none" w:sz="0" w:space="0" w:color="auto"/>
        <w:bottom w:val="none" w:sz="0" w:space="0" w:color="auto"/>
        <w:right w:val="none" w:sz="0" w:space="0" w:color="auto"/>
      </w:divBdr>
    </w:div>
    <w:div w:id="1277758612">
      <w:bodyDiv w:val="1"/>
      <w:marLeft w:val="0"/>
      <w:marRight w:val="0"/>
      <w:marTop w:val="0"/>
      <w:marBottom w:val="0"/>
      <w:divBdr>
        <w:top w:val="none" w:sz="0" w:space="0" w:color="auto"/>
        <w:left w:val="none" w:sz="0" w:space="0" w:color="auto"/>
        <w:bottom w:val="none" w:sz="0" w:space="0" w:color="auto"/>
        <w:right w:val="none" w:sz="0" w:space="0" w:color="auto"/>
      </w:divBdr>
    </w:div>
    <w:div w:id="204259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504/IJLT.2020.112170?utm_source=chatgpt.com" TargetMode="External"/><Relationship Id="rId21" Type="http://schemas.openxmlformats.org/officeDocument/2006/relationships/hyperlink" Target="https://doi.org/10.1007/s40593-020-00207-0?utm_source=chatgpt.com" TargetMode="External"/><Relationship Id="rId34" Type="http://schemas.openxmlformats.org/officeDocument/2006/relationships/hyperlink" Target="https://doi.org/10.1007/s10639-022-11500-7" TargetMode="External"/><Relationship Id="rId42" Type="http://schemas.openxmlformats.org/officeDocument/2006/relationships/hyperlink" Target="https://learning-analytics.info/index.php/JLA/article/view/8309?utm_source=chatgpt.com" TargetMode="External"/><Relationship Id="rId47" Type="http://schemas.openxmlformats.org/officeDocument/2006/relationships/hyperlink" Target="https://doi.org/10.1016/j.tate.2023.103115?utm_source=chatgpt.com" TargetMode="External"/><Relationship Id="rId50" Type="http://schemas.openxmlformats.org/officeDocument/2006/relationships/hyperlink" Target="https://doi.org/10.1186/s41239-024-00456-y?utm_source=chatgpt.com" TargetMode="External"/><Relationship Id="rId55" Type="http://schemas.openxmlformats.org/officeDocument/2006/relationships/hyperlink" Target="https://doi.org/10.1016/j.compedu.2019.103778?utm_source=chatgpt.com" TargetMode="External"/><Relationship Id="rId63" Type="http://schemas.openxmlformats.org/officeDocument/2006/relationships/footer" Target="footer3.xml"/><Relationship Id="rId7" Type="http://schemas.openxmlformats.org/officeDocument/2006/relationships/hyperlink" Target="https://doi.org/10.1016/j.compedu.2019.103778" TargetMode="External"/><Relationship Id="rId2" Type="http://schemas.openxmlformats.org/officeDocument/2006/relationships/styles" Target="styles.xml"/><Relationship Id="rId16" Type="http://schemas.openxmlformats.org/officeDocument/2006/relationships/hyperlink" Target="https://doi.org/10.1016/j.learninstruc.2023.101112?utm_source=chatgpt.com" TargetMode="External"/><Relationship Id="rId29" Type="http://schemas.openxmlformats.org/officeDocument/2006/relationships/hyperlink" Target="https://doi.org/10.1007/s10639-022-11041-0?utm_source=chatgpt.com" TargetMode="External"/><Relationship Id="rId11" Type="http://schemas.openxmlformats.org/officeDocument/2006/relationships/hyperlink" Target="https://arxiv.org/abs/2103.06238?utm_source=chatgpt.com" TargetMode="External"/><Relationship Id="rId24" Type="http://schemas.openxmlformats.org/officeDocument/2006/relationships/hyperlink" Target="https://doi.org/10.1186/s12909-024-06337-7?utm_source=chatgpt.com" TargetMode="External"/><Relationship Id="rId32" Type="http://schemas.openxmlformats.org/officeDocument/2006/relationships/hyperlink" Target="https://doi.org/10.1080/2331186X.2023.2196896?utm_source=chatgpt.com" TargetMode="External"/><Relationship Id="rId37" Type="http://schemas.openxmlformats.org/officeDocument/2006/relationships/hyperlink" Target="https://doi.org/10.3991/ijet.v19i03.41247?utm_source=chatgpt.com" TargetMode="External"/><Relationship Id="rId40" Type="http://schemas.openxmlformats.org/officeDocument/2006/relationships/hyperlink" Target="https://doi.org/10.4236/ce.2022.139183?utm_source=chatgpt.com" TargetMode="External"/><Relationship Id="rId45" Type="http://schemas.openxmlformats.org/officeDocument/2006/relationships/hyperlink" Target="https://www.apu.edu.my/news/apus-xr-studio-unveils-advanced-immersive-tech-ecosystem?utm_source=chatgpt.com" TargetMode="External"/><Relationship Id="rId53" Type="http://schemas.openxmlformats.org/officeDocument/2006/relationships/hyperlink" Target="https://doi.org/10.1016/j.heliyon.2024.e25767"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1016/j.compedu.2021.104115?utm_source=chatgpt.com" TargetMode="External"/><Relationship Id="rId14" Type="http://schemas.openxmlformats.org/officeDocument/2006/relationships/hyperlink" Target="https://doi.org/10.1155/2022/1234567?utm_source=chatgpt.com" TargetMode="External"/><Relationship Id="rId22" Type="http://schemas.openxmlformats.org/officeDocument/2006/relationships/hyperlink" Target="https://doi.org/10.1007/s40593-020-00207-0?utm_source=chatgpt.com" TargetMode="External"/><Relationship Id="rId27" Type="http://schemas.openxmlformats.org/officeDocument/2006/relationships/hyperlink" Target="https://doi.org/10.3390/informatics9040075?utm_source=chatgpt.com" TargetMode="External"/><Relationship Id="rId30" Type="http://schemas.openxmlformats.org/officeDocument/2006/relationships/hyperlink" Target="https://doi.org/10.1007/s10639-022-11041-0?utm_source=chatgpt.com" TargetMode="External"/><Relationship Id="rId35" Type="http://schemas.openxmlformats.org/officeDocument/2006/relationships/hyperlink" Target="https://doi.org/10.47772/IJRISS.2025.903SEDU0086" TargetMode="External"/><Relationship Id="rId43" Type="http://schemas.openxmlformats.org/officeDocument/2006/relationships/hyperlink" Target="https://learning-analytics.info/index.php/JLA/article/view/8309" TargetMode="External"/><Relationship Id="rId48" Type="http://schemas.openxmlformats.org/officeDocument/2006/relationships/hyperlink" Target="https://doi.org/10.38124/ijisrt/IJISRT24SEP1144?utm_source=chatgpt.com" TargetMode="External"/><Relationship Id="rId56" Type="http://schemas.openxmlformats.org/officeDocument/2006/relationships/hyperlink" Target="https://doi.org/10.1016/j.compedu.2019.103778?utm_source=chatgpt.com" TargetMode="External"/><Relationship Id="rId64" Type="http://schemas.openxmlformats.org/officeDocument/2006/relationships/fontTable" Target="fontTable.xml"/><Relationship Id="rId8" Type="http://schemas.openxmlformats.org/officeDocument/2006/relationships/hyperlink" Target="https://doi.org/10.1016/j.compedu.2021.104149" TargetMode="External"/><Relationship Id="rId51" Type="http://schemas.openxmlformats.org/officeDocument/2006/relationships/hyperlink" Target="https://doi.org/10.1186/s41239-024-00456-y?utm_source=chatgpt.com" TargetMode="External"/><Relationship Id="rId3" Type="http://schemas.openxmlformats.org/officeDocument/2006/relationships/settings" Target="settings.xml"/><Relationship Id="rId12" Type="http://schemas.openxmlformats.org/officeDocument/2006/relationships/hyperlink" Target="https://doi.org/10.1007/s10639-022-11075-4?utm_source=chatgpt.com" TargetMode="External"/><Relationship Id="rId17" Type="http://schemas.openxmlformats.org/officeDocument/2006/relationships/hyperlink" Target="https://doi.org/10.1016/j.learninstruc.2023.101112" TargetMode="External"/><Relationship Id="rId25" Type="http://schemas.openxmlformats.org/officeDocument/2006/relationships/hyperlink" Target="https://doi.org/10.1504/IJLT.2020.112170?utm_source=chatgpt.com" TargetMode="External"/><Relationship Id="rId33" Type="http://schemas.openxmlformats.org/officeDocument/2006/relationships/hyperlink" Target="https://doi.org/10.1007/s10639-022-11500-7?utm_source=chatgpt.com" TargetMode="External"/><Relationship Id="rId38" Type="http://schemas.openxmlformats.org/officeDocument/2006/relationships/hyperlink" Target="https://doi.org/10.1007/s10639-024-12682-3?utm_source=chatgpt.com" TargetMode="External"/><Relationship Id="rId46" Type="http://schemas.openxmlformats.org/officeDocument/2006/relationships/hyperlink" Target="https://doi.org/10.1016/j.tate.2023.103115?utm_source=chatgpt.com" TargetMode="External"/><Relationship Id="rId59" Type="http://schemas.openxmlformats.org/officeDocument/2006/relationships/header" Target="header2.xml"/><Relationship Id="rId20" Type="http://schemas.openxmlformats.org/officeDocument/2006/relationships/hyperlink" Target="https://doi.org/10.1016/j.compedu.2021.104149" TargetMode="External"/><Relationship Id="rId41" Type="http://schemas.openxmlformats.org/officeDocument/2006/relationships/hyperlink" Target="https://doi.org/10.4236/ce.2022.139183?utm_source=chatgpt.com" TargetMode="External"/><Relationship Id="rId54" Type="http://schemas.openxmlformats.org/officeDocument/2006/relationships/hyperlink" Target="https://doi.org/10.1016/j.compedu.2019.103778?utm_source=chatgpt.com"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55/2022/1234567?utm_source=chatgpt.com" TargetMode="External"/><Relationship Id="rId23" Type="http://schemas.openxmlformats.org/officeDocument/2006/relationships/hyperlink" Target="https://doi.org/10.1186/s12909-024-06337-7?utm_source=chatgpt.com" TargetMode="External"/><Relationship Id="rId28" Type="http://schemas.openxmlformats.org/officeDocument/2006/relationships/hyperlink" Target="https://doi.org/10.3390/informatics9040075?utm_source=chatgpt.com" TargetMode="External"/><Relationship Id="rId36" Type="http://schemas.openxmlformats.org/officeDocument/2006/relationships/hyperlink" Target="https://doi.org/10.3991/ijet.v19i03.41247?utm_source=chatgpt.com" TargetMode="External"/><Relationship Id="rId49" Type="http://schemas.openxmlformats.org/officeDocument/2006/relationships/hyperlink" Target="https://doi.org/10.38124/ijisrt/IJISRT24SEP1144?utm_source=chatgpt.com" TargetMode="External"/><Relationship Id="rId57" Type="http://schemas.openxmlformats.org/officeDocument/2006/relationships/hyperlink" Target="https://doi.org/10.1016/j.compedu.2019.103778?utm_source=chatgpt.com" TargetMode="External"/><Relationship Id="rId10" Type="http://schemas.openxmlformats.org/officeDocument/2006/relationships/hyperlink" Target="https://arxiv.org/abs/2103.06238?utm_source=chatgpt.com" TargetMode="External"/><Relationship Id="rId31" Type="http://schemas.openxmlformats.org/officeDocument/2006/relationships/hyperlink" Target="https://doi.org/10.1080/2331186X.2023.2196896?utm_source=chatgpt.com" TargetMode="External"/><Relationship Id="rId44" Type="http://schemas.openxmlformats.org/officeDocument/2006/relationships/hyperlink" Target="https://www.mordorintelligence.com/industry-reports/virtual-augmented-and-mixed-reality-market" TargetMode="External"/><Relationship Id="rId52" Type="http://schemas.openxmlformats.org/officeDocument/2006/relationships/hyperlink" Target="https://doi.org/10.1016/j.heliyon.2024.e25767?utm_source=chatgpt.co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40593-020-00207-0" TargetMode="External"/><Relationship Id="rId13" Type="http://schemas.openxmlformats.org/officeDocument/2006/relationships/hyperlink" Target="https://doi.org/10.1007/s10639-022-11075-4?utm_source=chatgpt.com" TargetMode="External"/><Relationship Id="rId18" Type="http://schemas.openxmlformats.org/officeDocument/2006/relationships/hyperlink" Target="https://doi.org/10.1016/j.compedu.2021.104115?utm_source=chatgpt.com" TargetMode="External"/><Relationship Id="rId39" Type="http://schemas.openxmlformats.org/officeDocument/2006/relationships/hyperlink" Target="https://doi.org/10.1007/s10639-024-12682-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cntkYegCAamag2uRTGgE+KoQ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HwoBNhIaChgICVIUChJ0YWJsZS5za2NjeGs0bDl5dHIyDmguaDk5czJhamtydjVpMg5oLnF0YXFhbXNlYnowbzIOaC40dmJ4dWh5ZG41M3gyDmgud3E0c285NHBnYzllOAByITFsTXlYSkZsbXY2RXFKQmpjSDBreUN1UlZnUGNwWG9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Edel Jee Castor</dc:creator>
  <cp:lastModifiedBy>SDI 1183</cp:lastModifiedBy>
  <cp:revision>18</cp:revision>
  <dcterms:created xsi:type="dcterms:W3CDTF">2025-10-23T08:50:00Z</dcterms:created>
  <dcterms:modified xsi:type="dcterms:W3CDTF">2025-10-28T12:03:00Z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d1fd6a3e-67bd-48d5-b416-ddcfd5564657</vt:lpwstr>
  </property>
</Properties>
</file>