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1BBEC" w14:textId="29342E56" w:rsidR="005D22F0" w:rsidRPr="005D22F0" w:rsidRDefault="00D84881" w:rsidP="00D84881">
      <w:pPr>
        <w:spacing w:after="0" w:line="240" w:lineRule="auto"/>
        <w:jc w:val="right"/>
        <w:rPr>
          <w:rFonts w:ascii="Times New Roman" w:hAnsi="Times New Roman" w:cs="Times New Roman"/>
          <w:b/>
          <w:bCs/>
          <w:sz w:val="8"/>
          <w:szCs w:val="8"/>
        </w:rPr>
      </w:pPr>
      <w:r w:rsidRPr="00D84881">
        <w:rPr>
          <w:rFonts w:ascii="Times New Roman" w:hAnsi="Times New Roman" w:cs="Times New Roman"/>
          <w:b/>
          <w:bCs/>
          <w:sz w:val="32"/>
          <w:szCs w:val="32"/>
          <w:lang w:val="en-GB"/>
        </w:rPr>
        <w:t>The World Trade Organization and the Global South: Balancing Economic Diplomacy and Structural Dependency</w:t>
      </w:r>
    </w:p>
    <w:p w14:paraId="0C1F40D5" w14:textId="77777777" w:rsidR="00D84881" w:rsidRPr="00D84881" w:rsidRDefault="00D84881" w:rsidP="00071DB4">
      <w:pPr>
        <w:spacing w:line="360" w:lineRule="auto"/>
        <w:jc w:val="center"/>
        <w:rPr>
          <w:rFonts w:ascii="Times New Roman" w:hAnsi="Times New Roman" w:cs="Times New Roman"/>
          <w:b/>
          <w:bCs/>
          <w:sz w:val="12"/>
          <w:szCs w:val="12"/>
        </w:rPr>
      </w:pPr>
    </w:p>
    <w:p w14:paraId="7C15D2AA" w14:textId="431EB554" w:rsidR="00071DB4" w:rsidRPr="00071DB4" w:rsidRDefault="00071DB4" w:rsidP="00071DB4">
      <w:pPr>
        <w:spacing w:line="360" w:lineRule="auto"/>
        <w:jc w:val="center"/>
        <w:rPr>
          <w:rFonts w:ascii="Times New Roman" w:hAnsi="Times New Roman" w:cs="Times New Roman"/>
          <w:b/>
          <w:bCs/>
        </w:rPr>
      </w:pPr>
      <w:r w:rsidRPr="00071DB4">
        <w:rPr>
          <w:rFonts w:ascii="Times New Roman" w:hAnsi="Times New Roman" w:cs="Times New Roman"/>
          <w:b/>
          <w:bCs/>
        </w:rPr>
        <w:t>Abstract</w:t>
      </w:r>
    </w:p>
    <w:p w14:paraId="17C14578" w14:textId="77777777" w:rsidR="00D84881" w:rsidRPr="00D84881" w:rsidRDefault="00D84881" w:rsidP="00D84881">
      <w:pPr>
        <w:spacing w:line="360" w:lineRule="auto"/>
        <w:jc w:val="both"/>
        <w:rPr>
          <w:rFonts w:ascii="Times New Roman" w:hAnsi="Times New Roman" w:cs="Times New Roman"/>
        </w:rPr>
      </w:pPr>
      <w:r w:rsidRPr="00D84881">
        <w:rPr>
          <w:rFonts w:ascii="Times New Roman" w:hAnsi="Times New Roman" w:cs="Times New Roman"/>
        </w:rPr>
        <w:t>The World Trade Organization (WTO) was established to provide a multilateral framework for trade and development; however, its record in the Global South remains contested. This study explores how the WTO has shaped development outcomes in Africa and other regions, with particular focus on the dual dynamics of structural dependency and economic diplomacy. A scoping review approach was employed to synthesize peer-reviewed literature, policy reports, and case evidence, allowing for the identification of recurring patterns and theoretical debates. The findings reveal that WTO rules on tariff escalation, subsidies, and Special and Differential Treatment have restricted the policy space of developing economies, reinforcing dependence on primary exports and weakening industrialization efforts. Nigeria’s experience shows how premature liberalization contributed to deindustrialization and increased vulnerability to external shocks, while South Africa’s integration after apartheid demonstrates that membership can support export growth and global reinsertion despite persistent inequality and unemployment. Instances of coalition building, such as the Group of Twenty initiative at Cancún, illustrate how developing countries have used the WTO as a platform for collective bargaining and diplomatic agency. The study concludes that the WTO occupies a paradoxical position between structural dependency and economic diplomacy. Although its rules often reinforce global inequalities, it remains one of the few multilateral institutions through which the Global South can contest asymmetries and advocate for reform. The policy relevance of these findings lies in the need to rebalance subsidy rules, strengthen Special and Differential Treatment, and expand the participation and decision-making power of least developed countries in global trade governance.</w:t>
      </w:r>
    </w:p>
    <w:p w14:paraId="1DC0DF09" w14:textId="4BAE10F6" w:rsidR="00071DB4" w:rsidRDefault="00071DB4" w:rsidP="00071DB4">
      <w:pPr>
        <w:spacing w:line="360" w:lineRule="auto"/>
        <w:jc w:val="both"/>
        <w:rPr>
          <w:rFonts w:ascii="Times New Roman" w:hAnsi="Times New Roman" w:cs="Times New Roman"/>
        </w:rPr>
      </w:pPr>
      <w:r w:rsidRPr="00071DB4">
        <w:rPr>
          <w:rFonts w:ascii="Times New Roman" w:hAnsi="Times New Roman" w:cs="Times New Roman"/>
          <w:b/>
          <w:bCs/>
        </w:rPr>
        <w:t>Keywords:</w:t>
      </w:r>
      <w:r w:rsidRPr="00071DB4">
        <w:rPr>
          <w:rFonts w:ascii="Times New Roman" w:hAnsi="Times New Roman" w:cs="Times New Roman"/>
        </w:rPr>
        <w:t xml:space="preserve"> World Trade Organization, Global South, dependency theory, economic diplomacy, Nigeria, South Africa</w:t>
      </w:r>
    </w:p>
    <w:p w14:paraId="3EFAA1AA" w14:textId="6FCC8B27" w:rsidR="00905507" w:rsidRPr="00905507" w:rsidRDefault="00B85160" w:rsidP="00B85160">
      <w:pPr>
        <w:spacing w:line="360" w:lineRule="auto"/>
        <w:jc w:val="both"/>
        <w:rPr>
          <w:rFonts w:ascii="Times New Roman" w:hAnsi="Times New Roman" w:cs="Times New Roman"/>
          <w:b/>
          <w:bCs/>
        </w:rPr>
      </w:pPr>
      <w:r>
        <w:rPr>
          <w:rFonts w:ascii="Times New Roman" w:hAnsi="Times New Roman" w:cs="Times New Roman"/>
          <w:b/>
          <w:bCs/>
        </w:rPr>
        <w:t xml:space="preserve">1. </w:t>
      </w:r>
      <w:r w:rsidR="00905507" w:rsidRPr="00905507">
        <w:rPr>
          <w:rFonts w:ascii="Times New Roman" w:hAnsi="Times New Roman" w:cs="Times New Roman"/>
          <w:b/>
          <w:bCs/>
        </w:rPr>
        <w:t>Introduction</w:t>
      </w:r>
    </w:p>
    <w:p w14:paraId="40892BF7" w14:textId="1944B3B1"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 xml:space="preserve">The creation of the World Trade Organization (WTO) in 1995 was heralded as a turning point in the global trading system, institutionalizing multilateralism and embedding legally binding rules to guide international commerce. For developing countries, particularly in the Global South, </w:t>
      </w:r>
      <w:r w:rsidRPr="00905507">
        <w:rPr>
          <w:rFonts w:ascii="Times New Roman" w:hAnsi="Times New Roman" w:cs="Times New Roman"/>
        </w:rPr>
        <w:lastRenderedPageBreak/>
        <w:t xml:space="preserve">membership was presented as a path to greater market access, export diversification, and integration into the world economy (Mitchell &amp; </w:t>
      </w:r>
      <w:proofErr w:type="spellStart"/>
      <w:r w:rsidRPr="00905507">
        <w:rPr>
          <w:rFonts w:ascii="Times New Roman" w:hAnsi="Times New Roman" w:cs="Times New Roman"/>
        </w:rPr>
        <w:t>Sheargold</w:t>
      </w:r>
      <w:proofErr w:type="spellEnd"/>
      <w:r w:rsidRPr="00905507">
        <w:rPr>
          <w:rFonts w:ascii="Times New Roman" w:hAnsi="Times New Roman" w:cs="Times New Roman"/>
        </w:rPr>
        <w:t xml:space="preserve">, 2009; </w:t>
      </w:r>
      <w:proofErr w:type="spellStart"/>
      <w:r w:rsidRPr="00905507">
        <w:rPr>
          <w:rFonts w:ascii="Times New Roman" w:hAnsi="Times New Roman" w:cs="Times New Roman"/>
        </w:rPr>
        <w:t>Nyambuli</w:t>
      </w:r>
      <w:proofErr w:type="spellEnd"/>
      <w:r w:rsidRPr="00905507">
        <w:rPr>
          <w:rFonts w:ascii="Times New Roman" w:hAnsi="Times New Roman" w:cs="Times New Roman"/>
        </w:rPr>
        <w:t>, 2025). The Uruguay Round that birthed the WTO was often described as a “grand bargain,” where the South accepted new commitments on services, intellectual property, and investment in exchange for the promise of expanded agricultural and textile market openings in the North (Bernhardt, 2014). Yet this bargain has proven uneven in practice, with persistent protectionism in sectors vital to Southern economies and liberalization skewed toward areas of Northern advantage (</w:t>
      </w:r>
      <w:r w:rsidR="008B103E">
        <w:rPr>
          <w:rFonts w:ascii="Times New Roman" w:hAnsi="Times New Roman" w:cs="Times New Roman"/>
        </w:rPr>
        <w:t>Irwin,</w:t>
      </w:r>
      <w:r w:rsidRPr="00905507">
        <w:rPr>
          <w:rFonts w:ascii="Times New Roman" w:hAnsi="Times New Roman" w:cs="Times New Roman"/>
        </w:rPr>
        <w:t xml:space="preserve"> 200</w:t>
      </w:r>
      <w:r w:rsidR="008B103E">
        <w:rPr>
          <w:rFonts w:ascii="Times New Roman" w:hAnsi="Times New Roman" w:cs="Times New Roman"/>
        </w:rPr>
        <w:t>6</w:t>
      </w:r>
      <w:r w:rsidRPr="00905507">
        <w:rPr>
          <w:rFonts w:ascii="Times New Roman" w:hAnsi="Times New Roman" w:cs="Times New Roman"/>
        </w:rPr>
        <w:t>; Weinhardt &amp; Schöfer, 2021).</w:t>
      </w:r>
      <w:r w:rsidR="00B85160">
        <w:rPr>
          <w:rFonts w:ascii="Times New Roman" w:hAnsi="Times New Roman" w:cs="Times New Roman"/>
        </w:rPr>
        <w:t xml:space="preserve"> </w:t>
      </w:r>
      <w:r w:rsidRPr="00905507">
        <w:rPr>
          <w:rFonts w:ascii="Times New Roman" w:hAnsi="Times New Roman" w:cs="Times New Roman"/>
        </w:rPr>
        <w:t>Scholars argue that the WTO has reinforced longstanding asymmetries in the global trade regime. While it offers a binding dispute settlement mechanism and promotes transparency through trade policy reviews, it has also limited the policy space available for developing countries to pursue industrial strategies (Bown, 2024; Khor &amp; Ocampo, 2010). Export subsidies, historically central to the industrial rise of economies like South Korea and Taiwan, were outlawed under the Agreement on Subsidies and Countervailing Measures, even as advanced economies retained room to maintain massive domestic subsidies, particularly in agriculture (Amsden, 2001; Aguayo, 2022). The resulting imbalance has locked many Global South economies into low-value production, undermining their capacity to climb the industrial ladder (Bernhardt, 2014).</w:t>
      </w:r>
    </w:p>
    <w:p w14:paraId="678E4992" w14:textId="69038879"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Empirical studies highlight the uneven developmental consequences of WTO membership. South Africa’s accession was accompanied by significant tariff reductions and expanded export growth after apartheid, suggesting some benefits from multilateral liberalization (Edwards, 2005; Faulkner &amp; Loewald, 2008). By contrast, Nigeria’s experience illustrates the destructive effects of premature liberalization, as full adoption of WTO rules exposed domestic industries to dumping and cheap imports, turning the economy into a “dumping ground” for foreign products and accelerating factory closures (</w:t>
      </w:r>
      <w:proofErr w:type="spellStart"/>
      <w:r w:rsidRPr="00905507">
        <w:rPr>
          <w:rFonts w:ascii="Times New Roman" w:hAnsi="Times New Roman" w:cs="Times New Roman"/>
        </w:rPr>
        <w:t>Nnabuihe</w:t>
      </w:r>
      <w:proofErr w:type="spellEnd"/>
      <w:r w:rsidR="00DD6A9E">
        <w:rPr>
          <w:rFonts w:ascii="Times New Roman" w:hAnsi="Times New Roman" w:cs="Times New Roman"/>
        </w:rPr>
        <w:t xml:space="preserve"> et al., </w:t>
      </w:r>
      <w:r w:rsidRPr="00905507">
        <w:rPr>
          <w:rFonts w:ascii="Times New Roman" w:hAnsi="Times New Roman" w:cs="Times New Roman"/>
        </w:rPr>
        <w:t>2014). Such divergent outcomes underscore that WTO rules interact with national political economies in complex ways, reinforcing the heterogeneity of the Global South (</w:t>
      </w:r>
      <w:proofErr w:type="spellStart"/>
      <w:r w:rsidRPr="00905507">
        <w:rPr>
          <w:rFonts w:ascii="Times New Roman" w:hAnsi="Times New Roman" w:cs="Times New Roman"/>
        </w:rPr>
        <w:t>Schöfer</w:t>
      </w:r>
      <w:proofErr w:type="spellEnd"/>
      <w:r w:rsidRPr="00905507">
        <w:rPr>
          <w:rFonts w:ascii="Times New Roman" w:hAnsi="Times New Roman" w:cs="Times New Roman"/>
        </w:rPr>
        <w:t xml:space="preserve"> &amp; </w:t>
      </w:r>
      <w:proofErr w:type="spellStart"/>
      <w:r w:rsidRPr="00905507">
        <w:rPr>
          <w:rFonts w:ascii="Times New Roman" w:hAnsi="Times New Roman" w:cs="Times New Roman"/>
        </w:rPr>
        <w:t>Weinhardt</w:t>
      </w:r>
      <w:proofErr w:type="spellEnd"/>
      <w:r w:rsidRPr="00905507">
        <w:rPr>
          <w:rFonts w:ascii="Times New Roman" w:hAnsi="Times New Roman" w:cs="Times New Roman"/>
        </w:rPr>
        <w:t>, 2022; Rena, 2012).</w:t>
      </w:r>
      <w:r w:rsidR="00B85160">
        <w:rPr>
          <w:rFonts w:ascii="Times New Roman" w:hAnsi="Times New Roman" w:cs="Times New Roman"/>
        </w:rPr>
        <w:t xml:space="preserve"> </w:t>
      </w:r>
      <w:r w:rsidRPr="00905507">
        <w:rPr>
          <w:rFonts w:ascii="Times New Roman" w:hAnsi="Times New Roman" w:cs="Times New Roman"/>
        </w:rPr>
        <w:t xml:space="preserve">At the same time, the WTO has become a site of economic diplomacy where developing countries attempt to reshape rules through coalition politics. The G-20 coalition at Cancún in 2003 demonstrated the South’s capacity to contest Northern dominance, while recent debates over “developing-country status” reveal the fragmentation of the traditional North–South divide, with emerging powers like China, India, and Brazil adopting divergent strategies (Esparza, 2010; Weinhardt, 2023). These dynamics highlight </w:t>
      </w:r>
      <w:r w:rsidRPr="00905507">
        <w:rPr>
          <w:rFonts w:ascii="Times New Roman" w:hAnsi="Times New Roman" w:cs="Times New Roman"/>
        </w:rPr>
        <w:lastRenderedPageBreak/>
        <w:t>the WTO’s paradoxical position as both an arena of empowerment and a mechanism of dependency (Pearl</w:t>
      </w:r>
      <w:r w:rsidR="000A3A9A">
        <w:rPr>
          <w:rFonts w:ascii="Times New Roman" w:hAnsi="Times New Roman" w:cs="Times New Roman"/>
        </w:rPr>
        <w:t xml:space="preserve"> et al., </w:t>
      </w:r>
      <w:r w:rsidRPr="00905507">
        <w:rPr>
          <w:rFonts w:ascii="Times New Roman" w:hAnsi="Times New Roman" w:cs="Times New Roman"/>
        </w:rPr>
        <w:t>2025).</w:t>
      </w:r>
    </w:p>
    <w:p w14:paraId="362E1574" w14:textId="77777777" w:rsidR="00D84881" w:rsidRDefault="00905507" w:rsidP="00C00C54">
      <w:pPr>
        <w:spacing w:line="360" w:lineRule="auto"/>
        <w:jc w:val="both"/>
        <w:rPr>
          <w:rFonts w:ascii="Times New Roman" w:hAnsi="Times New Roman" w:cs="Times New Roman"/>
        </w:rPr>
      </w:pPr>
      <w:r w:rsidRPr="00905507">
        <w:rPr>
          <w:rFonts w:ascii="Times New Roman" w:hAnsi="Times New Roman" w:cs="Times New Roman"/>
        </w:rPr>
        <w:t xml:space="preserve">Despite decades of engagement, the question of whether the WTO has advanced the developmental aspirations of the Global South remains unsettled. Critics argue that trade liberalization without adequate safeguards exacerbates vulnerability, weakens local industries, and perpetuates underdevelopment (Evans, 2009; Haug, 2020). Supporters counter that integration into global markets has provided new opportunities for growth and investment in certain contexts (Rodrik, 2011; Cuong et al., 2015). </w:t>
      </w:r>
      <w:r w:rsidR="000A3A9A" w:rsidRPr="00905507">
        <w:rPr>
          <w:rFonts w:ascii="Times New Roman" w:hAnsi="Times New Roman" w:cs="Times New Roman"/>
        </w:rPr>
        <w:t>Nevertheless</w:t>
      </w:r>
      <w:r w:rsidR="000A3A9A">
        <w:rPr>
          <w:rFonts w:ascii="Times New Roman" w:hAnsi="Times New Roman" w:cs="Times New Roman"/>
        </w:rPr>
        <w:t>,</w:t>
      </w:r>
      <w:r w:rsidRPr="00905507">
        <w:rPr>
          <w:rFonts w:ascii="Times New Roman" w:hAnsi="Times New Roman" w:cs="Times New Roman"/>
        </w:rPr>
        <w:t xml:space="preserve"> what is clear is that the promises of the Doha Development Agenda remain largely unfulfilled, reinforcing perceptions of structural bias within the institution (Naidu, 2025; </w:t>
      </w:r>
      <w:proofErr w:type="spellStart"/>
      <w:r w:rsidRPr="00905507">
        <w:rPr>
          <w:rFonts w:ascii="Times New Roman" w:hAnsi="Times New Roman" w:cs="Times New Roman"/>
        </w:rPr>
        <w:t>Jaldi</w:t>
      </w:r>
      <w:proofErr w:type="spellEnd"/>
      <w:r w:rsidRPr="00905507">
        <w:rPr>
          <w:rFonts w:ascii="Times New Roman" w:hAnsi="Times New Roman" w:cs="Times New Roman"/>
        </w:rPr>
        <w:t>, 2023).</w:t>
      </w:r>
      <w:r w:rsidR="00B85160">
        <w:rPr>
          <w:rFonts w:ascii="Times New Roman" w:hAnsi="Times New Roman" w:cs="Times New Roman"/>
        </w:rPr>
        <w:t xml:space="preserve"> </w:t>
      </w:r>
      <w:r w:rsidRPr="00905507">
        <w:rPr>
          <w:rFonts w:ascii="Times New Roman" w:hAnsi="Times New Roman" w:cs="Times New Roman"/>
        </w:rPr>
        <w:t xml:space="preserve">The purpose of this research is to critically examine the dual role of the WTO in shaping development outcomes in the Global South, focusing on the tension between economic diplomacy and structural dependency. </w:t>
      </w:r>
      <w:r w:rsidR="00D84881" w:rsidRPr="00D84881">
        <w:rPr>
          <w:rFonts w:ascii="Times New Roman" w:hAnsi="Times New Roman" w:cs="Times New Roman"/>
        </w:rPr>
        <w:t>Therefore, the main objective of this study is to examine the dual role of the World Trade Organization in shaping development outcomes in the Global South through the lenses of structural dependency and economic diplomacy. Specifically, the study seeks to identify how WTO rules influence industrialization, policy space, and coalition politics among developing economies, using Nigeria and South Africa as case studies.</w:t>
      </w:r>
      <w:r w:rsidR="00D84881">
        <w:rPr>
          <w:rFonts w:ascii="Times New Roman" w:hAnsi="Times New Roman" w:cs="Times New Roman"/>
        </w:rPr>
        <w:t xml:space="preserve"> </w:t>
      </w:r>
      <w:r w:rsidRPr="00905507">
        <w:rPr>
          <w:rFonts w:ascii="Times New Roman" w:hAnsi="Times New Roman" w:cs="Times New Roman"/>
        </w:rPr>
        <w:t>By analyzing the institutional rules, policy constraints, and country experiences of Nigeria and South Africa, while situating these within broader debates on coalition politics and the evolution of “developing-country” status, this study interrogates how far the WTO has delivered on its developmental promises. In doing so, it seeks to contribute to ongoing discussions on reforming global trade governance in a way that addresses inequality and enhances the agency of the Global South.</w:t>
      </w:r>
    </w:p>
    <w:p w14:paraId="56B774F3" w14:textId="4A4E3AAF" w:rsidR="00C00C54" w:rsidRPr="00C00C54" w:rsidRDefault="00C00C54" w:rsidP="00C00C54">
      <w:pPr>
        <w:spacing w:line="360" w:lineRule="auto"/>
        <w:jc w:val="both"/>
        <w:rPr>
          <w:rFonts w:ascii="Times New Roman" w:hAnsi="Times New Roman" w:cs="Times New Roman"/>
          <w:b/>
          <w:bCs/>
        </w:rPr>
      </w:pPr>
      <w:r>
        <w:rPr>
          <w:rFonts w:ascii="Times New Roman" w:hAnsi="Times New Roman" w:cs="Times New Roman"/>
          <w:b/>
          <w:bCs/>
        </w:rPr>
        <w:t xml:space="preserve">2. </w:t>
      </w:r>
      <w:r w:rsidRPr="00C00C54">
        <w:rPr>
          <w:rFonts w:ascii="Times New Roman" w:hAnsi="Times New Roman" w:cs="Times New Roman"/>
          <w:b/>
          <w:bCs/>
        </w:rPr>
        <w:t>Methodology</w:t>
      </w:r>
    </w:p>
    <w:p w14:paraId="570E82DD" w14:textId="1C1F473E" w:rsidR="00C00C54" w:rsidRPr="00C00C54" w:rsidRDefault="00C00C54" w:rsidP="00C00C54">
      <w:pPr>
        <w:spacing w:line="360" w:lineRule="auto"/>
        <w:jc w:val="both"/>
        <w:rPr>
          <w:rFonts w:ascii="Times New Roman" w:hAnsi="Times New Roman" w:cs="Times New Roman"/>
        </w:rPr>
      </w:pPr>
      <w:r w:rsidRPr="00C00C54">
        <w:rPr>
          <w:rFonts w:ascii="Times New Roman" w:hAnsi="Times New Roman" w:cs="Times New Roman"/>
        </w:rPr>
        <w:t>This research adopted a scoping review design to examine the dual role of the World Trade Organization (WTO) in shaping development outcomes in the Global South. The choice of a scoping review was informed by the need to synthesize a diverse body of literature spanning trade law, international political economy, and case studies on Africa, while identifying thematic patterns and conceptual debates rather than measuring effect sizes (Arksey &amp; O’Malley, 2005; Levac</w:t>
      </w:r>
      <w:r>
        <w:rPr>
          <w:rFonts w:ascii="Times New Roman" w:hAnsi="Times New Roman" w:cs="Times New Roman"/>
        </w:rPr>
        <w:t xml:space="preserve"> et al.</w:t>
      </w:r>
      <w:r w:rsidRPr="00C00C54">
        <w:rPr>
          <w:rFonts w:ascii="Times New Roman" w:hAnsi="Times New Roman" w:cs="Times New Roman"/>
        </w:rPr>
        <w:t xml:space="preserve">, 2010; </w:t>
      </w:r>
      <w:proofErr w:type="spellStart"/>
      <w:r w:rsidRPr="00C00C54">
        <w:rPr>
          <w:rFonts w:ascii="Times New Roman" w:hAnsi="Times New Roman" w:cs="Times New Roman"/>
        </w:rPr>
        <w:t>Tricco</w:t>
      </w:r>
      <w:proofErr w:type="spellEnd"/>
      <w:r w:rsidRPr="00C00C54">
        <w:rPr>
          <w:rFonts w:ascii="Times New Roman" w:hAnsi="Times New Roman" w:cs="Times New Roman"/>
        </w:rPr>
        <w:t xml:space="preserve"> et al., 2016). The methodology followed three steps: identifying relevant studies, charting the evidence, and synthesizing findings narratively.</w:t>
      </w:r>
    </w:p>
    <w:p w14:paraId="5F961D65" w14:textId="1981BC44" w:rsidR="00C00C54" w:rsidRPr="00C00C54" w:rsidRDefault="00C00C54" w:rsidP="00C00C54">
      <w:pPr>
        <w:spacing w:line="360" w:lineRule="auto"/>
        <w:jc w:val="both"/>
        <w:rPr>
          <w:rFonts w:ascii="Times New Roman" w:hAnsi="Times New Roman" w:cs="Times New Roman"/>
        </w:rPr>
      </w:pPr>
      <w:r w:rsidRPr="00C00C54">
        <w:rPr>
          <w:rFonts w:ascii="Times New Roman" w:hAnsi="Times New Roman" w:cs="Times New Roman"/>
        </w:rPr>
        <w:lastRenderedPageBreak/>
        <w:t>The literature search was conducted using Boolean operators across major databases, including Scopus, Web of Science, Google Scholar, and ResearchGate, supplemented by manual searches of institutional repositories and reference lists. Keywords combined terms such as “World Trade Organization” OR “WTO” AND “Global South” OR “developing countries” AND “dependency” OR “economic diplomacy” OR “structural inequality.” Studies were included if they focused on the WTO’s developmental impact, coalition politics, trade rules, or case studies involving Africa, particularly Nigeria and South Africa. Both peer-reviewed articles and policy papers were considered to ensure a comprehensive evidence base.</w:t>
      </w:r>
      <w:r>
        <w:rPr>
          <w:rFonts w:ascii="Times New Roman" w:hAnsi="Times New Roman" w:cs="Times New Roman"/>
        </w:rPr>
        <w:t xml:space="preserve"> </w:t>
      </w:r>
      <w:r w:rsidRPr="00C00C54">
        <w:rPr>
          <w:rFonts w:ascii="Times New Roman" w:hAnsi="Times New Roman" w:cs="Times New Roman"/>
        </w:rPr>
        <w:t>Data extraction and synthesis were guided by narrative synthesis principles (Popay et al., 2006). Evidence was organized into thematic categories</w:t>
      </w:r>
      <w:r>
        <w:rPr>
          <w:rFonts w:ascii="Times New Roman" w:hAnsi="Times New Roman" w:cs="Times New Roman"/>
        </w:rPr>
        <w:t xml:space="preserve"> </w:t>
      </w:r>
      <w:proofErr w:type="spellStart"/>
      <w:r>
        <w:rPr>
          <w:rFonts w:ascii="Times New Roman" w:hAnsi="Times New Roman" w:cs="Times New Roman"/>
        </w:rPr>
        <w:t>i.e</w:t>
      </w:r>
      <w:proofErr w:type="spellEnd"/>
      <w:r>
        <w:rPr>
          <w:rFonts w:ascii="Times New Roman" w:hAnsi="Times New Roman" w:cs="Times New Roman"/>
        </w:rPr>
        <w:t xml:space="preserve"> </w:t>
      </w:r>
      <w:r w:rsidRPr="00C00C54">
        <w:rPr>
          <w:rFonts w:ascii="Times New Roman" w:hAnsi="Times New Roman" w:cs="Times New Roman"/>
        </w:rPr>
        <w:t>structural dependency, economic diplomacy, differentiated strategies, and African case studies</w:t>
      </w:r>
      <w:r>
        <w:rPr>
          <w:rFonts w:ascii="Times New Roman" w:hAnsi="Times New Roman" w:cs="Times New Roman"/>
        </w:rPr>
        <w:t xml:space="preserve">, </w:t>
      </w:r>
      <w:r w:rsidRPr="00C00C54">
        <w:rPr>
          <w:rFonts w:ascii="Times New Roman" w:hAnsi="Times New Roman" w:cs="Times New Roman"/>
        </w:rPr>
        <w:t>allowing for the integration of theoretical and empirical findings. This approach facilitated a balanced interpretation of how WTO rules constrain policy space while simultaneously offering avenues for diplomatic engagement.</w:t>
      </w:r>
    </w:p>
    <w:p w14:paraId="41C21D0C" w14:textId="7870E883" w:rsidR="00905507" w:rsidRPr="00905507" w:rsidRDefault="00B85160" w:rsidP="00B85160">
      <w:pPr>
        <w:spacing w:line="360" w:lineRule="auto"/>
        <w:jc w:val="both"/>
        <w:rPr>
          <w:rFonts w:ascii="Times New Roman" w:hAnsi="Times New Roman" w:cs="Times New Roman"/>
          <w:b/>
          <w:bCs/>
        </w:rPr>
      </w:pPr>
      <w:r>
        <w:rPr>
          <w:rFonts w:ascii="Times New Roman" w:hAnsi="Times New Roman" w:cs="Times New Roman"/>
          <w:b/>
          <w:bCs/>
        </w:rPr>
        <w:t xml:space="preserve">3. </w:t>
      </w:r>
      <w:r w:rsidR="00905507" w:rsidRPr="00905507">
        <w:rPr>
          <w:rFonts w:ascii="Times New Roman" w:hAnsi="Times New Roman" w:cs="Times New Roman"/>
          <w:b/>
          <w:bCs/>
        </w:rPr>
        <w:t>Structural Dependency in WTO Rules</w:t>
      </w:r>
    </w:p>
    <w:p w14:paraId="2DCE80DE" w14:textId="6B3A046E"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 xml:space="preserve">The experience of the Global South in the World Trade Organization (WTO) is marked by structural constraints that have persisted since the Uruguay Round. Central to these is the problem of market access. While developing countries anticipated that the expansion of multilateral rules would dismantle protection in agriculture and textiles, these sectors remain heavily shielded in the North. High tariff peaks, tariff escalation, and the maintenance of quotas limit the ability of developing countries to move beyond the export of raw materials into higher value-added processing (Bernhardt, 2014). Such practices ensure that while developing economies supply raw cotton, coffee, or cocoa, the profitable stages of processing and branding remain in the hands of industrialized economies, thereby reproducing dependency within global value chains (Bagwell &amp; Staiger, </w:t>
      </w:r>
      <w:r w:rsidR="000A3A9A">
        <w:rPr>
          <w:rFonts w:ascii="Times New Roman" w:hAnsi="Times New Roman" w:cs="Times New Roman"/>
        </w:rPr>
        <w:t>1999</w:t>
      </w:r>
      <w:r w:rsidRPr="00905507">
        <w:rPr>
          <w:rFonts w:ascii="Times New Roman" w:hAnsi="Times New Roman" w:cs="Times New Roman"/>
        </w:rPr>
        <w:t>; Baldwin, 2006).</w:t>
      </w:r>
      <w:r w:rsidR="00B85160">
        <w:rPr>
          <w:rFonts w:ascii="Times New Roman" w:hAnsi="Times New Roman" w:cs="Times New Roman"/>
        </w:rPr>
        <w:t xml:space="preserve"> </w:t>
      </w:r>
      <w:r w:rsidRPr="00905507">
        <w:rPr>
          <w:rFonts w:ascii="Times New Roman" w:hAnsi="Times New Roman" w:cs="Times New Roman"/>
        </w:rPr>
        <w:t>In addition to tariffs, non-tariff measures have become a powerful mechanism of exclusion. Anti-dumping duties and sanitary and phytosanitary (SPS) standards, applied largely by the United States and the European Union, disproportionately target exporters from the South. Between 1995 and 2002, over two thousand anti-dumping investigations were launched, with industrialized economies initiating a disproportionate share (</w:t>
      </w:r>
      <w:r w:rsidR="000A3A9A">
        <w:rPr>
          <w:rFonts w:ascii="Times New Roman" w:hAnsi="Times New Roman" w:cs="Times New Roman"/>
        </w:rPr>
        <w:t>Irwin</w:t>
      </w:r>
      <w:r w:rsidRPr="00905507">
        <w:rPr>
          <w:rFonts w:ascii="Times New Roman" w:hAnsi="Times New Roman" w:cs="Times New Roman"/>
        </w:rPr>
        <w:t>, 200</w:t>
      </w:r>
      <w:r w:rsidR="000A3A9A">
        <w:rPr>
          <w:rFonts w:ascii="Times New Roman" w:hAnsi="Times New Roman" w:cs="Times New Roman"/>
        </w:rPr>
        <w:t>6</w:t>
      </w:r>
      <w:r w:rsidRPr="00905507">
        <w:rPr>
          <w:rFonts w:ascii="Times New Roman" w:hAnsi="Times New Roman" w:cs="Times New Roman"/>
        </w:rPr>
        <w:t xml:space="preserve">). These measures are often presented as legitimate tools to correct unfair trade practices, yet in practice they serve as long-term protectionist instruments that block developing countries from securing </w:t>
      </w:r>
      <w:r w:rsidRPr="00905507">
        <w:rPr>
          <w:rFonts w:ascii="Times New Roman" w:hAnsi="Times New Roman" w:cs="Times New Roman"/>
        </w:rPr>
        <w:lastRenderedPageBreak/>
        <w:t>stable market access (Amsden, 2003; Khor &amp; Ocampo, 2010). The irony is that economies most capable of absorbing competitive shocks are the heaviest users of such measures, while Southern producers, with far less resilience, bear the costs.</w:t>
      </w:r>
    </w:p>
    <w:p w14:paraId="663290EC" w14:textId="38E86F06"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Another critical channel of dependency arises from the erosion of policy space. The WTO’s Agreement on Subsidies and Countervailing Measures (SCM) prohibits the use of export subsidies for members above a minimal gross domestic product (GDP) threshold. This measure curtailed instruments that had been central to the industrialization of East Asian economies, such as South Korea and Taiwan, which relied on subsidized credit and targeted export promotion to break into global markets (Amsden, 2001). At the same time, developed countries continue to subsidize their agricultural sectors, having merely shifted from export subsidies to domestic supports that remain permissible under WTO rules. In the European Union alone, domestic support for cereals and beef increased by nearly nineteen billion dollars in the late 1990s even as export subsidies were reduced. The result is an entrenched asymmetry where Northern producers enjoy sustained protection while Southern countries are deprived of the very instruments that could facilitate their industrial transition (Aguayo, 2022; Bernhardt, 2014).</w:t>
      </w:r>
    </w:p>
    <w:p w14:paraId="3CEEAA7E" w14:textId="77777777"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 xml:space="preserve">The principle of Special and Differential Treatment (SDT), once celebrated as a guarantee of flexibility for developing countries, has also been hollowed out. Under the General Agreement on Tariffs and Trade (GATT), developing countries were permitted to maintain unbound tariffs, quantitative import restrictions, and domestic content requirements, providing crucial tools to nurture infant industries. With the WTO, these privileges were either eliminated or reduced to voluntary and temporary concessions. Legally binding SDT is now limited mainly to transition periods in agreements such as Trade-Related Aspects of Intellectual Property Rights (TRIPS) and Agriculture, while most provisions take the form of unenforceable “best </w:t>
      </w:r>
      <w:proofErr w:type="spellStart"/>
      <w:r w:rsidRPr="00905507">
        <w:rPr>
          <w:rFonts w:ascii="Times New Roman" w:hAnsi="Times New Roman" w:cs="Times New Roman"/>
        </w:rPr>
        <w:t>endeavour</w:t>
      </w:r>
      <w:proofErr w:type="spellEnd"/>
      <w:r w:rsidRPr="00905507">
        <w:rPr>
          <w:rFonts w:ascii="Times New Roman" w:hAnsi="Times New Roman" w:cs="Times New Roman"/>
        </w:rPr>
        <w:t>” clauses (Khor &amp; Ocampo, 2010; International Institute for Sustainable Development [IISD], 2003). The consequence is a steady erosion of developmental safeguards, leaving weaker economies to liberalize without adequate protections.</w:t>
      </w:r>
    </w:p>
    <w:p w14:paraId="090E4758" w14:textId="62765383" w:rsidR="00905507" w:rsidRPr="00905507" w:rsidRDefault="00B85160" w:rsidP="00B85160">
      <w:pPr>
        <w:spacing w:line="360" w:lineRule="auto"/>
        <w:jc w:val="both"/>
        <w:rPr>
          <w:rFonts w:ascii="Times New Roman" w:hAnsi="Times New Roman" w:cs="Times New Roman"/>
          <w:b/>
          <w:bCs/>
        </w:rPr>
      </w:pPr>
      <w:r>
        <w:rPr>
          <w:rFonts w:ascii="Times New Roman" w:hAnsi="Times New Roman" w:cs="Times New Roman"/>
          <w:b/>
          <w:bCs/>
        </w:rPr>
        <w:t xml:space="preserve">3.1 </w:t>
      </w:r>
      <w:r w:rsidR="00905507" w:rsidRPr="00905507">
        <w:rPr>
          <w:rFonts w:ascii="Times New Roman" w:hAnsi="Times New Roman" w:cs="Times New Roman"/>
          <w:b/>
          <w:bCs/>
        </w:rPr>
        <w:t>National Experiences: Nigeria and South Africa</w:t>
      </w:r>
    </w:p>
    <w:p w14:paraId="6C452CA9" w14:textId="5CF0548C"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 xml:space="preserve">The domestic implications of these structural constraints are evident in two major African economies. In Nigeria, the full adoption of WTO rules combined with inadequate industrial support policies exposed the economy to import surges, turning the domestic market into what </w:t>
      </w:r>
      <w:r w:rsidRPr="00905507">
        <w:rPr>
          <w:rFonts w:ascii="Times New Roman" w:hAnsi="Times New Roman" w:cs="Times New Roman"/>
        </w:rPr>
        <w:lastRenderedPageBreak/>
        <w:t>industry associations describe as a dumping ground. The Manufacturers Association of Nigeria and other private-sector groups have consistently raised alarms about factory closures in textiles, consumer goods, and electronics, linking them directly to unfair competition under WTO liberalization (</w:t>
      </w:r>
      <w:proofErr w:type="spellStart"/>
      <w:r w:rsidRPr="00905507">
        <w:rPr>
          <w:rFonts w:ascii="Times New Roman" w:hAnsi="Times New Roman" w:cs="Times New Roman"/>
        </w:rPr>
        <w:t>Nnabuihe</w:t>
      </w:r>
      <w:proofErr w:type="spellEnd"/>
      <w:r w:rsidR="004E24B5">
        <w:rPr>
          <w:rFonts w:ascii="Times New Roman" w:hAnsi="Times New Roman" w:cs="Times New Roman"/>
        </w:rPr>
        <w:t xml:space="preserve"> et al. </w:t>
      </w:r>
      <w:r w:rsidRPr="00905507">
        <w:rPr>
          <w:rFonts w:ascii="Times New Roman" w:hAnsi="Times New Roman" w:cs="Times New Roman"/>
        </w:rPr>
        <w:t xml:space="preserve">2014). The inability of local industries to survive against subsidized imports has deepened dependence on crude oil exports, reinforcing a fragile mono-economy vulnerable to global price volatility (Rena, 2012; </w:t>
      </w:r>
      <w:proofErr w:type="spellStart"/>
      <w:r w:rsidRPr="00905507">
        <w:rPr>
          <w:rFonts w:ascii="Times New Roman" w:hAnsi="Times New Roman" w:cs="Times New Roman"/>
        </w:rPr>
        <w:t>Ezeonwuka</w:t>
      </w:r>
      <w:proofErr w:type="spellEnd"/>
      <w:r w:rsidR="004E24B5">
        <w:rPr>
          <w:rFonts w:ascii="Times New Roman" w:hAnsi="Times New Roman" w:cs="Times New Roman"/>
        </w:rPr>
        <w:t xml:space="preserve"> et al., </w:t>
      </w:r>
      <w:r w:rsidRPr="00905507">
        <w:rPr>
          <w:rFonts w:ascii="Times New Roman" w:hAnsi="Times New Roman" w:cs="Times New Roman"/>
        </w:rPr>
        <w:t>2025).</w:t>
      </w:r>
      <w:r w:rsidR="000834A2">
        <w:rPr>
          <w:rFonts w:ascii="Times New Roman" w:hAnsi="Times New Roman" w:cs="Times New Roman"/>
        </w:rPr>
        <w:t xml:space="preserve"> </w:t>
      </w:r>
      <w:r w:rsidRPr="00905507">
        <w:rPr>
          <w:rFonts w:ascii="Times New Roman" w:hAnsi="Times New Roman" w:cs="Times New Roman"/>
        </w:rPr>
        <w:t xml:space="preserve">By contrast, South Africa’s integration into the WTO presents a more nuanced picture. Following the end of apartheid, the government undertook wide-ranging trade reforms, binding 98 percent of tariff lines, reducing rates, and phasing out subsidies (Edwards, 2005). These reforms coincided with modest economic recovery, as average GDP growth increased from 0.19 percent in the early 1990s to 2.58 percent between 1995 and 1999 (Faulkner &amp; Loewald, 2008). Empirical evidence suggests that WTO membership promoted export growth, particularly in manufactured goods, though this came at the cost of significant exposure to global competition and rising inequality (Cuong et al., 2015; </w:t>
      </w:r>
      <w:proofErr w:type="spellStart"/>
      <w:r w:rsidRPr="00905507">
        <w:rPr>
          <w:rFonts w:ascii="Times New Roman" w:hAnsi="Times New Roman" w:cs="Times New Roman"/>
        </w:rPr>
        <w:t>Busse</w:t>
      </w:r>
      <w:proofErr w:type="spellEnd"/>
      <w:r w:rsidRPr="00905507">
        <w:rPr>
          <w:rFonts w:ascii="Times New Roman" w:hAnsi="Times New Roman" w:cs="Times New Roman"/>
        </w:rPr>
        <w:t xml:space="preserve"> &amp; </w:t>
      </w:r>
      <w:proofErr w:type="spellStart"/>
      <w:r w:rsidRPr="00905507">
        <w:rPr>
          <w:rFonts w:ascii="Times New Roman" w:hAnsi="Times New Roman" w:cs="Times New Roman"/>
        </w:rPr>
        <w:t>Gröning</w:t>
      </w:r>
      <w:proofErr w:type="spellEnd"/>
      <w:r w:rsidRPr="00905507">
        <w:rPr>
          <w:rFonts w:ascii="Times New Roman" w:hAnsi="Times New Roman" w:cs="Times New Roman"/>
        </w:rPr>
        <w:t>, 2011). The South African case underscores that while the WTO can act as a vehicle of integration and reform, its benefits are highly uneven and conditioned by domestic capacity.</w:t>
      </w:r>
    </w:p>
    <w:p w14:paraId="56CAE7FF" w14:textId="77777777" w:rsidR="000834A2" w:rsidRPr="000834A2" w:rsidRDefault="000834A2" w:rsidP="000834A2">
      <w:pPr>
        <w:spacing w:after="0"/>
        <w:jc w:val="both"/>
        <w:rPr>
          <w:rFonts w:ascii="Times New Roman" w:hAnsi="Times New Roman" w:cs="Times New Roman"/>
          <w:b/>
          <w:bCs/>
        </w:rPr>
      </w:pPr>
      <w:r w:rsidRPr="000834A2">
        <w:rPr>
          <w:rFonts w:ascii="Times New Roman" w:hAnsi="Times New Roman" w:cs="Times New Roman"/>
          <w:b/>
          <w:bCs/>
        </w:rPr>
        <w:t>Table 1. Contrasting Experiences of Nigeria and South Africa in the World Trade Organization (WTO)</w:t>
      </w:r>
    </w:p>
    <w:tbl>
      <w:tblPr>
        <w:tblStyle w:val="TableGrid"/>
        <w:tblW w:w="0" w:type="auto"/>
        <w:tblInd w:w="108" w:type="dxa"/>
        <w:tblLook w:val="04A0" w:firstRow="1" w:lastRow="0" w:firstColumn="1" w:lastColumn="0" w:noHBand="0" w:noVBand="1"/>
      </w:tblPr>
      <w:tblGrid>
        <w:gridCol w:w="1965"/>
        <w:gridCol w:w="2350"/>
        <w:gridCol w:w="2502"/>
        <w:gridCol w:w="2389"/>
      </w:tblGrid>
      <w:tr w:rsidR="000834A2" w:rsidRPr="000834A2" w14:paraId="04D5BC45" w14:textId="77777777" w:rsidTr="000834A2">
        <w:trPr>
          <w:trHeight w:val="286"/>
        </w:trPr>
        <w:tc>
          <w:tcPr>
            <w:tcW w:w="1965" w:type="dxa"/>
          </w:tcPr>
          <w:p w14:paraId="41330B83" w14:textId="77777777" w:rsidR="000834A2" w:rsidRPr="000834A2" w:rsidRDefault="000834A2" w:rsidP="002B0766">
            <w:pPr>
              <w:rPr>
                <w:rFonts w:ascii="Times New Roman" w:hAnsi="Times New Roman" w:cs="Times New Roman"/>
                <w:b/>
                <w:bCs/>
                <w:sz w:val="23"/>
                <w:szCs w:val="23"/>
              </w:rPr>
            </w:pPr>
            <w:r w:rsidRPr="000834A2">
              <w:rPr>
                <w:rFonts w:ascii="Times New Roman" w:hAnsi="Times New Roman" w:cs="Times New Roman"/>
                <w:b/>
                <w:bCs/>
                <w:sz w:val="23"/>
                <w:szCs w:val="23"/>
              </w:rPr>
              <w:t>Indicator</w:t>
            </w:r>
          </w:p>
        </w:tc>
        <w:tc>
          <w:tcPr>
            <w:tcW w:w="2350" w:type="dxa"/>
          </w:tcPr>
          <w:p w14:paraId="5E4D6D51" w14:textId="77777777" w:rsidR="000834A2" w:rsidRPr="000834A2" w:rsidRDefault="000834A2" w:rsidP="002B0766">
            <w:pPr>
              <w:rPr>
                <w:rFonts w:ascii="Times New Roman" w:hAnsi="Times New Roman" w:cs="Times New Roman"/>
                <w:b/>
                <w:bCs/>
                <w:sz w:val="23"/>
                <w:szCs w:val="23"/>
              </w:rPr>
            </w:pPr>
            <w:r w:rsidRPr="000834A2">
              <w:rPr>
                <w:rFonts w:ascii="Times New Roman" w:hAnsi="Times New Roman" w:cs="Times New Roman"/>
                <w:b/>
                <w:bCs/>
                <w:sz w:val="23"/>
                <w:szCs w:val="23"/>
              </w:rPr>
              <w:t>Nigeria</w:t>
            </w:r>
          </w:p>
        </w:tc>
        <w:tc>
          <w:tcPr>
            <w:tcW w:w="2502" w:type="dxa"/>
          </w:tcPr>
          <w:p w14:paraId="5B679643" w14:textId="77777777" w:rsidR="000834A2" w:rsidRPr="000834A2" w:rsidRDefault="000834A2" w:rsidP="002B0766">
            <w:pPr>
              <w:rPr>
                <w:rFonts w:ascii="Times New Roman" w:hAnsi="Times New Roman" w:cs="Times New Roman"/>
                <w:b/>
                <w:bCs/>
                <w:sz w:val="23"/>
                <w:szCs w:val="23"/>
              </w:rPr>
            </w:pPr>
            <w:r w:rsidRPr="000834A2">
              <w:rPr>
                <w:rFonts w:ascii="Times New Roman" w:hAnsi="Times New Roman" w:cs="Times New Roman"/>
                <w:b/>
                <w:bCs/>
                <w:sz w:val="23"/>
                <w:szCs w:val="23"/>
              </w:rPr>
              <w:t>South Africa</w:t>
            </w:r>
          </w:p>
        </w:tc>
        <w:tc>
          <w:tcPr>
            <w:tcW w:w="2389" w:type="dxa"/>
          </w:tcPr>
          <w:p w14:paraId="2FFC8060" w14:textId="77777777" w:rsidR="000834A2" w:rsidRPr="000834A2" w:rsidRDefault="000834A2" w:rsidP="002B0766">
            <w:pPr>
              <w:rPr>
                <w:rFonts w:ascii="Times New Roman" w:hAnsi="Times New Roman" w:cs="Times New Roman"/>
                <w:b/>
                <w:bCs/>
                <w:sz w:val="23"/>
                <w:szCs w:val="23"/>
              </w:rPr>
            </w:pPr>
            <w:r w:rsidRPr="000834A2">
              <w:rPr>
                <w:rFonts w:ascii="Times New Roman" w:hAnsi="Times New Roman" w:cs="Times New Roman"/>
                <w:b/>
                <w:bCs/>
                <w:sz w:val="23"/>
                <w:szCs w:val="23"/>
              </w:rPr>
              <w:t>References</w:t>
            </w:r>
          </w:p>
        </w:tc>
      </w:tr>
      <w:tr w:rsidR="000834A2" w:rsidRPr="000834A2" w14:paraId="56CE7D0F" w14:textId="77777777" w:rsidTr="000834A2">
        <w:trPr>
          <w:trHeight w:val="458"/>
        </w:trPr>
        <w:tc>
          <w:tcPr>
            <w:tcW w:w="1965" w:type="dxa"/>
          </w:tcPr>
          <w:p w14:paraId="16A44AEE"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WTO Accession</w:t>
            </w:r>
          </w:p>
        </w:tc>
        <w:tc>
          <w:tcPr>
            <w:tcW w:w="2350" w:type="dxa"/>
          </w:tcPr>
          <w:p w14:paraId="37DB5837"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Joined in 1995</w:t>
            </w:r>
          </w:p>
        </w:tc>
        <w:tc>
          <w:tcPr>
            <w:tcW w:w="2502" w:type="dxa"/>
          </w:tcPr>
          <w:p w14:paraId="74D401F4"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Joined in 1995</w:t>
            </w:r>
          </w:p>
        </w:tc>
        <w:tc>
          <w:tcPr>
            <w:tcW w:w="2389" w:type="dxa"/>
          </w:tcPr>
          <w:p w14:paraId="045BF4E4" w14:textId="13FCB0C1"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 xml:space="preserve">Edwards (2005); </w:t>
            </w:r>
            <w:proofErr w:type="spellStart"/>
            <w:r w:rsidRPr="000834A2">
              <w:rPr>
                <w:rFonts w:ascii="Times New Roman" w:hAnsi="Times New Roman" w:cs="Times New Roman"/>
                <w:sz w:val="23"/>
                <w:szCs w:val="23"/>
              </w:rPr>
              <w:t>Nnabuihe</w:t>
            </w:r>
            <w:proofErr w:type="spellEnd"/>
            <w:r w:rsidRPr="000834A2">
              <w:rPr>
                <w:rFonts w:ascii="Times New Roman" w:hAnsi="Times New Roman" w:cs="Times New Roman"/>
                <w:sz w:val="23"/>
                <w:szCs w:val="23"/>
              </w:rPr>
              <w:t xml:space="preserve"> et al. (2014)</w:t>
            </w:r>
          </w:p>
        </w:tc>
      </w:tr>
      <w:tr w:rsidR="000834A2" w:rsidRPr="00D84881" w14:paraId="754993C3" w14:textId="77777777" w:rsidTr="000834A2">
        <w:trPr>
          <w:trHeight w:val="971"/>
        </w:trPr>
        <w:tc>
          <w:tcPr>
            <w:tcW w:w="1965" w:type="dxa"/>
          </w:tcPr>
          <w:p w14:paraId="4AA0850F"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Approach to Liberalization</w:t>
            </w:r>
          </w:p>
        </w:tc>
        <w:tc>
          <w:tcPr>
            <w:tcW w:w="2350" w:type="dxa"/>
          </w:tcPr>
          <w:p w14:paraId="0B1D7DC6"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Full adoption of commitments without strong domestic safeguards</w:t>
            </w:r>
          </w:p>
        </w:tc>
        <w:tc>
          <w:tcPr>
            <w:tcW w:w="2502" w:type="dxa"/>
          </w:tcPr>
          <w:p w14:paraId="056EC8EF"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Integrated into broader post-apartheid reform strategy</w:t>
            </w:r>
          </w:p>
        </w:tc>
        <w:tc>
          <w:tcPr>
            <w:tcW w:w="2389" w:type="dxa"/>
          </w:tcPr>
          <w:p w14:paraId="061F2E8D" w14:textId="535FC59F" w:rsidR="000834A2" w:rsidRPr="000834A2" w:rsidRDefault="000834A2" w:rsidP="002B0766">
            <w:pPr>
              <w:rPr>
                <w:rFonts w:ascii="Times New Roman" w:hAnsi="Times New Roman" w:cs="Times New Roman"/>
                <w:sz w:val="23"/>
                <w:szCs w:val="23"/>
                <w:lang w:val="it-IT"/>
              </w:rPr>
            </w:pPr>
            <w:r w:rsidRPr="000834A2">
              <w:rPr>
                <w:rFonts w:ascii="Times New Roman" w:hAnsi="Times New Roman" w:cs="Times New Roman"/>
                <w:sz w:val="23"/>
                <w:szCs w:val="23"/>
                <w:lang w:val="it-IT"/>
              </w:rPr>
              <w:t>Nnabuihe et al. (2014); Rena (2012); Edwards (2005)</w:t>
            </w:r>
          </w:p>
        </w:tc>
      </w:tr>
      <w:tr w:rsidR="000834A2" w:rsidRPr="000834A2" w14:paraId="6898C099" w14:textId="77777777" w:rsidTr="000834A2">
        <w:trPr>
          <w:trHeight w:val="1034"/>
        </w:trPr>
        <w:tc>
          <w:tcPr>
            <w:tcW w:w="1965" w:type="dxa"/>
          </w:tcPr>
          <w:p w14:paraId="22B6970E"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Industrial Impact</w:t>
            </w:r>
          </w:p>
        </w:tc>
        <w:tc>
          <w:tcPr>
            <w:tcW w:w="2350" w:type="dxa"/>
          </w:tcPr>
          <w:p w14:paraId="51CDA743"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Collapse of textiles, electronics, and consumer goods; heavy import dependence</w:t>
            </w:r>
          </w:p>
        </w:tc>
        <w:tc>
          <w:tcPr>
            <w:tcW w:w="2502" w:type="dxa"/>
          </w:tcPr>
          <w:p w14:paraId="59969180"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Export expansion in manufacturing, especially automotive; participation in global value chains</w:t>
            </w:r>
          </w:p>
        </w:tc>
        <w:tc>
          <w:tcPr>
            <w:tcW w:w="2389" w:type="dxa"/>
          </w:tcPr>
          <w:p w14:paraId="0058C561" w14:textId="4ADCB44B" w:rsidR="000834A2" w:rsidRPr="000834A2" w:rsidRDefault="000834A2" w:rsidP="002B0766">
            <w:pPr>
              <w:rPr>
                <w:rFonts w:ascii="Times New Roman" w:hAnsi="Times New Roman" w:cs="Times New Roman"/>
                <w:sz w:val="23"/>
                <w:szCs w:val="23"/>
                <w:lang w:val="da-DK"/>
              </w:rPr>
            </w:pPr>
            <w:r w:rsidRPr="000834A2">
              <w:rPr>
                <w:rFonts w:ascii="Times New Roman" w:hAnsi="Times New Roman" w:cs="Times New Roman"/>
                <w:sz w:val="23"/>
                <w:szCs w:val="23"/>
                <w:lang w:val="da-DK"/>
              </w:rPr>
              <w:t>Ezeonwuka et al. (2025); Busse &amp; Gröning (2011); Cuong et al. (2015)</w:t>
            </w:r>
          </w:p>
        </w:tc>
      </w:tr>
      <w:tr w:rsidR="000834A2" w:rsidRPr="005C0C3A" w14:paraId="2E9E1599" w14:textId="77777777" w:rsidTr="000834A2">
        <w:trPr>
          <w:trHeight w:val="1214"/>
        </w:trPr>
        <w:tc>
          <w:tcPr>
            <w:tcW w:w="1965" w:type="dxa"/>
          </w:tcPr>
          <w:p w14:paraId="4721ADC9"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Agricultural Impact</w:t>
            </w:r>
          </w:p>
        </w:tc>
        <w:tc>
          <w:tcPr>
            <w:tcW w:w="2350" w:type="dxa"/>
          </w:tcPr>
          <w:p w14:paraId="7214D813"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Severe competition from subsidized imports; decline in local farming</w:t>
            </w:r>
          </w:p>
        </w:tc>
        <w:tc>
          <w:tcPr>
            <w:tcW w:w="2502" w:type="dxa"/>
          </w:tcPr>
          <w:p w14:paraId="24B24BDD"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Mixed outcomes; liberalization opened opportunities but hurt labor-intensive sectors like clothing</w:t>
            </w:r>
          </w:p>
        </w:tc>
        <w:tc>
          <w:tcPr>
            <w:tcW w:w="2389" w:type="dxa"/>
          </w:tcPr>
          <w:p w14:paraId="6715139B" w14:textId="429515AA" w:rsidR="000834A2" w:rsidRPr="005C0C3A" w:rsidRDefault="000834A2" w:rsidP="002B0766">
            <w:pPr>
              <w:rPr>
                <w:rFonts w:ascii="Times New Roman" w:hAnsi="Times New Roman" w:cs="Times New Roman"/>
                <w:sz w:val="23"/>
                <w:szCs w:val="23"/>
              </w:rPr>
            </w:pPr>
            <w:r w:rsidRPr="005C0C3A">
              <w:rPr>
                <w:rFonts w:ascii="Times New Roman" w:hAnsi="Times New Roman" w:cs="Times New Roman"/>
                <w:sz w:val="23"/>
                <w:szCs w:val="23"/>
              </w:rPr>
              <w:t xml:space="preserve">Rena (2012); </w:t>
            </w:r>
            <w:proofErr w:type="spellStart"/>
            <w:r w:rsidR="005C0C3A" w:rsidRPr="005C0C3A">
              <w:rPr>
                <w:rFonts w:ascii="Times New Roman" w:hAnsi="Times New Roman" w:cs="Times New Roman"/>
                <w:sz w:val="23"/>
                <w:szCs w:val="23"/>
              </w:rPr>
              <w:t>Abdullateef</w:t>
            </w:r>
            <w:proofErr w:type="spellEnd"/>
            <w:r w:rsidR="005C0C3A">
              <w:rPr>
                <w:rFonts w:ascii="Times New Roman" w:hAnsi="Times New Roman" w:cs="Times New Roman"/>
                <w:sz w:val="23"/>
                <w:szCs w:val="23"/>
              </w:rPr>
              <w:t xml:space="preserve"> </w:t>
            </w:r>
            <w:r w:rsidR="005C0C3A" w:rsidRPr="005C0C3A">
              <w:rPr>
                <w:rFonts w:ascii="Times New Roman" w:hAnsi="Times New Roman" w:cs="Times New Roman"/>
                <w:sz w:val="23"/>
                <w:szCs w:val="23"/>
              </w:rPr>
              <w:t xml:space="preserve">&amp; </w:t>
            </w:r>
            <w:proofErr w:type="spellStart"/>
            <w:r w:rsidR="005C0C3A" w:rsidRPr="005C0C3A">
              <w:rPr>
                <w:rFonts w:ascii="Times New Roman" w:hAnsi="Times New Roman" w:cs="Times New Roman"/>
                <w:sz w:val="23"/>
                <w:szCs w:val="23"/>
              </w:rPr>
              <w:t>Ijaiya</w:t>
            </w:r>
            <w:proofErr w:type="spellEnd"/>
            <w:r w:rsidR="005C0C3A" w:rsidRPr="005C0C3A">
              <w:rPr>
                <w:rFonts w:ascii="Times New Roman" w:hAnsi="Times New Roman" w:cs="Times New Roman"/>
                <w:sz w:val="23"/>
                <w:szCs w:val="23"/>
              </w:rPr>
              <w:t>,</w:t>
            </w:r>
            <w:r w:rsidR="005C0C3A">
              <w:rPr>
                <w:rFonts w:ascii="Times New Roman" w:hAnsi="Times New Roman" w:cs="Times New Roman"/>
                <w:sz w:val="23"/>
                <w:szCs w:val="23"/>
              </w:rPr>
              <w:t xml:space="preserve"> </w:t>
            </w:r>
            <w:r w:rsidR="005C0C3A" w:rsidRPr="005C0C3A">
              <w:rPr>
                <w:rFonts w:ascii="Times New Roman" w:hAnsi="Times New Roman" w:cs="Times New Roman"/>
                <w:sz w:val="23"/>
                <w:szCs w:val="23"/>
              </w:rPr>
              <w:t>(2010)</w:t>
            </w:r>
            <w:r w:rsidRPr="005C0C3A">
              <w:rPr>
                <w:rFonts w:ascii="Times New Roman" w:hAnsi="Times New Roman" w:cs="Times New Roman"/>
                <w:sz w:val="23"/>
                <w:szCs w:val="23"/>
              </w:rPr>
              <w:t>; Kaplan (2004)</w:t>
            </w:r>
          </w:p>
        </w:tc>
      </w:tr>
      <w:tr w:rsidR="000834A2" w:rsidRPr="000834A2" w14:paraId="3C561975" w14:textId="77777777" w:rsidTr="000834A2">
        <w:trPr>
          <w:trHeight w:val="998"/>
        </w:trPr>
        <w:tc>
          <w:tcPr>
            <w:tcW w:w="1965" w:type="dxa"/>
          </w:tcPr>
          <w:p w14:paraId="01AF64D4"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Policy Space</w:t>
            </w:r>
          </w:p>
        </w:tc>
        <w:tc>
          <w:tcPr>
            <w:tcW w:w="2350" w:type="dxa"/>
          </w:tcPr>
          <w:p w14:paraId="40BBCF1D"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Restricted by WTO rules; limited ability to use subsidies or local content requirements</w:t>
            </w:r>
          </w:p>
        </w:tc>
        <w:tc>
          <w:tcPr>
            <w:tcW w:w="2502" w:type="dxa"/>
          </w:tcPr>
          <w:p w14:paraId="00056AED"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Some flexibility but constrained compared to East Asian economies</w:t>
            </w:r>
          </w:p>
        </w:tc>
        <w:tc>
          <w:tcPr>
            <w:tcW w:w="2389" w:type="dxa"/>
          </w:tcPr>
          <w:p w14:paraId="6AE3B2FA" w14:textId="5647E4F8"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Khor &amp; Ocampo (2010); Rodrik (2006)</w:t>
            </w:r>
          </w:p>
        </w:tc>
      </w:tr>
      <w:tr w:rsidR="000834A2" w:rsidRPr="00D84881" w14:paraId="31F104A5" w14:textId="77777777" w:rsidTr="000834A2">
        <w:trPr>
          <w:trHeight w:val="1160"/>
        </w:trPr>
        <w:tc>
          <w:tcPr>
            <w:tcW w:w="1965" w:type="dxa"/>
          </w:tcPr>
          <w:p w14:paraId="4E1B6FD9"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lastRenderedPageBreak/>
              <w:t>Economic Outcome</w:t>
            </w:r>
          </w:p>
        </w:tc>
        <w:tc>
          <w:tcPr>
            <w:tcW w:w="2350" w:type="dxa"/>
          </w:tcPr>
          <w:p w14:paraId="0D9EC994"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Deepened dependency on crude oil; high vulnerability to global shocks</w:t>
            </w:r>
          </w:p>
        </w:tc>
        <w:tc>
          <w:tcPr>
            <w:tcW w:w="2502" w:type="dxa"/>
          </w:tcPr>
          <w:p w14:paraId="1FA7DBE7" w14:textId="77777777" w:rsidR="000834A2" w:rsidRPr="000834A2" w:rsidRDefault="000834A2" w:rsidP="002B0766">
            <w:pPr>
              <w:rPr>
                <w:rFonts w:ascii="Times New Roman" w:hAnsi="Times New Roman" w:cs="Times New Roman"/>
                <w:sz w:val="23"/>
                <w:szCs w:val="23"/>
              </w:rPr>
            </w:pPr>
            <w:r w:rsidRPr="000834A2">
              <w:rPr>
                <w:rFonts w:ascii="Times New Roman" w:hAnsi="Times New Roman" w:cs="Times New Roman"/>
                <w:sz w:val="23"/>
                <w:szCs w:val="23"/>
              </w:rPr>
              <w:t>Modest GDP growth recovery, but inequality and unemployment persist</w:t>
            </w:r>
          </w:p>
        </w:tc>
        <w:tc>
          <w:tcPr>
            <w:tcW w:w="2389" w:type="dxa"/>
          </w:tcPr>
          <w:p w14:paraId="05ABFC0C" w14:textId="1834B211" w:rsidR="000834A2" w:rsidRPr="00D84881" w:rsidRDefault="000834A2" w:rsidP="002B0766">
            <w:pPr>
              <w:rPr>
                <w:rFonts w:ascii="Times New Roman" w:hAnsi="Times New Roman" w:cs="Times New Roman"/>
                <w:sz w:val="23"/>
                <w:szCs w:val="23"/>
                <w:lang w:val="da-DK"/>
              </w:rPr>
            </w:pPr>
            <w:r w:rsidRPr="00D84881">
              <w:rPr>
                <w:rFonts w:ascii="Times New Roman" w:hAnsi="Times New Roman" w:cs="Times New Roman"/>
                <w:sz w:val="23"/>
                <w:szCs w:val="23"/>
                <w:lang w:val="da-DK"/>
              </w:rPr>
              <w:t>Faulkner &amp; Loewald (2008); Du Plessis &amp; Smit (2007)</w:t>
            </w:r>
          </w:p>
        </w:tc>
      </w:tr>
    </w:tbl>
    <w:p w14:paraId="6512482F" w14:textId="77777777" w:rsidR="000834A2" w:rsidRPr="00D84881" w:rsidRDefault="000834A2" w:rsidP="000834A2">
      <w:pPr>
        <w:spacing w:line="240" w:lineRule="auto"/>
        <w:jc w:val="both"/>
        <w:rPr>
          <w:rFonts w:ascii="Times New Roman" w:hAnsi="Times New Roman" w:cs="Times New Roman"/>
          <w:b/>
          <w:bCs/>
          <w:lang w:val="da-DK"/>
        </w:rPr>
      </w:pPr>
    </w:p>
    <w:p w14:paraId="0382271D" w14:textId="3CF6D9E7" w:rsidR="00905507" w:rsidRPr="00905507" w:rsidRDefault="00B85160" w:rsidP="000834A2">
      <w:pPr>
        <w:spacing w:line="240" w:lineRule="auto"/>
        <w:jc w:val="both"/>
        <w:rPr>
          <w:rFonts w:ascii="Times New Roman" w:hAnsi="Times New Roman" w:cs="Times New Roman"/>
          <w:b/>
          <w:bCs/>
        </w:rPr>
      </w:pPr>
      <w:r>
        <w:rPr>
          <w:rFonts w:ascii="Times New Roman" w:hAnsi="Times New Roman" w:cs="Times New Roman"/>
          <w:b/>
          <w:bCs/>
        </w:rPr>
        <w:t xml:space="preserve">4. </w:t>
      </w:r>
      <w:r w:rsidR="00905507" w:rsidRPr="00905507">
        <w:rPr>
          <w:rFonts w:ascii="Times New Roman" w:hAnsi="Times New Roman" w:cs="Times New Roman"/>
          <w:b/>
          <w:bCs/>
        </w:rPr>
        <w:t>Economic Diplomacy and Differentiated Strategies</w:t>
      </w:r>
    </w:p>
    <w:p w14:paraId="332345FF" w14:textId="39BF2F32" w:rsidR="00905507" w:rsidRPr="00905507" w:rsidRDefault="00B85160" w:rsidP="000834A2">
      <w:pPr>
        <w:spacing w:line="240" w:lineRule="auto"/>
        <w:jc w:val="both"/>
        <w:rPr>
          <w:rFonts w:ascii="Times New Roman" w:hAnsi="Times New Roman" w:cs="Times New Roman"/>
          <w:b/>
          <w:bCs/>
        </w:rPr>
      </w:pPr>
      <w:r>
        <w:rPr>
          <w:rFonts w:ascii="Times New Roman" w:hAnsi="Times New Roman" w:cs="Times New Roman"/>
          <w:b/>
          <w:bCs/>
        </w:rPr>
        <w:t xml:space="preserve">4.1. </w:t>
      </w:r>
      <w:r w:rsidR="00905507" w:rsidRPr="00905507">
        <w:rPr>
          <w:rFonts w:ascii="Times New Roman" w:hAnsi="Times New Roman" w:cs="Times New Roman"/>
          <w:b/>
          <w:bCs/>
        </w:rPr>
        <w:t>Coalition Politics and Collective Bargaining</w:t>
      </w:r>
    </w:p>
    <w:p w14:paraId="6B4125E5" w14:textId="77777777"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Although structural dependency constrains many Global South economies within the World Trade Organization (WTO), the institution has also functioned as an arena for economic diplomacy where developing countries can contest inequalities and negotiate collectively. One of the clearest illustrations of this came during the Cancún Ministerial Conference in 2003, when the formation of the Group of 20 (G-20) coalition challenged the dominance of the United States and the European Union by pressing for meaningful reform of agricultural subsidies. This coalition, which included Brazil, India, China, and South Africa among others, symbolized a new capacity of Southern states to engage in collective bargaining and demonstrated that the South could disrupt long-standing asymmetries in multilateral negotiations (Esparza, 2010). Such moments of coalition-building underscore how the WTO can provide a diplomatic platform for the Global South to articulate shared interests, even in the face of structural imbalances.</w:t>
      </w:r>
    </w:p>
    <w:p w14:paraId="3D57AF5D" w14:textId="32D683C8" w:rsidR="00905507" w:rsidRPr="00905507" w:rsidRDefault="00B85160" w:rsidP="00B85160">
      <w:pPr>
        <w:spacing w:line="360" w:lineRule="auto"/>
        <w:jc w:val="both"/>
        <w:rPr>
          <w:rFonts w:ascii="Times New Roman" w:hAnsi="Times New Roman" w:cs="Times New Roman"/>
        </w:rPr>
      </w:pPr>
      <w:r>
        <w:rPr>
          <w:rFonts w:ascii="Times New Roman" w:hAnsi="Times New Roman" w:cs="Times New Roman"/>
        </w:rPr>
        <w:t>However,</w:t>
      </w:r>
      <w:r w:rsidR="00905507" w:rsidRPr="00905507">
        <w:rPr>
          <w:rFonts w:ascii="Times New Roman" w:hAnsi="Times New Roman" w:cs="Times New Roman"/>
        </w:rPr>
        <w:t xml:space="preserve"> the politics of coalition diplomacy have become increasingly fragmented. The traditional North–South cleavage has been complicated by the rise of major emerging economies whose strategies often diverge from those of smaller developing countries. Research shows that Brazil, India, and China, while united in resisting Northern dominance in some areas, have pursued distinct approaches to “developing-country status” and the use of Special and Differential Treatment (SDT) within the WTO (</w:t>
      </w:r>
      <w:proofErr w:type="spellStart"/>
      <w:r w:rsidR="00905507" w:rsidRPr="00905507">
        <w:rPr>
          <w:rFonts w:ascii="Times New Roman" w:hAnsi="Times New Roman" w:cs="Times New Roman"/>
        </w:rPr>
        <w:t>Schöfer</w:t>
      </w:r>
      <w:proofErr w:type="spellEnd"/>
      <w:r w:rsidR="00905507" w:rsidRPr="00905507">
        <w:rPr>
          <w:rFonts w:ascii="Times New Roman" w:hAnsi="Times New Roman" w:cs="Times New Roman"/>
        </w:rPr>
        <w:t xml:space="preserve"> &amp; </w:t>
      </w:r>
      <w:proofErr w:type="spellStart"/>
      <w:r w:rsidR="00905507" w:rsidRPr="00905507">
        <w:rPr>
          <w:rFonts w:ascii="Times New Roman" w:hAnsi="Times New Roman" w:cs="Times New Roman"/>
        </w:rPr>
        <w:t>Weinhardt</w:t>
      </w:r>
      <w:proofErr w:type="spellEnd"/>
      <w:r w:rsidR="00905507" w:rsidRPr="00905507">
        <w:rPr>
          <w:rFonts w:ascii="Times New Roman" w:hAnsi="Times New Roman" w:cs="Times New Roman"/>
        </w:rPr>
        <w:t>, 2022). Brazil has tended toward active coalition leadership, India has prioritized preserving flexibility in agricultural policy, and China has leveraged its developing-country designation to protect domestic policy space while simultaneously positioning itself as a global trade power (Weinhardt, 2023). These divergences illustrate that the Global South is far from homogenous in its diplomatic strategies, and that “developing-country” status has become a contested political category rather than a unified bloc (Weinhardt &amp; Schöfer, 2021).</w:t>
      </w:r>
    </w:p>
    <w:p w14:paraId="67EF4F49" w14:textId="77777777"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lastRenderedPageBreak/>
        <w:t>The evolution of this diplomatic landscape has important implications for reform debates. Calls for completing the Doha Development Agenda, particularly in agriculture and subsidies, remain central to the demands of many developing countries, yet progress has stalled due to Northern resistance and divisions within the South itself (Naidu, 2025). Policy analyses suggest that while smaller economies continue to press for stronger SDT provisions, emerging economies are increasingly interested in carving out selective exemptions that serve their own strategic interests (</w:t>
      </w:r>
      <w:proofErr w:type="spellStart"/>
      <w:r w:rsidRPr="00905507">
        <w:rPr>
          <w:rFonts w:ascii="Times New Roman" w:hAnsi="Times New Roman" w:cs="Times New Roman"/>
        </w:rPr>
        <w:t>Jaldi</w:t>
      </w:r>
      <w:proofErr w:type="spellEnd"/>
      <w:r w:rsidRPr="00905507">
        <w:rPr>
          <w:rFonts w:ascii="Times New Roman" w:hAnsi="Times New Roman" w:cs="Times New Roman"/>
        </w:rPr>
        <w:t>, 2023). The WTO thus embodies a paradox: it is simultaneously the forum where developing countries demand greater equity in global trade and the site where the unity of the South is fractured by competing interests and capacities.</w:t>
      </w:r>
    </w:p>
    <w:p w14:paraId="3690C5F6" w14:textId="734766F7" w:rsidR="00905507" w:rsidRPr="00905507" w:rsidRDefault="00B85160" w:rsidP="00B85160">
      <w:pPr>
        <w:spacing w:line="360" w:lineRule="auto"/>
        <w:jc w:val="both"/>
        <w:rPr>
          <w:rFonts w:ascii="Times New Roman" w:hAnsi="Times New Roman" w:cs="Times New Roman"/>
          <w:b/>
          <w:bCs/>
        </w:rPr>
      </w:pPr>
      <w:r>
        <w:rPr>
          <w:rFonts w:ascii="Times New Roman" w:hAnsi="Times New Roman" w:cs="Times New Roman"/>
          <w:b/>
          <w:bCs/>
        </w:rPr>
        <w:t xml:space="preserve">4.2. </w:t>
      </w:r>
      <w:r w:rsidR="00905507" w:rsidRPr="00905507">
        <w:rPr>
          <w:rFonts w:ascii="Times New Roman" w:hAnsi="Times New Roman" w:cs="Times New Roman"/>
          <w:b/>
          <w:bCs/>
        </w:rPr>
        <w:t>Symbolic Participation and Representation</w:t>
      </w:r>
    </w:p>
    <w:p w14:paraId="112D8DA5" w14:textId="683985C1" w:rsidR="00905507" w:rsidRPr="00905507" w:rsidRDefault="00905507" w:rsidP="00B85160">
      <w:pPr>
        <w:spacing w:line="360" w:lineRule="auto"/>
        <w:jc w:val="both"/>
        <w:rPr>
          <w:rFonts w:ascii="Times New Roman" w:hAnsi="Times New Roman" w:cs="Times New Roman"/>
        </w:rPr>
      </w:pPr>
      <w:r w:rsidRPr="00905507">
        <w:rPr>
          <w:rFonts w:ascii="Times New Roman" w:hAnsi="Times New Roman" w:cs="Times New Roman"/>
        </w:rPr>
        <w:t>Economic diplomacy within the WTO extends beyond coalition politics to the symbolic power of participation. For many least developed countries (LDCs), the WTO represents not only a rules-based system but also a space where their voices, however constrained, can be heard in shaping global trade norms. Even when negotiating from a position of weakness, participation allows these states to contest narratives of passivity and assert claims to fairness and justice within the global order (Kaul, 2013; Haug, 2020). Yet the effectiveness of this diplomacy is limited by resource constraints, as many small delegations lack the technical capacity to engage in the complex negotiations that define the WTO’s agenda. This imbalance in representation further underscores the structural inequities of the system.</w:t>
      </w:r>
      <w:r w:rsidR="00B85160">
        <w:rPr>
          <w:rFonts w:ascii="Times New Roman" w:hAnsi="Times New Roman" w:cs="Times New Roman"/>
        </w:rPr>
        <w:t xml:space="preserve"> </w:t>
      </w:r>
      <w:r w:rsidRPr="00905507">
        <w:rPr>
          <w:rFonts w:ascii="Times New Roman" w:hAnsi="Times New Roman" w:cs="Times New Roman"/>
        </w:rPr>
        <w:t>At thirty years since its founding, the WTO thus stands at a crossroads between diplomatic opportunity and institutional stagnation. On one hand, it remains one of the few multilateral institutions where the Global South can formally contest Northern dominance and engage in coalition politics that have at times reshaped negotiations. On the other hand, the fragmentation of developing-country strategies, the enduring asymmetry in bargaining power, and the stalled Doha Development Agenda reinforce the perception that the WTO has failed to fulfill its promise of being a development-oriented institution (Weinhardt &amp; Barros Leal Farias, 2025; Rena, 2012). The challenge for the Global South is therefore to navigate these contradictions</w:t>
      </w:r>
      <w:r w:rsidR="00B85160">
        <w:rPr>
          <w:rFonts w:ascii="Times New Roman" w:hAnsi="Times New Roman" w:cs="Times New Roman"/>
        </w:rPr>
        <w:t xml:space="preserve">, thus, </w:t>
      </w:r>
      <w:r w:rsidRPr="00905507">
        <w:rPr>
          <w:rFonts w:ascii="Times New Roman" w:hAnsi="Times New Roman" w:cs="Times New Roman"/>
        </w:rPr>
        <w:t>leveraging the WTO as a site of economic diplomacy while simultaneously confronting the structural rules that perpetuate dependency.</w:t>
      </w:r>
    </w:p>
    <w:p w14:paraId="10CDB2D6" w14:textId="77777777" w:rsidR="00915F51" w:rsidRDefault="00915F51" w:rsidP="00B85160">
      <w:pPr>
        <w:spacing w:line="240" w:lineRule="auto"/>
        <w:jc w:val="both"/>
        <w:rPr>
          <w:rFonts w:ascii="Times New Roman" w:hAnsi="Times New Roman" w:cs="Times New Roman"/>
          <w:b/>
          <w:bCs/>
        </w:rPr>
      </w:pPr>
    </w:p>
    <w:p w14:paraId="7E0E0BA8" w14:textId="77777777" w:rsidR="00915F51" w:rsidRDefault="00915F51" w:rsidP="00B85160">
      <w:pPr>
        <w:spacing w:line="240" w:lineRule="auto"/>
        <w:jc w:val="both"/>
        <w:rPr>
          <w:rFonts w:ascii="Times New Roman" w:hAnsi="Times New Roman" w:cs="Times New Roman"/>
          <w:b/>
          <w:bCs/>
        </w:rPr>
      </w:pPr>
    </w:p>
    <w:p w14:paraId="66A2E554" w14:textId="3E52803A" w:rsidR="00B85160" w:rsidRPr="00B85160" w:rsidRDefault="00B85160" w:rsidP="00B85160">
      <w:pPr>
        <w:spacing w:line="240" w:lineRule="auto"/>
        <w:jc w:val="both"/>
        <w:rPr>
          <w:rFonts w:ascii="Times New Roman" w:hAnsi="Times New Roman" w:cs="Times New Roman"/>
          <w:b/>
          <w:bCs/>
        </w:rPr>
      </w:pPr>
      <w:r>
        <w:rPr>
          <w:rFonts w:ascii="Times New Roman" w:hAnsi="Times New Roman" w:cs="Times New Roman"/>
          <w:b/>
          <w:bCs/>
        </w:rPr>
        <w:lastRenderedPageBreak/>
        <w:t xml:space="preserve">6. </w:t>
      </w:r>
      <w:r w:rsidRPr="00B85160">
        <w:rPr>
          <w:rFonts w:ascii="Times New Roman" w:hAnsi="Times New Roman" w:cs="Times New Roman"/>
          <w:b/>
          <w:bCs/>
        </w:rPr>
        <w:t>Case Studies of the WTO in Africa</w:t>
      </w:r>
    </w:p>
    <w:p w14:paraId="1244B30A" w14:textId="0CD2E8E9" w:rsidR="00B85160" w:rsidRPr="00B85160" w:rsidRDefault="00B85160" w:rsidP="00B85160">
      <w:pPr>
        <w:spacing w:line="240" w:lineRule="auto"/>
        <w:jc w:val="both"/>
        <w:rPr>
          <w:rFonts w:ascii="Times New Roman" w:hAnsi="Times New Roman" w:cs="Times New Roman"/>
          <w:b/>
          <w:bCs/>
        </w:rPr>
      </w:pPr>
      <w:r>
        <w:rPr>
          <w:rFonts w:ascii="Times New Roman" w:hAnsi="Times New Roman" w:cs="Times New Roman"/>
          <w:b/>
          <w:bCs/>
        </w:rPr>
        <w:t xml:space="preserve">6.1. </w:t>
      </w:r>
      <w:r w:rsidRPr="00B85160">
        <w:rPr>
          <w:rFonts w:ascii="Times New Roman" w:hAnsi="Times New Roman" w:cs="Times New Roman"/>
          <w:b/>
          <w:bCs/>
        </w:rPr>
        <w:t>Nigeria in the World Trade Organization</w:t>
      </w:r>
    </w:p>
    <w:p w14:paraId="2BA60A85" w14:textId="4A577509"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Nigeria’s trajectory in the World Trade Organization (WTO) highlights the vulnerabilities of liberalization undertaken without sufficient domestic capacity and industrial support. From the mid-1990s, the full adoption of WTO commitments exposed the Nigerian economy to import surges that domestic industries were unable to withstand. The Manufacturers Association of Nigeria (MAN) and the Nigerian Employers’ Consultative Association (NECA) repeatedly warned that liberalization had turned the domestic market into a dumping ground for foreign products (</w:t>
      </w:r>
      <w:proofErr w:type="spellStart"/>
      <w:r w:rsidRPr="00B85160">
        <w:rPr>
          <w:rFonts w:ascii="Times New Roman" w:hAnsi="Times New Roman" w:cs="Times New Roman"/>
        </w:rPr>
        <w:t>Nnabuihe</w:t>
      </w:r>
      <w:proofErr w:type="spellEnd"/>
      <w:r>
        <w:rPr>
          <w:rFonts w:ascii="Times New Roman" w:hAnsi="Times New Roman" w:cs="Times New Roman"/>
        </w:rPr>
        <w:t xml:space="preserve"> et al., </w:t>
      </w:r>
      <w:r w:rsidRPr="00B85160">
        <w:rPr>
          <w:rFonts w:ascii="Times New Roman" w:hAnsi="Times New Roman" w:cs="Times New Roman"/>
        </w:rPr>
        <w:t>2014). The problem was compounded by structural weaknesses in the domestic economy. High production costs, driven by unreliable electricity supply, poor transport infrastructure, and limited access to credit, further undermined the competitiveness of Nigerian manufacturers. As a result, industries that might have benefited from protective measures were instead left vulnerable under open competition. By the 2000s, Nigeria’s once-thriving textile industry had collapsed almost entirely, shedding hundreds of thousands of jobs (</w:t>
      </w:r>
      <w:r w:rsidR="005C0C3A" w:rsidRPr="00B85160">
        <w:rPr>
          <w:rFonts w:ascii="Times New Roman" w:hAnsi="Times New Roman" w:cs="Times New Roman"/>
        </w:rPr>
        <w:t>Okafor, 201</w:t>
      </w:r>
      <w:r w:rsidR="005C0C3A">
        <w:rPr>
          <w:rFonts w:ascii="Times New Roman" w:hAnsi="Times New Roman" w:cs="Times New Roman"/>
        </w:rPr>
        <w:t xml:space="preserve">7; </w:t>
      </w:r>
      <w:proofErr w:type="spellStart"/>
      <w:r w:rsidRPr="00B85160">
        <w:rPr>
          <w:rFonts w:ascii="Times New Roman" w:hAnsi="Times New Roman" w:cs="Times New Roman"/>
        </w:rPr>
        <w:t>Ezeonwuka</w:t>
      </w:r>
      <w:proofErr w:type="spellEnd"/>
      <w:r>
        <w:rPr>
          <w:rFonts w:ascii="Times New Roman" w:hAnsi="Times New Roman" w:cs="Times New Roman"/>
        </w:rPr>
        <w:t xml:space="preserve"> et al., </w:t>
      </w:r>
      <w:r w:rsidRPr="00B85160">
        <w:rPr>
          <w:rFonts w:ascii="Times New Roman" w:hAnsi="Times New Roman" w:cs="Times New Roman"/>
        </w:rPr>
        <w:t>2025).</w:t>
      </w:r>
    </w:p>
    <w:p w14:paraId="247111F2" w14:textId="2D7A42A0"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 xml:space="preserve">Agriculture also suffered under WTO-driven liberalization. Local farmers faced stiff competition from subsidized imports of rice, wheat, and poultry from the United States and the European Union. Studies estimate that Nigeria lost billions annually in potential revenue due to the influx of cheap agricultural imports, which eroded local production capacity and displaced rural livelihoods (Rena, 2012; </w:t>
      </w:r>
      <w:proofErr w:type="spellStart"/>
      <w:r w:rsidR="007218FF" w:rsidRPr="005C0C3A">
        <w:rPr>
          <w:rFonts w:ascii="Times New Roman" w:hAnsi="Times New Roman" w:cs="Times New Roman"/>
          <w:sz w:val="23"/>
          <w:szCs w:val="23"/>
        </w:rPr>
        <w:t>Abdullateef</w:t>
      </w:r>
      <w:proofErr w:type="spellEnd"/>
      <w:r w:rsidR="007218FF">
        <w:rPr>
          <w:rFonts w:ascii="Times New Roman" w:hAnsi="Times New Roman" w:cs="Times New Roman"/>
          <w:sz w:val="23"/>
          <w:szCs w:val="23"/>
        </w:rPr>
        <w:t xml:space="preserve"> </w:t>
      </w:r>
      <w:r w:rsidR="007218FF" w:rsidRPr="005C0C3A">
        <w:rPr>
          <w:rFonts w:ascii="Times New Roman" w:hAnsi="Times New Roman" w:cs="Times New Roman"/>
          <w:sz w:val="23"/>
          <w:szCs w:val="23"/>
        </w:rPr>
        <w:t xml:space="preserve">&amp; </w:t>
      </w:r>
      <w:proofErr w:type="spellStart"/>
      <w:r w:rsidR="007218FF" w:rsidRPr="005C0C3A">
        <w:rPr>
          <w:rFonts w:ascii="Times New Roman" w:hAnsi="Times New Roman" w:cs="Times New Roman"/>
          <w:sz w:val="23"/>
          <w:szCs w:val="23"/>
        </w:rPr>
        <w:t>Ijaiya</w:t>
      </w:r>
      <w:proofErr w:type="spellEnd"/>
      <w:r w:rsidR="007218FF" w:rsidRPr="005C0C3A">
        <w:rPr>
          <w:rFonts w:ascii="Times New Roman" w:hAnsi="Times New Roman" w:cs="Times New Roman"/>
          <w:sz w:val="23"/>
          <w:szCs w:val="23"/>
        </w:rPr>
        <w:t>,</w:t>
      </w:r>
      <w:r w:rsidR="007218FF">
        <w:rPr>
          <w:rFonts w:ascii="Times New Roman" w:hAnsi="Times New Roman" w:cs="Times New Roman"/>
          <w:sz w:val="23"/>
          <w:szCs w:val="23"/>
        </w:rPr>
        <w:t xml:space="preserve"> </w:t>
      </w:r>
      <w:r w:rsidR="007218FF" w:rsidRPr="005C0C3A">
        <w:rPr>
          <w:rFonts w:ascii="Times New Roman" w:hAnsi="Times New Roman" w:cs="Times New Roman"/>
          <w:sz w:val="23"/>
          <w:szCs w:val="23"/>
        </w:rPr>
        <w:t>2010</w:t>
      </w:r>
      <w:r w:rsidRPr="00B85160">
        <w:rPr>
          <w:rFonts w:ascii="Times New Roman" w:hAnsi="Times New Roman" w:cs="Times New Roman"/>
        </w:rPr>
        <w:t>). Instead of encouraging diversification, WTO commitments reinforced Nigeria’s dependence on crude oil exports, which by the mid-2000s accounted for over 90 percent of export earnings (World Bank, 2013). This deepened structural vulnerability to external shocks, as seen during oil price collapses in 2008 and 2014.</w:t>
      </w:r>
      <w:r w:rsidR="007218FF">
        <w:rPr>
          <w:rFonts w:ascii="Times New Roman" w:hAnsi="Times New Roman" w:cs="Times New Roman"/>
        </w:rPr>
        <w:t xml:space="preserve"> </w:t>
      </w:r>
      <w:r w:rsidRPr="00B85160">
        <w:rPr>
          <w:rFonts w:ascii="Times New Roman" w:hAnsi="Times New Roman" w:cs="Times New Roman"/>
        </w:rPr>
        <w:t>Policy space was another casualty of Nigeria’s WTO membership. The erosion of Special and Differential Treatment (SDT) privileges and restrictions under the Agreement on Subsidies and Countervailing Measures (SCM) curtailed the government’s ability to use industrial policies such as subsidies, import restrictions, and local content requirements to protect nascent industries (Khor &amp; Ocampo, 2010). Consequently, while other emerging economies leveraged selective protection and subsidies to nurture competitiveness, Nigeria was locked into a liberalized framework that limited developmental policy tools.</w:t>
      </w:r>
    </w:p>
    <w:p w14:paraId="00F0C019" w14:textId="119D34E2" w:rsidR="00B85160" w:rsidRPr="00B85160" w:rsidRDefault="007A0569" w:rsidP="00B85160">
      <w:pPr>
        <w:spacing w:line="360" w:lineRule="auto"/>
        <w:jc w:val="both"/>
        <w:rPr>
          <w:rFonts w:ascii="Times New Roman" w:hAnsi="Times New Roman" w:cs="Times New Roman"/>
          <w:b/>
          <w:bCs/>
        </w:rPr>
      </w:pPr>
      <w:r>
        <w:rPr>
          <w:rFonts w:ascii="Times New Roman" w:hAnsi="Times New Roman" w:cs="Times New Roman"/>
          <w:b/>
          <w:bCs/>
        </w:rPr>
        <w:lastRenderedPageBreak/>
        <w:t xml:space="preserve">5.2. </w:t>
      </w:r>
      <w:r w:rsidR="00B85160" w:rsidRPr="00B85160">
        <w:rPr>
          <w:rFonts w:ascii="Times New Roman" w:hAnsi="Times New Roman" w:cs="Times New Roman"/>
          <w:b/>
          <w:bCs/>
        </w:rPr>
        <w:t>South Africa in the World Trade Organization</w:t>
      </w:r>
    </w:p>
    <w:p w14:paraId="4960A009" w14:textId="5DC014A9" w:rsid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South Africa, by contrast, approached WTO integration as part of a broader post-apartheid economic reform strategy. Upon joining in 1995, the country bound 98 percent of tariff lines, phased out export subsidies, and substantially reduced average tariff rates (Edwards, 2005). Empirical evidence suggests that WTO membership coincided with a notable expansion of exports, particularly in manufactured goods, and contributed to a modest recovery of growth. Average gross domestic product (GDP) growth increased from 0.19 percent during the 1990–1994 period to 2.58 percent between 1995 and 1999, signaling a reversal of stagnation under international sanctions (Faulkner &amp; Loewald, 2008). South Africa also became a more significant participant in global value chains, benefiting from trade in automotive and mining-related products (Kaplan, 2004). Trade liberalization encouraged greater foreign direct investment and provided opportunities to diversify export markets (</w:t>
      </w:r>
      <w:proofErr w:type="spellStart"/>
      <w:r w:rsidRPr="00B85160">
        <w:rPr>
          <w:rFonts w:ascii="Times New Roman" w:hAnsi="Times New Roman" w:cs="Times New Roman"/>
        </w:rPr>
        <w:t>Busse</w:t>
      </w:r>
      <w:proofErr w:type="spellEnd"/>
      <w:r w:rsidRPr="00B85160">
        <w:rPr>
          <w:rFonts w:ascii="Times New Roman" w:hAnsi="Times New Roman" w:cs="Times New Roman"/>
        </w:rPr>
        <w:t xml:space="preserve"> &amp; </w:t>
      </w:r>
      <w:proofErr w:type="spellStart"/>
      <w:r w:rsidRPr="00B85160">
        <w:rPr>
          <w:rFonts w:ascii="Times New Roman" w:hAnsi="Times New Roman" w:cs="Times New Roman"/>
        </w:rPr>
        <w:t>Gröning</w:t>
      </w:r>
      <w:proofErr w:type="spellEnd"/>
      <w:r w:rsidRPr="00B85160">
        <w:rPr>
          <w:rFonts w:ascii="Times New Roman" w:hAnsi="Times New Roman" w:cs="Times New Roman"/>
        </w:rPr>
        <w:t xml:space="preserve">, 2011; </w:t>
      </w:r>
      <w:proofErr w:type="spellStart"/>
      <w:r w:rsidRPr="00B85160">
        <w:rPr>
          <w:rFonts w:ascii="Times New Roman" w:hAnsi="Times New Roman" w:cs="Times New Roman"/>
        </w:rPr>
        <w:t>Cuong</w:t>
      </w:r>
      <w:proofErr w:type="spellEnd"/>
      <w:r w:rsidR="007A0569">
        <w:rPr>
          <w:rFonts w:ascii="Times New Roman" w:hAnsi="Times New Roman" w:cs="Times New Roman"/>
        </w:rPr>
        <w:t xml:space="preserve"> et al., </w:t>
      </w:r>
      <w:r w:rsidRPr="00B85160">
        <w:rPr>
          <w:rFonts w:ascii="Times New Roman" w:hAnsi="Times New Roman" w:cs="Times New Roman"/>
        </w:rPr>
        <w:t>2015).</w:t>
      </w:r>
      <w:r w:rsidR="00D174F6">
        <w:rPr>
          <w:rFonts w:ascii="Times New Roman" w:hAnsi="Times New Roman" w:cs="Times New Roman"/>
        </w:rPr>
        <w:t xml:space="preserve"> </w:t>
      </w:r>
      <w:r w:rsidR="007A0569">
        <w:rPr>
          <w:rFonts w:ascii="Times New Roman" w:hAnsi="Times New Roman" w:cs="Times New Roman"/>
        </w:rPr>
        <w:t xml:space="preserve">More so, </w:t>
      </w:r>
      <w:r w:rsidRPr="00B85160">
        <w:rPr>
          <w:rFonts w:ascii="Times New Roman" w:hAnsi="Times New Roman" w:cs="Times New Roman"/>
        </w:rPr>
        <w:t>the South African case also illustrates the limits of liberalization. While export growth improved, the domestic economy remained characterized by high unemployment, persistent inequality, and dependence on commodity exports (Du Plessis &amp; Smit, 2007). Industries such as clothing and footwear contracted under competitive pressure from Asian imports, revealing the uneven impact of trade reforms across sectors. Furthermore, although South Africa was able to secure modest developmental gains, it lacked the policy flexibility enjoyed by East Asian economies during their industrialization, reflecting broader asymmetries within WTO rules (Rodrik, 2006).</w:t>
      </w:r>
    </w:p>
    <w:p w14:paraId="29D7EA9F" w14:textId="55CDA466" w:rsidR="00B85160" w:rsidRPr="00B85160" w:rsidRDefault="007A0569" w:rsidP="00B85160">
      <w:pPr>
        <w:spacing w:line="360" w:lineRule="auto"/>
        <w:jc w:val="both"/>
        <w:rPr>
          <w:rFonts w:ascii="Times New Roman" w:hAnsi="Times New Roman" w:cs="Times New Roman"/>
          <w:b/>
          <w:bCs/>
        </w:rPr>
      </w:pPr>
      <w:r>
        <w:rPr>
          <w:rFonts w:ascii="Times New Roman" w:hAnsi="Times New Roman" w:cs="Times New Roman"/>
          <w:b/>
          <w:bCs/>
        </w:rPr>
        <w:t xml:space="preserve">7. </w:t>
      </w:r>
      <w:r w:rsidR="00B85160" w:rsidRPr="00B85160">
        <w:rPr>
          <w:rFonts w:ascii="Times New Roman" w:hAnsi="Times New Roman" w:cs="Times New Roman"/>
          <w:b/>
          <w:bCs/>
        </w:rPr>
        <w:t>Theoretical Framing: Dependency Theory and Economic Diplomacy</w:t>
      </w:r>
    </w:p>
    <w:p w14:paraId="5B50AE07" w14:textId="77777777"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The relationship between the Global South and the World Trade Organization (WTO) can be illuminated by two competing yet complementary theoretical perspectives: dependency theory and economic diplomacy. These frameworks provide different lenses through which to interpret the persistence of inequality and the possibilities of agency in global trade governance.</w:t>
      </w:r>
    </w:p>
    <w:p w14:paraId="41311B55" w14:textId="3CF7AEB6" w:rsidR="00B85160" w:rsidRPr="00B85160" w:rsidRDefault="007A0569" w:rsidP="00B85160">
      <w:pPr>
        <w:spacing w:line="360" w:lineRule="auto"/>
        <w:jc w:val="both"/>
        <w:rPr>
          <w:rFonts w:ascii="Times New Roman" w:hAnsi="Times New Roman" w:cs="Times New Roman"/>
          <w:b/>
          <w:bCs/>
        </w:rPr>
      </w:pPr>
      <w:r>
        <w:rPr>
          <w:rFonts w:ascii="Times New Roman" w:hAnsi="Times New Roman" w:cs="Times New Roman"/>
          <w:b/>
          <w:bCs/>
        </w:rPr>
        <w:t xml:space="preserve">7.1. </w:t>
      </w:r>
      <w:r w:rsidR="00B85160" w:rsidRPr="00B85160">
        <w:rPr>
          <w:rFonts w:ascii="Times New Roman" w:hAnsi="Times New Roman" w:cs="Times New Roman"/>
          <w:b/>
          <w:bCs/>
        </w:rPr>
        <w:t>Dependency Theory and Structural Constraints</w:t>
      </w:r>
    </w:p>
    <w:p w14:paraId="13F26F16" w14:textId="14885EC0"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 xml:space="preserve">Dependency theory, rooted in the works of scholars such as </w:t>
      </w:r>
      <w:r w:rsidR="003548E2">
        <w:rPr>
          <w:rFonts w:ascii="Times New Roman" w:hAnsi="Times New Roman" w:cs="Times New Roman"/>
        </w:rPr>
        <w:t xml:space="preserve">Dos </w:t>
      </w:r>
      <w:r w:rsidRPr="00B85160">
        <w:rPr>
          <w:rFonts w:ascii="Times New Roman" w:hAnsi="Times New Roman" w:cs="Times New Roman"/>
        </w:rPr>
        <w:t>Santos (197</w:t>
      </w:r>
      <w:r w:rsidR="003548E2">
        <w:rPr>
          <w:rFonts w:ascii="Times New Roman" w:hAnsi="Times New Roman" w:cs="Times New Roman"/>
        </w:rPr>
        <w:t>0</w:t>
      </w:r>
      <w:r w:rsidRPr="00B85160">
        <w:rPr>
          <w:rFonts w:ascii="Times New Roman" w:hAnsi="Times New Roman" w:cs="Times New Roman"/>
        </w:rPr>
        <w:t>) and Evans (</w:t>
      </w:r>
      <w:r w:rsidR="007218FF">
        <w:rPr>
          <w:rFonts w:ascii="Times New Roman" w:hAnsi="Times New Roman" w:cs="Times New Roman"/>
        </w:rPr>
        <w:t>1979</w:t>
      </w:r>
      <w:r w:rsidRPr="00B85160">
        <w:rPr>
          <w:rFonts w:ascii="Times New Roman" w:hAnsi="Times New Roman" w:cs="Times New Roman"/>
        </w:rPr>
        <w:t xml:space="preserve">), emphasizes the structural subordination of developing economies within the global capitalist system. According to this perspective, international institutions like the WTO do not create a level playing field but instead reinforce asymmetries between the industrialized North and the </w:t>
      </w:r>
      <w:r w:rsidRPr="00B85160">
        <w:rPr>
          <w:rFonts w:ascii="Times New Roman" w:hAnsi="Times New Roman" w:cs="Times New Roman"/>
        </w:rPr>
        <w:lastRenderedPageBreak/>
        <w:t xml:space="preserve">developing South. Mechanisms such as tariff escalation, non-tariff barriers, and agricultural subsidies systematically reproduce dependency by restricting the ability of developing countries to diversify into value-added production (Bernhardt, 2014; </w:t>
      </w:r>
      <w:r w:rsidR="003548E2">
        <w:rPr>
          <w:rFonts w:ascii="Times New Roman" w:hAnsi="Times New Roman" w:cs="Times New Roman"/>
        </w:rPr>
        <w:t>Irwin, 2006</w:t>
      </w:r>
      <w:r w:rsidRPr="00B85160">
        <w:rPr>
          <w:rFonts w:ascii="Times New Roman" w:hAnsi="Times New Roman" w:cs="Times New Roman"/>
        </w:rPr>
        <w:t>).</w:t>
      </w:r>
    </w:p>
    <w:p w14:paraId="569C6559" w14:textId="6E270610"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From this vantage point, the erosion of policy space through agreements such as the Agreement on Subsidies and Countervailing Measures (SCM) or the narrowing of Special and Differential Treatment (SDT) demonstrates how multilateral rules constrain late industrializers from adopting the strategies that powered East Asian development (Amsden, 2001; Khor &amp; Ocampo, 2010). Nigeria’s manufacturing decline under WTO liberalization exemplifies this dynamic, as local industries collapsed under the weight of subsidized imports while the economy grew increasingly dependent on crude oil exports (</w:t>
      </w:r>
      <w:proofErr w:type="spellStart"/>
      <w:r w:rsidRPr="00B85160">
        <w:rPr>
          <w:rFonts w:ascii="Times New Roman" w:hAnsi="Times New Roman" w:cs="Times New Roman"/>
        </w:rPr>
        <w:t>Nnabuihe</w:t>
      </w:r>
      <w:proofErr w:type="spellEnd"/>
      <w:r w:rsidR="007A0569">
        <w:rPr>
          <w:rFonts w:ascii="Times New Roman" w:hAnsi="Times New Roman" w:cs="Times New Roman"/>
        </w:rPr>
        <w:t xml:space="preserve"> et al., </w:t>
      </w:r>
      <w:r w:rsidRPr="00B85160">
        <w:rPr>
          <w:rFonts w:ascii="Times New Roman" w:hAnsi="Times New Roman" w:cs="Times New Roman"/>
        </w:rPr>
        <w:t>2014; Rena, 2012). In this framing, WTO membership deepens structural dependency rather than enabling developmental transformation.</w:t>
      </w:r>
    </w:p>
    <w:p w14:paraId="48E8F6AD" w14:textId="5AD6E3CE" w:rsidR="00B85160" w:rsidRPr="00B85160" w:rsidRDefault="007A0569" w:rsidP="00B85160">
      <w:pPr>
        <w:spacing w:line="360" w:lineRule="auto"/>
        <w:jc w:val="both"/>
        <w:rPr>
          <w:rFonts w:ascii="Times New Roman" w:hAnsi="Times New Roman" w:cs="Times New Roman"/>
          <w:b/>
          <w:bCs/>
        </w:rPr>
      </w:pPr>
      <w:r>
        <w:rPr>
          <w:rFonts w:ascii="Times New Roman" w:hAnsi="Times New Roman" w:cs="Times New Roman"/>
          <w:b/>
          <w:bCs/>
        </w:rPr>
        <w:t xml:space="preserve">7.2. </w:t>
      </w:r>
      <w:r w:rsidR="00B85160" w:rsidRPr="00B85160">
        <w:rPr>
          <w:rFonts w:ascii="Times New Roman" w:hAnsi="Times New Roman" w:cs="Times New Roman"/>
          <w:b/>
          <w:bCs/>
        </w:rPr>
        <w:t>Economic Diplomacy and Strategic Agency</w:t>
      </w:r>
    </w:p>
    <w:p w14:paraId="7FAF8B0A" w14:textId="47619806"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Economic diplomacy, by contrast, highlights the opportunities that global institutions create for negotiation, coalition-building, and agenda-setting by developing countries. While recognizing structural inequalities, this perspective underscores that Southern states are not merely passive recipients of global rules but can leverage institutions like the WTO to assert their interests. The emergence of the Group of 20 (G-20) coalition at the Cancún Ministerial Conference in 2003 illustrates how collective bargaining can disrupt Northern dominance and reframe negotiations (Esparza, 2010).</w:t>
      </w:r>
      <w:r>
        <w:rPr>
          <w:rFonts w:ascii="Times New Roman" w:hAnsi="Times New Roman" w:cs="Times New Roman"/>
        </w:rPr>
        <w:t xml:space="preserve"> </w:t>
      </w:r>
      <w:r w:rsidRPr="00B85160">
        <w:rPr>
          <w:rFonts w:ascii="Times New Roman" w:hAnsi="Times New Roman" w:cs="Times New Roman"/>
        </w:rPr>
        <w:t>Moreover, the differentiated strategies of Brazil, India, and China demonstrate how major emerging economies strategically deploy their “developing-country” status to safeguard policy flexibility while expanding global influence (</w:t>
      </w:r>
      <w:proofErr w:type="spellStart"/>
      <w:r w:rsidRPr="00B85160">
        <w:rPr>
          <w:rFonts w:ascii="Times New Roman" w:hAnsi="Times New Roman" w:cs="Times New Roman"/>
        </w:rPr>
        <w:t>Schöfer</w:t>
      </w:r>
      <w:proofErr w:type="spellEnd"/>
      <w:r w:rsidRPr="00B85160">
        <w:rPr>
          <w:rFonts w:ascii="Times New Roman" w:hAnsi="Times New Roman" w:cs="Times New Roman"/>
        </w:rPr>
        <w:t xml:space="preserve"> &amp; </w:t>
      </w:r>
      <w:proofErr w:type="spellStart"/>
      <w:r w:rsidRPr="00B85160">
        <w:rPr>
          <w:rFonts w:ascii="Times New Roman" w:hAnsi="Times New Roman" w:cs="Times New Roman"/>
        </w:rPr>
        <w:t>Weinhardt</w:t>
      </w:r>
      <w:proofErr w:type="spellEnd"/>
      <w:r w:rsidRPr="00B85160">
        <w:rPr>
          <w:rFonts w:ascii="Times New Roman" w:hAnsi="Times New Roman" w:cs="Times New Roman"/>
        </w:rPr>
        <w:t>, 2022; Weinhardt, 2023). South Africa’s reintegration into the global economy after apartheid similarly shows how WTO membership can be harnessed as part of a broader reform package that fosters export growth, even if unevenly distributed (Edwards, 2005; Faulkner &amp; Loewald, 2008). For least developed countries (LDCs), participation in the WTO may also hold symbolic value, allowing them to articulate claims to fairness and justice within the multilateral system, even when resource constraints limit their effectiveness (Kaul, 2013; Haug, 2020).</w:t>
      </w:r>
    </w:p>
    <w:p w14:paraId="1CC6FAF7" w14:textId="77777777" w:rsidR="003548E2" w:rsidRDefault="003548E2" w:rsidP="00B85160">
      <w:pPr>
        <w:spacing w:line="360" w:lineRule="auto"/>
        <w:jc w:val="both"/>
        <w:rPr>
          <w:rFonts w:ascii="Times New Roman" w:hAnsi="Times New Roman" w:cs="Times New Roman"/>
          <w:b/>
          <w:bCs/>
        </w:rPr>
      </w:pPr>
    </w:p>
    <w:p w14:paraId="6500268F" w14:textId="77777777" w:rsidR="003548E2" w:rsidRDefault="003548E2" w:rsidP="00B85160">
      <w:pPr>
        <w:spacing w:line="360" w:lineRule="auto"/>
        <w:jc w:val="both"/>
        <w:rPr>
          <w:rFonts w:ascii="Times New Roman" w:hAnsi="Times New Roman" w:cs="Times New Roman"/>
          <w:b/>
          <w:bCs/>
        </w:rPr>
      </w:pPr>
    </w:p>
    <w:p w14:paraId="71F2B5CF" w14:textId="18969C8A" w:rsidR="00B85160" w:rsidRPr="00B85160" w:rsidRDefault="0015115E" w:rsidP="00B85160">
      <w:pPr>
        <w:spacing w:line="360" w:lineRule="auto"/>
        <w:jc w:val="both"/>
        <w:rPr>
          <w:rFonts w:ascii="Times New Roman" w:hAnsi="Times New Roman" w:cs="Times New Roman"/>
          <w:b/>
          <w:bCs/>
        </w:rPr>
      </w:pPr>
      <w:r>
        <w:rPr>
          <w:rFonts w:ascii="Times New Roman" w:hAnsi="Times New Roman" w:cs="Times New Roman"/>
          <w:b/>
          <w:bCs/>
        </w:rPr>
        <w:lastRenderedPageBreak/>
        <w:t xml:space="preserve">8. </w:t>
      </w:r>
      <w:r w:rsidR="00B85160" w:rsidRPr="00B85160">
        <w:rPr>
          <w:rFonts w:ascii="Times New Roman" w:hAnsi="Times New Roman" w:cs="Times New Roman"/>
          <w:b/>
          <w:bCs/>
        </w:rPr>
        <w:t>Discussion</w:t>
      </w:r>
    </w:p>
    <w:p w14:paraId="32F28738" w14:textId="21366A42" w:rsid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t>The evidence from Nigeria and South Africa, alongside the structural features of the World Trade Organization (WTO), points to an enduring paradox at the heart of global trade governance. On one level, the WTO provides developing countries with institutionalized tools for participation, dispute settlement, and coalition building</w:t>
      </w:r>
      <w:r w:rsidR="0015115E">
        <w:rPr>
          <w:rFonts w:ascii="Times New Roman" w:hAnsi="Times New Roman" w:cs="Times New Roman"/>
        </w:rPr>
        <w:t xml:space="preserve"> as illustrated in Figure 1</w:t>
      </w:r>
      <w:r w:rsidRPr="00B85160">
        <w:rPr>
          <w:rFonts w:ascii="Times New Roman" w:hAnsi="Times New Roman" w:cs="Times New Roman"/>
        </w:rPr>
        <w:t xml:space="preserve">. On another, its rules and negotiating dynamics reproduce patterns of dependency that echo the concerns of dependency theorists who long argued that global economic structures entrench inequality between the North and the South (Evans, </w:t>
      </w:r>
      <w:r w:rsidR="003548E2">
        <w:rPr>
          <w:rFonts w:ascii="Times New Roman" w:hAnsi="Times New Roman" w:cs="Times New Roman"/>
        </w:rPr>
        <w:t>197</w:t>
      </w:r>
      <w:r w:rsidRPr="00B85160">
        <w:rPr>
          <w:rFonts w:ascii="Times New Roman" w:hAnsi="Times New Roman" w:cs="Times New Roman"/>
        </w:rPr>
        <w:t xml:space="preserve">9; </w:t>
      </w:r>
      <w:r w:rsidR="003548E2">
        <w:rPr>
          <w:rFonts w:ascii="Times New Roman" w:hAnsi="Times New Roman" w:cs="Times New Roman"/>
        </w:rPr>
        <w:t xml:space="preserve">Dos </w:t>
      </w:r>
      <w:r w:rsidRPr="00B85160">
        <w:rPr>
          <w:rFonts w:ascii="Times New Roman" w:hAnsi="Times New Roman" w:cs="Times New Roman"/>
        </w:rPr>
        <w:t>Santos, 197</w:t>
      </w:r>
      <w:r w:rsidR="003548E2">
        <w:rPr>
          <w:rFonts w:ascii="Times New Roman" w:hAnsi="Times New Roman" w:cs="Times New Roman"/>
        </w:rPr>
        <w:t>0</w:t>
      </w:r>
      <w:r w:rsidRPr="00B85160">
        <w:rPr>
          <w:rFonts w:ascii="Times New Roman" w:hAnsi="Times New Roman" w:cs="Times New Roman"/>
        </w:rPr>
        <w:t>).</w:t>
      </w:r>
      <w:r w:rsidR="007A0569">
        <w:rPr>
          <w:rFonts w:ascii="Times New Roman" w:hAnsi="Times New Roman" w:cs="Times New Roman"/>
        </w:rPr>
        <w:t xml:space="preserve"> </w:t>
      </w:r>
      <w:r w:rsidRPr="00B85160">
        <w:rPr>
          <w:rFonts w:ascii="Times New Roman" w:hAnsi="Times New Roman" w:cs="Times New Roman"/>
        </w:rPr>
        <w:t xml:space="preserve">Dependency theory offers a useful lens to interpret the WTO’s uneven impact. The continued prevalence of tariff escalation and non-tariff barriers in the North reflects the structural subordination of developing economies within global value chains, reinforcing their role as suppliers of raw materials rather than industrialized producers (Bernhardt, 2014; </w:t>
      </w:r>
      <w:r w:rsidR="003548E2">
        <w:rPr>
          <w:rFonts w:ascii="Times New Roman" w:hAnsi="Times New Roman" w:cs="Times New Roman"/>
        </w:rPr>
        <w:t>Irwin, 2006</w:t>
      </w:r>
      <w:r w:rsidRPr="00B85160">
        <w:rPr>
          <w:rFonts w:ascii="Times New Roman" w:hAnsi="Times New Roman" w:cs="Times New Roman"/>
        </w:rPr>
        <w:t>). Similarly, the erosion of policy space through subsidy rules demonstrates how institutional design can prevent late industrializers from replicating the developmental strategies used successfully in East Asia (Amsden, 2001; Khor &amp; Ocampo, 2010). Nigeria’s case illustrates this dependency most starkly, as WTO commitments compounded by weak domestic capacity have exacerbated deindustrialization and deepened reliance on primary exports (</w:t>
      </w:r>
      <w:proofErr w:type="spellStart"/>
      <w:r w:rsidRPr="00B85160">
        <w:rPr>
          <w:rFonts w:ascii="Times New Roman" w:hAnsi="Times New Roman" w:cs="Times New Roman"/>
        </w:rPr>
        <w:t>Nnabuihe</w:t>
      </w:r>
      <w:proofErr w:type="spellEnd"/>
      <w:r w:rsidR="007A0569">
        <w:rPr>
          <w:rFonts w:ascii="Times New Roman" w:hAnsi="Times New Roman" w:cs="Times New Roman"/>
        </w:rPr>
        <w:t xml:space="preserve"> et al., </w:t>
      </w:r>
      <w:r w:rsidRPr="00B85160">
        <w:rPr>
          <w:rFonts w:ascii="Times New Roman" w:hAnsi="Times New Roman" w:cs="Times New Roman"/>
        </w:rPr>
        <w:t>2014; Rena, 2012).</w:t>
      </w:r>
    </w:p>
    <w:p w14:paraId="21D1956C" w14:textId="469006FF" w:rsidR="0015115E" w:rsidRDefault="0015115E" w:rsidP="0015115E">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1E6943B9" wp14:editId="1246159C">
            <wp:extent cx="5257800" cy="2975488"/>
            <wp:effectExtent l="0" t="0" r="0" b="0"/>
            <wp:docPr id="1763729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9880" name="Picture 17637298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5642" cy="2979926"/>
                    </a:xfrm>
                    <a:prstGeom prst="rect">
                      <a:avLst/>
                    </a:prstGeom>
                  </pic:spPr>
                </pic:pic>
              </a:graphicData>
            </a:graphic>
          </wp:inline>
        </w:drawing>
      </w:r>
    </w:p>
    <w:p w14:paraId="5A916FA7" w14:textId="2EF2514C" w:rsidR="0015115E" w:rsidRPr="0015115E" w:rsidRDefault="0015115E" w:rsidP="0015115E">
      <w:pPr>
        <w:spacing w:after="0" w:line="240" w:lineRule="auto"/>
        <w:jc w:val="center"/>
        <w:rPr>
          <w:rFonts w:ascii="Times New Roman" w:hAnsi="Times New Roman" w:cs="Times New Roman"/>
          <w:b/>
          <w:bCs/>
        </w:rPr>
      </w:pPr>
      <w:r w:rsidRPr="0015115E">
        <w:rPr>
          <w:rFonts w:ascii="Times New Roman" w:hAnsi="Times New Roman" w:cs="Times New Roman"/>
          <w:b/>
          <w:bCs/>
        </w:rPr>
        <w:t xml:space="preserve">Figure 1. </w:t>
      </w:r>
      <w:r w:rsidRPr="0015115E">
        <w:rPr>
          <w:rFonts w:ascii="Times New Roman" w:hAnsi="Times New Roman" w:cs="Times New Roman"/>
        </w:rPr>
        <w:t>The WTO and the Global South: Between Economic Diplomacy and Structural Dependency</w:t>
      </w:r>
    </w:p>
    <w:p w14:paraId="5B200693" w14:textId="77777777" w:rsidR="0015115E" w:rsidRPr="001C584B" w:rsidRDefault="0015115E" w:rsidP="00B85160">
      <w:pPr>
        <w:spacing w:line="360" w:lineRule="auto"/>
        <w:jc w:val="both"/>
        <w:rPr>
          <w:rFonts w:ascii="Times New Roman" w:hAnsi="Times New Roman" w:cs="Times New Roman"/>
          <w:sz w:val="14"/>
          <w:szCs w:val="14"/>
        </w:rPr>
      </w:pPr>
    </w:p>
    <w:p w14:paraId="1D3A4EF4" w14:textId="32C21803" w:rsidR="00B85160" w:rsidRPr="00B85160" w:rsidRDefault="00B85160" w:rsidP="00B85160">
      <w:pPr>
        <w:spacing w:line="360" w:lineRule="auto"/>
        <w:jc w:val="both"/>
        <w:rPr>
          <w:rFonts w:ascii="Times New Roman" w:hAnsi="Times New Roman" w:cs="Times New Roman"/>
        </w:rPr>
      </w:pPr>
      <w:r w:rsidRPr="00B85160">
        <w:rPr>
          <w:rFonts w:ascii="Times New Roman" w:hAnsi="Times New Roman" w:cs="Times New Roman"/>
        </w:rPr>
        <w:lastRenderedPageBreak/>
        <w:t>At the same time, the WTO has also become a site of economic diplomacy, illustrating a more complex reality than dependency alone suggests. The Group of 20 (G-20) coalition at the Cancún Ministerial Conference and subsequent Southern negotiating groups highlight the potential for collective action by developing countries to contest entrenched asymmetries (Esparza, 2010; Weinhardt, 2023). Moreover, the divergent strategies of Brazil, India, and China show that some Global South actors are not passive rule-takers but active shapers of trade governance, leveraging their market power and status claims to carve out policy flexibility (</w:t>
      </w:r>
      <w:proofErr w:type="spellStart"/>
      <w:r w:rsidRPr="00B85160">
        <w:rPr>
          <w:rFonts w:ascii="Times New Roman" w:hAnsi="Times New Roman" w:cs="Times New Roman"/>
        </w:rPr>
        <w:t>Schöfer</w:t>
      </w:r>
      <w:proofErr w:type="spellEnd"/>
      <w:r w:rsidRPr="00B85160">
        <w:rPr>
          <w:rFonts w:ascii="Times New Roman" w:hAnsi="Times New Roman" w:cs="Times New Roman"/>
        </w:rPr>
        <w:t xml:space="preserve"> &amp; </w:t>
      </w:r>
      <w:proofErr w:type="spellStart"/>
      <w:r w:rsidRPr="00B85160">
        <w:rPr>
          <w:rFonts w:ascii="Times New Roman" w:hAnsi="Times New Roman" w:cs="Times New Roman"/>
        </w:rPr>
        <w:t>Weinhardt</w:t>
      </w:r>
      <w:proofErr w:type="spellEnd"/>
      <w:r w:rsidRPr="00B85160">
        <w:rPr>
          <w:rFonts w:ascii="Times New Roman" w:hAnsi="Times New Roman" w:cs="Times New Roman"/>
        </w:rPr>
        <w:t>, 2022; Weinhardt &amp; Schöfer, 2021). South Africa’s ability to translate WTO commitments into modest export expansion also points to the conditional benefits that can accrue when trade liberalization is integrated with broader economic reforms (Edwards, 2005; Faulkner &amp; Loewald, 2008).</w:t>
      </w:r>
    </w:p>
    <w:p w14:paraId="7A126C8D" w14:textId="3899C4F5" w:rsidR="007A0569" w:rsidRPr="00B85160" w:rsidRDefault="00B85160" w:rsidP="007A0569">
      <w:pPr>
        <w:spacing w:line="360" w:lineRule="auto"/>
        <w:jc w:val="both"/>
        <w:rPr>
          <w:rFonts w:ascii="Times New Roman" w:hAnsi="Times New Roman" w:cs="Times New Roman"/>
        </w:rPr>
      </w:pPr>
      <w:r w:rsidRPr="00B85160">
        <w:rPr>
          <w:rFonts w:ascii="Times New Roman" w:hAnsi="Times New Roman" w:cs="Times New Roman"/>
        </w:rPr>
        <w:t>The tension between dependency and diplomacy underscores the WTO’s dual role as both a constraint and a platform. While the institution constrains the industrial strategies of weaker economies, it simultaneously legitimizes the participation of developing countries in global trade rulemaking. This duality complicates simple narratives of failure or success. Instead, the WTO’s impact on the Global South should be understood as differentiated and mediated by domestic capacities, coalition dynamics, and the evolving balance of power in the international system (Pearl</w:t>
      </w:r>
      <w:r w:rsidR="003548E2">
        <w:rPr>
          <w:rFonts w:ascii="Times New Roman" w:hAnsi="Times New Roman" w:cs="Times New Roman"/>
        </w:rPr>
        <w:t xml:space="preserve"> et al., </w:t>
      </w:r>
      <w:r w:rsidRPr="00B85160">
        <w:rPr>
          <w:rFonts w:ascii="Times New Roman" w:hAnsi="Times New Roman" w:cs="Times New Roman"/>
        </w:rPr>
        <w:t xml:space="preserve">2025; </w:t>
      </w:r>
      <w:proofErr w:type="spellStart"/>
      <w:r w:rsidRPr="00B85160">
        <w:rPr>
          <w:rFonts w:ascii="Times New Roman" w:hAnsi="Times New Roman" w:cs="Times New Roman"/>
        </w:rPr>
        <w:t>Jaldi</w:t>
      </w:r>
      <w:proofErr w:type="spellEnd"/>
      <w:r w:rsidRPr="00B85160">
        <w:rPr>
          <w:rFonts w:ascii="Times New Roman" w:hAnsi="Times New Roman" w:cs="Times New Roman"/>
        </w:rPr>
        <w:t>, 2023).</w:t>
      </w:r>
      <w:r w:rsidR="007A0569">
        <w:rPr>
          <w:rFonts w:ascii="Times New Roman" w:hAnsi="Times New Roman" w:cs="Times New Roman"/>
        </w:rPr>
        <w:t xml:space="preserve"> The findings reveals that</w:t>
      </w:r>
      <w:r w:rsidR="007A0569" w:rsidRPr="00B85160">
        <w:rPr>
          <w:rFonts w:ascii="Times New Roman" w:hAnsi="Times New Roman" w:cs="Times New Roman"/>
        </w:rPr>
        <w:t xml:space="preserve"> these frameworks reveal the dual character of the WTO in the Global South. Dependency theory captures the structural inequalities embedded in multilateral trade rules, while economic diplomacy highlights the agency and strategic maneuvering available to Southern states within those constraints. Rather than being mutually exclusive, the two perspectives are best understood as complementary: the WTO simultaneously entrenches dependency and provides a forum for diplomatic assertion. This theoretical tension explains why the institution is experienced as both a constraint and an opportunity, situating the Global South’s participation “between economic diplomacy and structural dependency” (Pearl</w:t>
      </w:r>
      <w:r w:rsidR="007A0569">
        <w:rPr>
          <w:rFonts w:ascii="Times New Roman" w:hAnsi="Times New Roman" w:cs="Times New Roman"/>
        </w:rPr>
        <w:t xml:space="preserve"> et al., </w:t>
      </w:r>
      <w:r w:rsidR="007A0569" w:rsidRPr="00B85160">
        <w:rPr>
          <w:rFonts w:ascii="Times New Roman" w:hAnsi="Times New Roman" w:cs="Times New Roman"/>
        </w:rPr>
        <w:t xml:space="preserve">2025; </w:t>
      </w:r>
      <w:proofErr w:type="spellStart"/>
      <w:r w:rsidR="007A0569" w:rsidRPr="00B85160">
        <w:rPr>
          <w:rFonts w:ascii="Times New Roman" w:hAnsi="Times New Roman" w:cs="Times New Roman"/>
        </w:rPr>
        <w:t>Jaldi</w:t>
      </w:r>
      <w:proofErr w:type="spellEnd"/>
      <w:r w:rsidR="007A0569" w:rsidRPr="00B85160">
        <w:rPr>
          <w:rFonts w:ascii="Times New Roman" w:hAnsi="Times New Roman" w:cs="Times New Roman"/>
        </w:rPr>
        <w:t>, 2023).</w:t>
      </w:r>
    </w:p>
    <w:p w14:paraId="00DE8F5D" w14:textId="4928F471" w:rsidR="00B85160" w:rsidRDefault="007A0569" w:rsidP="00B85160">
      <w:pPr>
        <w:spacing w:line="360" w:lineRule="auto"/>
        <w:jc w:val="both"/>
        <w:rPr>
          <w:rFonts w:ascii="Times New Roman" w:hAnsi="Times New Roman" w:cs="Times New Roman"/>
        </w:rPr>
      </w:pPr>
      <w:r>
        <w:rPr>
          <w:rFonts w:ascii="Times New Roman" w:hAnsi="Times New Roman" w:cs="Times New Roman"/>
        </w:rPr>
        <w:t>Furthermore</w:t>
      </w:r>
      <w:r w:rsidR="00B85160" w:rsidRPr="00B85160">
        <w:rPr>
          <w:rFonts w:ascii="Times New Roman" w:hAnsi="Times New Roman" w:cs="Times New Roman"/>
        </w:rPr>
        <w:t xml:space="preserve">, the findings suggest that the WTO is situated “between economic diplomacy and structural dependency.” The institution offers opportunities for Southern states to assert agency, but its structural design entrenches inequalities that limit the developmental gains available to most members. This contradiction is central to current debates over reform. Proposals to strengthen Special and Differential Treatment (SDT), rebalance subsidy rules, and complete the Doha </w:t>
      </w:r>
      <w:r w:rsidR="00B85160" w:rsidRPr="00B85160">
        <w:rPr>
          <w:rFonts w:ascii="Times New Roman" w:hAnsi="Times New Roman" w:cs="Times New Roman"/>
        </w:rPr>
        <w:lastRenderedPageBreak/>
        <w:t xml:space="preserve">Development Agenda reflect attempts to redress structural asymmetries. </w:t>
      </w:r>
      <w:r>
        <w:rPr>
          <w:rFonts w:ascii="Times New Roman" w:hAnsi="Times New Roman" w:cs="Times New Roman"/>
        </w:rPr>
        <w:t>Thus,</w:t>
      </w:r>
      <w:r w:rsidR="00B85160" w:rsidRPr="00B85160">
        <w:rPr>
          <w:rFonts w:ascii="Times New Roman" w:hAnsi="Times New Roman" w:cs="Times New Roman"/>
        </w:rPr>
        <w:t xml:space="preserve"> the fragmentation of the Global South and the reluctance of the North to cede ground continue to block substantive change (Naidu, 2025; Weinhardt &amp; Barros</w:t>
      </w:r>
      <w:r>
        <w:rPr>
          <w:rFonts w:ascii="Times New Roman" w:hAnsi="Times New Roman" w:cs="Times New Roman"/>
        </w:rPr>
        <w:t xml:space="preserve">, </w:t>
      </w:r>
      <w:r w:rsidR="00B85160" w:rsidRPr="00B85160">
        <w:rPr>
          <w:rFonts w:ascii="Times New Roman" w:hAnsi="Times New Roman" w:cs="Times New Roman"/>
        </w:rPr>
        <w:t>2025).</w:t>
      </w:r>
    </w:p>
    <w:p w14:paraId="2B34EC75" w14:textId="07D4639C" w:rsidR="00E51B83" w:rsidRPr="00E51B83" w:rsidRDefault="001C584B" w:rsidP="00E51B83">
      <w:pPr>
        <w:spacing w:line="360" w:lineRule="auto"/>
        <w:jc w:val="both"/>
        <w:rPr>
          <w:rFonts w:ascii="Times New Roman" w:hAnsi="Times New Roman" w:cs="Times New Roman"/>
          <w:b/>
          <w:bCs/>
        </w:rPr>
      </w:pPr>
      <w:r>
        <w:rPr>
          <w:rFonts w:ascii="Times New Roman" w:hAnsi="Times New Roman" w:cs="Times New Roman"/>
          <w:b/>
          <w:bCs/>
        </w:rPr>
        <w:t xml:space="preserve">9. </w:t>
      </w:r>
      <w:r w:rsidR="00E51B83" w:rsidRPr="00E51B83">
        <w:rPr>
          <w:rFonts w:ascii="Times New Roman" w:hAnsi="Times New Roman" w:cs="Times New Roman"/>
          <w:b/>
          <w:bCs/>
        </w:rPr>
        <w:t>Conclusion</w:t>
      </w:r>
    </w:p>
    <w:p w14:paraId="286005D8" w14:textId="5DA5493E" w:rsidR="00E51B83" w:rsidRPr="00E51B83" w:rsidRDefault="00E51B83" w:rsidP="00E51B83">
      <w:pPr>
        <w:spacing w:line="360" w:lineRule="auto"/>
        <w:jc w:val="both"/>
        <w:rPr>
          <w:rFonts w:ascii="Times New Roman" w:hAnsi="Times New Roman" w:cs="Times New Roman"/>
        </w:rPr>
      </w:pPr>
      <w:r w:rsidRPr="00E51B83">
        <w:rPr>
          <w:rFonts w:ascii="Times New Roman" w:hAnsi="Times New Roman" w:cs="Times New Roman"/>
        </w:rPr>
        <w:t xml:space="preserve">This study has shown that the World Trade Organization (WTO) occupies a paradoxical position in the development trajectories of the Global South. While the institution provides a forum for participation, dispute settlement, and collective negotiation, its rules simultaneously reproduce structural inequalities that limit industrial upgrading and policy flexibility. The Nigerian and South African cases highlight this duality in practice: Nigeria illustrates how premature liberalization deepens dependency and deindustrialization, while South Africa demonstrates how, under certain conditions, WTO membership can support export growth and partial reintegration into the global economy. Theoretically, this tension is captured by the interplay of dependency theory, which emphasizes structural constraints, and economic diplomacy, which underscores agency and coalition politics. </w:t>
      </w:r>
      <w:r>
        <w:rPr>
          <w:rFonts w:ascii="Times New Roman" w:hAnsi="Times New Roman" w:cs="Times New Roman"/>
        </w:rPr>
        <w:t>Hence</w:t>
      </w:r>
      <w:r w:rsidRPr="00E51B83">
        <w:rPr>
          <w:rFonts w:ascii="Times New Roman" w:hAnsi="Times New Roman" w:cs="Times New Roman"/>
        </w:rPr>
        <w:t>, these perspectives confirm that the WTO is best understood as an institution situated between economic diplomacy and structural dependency, simultaneously offering opportunity and perpetuating vulnerability.</w:t>
      </w:r>
    </w:p>
    <w:p w14:paraId="4329F212" w14:textId="0A3EC193" w:rsidR="00E51B83" w:rsidRPr="00E51B83" w:rsidRDefault="001C584B" w:rsidP="00E51B83">
      <w:pPr>
        <w:spacing w:line="360" w:lineRule="auto"/>
        <w:jc w:val="both"/>
        <w:rPr>
          <w:rFonts w:ascii="Times New Roman" w:hAnsi="Times New Roman" w:cs="Times New Roman"/>
          <w:b/>
          <w:bCs/>
        </w:rPr>
      </w:pPr>
      <w:r>
        <w:rPr>
          <w:rFonts w:ascii="Times New Roman" w:hAnsi="Times New Roman" w:cs="Times New Roman"/>
          <w:b/>
          <w:bCs/>
        </w:rPr>
        <w:t xml:space="preserve">10. </w:t>
      </w:r>
      <w:r w:rsidR="00E51B83" w:rsidRPr="00E51B83">
        <w:rPr>
          <w:rFonts w:ascii="Times New Roman" w:hAnsi="Times New Roman" w:cs="Times New Roman"/>
          <w:b/>
          <w:bCs/>
        </w:rPr>
        <w:t>Policy Recommendations</w:t>
      </w:r>
    </w:p>
    <w:p w14:paraId="3B38648C" w14:textId="2BBEC85A" w:rsidR="00E51B83" w:rsidRDefault="00E51B83" w:rsidP="00E51B83">
      <w:pPr>
        <w:spacing w:line="360" w:lineRule="auto"/>
        <w:jc w:val="both"/>
        <w:rPr>
          <w:rFonts w:ascii="Times New Roman" w:hAnsi="Times New Roman" w:cs="Times New Roman"/>
        </w:rPr>
      </w:pPr>
      <w:r w:rsidRPr="00E51B83">
        <w:rPr>
          <w:rFonts w:ascii="Times New Roman" w:hAnsi="Times New Roman" w:cs="Times New Roman"/>
        </w:rPr>
        <w:t>To realize its developmental promise for the Global South, the WTO must address systemic asymmetries that undermine equity. First, strengthening Special and Differential Treatment (SDT) provisions is essential, moving from voluntary clauses to binding mechanisms that grant developing countries meaningful policy space for industrialization. Second, rebalancing subsidy rules is critical to curtail the distortions created by massive Northern agricultural supports while restoring flexibility for Southern states to use targeted subsidies for infant industries. Third, capacity-building for least developed countries (LDCs) should be prioritized, ensuring that small delegations have the technical expertise and institutional resources to engage effectively in complex negotiations. Finally, reviving the Doha Development Agenda with a renewed focus on fairness in agriculture, market access, and policy autonomy would demonstrate the WTO’s commitment to development-oriented reform. Without such steps, the institution risks entrenching dependency rather than advancing equitable integration for the Global South.</w:t>
      </w:r>
    </w:p>
    <w:p w14:paraId="2E378D59" w14:textId="22E19412" w:rsidR="00D84881" w:rsidRPr="00D84881" w:rsidRDefault="00D84881" w:rsidP="00D0273D">
      <w:pPr>
        <w:spacing w:line="240" w:lineRule="auto"/>
        <w:jc w:val="both"/>
        <w:rPr>
          <w:rFonts w:ascii="Times New Roman" w:hAnsi="Times New Roman" w:cs="Times New Roman"/>
          <w:b/>
          <w:bCs/>
        </w:rPr>
      </w:pPr>
      <w:r w:rsidRPr="00D84881">
        <w:rPr>
          <w:rFonts w:ascii="Times New Roman" w:hAnsi="Times New Roman" w:cs="Times New Roman"/>
          <w:b/>
          <w:bCs/>
        </w:rPr>
        <w:lastRenderedPageBreak/>
        <w:t>11. Limitations of the Study</w:t>
      </w:r>
    </w:p>
    <w:p w14:paraId="243661D5" w14:textId="77777777" w:rsidR="00D84881" w:rsidRDefault="00D84881" w:rsidP="00D84881">
      <w:pPr>
        <w:spacing w:line="360" w:lineRule="auto"/>
        <w:jc w:val="both"/>
        <w:rPr>
          <w:rFonts w:ascii="Times New Roman" w:hAnsi="Times New Roman" w:cs="Times New Roman"/>
        </w:rPr>
      </w:pPr>
      <w:r w:rsidRPr="00D84881">
        <w:rPr>
          <w:rFonts w:ascii="Times New Roman" w:hAnsi="Times New Roman" w:cs="Times New Roman"/>
        </w:rPr>
        <w:t>Although this study provides a broad synthesis of theoretical and empirical perspectives, it is limited by its reliance on secondary data and literature-based evidence. The scoping review approach captures patterns and debates across existing studies but does not quantify the magnitude of the WTO’s impact on specific economies. Furthermore, variations in data quality and country-specific contexts may constrain the generalizability of the findings. Future research could build on this work through comparative quantitative analyses or field-based investigations that capture localized trade and development dynamics.</w:t>
      </w:r>
    </w:p>
    <w:p w14:paraId="6845E3B8" w14:textId="77777777" w:rsidR="00D0273D" w:rsidRPr="00D0273D" w:rsidRDefault="00D0273D" w:rsidP="00D0273D">
      <w:pPr>
        <w:spacing w:line="240" w:lineRule="auto"/>
        <w:jc w:val="both"/>
        <w:rPr>
          <w:rFonts w:ascii="Times New Roman" w:hAnsi="Times New Roman" w:cs="Times New Roman"/>
          <w:b/>
          <w:bCs/>
        </w:rPr>
      </w:pPr>
      <w:r w:rsidRPr="00D0273D">
        <w:rPr>
          <w:rFonts w:ascii="Times New Roman" w:hAnsi="Times New Roman" w:cs="Times New Roman"/>
          <w:b/>
          <w:bCs/>
        </w:rPr>
        <w:t>12. Future Research Directions</w:t>
      </w:r>
    </w:p>
    <w:p w14:paraId="78252C9A" w14:textId="494E9F66" w:rsidR="00D0273D" w:rsidRPr="00D84881" w:rsidRDefault="00D0273D" w:rsidP="00D84881">
      <w:pPr>
        <w:spacing w:line="360" w:lineRule="auto"/>
        <w:jc w:val="both"/>
        <w:rPr>
          <w:rFonts w:ascii="Times New Roman" w:hAnsi="Times New Roman" w:cs="Times New Roman"/>
        </w:rPr>
      </w:pPr>
      <w:r w:rsidRPr="00D0273D">
        <w:rPr>
          <w:rFonts w:ascii="Times New Roman" w:hAnsi="Times New Roman" w:cs="Times New Roman"/>
        </w:rPr>
        <w:t>Future studies could extend this analysis by incorporating quantitative assessments of WTO policy impacts across a larger sample of developing countries. Comparative research using econometric or mixed-method approaches would help validate the qualitative insights presented here. Further exploration of emerging economies’ coalition strategies within the WTO could also shed light on evolving patterns of South–South diplomacy and institutional reform.</w:t>
      </w:r>
    </w:p>
    <w:p w14:paraId="77F1AE1B" w14:textId="77777777" w:rsidR="008D7A25" w:rsidRPr="00D84881" w:rsidRDefault="008D7A25" w:rsidP="00D84881">
      <w:pPr>
        <w:jc w:val="both"/>
        <w:rPr>
          <w:rFonts w:ascii="Times New Roman" w:eastAsia="Calibri" w:hAnsi="Times New Roman" w:cs="Times New Roman"/>
          <w:b/>
          <w:bCs/>
        </w:rPr>
      </w:pPr>
      <w:bookmarkStart w:id="0" w:name="_Hlk197682619"/>
      <w:bookmarkStart w:id="1" w:name="_Hlk180402183"/>
      <w:bookmarkStart w:id="2" w:name="_Hlk183680988"/>
      <w:r w:rsidRPr="00D84881">
        <w:rPr>
          <w:rFonts w:ascii="Times New Roman" w:eastAsia="Calibri" w:hAnsi="Times New Roman" w:cs="Times New Roman"/>
          <w:b/>
          <w:bCs/>
        </w:rPr>
        <w:t>Disclaimer (Artificial intelligence)</w:t>
      </w:r>
    </w:p>
    <w:p w14:paraId="62F3ADA2" w14:textId="70492325" w:rsidR="008D7A25" w:rsidRPr="00D84881" w:rsidRDefault="008D7A25" w:rsidP="00D84881">
      <w:pPr>
        <w:jc w:val="both"/>
        <w:rPr>
          <w:rFonts w:ascii="Times New Roman" w:eastAsia="Calibri" w:hAnsi="Times New Roman" w:cs="Times New Roman"/>
        </w:rPr>
      </w:pPr>
      <w:r w:rsidRPr="00D84881">
        <w:rPr>
          <w:rFonts w:ascii="Times New Roman" w:eastAsia="Calibri" w:hAnsi="Times New Roman" w:cs="Times New Roman"/>
        </w:rPr>
        <w:t xml:space="preserve">Author(s) hereby </w:t>
      </w:r>
      <w:r w:rsidR="00D84881" w:rsidRPr="00D84881">
        <w:rPr>
          <w:rFonts w:ascii="Times New Roman" w:eastAsia="Calibri" w:hAnsi="Times New Roman" w:cs="Times New Roman"/>
        </w:rPr>
        <w:t>declares</w:t>
      </w:r>
      <w:r w:rsidRPr="00D84881">
        <w:rPr>
          <w:rFonts w:ascii="Times New Roman" w:eastAsia="Calibri" w:hAnsi="Times New Roman" w:cs="Times New Roman"/>
        </w:rPr>
        <w:t xml:space="preserve"> that N</w:t>
      </w:r>
      <w:bookmarkStart w:id="3" w:name="_GoBack"/>
      <w:bookmarkEnd w:id="3"/>
      <w:r w:rsidRPr="00D84881">
        <w:rPr>
          <w:rFonts w:ascii="Times New Roman" w:eastAsia="Calibri" w:hAnsi="Times New Roman" w:cs="Times New Roman"/>
        </w:rPr>
        <w:t xml:space="preserve">O generative AI technologies such as Large Language Models (ChatGPT, COPILOT, etc.) and text-to-image generators have been used during the writing or editing of this manuscript. </w:t>
      </w:r>
    </w:p>
    <w:bookmarkEnd w:id="0"/>
    <w:bookmarkEnd w:id="1"/>
    <w:bookmarkEnd w:id="2"/>
    <w:p w14:paraId="36EC1329" w14:textId="4C4A1825" w:rsidR="00E51B83" w:rsidRPr="00492DF0" w:rsidRDefault="00492DF0" w:rsidP="00492DF0">
      <w:pPr>
        <w:spacing w:line="240" w:lineRule="auto"/>
        <w:jc w:val="both"/>
        <w:rPr>
          <w:rFonts w:ascii="Times New Roman" w:hAnsi="Times New Roman" w:cs="Times New Roman"/>
          <w:b/>
          <w:bCs/>
        </w:rPr>
      </w:pPr>
      <w:r w:rsidRPr="00492DF0">
        <w:rPr>
          <w:rFonts w:ascii="Times New Roman" w:hAnsi="Times New Roman" w:cs="Times New Roman"/>
          <w:b/>
          <w:bCs/>
        </w:rPr>
        <w:t>References</w:t>
      </w:r>
    </w:p>
    <w:p w14:paraId="1BB5D0E9"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Abdullateef, U., &amp; </w:t>
      </w:r>
      <w:proofErr w:type="spellStart"/>
      <w:r w:rsidRPr="00525FC4">
        <w:rPr>
          <w:rFonts w:ascii="Times New Roman" w:hAnsi="Times New Roman" w:cs="Times New Roman"/>
        </w:rPr>
        <w:t>Ijaiya</w:t>
      </w:r>
      <w:proofErr w:type="spellEnd"/>
      <w:r w:rsidRPr="00525FC4">
        <w:rPr>
          <w:rFonts w:ascii="Times New Roman" w:hAnsi="Times New Roman" w:cs="Times New Roman"/>
        </w:rPr>
        <w:t>, A. T. (2010). Agricultural trade liberalization and food security in Nigeria. Journal of Economics and International Finance, 2(12), 299–307. https://academicjournals.org/journal/JEIF/article-full-text-pdf/6F656F92912</w:t>
      </w:r>
    </w:p>
    <w:p w14:paraId="291C375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Adekola, A. F., Pearl, M., Sergi, B. S., &amp; Muszynski, R. J., III. (2024). Global South leadership style: Strategies for navigating emerging economies. Cambridge University Press. https://assets.cambridge.org/9781009568661/excerpt/9781009568661_excerpt.pdf</w:t>
      </w:r>
    </w:p>
    <w:p w14:paraId="3A83BD0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Aguayo, F. Z. (2022). Impact of international organizations on the institutional development of investment activity. European Research on Management and Business Economics, 28(3), 100191. https://doi.org/10.1016/j.iedeen.2021.100191</w:t>
      </w:r>
    </w:p>
    <w:p w14:paraId="6AF786C3"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Amorim, C. L. N. (2000). The WTO from the perspective of a developing country. Fordham International Law Journal, 24(1), 457–469. https://ir.lawnet.fordham.edu/cgi/viewcontent.cgi?article=1731&amp;context=ilj</w:t>
      </w:r>
    </w:p>
    <w:p w14:paraId="34F9E326"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Amsden, A. H. (2001). The rise of "the rest": Challenges to the West from late-industrializing economies. Oxford University Press. https://doi.org/10.1093/0195139690.001.0001</w:t>
      </w:r>
    </w:p>
    <w:p w14:paraId="718BE97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lastRenderedPageBreak/>
        <w:t xml:space="preserve">Arksey, H., &amp; O’Malley, L. (2005). Scoping studies: towards a methodological framework. International Journal of Social Research Methodology, 8(1), 19–32. https://doi.org/10.1080/1364557032000119616 </w:t>
      </w:r>
    </w:p>
    <w:p w14:paraId="1F887112"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Bagwell, K., &amp; Staiger, R. W. (1999). An economic theory of GATT. American Economic Review, 89(1), 215–248. https://doi.org/10.1257/aer.89.1.215</w:t>
      </w:r>
    </w:p>
    <w:p w14:paraId="50667650"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Baldwin, R. E. (2006). </w:t>
      </w:r>
      <w:proofErr w:type="spellStart"/>
      <w:r w:rsidRPr="00525FC4">
        <w:rPr>
          <w:rFonts w:ascii="Times New Roman" w:hAnsi="Times New Roman" w:cs="Times New Roman"/>
        </w:rPr>
        <w:t>Multilateralising</w:t>
      </w:r>
      <w:proofErr w:type="spellEnd"/>
      <w:r w:rsidRPr="00525FC4">
        <w:rPr>
          <w:rFonts w:ascii="Times New Roman" w:hAnsi="Times New Roman" w:cs="Times New Roman"/>
        </w:rPr>
        <w:t xml:space="preserve"> regionalism: Spaghetti bowls as building </w:t>
      </w:r>
      <w:proofErr w:type="spellStart"/>
      <w:r w:rsidRPr="00525FC4">
        <w:rPr>
          <w:rFonts w:ascii="Times New Roman" w:hAnsi="Times New Roman" w:cs="Times New Roman"/>
        </w:rPr>
        <w:t>blocs</w:t>
      </w:r>
      <w:proofErr w:type="spellEnd"/>
      <w:r w:rsidRPr="00525FC4">
        <w:rPr>
          <w:rFonts w:ascii="Times New Roman" w:hAnsi="Times New Roman" w:cs="Times New Roman"/>
        </w:rPr>
        <w:t xml:space="preserve"> on the path to global free trade. The World Economy, 29(11), 1451–1518. https://doi.org/10.1111/j.1467-9701.2006.00852.x</w:t>
      </w:r>
    </w:p>
    <w:p w14:paraId="05D5AC70"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Bernhardt, T. (2014). North-South Imbalances in the International Trade Regime: Why the WTO Does Not Benefit Developing Countries as Much as it Could. Consilience, (12). https://doi.org/10.7916/consilience.vi12.7556</w:t>
      </w:r>
    </w:p>
    <w:p w14:paraId="71450233"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Bown, C. P. (2024). Modern industrial policy and the World Trade Organization. Annual Review of Economics, 16, 243–270. https://doi.org/10.1146/annurev-economics-100223-041958</w:t>
      </w:r>
    </w:p>
    <w:p w14:paraId="7F726399"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Busse, M., &amp; </w:t>
      </w:r>
      <w:proofErr w:type="spellStart"/>
      <w:r w:rsidRPr="00525FC4">
        <w:rPr>
          <w:rFonts w:ascii="Times New Roman" w:hAnsi="Times New Roman" w:cs="Times New Roman"/>
        </w:rPr>
        <w:t>Gröning</w:t>
      </w:r>
      <w:proofErr w:type="spellEnd"/>
      <w:r w:rsidRPr="00525FC4">
        <w:rPr>
          <w:rFonts w:ascii="Times New Roman" w:hAnsi="Times New Roman" w:cs="Times New Roman"/>
        </w:rPr>
        <w:t>, S. (2012). Assessing the impact of trade liberalization: The case of Jordan. Journal of Economic Integration, 27(3), 466–486. https://doi.org/10.11130/jei.2012.27.3.466</w:t>
      </w:r>
    </w:p>
    <w:p w14:paraId="6263D533"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Cuong, H. C., Trang, T. T., &amp; </w:t>
      </w:r>
      <w:proofErr w:type="spellStart"/>
      <w:r w:rsidRPr="00525FC4">
        <w:rPr>
          <w:rFonts w:ascii="Times New Roman" w:hAnsi="Times New Roman" w:cs="Times New Roman"/>
        </w:rPr>
        <w:t>Thi</w:t>
      </w:r>
      <w:proofErr w:type="spellEnd"/>
      <w:r w:rsidRPr="00525FC4">
        <w:rPr>
          <w:rFonts w:ascii="Times New Roman" w:hAnsi="Times New Roman" w:cs="Times New Roman"/>
        </w:rPr>
        <w:t>, N. D. (2015). The impact of the World Trade Organization (WTO) on foreign trade: Case study of Vietnam. British Journal of Economics, Management &amp; Trade, 7(3), 200–217. https://doi.org/10.9734/BJEMT/2015/16254</w:t>
      </w:r>
    </w:p>
    <w:p w14:paraId="2AF6DFAB"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Dos Santos, T. (1970). The structure of dependency. American Economic Review, 60(2), 231–236. Available at: http://digamo.free.fr/dosantos70.pdf</w:t>
      </w:r>
    </w:p>
    <w:p w14:paraId="5BEF6A4D"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lang w:val="da-DK"/>
        </w:rPr>
        <w:t xml:space="preserve">Du Plessis, S., &amp; Smit, B. (2007). </w:t>
      </w:r>
      <w:r w:rsidRPr="00525FC4">
        <w:rPr>
          <w:rFonts w:ascii="Times New Roman" w:hAnsi="Times New Roman" w:cs="Times New Roman"/>
        </w:rPr>
        <w:t>South Africa's growth revival after 1994. Journal of African Economies, 16(5), 668–704. https://doi.org/10.1093/jae/ejm012</w:t>
      </w:r>
    </w:p>
    <w:p w14:paraId="0ACDFB3F"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Duggan, N., </w:t>
      </w:r>
      <w:proofErr w:type="spellStart"/>
      <w:r w:rsidRPr="00492DF0">
        <w:rPr>
          <w:rFonts w:ascii="Times New Roman" w:hAnsi="Times New Roman" w:cs="Times New Roman"/>
        </w:rPr>
        <w:t>Hooijmaaijers</w:t>
      </w:r>
      <w:proofErr w:type="spellEnd"/>
      <w:r w:rsidRPr="00492DF0">
        <w:rPr>
          <w:rFonts w:ascii="Times New Roman" w:hAnsi="Times New Roman" w:cs="Times New Roman"/>
        </w:rPr>
        <w:t xml:space="preserve">, B., </w:t>
      </w:r>
      <w:proofErr w:type="spellStart"/>
      <w:r w:rsidRPr="00492DF0">
        <w:rPr>
          <w:rFonts w:ascii="Times New Roman" w:hAnsi="Times New Roman" w:cs="Times New Roman"/>
        </w:rPr>
        <w:t>Rewizorski</w:t>
      </w:r>
      <w:proofErr w:type="spellEnd"/>
      <w:r w:rsidRPr="00492DF0">
        <w:rPr>
          <w:rFonts w:ascii="Times New Roman" w:hAnsi="Times New Roman" w:cs="Times New Roman"/>
        </w:rPr>
        <w:t xml:space="preserve">, M., &amp; </w:t>
      </w:r>
      <w:proofErr w:type="spellStart"/>
      <w:r w:rsidRPr="00492DF0">
        <w:rPr>
          <w:rFonts w:ascii="Times New Roman" w:hAnsi="Times New Roman" w:cs="Times New Roman"/>
        </w:rPr>
        <w:t>Arapova</w:t>
      </w:r>
      <w:proofErr w:type="spellEnd"/>
      <w:r w:rsidRPr="00492DF0">
        <w:rPr>
          <w:rFonts w:ascii="Times New Roman" w:hAnsi="Times New Roman" w:cs="Times New Roman"/>
        </w:rPr>
        <w:t>, E. (2021). Introduction: ‘The BRICS, Global Governance, and Challenges for South–South Cooperation in a Post-Western World’. International Political Science Review, 43(4), 469-480. https://doi.org/10.1177/01925121211052211</w:t>
      </w:r>
    </w:p>
    <w:p w14:paraId="1B2C4940"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Edwards, L. (2005). Has South Africa </w:t>
      </w:r>
      <w:proofErr w:type="spellStart"/>
      <w:r w:rsidRPr="00525FC4">
        <w:rPr>
          <w:rFonts w:ascii="Times New Roman" w:hAnsi="Times New Roman" w:cs="Times New Roman"/>
        </w:rPr>
        <w:t>liberalised</w:t>
      </w:r>
      <w:proofErr w:type="spellEnd"/>
      <w:r w:rsidRPr="00525FC4">
        <w:rPr>
          <w:rFonts w:ascii="Times New Roman" w:hAnsi="Times New Roman" w:cs="Times New Roman"/>
        </w:rPr>
        <w:t xml:space="preserve"> its trade? South African Journal of Economics, 73(4), 754–775. https://doi.org/10.1111/j.1813-6982.2005.00052.x</w:t>
      </w:r>
    </w:p>
    <w:p w14:paraId="0D02D9EB"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Esparza. 2010. "Global Movement Coalitions: The Global South and the World Trade Organization in Cancun." Societies Without Borders 4 (2): 226-246. Available at: https://scholarlycommons.law.case.edu/swb/vol4/iss2/9</w:t>
      </w:r>
    </w:p>
    <w:p w14:paraId="416ED2A7"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Evans, P. (1979). Dependent Development: The Alliance of Multinational, State, and Local Capital in Brazil. Princeton University Press. https://doi.org/10.1515/9780691186801</w:t>
      </w:r>
    </w:p>
    <w:p w14:paraId="5394390B"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Evans, P. (2009). From situations of dependency to globalized social democracy. Studies in Comparative International Development, 44(4), 318–336. https://doi.org/10.1007/s12116-009-9049-9</w:t>
      </w:r>
    </w:p>
    <w:p w14:paraId="785D35CE"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lastRenderedPageBreak/>
        <w:t>Ezeonwuka</w:t>
      </w:r>
      <w:proofErr w:type="spellEnd"/>
      <w:r w:rsidRPr="00492DF0">
        <w:rPr>
          <w:rFonts w:ascii="Times New Roman" w:hAnsi="Times New Roman" w:cs="Times New Roman"/>
        </w:rPr>
        <w:t xml:space="preserve">, I.-F., </w:t>
      </w:r>
      <w:proofErr w:type="spellStart"/>
      <w:r w:rsidRPr="00492DF0">
        <w:rPr>
          <w:rFonts w:ascii="Times New Roman" w:hAnsi="Times New Roman" w:cs="Times New Roman"/>
        </w:rPr>
        <w:t>Uzoho</w:t>
      </w:r>
      <w:proofErr w:type="spellEnd"/>
      <w:r w:rsidRPr="00492DF0">
        <w:rPr>
          <w:rFonts w:ascii="Times New Roman" w:hAnsi="Times New Roman" w:cs="Times New Roman"/>
        </w:rPr>
        <w:t xml:space="preserve">, P. I., &amp; Udeh, A. V. (2025). World Trade Organization and the Global South: An appraisal of the Nigerian situation 1995-2023. </w:t>
      </w:r>
      <w:proofErr w:type="spellStart"/>
      <w:r w:rsidRPr="00492DF0">
        <w:rPr>
          <w:rFonts w:ascii="Times New Roman" w:hAnsi="Times New Roman" w:cs="Times New Roman"/>
        </w:rPr>
        <w:t>Nnadiebube</w:t>
      </w:r>
      <w:proofErr w:type="spellEnd"/>
      <w:r w:rsidRPr="00492DF0">
        <w:rPr>
          <w:rFonts w:ascii="Times New Roman" w:hAnsi="Times New Roman" w:cs="Times New Roman"/>
        </w:rPr>
        <w:t xml:space="preserve"> Journal of Philosophy, 8(4). https://acjol.org/index.php/NJP/article/view/7764/7485</w:t>
      </w:r>
    </w:p>
    <w:p w14:paraId="2AE625BC"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 xml:space="preserve">Faulkner, D., &amp; </w:t>
      </w:r>
      <w:proofErr w:type="spellStart"/>
      <w:r w:rsidRPr="00525FC4">
        <w:rPr>
          <w:rFonts w:ascii="Times New Roman" w:hAnsi="Times New Roman" w:cs="Times New Roman"/>
        </w:rPr>
        <w:t>Loewald</w:t>
      </w:r>
      <w:proofErr w:type="spellEnd"/>
      <w:r w:rsidRPr="00525FC4">
        <w:rPr>
          <w:rFonts w:ascii="Times New Roman" w:hAnsi="Times New Roman" w:cs="Times New Roman"/>
        </w:rPr>
        <w:t>, C. (2008). Policy change and economic growth: A case study of South Africa (Commission on Growth and Development Working Paper No. 41). The World Bank. https://hdl.handle.net/10986/28012</w:t>
      </w:r>
    </w:p>
    <w:p w14:paraId="5A42678D"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Haug, S. (2020). A </w:t>
      </w:r>
      <w:proofErr w:type="spellStart"/>
      <w:r w:rsidRPr="00492DF0">
        <w:rPr>
          <w:rFonts w:ascii="Times New Roman" w:hAnsi="Times New Roman" w:cs="Times New Roman"/>
        </w:rPr>
        <w:t>Thirdspace</w:t>
      </w:r>
      <w:proofErr w:type="spellEnd"/>
      <w:r w:rsidRPr="00492DF0">
        <w:rPr>
          <w:rFonts w:ascii="Times New Roman" w:hAnsi="Times New Roman" w:cs="Times New Roman"/>
        </w:rPr>
        <w:t xml:space="preserve"> approach to the ‘Global South’: insights from the margins of a popular category. Third World Quarterly, 42(9), 2018–2038. https://doi.org/10.1080/01436597.2020.1712999</w:t>
      </w:r>
    </w:p>
    <w:p w14:paraId="408B6649"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International Institute for Sustainable Development. (2003). Special and differential treatment (IISD Trade and Development Brief No. 2). https://www.iisd.org/system/files/publications/investment_sdc_may_2003_2.pdf</w:t>
      </w:r>
    </w:p>
    <w:p w14:paraId="3EDFE519" w14:textId="77777777" w:rsidR="00525FC4" w:rsidRPr="00525FC4" w:rsidRDefault="00525FC4" w:rsidP="00525FC4">
      <w:pPr>
        <w:spacing w:after="0" w:line="240" w:lineRule="auto"/>
        <w:ind w:left="450" w:hanging="450"/>
        <w:jc w:val="both"/>
        <w:rPr>
          <w:rFonts w:ascii="Times New Roman" w:hAnsi="Times New Roman" w:cs="Times New Roman"/>
        </w:rPr>
      </w:pPr>
      <w:r w:rsidRPr="00525FC4">
        <w:rPr>
          <w:rFonts w:ascii="Times New Roman" w:hAnsi="Times New Roman" w:cs="Times New Roman"/>
        </w:rPr>
        <w:t>Irwin, D. A. (2006). Fair Trade for All: How Trade Can Promote Development by Joseph E. Stiglitz and Andrew Charlton Oxford University Press, New York, 2005. World Trade Review, 5(3), 489–491. doi:10.1017/S1474745606213028</w:t>
      </w:r>
    </w:p>
    <w:p w14:paraId="2E64BD1C"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Jaldi, A. (2023). The crisis of multilateralism viewed from the Global South (Policy Paper No. 05/23). Policy Center for the New South. </w:t>
      </w:r>
      <w:r>
        <w:rPr>
          <w:rFonts w:ascii="Times New Roman" w:hAnsi="Times New Roman" w:cs="Times New Roman"/>
        </w:rPr>
        <w:t xml:space="preserve">Available at: </w:t>
      </w:r>
      <w:r w:rsidRPr="00492DF0">
        <w:rPr>
          <w:rFonts w:ascii="Times New Roman" w:hAnsi="Times New Roman" w:cs="Times New Roman"/>
        </w:rPr>
        <w:t>https://www.policycenter.ma/sites/default/files/2023-04/PP_05-23%20(Jaldi%20).pdf</w:t>
      </w:r>
    </w:p>
    <w:p w14:paraId="69B7AA85"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Kaplan 1, D. (2004). Manufacturing in South Africa over the last decade: a review of industrial performance and policy. Development Southern Africa, 21(4), 623–644. https://doi.org/10.1080/0376835042000288824</w:t>
      </w:r>
    </w:p>
    <w:p w14:paraId="461597DE"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Kaul, I. (2013). The rise of the Global South: Implications for the provisioning of global public goods (Occasional Paper No. 2013/08). United Nations Development </w:t>
      </w:r>
      <w:proofErr w:type="spellStart"/>
      <w:r w:rsidRPr="00492DF0">
        <w:rPr>
          <w:rFonts w:ascii="Times New Roman" w:hAnsi="Times New Roman" w:cs="Times New Roman"/>
        </w:rPr>
        <w:t>Programme</w:t>
      </w:r>
      <w:proofErr w:type="spellEnd"/>
      <w:r w:rsidRPr="00492DF0">
        <w:rPr>
          <w:rFonts w:ascii="Times New Roman" w:hAnsi="Times New Roman" w:cs="Times New Roman"/>
        </w:rPr>
        <w:t>, Human Development Report Office. https://hdr.undp.org/system/files/documents/hdro1308kaul.pdf</w:t>
      </w:r>
    </w:p>
    <w:p w14:paraId="456FFA89"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lang w:val="it-IT"/>
        </w:rPr>
        <w:t xml:space="preserve">Khor, M., &amp; Ocampo, J. A. (2010). </w:t>
      </w:r>
      <w:r w:rsidRPr="00525FC4">
        <w:rPr>
          <w:rFonts w:ascii="Times New Roman" w:hAnsi="Times New Roman" w:cs="Times New Roman"/>
        </w:rPr>
        <w:t xml:space="preserve">The unsettled global trade architecture [Paper presentation]. Conference on Global Economic Governance, Washington, DC, United States. </w:t>
      </w:r>
      <w:hyperlink r:id="rId7" w:history="1">
        <w:r w:rsidRPr="007969AD">
          <w:rPr>
            <w:rStyle w:val="Hyperlink"/>
            <w:rFonts w:ascii="Times New Roman" w:hAnsi="Times New Roman" w:cs="Times New Roman"/>
          </w:rPr>
          <w:t>https://www.researchgate.net/profile/Jose-Ocampo-6/publication/264878561_THE_UNSETTLED_GLOBAL_TRADE_ARCHITECTURE/links/5744697708ae9ace841fa1b0/THE-UNSETTLED-GLOBAL-TRADE-ARCHITECTURE.pdf?origin=scientificContributions</w:t>
        </w:r>
      </w:hyperlink>
      <w:r>
        <w:rPr>
          <w:rFonts w:ascii="Times New Roman" w:hAnsi="Times New Roman" w:cs="Times New Roman"/>
        </w:rPr>
        <w:t xml:space="preserve"> </w:t>
      </w:r>
    </w:p>
    <w:p w14:paraId="73EB4045"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Levac, D., Colquhoun, H., &amp; O’Brien, K. K. (2010). Scoping studies: Advancing the methodology. Implementation Science, 5(1), 69. https://doi.org/10.1186/1748-5908-5-69 </w:t>
      </w:r>
    </w:p>
    <w:p w14:paraId="230D837D"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Mitchell, A. D., &amp; </w:t>
      </w:r>
      <w:proofErr w:type="spellStart"/>
      <w:r w:rsidRPr="00492DF0">
        <w:rPr>
          <w:rFonts w:ascii="Times New Roman" w:hAnsi="Times New Roman" w:cs="Times New Roman"/>
        </w:rPr>
        <w:t>Sheargold</w:t>
      </w:r>
      <w:proofErr w:type="spellEnd"/>
      <w:r w:rsidRPr="00492DF0">
        <w:rPr>
          <w:rFonts w:ascii="Times New Roman" w:hAnsi="Times New Roman" w:cs="Times New Roman"/>
        </w:rPr>
        <w:t>, E. (2009). Global governance: The World Trade Organization's contribution. Georgetown Law Faculty Publications and Other Works. 386. https://scholarship.law.georgetown.edu/facpub/386</w:t>
      </w:r>
    </w:p>
    <w:p w14:paraId="587A25F4" w14:textId="77777777" w:rsidR="00525FC4" w:rsidRPr="00492DF0" w:rsidRDefault="00525FC4" w:rsidP="00492DF0">
      <w:pPr>
        <w:spacing w:line="240" w:lineRule="auto"/>
        <w:ind w:left="360" w:hanging="360"/>
        <w:jc w:val="both"/>
        <w:rPr>
          <w:rFonts w:ascii="Times New Roman" w:hAnsi="Times New Roman" w:cs="Times New Roman"/>
          <w:lang w:val="it-IT"/>
        </w:rPr>
      </w:pPr>
      <w:r w:rsidRPr="00492DF0">
        <w:rPr>
          <w:rFonts w:ascii="Times New Roman" w:hAnsi="Times New Roman" w:cs="Times New Roman"/>
        </w:rPr>
        <w:t xml:space="preserve">Mokgethi, T. (2016). Effects of WTO membership on developing members’ trade: A case for South Africa [Master’s thesis, Jönköping University]. </w:t>
      </w:r>
      <w:r w:rsidRPr="00492DF0">
        <w:rPr>
          <w:rFonts w:ascii="Times New Roman" w:hAnsi="Times New Roman" w:cs="Times New Roman"/>
          <w:lang w:val="it-IT"/>
        </w:rPr>
        <w:t>DiVA Portal. https://www.diva-portal.org/smash/get/diva2:937035/FULLTEXT01.pdf</w:t>
      </w:r>
    </w:p>
    <w:p w14:paraId="610EEFC9"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Naidu, V. (2025, March 21). WTO at 30: A reckoning or just another review? </w:t>
      </w:r>
      <w:proofErr w:type="spellStart"/>
      <w:r w:rsidRPr="00492DF0">
        <w:rPr>
          <w:rFonts w:ascii="Times New Roman" w:hAnsi="Times New Roman" w:cs="Times New Roman"/>
        </w:rPr>
        <w:t>SouthViews</w:t>
      </w:r>
      <w:proofErr w:type="spellEnd"/>
      <w:r w:rsidRPr="00492DF0">
        <w:rPr>
          <w:rFonts w:ascii="Times New Roman" w:hAnsi="Times New Roman" w:cs="Times New Roman"/>
        </w:rPr>
        <w:t>, 284. https://www.southcentre.int/wp-content/uploads/2025/03/SV284_250321.pdf</w:t>
      </w:r>
    </w:p>
    <w:p w14:paraId="1511CC50"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lastRenderedPageBreak/>
        <w:t>Naseemullah</w:t>
      </w:r>
      <w:proofErr w:type="spellEnd"/>
      <w:r w:rsidRPr="00492DF0">
        <w:rPr>
          <w:rFonts w:ascii="Times New Roman" w:hAnsi="Times New Roman" w:cs="Times New Roman"/>
        </w:rPr>
        <w:t>, A. (2023). The political economy of national development: A research agenda after neoliberal reform? World Development, 168, 106269. https://doi.org/10.1016/j.worlddev.2023.106269</w:t>
      </w:r>
    </w:p>
    <w:p w14:paraId="66D7C7D1"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t>Nnabuihe</w:t>
      </w:r>
      <w:proofErr w:type="spellEnd"/>
      <w:r w:rsidRPr="00492DF0">
        <w:rPr>
          <w:rFonts w:ascii="Times New Roman" w:hAnsi="Times New Roman" w:cs="Times New Roman"/>
        </w:rPr>
        <w:t xml:space="preserve">, N. S., Odunze, N. T., &amp; </w:t>
      </w:r>
      <w:proofErr w:type="spellStart"/>
      <w:r w:rsidRPr="00492DF0">
        <w:rPr>
          <w:rFonts w:ascii="Times New Roman" w:hAnsi="Times New Roman" w:cs="Times New Roman"/>
        </w:rPr>
        <w:t>Okebugwu</w:t>
      </w:r>
      <w:proofErr w:type="spellEnd"/>
      <w:r w:rsidRPr="00492DF0">
        <w:rPr>
          <w:rFonts w:ascii="Times New Roman" w:hAnsi="Times New Roman" w:cs="Times New Roman"/>
        </w:rPr>
        <w:t xml:space="preserve">, N. E. (2014). World Trade Organization and </w:t>
      </w:r>
      <w:r>
        <w:rPr>
          <w:rFonts w:ascii="Times New Roman" w:hAnsi="Times New Roman" w:cs="Times New Roman"/>
        </w:rPr>
        <w:t>t</w:t>
      </w:r>
      <w:r w:rsidRPr="00492DF0">
        <w:rPr>
          <w:rFonts w:ascii="Times New Roman" w:hAnsi="Times New Roman" w:cs="Times New Roman"/>
        </w:rPr>
        <w:t xml:space="preserve">he Developing </w:t>
      </w:r>
      <w:proofErr w:type="spellStart"/>
      <w:r w:rsidRPr="00492DF0">
        <w:rPr>
          <w:rFonts w:ascii="Times New Roman" w:hAnsi="Times New Roman" w:cs="Times New Roman"/>
        </w:rPr>
        <w:t>Worldnigerian</w:t>
      </w:r>
      <w:proofErr w:type="spellEnd"/>
      <w:r w:rsidRPr="00492DF0">
        <w:rPr>
          <w:rFonts w:ascii="Times New Roman" w:hAnsi="Times New Roman" w:cs="Times New Roman"/>
        </w:rPr>
        <w:t xml:space="preserve"> Economy: A Case Study. European Scientific Journal, ESJ, 10(10). Retrieved from https://eujournal.org/index.php/esj/article/view/4109</w:t>
      </w:r>
    </w:p>
    <w:p w14:paraId="7F1983F3"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t>Nyambuli</w:t>
      </w:r>
      <w:proofErr w:type="spellEnd"/>
      <w:r w:rsidRPr="00492DF0">
        <w:rPr>
          <w:rFonts w:ascii="Times New Roman" w:hAnsi="Times New Roman" w:cs="Times New Roman"/>
        </w:rPr>
        <w:t>, N. W. (2025). An analysis of the successes and failures of the World Trade Organization (WTO). Journal of Advanced Management Science, 13(2), 41. https://www.joams.com/2025/JOAMS-V13N2-41.pdf</w:t>
      </w:r>
    </w:p>
    <w:p w14:paraId="10E7F81E"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Okafor, G. (2017). The Determinants of Firm Performance and Bribery: Evidence from Manufacturing Firms in Nigeria. International Economic Journal, 31(4), 647–669. DOI:10.1080/10168737.2017.1380678</w:t>
      </w:r>
    </w:p>
    <w:p w14:paraId="2E264DAC"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Pearl, M., Sergi, B. S., &amp; Muszynski, R. J., III. (2025). Shifting Equilibria: A New Framework Assessing Changing Power Dynamics Between the Global North and Global South. World, 6(1), 34. https://doi.org/10.3390/world6010034</w:t>
      </w:r>
    </w:p>
    <w:p w14:paraId="0E7E90DC"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492DF0">
        <w:rPr>
          <w:rFonts w:ascii="Times New Roman" w:hAnsi="Times New Roman" w:cs="Times New Roman"/>
        </w:rPr>
        <w:t>Permana</w:t>
      </w:r>
      <w:proofErr w:type="spellEnd"/>
      <w:r w:rsidRPr="00492DF0">
        <w:rPr>
          <w:rFonts w:ascii="Times New Roman" w:hAnsi="Times New Roman" w:cs="Times New Roman"/>
        </w:rPr>
        <w:t xml:space="preserve">, R. B., Juwana, H., &amp; </w:t>
      </w:r>
      <w:proofErr w:type="spellStart"/>
      <w:r w:rsidRPr="00492DF0">
        <w:rPr>
          <w:rFonts w:ascii="Times New Roman" w:hAnsi="Times New Roman" w:cs="Times New Roman"/>
        </w:rPr>
        <w:t>Afriansyah</w:t>
      </w:r>
      <w:proofErr w:type="spellEnd"/>
      <w:r w:rsidRPr="00492DF0">
        <w:rPr>
          <w:rFonts w:ascii="Times New Roman" w:hAnsi="Times New Roman" w:cs="Times New Roman"/>
        </w:rPr>
        <w:t>, A. (2024). Sustainable development as a legal argument for the Global South: Legal mimicry in Indonesia's WTO dispute settlement. Indonesian Journal of Law and Society, 5(2), 153–203. https://doi.org/10.19184/ijls.v5i2.45427</w:t>
      </w:r>
    </w:p>
    <w:p w14:paraId="28880571"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Popay, J., Roberts, H., Sowden, A., Petticrew, M., Arai, L., Rodgers, M., &amp; Duffy, S. (2006). Guidance on the conduct of narrative synthesis in systematic reviews: A product from the ESRC methods </w:t>
      </w:r>
      <w:proofErr w:type="spellStart"/>
      <w:r w:rsidRPr="00492DF0">
        <w:rPr>
          <w:rFonts w:ascii="Times New Roman" w:hAnsi="Times New Roman" w:cs="Times New Roman"/>
        </w:rPr>
        <w:t>programme</w:t>
      </w:r>
      <w:proofErr w:type="spellEnd"/>
      <w:r w:rsidRPr="00492DF0">
        <w:rPr>
          <w:rFonts w:ascii="Times New Roman" w:hAnsi="Times New Roman" w:cs="Times New Roman"/>
        </w:rPr>
        <w:t xml:space="preserve">. ESRC Methods </w:t>
      </w:r>
      <w:proofErr w:type="spellStart"/>
      <w:r w:rsidRPr="00492DF0">
        <w:rPr>
          <w:rFonts w:ascii="Times New Roman" w:hAnsi="Times New Roman" w:cs="Times New Roman"/>
        </w:rPr>
        <w:t>Programme</w:t>
      </w:r>
      <w:proofErr w:type="spellEnd"/>
      <w:r w:rsidRPr="00492DF0">
        <w:rPr>
          <w:rFonts w:ascii="Times New Roman" w:hAnsi="Times New Roman" w:cs="Times New Roman"/>
        </w:rPr>
        <w:t xml:space="preserve">. https://www.lancaster.ac.uk/media/lancaster-university/content-assets/documents/fhm/dhr/chir/NSsynthesisguidanceVersion1-April2006.pdf </w:t>
      </w:r>
    </w:p>
    <w:p w14:paraId="0545786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Rena, R. (2012). Impact of WTO policies on developing countries: Issues and perspectives. Transnational Corporations Review, 4(3), 77–88. https://doi.org/10.1080/19186444.2012.11658336</w:t>
      </w:r>
    </w:p>
    <w:p w14:paraId="5528AB4F"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Rodrik, D. (2011). The globalization paradox: Democracy and the future of the world economy. W. W. Norton &amp; Company. https://doi.org/10.1355/ae28-3k</w:t>
      </w:r>
    </w:p>
    <w:p w14:paraId="1440CFC4" w14:textId="77777777" w:rsidR="00525FC4" w:rsidRPr="00D84881" w:rsidRDefault="00525FC4" w:rsidP="00492DF0">
      <w:pPr>
        <w:spacing w:line="240" w:lineRule="auto"/>
        <w:ind w:left="360" w:hanging="360"/>
        <w:jc w:val="both"/>
        <w:rPr>
          <w:rFonts w:ascii="Times New Roman" w:hAnsi="Times New Roman" w:cs="Times New Roman"/>
          <w:lang w:val="it-IT"/>
        </w:rPr>
      </w:pPr>
      <w:r w:rsidRPr="00492DF0">
        <w:rPr>
          <w:rFonts w:ascii="Times New Roman" w:hAnsi="Times New Roman" w:cs="Times New Roman"/>
        </w:rPr>
        <w:t xml:space="preserve">Schöfer, T., &amp; Weinhardt, C. (2022). Developing-country status at the WTO: The divergent strategies of Brazil, India and China. </w:t>
      </w:r>
      <w:r w:rsidRPr="00D84881">
        <w:rPr>
          <w:rFonts w:ascii="Times New Roman" w:hAnsi="Times New Roman" w:cs="Times New Roman"/>
          <w:lang w:val="it-IT"/>
        </w:rPr>
        <w:t>International Affairs, 98(6), 1937–1957. https://doi.org/10.1093/ia/iiac227</w:t>
      </w:r>
    </w:p>
    <w:p w14:paraId="156F526B"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lang w:val="it-IT"/>
        </w:rPr>
        <w:t xml:space="preserve">Schreiber, B. ., Perozzi, B., Moscaritolo, L. B. ., &amp; Luescher, T. . </w:t>
      </w:r>
      <w:r w:rsidRPr="00492DF0">
        <w:rPr>
          <w:rFonts w:ascii="Times New Roman" w:hAnsi="Times New Roman" w:cs="Times New Roman"/>
        </w:rPr>
        <w:t>(2023). Student Affairs and Services: The Global South Leading the Global North in the Adoption of the Sustainable Development Goals. Journal of International Students, 14(2), 91-104. https://doi.org/10.32674/jis.v14i2.6388</w:t>
      </w:r>
    </w:p>
    <w:p w14:paraId="6AB99FE5" w14:textId="77777777" w:rsidR="00525FC4" w:rsidRPr="00492DF0" w:rsidRDefault="00525FC4" w:rsidP="00492DF0">
      <w:pPr>
        <w:spacing w:line="240" w:lineRule="auto"/>
        <w:ind w:left="360" w:hanging="360"/>
        <w:jc w:val="both"/>
        <w:rPr>
          <w:rFonts w:ascii="Times New Roman" w:hAnsi="Times New Roman" w:cs="Times New Roman"/>
        </w:rPr>
      </w:pPr>
      <w:proofErr w:type="spellStart"/>
      <w:r w:rsidRPr="00D84881">
        <w:rPr>
          <w:rFonts w:ascii="Times New Roman" w:hAnsi="Times New Roman" w:cs="Times New Roman"/>
        </w:rPr>
        <w:t>Tricco</w:t>
      </w:r>
      <w:proofErr w:type="spellEnd"/>
      <w:r w:rsidRPr="00D84881">
        <w:rPr>
          <w:rFonts w:ascii="Times New Roman" w:hAnsi="Times New Roman" w:cs="Times New Roman"/>
        </w:rPr>
        <w:t xml:space="preserve">, A. C., Lillie, E., Zarin, W., et al. </w:t>
      </w:r>
      <w:r w:rsidRPr="00492DF0">
        <w:rPr>
          <w:rFonts w:ascii="Times New Roman" w:hAnsi="Times New Roman" w:cs="Times New Roman"/>
        </w:rPr>
        <w:t xml:space="preserve">(2016). A scoping review on the conduct and reporting of scoping reviews. BMC Medical Research Methodology, 16(1), 15. https://doi.org/10.1186/s12874-016-0116-4 </w:t>
      </w:r>
    </w:p>
    <w:p w14:paraId="6E3809E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lastRenderedPageBreak/>
        <w:t>Weinhardt, C. (2023). China’s relations with the Global South in the World Trade Organization. In H. Gao, D. Raess, &amp; K. Zeng (Eds.), China and the WTO: A twenty-year assessment (pp. 204–226). Cambridge University Press. https://doi.org/10.1017/9781009291804.014</w:t>
      </w:r>
    </w:p>
    <w:p w14:paraId="76E0CA77"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Weinhardt, C., &amp; Barros Leal Farias, D. (2025). Developing countries in global trade governance: comparing norms on inequality in the WTO and GSP schemes. Review of International Political Economy, 32(4), 1239–1265. https://doi.org/10.1080/09692290.2025.2455504</w:t>
      </w:r>
    </w:p>
    <w:p w14:paraId="28C438A2" w14:textId="77777777" w:rsidR="00525FC4" w:rsidRPr="00492DF0" w:rsidRDefault="00525FC4" w:rsidP="00492DF0">
      <w:pPr>
        <w:spacing w:line="240" w:lineRule="auto"/>
        <w:ind w:left="360" w:hanging="360"/>
        <w:jc w:val="both"/>
        <w:rPr>
          <w:rFonts w:ascii="Times New Roman" w:hAnsi="Times New Roman" w:cs="Times New Roman"/>
        </w:rPr>
      </w:pPr>
      <w:r w:rsidRPr="00492DF0">
        <w:rPr>
          <w:rFonts w:ascii="Times New Roman" w:hAnsi="Times New Roman" w:cs="Times New Roman"/>
        </w:rPr>
        <w:t xml:space="preserve">Weinhardt, C., &amp; </w:t>
      </w:r>
      <w:proofErr w:type="spellStart"/>
      <w:r w:rsidRPr="00492DF0">
        <w:rPr>
          <w:rFonts w:ascii="Times New Roman" w:hAnsi="Times New Roman" w:cs="Times New Roman"/>
        </w:rPr>
        <w:t>Schöfer</w:t>
      </w:r>
      <w:proofErr w:type="spellEnd"/>
      <w:r w:rsidRPr="00492DF0">
        <w:rPr>
          <w:rFonts w:ascii="Times New Roman" w:hAnsi="Times New Roman" w:cs="Times New Roman"/>
        </w:rPr>
        <w:t>, T. (2021). Differential treatment for developing countries in the WTO: the unmaking of the North–South distinction in a multipolar world. Third World Quarterly, 43(1), 74–93. https://doi.org/10.1080/01436597.2021.1992271</w:t>
      </w:r>
    </w:p>
    <w:p w14:paraId="0ABD6D01" w14:textId="77777777" w:rsidR="00525FC4" w:rsidRPr="00525FC4" w:rsidRDefault="00525FC4" w:rsidP="00525FC4">
      <w:pPr>
        <w:spacing w:line="240" w:lineRule="auto"/>
        <w:ind w:left="450" w:hanging="450"/>
        <w:jc w:val="both"/>
        <w:rPr>
          <w:rFonts w:ascii="Times New Roman" w:hAnsi="Times New Roman" w:cs="Times New Roman"/>
        </w:rPr>
      </w:pPr>
      <w:r w:rsidRPr="00525FC4">
        <w:rPr>
          <w:rFonts w:ascii="Times New Roman" w:hAnsi="Times New Roman" w:cs="Times New Roman"/>
        </w:rPr>
        <w:t>World Bank. (2013). Nigeria economic report (No. 1). https://hdl.handle.net/10986/16568</w:t>
      </w:r>
    </w:p>
    <w:p w14:paraId="08589AD5" w14:textId="77777777" w:rsidR="00525FC4" w:rsidRPr="00525FC4" w:rsidRDefault="00525FC4" w:rsidP="00525FC4">
      <w:pPr>
        <w:spacing w:line="360" w:lineRule="auto"/>
        <w:jc w:val="both"/>
        <w:rPr>
          <w:rFonts w:ascii="Times New Roman" w:hAnsi="Times New Roman" w:cs="Times New Roman"/>
        </w:rPr>
      </w:pPr>
    </w:p>
    <w:p w14:paraId="4A389546" w14:textId="77777777" w:rsidR="00525FC4" w:rsidRPr="00525FC4" w:rsidRDefault="00525FC4" w:rsidP="00525FC4">
      <w:pPr>
        <w:spacing w:line="360" w:lineRule="auto"/>
        <w:jc w:val="both"/>
        <w:rPr>
          <w:rFonts w:ascii="Times New Roman" w:hAnsi="Times New Roman" w:cs="Times New Roman"/>
        </w:rPr>
      </w:pPr>
    </w:p>
    <w:p w14:paraId="043EFAD7" w14:textId="77777777" w:rsidR="00492DF0" w:rsidRPr="00492DF0" w:rsidRDefault="00492DF0" w:rsidP="00492DF0">
      <w:pPr>
        <w:spacing w:line="360" w:lineRule="auto"/>
        <w:jc w:val="both"/>
        <w:rPr>
          <w:rFonts w:ascii="Times New Roman" w:hAnsi="Times New Roman" w:cs="Times New Roman"/>
        </w:rPr>
      </w:pPr>
    </w:p>
    <w:p w14:paraId="7F29B93B" w14:textId="77777777" w:rsidR="00492DF0" w:rsidRPr="00492DF0" w:rsidRDefault="00492DF0" w:rsidP="00492DF0">
      <w:pPr>
        <w:spacing w:line="360" w:lineRule="auto"/>
        <w:jc w:val="both"/>
        <w:rPr>
          <w:rFonts w:ascii="Times New Roman" w:hAnsi="Times New Roman" w:cs="Times New Roman"/>
        </w:rPr>
      </w:pPr>
    </w:p>
    <w:p w14:paraId="2FA5EDF0" w14:textId="77777777" w:rsidR="00492DF0" w:rsidRPr="00E51B83" w:rsidRDefault="00492DF0" w:rsidP="00E51B83">
      <w:pPr>
        <w:spacing w:line="360" w:lineRule="auto"/>
        <w:jc w:val="both"/>
        <w:rPr>
          <w:rFonts w:ascii="Times New Roman" w:hAnsi="Times New Roman" w:cs="Times New Roman"/>
        </w:rPr>
      </w:pPr>
    </w:p>
    <w:p w14:paraId="1A1D0D98" w14:textId="77777777" w:rsidR="00905507" w:rsidRPr="00905507" w:rsidRDefault="00905507" w:rsidP="00B85160">
      <w:pPr>
        <w:spacing w:line="360" w:lineRule="auto"/>
        <w:jc w:val="both"/>
        <w:rPr>
          <w:rFonts w:ascii="Times New Roman" w:hAnsi="Times New Roman" w:cs="Times New Roman"/>
        </w:rPr>
      </w:pPr>
    </w:p>
    <w:sectPr w:rsidR="00905507" w:rsidRPr="0090550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D87CC" w14:textId="77777777" w:rsidR="00271FE1" w:rsidRDefault="00271FE1" w:rsidP="00E35728">
      <w:pPr>
        <w:spacing w:after="0" w:line="240" w:lineRule="auto"/>
      </w:pPr>
      <w:r>
        <w:separator/>
      </w:r>
    </w:p>
  </w:endnote>
  <w:endnote w:type="continuationSeparator" w:id="0">
    <w:p w14:paraId="4AB60EC6" w14:textId="77777777" w:rsidR="00271FE1" w:rsidRDefault="00271FE1" w:rsidP="00E35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Times New Roman"/>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20866" w14:textId="77777777" w:rsidR="00E35728" w:rsidRDefault="00E357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A9851" w14:textId="77777777" w:rsidR="00E35728" w:rsidRDefault="00E357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D702E" w14:textId="77777777" w:rsidR="00E35728" w:rsidRDefault="00E35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7353F" w14:textId="77777777" w:rsidR="00271FE1" w:rsidRDefault="00271FE1" w:rsidP="00E35728">
      <w:pPr>
        <w:spacing w:after="0" w:line="240" w:lineRule="auto"/>
      </w:pPr>
      <w:r>
        <w:separator/>
      </w:r>
    </w:p>
  </w:footnote>
  <w:footnote w:type="continuationSeparator" w:id="0">
    <w:p w14:paraId="0C94EDDC" w14:textId="77777777" w:rsidR="00271FE1" w:rsidRDefault="00271FE1" w:rsidP="00E35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A01FB" w14:textId="1BEFB241" w:rsidR="00E35728" w:rsidRDefault="00271FE1">
    <w:pPr>
      <w:pStyle w:val="Header"/>
    </w:pPr>
    <w:r>
      <w:rPr>
        <w:noProof/>
      </w:rPr>
      <w:pict w14:anchorId="57C78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10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A2ABA" w14:textId="4FA951FE" w:rsidR="00E35728" w:rsidRDefault="00271FE1">
    <w:pPr>
      <w:pStyle w:val="Header"/>
    </w:pPr>
    <w:r>
      <w:rPr>
        <w:noProof/>
      </w:rPr>
      <w:pict w14:anchorId="25B29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1073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6BDE4" w14:textId="4C31A42C" w:rsidR="00E35728" w:rsidRDefault="00271FE1">
    <w:pPr>
      <w:pStyle w:val="Header"/>
    </w:pPr>
    <w:r>
      <w:rPr>
        <w:noProof/>
      </w:rPr>
      <w:pict w14:anchorId="55E84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910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07"/>
    <w:rsid w:val="00006560"/>
    <w:rsid w:val="00071DB4"/>
    <w:rsid w:val="000834A2"/>
    <w:rsid w:val="000A3A9A"/>
    <w:rsid w:val="0015115E"/>
    <w:rsid w:val="001C584B"/>
    <w:rsid w:val="00201185"/>
    <w:rsid w:val="002019F8"/>
    <w:rsid w:val="00271FE1"/>
    <w:rsid w:val="002D1719"/>
    <w:rsid w:val="002E4FEC"/>
    <w:rsid w:val="003548E2"/>
    <w:rsid w:val="00461E20"/>
    <w:rsid w:val="00483664"/>
    <w:rsid w:val="00492DF0"/>
    <w:rsid w:val="004959E3"/>
    <w:rsid w:val="004E24B5"/>
    <w:rsid w:val="00525FC4"/>
    <w:rsid w:val="005260DF"/>
    <w:rsid w:val="005C0C3A"/>
    <w:rsid w:val="005D22F0"/>
    <w:rsid w:val="005D3AFD"/>
    <w:rsid w:val="00691010"/>
    <w:rsid w:val="00694D5E"/>
    <w:rsid w:val="00695EE2"/>
    <w:rsid w:val="007218FF"/>
    <w:rsid w:val="007A0569"/>
    <w:rsid w:val="00871B39"/>
    <w:rsid w:val="0089451F"/>
    <w:rsid w:val="008B103E"/>
    <w:rsid w:val="008D7A25"/>
    <w:rsid w:val="00905507"/>
    <w:rsid w:val="00915F51"/>
    <w:rsid w:val="00916378"/>
    <w:rsid w:val="00934629"/>
    <w:rsid w:val="00A95638"/>
    <w:rsid w:val="00B06077"/>
    <w:rsid w:val="00B85160"/>
    <w:rsid w:val="00C00C54"/>
    <w:rsid w:val="00C63811"/>
    <w:rsid w:val="00D0273D"/>
    <w:rsid w:val="00D174F6"/>
    <w:rsid w:val="00D76A72"/>
    <w:rsid w:val="00D84881"/>
    <w:rsid w:val="00DD6A9E"/>
    <w:rsid w:val="00E35728"/>
    <w:rsid w:val="00E51B83"/>
    <w:rsid w:val="00F24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10AC8"/>
  <w15:chartTrackingRefBased/>
  <w15:docId w15:val="{E0FF653D-B71F-48BF-B225-9C9CADB40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5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5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5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5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5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5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5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5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5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5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5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5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5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5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5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5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5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507"/>
    <w:rPr>
      <w:rFonts w:eastAsiaTheme="majorEastAsia" w:cstheme="majorBidi"/>
      <w:color w:val="272727" w:themeColor="text1" w:themeTint="D8"/>
    </w:rPr>
  </w:style>
  <w:style w:type="paragraph" w:styleId="Title">
    <w:name w:val="Title"/>
    <w:basedOn w:val="Normal"/>
    <w:next w:val="Normal"/>
    <w:link w:val="TitleChar"/>
    <w:uiPriority w:val="10"/>
    <w:qFormat/>
    <w:rsid w:val="009055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5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5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5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507"/>
    <w:pPr>
      <w:spacing w:before="160"/>
      <w:jc w:val="center"/>
    </w:pPr>
    <w:rPr>
      <w:i/>
      <w:iCs/>
      <w:color w:val="404040" w:themeColor="text1" w:themeTint="BF"/>
    </w:rPr>
  </w:style>
  <w:style w:type="character" w:customStyle="1" w:styleId="QuoteChar">
    <w:name w:val="Quote Char"/>
    <w:basedOn w:val="DefaultParagraphFont"/>
    <w:link w:val="Quote"/>
    <w:uiPriority w:val="29"/>
    <w:rsid w:val="00905507"/>
    <w:rPr>
      <w:i/>
      <w:iCs/>
      <w:color w:val="404040" w:themeColor="text1" w:themeTint="BF"/>
    </w:rPr>
  </w:style>
  <w:style w:type="paragraph" w:styleId="ListParagraph">
    <w:name w:val="List Paragraph"/>
    <w:basedOn w:val="Normal"/>
    <w:uiPriority w:val="34"/>
    <w:qFormat/>
    <w:rsid w:val="00905507"/>
    <w:pPr>
      <w:ind w:left="720"/>
      <w:contextualSpacing/>
    </w:pPr>
  </w:style>
  <w:style w:type="character" w:styleId="IntenseEmphasis">
    <w:name w:val="Intense Emphasis"/>
    <w:basedOn w:val="DefaultParagraphFont"/>
    <w:uiPriority w:val="21"/>
    <w:qFormat/>
    <w:rsid w:val="00905507"/>
    <w:rPr>
      <w:i/>
      <w:iCs/>
      <w:color w:val="0F4761" w:themeColor="accent1" w:themeShade="BF"/>
    </w:rPr>
  </w:style>
  <w:style w:type="paragraph" w:styleId="IntenseQuote">
    <w:name w:val="Intense Quote"/>
    <w:basedOn w:val="Normal"/>
    <w:next w:val="Normal"/>
    <w:link w:val="IntenseQuoteChar"/>
    <w:uiPriority w:val="30"/>
    <w:qFormat/>
    <w:rsid w:val="009055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507"/>
    <w:rPr>
      <w:i/>
      <w:iCs/>
      <w:color w:val="0F4761" w:themeColor="accent1" w:themeShade="BF"/>
    </w:rPr>
  </w:style>
  <w:style w:type="character" w:styleId="IntenseReference">
    <w:name w:val="Intense Reference"/>
    <w:basedOn w:val="DefaultParagraphFont"/>
    <w:uiPriority w:val="32"/>
    <w:qFormat/>
    <w:rsid w:val="00905507"/>
    <w:rPr>
      <w:b/>
      <w:bCs/>
      <w:smallCaps/>
      <w:color w:val="0F4761" w:themeColor="accent1" w:themeShade="BF"/>
      <w:spacing w:val="5"/>
    </w:rPr>
  </w:style>
  <w:style w:type="table" w:styleId="TableGrid">
    <w:name w:val="Table Grid"/>
    <w:basedOn w:val="TableNormal"/>
    <w:uiPriority w:val="59"/>
    <w:rsid w:val="000834A2"/>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22F0"/>
    <w:rPr>
      <w:color w:val="467886" w:themeColor="hyperlink"/>
      <w:u w:val="single"/>
    </w:rPr>
  </w:style>
  <w:style w:type="character" w:styleId="UnresolvedMention">
    <w:name w:val="Unresolved Mention"/>
    <w:basedOn w:val="DefaultParagraphFont"/>
    <w:uiPriority w:val="99"/>
    <w:semiHidden/>
    <w:unhideWhenUsed/>
    <w:rsid w:val="005D22F0"/>
    <w:rPr>
      <w:color w:val="605E5C"/>
      <w:shd w:val="clear" w:color="auto" w:fill="E1DFDD"/>
    </w:rPr>
  </w:style>
  <w:style w:type="paragraph" w:styleId="Header">
    <w:name w:val="header"/>
    <w:basedOn w:val="Normal"/>
    <w:link w:val="HeaderChar"/>
    <w:uiPriority w:val="99"/>
    <w:unhideWhenUsed/>
    <w:rsid w:val="00E35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728"/>
  </w:style>
  <w:style w:type="paragraph" w:styleId="Footer">
    <w:name w:val="footer"/>
    <w:basedOn w:val="Normal"/>
    <w:link w:val="FooterChar"/>
    <w:uiPriority w:val="99"/>
    <w:unhideWhenUsed/>
    <w:rsid w:val="00E35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728"/>
  </w:style>
  <w:style w:type="paragraph" w:styleId="NormalWeb">
    <w:name w:val="Normal (Web)"/>
    <w:basedOn w:val="Normal"/>
    <w:uiPriority w:val="99"/>
    <w:semiHidden/>
    <w:unhideWhenUsed/>
    <w:rsid w:val="00D8488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81477">
      <w:bodyDiv w:val="1"/>
      <w:marLeft w:val="0"/>
      <w:marRight w:val="0"/>
      <w:marTop w:val="0"/>
      <w:marBottom w:val="0"/>
      <w:divBdr>
        <w:top w:val="none" w:sz="0" w:space="0" w:color="auto"/>
        <w:left w:val="none" w:sz="0" w:space="0" w:color="auto"/>
        <w:bottom w:val="none" w:sz="0" w:space="0" w:color="auto"/>
        <w:right w:val="none" w:sz="0" w:space="0" w:color="auto"/>
      </w:divBdr>
    </w:div>
    <w:div w:id="204297112">
      <w:bodyDiv w:val="1"/>
      <w:marLeft w:val="0"/>
      <w:marRight w:val="0"/>
      <w:marTop w:val="0"/>
      <w:marBottom w:val="0"/>
      <w:divBdr>
        <w:top w:val="none" w:sz="0" w:space="0" w:color="auto"/>
        <w:left w:val="none" w:sz="0" w:space="0" w:color="auto"/>
        <w:bottom w:val="none" w:sz="0" w:space="0" w:color="auto"/>
        <w:right w:val="none" w:sz="0" w:space="0" w:color="auto"/>
      </w:divBdr>
    </w:div>
    <w:div w:id="366683313">
      <w:bodyDiv w:val="1"/>
      <w:marLeft w:val="0"/>
      <w:marRight w:val="0"/>
      <w:marTop w:val="0"/>
      <w:marBottom w:val="0"/>
      <w:divBdr>
        <w:top w:val="none" w:sz="0" w:space="0" w:color="auto"/>
        <w:left w:val="none" w:sz="0" w:space="0" w:color="auto"/>
        <w:bottom w:val="none" w:sz="0" w:space="0" w:color="auto"/>
        <w:right w:val="none" w:sz="0" w:space="0" w:color="auto"/>
      </w:divBdr>
    </w:div>
    <w:div w:id="370613768">
      <w:bodyDiv w:val="1"/>
      <w:marLeft w:val="0"/>
      <w:marRight w:val="0"/>
      <w:marTop w:val="0"/>
      <w:marBottom w:val="0"/>
      <w:divBdr>
        <w:top w:val="none" w:sz="0" w:space="0" w:color="auto"/>
        <w:left w:val="none" w:sz="0" w:space="0" w:color="auto"/>
        <w:bottom w:val="none" w:sz="0" w:space="0" w:color="auto"/>
        <w:right w:val="none" w:sz="0" w:space="0" w:color="auto"/>
      </w:divBdr>
    </w:div>
    <w:div w:id="434130927">
      <w:bodyDiv w:val="1"/>
      <w:marLeft w:val="0"/>
      <w:marRight w:val="0"/>
      <w:marTop w:val="0"/>
      <w:marBottom w:val="0"/>
      <w:divBdr>
        <w:top w:val="none" w:sz="0" w:space="0" w:color="auto"/>
        <w:left w:val="none" w:sz="0" w:space="0" w:color="auto"/>
        <w:bottom w:val="none" w:sz="0" w:space="0" w:color="auto"/>
        <w:right w:val="none" w:sz="0" w:space="0" w:color="auto"/>
      </w:divBdr>
    </w:div>
    <w:div w:id="551041822">
      <w:bodyDiv w:val="1"/>
      <w:marLeft w:val="0"/>
      <w:marRight w:val="0"/>
      <w:marTop w:val="0"/>
      <w:marBottom w:val="0"/>
      <w:divBdr>
        <w:top w:val="none" w:sz="0" w:space="0" w:color="auto"/>
        <w:left w:val="none" w:sz="0" w:space="0" w:color="auto"/>
        <w:bottom w:val="none" w:sz="0" w:space="0" w:color="auto"/>
        <w:right w:val="none" w:sz="0" w:space="0" w:color="auto"/>
      </w:divBdr>
    </w:div>
    <w:div w:id="569998558">
      <w:bodyDiv w:val="1"/>
      <w:marLeft w:val="0"/>
      <w:marRight w:val="0"/>
      <w:marTop w:val="0"/>
      <w:marBottom w:val="0"/>
      <w:divBdr>
        <w:top w:val="none" w:sz="0" w:space="0" w:color="auto"/>
        <w:left w:val="none" w:sz="0" w:space="0" w:color="auto"/>
        <w:bottom w:val="none" w:sz="0" w:space="0" w:color="auto"/>
        <w:right w:val="none" w:sz="0" w:space="0" w:color="auto"/>
      </w:divBdr>
    </w:div>
    <w:div w:id="794254982">
      <w:bodyDiv w:val="1"/>
      <w:marLeft w:val="0"/>
      <w:marRight w:val="0"/>
      <w:marTop w:val="0"/>
      <w:marBottom w:val="0"/>
      <w:divBdr>
        <w:top w:val="none" w:sz="0" w:space="0" w:color="auto"/>
        <w:left w:val="none" w:sz="0" w:space="0" w:color="auto"/>
        <w:bottom w:val="none" w:sz="0" w:space="0" w:color="auto"/>
        <w:right w:val="none" w:sz="0" w:space="0" w:color="auto"/>
      </w:divBdr>
    </w:div>
    <w:div w:id="820124727">
      <w:bodyDiv w:val="1"/>
      <w:marLeft w:val="0"/>
      <w:marRight w:val="0"/>
      <w:marTop w:val="0"/>
      <w:marBottom w:val="0"/>
      <w:divBdr>
        <w:top w:val="none" w:sz="0" w:space="0" w:color="auto"/>
        <w:left w:val="none" w:sz="0" w:space="0" w:color="auto"/>
        <w:bottom w:val="none" w:sz="0" w:space="0" w:color="auto"/>
        <w:right w:val="none" w:sz="0" w:space="0" w:color="auto"/>
      </w:divBdr>
    </w:div>
    <w:div w:id="886186281">
      <w:bodyDiv w:val="1"/>
      <w:marLeft w:val="0"/>
      <w:marRight w:val="0"/>
      <w:marTop w:val="0"/>
      <w:marBottom w:val="0"/>
      <w:divBdr>
        <w:top w:val="none" w:sz="0" w:space="0" w:color="auto"/>
        <w:left w:val="none" w:sz="0" w:space="0" w:color="auto"/>
        <w:bottom w:val="none" w:sz="0" w:space="0" w:color="auto"/>
        <w:right w:val="none" w:sz="0" w:space="0" w:color="auto"/>
      </w:divBdr>
    </w:div>
    <w:div w:id="917595497">
      <w:bodyDiv w:val="1"/>
      <w:marLeft w:val="0"/>
      <w:marRight w:val="0"/>
      <w:marTop w:val="0"/>
      <w:marBottom w:val="0"/>
      <w:divBdr>
        <w:top w:val="none" w:sz="0" w:space="0" w:color="auto"/>
        <w:left w:val="none" w:sz="0" w:space="0" w:color="auto"/>
        <w:bottom w:val="none" w:sz="0" w:space="0" w:color="auto"/>
        <w:right w:val="none" w:sz="0" w:space="0" w:color="auto"/>
      </w:divBdr>
    </w:div>
    <w:div w:id="947853171">
      <w:bodyDiv w:val="1"/>
      <w:marLeft w:val="0"/>
      <w:marRight w:val="0"/>
      <w:marTop w:val="0"/>
      <w:marBottom w:val="0"/>
      <w:divBdr>
        <w:top w:val="none" w:sz="0" w:space="0" w:color="auto"/>
        <w:left w:val="none" w:sz="0" w:space="0" w:color="auto"/>
        <w:bottom w:val="none" w:sz="0" w:space="0" w:color="auto"/>
        <w:right w:val="none" w:sz="0" w:space="0" w:color="auto"/>
      </w:divBdr>
      <w:divsChild>
        <w:div w:id="1575896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8316767">
      <w:bodyDiv w:val="1"/>
      <w:marLeft w:val="0"/>
      <w:marRight w:val="0"/>
      <w:marTop w:val="0"/>
      <w:marBottom w:val="0"/>
      <w:divBdr>
        <w:top w:val="none" w:sz="0" w:space="0" w:color="auto"/>
        <w:left w:val="none" w:sz="0" w:space="0" w:color="auto"/>
        <w:bottom w:val="none" w:sz="0" w:space="0" w:color="auto"/>
        <w:right w:val="none" w:sz="0" w:space="0" w:color="auto"/>
      </w:divBdr>
    </w:div>
    <w:div w:id="976841815">
      <w:bodyDiv w:val="1"/>
      <w:marLeft w:val="0"/>
      <w:marRight w:val="0"/>
      <w:marTop w:val="0"/>
      <w:marBottom w:val="0"/>
      <w:divBdr>
        <w:top w:val="none" w:sz="0" w:space="0" w:color="auto"/>
        <w:left w:val="none" w:sz="0" w:space="0" w:color="auto"/>
        <w:bottom w:val="none" w:sz="0" w:space="0" w:color="auto"/>
        <w:right w:val="none" w:sz="0" w:space="0" w:color="auto"/>
      </w:divBdr>
    </w:div>
    <w:div w:id="1005090754">
      <w:bodyDiv w:val="1"/>
      <w:marLeft w:val="0"/>
      <w:marRight w:val="0"/>
      <w:marTop w:val="0"/>
      <w:marBottom w:val="0"/>
      <w:divBdr>
        <w:top w:val="none" w:sz="0" w:space="0" w:color="auto"/>
        <w:left w:val="none" w:sz="0" w:space="0" w:color="auto"/>
        <w:bottom w:val="none" w:sz="0" w:space="0" w:color="auto"/>
        <w:right w:val="none" w:sz="0" w:space="0" w:color="auto"/>
      </w:divBdr>
    </w:div>
    <w:div w:id="1192963399">
      <w:bodyDiv w:val="1"/>
      <w:marLeft w:val="0"/>
      <w:marRight w:val="0"/>
      <w:marTop w:val="0"/>
      <w:marBottom w:val="0"/>
      <w:divBdr>
        <w:top w:val="none" w:sz="0" w:space="0" w:color="auto"/>
        <w:left w:val="none" w:sz="0" w:space="0" w:color="auto"/>
        <w:bottom w:val="none" w:sz="0" w:space="0" w:color="auto"/>
        <w:right w:val="none" w:sz="0" w:space="0" w:color="auto"/>
      </w:divBdr>
    </w:div>
    <w:div w:id="1224173212">
      <w:bodyDiv w:val="1"/>
      <w:marLeft w:val="0"/>
      <w:marRight w:val="0"/>
      <w:marTop w:val="0"/>
      <w:marBottom w:val="0"/>
      <w:divBdr>
        <w:top w:val="none" w:sz="0" w:space="0" w:color="auto"/>
        <w:left w:val="none" w:sz="0" w:space="0" w:color="auto"/>
        <w:bottom w:val="none" w:sz="0" w:space="0" w:color="auto"/>
        <w:right w:val="none" w:sz="0" w:space="0" w:color="auto"/>
      </w:divBdr>
    </w:div>
    <w:div w:id="1357779473">
      <w:bodyDiv w:val="1"/>
      <w:marLeft w:val="0"/>
      <w:marRight w:val="0"/>
      <w:marTop w:val="0"/>
      <w:marBottom w:val="0"/>
      <w:divBdr>
        <w:top w:val="none" w:sz="0" w:space="0" w:color="auto"/>
        <w:left w:val="none" w:sz="0" w:space="0" w:color="auto"/>
        <w:bottom w:val="none" w:sz="0" w:space="0" w:color="auto"/>
        <w:right w:val="none" w:sz="0" w:space="0" w:color="auto"/>
      </w:divBdr>
      <w:divsChild>
        <w:div w:id="449012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208550">
      <w:bodyDiv w:val="1"/>
      <w:marLeft w:val="0"/>
      <w:marRight w:val="0"/>
      <w:marTop w:val="0"/>
      <w:marBottom w:val="0"/>
      <w:divBdr>
        <w:top w:val="none" w:sz="0" w:space="0" w:color="auto"/>
        <w:left w:val="none" w:sz="0" w:space="0" w:color="auto"/>
        <w:bottom w:val="none" w:sz="0" w:space="0" w:color="auto"/>
        <w:right w:val="none" w:sz="0" w:space="0" w:color="auto"/>
      </w:divBdr>
    </w:div>
    <w:div w:id="1396315913">
      <w:bodyDiv w:val="1"/>
      <w:marLeft w:val="0"/>
      <w:marRight w:val="0"/>
      <w:marTop w:val="0"/>
      <w:marBottom w:val="0"/>
      <w:divBdr>
        <w:top w:val="none" w:sz="0" w:space="0" w:color="auto"/>
        <w:left w:val="none" w:sz="0" w:space="0" w:color="auto"/>
        <w:bottom w:val="none" w:sz="0" w:space="0" w:color="auto"/>
        <w:right w:val="none" w:sz="0" w:space="0" w:color="auto"/>
      </w:divBdr>
    </w:div>
    <w:div w:id="1451123917">
      <w:bodyDiv w:val="1"/>
      <w:marLeft w:val="0"/>
      <w:marRight w:val="0"/>
      <w:marTop w:val="0"/>
      <w:marBottom w:val="0"/>
      <w:divBdr>
        <w:top w:val="none" w:sz="0" w:space="0" w:color="auto"/>
        <w:left w:val="none" w:sz="0" w:space="0" w:color="auto"/>
        <w:bottom w:val="none" w:sz="0" w:space="0" w:color="auto"/>
        <w:right w:val="none" w:sz="0" w:space="0" w:color="auto"/>
      </w:divBdr>
    </w:div>
    <w:div w:id="1490749401">
      <w:bodyDiv w:val="1"/>
      <w:marLeft w:val="0"/>
      <w:marRight w:val="0"/>
      <w:marTop w:val="0"/>
      <w:marBottom w:val="0"/>
      <w:divBdr>
        <w:top w:val="none" w:sz="0" w:space="0" w:color="auto"/>
        <w:left w:val="none" w:sz="0" w:space="0" w:color="auto"/>
        <w:bottom w:val="none" w:sz="0" w:space="0" w:color="auto"/>
        <w:right w:val="none" w:sz="0" w:space="0" w:color="auto"/>
      </w:divBdr>
    </w:div>
    <w:div w:id="1638531552">
      <w:bodyDiv w:val="1"/>
      <w:marLeft w:val="0"/>
      <w:marRight w:val="0"/>
      <w:marTop w:val="0"/>
      <w:marBottom w:val="0"/>
      <w:divBdr>
        <w:top w:val="none" w:sz="0" w:space="0" w:color="auto"/>
        <w:left w:val="none" w:sz="0" w:space="0" w:color="auto"/>
        <w:bottom w:val="none" w:sz="0" w:space="0" w:color="auto"/>
        <w:right w:val="none" w:sz="0" w:space="0" w:color="auto"/>
      </w:divBdr>
    </w:div>
    <w:div w:id="1646936030">
      <w:bodyDiv w:val="1"/>
      <w:marLeft w:val="0"/>
      <w:marRight w:val="0"/>
      <w:marTop w:val="0"/>
      <w:marBottom w:val="0"/>
      <w:divBdr>
        <w:top w:val="none" w:sz="0" w:space="0" w:color="auto"/>
        <w:left w:val="none" w:sz="0" w:space="0" w:color="auto"/>
        <w:bottom w:val="none" w:sz="0" w:space="0" w:color="auto"/>
        <w:right w:val="none" w:sz="0" w:space="0" w:color="auto"/>
      </w:divBdr>
    </w:div>
    <w:div w:id="1690063280">
      <w:bodyDiv w:val="1"/>
      <w:marLeft w:val="0"/>
      <w:marRight w:val="0"/>
      <w:marTop w:val="0"/>
      <w:marBottom w:val="0"/>
      <w:divBdr>
        <w:top w:val="none" w:sz="0" w:space="0" w:color="auto"/>
        <w:left w:val="none" w:sz="0" w:space="0" w:color="auto"/>
        <w:bottom w:val="none" w:sz="0" w:space="0" w:color="auto"/>
        <w:right w:val="none" w:sz="0" w:space="0" w:color="auto"/>
      </w:divBdr>
    </w:div>
    <w:div w:id="1736509137">
      <w:bodyDiv w:val="1"/>
      <w:marLeft w:val="0"/>
      <w:marRight w:val="0"/>
      <w:marTop w:val="0"/>
      <w:marBottom w:val="0"/>
      <w:divBdr>
        <w:top w:val="none" w:sz="0" w:space="0" w:color="auto"/>
        <w:left w:val="none" w:sz="0" w:space="0" w:color="auto"/>
        <w:bottom w:val="none" w:sz="0" w:space="0" w:color="auto"/>
        <w:right w:val="none" w:sz="0" w:space="0" w:color="auto"/>
      </w:divBdr>
    </w:div>
    <w:div w:id="1737818892">
      <w:bodyDiv w:val="1"/>
      <w:marLeft w:val="0"/>
      <w:marRight w:val="0"/>
      <w:marTop w:val="0"/>
      <w:marBottom w:val="0"/>
      <w:divBdr>
        <w:top w:val="none" w:sz="0" w:space="0" w:color="auto"/>
        <w:left w:val="none" w:sz="0" w:space="0" w:color="auto"/>
        <w:bottom w:val="none" w:sz="0" w:space="0" w:color="auto"/>
        <w:right w:val="none" w:sz="0" w:space="0" w:color="auto"/>
      </w:divBdr>
    </w:div>
    <w:div w:id="1762099064">
      <w:bodyDiv w:val="1"/>
      <w:marLeft w:val="0"/>
      <w:marRight w:val="0"/>
      <w:marTop w:val="0"/>
      <w:marBottom w:val="0"/>
      <w:divBdr>
        <w:top w:val="none" w:sz="0" w:space="0" w:color="auto"/>
        <w:left w:val="none" w:sz="0" w:space="0" w:color="auto"/>
        <w:bottom w:val="none" w:sz="0" w:space="0" w:color="auto"/>
        <w:right w:val="none" w:sz="0" w:space="0" w:color="auto"/>
      </w:divBdr>
    </w:div>
    <w:div w:id="1800220453">
      <w:bodyDiv w:val="1"/>
      <w:marLeft w:val="0"/>
      <w:marRight w:val="0"/>
      <w:marTop w:val="0"/>
      <w:marBottom w:val="0"/>
      <w:divBdr>
        <w:top w:val="none" w:sz="0" w:space="0" w:color="auto"/>
        <w:left w:val="none" w:sz="0" w:space="0" w:color="auto"/>
        <w:bottom w:val="none" w:sz="0" w:space="0" w:color="auto"/>
        <w:right w:val="none" w:sz="0" w:space="0" w:color="auto"/>
      </w:divBdr>
    </w:div>
    <w:div w:id="1876389346">
      <w:bodyDiv w:val="1"/>
      <w:marLeft w:val="0"/>
      <w:marRight w:val="0"/>
      <w:marTop w:val="0"/>
      <w:marBottom w:val="0"/>
      <w:divBdr>
        <w:top w:val="none" w:sz="0" w:space="0" w:color="auto"/>
        <w:left w:val="none" w:sz="0" w:space="0" w:color="auto"/>
        <w:bottom w:val="none" w:sz="0" w:space="0" w:color="auto"/>
        <w:right w:val="none" w:sz="0" w:space="0" w:color="auto"/>
      </w:divBdr>
    </w:div>
    <w:div w:id="1933051659">
      <w:bodyDiv w:val="1"/>
      <w:marLeft w:val="0"/>
      <w:marRight w:val="0"/>
      <w:marTop w:val="0"/>
      <w:marBottom w:val="0"/>
      <w:divBdr>
        <w:top w:val="none" w:sz="0" w:space="0" w:color="auto"/>
        <w:left w:val="none" w:sz="0" w:space="0" w:color="auto"/>
        <w:bottom w:val="none" w:sz="0" w:space="0" w:color="auto"/>
        <w:right w:val="none" w:sz="0" w:space="0" w:color="auto"/>
      </w:divBdr>
    </w:div>
    <w:div w:id="1948344180">
      <w:bodyDiv w:val="1"/>
      <w:marLeft w:val="0"/>
      <w:marRight w:val="0"/>
      <w:marTop w:val="0"/>
      <w:marBottom w:val="0"/>
      <w:divBdr>
        <w:top w:val="none" w:sz="0" w:space="0" w:color="auto"/>
        <w:left w:val="none" w:sz="0" w:space="0" w:color="auto"/>
        <w:bottom w:val="none" w:sz="0" w:space="0" w:color="auto"/>
        <w:right w:val="none" w:sz="0" w:space="0" w:color="auto"/>
      </w:divBdr>
    </w:div>
    <w:div w:id="2064212866">
      <w:bodyDiv w:val="1"/>
      <w:marLeft w:val="0"/>
      <w:marRight w:val="0"/>
      <w:marTop w:val="0"/>
      <w:marBottom w:val="0"/>
      <w:divBdr>
        <w:top w:val="none" w:sz="0" w:space="0" w:color="auto"/>
        <w:left w:val="none" w:sz="0" w:space="0" w:color="auto"/>
        <w:bottom w:val="none" w:sz="0" w:space="0" w:color="auto"/>
        <w:right w:val="none" w:sz="0" w:space="0" w:color="auto"/>
      </w:divBdr>
    </w:div>
    <w:div w:id="206656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researchgate.net/profile/Jose-Ocampo-6/publication/264878561_THE_UNSETTLED_GLOBAL_TRADE_ARCHITECTURE/links/5744697708ae9ace841fa1b0/THE-UNSETTLED-GLOBAL-TRADE-ARCHITECTURE.pdf?origin=scientificContributions"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269</TotalTime>
  <Pages>19</Pages>
  <Words>7033</Words>
  <Characters>40093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Омокаро Годспова Оке</dc:creator>
  <cp:keywords/>
  <dc:description/>
  <cp:lastModifiedBy>SDI 1183</cp:lastModifiedBy>
  <cp:revision>39</cp:revision>
  <dcterms:created xsi:type="dcterms:W3CDTF">2025-10-03T15:09:00Z</dcterms:created>
  <dcterms:modified xsi:type="dcterms:W3CDTF">2025-10-11T07:27:00Z</dcterms:modified>
</cp:coreProperties>
</file>