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ED3" w:rsidRDefault="00F071C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SOURCE OF KNOWLEDGE ON DIETARY SUPPLEMENT USE AMONG FEMALE ADULTS IN ACCRA, GHANA</w:t>
      </w:r>
    </w:p>
    <w:p w:rsidR="004F4ED3" w:rsidRDefault="004F4ED3">
      <w:pPr>
        <w:spacing w:line="360" w:lineRule="auto"/>
        <w:jc w:val="center"/>
        <w:rPr>
          <w:rFonts w:ascii="Times New Roman" w:hAnsi="Times New Roman" w:cs="Times New Roman"/>
          <w:b/>
          <w:bCs/>
          <w:sz w:val="24"/>
          <w:szCs w:val="24"/>
        </w:rPr>
      </w:pP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This study investigated on the source of knowledge on dietary use among </w:t>
      </w:r>
      <w:proofErr w:type="gramStart"/>
      <w:r>
        <w:rPr>
          <w:rFonts w:ascii="Times New Roman" w:hAnsi="Times New Roman" w:cs="Times New Roman"/>
          <w:sz w:val="24"/>
          <w:szCs w:val="24"/>
        </w:rPr>
        <w:t>females</w:t>
      </w:r>
      <w:proofErr w:type="gramEnd"/>
      <w:r>
        <w:rPr>
          <w:rFonts w:ascii="Times New Roman" w:hAnsi="Times New Roman" w:cs="Times New Roman"/>
          <w:sz w:val="24"/>
          <w:szCs w:val="24"/>
        </w:rPr>
        <w:t xml:space="preserve"> adults in Accra, Ghana.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cross-sectional study design was used with a sample size of 392 </w:t>
      </w:r>
      <w:proofErr w:type="gramStart"/>
      <w:r>
        <w:rPr>
          <w:rFonts w:ascii="Times New Roman" w:hAnsi="Times New Roman" w:cs="Times New Roman"/>
          <w:sz w:val="24"/>
          <w:szCs w:val="24"/>
        </w:rPr>
        <w:t>females</w:t>
      </w:r>
      <w:proofErr w:type="gramEnd"/>
      <w:r>
        <w:rPr>
          <w:rFonts w:ascii="Times New Roman" w:hAnsi="Times New Roman" w:cs="Times New Roman"/>
          <w:sz w:val="24"/>
          <w:szCs w:val="24"/>
        </w:rPr>
        <w:t xml:space="preserve"> adults in Accra, Ghana. The study’s respondents answered a valid and reliable questionnaire (Cronbach's alpha = 0.665 and valid at 2-tailed significant value). Pie Chart and Chi-square analyses were used to identify the significant difference between the objective.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According to the report, all respondents had knowledge about dietary supplements. 38% of respondents acquired their dietary information from the internet, 32% from health professionals, 2% from friends and family, 8% from the media. In addition, it discovered an association between knowledge and dietary supplement use among female adults in Accra, Ghana. Younger female adults had more knowledge about dietary supplements than older female adults.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In conclusion, health promotion needs to be channeled towards the internet other than the media and health facilities only, to provide the right education on dietary supplements among females to ensure the safeness of dietary supplement consumption.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dietary, supplement, Ghana, Accra, knowledge, female</w:t>
      </w:r>
    </w:p>
    <w:p w:rsidR="0018702D" w:rsidRDefault="0018702D">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Dietary supplements (DSs) are profitable for the food industry because they meet a need for the cutting-edge nutritional supplements that promote health (1). The use of DSs have increased, and they are quite popular in some countries (2). DSs are in different range such as herbs, botanicals, sports and weight-loss aids, and meal alternatives, which are available in both isolated and concentrated forms (3, 4). Dietary supplements are consumed in specific doses, whether in tablet, powder, or liquid form. In the past, people often used dietary supplements to make up for a diet lacking essential nutrients or in maintaining a good health (3). </w:t>
      </w:r>
    </w:p>
    <w:p w:rsidR="004F4ED3" w:rsidRDefault="00A960A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071CC">
        <w:rPr>
          <w:rFonts w:ascii="Times New Roman" w:hAnsi="Times New Roman" w:cs="Times New Roman"/>
          <w:sz w:val="24"/>
          <w:szCs w:val="24"/>
        </w:rPr>
        <w:t>The prevalence of multivitamin or mineral supplement use among adults, especially those aged 60 and beyond, exceeds 60% in developed countries</w:t>
      </w:r>
      <w:r>
        <w:rPr>
          <w:rFonts w:ascii="Times New Roman" w:hAnsi="Times New Roman" w:cs="Times New Roman"/>
          <w:sz w:val="24"/>
          <w:szCs w:val="24"/>
        </w:rPr>
        <w:t>”</w:t>
      </w:r>
      <w:r w:rsidR="00F071CC">
        <w:rPr>
          <w:rFonts w:ascii="Times New Roman" w:hAnsi="Times New Roman" w:cs="Times New Roman"/>
          <w:sz w:val="24"/>
          <w:szCs w:val="24"/>
        </w:rPr>
        <w:t xml:space="preserve"> (3). </w:t>
      </w:r>
      <w:r>
        <w:rPr>
          <w:rFonts w:ascii="Times New Roman" w:hAnsi="Times New Roman" w:cs="Times New Roman"/>
          <w:sz w:val="24"/>
          <w:szCs w:val="24"/>
        </w:rPr>
        <w:t>“</w:t>
      </w:r>
      <w:r w:rsidR="00F071CC">
        <w:rPr>
          <w:rFonts w:ascii="Times New Roman" w:hAnsi="Times New Roman" w:cs="Times New Roman"/>
          <w:sz w:val="24"/>
          <w:szCs w:val="24"/>
        </w:rPr>
        <w:t>In 2018, individuals in the United States allocated around $30.7 billion towards the purchase of dietary supplements and vitamins</w:t>
      </w:r>
      <w:r>
        <w:rPr>
          <w:rFonts w:ascii="Times New Roman" w:hAnsi="Times New Roman" w:cs="Times New Roman"/>
          <w:sz w:val="24"/>
          <w:szCs w:val="24"/>
        </w:rPr>
        <w:t>”</w:t>
      </w:r>
      <w:r w:rsidR="00F071CC">
        <w:rPr>
          <w:rFonts w:ascii="Times New Roman" w:hAnsi="Times New Roman" w:cs="Times New Roman"/>
          <w:sz w:val="24"/>
          <w:szCs w:val="24"/>
        </w:rPr>
        <w:t xml:space="preserve"> (5, 6). Research indicates that individuals take DS for many purposes, including maintaining a good health, compensating for vitamin deficiencies in their diet, and enhancing their cognitive and physical abilities (7, 8). Access to DS is unrestricted in many countries because of the absence of regulations governing its usage (9). It is widely acknowledged that DS, especially herbal DS, can have negative interactions with other drugs (10).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Americans who receive prescriptions for chronic health issues reportedly use DS (9). This emphasizes the need for pharmacists to comprehend and use of DS. Community pharmacists are in an advantageous position to provide guidance and discuss alternative choices, as DS are easily accessible in their area. The occurrence of such conversations between the consumer and the pharmacist may be subject to doubt due to a perceived absence or insufficient level of knowledge. Studies indicates that community pharmacists lack knowledge and awareness about nutritional and herbal supplements (11). </w:t>
      </w:r>
    </w:p>
    <w:p w:rsidR="004F4ED3" w:rsidRDefault="00F071CC">
      <w:pPr>
        <w:spacing w:line="360" w:lineRule="auto"/>
        <w:jc w:val="both"/>
        <w:rPr>
          <w:rFonts w:ascii="Times New Roman" w:hAnsi="Times New Roman"/>
          <w:sz w:val="24"/>
          <w:szCs w:val="24"/>
        </w:rPr>
      </w:pPr>
      <w:r>
        <w:rPr>
          <w:rFonts w:ascii="Times New Roman" w:hAnsi="Times New Roman" w:cs="Times New Roman"/>
          <w:sz w:val="24"/>
          <w:szCs w:val="24"/>
        </w:rPr>
        <w:t xml:space="preserve">Nevertheless, it seems that pharmacists are resolute in their commitment to fulfill DS requirements (7). Pharmacists who have direct contact with patients must get training on drug screens (DS) and possible drug interactions. Patients should also get an impartial, evidence-based assessment on the safe use of DS from health professionals (11). </w:t>
      </w:r>
      <w:r>
        <w:rPr>
          <w:rFonts w:ascii="Times New Roman" w:hAnsi="Times New Roman"/>
          <w:sz w:val="24"/>
          <w:szCs w:val="24"/>
        </w:rPr>
        <w:t xml:space="preserve">The Dietary Supplement Health and Education Act of 1994 (DSHEA) (12) </w:t>
      </w:r>
      <w:proofErr w:type="spellStart"/>
      <w:r>
        <w:rPr>
          <w:rFonts w:ascii="Times New Roman" w:hAnsi="Times New Roman"/>
          <w:sz w:val="24"/>
          <w:szCs w:val="24"/>
        </w:rPr>
        <w:t>categorises</w:t>
      </w:r>
      <w:proofErr w:type="spellEnd"/>
      <w:r>
        <w:rPr>
          <w:rFonts w:ascii="Times New Roman" w:hAnsi="Times New Roman"/>
          <w:sz w:val="24"/>
          <w:szCs w:val="24"/>
        </w:rPr>
        <w:t xml:space="preserve"> items containing compounds intended to augment the diet as dietary supplements (DSs). The nutritional constituents included in dietary supplements are vitamins C, E, B-6, B-12, and A, magnesium, and zinc, along with amino acids and botanicals (13). Despite the significance of dietary supplements for health, particularly for women of reproductive age approaching pregnancy, there is a paucity of studies examining the dietary supplement status of this demographic, especially in Africa. </w:t>
      </w:r>
    </w:p>
    <w:p w:rsidR="004F4ED3" w:rsidRDefault="00F071CC">
      <w:pPr>
        <w:spacing w:line="360" w:lineRule="auto"/>
        <w:jc w:val="both"/>
        <w:rPr>
          <w:rFonts w:ascii="Times New Roman" w:hAnsi="Times New Roman" w:cs="Times New Roman"/>
          <w:sz w:val="24"/>
          <w:szCs w:val="24"/>
        </w:rPr>
      </w:pPr>
      <w:r>
        <w:rPr>
          <w:rFonts w:ascii="Times New Roman" w:hAnsi="Times New Roman"/>
          <w:sz w:val="24"/>
          <w:szCs w:val="24"/>
        </w:rPr>
        <w:t xml:space="preserve">Ghana is among many African nations with the dual challenge of malnutrition, which is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the coexistence of undernutrition and overnutrition. Diabetes and cardiovascular disease are among the top ten causes of mortality in Ghana, along with newborn diseases such as preterm birth, and insufficient dietary supplement consumption is associated with these health outcomes (14). In 2017, 47% of pregnant </w:t>
      </w:r>
      <w:r>
        <w:rPr>
          <w:rFonts w:ascii="Times New Roman" w:hAnsi="Times New Roman"/>
          <w:sz w:val="24"/>
          <w:szCs w:val="24"/>
        </w:rPr>
        <w:lastRenderedPageBreak/>
        <w:t xml:space="preserve">women in Sub-Saharan Africa exhibited </w:t>
      </w:r>
      <w:proofErr w:type="spellStart"/>
      <w:r>
        <w:rPr>
          <w:rFonts w:ascii="Times New Roman" w:hAnsi="Times New Roman"/>
          <w:sz w:val="24"/>
          <w:szCs w:val="24"/>
        </w:rPr>
        <w:t>anaemia</w:t>
      </w:r>
      <w:proofErr w:type="spellEnd"/>
      <w:r>
        <w:rPr>
          <w:rFonts w:ascii="Times New Roman" w:hAnsi="Times New Roman"/>
          <w:sz w:val="24"/>
          <w:szCs w:val="24"/>
        </w:rPr>
        <w:t xml:space="preserve">, while 14% suffered from vitamin A insufficiency. The 2017 Ghana Nutrition Policy states that </w:t>
      </w:r>
      <w:proofErr w:type="spellStart"/>
      <w:r>
        <w:rPr>
          <w:rFonts w:ascii="Times New Roman" w:hAnsi="Times New Roman"/>
          <w:sz w:val="24"/>
          <w:szCs w:val="24"/>
        </w:rPr>
        <w:t>anaemia</w:t>
      </w:r>
      <w:proofErr w:type="spellEnd"/>
      <w:r>
        <w:rPr>
          <w:rFonts w:ascii="Times New Roman" w:hAnsi="Times New Roman"/>
          <w:sz w:val="24"/>
          <w:szCs w:val="24"/>
        </w:rPr>
        <w:t xml:space="preserve"> adversely impacts the mental and physical development of children, as well as contributing to preterm delivery and low birth weight (15). The 2022 Ghana Demographic and Health Survey indicates an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rate of 51% in pregnant women and 40% in non-pregnant women. The incidence of </w:t>
      </w:r>
      <w:proofErr w:type="spellStart"/>
      <w:r>
        <w:rPr>
          <w:rFonts w:ascii="Times New Roman" w:hAnsi="Times New Roman"/>
          <w:sz w:val="24"/>
          <w:szCs w:val="24"/>
        </w:rPr>
        <w:t>anaemia</w:t>
      </w:r>
      <w:proofErr w:type="spellEnd"/>
      <w:r>
        <w:rPr>
          <w:rFonts w:ascii="Times New Roman" w:hAnsi="Times New Roman"/>
          <w:sz w:val="24"/>
          <w:szCs w:val="24"/>
        </w:rPr>
        <w:t xml:space="preserve"> in Ghana exceeds 40% (16)</w:t>
      </w:r>
      <w:r>
        <w:rPr>
          <w:rFonts w:ascii="Times New Roman" w:hAnsi="Times New Roman" w:cs="Times New Roman"/>
          <w:sz w:val="24"/>
          <w:szCs w:val="24"/>
        </w:rPr>
        <w:t>.</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Objective</w:t>
      </w:r>
    </w:p>
    <w:p w:rsidR="004F4ED3" w:rsidRDefault="00F071CC">
      <w:pPr>
        <w:spacing w:line="360" w:lineRule="auto"/>
        <w:jc w:val="both"/>
        <w:rPr>
          <w:rFonts w:ascii="Times New Roman" w:hAnsi="Times New Roman"/>
          <w:sz w:val="24"/>
          <w:szCs w:val="24"/>
        </w:rPr>
      </w:pPr>
      <w:r>
        <w:rPr>
          <w:rFonts w:ascii="Times New Roman" w:hAnsi="Times New Roman" w:cs="Times New Roman"/>
          <w:sz w:val="24"/>
          <w:szCs w:val="24"/>
        </w:rPr>
        <w:t>This study seeks to investigate on source of knowledge and dietary use among female adults in Accra, Ghana</w:t>
      </w:r>
      <w:r>
        <w:rPr>
          <w:rFonts w:ascii="Times New Roman" w:hAnsi="Times New Roman"/>
          <w:sz w:val="24"/>
          <w:szCs w:val="24"/>
        </w:rPr>
        <w:t>. This study will provide statistics on the source of knowledge of dietary supplement use. This study will provide health professionals with scientific facts on source of dietary supplements information as well as identify the right platform to share dietary supplement education to female adults or the general public to improve their health and well-being.</w:t>
      </w:r>
    </w:p>
    <w:p w:rsidR="004F4ED3" w:rsidRDefault="004F4ED3">
      <w:pPr>
        <w:spacing w:line="360" w:lineRule="auto"/>
        <w:jc w:val="both"/>
        <w:rPr>
          <w:rFonts w:ascii="Times New Roman" w:hAnsi="Times New Roman"/>
          <w:b/>
          <w:bCs/>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Hypotheses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perscript"/>
        </w:rPr>
        <w:t>O</w:t>
      </w:r>
      <w:r>
        <w:rPr>
          <w:rFonts w:ascii="Times New Roman" w:hAnsi="Times New Roman"/>
          <w:sz w:val="24"/>
          <w:szCs w:val="24"/>
        </w:rPr>
        <w:t>: There is no significant correlation amid source of knowledge and use of dietary supplements.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perscript"/>
        </w:rPr>
        <w:t>1</w:t>
      </w:r>
      <w:r>
        <w:rPr>
          <w:rFonts w:ascii="Times New Roman" w:hAnsi="Times New Roman"/>
          <w:sz w:val="24"/>
          <w:szCs w:val="24"/>
        </w:rPr>
        <w:t>: There is a significant correlation amid source of knowledge and use of dietary supplements.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This cross-sectional study was explored in Accra, Ghana, across 29 districts of the region. Ghana was selected for the research due to the high rate of nutrient deficiencies in Ghana. Accra was selected due to most of the Ghanaian residents, live in Accra. Data was taken once in a specific duration (May 2023 - December 2023).</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Sampling</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In Greater Accra, 54% of adult females are employed in the workforce. This research uses probability sampling methods. The sample size was determined using the Cochrane algorithm, based on a prevalence rate of 54% among working-class female adults. The sample size was determined to be 380, with an additional 12 included to account for oversight in questionnaire completion, resulting in a total of 392 female adults in Accra. A simple random sampling method was used to guarantee that each lady aged 21 to 40 years throughout the 29 districts in Accra had an equal probability </w:t>
      </w:r>
      <w:r>
        <w:rPr>
          <w:rFonts w:ascii="Times New Roman" w:hAnsi="Times New Roman"/>
          <w:sz w:val="24"/>
          <w:szCs w:val="24"/>
        </w:rPr>
        <w:lastRenderedPageBreak/>
        <w:t>of selection for the research. This study focused on females aged 21-40 years due to their concerns regarding skin appearance, heightened susceptibility to chronic illnesses, and experiences of mental stress stemming from work, family obligations, menstrual cycles, pregnancy, breastfeeding, and other hormonal fluctuations.</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Sample Size Recruitment</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officer selected respondents from major popular towns in Accra such as Ga West, </w:t>
      </w:r>
      <w:proofErr w:type="spellStart"/>
      <w:r>
        <w:rPr>
          <w:rFonts w:ascii="Times New Roman" w:hAnsi="Times New Roman" w:cs="Times New Roman"/>
          <w:sz w:val="24"/>
          <w:szCs w:val="24"/>
        </w:rPr>
        <w:t>Okai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Okai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Kwei</w:t>
      </w:r>
      <w:proofErr w:type="spellEnd"/>
      <w:r>
        <w:rPr>
          <w:rFonts w:ascii="Times New Roman" w:hAnsi="Times New Roman" w:cs="Times New Roman"/>
          <w:sz w:val="24"/>
          <w:szCs w:val="24"/>
        </w:rPr>
        <w:t xml:space="preserve"> North, Ga East, Ga South, Ga North,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West,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East.</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were asked if they could join in a research study, those who agreed continued.</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were asked whether they are between the ages of 21-40 years, those who were above and below were thanked and told they could not participate.</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who fit the age range, completed the questionnaire.</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Data Collection</w:t>
      </w:r>
    </w:p>
    <w:p w:rsidR="004F4ED3" w:rsidRDefault="00F071CC">
      <w:pPr>
        <w:spacing w:line="360" w:lineRule="auto"/>
        <w:jc w:val="both"/>
        <w:rPr>
          <w:rFonts w:ascii="Times New Roman" w:hAnsi="Times New Roman" w:cs="Times New Roman"/>
          <w:sz w:val="24"/>
          <w:szCs w:val="24"/>
        </w:rPr>
      </w:pPr>
      <w:r>
        <w:rPr>
          <w:rFonts w:ascii="Times New Roman" w:hAnsi="Times New Roman"/>
          <w:sz w:val="24"/>
          <w:szCs w:val="24"/>
        </w:rPr>
        <w:t>An English language self-structured questionnaire was administered to the study’s participants. The development of the questionnaire addressed the research purpose of providing data about the source of knowledge of dietary supplements in Ghana. Participants completed a valid and trustworthy online questionnaire, with a Cronbach's alpha of 0.665 and a significant two-tailed value. Data collection adhered to the guidelines set by the American Psychological Association, ensuring the total anonymity of all information gathered.</w:t>
      </w:r>
      <w:r>
        <w:rPr>
          <w:rFonts w:ascii="Times New Roman" w:hAnsi="Times New Roman" w:cs="Times New Roman"/>
          <w:sz w:val="24"/>
          <w:szCs w:val="24"/>
        </w:rPr>
        <w:t xml:space="preserve">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Data analysis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On the day of data collection, errors were rectified by reviewing the completed questionnaires for consistency and completeness. Researcher meticulously cleaned, </w:t>
      </w:r>
      <w:proofErr w:type="spellStart"/>
      <w:r>
        <w:rPr>
          <w:rFonts w:ascii="Times New Roman" w:hAnsi="Times New Roman"/>
          <w:sz w:val="24"/>
          <w:szCs w:val="24"/>
        </w:rPr>
        <w:t>organised</w:t>
      </w:r>
      <w:proofErr w:type="spellEnd"/>
      <w:r>
        <w:rPr>
          <w:rFonts w:ascii="Times New Roman" w:hAnsi="Times New Roman"/>
          <w:sz w:val="24"/>
          <w:szCs w:val="24"/>
        </w:rPr>
        <w:t xml:space="preserve">, and coded the data before entering it into SPSS version 22. The sample population was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descriptive statistics, yielding frequencies and percentages of the respondents' attributes for engaging in the research. The independent variable is the source of knowledge and dietary practices, whereas the dependent variable is female adults in Accra, Ghana. The researcher used cross-tabulation and chi-square testing to check the Pearson chi-square value, which looks at the differences between what was actually observed and what was expected in a </w:t>
      </w:r>
      <w:r>
        <w:rPr>
          <w:rFonts w:ascii="Times New Roman" w:hAnsi="Times New Roman"/>
          <w:sz w:val="24"/>
          <w:szCs w:val="24"/>
        </w:rPr>
        <w:lastRenderedPageBreak/>
        <w:t>table, to find out if there is a relationship between the variables. A p-value of 0.05 is deemed statistically significant. Pie Chat presents the statistics of knowledge about dietary supplements, together with the sources of information used by adult females concerning the dietary supplements they take in.</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Data Analysis Sub-section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indicated a Pearson chi-square Value (23.062) measures the discrepancy between the observed and expected frequencies in a contingency table. It quantifies how much the observed data diverge from what we would expect under the null hypothesis. The p-value (0.000) indicates the probability of obtaining a chi-square statistic at least as extreme as the one observed, assuming that the null hypothesis is true. It helps us determine whether the observed association is statistically significant. </w:t>
      </w: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Socio-demographic Characteristics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involved 392 female adults in Accra, Ghana. As shown in Table 1. 100% of the respondents were aged below 40 years old, with majority at the rate of over 80% being between 21-30 years, showing that data been skewed towards younger adult respondents. Majority of the respondents were tertiary educated women, who live in urban areas and are employees.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Definitions</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No formal education means a person who did not attend the formal school system</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BECE: Basic Education Certificate Examination</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WASSCE: West African Senior School Certificate Examination</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TERTIARY: University education</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Urban: cities, town</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Rural: village, slums</w:t>
      </w:r>
    </w:p>
    <w:p w:rsidR="004F4ED3" w:rsidRDefault="00F071CC">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Self employed</w:t>
      </w:r>
      <w:proofErr w:type="spellEnd"/>
      <w:r>
        <w:rPr>
          <w:rFonts w:ascii="Times New Roman" w:hAnsi="Times New Roman"/>
          <w:sz w:val="24"/>
          <w:szCs w:val="24"/>
        </w:rPr>
        <w:t>: Entrepreneur, Business owner</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Employed: public and private staff of a company</w:t>
      </w:r>
    </w:p>
    <w:p w:rsidR="004F4ED3" w:rsidRDefault="00F071CC">
      <w:pPr>
        <w:numPr>
          <w:ilvl w:val="0"/>
          <w:numId w:val="2"/>
        </w:numPr>
        <w:spacing w:line="360" w:lineRule="auto"/>
        <w:jc w:val="both"/>
        <w:rPr>
          <w:rFonts w:ascii="Times New Roman" w:hAnsi="Times New Roman"/>
          <w:sz w:val="24"/>
          <w:szCs w:val="24"/>
        </w:rPr>
      </w:pPr>
      <w:r>
        <w:rPr>
          <w:rFonts w:ascii="Times New Roman" w:hAnsi="Times New Roman"/>
          <w:sz w:val="24"/>
          <w:szCs w:val="24"/>
        </w:rPr>
        <w:t>Unemployed: not working to earn an income</w:t>
      </w:r>
    </w:p>
    <w:p w:rsidR="004F4ED3" w:rsidRDefault="004F4ED3">
      <w:pPr>
        <w:spacing w:line="360" w:lineRule="auto"/>
        <w:jc w:val="both"/>
        <w:rPr>
          <w:rFonts w:ascii="Times New Roman" w:hAnsi="Times New Roman" w:cs="Times New Roman"/>
          <w:sz w:val="24"/>
          <w:szCs w:val="24"/>
        </w:rPr>
      </w:pP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i/>
          <w:iCs/>
          <w:sz w:val="24"/>
          <w:szCs w:val="24"/>
          <w:u w:val="single"/>
        </w:rPr>
      </w:pPr>
      <w:r>
        <w:rPr>
          <w:rFonts w:ascii="Times New Roman" w:hAnsi="Times New Roman" w:cs="Times New Roman"/>
          <w:sz w:val="24"/>
          <w:szCs w:val="24"/>
        </w:rPr>
        <w:lastRenderedPageBreak/>
        <w:t xml:space="preserve">Table 1: </w:t>
      </w:r>
      <w:r>
        <w:rPr>
          <w:rFonts w:ascii="Times New Roman" w:hAnsi="Times New Roman" w:cs="Times New Roman"/>
          <w:i/>
          <w:iCs/>
          <w:sz w:val="24"/>
          <w:szCs w:val="24"/>
          <w:u w:val="single"/>
        </w:rPr>
        <w:t>Summary of a frequency table on participants socio-demographic characteristics</w:t>
      </w:r>
    </w:p>
    <w:tbl>
      <w:tblPr>
        <w:tblStyle w:val="TableGrid"/>
        <w:tblW w:w="0" w:type="auto"/>
        <w:tblLook w:val="04A0" w:firstRow="1" w:lastRow="0" w:firstColumn="1" w:lastColumn="0" w:noHBand="0" w:noVBand="1"/>
      </w:tblPr>
      <w:tblGrid>
        <w:gridCol w:w="2130"/>
        <w:gridCol w:w="2700"/>
        <w:gridCol w:w="1561"/>
        <w:gridCol w:w="2131"/>
      </w:tblGrid>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Category</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21-30 years old</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31-40 years old</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333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59</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84.9</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15.1</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No formal education</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BECE</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WASSCE</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TERTIARY</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0</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370</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0</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94.4</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Residence</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Urban</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Rural</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374</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95.4</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4.6</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Employment Status</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Self Employed</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Employee</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Unemployed</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215</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84</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23.7</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54.8</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21.4</w:t>
            </w:r>
          </w:p>
        </w:tc>
      </w:tr>
    </w:tbl>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This table (Table 1) indicates that younger female adults (21-30 years old) have knowledge on dietary supplements more than older female adults (31-40 years old). In addition, tertiary graduates, employees as well as female adults who live in urban areas have knowledge on dietary supplements more than female adults who are not in these categories.</w:t>
      </w:r>
    </w:p>
    <w:p w:rsidR="004F4ED3" w:rsidRDefault="004F4ED3">
      <w:pPr>
        <w:spacing w:line="360" w:lineRule="auto"/>
        <w:jc w:val="both"/>
        <w:rPr>
          <w:rFonts w:ascii="Times New Roman" w:hAnsi="Times New Roman" w:cs="Times New Roman"/>
          <w:sz w:val="24"/>
          <w:szCs w:val="24"/>
        </w:rPr>
      </w:pPr>
    </w:p>
    <w:p w:rsidR="004F4ED3" w:rsidRDefault="004F4ED3">
      <w:pPr>
        <w:spacing w:line="360" w:lineRule="auto"/>
        <w:jc w:val="both"/>
        <w:rPr>
          <w:rFonts w:ascii="Times New Roman" w:hAnsi="Times New Roman" w:cs="Times New Roman"/>
          <w:sz w:val="24"/>
          <w:szCs w:val="24"/>
          <w:u w:val="single"/>
        </w:rPr>
      </w:pPr>
    </w:p>
    <w:p w:rsidR="004F4ED3" w:rsidRDefault="004F4ED3">
      <w:pPr>
        <w:spacing w:line="360" w:lineRule="auto"/>
        <w:jc w:val="both"/>
        <w:rPr>
          <w:rFonts w:ascii="Times New Roman" w:hAnsi="Times New Roman" w:cs="Times New Roman"/>
          <w:sz w:val="24"/>
          <w:szCs w:val="24"/>
          <w:u w:val="single"/>
        </w:rPr>
      </w:pPr>
    </w:p>
    <w:p w:rsidR="004F4ED3" w:rsidRDefault="004F4ED3">
      <w:pPr>
        <w:spacing w:line="360" w:lineRule="auto"/>
        <w:jc w:val="both"/>
        <w:rPr>
          <w:rFonts w:ascii="Times New Roman" w:hAnsi="Times New Roman" w:cs="Times New Roman"/>
          <w:sz w:val="24"/>
          <w:szCs w:val="24"/>
          <w:u w:val="single"/>
        </w:rPr>
      </w:pPr>
    </w:p>
    <w:p w:rsidR="004F4ED3" w:rsidRDefault="00F071CC">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Objective Testing</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i/>
          <w:iCs/>
          <w:sz w:val="24"/>
          <w:szCs w:val="24"/>
          <w:u w:val="single"/>
        </w:rPr>
        <w:t xml:space="preserve"> Knowledge and Dietary supplements use among female adults in Accra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3735705" cy="2092960"/>
            <wp:effectExtent l="4445" t="4445" r="6350" b="1079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4"/>
          <w:szCs w:val="24"/>
        </w:rPr>
        <w:t xml:space="preserve">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In the pie chart above (Figure 1), the study indicated that, 100% of respondents have knowledge about dietary supplements.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i/>
          <w:iCs/>
          <w:sz w:val="24"/>
          <w:szCs w:val="24"/>
          <w:u w:val="single"/>
        </w:rPr>
        <w:t xml:space="preserve"> Summary data on the source of knowledge on the utilization of dietary supplement among female adults in Accra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4649470" cy="3221990"/>
            <wp:effectExtent l="5080" t="4445" r="6350" b="5715"/>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pie chart above (Figure 2), the study indicated that 38% of respondents acquired their dietary information from the internet, 32% from health professionals, 2% from friends and family, 8% from the media.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Pr>
          <w:rFonts w:ascii="Times New Roman" w:hAnsi="Times New Roman" w:cs="Times New Roman"/>
          <w:i/>
          <w:iCs/>
          <w:sz w:val="24"/>
          <w:szCs w:val="24"/>
          <w:u w:val="single"/>
        </w:rPr>
        <w:t>Summary of a Chi-Square Table on Source of Knowledge on Dietary Supplement use.</w:t>
      </w:r>
    </w:p>
    <w:tbl>
      <w:tblPr>
        <w:tblStyle w:val="TableGrid"/>
        <w:tblW w:w="0" w:type="auto"/>
        <w:tblLook w:val="04A0" w:firstRow="1" w:lastRow="0" w:firstColumn="1" w:lastColumn="0" w:noHBand="0" w:noVBand="1"/>
      </w:tblPr>
      <w:tblGrid>
        <w:gridCol w:w="1755"/>
        <w:gridCol w:w="974"/>
        <w:gridCol w:w="1515"/>
        <w:gridCol w:w="1283"/>
        <w:gridCol w:w="994"/>
        <w:gridCol w:w="1184"/>
        <w:gridCol w:w="817"/>
      </w:tblGrid>
      <w:tr w:rsidR="004F4ED3">
        <w:tc>
          <w:tcPr>
            <w:tcW w:w="175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Age</w:t>
            </w:r>
          </w:p>
        </w:tc>
        <w:tc>
          <w:tcPr>
            <w:tcW w:w="97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Internet</w:t>
            </w:r>
          </w:p>
        </w:tc>
        <w:tc>
          <w:tcPr>
            <w:tcW w:w="151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Health Professionals</w:t>
            </w:r>
          </w:p>
        </w:tc>
        <w:tc>
          <w:tcPr>
            <w:tcW w:w="1283"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Family &amp; Friends</w:t>
            </w:r>
          </w:p>
        </w:tc>
        <w:tc>
          <w:tcPr>
            <w:tcW w:w="99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Media</w:t>
            </w:r>
          </w:p>
        </w:tc>
        <w:tc>
          <w:tcPr>
            <w:tcW w:w="118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Pearson Value</w:t>
            </w:r>
          </w:p>
        </w:tc>
        <w:tc>
          <w:tcPr>
            <w:tcW w:w="817"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P-Value</w:t>
            </w:r>
          </w:p>
        </w:tc>
      </w:tr>
      <w:tr w:rsidR="004F4ED3">
        <w:tc>
          <w:tcPr>
            <w:tcW w:w="175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21-30 years old</w:t>
            </w:r>
          </w:p>
        </w:tc>
        <w:tc>
          <w:tcPr>
            <w:tcW w:w="97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131</w:t>
            </w:r>
          </w:p>
        </w:tc>
        <w:tc>
          <w:tcPr>
            <w:tcW w:w="151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108</w:t>
            </w:r>
          </w:p>
        </w:tc>
        <w:tc>
          <w:tcPr>
            <w:tcW w:w="1283"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76</w:t>
            </w:r>
          </w:p>
        </w:tc>
        <w:tc>
          <w:tcPr>
            <w:tcW w:w="99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18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23.062</w:t>
            </w:r>
          </w:p>
        </w:tc>
        <w:tc>
          <w:tcPr>
            <w:tcW w:w="817"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0.000</w:t>
            </w:r>
          </w:p>
        </w:tc>
      </w:tr>
      <w:tr w:rsidR="004F4ED3">
        <w:tc>
          <w:tcPr>
            <w:tcW w:w="175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31-40 years old</w:t>
            </w:r>
          </w:p>
        </w:tc>
        <w:tc>
          <w:tcPr>
            <w:tcW w:w="97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51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283"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99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184" w:type="dxa"/>
            <w:tcBorders>
              <w:left w:val="nil"/>
              <w:right w:val="nil"/>
            </w:tcBorders>
          </w:tcPr>
          <w:p w:rsidR="004F4ED3" w:rsidRDefault="004F4ED3">
            <w:pPr>
              <w:spacing w:line="360" w:lineRule="auto"/>
              <w:rPr>
                <w:rFonts w:ascii="Times New Roman" w:hAnsi="Times New Roman" w:cs="Times New Roman"/>
                <w:sz w:val="24"/>
                <w:szCs w:val="24"/>
              </w:rPr>
            </w:pPr>
          </w:p>
        </w:tc>
        <w:tc>
          <w:tcPr>
            <w:tcW w:w="817" w:type="dxa"/>
            <w:tcBorders>
              <w:left w:val="nil"/>
              <w:right w:val="nil"/>
            </w:tcBorders>
          </w:tcPr>
          <w:p w:rsidR="004F4ED3" w:rsidRDefault="004F4ED3">
            <w:pPr>
              <w:spacing w:line="360" w:lineRule="auto"/>
              <w:rPr>
                <w:rFonts w:ascii="Times New Roman" w:hAnsi="Times New Roman" w:cs="Times New Roman"/>
                <w:sz w:val="24"/>
                <w:szCs w:val="24"/>
              </w:rPr>
            </w:pPr>
          </w:p>
        </w:tc>
      </w:tr>
    </w:tbl>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(Table 2), the chi-square is a statistical test used to determine whether there is a significant association between two categorical variables. The </w:t>
      </w:r>
      <w:proofErr w:type="spellStart"/>
      <w:r>
        <w:rPr>
          <w:rFonts w:ascii="Times New Roman" w:hAnsi="Times New Roman" w:cs="Times New Roman"/>
          <w:sz w:val="24"/>
          <w:szCs w:val="24"/>
        </w:rPr>
        <w:t>pearson</w:t>
      </w:r>
      <w:proofErr w:type="spellEnd"/>
      <w:r>
        <w:rPr>
          <w:rFonts w:ascii="Times New Roman" w:hAnsi="Times New Roman" w:cs="Times New Roman"/>
          <w:sz w:val="24"/>
          <w:szCs w:val="24"/>
        </w:rPr>
        <w:t xml:space="preserve"> chi-square Value (23.062) measures the discrepancy between the observed and expected frequencies in a contingency table. A higher chi-square value typically indicates a greater difference between these frequencies. The p-value (0.000) indicates the probability of obtaining a chi-square statistic at least as extreme as the one observed, assuming that the null hypothesis is true. It helps us determine whether the observed association is statistically significant. This indicates that there is a statistically significant association between knowledge and dietary supplement use among female adults in Accra, Ghana.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Discussion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study findings, 100% of female adults in Accra-Ghana, have knowledge about dietary supplements. 38% of respondents acquired their dietary information from the internet, 32% from health professionals, 2% from friends and family, 8% from the media. In addition, there is a statistically significant association between knowledge and dietary supplement use among female adults in Accra, Ghana. Younger female adults have more knowledge about die</w:t>
      </w:r>
      <w:bookmarkStart w:id="0" w:name="_GoBack"/>
      <w:bookmarkEnd w:id="0"/>
      <w:r>
        <w:rPr>
          <w:rFonts w:ascii="Times New Roman" w:hAnsi="Times New Roman" w:cs="Times New Roman"/>
          <w:sz w:val="24"/>
          <w:szCs w:val="24"/>
        </w:rPr>
        <w:t xml:space="preserve">tary supplements than older female adults.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growing proportion of individuals in rapidly developing countries are resorting to the internet as a means to get the necessary health information. Industrialized countries like the United States and Japan mirror this phenomenon, with over 70% of their population relying on the internet as their primary information source, particularly for health management (17, 18). This inclination is not surprising, considering the widespread accessibility to the internet and the advanced technical education of today's young generation. Furthermore, the complex environments in which these online health treatments or programs operate make their implementation solely through technical means unfeasible (19).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in the realm of digital health literacy, it is crucial to ensure that the development of electronic materials for consumers aligns with their literacy levels. An essential competency for eHealth users is "eHealth literacy," which refers to the ability to read, understand, and assess health information obtained online and then use that knowledge to address a health concern (20). The eHealth literacy scale consists of five levels that represent the range of skills required to actively engage in the use of information technology to improve health. Skill in operation and navigation constitute the lowest tiers of the scale, whereas the higher tiers need proficiency in information selection and assessment (21).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Enhanced eHealth literacy may benefit developing countries by facilitating better availability of online health information resources. Developed countries like the US, Finland, China, and Japan have primarily conducted research on eHealth literacy, focusing specifically on college students and young adults (22, 23). Limited research has examined the correlation between eHealth literacy and health behaviors in general, and even fewer studies have investigated its relationship with the health behaviors of young people in developing countries, particularly (24). Despite the growing reliance of impoverished countries on online health services, the industrialized world's concept of eHealth literacy remains largely unexplored (25).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propose technology-based health information as a technique to enhance health literacy, but comprehensive research on Ghanaian health literacy levels, particularly among those seeking health-related education, is lacking (26, 27). Despite Ghanaians' widespread use of the internet to acquire knowledge about various supplements and make well-informed decisions regarding their use, the Ministry of Health in Ghana does not have jurisdiction over online health education. Due to the predominant presence of younger female internet users, it becomes particularly difficult to confirm their adherence to the prescribed medications.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Tarid</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study, 99% of the 401 participants reported using Google for health-related information, and 365 individuals reported using it regularly overall. Among the other social media platforms examined, 196 out of 311 Facebook users, 179 out of 287 Wikipedia users, and 40 out of 265 Twitter users reported using these platforms to seek or provide health-related information. Researchers found no significant correlation between perceived eHealth literacy and the usage of these specific social media platforms (28).</w:t>
      </w: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Conclusion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on the source of knowledge and dietary use among female adults in Accra, Ghana. It was discovered that 100% of female adults in Accra, Ghana have knowledge about dietary supplements. 38% of respondents acquired their dietary information from the internet, 32% from health professionals, 2% from friends and family, 8% from the media. In addition, there is a statistically significant association between knowledge and dietary supplement use among female adults in Accra, Ghana. Younger female adults have more knowledge about dietary supplements than older female adults. This study recommends that, health promotion needs to be channeled towards the internet other than the media and health facilities only, to provide the right education on dietary supplements among females to ensure the safety and efficacy of dietary supplement consumption. Further studies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be conducted on why reproductive aged females prefer using the internet to source dietary information instead of the healthcare professionals.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Practical Recommendation</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 Because most people now get their nutrition information online, health education campaigns need to change to reflect this trend.  The following measures should be considered by those working in public health, nutrition, and politics:</w:t>
      </w: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Developing Online Health Education Based on Evidence</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Those involved in public health should create and distribute digital material about dietary supplements that is both culturally relevant and scientifically reliable.  Online initiatives, instructional websites, and social media activities that encourage women to </w:t>
      </w:r>
      <w:proofErr w:type="spellStart"/>
      <w:r>
        <w:rPr>
          <w:rFonts w:ascii="Times New Roman" w:hAnsi="Times New Roman"/>
          <w:sz w:val="24"/>
          <w:szCs w:val="24"/>
        </w:rPr>
        <w:t>utilise</w:t>
      </w:r>
      <w:proofErr w:type="spellEnd"/>
      <w:r>
        <w:rPr>
          <w:rFonts w:ascii="Times New Roman" w:hAnsi="Times New Roman"/>
          <w:sz w:val="24"/>
          <w:szCs w:val="24"/>
        </w:rPr>
        <w:t xml:space="preserve"> supplements safely and intelligently may fall under this category.</w:t>
      </w: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Building a Strong Online Presence</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Health professionals may enhance their online presence by offering trustworthy nutrition advice on many platforms.  In order to close the knowledge gap between patients and doctors, this might include online consultations, webinars, and social media engagement.</w:t>
      </w:r>
    </w:p>
    <w:p w:rsidR="004F4ED3" w:rsidRDefault="004F4ED3">
      <w:pPr>
        <w:spacing w:line="360" w:lineRule="auto"/>
        <w:jc w:val="both"/>
        <w:rPr>
          <w:rFonts w:ascii="Times New Roman" w:hAnsi="Times New Roman"/>
          <w:sz w:val="24"/>
          <w:szCs w:val="24"/>
        </w:rPr>
      </w:pP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Policy Recommendations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lastRenderedPageBreak/>
        <w:t xml:space="preserve">The Food and Drugs Administration (FDA) and other relevant government </w:t>
      </w:r>
      <w:proofErr w:type="spellStart"/>
      <w:r>
        <w:rPr>
          <w:rFonts w:ascii="Times New Roman" w:hAnsi="Times New Roman"/>
          <w:sz w:val="24"/>
          <w:szCs w:val="24"/>
        </w:rPr>
        <w:t>organisations</w:t>
      </w:r>
      <w:proofErr w:type="spellEnd"/>
      <w:r>
        <w:rPr>
          <w:rFonts w:ascii="Times New Roman" w:hAnsi="Times New Roman"/>
          <w:sz w:val="24"/>
          <w:szCs w:val="24"/>
        </w:rPr>
        <w:t xml:space="preserve"> should include digital health literacy programs in national nutrition and health promotion policies. </w:t>
      </w: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Digital Health Literacy</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This would be the first step in integrating digital health literacy into national health policy. Supplement usage choices may be made with more confidence if women are better able to assess the credibility of health information found online.</w:t>
      </w:r>
    </w:p>
    <w:p w:rsidR="004F4ED3" w:rsidRDefault="00F071CC">
      <w:pPr>
        <w:spacing w:line="360" w:lineRule="auto"/>
        <w:jc w:val="both"/>
        <w:rPr>
          <w:rFonts w:ascii="Times New Roman" w:hAnsi="Times New Roman"/>
          <w:sz w:val="24"/>
          <w:szCs w:val="24"/>
          <w:u w:val="single"/>
        </w:rPr>
      </w:pPr>
      <w:r>
        <w:rPr>
          <w:rFonts w:ascii="Times New Roman" w:hAnsi="Times New Roman"/>
          <w:sz w:val="24"/>
          <w:szCs w:val="24"/>
          <w:u w:val="single"/>
        </w:rPr>
        <w:t>Online Dietary Supplement Information Regulation</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Establishing and enforcing regulatory frameworks to monitor and oversee the transmission of dietary supplement information on digital platforms should be a top priority for government agencies. This will ensure that information shared online adheres to established health standards and reduce the likelihood of people falling for false promises.</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Strength and Limitations</w:t>
      </w:r>
    </w:p>
    <w:p w:rsidR="004F4ED3" w:rsidRDefault="00F071CC">
      <w:pPr>
        <w:spacing w:line="360" w:lineRule="auto"/>
        <w:jc w:val="both"/>
        <w:rPr>
          <w:rFonts w:ascii="Times New Roman" w:hAnsi="Times New Roman" w:cs="Times New Roman"/>
          <w:sz w:val="24"/>
          <w:szCs w:val="24"/>
        </w:rPr>
      </w:pPr>
      <w:r>
        <w:rPr>
          <w:rFonts w:ascii="Times New Roman" w:hAnsi="Times New Roman"/>
          <w:sz w:val="24"/>
          <w:szCs w:val="24"/>
        </w:rPr>
        <w:t>The study's design is its most robust aspect, using a comprehensive methodology to address the little-explored scientific issue. The author highlights a limitation despite the study's successful conclusion. This kind of research may be susceptible to response biases, including cultural or linguistic biases. As the subject matter was a self-administered questionnaire, data collection mostly relied on the respondents' capacity to properly and honestly disclose their sources of knowledge on dietary supplement use. However, this research provides valuable insights into an area that has not received much attention in the Ghanaian context.</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Conflict of Interest</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The author declares there are no conflict of interest</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b/>
          <w:bCs/>
          <w:sz w:val="24"/>
          <w:szCs w:val="24"/>
        </w:rPr>
      </w:pPr>
      <w:r>
        <w:rPr>
          <w:rFonts w:ascii="Times New Roman" w:hAnsi="Times New Roman"/>
          <w:b/>
          <w:bCs/>
          <w:sz w:val="24"/>
          <w:szCs w:val="24"/>
        </w:rPr>
        <w:t>Ethical approval and consent to Participate</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The study was conducted according to the guidelines of the Declaration of Helsinki, 2013 and approved by the Committee of Human Research, Publication and Ethics at the Kwame Nkrumah University of Science and Technology before data was collected from the participants (CHRPE/AP/239/23). All study participants consented for participation in this study. There were no risks in this research and participation was voluntary with freedom to withdraw at any time </w:t>
      </w:r>
    </w:p>
    <w:p w:rsidR="004F4ED3" w:rsidRDefault="004F4ED3">
      <w:pPr>
        <w:spacing w:line="360" w:lineRule="auto"/>
        <w:jc w:val="both"/>
        <w:rPr>
          <w:rFonts w:ascii="Times New Roman" w:hAnsi="Times New Roman"/>
          <w:sz w:val="24"/>
          <w:szCs w:val="24"/>
        </w:rPr>
      </w:pPr>
    </w:p>
    <w:p w:rsidR="004F4ED3" w:rsidRDefault="00F071CC">
      <w:pPr>
        <w:spacing w:after="200" w:line="360" w:lineRule="auto"/>
        <w:jc w:val="both"/>
        <w:outlineLvl w:val="0"/>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Competing Interests Disclaimer</w:t>
      </w:r>
    </w:p>
    <w:p w:rsidR="004F4ED3" w:rsidRDefault="00F071CC">
      <w:pPr>
        <w:spacing w:after="200" w:line="360" w:lineRule="auto"/>
        <w:jc w:val="both"/>
        <w:outlineLvl w:val="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rsidR="004F4ED3" w:rsidRDefault="00F071CC">
      <w:pPr>
        <w:spacing w:line="360" w:lineRule="auto"/>
        <w:rPr>
          <w:rFonts w:ascii="Times New Roman" w:eastAsia="Calibri" w:hAnsi="Times New Roman" w:cs="Times New Roman"/>
          <w:b/>
          <w:bCs/>
          <w:kern w:val="2"/>
          <w:sz w:val="24"/>
          <w:szCs w:val="24"/>
        </w:rPr>
      </w:pPr>
      <w:bookmarkStart w:id="1" w:name="_Hlk197682619"/>
      <w:bookmarkStart w:id="2" w:name="_Hlk180402183"/>
      <w:bookmarkStart w:id="3" w:name="_Hlk183680988"/>
      <w:r>
        <w:rPr>
          <w:rFonts w:ascii="Times New Roman" w:eastAsia="Calibri" w:hAnsi="Times New Roman" w:cs="Times New Roman"/>
          <w:b/>
          <w:bCs/>
          <w:kern w:val="2"/>
          <w:sz w:val="24"/>
          <w:szCs w:val="24"/>
        </w:rPr>
        <w:t>Disclaimer (Artificial intelligence)</w:t>
      </w:r>
    </w:p>
    <w:p w:rsidR="004F4ED3" w:rsidRDefault="00F071CC">
      <w:pPr>
        <w:spacing w:line="360" w:lineRule="auto"/>
        <w:rPr>
          <w:rFonts w:ascii="Times New Roman" w:eastAsia="Calibri" w:hAnsi="Times New Roman" w:cs="Times New Roman"/>
          <w:kern w:val="2"/>
          <w:sz w:val="24"/>
          <w:szCs w:val="24"/>
        </w:rPr>
      </w:pPr>
      <w:r>
        <w:rPr>
          <w:rFonts w:ascii="Times New Roman" w:eastAsia="Calibri" w:hAnsi="Times New Roman" w:cs="Times New Roman"/>
          <w:kern w:val="2"/>
          <w:sz w:val="24"/>
          <w:szCs w:val="24"/>
        </w:rPr>
        <w:t>Author(s) hereby declare that NO generative AI technologies such as Large Language Models (</w:t>
      </w:r>
      <w:proofErr w:type="spellStart"/>
      <w:r>
        <w:rPr>
          <w:rFonts w:ascii="Times New Roman" w:eastAsia="Calibri" w:hAnsi="Times New Roman" w:cs="Times New Roman"/>
          <w:kern w:val="2"/>
          <w:sz w:val="24"/>
          <w:szCs w:val="24"/>
        </w:rPr>
        <w:t>ChatGPT</w:t>
      </w:r>
      <w:proofErr w:type="spellEnd"/>
      <w:r>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p w:rsidR="004F4ED3" w:rsidRDefault="004F4ED3">
      <w:pPr>
        <w:rPr>
          <w:rFonts w:ascii="Times New Roman" w:hAnsi="Times New Roman" w:cs="Times New Roman"/>
          <w:b/>
          <w:bCs/>
          <w:sz w:val="24"/>
          <w:szCs w:val="24"/>
        </w:rPr>
      </w:pP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lang w:bidi="ar"/>
        </w:rPr>
      </w:pPr>
      <w:r>
        <w:rPr>
          <w:rFonts w:ascii="Times New Roman" w:eastAsia="Cambria" w:hAnsi="Times New Roman" w:cs="Times New Roman"/>
          <w:color w:val="212121"/>
          <w:sz w:val="24"/>
          <w:szCs w:val="24"/>
          <w:shd w:val="clear" w:color="auto" w:fill="FFFFFF"/>
          <w:lang w:bidi="ar"/>
        </w:rPr>
        <w:t> </w:t>
      </w:r>
      <w:r>
        <w:rPr>
          <w:rFonts w:ascii="Times New Roman" w:eastAsia="Cambria" w:hAnsi="Times New Roman"/>
          <w:color w:val="212121"/>
          <w:sz w:val="24"/>
          <w:szCs w:val="24"/>
          <w:shd w:val="clear" w:color="auto" w:fill="FFFFFF"/>
        </w:rPr>
        <w:t xml:space="preserve">Peter </w:t>
      </w:r>
      <w:proofErr w:type="spellStart"/>
      <w:r>
        <w:rPr>
          <w:rFonts w:ascii="Times New Roman" w:eastAsia="Cambria" w:hAnsi="Times New Roman"/>
          <w:color w:val="212121"/>
          <w:sz w:val="24"/>
          <w:szCs w:val="24"/>
          <w:shd w:val="clear" w:color="auto" w:fill="FFFFFF"/>
        </w:rPr>
        <w:t>Indraja</w:t>
      </w:r>
      <w:proofErr w:type="spellEnd"/>
      <w:r>
        <w:rPr>
          <w:rFonts w:ascii="Times New Roman" w:eastAsia="Cambria" w:hAnsi="Times New Roman"/>
          <w:color w:val="212121"/>
          <w:sz w:val="24"/>
          <w:szCs w:val="24"/>
          <w:shd w:val="clear" w:color="auto" w:fill="FFFFFF"/>
        </w:rPr>
        <w:t xml:space="preserve"> K, N. Attitude of Consumers towards Healthy </w:t>
      </w:r>
      <w:proofErr w:type="gramStart"/>
      <w:r>
        <w:rPr>
          <w:rFonts w:ascii="Times New Roman" w:eastAsia="Cambria" w:hAnsi="Times New Roman"/>
          <w:color w:val="212121"/>
          <w:sz w:val="24"/>
          <w:szCs w:val="24"/>
          <w:shd w:val="clear" w:color="auto" w:fill="FFFFFF"/>
        </w:rPr>
        <w:t>Lifestyle  &amp;</w:t>
      </w:r>
      <w:proofErr w:type="gramEnd"/>
      <w:r>
        <w:rPr>
          <w:rFonts w:ascii="Times New Roman" w:eastAsia="Cambria" w:hAnsi="Times New Roman"/>
          <w:color w:val="212121"/>
          <w:sz w:val="24"/>
          <w:szCs w:val="24"/>
          <w:shd w:val="clear" w:color="auto" w:fill="FFFFFF"/>
        </w:rPr>
        <w:t xml:space="preserve"> its Influence on Consumption of Fast Food Products. International Journal of Science and Research (IJSR). 2023. 12(4), 117–121</w:t>
      </w:r>
      <w:r>
        <w:rPr>
          <w:rFonts w:ascii="Times New Roman" w:eastAsia="Cambria" w:hAnsi="Times New Roman" w:cs="Times New Roman"/>
          <w:color w:val="212121"/>
          <w:sz w:val="24"/>
          <w:szCs w:val="24"/>
          <w:shd w:val="clear" w:color="auto" w:fill="FFFFFF"/>
          <w:lang w:bidi="ar"/>
        </w:rPr>
        <w:t>.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Mahoney, C. R., Giles, G. E., Marriott, B. P., </w:t>
      </w:r>
      <w:proofErr w:type="spellStart"/>
      <w:r>
        <w:rPr>
          <w:rFonts w:ascii="Times New Roman" w:eastAsia="Cambria" w:hAnsi="Times New Roman"/>
          <w:color w:val="212121"/>
          <w:sz w:val="24"/>
          <w:szCs w:val="24"/>
          <w:shd w:val="clear" w:color="auto" w:fill="FFFFFF"/>
        </w:rPr>
        <w:t>Judelson</w:t>
      </w:r>
      <w:proofErr w:type="spellEnd"/>
      <w:r>
        <w:rPr>
          <w:rFonts w:ascii="Times New Roman" w:eastAsia="Cambria" w:hAnsi="Times New Roman"/>
          <w:color w:val="212121"/>
          <w:sz w:val="24"/>
          <w:szCs w:val="24"/>
          <w:shd w:val="clear" w:color="auto" w:fill="FFFFFF"/>
        </w:rPr>
        <w:t xml:space="preserve">, D. A., Glickman, E. L., </w:t>
      </w:r>
      <w:proofErr w:type="spellStart"/>
      <w:r>
        <w:rPr>
          <w:rFonts w:ascii="Times New Roman" w:eastAsia="Cambria" w:hAnsi="Times New Roman"/>
          <w:color w:val="212121"/>
          <w:sz w:val="24"/>
          <w:szCs w:val="24"/>
          <w:shd w:val="clear" w:color="auto" w:fill="FFFFFF"/>
        </w:rPr>
        <w:t>Geiselman</w:t>
      </w:r>
      <w:proofErr w:type="spellEnd"/>
      <w:r>
        <w:rPr>
          <w:rFonts w:ascii="Times New Roman" w:eastAsia="Cambria" w:hAnsi="Times New Roman"/>
          <w:color w:val="212121"/>
          <w:sz w:val="24"/>
          <w:szCs w:val="24"/>
          <w:shd w:val="clear" w:color="auto" w:fill="FFFFFF"/>
        </w:rPr>
        <w:t xml:space="preserve">, P. J., &amp; Lieberman, H. R. Intake of caffeine from all sources and reasons for use by college students. Clinical Nutrition. 2019. 38(2), 668–675. </w:t>
      </w:r>
      <w:r>
        <w:rPr>
          <w:rFonts w:ascii="Times New Roman" w:eastAsia="Cambria" w:hAnsi="Times New Roman" w:cs="Times New Roman"/>
          <w:color w:val="212121"/>
          <w:sz w:val="24"/>
          <w:szCs w:val="24"/>
          <w:shd w:val="clear" w:color="auto" w:fill="FFFFFF"/>
          <w:lang w:bidi="ar"/>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Muñoz-</w:t>
      </w:r>
      <w:proofErr w:type="spellStart"/>
      <w:r>
        <w:rPr>
          <w:rFonts w:ascii="Times New Roman" w:eastAsia="Cambria" w:hAnsi="Times New Roman"/>
          <w:color w:val="212121"/>
          <w:sz w:val="24"/>
          <w:szCs w:val="24"/>
          <w:shd w:val="clear" w:color="auto" w:fill="FFFFFF"/>
        </w:rPr>
        <w:t>Garach</w:t>
      </w:r>
      <w:proofErr w:type="spellEnd"/>
      <w:r>
        <w:rPr>
          <w:rFonts w:ascii="Times New Roman" w:eastAsia="Cambria" w:hAnsi="Times New Roman"/>
          <w:color w:val="212121"/>
          <w:sz w:val="24"/>
          <w:szCs w:val="24"/>
          <w:shd w:val="clear" w:color="auto" w:fill="FFFFFF"/>
        </w:rPr>
        <w:t xml:space="preserve">, A., García-Fontana, B., &amp; Muñoz-Torres, M. Nutrients and dietary patterns related to osteoporosis. Nutrients. 2020. 12(7), 1–16.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olor w:val="212121"/>
          <w:sz w:val="24"/>
          <w:szCs w:val="24"/>
          <w:shd w:val="clear" w:color="auto" w:fill="FFFFFF"/>
        </w:rPr>
        <w:t>Wegh</w:t>
      </w:r>
      <w:proofErr w:type="spellEnd"/>
      <w:r>
        <w:rPr>
          <w:rFonts w:ascii="Times New Roman" w:eastAsia="Cambria" w:hAnsi="Times New Roman"/>
          <w:color w:val="212121"/>
          <w:sz w:val="24"/>
          <w:szCs w:val="24"/>
          <w:shd w:val="clear" w:color="auto" w:fill="FFFFFF"/>
        </w:rPr>
        <w:t xml:space="preserve">, C. A. M., </w:t>
      </w:r>
      <w:proofErr w:type="spellStart"/>
      <w:r>
        <w:rPr>
          <w:rFonts w:ascii="Times New Roman" w:eastAsia="Cambria" w:hAnsi="Times New Roman"/>
          <w:color w:val="212121"/>
          <w:sz w:val="24"/>
          <w:szCs w:val="24"/>
          <w:shd w:val="clear" w:color="auto" w:fill="FFFFFF"/>
        </w:rPr>
        <w:t>Geerlings</w:t>
      </w:r>
      <w:proofErr w:type="spellEnd"/>
      <w:r>
        <w:rPr>
          <w:rFonts w:ascii="Times New Roman" w:eastAsia="Cambria" w:hAnsi="Times New Roman"/>
          <w:color w:val="212121"/>
          <w:sz w:val="24"/>
          <w:szCs w:val="24"/>
          <w:shd w:val="clear" w:color="auto" w:fill="FFFFFF"/>
        </w:rPr>
        <w:t xml:space="preserve">, S. Y., </w:t>
      </w:r>
      <w:proofErr w:type="spellStart"/>
      <w:r>
        <w:rPr>
          <w:rFonts w:ascii="Times New Roman" w:eastAsia="Cambria" w:hAnsi="Times New Roman"/>
          <w:color w:val="212121"/>
          <w:sz w:val="24"/>
          <w:szCs w:val="24"/>
          <w:shd w:val="clear" w:color="auto" w:fill="FFFFFF"/>
        </w:rPr>
        <w:t>Knol</w:t>
      </w:r>
      <w:proofErr w:type="spellEnd"/>
      <w:r>
        <w:rPr>
          <w:rFonts w:ascii="Times New Roman" w:eastAsia="Cambria" w:hAnsi="Times New Roman"/>
          <w:color w:val="212121"/>
          <w:sz w:val="24"/>
          <w:szCs w:val="24"/>
          <w:shd w:val="clear" w:color="auto" w:fill="FFFFFF"/>
        </w:rPr>
        <w:t xml:space="preserve">, J., </w:t>
      </w:r>
      <w:proofErr w:type="spellStart"/>
      <w:r>
        <w:rPr>
          <w:rFonts w:ascii="Times New Roman" w:eastAsia="Cambria" w:hAnsi="Times New Roman"/>
          <w:color w:val="212121"/>
          <w:sz w:val="24"/>
          <w:szCs w:val="24"/>
          <w:shd w:val="clear" w:color="auto" w:fill="FFFFFF"/>
        </w:rPr>
        <w:t>Roeselers</w:t>
      </w:r>
      <w:proofErr w:type="spellEnd"/>
      <w:r>
        <w:rPr>
          <w:rFonts w:ascii="Times New Roman" w:eastAsia="Cambria" w:hAnsi="Times New Roman"/>
          <w:color w:val="212121"/>
          <w:sz w:val="24"/>
          <w:szCs w:val="24"/>
          <w:shd w:val="clear" w:color="auto" w:fill="FFFFFF"/>
        </w:rPr>
        <w:t xml:space="preserve">, G., &amp; </w:t>
      </w:r>
      <w:proofErr w:type="spellStart"/>
      <w:r>
        <w:rPr>
          <w:rFonts w:ascii="Times New Roman" w:eastAsia="Cambria" w:hAnsi="Times New Roman"/>
          <w:color w:val="212121"/>
          <w:sz w:val="24"/>
          <w:szCs w:val="24"/>
          <w:shd w:val="clear" w:color="auto" w:fill="FFFFFF"/>
        </w:rPr>
        <w:t>Belzer</w:t>
      </w:r>
      <w:proofErr w:type="spellEnd"/>
      <w:r>
        <w:rPr>
          <w:rFonts w:ascii="Times New Roman" w:eastAsia="Cambria" w:hAnsi="Times New Roman"/>
          <w:color w:val="212121"/>
          <w:sz w:val="24"/>
          <w:szCs w:val="24"/>
          <w:shd w:val="clear" w:color="auto" w:fill="FFFFFF"/>
        </w:rPr>
        <w:t xml:space="preserve">, C. Postbiotics and Their Potential Applications in Early Life Nutrition and Beyond. International Journal of Molecular Sciences. 2019. 20(19), 4673.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Katja </w:t>
      </w:r>
      <w:proofErr w:type="spellStart"/>
      <w:r>
        <w:rPr>
          <w:rFonts w:ascii="Times New Roman" w:eastAsia="Cambria" w:hAnsi="Times New Roman"/>
          <w:color w:val="212121"/>
          <w:sz w:val="24"/>
          <w:szCs w:val="24"/>
          <w:shd w:val="clear" w:color="auto" w:fill="FFFFFF"/>
        </w:rPr>
        <w:t>Zdešar</w:t>
      </w:r>
      <w:proofErr w:type="spellEnd"/>
      <w:r>
        <w:rPr>
          <w:rFonts w:ascii="Times New Roman" w:eastAsia="Cambria" w:hAnsi="Times New Roman"/>
          <w:color w:val="212121"/>
          <w:sz w:val="24"/>
          <w:szCs w:val="24"/>
          <w:shd w:val="clear" w:color="auto" w:fill="FFFFFF"/>
        </w:rPr>
        <w:t xml:space="preserve"> </w:t>
      </w:r>
      <w:proofErr w:type="spellStart"/>
      <w:r>
        <w:rPr>
          <w:rFonts w:ascii="Times New Roman" w:eastAsia="Cambria" w:hAnsi="Times New Roman"/>
          <w:color w:val="212121"/>
          <w:sz w:val="24"/>
          <w:szCs w:val="24"/>
          <w:shd w:val="clear" w:color="auto" w:fill="FFFFFF"/>
        </w:rPr>
        <w:t>Kotnik</w:t>
      </w:r>
      <w:proofErr w:type="spellEnd"/>
      <w:r>
        <w:rPr>
          <w:rFonts w:ascii="Times New Roman" w:eastAsia="Cambria" w:hAnsi="Times New Roman"/>
          <w:color w:val="212121"/>
          <w:sz w:val="24"/>
          <w:szCs w:val="24"/>
          <w:shd w:val="clear" w:color="auto" w:fill="FFFFFF"/>
        </w:rPr>
        <w:t xml:space="preserve">, Barbara </w:t>
      </w:r>
      <w:proofErr w:type="spellStart"/>
      <w:r>
        <w:rPr>
          <w:rFonts w:ascii="Times New Roman" w:eastAsia="Cambria" w:hAnsi="Times New Roman"/>
          <w:color w:val="212121"/>
          <w:sz w:val="24"/>
          <w:szCs w:val="24"/>
          <w:shd w:val="clear" w:color="auto" w:fill="FFFFFF"/>
        </w:rPr>
        <w:t>Koroušić</w:t>
      </w:r>
      <w:proofErr w:type="spellEnd"/>
      <w:r>
        <w:rPr>
          <w:rFonts w:ascii="Times New Roman" w:eastAsia="Cambria" w:hAnsi="Times New Roman"/>
          <w:color w:val="212121"/>
          <w:sz w:val="24"/>
          <w:szCs w:val="24"/>
          <w:shd w:val="clear" w:color="auto" w:fill="FFFFFF"/>
        </w:rPr>
        <w:t xml:space="preserve"> </w:t>
      </w:r>
      <w:proofErr w:type="spellStart"/>
      <w:r>
        <w:rPr>
          <w:rFonts w:ascii="Times New Roman" w:eastAsia="Cambria" w:hAnsi="Times New Roman"/>
          <w:color w:val="212121"/>
          <w:sz w:val="24"/>
          <w:szCs w:val="24"/>
          <w:shd w:val="clear" w:color="auto" w:fill="FFFFFF"/>
        </w:rPr>
        <w:t>Seljak</w:t>
      </w:r>
      <w:proofErr w:type="spellEnd"/>
      <w:r>
        <w:rPr>
          <w:rFonts w:ascii="Times New Roman" w:eastAsia="Cambria" w:hAnsi="Times New Roman"/>
          <w:color w:val="212121"/>
          <w:sz w:val="24"/>
          <w:szCs w:val="24"/>
          <w:shd w:val="clear" w:color="auto" w:fill="FFFFFF"/>
        </w:rPr>
        <w:t xml:space="preserve">, Matej </w:t>
      </w:r>
      <w:proofErr w:type="spellStart"/>
      <w:r>
        <w:rPr>
          <w:rFonts w:ascii="Times New Roman" w:eastAsia="Cambria" w:hAnsi="Times New Roman"/>
          <w:color w:val="212121"/>
          <w:sz w:val="24"/>
          <w:szCs w:val="24"/>
          <w:shd w:val="clear" w:color="auto" w:fill="FFFFFF"/>
        </w:rPr>
        <w:t>Gregorič</w:t>
      </w:r>
      <w:proofErr w:type="spellEnd"/>
      <w:r>
        <w:rPr>
          <w:rFonts w:ascii="Times New Roman" w:eastAsia="Cambria" w:hAnsi="Times New Roman"/>
          <w:color w:val="212121"/>
          <w:sz w:val="24"/>
          <w:szCs w:val="24"/>
          <w:shd w:val="clear" w:color="auto" w:fill="FFFFFF"/>
        </w:rPr>
        <w:t xml:space="preserve">, Jurak, G., &amp; </w:t>
      </w:r>
      <w:proofErr w:type="spellStart"/>
      <w:r>
        <w:rPr>
          <w:rFonts w:ascii="Times New Roman" w:eastAsia="Cambria" w:hAnsi="Times New Roman"/>
          <w:color w:val="212121"/>
          <w:sz w:val="24"/>
          <w:szCs w:val="24"/>
          <w:shd w:val="clear" w:color="auto" w:fill="FFFFFF"/>
        </w:rPr>
        <w:t>Golja</w:t>
      </w:r>
      <w:proofErr w:type="spellEnd"/>
      <w:r>
        <w:rPr>
          <w:rFonts w:ascii="Times New Roman" w:eastAsia="Cambria" w:hAnsi="Times New Roman"/>
          <w:color w:val="212121"/>
          <w:sz w:val="24"/>
          <w:szCs w:val="24"/>
          <w:shd w:val="clear" w:color="auto" w:fill="FFFFFF"/>
        </w:rPr>
        <w:t xml:space="preserve">, P. Questionable advisability of vitamin and mineral dietary supplement use in adolescents. BMC Nutrition. 2023. 9(1).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Neville, A., Jordan, A., Beveridge, J. K., Pincus, T., &amp; Noel, M. Diagnostic Uncertainty in Youth </w:t>
      </w:r>
      <w:proofErr w:type="gramStart"/>
      <w:r>
        <w:rPr>
          <w:rFonts w:ascii="Times New Roman" w:eastAsia="Cambria" w:hAnsi="Times New Roman"/>
          <w:color w:val="212121"/>
          <w:sz w:val="24"/>
          <w:szCs w:val="24"/>
          <w:shd w:val="clear" w:color="auto" w:fill="FFFFFF"/>
        </w:rPr>
        <w:t>With</w:t>
      </w:r>
      <w:proofErr w:type="gramEnd"/>
      <w:r>
        <w:rPr>
          <w:rFonts w:ascii="Times New Roman" w:eastAsia="Cambria" w:hAnsi="Times New Roman"/>
          <w:color w:val="212121"/>
          <w:sz w:val="24"/>
          <w:szCs w:val="24"/>
          <w:shd w:val="clear" w:color="auto" w:fill="FFFFFF"/>
        </w:rPr>
        <w:t xml:space="preserve"> Chronic Pain and Their Parents. The Journal of Pain. 2019. 20(9), 1080–1090.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lastRenderedPageBreak/>
        <w:t xml:space="preserve">Axon DR, </w:t>
      </w:r>
      <w:proofErr w:type="spellStart"/>
      <w:r>
        <w:rPr>
          <w:rFonts w:ascii="Times New Roman" w:eastAsia="Cambria" w:hAnsi="Times New Roman" w:cs="Times New Roman"/>
          <w:color w:val="212121"/>
          <w:sz w:val="24"/>
          <w:szCs w:val="24"/>
          <w:shd w:val="clear" w:color="auto" w:fill="FFFFFF"/>
        </w:rPr>
        <w:t>Vanova</w:t>
      </w:r>
      <w:proofErr w:type="spellEnd"/>
      <w:r>
        <w:rPr>
          <w:rFonts w:ascii="Times New Roman" w:eastAsia="Cambria" w:hAnsi="Times New Roman" w:cs="Times New Roman"/>
          <w:color w:val="212121"/>
          <w:sz w:val="24"/>
          <w:szCs w:val="24"/>
          <w:shd w:val="clear" w:color="auto" w:fill="FFFFFF"/>
        </w:rPr>
        <w:t xml:space="preserve"> J, </w:t>
      </w:r>
      <w:proofErr w:type="spellStart"/>
      <w:r>
        <w:rPr>
          <w:rFonts w:ascii="Times New Roman" w:eastAsia="Cambria" w:hAnsi="Times New Roman" w:cs="Times New Roman"/>
          <w:color w:val="212121"/>
          <w:sz w:val="24"/>
          <w:szCs w:val="24"/>
          <w:shd w:val="clear" w:color="auto" w:fill="FFFFFF"/>
        </w:rPr>
        <w:t>Edel</w:t>
      </w:r>
      <w:proofErr w:type="spellEnd"/>
      <w:r>
        <w:rPr>
          <w:rFonts w:ascii="Times New Roman" w:eastAsia="Cambria" w:hAnsi="Times New Roman" w:cs="Times New Roman"/>
          <w:color w:val="212121"/>
          <w:sz w:val="24"/>
          <w:szCs w:val="24"/>
          <w:shd w:val="clear" w:color="auto" w:fill="FFFFFF"/>
        </w:rPr>
        <w:t xml:space="preserve"> C, Slack M. Dietary supplement use, knowledge, and perceptions among student pharmacists. Am J Pharm Educ 2017; 81:1–12. </w:t>
      </w:r>
      <w:hyperlink r:id="rId10" w:history="1">
        <w:r>
          <w:rPr>
            <w:rStyle w:val="Hyperlink"/>
            <w:rFonts w:ascii="Times New Roman" w:eastAsia="Cambria" w:hAnsi="Times New Roman" w:cs="Times New Roman"/>
            <w:sz w:val="24"/>
            <w:szCs w:val="24"/>
            <w:shd w:val="clear" w:color="auto" w:fill="FFFFFF"/>
          </w:rPr>
          <w:t>https://doi.org/10.5688/ajpe81592.</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Balzo</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Vd</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Vitiello</w:t>
      </w:r>
      <w:proofErr w:type="spellEnd"/>
      <w:r>
        <w:rPr>
          <w:rFonts w:ascii="Times New Roman" w:eastAsia="Cambria" w:hAnsi="Times New Roman" w:cs="Times New Roman"/>
          <w:color w:val="212121"/>
          <w:sz w:val="24"/>
          <w:szCs w:val="24"/>
          <w:shd w:val="clear" w:color="auto" w:fill="FFFFFF"/>
        </w:rPr>
        <w:t xml:space="preserve"> V, </w:t>
      </w:r>
      <w:proofErr w:type="spellStart"/>
      <w:r>
        <w:rPr>
          <w:rFonts w:ascii="Times New Roman" w:eastAsia="Cambria" w:hAnsi="Times New Roman" w:cs="Times New Roman"/>
          <w:color w:val="212121"/>
          <w:sz w:val="24"/>
          <w:szCs w:val="24"/>
          <w:shd w:val="clear" w:color="auto" w:fill="FFFFFF"/>
        </w:rPr>
        <w:t>Germani</w:t>
      </w:r>
      <w:proofErr w:type="spellEnd"/>
      <w:r>
        <w:rPr>
          <w:rFonts w:ascii="Times New Roman" w:eastAsia="Cambria" w:hAnsi="Times New Roman" w:cs="Times New Roman"/>
          <w:color w:val="212121"/>
          <w:sz w:val="24"/>
          <w:szCs w:val="24"/>
          <w:shd w:val="clear" w:color="auto" w:fill="FFFFFF"/>
        </w:rPr>
        <w:t xml:space="preserve"> A, </w:t>
      </w:r>
      <w:proofErr w:type="spellStart"/>
      <w:r>
        <w:rPr>
          <w:rFonts w:ascii="Times New Roman" w:eastAsia="Cambria" w:hAnsi="Times New Roman" w:cs="Times New Roman"/>
          <w:color w:val="212121"/>
          <w:sz w:val="24"/>
          <w:szCs w:val="24"/>
          <w:shd w:val="clear" w:color="auto" w:fill="FFFFFF"/>
        </w:rPr>
        <w:t>Donini</w:t>
      </w:r>
      <w:proofErr w:type="spellEnd"/>
      <w:r>
        <w:rPr>
          <w:rFonts w:ascii="Times New Roman" w:eastAsia="Cambria" w:hAnsi="Times New Roman" w:cs="Times New Roman"/>
          <w:color w:val="212121"/>
          <w:sz w:val="24"/>
          <w:szCs w:val="24"/>
          <w:shd w:val="clear" w:color="auto" w:fill="FFFFFF"/>
        </w:rPr>
        <w:t xml:space="preserve"> LM, </w:t>
      </w:r>
      <w:proofErr w:type="spellStart"/>
      <w:r>
        <w:rPr>
          <w:rFonts w:ascii="Times New Roman" w:eastAsia="Cambria" w:hAnsi="Times New Roman" w:cs="Times New Roman"/>
          <w:color w:val="212121"/>
          <w:sz w:val="24"/>
          <w:szCs w:val="24"/>
          <w:shd w:val="clear" w:color="auto" w:fill="FFFFFF"/>
        </w:rPr>
        <w:t>Poggiogalle</w:t>
      </w:r>
      <w:proofErr w:type="spellEnd"/>
      <w:r>
        <w:rPr>
          <w:rFonts w:ascii="Times New Roman" w:eastAsia="Cambria" w:hAnsi="Times New Roman" w:cs="Times New Roman"/>
          <w:color w:val="212121"/>
          <w:sz w:val="24"/>
          <w:szCs w:val="24"/>
          <w:shd w:val="clear" w:color="auto" w:fill="FFFFFF"/>
        </w:rPr>
        <w:t xml:space="preserve"> E, Pinto A. A cross sectional survey on dietary supplements consumption among Italian teenagers. </w:t>
      </w:r>
      <w:proofErr w:type="spellStart"/>
      <w:r>
        <w:rPr>
          <w:rFonts w:ascii="Times New Roman" w:eastAsia="Cambria" w:hAnsi="Times New Roman" w:cs="Times New Roman"/>
          <w:color w:val="212121"/>
          <w:sz w:val="24"/>
          <w:szCs w:val="24"/>
          <w:shd w:val="clear" w:color="auto" w:fill="FFFFFF"/>
        </w:rPr>
        <w:t>PLoS</w:t>
      </w:r>
      <w:proofErr w:type="spellEnd"/>
      <w:r>
        <w:rPr>
          <w:rFonts w:ascii="Times New Roman" w:eastAsia="Cambria" w:hAnsi="Times New Roman" w:cs="Times New Roman"/>
          <w:color w:val="212121"/>
          <w:sz w:val="24"/>
          <w:szCs w:val="24"/>
          <w:shd w:val="clear" w:color="auto" w:fill="FFFFFF"/>
        </w:rPr>
        <w:t xml:space="preserve"> One 2014; 9:1–6. </w:t>
      </w:r>
      <w:hyperlink r:id="rId11" w:history="1">
        <w:r>
          <w:rPr>
            <w:rStyle w:val="Hyperlink"/>
            <w:rFonts w:ascii="Times New Roman" w:eastAsia="Cambria" w:hAnsi="Times New Roman" w:cs="Times New Roman"/>
            <w:sz w:val="24"/>
            <w:szCs w:val="24"/>
            <w:shd w:val="clear" w:color="auto" w:fill="FFFFFF"/>
          </w:rPr>
          <w:t>https://doi.org/10.1371/journal.pone.0100508.</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Asher GN, Corbett AH, Hawke RL. Common herbal dietary supplement-drug interactions. Am Fam Physician 2017; 96:101–7.</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Amadi</w:t>
      </w:r>
      <w:proofErr w:type="spellEnd"/>
      <w:r>
        <w:rPr>
          <w:rFonts w:ascii="Times New Roman" w:eastAsia="Cambria" w:hAnsi="Times New Roman" w:cs="Times New Roman"/>
          <w:color w:val="212121"/>
          <w:sz w:val="24"/>
          <w:szCs w:val="24"/>
          <w:shd w:val="clear" w:color="auto" w:fill="FFFFFF"/>
        </w:rPr>
        <w:t xml:space="preserve"> CN, </w:t>
      </w:r>
      <w:proofErr w:type="spellStart"/>
      <w:r>
        <w:rPr>
          <w:rFonts w:ascii="Times New Roman" w:eastAsia="Cambria" w:hAnsi="Times New Roman" w:cs="Times New Roman"/>
          <w:color w:val="212121"/>
          <w:sz w:val="24"/>
          <w:szCs w:val="24"/>
          <w:shd w:val="clear" w:color="auto" w:fill="FFFFFF"/>
        </w:rPr>
        <w:t>Mgbahurike</w:t>
      </w:r>
      <w:proofErr w:type="spellEnd"/>
      <w:r>
        <w:rPr>
          <w:rFonts w:ascii="Times New Roman" w:eastAsia="Cambria" w:hAnsi="Times New Roman" w:cs="Times New Roman"/>
          <w:color w:val="212121"/>
          <w:sz w:val="24"/>
          <w:szCs w:val="24"/>
          <w:shd w:val="clear" w:color="auto" w:fill="FFFFFF"/>
        </w:rPr>
        <w:t xml:space="preserve"> AA. Selected food/herb-drug interactions: Mechanisms and clinical relevance. Am J </w:t>
      </w:r>
      <w:proofErr w:type="spellStart"/>
      <w:r>
        <w:rPr>
          <w:rFonts w:ascii="Times New Roman" w:eastAsia="Cambria" w:hAnsi="Times New Roman" w:cs="Times New Roman"/>
          <w:color w:val="212121"/>
          <w:sz w:val="24"/>
          <w:szCs w:val="24"/>
          <w:shd w:val="clear" w:color="auto" w:fill="FFFFFF"/>
        </w:rPr>
        <w:t>Ther</w:t>
      </w:r>
      <w:proofErr w:type="spellEnd"/>
      <w:r>
        <w:rPr>
          <w:rFonts w:ascii="Times New Roman" w:eastAsia="Cambria" w:hAnsi="Times New Roman" w:cs="Times New Roman"/>
          <w:color w:val="212121"/>
          <w:sz w:val="24"/>
          <w:szCs w:val="24"/>
          <w:shd w:val="clear" w:color="auto" w:fill="FFFFFF"/>
        </w:rPr>
        <w:t xml:space="preserve"> 2018; </w:t>
      </w:r>
      <w:proofErr w:type="gramStart"/>
      <w:r>
        <w:rPr>
          <w:rFonts w:ascii="Times New Roman" w:eastAsia="Cambria" w:hAnsi="Times New Roman" w:cs="Times New Roman"/>
          <w:color w:val="212121"/>
          <w:sz w:val="24"/>
          <w:szCs w:val="24"/>
          <w:shd w:val="clear" w:color="auto" w:fill="FFFFFF"/>
        </w:rPr>
        <w:t>25:e</w:t>
      </w:r>
      <w:proofErr w:type="gramEnd"/>
      <w:r>
        <w:rPr>
          <w:rFonts w:ascii="Times New Roman" w:eastAsia="Cambria" w:hAnsi="Times New Roman" w:cs="Times New Roman"/>
          <w:color w:val="212121"/>
          <w:sz w:val="24"/>
          <w:szCs w:val="24"/>
          <w:shd w:val="clear" w:color="auto" w:fill="FFFFFF"/>
        </w:rPr>
        <w:t xml:space="preserve">423–e33.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Shraim</w:t>
      </w:r>
      <w:proofErr w:type="spellEnd"/>
      <w:r>
        <w:rPr>
          <w:rFonts w:ascii="Times New Roman" w:eastAsia="Cambria" w:hAnsi="Times New Roman" w:cs="Times New Roman"/>
          <w:color w:val="212121"/>
          <w:sz w:val="24"/>
          <w:szCs w:val="24"/>
          <w:shd w:val="clear" w:color="auto" w:fill="FFFFFF"/>
        </w:rPr>
        <w:t xml:space="preserve"> NY, </w:t>
      </w:r>
      <w:proofErr w:type="spellStart"/>
      <w:r>
        <w:rPr>
          <w:rFonts w:ascii="Times New Roman" w:eastAsia="Cambria" w:hAnsi="Times New Roman" w:cs="Times New Roman"/>
          <w:color w:val="212121"/>
          <w:sz w:val="24"/>
          <w:szCs w:val="24"/>
          <w:shd w:val="clear" w:color="auto" w:fill="FFFFFF"/>
        </w:rPr>
        <w:t>Shawahna</w:t>
      </w:r>
      <w:proofErr w:type="spellEnd"/>
      <w:r>
        <w:rPr>
          <w:rFonts w:ascii="Times New Roman" w:eastAsia="Cambria" w:hAnsi="Times New Roman" w:cs="Times New Roman"/>
          <w:color w:val="212121"/>
          <w:sz w:val="24"/>
          <w:szCs w:val="24"/>
          <w:shd w:val="clear" w:color="auto" w:fill="FFFFFF"/>
        </w:rPr>
        <w:t xml:space="preserve"> R, </w:t>
      </w:r>
      <w:proofErr w:type="spellStart"/>
      <w:r>
        <w:rPr>
          <w:rFonts w:ascii="Times New Roman" w:eastAsia="Cambria" w:hAnsi="Times New Roman" w:cs="Times New Roman"/>
          <w:color w:val="212121"/>
          <w:sz w:val="24"/>
          <w:szCs w:val="24"/>
          <w:shd w:val="clear" w:color="auto" w:fill="FFFFFF"/>
        </w:rPr>
        <w:t>Sorady</w:t>
      </w:r>
      <w:proofErr w:type="spellEnd"/>
      <w:r>
        <w:rPr>
          <w:rFonts w:ascii="Times New Roman" w:eastAsia="Cambria" w:hAnsi="Times New Roman" w:cs="Times New Roman"/>
          <w:color w:val="212121"/>
          <w:sz w:val="24"/>
          <w:szCs w:val="24"/>
          <w:shd w:val="clear" w:color="auto" w:fill="FFFFFF"/>
        </w:rPr>
        <w:t xml:space="preserve"> MA, </w:t>
      </w:r>
      <w:proofErr w:type="spellStart"/>
      <w:r>
        <w:rPr>
          <w:rFonts w:ascii="Times New Roman" w:eastAsia="Cambria" w:hAnsi="Times New Roman" w:cs="Times New Roman"/>
          <w:color w:val="212121"/>
          <w:sz w:val="24"/>
          <w:szCs w:val="24"/>
          <w:shd w:val="clear" w:color="auto" w:fill="FFFFFF"/>
        </w:rPr>
        <w:t>Aiesh</w:t>
      </w:r>
      <w:proofErr w:type="spellEnd"/>
      <w:r>
        <w:rPr>
          <w:rFonts w:ascii="Times New Roman" w:eastAsia="Cambria" w:hAnsi="Times New Roman" w:cs="Times New Roman"/>
          <w:color w:val="212121"/>
          <w:sz w:val="24"/>
          <w:szCs w:val="24"/>
          <w:shd w:val="clear" w:color="auto" w:fill="FFFFFF"/>
        </w:rPr>
        <w:t xml:space="preserve"> BM, </w:t>
      </w:r>
      <w:proofErr w:type="spellStart"/>
      <w:r>
        <w:rPr>
          <w:rFonts w:ascii="Times New Roman" w:eastAsia="Cambria" w:hAnsi="Times New Roman" w:cs="Times New Roman"/>
          <w:color w:val="212121"/>
          <w:sz w:val="24"/>
          <w:szCs w:val="24"/>
          <w:shd w:val="clear" w:color="auto" w:fill="FFFFFF"/>
        </w:rPr>
        <w:t>Alashqar</w:t>
      </w:r>
      <w:proofErr w:type="spellEnd"/>
      <w:r>
        <w:rPr>
          <w:rFonts w:ascii="Times New Roman" w:eastAsia="Cambria" w:hAnsi="Times New Roman" w:cs="Times New Roman"/>
          <w:color w:val="212121"/>
          <w:sz w:val="24"/>
          <w:szCs w:val="24"/>
          <w:shd w:val="clear" w:color="auto" w:fill="FFFFFF"/>
        </w:rPr>
        <w:t xml:space="preserve"> GS, </w:t>
      </w:r>
      <w:proofErr w:type="spellStart"/>
      <w:r>
        <w:rPr>
          <w:rFonts w:ascii="Times New Roman" w:eastAsia="Cambria" w:hAnsi="Times New Roman" w:cs="Times New Roman"/>
          <w:color w:val="212121"/>
          <w:sz w:val="24"/>
          <w:szCs w:val="24"/>
          <w:shd w:val="clear" w:color="auto" w:fill="FFFFFF"/>
        </w:rPr>
        <w:t>Jitan</w:t>
      </w:r>
      <w:proofErr w:type="spellEnd"/>
      <w:r>
        <w:rPr>
          <w:rFonts w:ascii="Times New Roman" w:eastAsia="Cambria" w:hAnsi="Times New Roman" w:cs="Times New Roman"/>
          <w:color w:val="212121"/>
          <w:sz w:val="24"/>
          <w:szCs w:val="24"/>
          <w:shd w:val="clear" w:color="auto" w:fill="FFFFFF"/>
        </w:rPr>
        <w:t xml:space="preserve"> RI, et al. Community pharmacist’ knowledge, practices and beliefs about complementary and alternative medicine in Palestine: A cross-sectional study. BMC Complement </w:t>
      </w:r>
      <w:proofErr w:type="spellStart"/>
      <w:r>
        <w:rPr>
          <w:rFonts w:ascii="Times New Roman" w:eastAsia="Cambria" w:hAnsi="Times New Roman" w:cs="Times New Roman"/>
          <w:color w:val="212121"/>
          <w:sz w:val="24"/>
          <w:szCs w:val="24"/>
          <w:shd w:val="clear" w:color="auto" w:fill="FFFFFF"/>
        </w:rPr>
        <w:t>Altern</w:t>
      </w:r>
      <w:proofErr w:type="spellEnd"/>
      <w:r>
        <w:rPr>
          <w:rFonts w:ascii="Times New Roman" w:eastAsia="Cambria" w:hAnsi="Times New Roman" w:cs="Times New Roman"/>
          <w:color w:val="212121"/>
          <w:sz w:val="24"/>
          <w:szCs w:val="24"/>
          <w:shd w:val="clear" w:color="auto" w:fill="FFFFFF"/>
        </w:rPr>
        <w:t xml:space="preserve"> Med 2017; 17:429. </w:t>
      </w:r>
      <w:hyperlink r:id="rId12" w:history="1">
        <w:r>
          <w:rPr>
            <w:rStyle w:val="Hyperlink"/>
            <w:rFonts w:ascii="Times New Roman" w:eastAsia="Cambria" w:hAnsi="Times New Roman" w:cs="Times New Roman"/>
            <w:sz w:val="24"/>
            <w:szCs w:val="24"/>
            <w:shd w:val="clear" w:color="auto" w:fill="FFFFFF"/>
          </w:rPr>
          <w:t>https://doi.org/10.1186/s12906-017-1940-8.</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National </w:t>
      </w:r>
      <w:proofErr w:type="spellStart"/>
      <w:r>
        <w:rPr>
          <w:rFonts w:ascii="Times New Roman" w:eastAsia="Cambria" w:hAnsi="Times New Roman" w:cs="Times New Roman"/>
          <w:color w:val="212121"/>
          <w:sz w:val="24"/>
          <w:szCs w:val="24"/>
          <w:shd w:val="clear" w:color="auto" w:fill="FFFFFF"/>
        </w:rPr>
        <w:t>Institues</w:t>
      </w:r>
      <w:proofErr w:type="spellEnd"/>
      <w:r>
        <w:rPr>
          <w:rFonts w:ascii="Times New Roman" w:eastAsia="Cambria" w:hAnsi="Times New Roman" w:cs="Times New Roman"/>
          <w:color w:val="212121"/>
          <w:sz w:val="24"/>
          <w:szCs w:val="24"/>
          <w:shd w:val="clear" w:color="auto" w:fill="FFFFFF"/>
        </w:rPr>
        <w:t xml:space="preserve"> of Health. Office of Dietary Supplements. Dietary Supplement Health and Education Act of 1994. Public Low 103-417. 108 Stat 4325.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Shahwan</w:t>
      </w:r>
      <w:proofErr w:type="spellEnd"/>
      <w:r>
        <w:rPr>
          <w:rFonts w:ascii="Times New Roman" w:eastAsia="Cambria" w:hAnsi="Times New Roman" w:cs="Times New Roman"/>
          <w:color w:val="212121"/>
          <w:sz w:val="24"/>
          <w:szCs w:val="24"/>
          <w:shd w:val="clear" w:color="auto" w:fill="FFFFFF"/>
        </w:rPr>
        <w:t xml:space="preserve"> M., Al </w:t>
      </w:r>
      <w:proofErr w:type="spellStart"/>
      <w:r>
        <w:rPr>
          <w:rFonts w:ascii="Times New Roman" w:eastAsia="Cambria" w:hAnsi="Times New Roman" w:cs="Times New Roman"/>
          <w:color w:val="212121"/>
          <w:sz w:val="24"/>
          <w:szCs w:val="24"/>
          <w:shd w:val="clear" w:color="auto" w:fill="FFFFFF"/>
        </w:rPr>
        <w:t>Abdin</w:t>
      </w:r>
      <w:proofErr w:type="spellEnd"/>
      <w:r>
        <w:rPr>
          <w:rFonts w:ascii="Times New Roman" w:eastAsia="Cambria" w:hAnsi="Times New Roman" w:cs="Times New Roman"/>
          <w:color w:val="212121"/>
          <w:sz w:val="24"/>
          <w:szCs w:val="24"/>
          <w:shd w:val="clear" w:color="auto" w:fill="FFFFFF"/>
        </w:rPr>
        <w:t xml:space="preserve"> </w:t>
      </w:r>
      <w:proofErr w:type="gramStart"/>
      <w:r>
        <w:rPr>
          <w:rFonts w:ascii="Times New Roman" w:eastAsia="Cambria" w:hAnsi="Times New Roman" w:cs="Times New Roman"/>
          <w:color w:val="212121"/>
          <w:sz w:val="24"/>
          <w:szCs w:val="24"/>
          <w:shd w:val="clear" w:color="auto" w:fill="FFFFFF"/>
        </w:rPr>
        <w:t>S.M.Z. ,</w:t>
      </w:r>
      <w:proofErr w:type="gramEnd"/>
      <w:r>
        <w:rPr>
          <w:rFonts w:ascii="Times New Roman" w:eastAsia="Cambria" w:hAnsi="Times New Roman" w:cs="Times New Roman"/>
          <w:color w:val="212121"/>
          <w:sz w:val="24"/>
          <w:szCs w:val="24"/>
          <w:shd w:val="clear" w:color="auto" w:fill="FFFFFF"/>
        </w:rPr>
        <w:t xml:space="preserve"> Knowledge and practice of dietary supplement and micronutrients among medical students at Ajman university, J. </w:t>
      </w:r>
      <w:proofErr w:type="spellStart"/>
      <w:r>
        <w:rPr>
          <w:rFonts w:ascii="Times New Roman" w:eastAsia="Cambria" w:hAnsi="Times New Roman" w:cs="Times New Roman"/>
          <w:color w:val="212121"/>
          <w:sz w:val="24"/>
          <w:szCs w:val="24"/>
          <w:shd w:val="clear" w:color="auto" w:fill="FFFFFF"/>
        </w:rPr>
        <w:t>Pharmaceut</w:t>
      </w:r>
      <w:proofErr w:type="spellEnd"/>
      <w:r>
        <w:rPr>
          <w:rFonts w:ascii="Times New Roman" w:eastAsia="Cambria" w:hAnsi="Times New Roman" w:cs="Times New Roman"/>
          <w:color w:val="212121"/>
          <w:sz w:val="24"/>
          <w:szCs w:val="24"/>
          <w:shd w:val="clear" w:color="auto" w:fill="FFFFFF"/>
        </w:rPr>
        <w:t>. Sci. Res. 2018. 10 (1).</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CDC. CDC in Ghana. 2019. Retrieved from </w:t>
      </w:r>
      <w:hyperlink r:id="rId13" w:history="1">
        <w:r>
          <w:rPr>
            <w:rStyle w:val="Hyperlink"/>
            <w:rFonts w:ascii="Times New Roman" w:eastAsia="Cambria" w:hAnsi="Times New Roman" w:cs="Times New Roman"/>
            <w:sz w:val="24"/>
            <w:szCs w:val="24"/>
            <w:shd w:val="clear" w:color="auto" w:fill="FFFFFF"/>
          </w:rPr>
          <w:t>https://www.cdc.gov/globalhealth/countries/ghana/pdf/Ghana_Factsheet.pdf</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Ministry of Health, Ghana Health Service. National Nutritional Policy 2013-2017. 2017.</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Ghana Health Service. Ghana Demographic and Health Survey 2022 Report. 2022</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lastRenderedPageBreak/>
        <w:t xml:space="preserve">Fox S, Duggan M. Pew Research Center - Internet &amp; Technology. 2013. Information Triage </w:t>
      </w:r>
      <w:hyperlink r:id="rId14" w:history="1">
        <w:r>
          <w:rPr>
            <w:rStyle w:val="Hyperlink"/>
            <w:rFonts w:ascii="Times New Roman" w:eastAsia="Cambria" w:hAnsi="Times New Roman" w:cs="Times New Roman"/>
            <w:sz w:val="24"/>
            <w:szCs w:val="24"/>
            <w:shd w:val="clear" w:color="auto" w:fill="FFFFFF"/>
          </w:rPr>
          <w:t>https://www.pewresearch.org/internet/2013/01/15/information-triage/</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Mitsutake</w:t>
      </w:r>
      <w:proofErr w:type="spellEnd"/>
      <w:r>
        <w:rPr>
          <w:rFonts w:ascii="Times New Roman" w:eastAsia="Cambria" w:hAnsi="Times New Roman" w:cs="Times New Roman"/>
          <w:color w:val="212121"/>
          <w:sz w:val="24"/>
          <w:szCs w:val="24"/>
          <w:shd w:val="clear" w:color="auto" w:fill="FFFFFF"/>
        </w:rPr>
        <w:t xml:space="preserve"> S, Shibata A, Ishii K, Oka K. Associations of eHealth Literacy </w:t>
      </w:r>
      <w:proofErr w:type="gramStart"/>
      <w:r>
        <w:rPr>
          <w:rFonts w:ascii="Times New Roman" w:eastAsia="Cambria" w:hAnsi="Times New Roman" w:cs="Times New Roman"/>
          <w:color w:val="212121"/>
          <w:sz w:val="24"/>
          <w:szCs w:val="24"/>
          <w:shd w:val="clear" w:color="auto" w:fill="FFFFFF"/>
        </w:rPr>
        <w:t>With</w:t>
      </w:r>
      <w:proofErr w:type="gramEnd"/>
      <w:r>
        <w:rPr>
          <w:rFonts w:ascii="Times New Roman" w:eastAsia="Cambria" w:hAnsi="Times New Roman" w:cs="Times New Roman"/>
          <w:color w:val="212121"/>
          <w:sz w:val="24"/>
          <w:szCs w:val="24"/>
          <w:shd w:val="clear" w:color="auto" w:fill="FFFFFF"/>
        </w:rPr>
        <w:t xml:space="preserve"> Health Behavior Among Adult Internet Users. J Med Internet Res. 2016. 18(7</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192.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Tariq A, </w:t>
      </w:r>
      <w:proofErr w:type="spellStart"/>
      <w:r>
        <w:rPr>
          <w:rFonts w:ascii="Times New Roman" w:eastAsia="Cambria" w:hAnsi="Times New Roman" w:cs="Times New Roman"/>
          <w:color w:val="212121"/>
          <w:sz w:val="24"/>
          <w:szCs w:val="24"/>
          <w:shd w:val="clear" w:color="auto" w:fill="FFFFFF"/>
        </w:rPr>
        <w:t>Durrani</w:t>
      </w:r>
      <w:proofErr w:type="spellEnd"/>
      <w:r>
        <w:rPr>
          <w:rFonts w:ascii="Times New Roman" w:eastAsia="Cambria" w:hAnsi="Times New Roman" w:cs="Times New Roman"/>
          <w:color w:val="212121"/>
          <w:sz w:val="24"/>
          <w:szCs w:val="24"/>
          <w:shd w:val="clear" w:color="auto" w:fill="FFFFFF"/>
        </w:rPr>
        <w:t xml:space="preserve"> S. mHealth Innovation in Asia. Dordrecht (NL): Springer; 2017. One size does not fit all: The importance of contextually sensitive mHealth strategies for frontline female health workers; pp. 7–29.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olor w:val="212121"/>
          <w:sz w:val="24"/>
          <w:szCs w:val="24"/>
          <w:shd w:val="clear" w:color="auto" w:fill="FFFFFF"/>
        </w:rPr>
        <w:t>Soleimaninejad</w:t>
      </w:r>
      <w:proofErr w:type="spellEnd"/>
      <w:r>
        <w:rPr>
          <w:rFonts w:ascii="Times New Roman" w:eastAsia="Cambria" w:hAnsi="Times New Roman"/>
          <w:color w:val="212121"/>
          <w:sz w:val="24"/>
          <w:szCs w:val="24"/>
          <w:shd w:val="clear" w:color="auto" w:fill="FFFFFF"/>
        </w:rPr>
        <w:t xml:space="preserve">, A., </w:t>
      </w:r>
      <w:proofErr w:type="spellStart"/>
      <w:r>
        <w:rPr>
          <w:rFonts w:ascii="Times New Roman" w:eastAsia="Cambria" w:hAnsi="Times New Roman"/>
          <w:color w:val="212121"/>
          <w:sz w:val="24"/>
          <w:szCs w:val="24"/>
          <w:shd w:val="clear" w:color="auto" w:fill="FFFFFF"/>
        </w:rPr>
        <w:t>Valizadeh-Haghi</w:t>
      </w:r>
      <w:proofErr w:type="spellEnd"/>
      <w:r>
        <w:rPr>
          <w:rFonts w:ascii="Times New Roman" w:eastAsia="Cambria" w:hAnsi="Times New Roman"/>
          <w:color w:val="212121"/>
          <w:sz w:val="24"/>
          <w:szCs w:val="24"/>
          <w:shd w:val="clear" w:color="auto" w:fill="FFFFFF"/>
        </w:rPr>
        <w:t xml:space="preserve">, S., &amp; </w:t>
      </w:r>
      <w:proofErr w:type="spellStart"/>
      <w:r>
        <w:rPr>
          <w:rFonts w:ascii="Times New Roman" w:eastAsia="Cambria" w:hAnsi="Times New Roman"/>
          <w:color w:val="212121"/>
          <w:sz w:val="24"/>
          <w:szCs w:val="24"/>
          <w:shd w:val="clear" w:color="auto" w:fill="FFFFFF"/>
        </w:rPr>
        <w:t>Rahmatizadeh</w:t>
      </w:r>
      <w:proofErr w:type="spellEnd"/>
      <w:r>
        <w:rPr>
          <w:rFonts w:ascii="Times New Roman" w:eastAsia="Cambria" w:hAnsi="Times New Roman"/>
          <w:color w:val="212121"/>
          <w:sz w:val="24"/>
          <w:szCs w:val="24"/>
          <w:shd w:val="clear" w:color="auto" w:fill="FFFFFF"/>
        </w:rPr>
        <w:t xml:space="preserve">, S. Assessing the eHealth literacy skills of family caregivers of medically ill elderly. Online Journal of Public Health Informatics, 2019. 11(2).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Ma, S., Zhu, L., Zhang, Z., Tsai, C.-L., &amp; Carroll, R. J. A robust and efficient approach to causal inference based on sparse sufficient dimension reduction. The Annals of Statistics, 2019. 47(3).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Dashti</w:t>
      </w:r>
      <w:proofErr w:type="spellEnd"/>
      <w:r>
        <w:rPr>
          <w:rFonts w:ascii="Times New Roman" w:eastAsia="Cambria" w:hAnsi="Times New Roman" w:cs="Times New Roman"/>
          <w:color w:val="212121"/>
          <w:sz w:val="24"/>
          <w:szCs w:val="24"/>
          <w:shd w:val="clear" w:color="auto" w:fill="FFFFFF"/>
        </w:rPr>
        <w:t xml:space="preserve"> S, Peyman N, </w:t>
      </w:r>
      <w:proofErr w:type="spellStart"/>
      <w:r>
        <w:rPr>
          <w:rFonts w:ascii="Times New Roman" w:eastAsia="Cambria" w:hAnsi="Times New Roman" w:cs="Times New Roman"/>
          <w:color w:val="212121"/>
          <w:sz w:val="24"/>
          <w:szCs w:val="24"/>
          <w:shd w:val="clear" w:color="auto" w:fill="FFFFFF"/>
        </w:rPr>
        <w:t>Tajfard</w:t>
      </w:r>
      <w:proofErr w:type="spellEnd"/>
      <w:r>
        <w:rPr>
          <w:rFonts w:ascii="Times New Roman" w:eastAsia="Cambria" w:hAnsi="Times New Roman" w:cs="Times New Roman"/>
          <w:color w:val="212121"/>
          <w:sz w:val="24"/>
          <w:szCs w:val="24"/>
          <w:shd w:val="clear" w:color="auto" w:fill="FFFFFF"/>
        </w:rPr>
        <w:t xml:space="preserve"> M, </w:t>
      </w:r>
      <w:proofErr w:type="spellStart"/>
      <w:r>
        <w:rPr>
          <w:rFonts w:ascii="Times New Roman" w:eastAsia="Cambria" w:hAnsi="Times New Roman" w:cs="Times New Roman"/>
          <w:color w:val="212121"/>
          <w:sz w:val="24"/>
          <w:szCs w:val="24"/>
          <w:shd w:val="clear" w:color="auto" w:fill="FFFFFF"/>
        </w:rPr>
        <w:t>Esmaeeli</w:t>
      </w:r>
      <w:proofErr w:type="spellEnd"/>
      <w:r>
        <w:rPr>
          <w:rFonts w:ascii="Times New Roman" w:eastAsia="Cambria" w:hAnsi="Times New Roman" w:cs="Times New Roman"/>
          <w:color w:val="212121"/>
          <w:sz w:val="24"/>
          <w:szCs w:val="24"/>
          <w:shd w:val="clear" w:color="auto" w:fill="FFFFFF"/>
        </w:rPr>
        <w:t xml:space="preserve"> H. E-Health literacy of medical and health sciences university students in Mashhad, Iran in 2016: a pilot study. Electron Physician. 2017 Mar;9(3):3966–3973. </w:t>
      </w:r>
      <w:proofErr w:type="spellStart"/>
      <w:r>
        <w:rPr>
          <w:rFonts w:ascii="Times New Roman" w:eastAsia="Cambria" w:hAnsi="Times New Roman" w:cs="Times New Roman"/>
          <w:color w:val="212121"/>
          <w:sz w:val="24"/>
          <w:szCs w:val="24"/>
          <w:shd w:val="clear" w:color="auto" w:fill="FFFFFF"/>
        </w:rPr>
        <w:t>doi</w:t>
      </w:r>
      <w:proofErr w:type="spellEnd"/>
      <w:r>
        <w:rPr>
          <w:rFonts w:ascii="Times New Roman" w:eastAsia="Cambria" w:hAnsi="Times New Roman" w:cs="Times New Roman"/>
          <w:color w:val="212121"/>
          <w:sz w:val="24"/>
          <w:szCs w:val="24"/>
          <w:shd w:val="clear" w:color="auto" w:fill="FFFFFF"/>
        </w:rPr>
        <w:t xml:space="preserve">: 10.19082/3966. http://europepmc.org/abstract/MED/28461871.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Athanasopoulou</w:t>
      </w:r>
      <w:proofErr w:type="spellEnd"/>
      <w:r>
        <w:rPr>
          <w:rFonts w:ascii="Times New Roman" w:eastAsia="Cambria" w:hAnsi="Times New Roman" w:cs="Times New Roman"/>
          <w:color w:val="212121"/>
          <w:sz w:val="24"/>
          <w:szCs w:val="24"/>
          <w:shd w:val="clear" w:color="auto" w:fill="FFFFFF"/>
        </w:rPr>
        <w:t xml:space="preserve"> Christina, </w:t>
      </w:r>
      <w:proofErr w:type="spellStart"/>
      <w:r>
        <w:rPr>
          <w:rFonts w:ascii="Times New Roman" w:eastAsia="Cambria" w:hAnsi="Times New Roman" w:cs="Times New Roman"/>
          <w:color w:val="212121"/>
          <w:sz w:val="24"/>
          <w:szCs w:val="24"/>
          <w:shd w:val="clear" w:color="auto" w:fill="FFFFFF"/>
        </w:rPr>
        <w:t>Välimäki</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Maritta</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Koutra</w:t>
      </w:r>
      <w:proofErr w:type="spellEnd"/>
      <w:r>
        <w:rPr>
          <w:rFonts w:ascii="Times New Roman" w:eastAsia="Cambria" w:hAnsi="Times New Roman" w:cs="Times New Roman"/>
          <w:color w:val="212121"/>
          <w:sz w:val="24"/>
          <w:szCs w:val="24"/>
          <w:shd w:val="clear" w:color="auto" w:fill="FFFFFF"/>
        </w:rPr>
        <w:t xml:space="preserve"> Katerina, </w:t>
      </w:r>
      <w:proofErr w:type="spellStart"/>
      <w:r>
        <w:rPr>
          <w:rFonts w:ascii="Times New Roman" w:eastAsia="Cambria" w:hAnsi="Times New Roman" w:cs="Times New Roman"/>
          <w:color w:val="212121"/>
          <w:sz w:val="24"/>
          <w:szCs w:val="24"/>
          <w:shd w:val="clear" w:color="auto" w:fill="FFFFFF"/>
        </w:rPr>
        <w:t>Löttyniemi</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Eliisa</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Bertsias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Antonios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Basta</w:t>
      </w:r>
      <w:proofErr w:type="spellEnd"/>
      <w:r>
        <w:rPr>
          <w:rFonts w:ascii="Times New Roman" w:eastAsia="Cambria" w:hAnsi="Times New Roman" w:cs="Times New Roman"/>
          <w:color w:val="212121"/>
          <w:sz w:val="24"/>
          <w:szCs w:val="24"/>
          <w:shd w:val="clear" w:color="auto" w:fill="FFFFFF"/>
        </w:rPr>
        <w:t xml:space="preserve"> Maria, </w:t>
      </w:r>
      <w:proofErr w:type="spellStart"/>
      <w:r>
        <w:rPr>
          <w:rFonts w:ascii="Times New Roman" w:eastAsia="Cambria" w:hAnsi="Times New Roman" w:cs="Times New Roman"/>
          <w:color w:val="212121"/>
          <w:sz w:val="24"/>
          <w:szCs w:val="24"/>
          <w:shd w:val="clear" w:color="auto" w:fill="FFFFFF"/>
        </w:rPr>
        <w:t>Vgontzas</w:t>
      </w:r>
      <w:proofErr w:type="spellEnd"/>
      <w:r>
        <w:rPr>
          <w:rFonts w:ascii="Times New Roman" w:eastAsia="Cambria" w:hAnsi="Times New Roman" w:cs="Times New Roman"/>
          <w:color w:val="212121"/>
          <w:sz w:val="24"/>
          <w:szCs w:val="24"/>
          <w:shd w:val="clear" w:color="auto" w:fill="FFFFFF"/>
        </w:rPr>
        <w:t xml:space="preserve"> Alexandros N, </w:t>
      </w:r>
      <w:proofErr w:type="spellStart"/>
      <w:r>
        <w:rPr>
          <w:rFonts w:ascii="Times New Roman" w:eastAsia="Cambria" w:hAnsi="Times New Roman" w:cs="Times New Roman"/>
          <w:color w:val="212121"/>
          <w:sz w:val="24"/>
          <w:szCs w:val="24"/>
          <w:shd w:val="clear" w:color="auto" w:fill="FFFFFF"/>
        </w:rPr>
        <w:t>Lionis</w:t>
      </w:r>
      <w:proofErr w:type="spellEnd"/>
      <w:r>
        <w:rPr>
          <w:rFonts w:ascii="Times New Roman" w:eastAsia="Cambria" w:hAnsi="Times New Roman" w:cs="Times New Roman"/>
          <w:color w:val="212121"/>
          <w:sz w:val="24"/>
          <w:szCs w:val="24"/>
          <w:shd w:val="clear" w:color="auto" w:fill="FFFFFF"/>
        </w:rPr>
        <w:t xml:space="preserve"> Christos. Internet use, eHealth literacy and attitudes toward computer/internet among people with schizophrenia spectrum disorders: a cross-sectional study in two distant European regions. BMC Med Inform </w:t>
      </w:r>
      <w:proofErr w:type="spellStart"/>
      <w:r>
        <w:rPr>
          <w:rFonts w:ascii="Times New Roman" w:eastAsia="Cambria" w:hAnsi="Times New Roman" w:cs="Times New Roman"/>
          <w:color w:val="212121"/>
          <w:sz w:val="24"/>
          <w:szCs w:val="24"/>
          <w:shd w:val="clear" w:color="auto" w:fill="FFFFFF"/>
        </w:rPr>
        <w:t>Decis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Mak</w:t>
      </w:r>
      <w:proofErr w:type="spellEnd"/>
      <w:r>
        <w:rPr>
          <w:rFonts w:ascii="Times New Roman" w:eastAsia="Cambria" w:hAnsi="Times New Roman" w:cs="Times New Roman"/>
          <w:color w:val="212121"/>
          <w:sz w:val="24"/>
          <w:szCs w:val="24"/>
          <w:shd w:val="clear" w:color="auto" w:fill="FFFFFF"/>
        </w:rPr>
        <w:t xml:space="preserve">. 2017 Sep 20;17(1):136.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Griebel</w:t>
      </w:r>
      <w:proofErr w:type="spellEnd"/>
      <w:r>
        <w:rPr>
          <w:rFonts w:ascii="Times New Roman" w:eastAsia="Cambria" w:hAnsi="Times New Roman" w:cs="Times New Roman"/>
          <w:color w:val="212121"/>
          <w:sz w:val="24"/>
          <w:szCs w:val="24"/>
          <w:shd w:val="clear" w:color="auto" w:fill="FFFFFF"/>
        </w:rPr>
        <w:t xml:space="preserve"> Lena, </w:t>
      </w:r>
      <w:proofErr w:type="spellStart"/>
      <w:r>
        <w:rPr>
          <w:rFonts w:ascii="Times New Roman" w:eastAsia="Cambria" w:hAnsi="Times New Roman" w:cs="Times New Roman"/>
          <w:color w:val="212121"/>
          <w:sz w:val="24"/>
          <w:szCs w:val="24"/>
          <w:shd w:val="clear" w:color="auto" w:fill="FFFFFF"/>
        </w:rPr>
        <w:t>Enwald</w:t>
      </w:r>
      <w:proofErr w:type="spellEnd"/>
      <w:r>
        <w:rPr>
          <w:rFonts w:ascii="Times New Roman" w:eastAsia="Cambria" w:hAnsi="Times New Roman" w:cs="Times New Roman"/>
          <w:color w:val="212121"/>
          <w:sz w:val="24"/>
          <w:szCs w:val="24"/>
          <w:shd w:val="clear" w:color="auto" w:fill="FFFFFF"/>
        </w:rPr>
        <w:t xml:space="preserve"> Heidi, </w:t>
      </w:r>
      <w:proofErr w:type="spellStart"/>
      <w:r>
        <w:rPr>
          <w:rFonts w:ascii="Times New Roman" w:eastAsia="Cambria" w:hAnsi="Times New Roman" w:cs="Times New Roman"/>
          <w:color w:val="212121"/>
          <w:sz w:val="24"/>
          <w:szCs w:val="24"/>
          <w:shd w:val="clear" w:color="auto" w:fill="FFFFFF"/>
        </w:rPr>
        <w:t>Gilstad</w:t>
      </w:r>
      <w:proofErr w:type="spellEnd"/>
      <w:r>
        <w:rPr>
          <w:rFonts w:ascii="Times New Roman" w:eastAsia="Cambria" w:hAnsi="Times New Roman" w:cs="Times New Roman"/>
          <w:color w:val="212121"/>
          <w:sz w:val="24"/>
          <w:szCs w:val="24"/>
          <w:shd w:val="clear" w:color="auto" w:fill="FFFFFF"/>
        </w:rPr>
        <w:t xml:space="preserve"> Heidi, Pohl Anna-Lena, Moreland Julia, </w:t>
      </w:r>
      <w:proofErr w:type="spellStart"/>
      <w:r>
        <w:rPr>
          <w:rFonts w:ascii="Times New Roman" w:eastAsia="Cambria" w:hAnsi="Times New Roman" w:cs="Times New Roman"/>
          <w:color w:val="212121"/>
          <w:sz w:val="24"/>
          <w:szCs w:val="24"/>
          <w:shd w:val="clear" w:color="auto" w:fill="FFFFFF"/>
        </w:rPr>
        <w:t>Sedlmayr</w:t>
      </w:r>
      <w:proofErr w:type="spellEnd"/>
      <w:r>
        <w:rPr>
          <w:rFonts w:ascii="Times New Roman" w:eastAsia="Cambria" w:hAnsi="Times New Roman" w:cs="Times New Roman"/>
          <w:color w:val="212121"/>
          <w:sz w:val="24"/>
          <w:szCs w:val="24"/>
          <w:shd w:val="clear" w:color="auto" w:fill="FFFFFF"/>
        </w:rPr>
        <w:t xml:space="preserve"> Martin. eHealth literacy research-Quo </w:t>
      </w:r>
      <w:proofErr w:type="spellStart"/>
      <w:r>
        <w:rPr>
          <w:rFonts w:ascii="Times New Roman" w:eastAsia="Cambria" w:hAnsi="Times New Roman" w:cs="Times New Roman"/>
          <w:color w:val="212121"/>
          <w:sz w:val="24"/>
          <w:szCs w:val="24"/>
          <w:shd w:val="clear" w:color="auto" w:fill="FFFFFF"/>
        </w:rPr>
        <w:t>vadis</w:t>
      </w:r>
      <w:proofErr w:type="spellEnd"/>
      <w:r>
        <w:rPr>
          <w:rFonts w:ascii="Times New Roman" w:eastAsia="Cambria" w:hAnsi="Times New Roman" w:cs="Times New Roman"/>
          <w:color w:val="212121"/>
          <w:sz w:val="24"/>
          <w:szCs w:val="24"/>
          <w:shd w:val="clear" w:color="auto" w:fill="FFFFFF"/>
        </w:rPr>
        <w:t xml:space="preserve">? Inform Health Soc Care. 2018 Dec;43(4):427–442.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Poushter</w:t>
      </w:r>
      <w:proofErr w:type="spellEnd"/>
      <w:r>
        <w:rPr>
          <w:rFonts w:ascii="Times New Roman" w:eastAsia="Cambria" w:hAnsi="Times New Roman" w:cs="Times New Roman"/>
          <w:color w:val="212121"/>
          <w:sz w:val="24"/>
          <w:szCs w:val="24"/>
          <w:shd w:val="clear" w:color="auto" w:fill="FFFFFF"/>
        </w:rPr>
        <w:t xml:space="preserve"> J. Smartphone ownership and internet usage continues to climb in emerging economies. Pew Research Center. </w:t>
      </w:r>
      <w:proofErr w:type="gramStart"/>
      <w:r>
        <w:rPr>
          <w:rFonts w:ascii="Times New Roman" w:eastAsia="Cambria" w:hAnsi="Times New Roman" w:cs="Times New Roman"/>
          <w:color w:val="212121"/>
          <w:sz w:val="24"/>
          <w:szCs w:val="24"/>
          <w:shd w:val="clear" w:color="auto" w:fill="FFFFFF"/>
        </w:rPr>
        <w:t>2016;22:1</w:t>
      </w:r>
      <w:proofErr w:type="gramEnd"/>
      <w:r>
        <w:rPr>
          <w:rFonts w:ascii="Times New Roman" w:eastAsia="Cambria" w:hAnsi="Times New Roman" w:cs="Times New Roman"/>
          <w:color w:val="212121"/>
          <w:sz w:val="24"/>
          <w:szCs w:val="24"/>
          <w:shd w:val="clear" w:color="auto" w:fill="FFFFFF"/>
        </w:rPr>
        <w:t xml:space="preserve">–44. </w:t>
      </w:r>
      <w:r>
        <w:rPr>
          <w:rFonts w:ascii="Times New Roman" w:eastAsia="Cambria" w:hAnsi="Times New Roman" w:cs="Times New Roman"/>
          <w:color w:val="212121"/>
          <w:sz w:val="24"/>
          <w:szCs w:val="24"/>
          <w:shd w:val="clear" w:color="auto" w:fill="FFFFFF"/>
        </w:rPr>
        <w:lastRenderedPageBreak/>
        <w:t xml:space="preserve">http://www.pewglobal.org/2016/02/22/smartphone-ownership-and-internet-usage-continues-to-climb-in-emerging-economies/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Sabzwari</w:t>
      </w:r>
      <w:proofErr w:type="spellEnd"/>
      <w:r>
        <w:rPr>
          <w:rFonts w:ascii="Times New Roman" w:eastAsia="Cambria" w:hAnsi="Times New Roman" w:cs="Times New Roman"/>
          <w:color w:val="212121"/>
          <w:sz w:val="24"/>
          <w:szCs w:val="24"/>
          <w:shd w:val="clear" w:color="auto" w:fill="FFFFFF"/>
        </w:rPr>
        <w:t xml:space="preserve"> SR. Health literacy in Pakistan: Exploring new ways of addressing an old challenge. J Pak Med Assoc. 2017 Dec;67(12):1901–1904. http://jpma.org.pk/full_article-text.php?article_id=8488.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Moazzam M, </w:t>
      </w:r>
      <w:proofErr w:type="spellStart"/>
      <w:r>
        <w:rPr>
          <w:rFonts w:ascii="Times New Roman" w:eastAsia="Cambria" w:hAnsi="Times New Roman" w:cs="Times New Roman"/>
          <w:color w:val="212121"/>
          <w:sz w:val="24"/>
          <w:szCs w:val="24"/>
          <w:shd w:val="clear" w:color="auto" w:fill="FFFFFF"/>
        </w:rPr>
        <w:t>Anwer</w:t>
      </w:r>
      <w:proofErr w:type="spellEnd"/>
      <w:r>
        <w:rPr>
          <w:rFonts w:ascii="Times New Roman" w:eastAsia="Cambria" w:hAnsi="Times New Roman" w:cs="Times New Roman"/>
          <w:color w:val="212121"/>
          <w:sz w:val="24"/>
          <w:szCs w:val="24"/>
          <w:shd w:val="clear" w:color="auto" w:fill="FFFFFF"/>
        </w:rPr>
        <w:t xml:space="preserve"> F, </w:t>
      </w:r>
      <w:proofErr w:type="spellStart"/>
      <w:r>
        <w:rPr>
          <w:rFonts w:ascii="Times New Roman" w:eastAsia="Cambria" w:hAnsi="Times New Roman" w:cs="Times New Roman"/>
          <w:color w:val="212121"/>
          <w:sz w:val="24"/>
          <w:szCs w:val="24"/>
          <w:shd w:val="clear" w:color="auto" w:fill="FFFFFF"/>
        </w:rPr>
        <w:t>Atique</w:t>
      </w:r>
      <w:proofErr w:type="spellEnd"/>
      <w:r>
        <w:rPr>
          <w:rFonts w:ascii="Times New Roman" w:eastAsia="Cambria" w:hAnsi="Times New Roman" w:cs="Times New Roman"/>
          <w:color w:val="212121"/>
          <w:sz w:val="24"/>
          <w:szCs w:val="24"/>
          <w:shd w:val="clear" w:color="auto" w:fill="FFFFFF"/>
        </w:rPr>
        <w:t xml:space="preserve"> S, </w:t>
      </w:r>
      <w:proofErr w:type="spellStart"/>
      <w:r>
        <w:rPr>
          <w:rFonts w:ascii="Times New Roman" w:eastAsia="Cambria" w:hAnsi="Times New Roman" w:cs="Times New Roman"/>
          <w:color w:val="212121"/>
          <w:sz w:val="24"/>
          <w:szCs w:val="24"/>
          <w:shd w:val="clear" w:color="auto" w:fill="FFFFFF"/>
        </w:rPr>
        <w:t>Kanwal</w:t>
      </w:r>
      <w:proofErr w:type="spellEnd"/>
      <w:r>
        <w:rPr>
          <w:rFonts w:ascii="Times New Roman" w:eastAsia="Cambria" w:hAnsi="Times New Roman" w:cs="Times New Roman"/>
          <w:color w:val="212121"/>
          <w:sz w:val="24"/>
          <w:szCs w:val="24"/>
          <w:shd w:val="clear" w:color="auto" w:fill="FFFFFF"/>
        </w:rPr>
        <w:t xml:space="preserve"> S, Afzal S, Bashir A, Sarwar S, </w:t>
      </w:r>
      <w:proofErr w:type="spellStart"/>
      <w:r>
        <w:rPr>
          <w:rFonts w:ascii="Times New Roman" w:eastAsia="Cambria" w:hAnsi="Times New Roman" w:cs="Times New Roman"/>
          <w:color w:val="212121"/>
          <w:sz w:val="24"/>
          <w:szCs w:val="24"/>
          <w:shd w:val="clear" w:color="auto" w:fill="FFFFFF"/>
        </w:rPr>
        <w:t>Alshammari</w:t>
      </w:r>
      <w:proofErr w:type="spellEnd"/>
      <w:r>
        <w:rPr>
          <w:rFonts w:ascii="Times New Roman" w:eastAsia="Cambria" w:hAnsi="Times New Roman" w:cs="Times New Roman"/>
          <w:color w:val="212121"/>
          <w:sz w:val="24"/>
          <w:szCs w:val="24"/>
          <w:shd w:val="clear" w:color="auto" w:fill="FFFFFF"/>
        </w:rPr>
        <w:t xml:space="preserve"> M, Tanveer R, Gilani SA. Perceived Health Literacy and Health Information Seeking Behavior among University Students in Pakistan. AMDHS. 2018 Dec 30;1(1):05–07.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Tariq A, Khan SR, Basharat A. Internet Use, eHealth Literacy, and Dietary Supplement Use Among Young Adults in Pakistan: Cross-Sectional Study. J Med Internet Res. 2020 Jun 10;22(6</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17014. </w:t>
      </w:r>
    </w:p>
    <w:p w:rsidR="004F4ED3" w:rsidRDefault="004F4ED3">
      <w:pPr>
        <w:shd w:val="clear" w:color="auto" w:fill="FFFFFF"/>
        <w:spacing w:before="200" w:after="200" w:line="360" w:lineRule="auto"/>
        <w:jc w:val="both"/>
        <w:rPr>
          <w:rFonts w:ascii="Times New Roman" w:eastAsia="Cambria" w:hAnsi="Times New Roman" w:cs="Times New Roman"/>
          <w:color w:val="212121"/>
          <w:sz w:val="24"/>
          <w:szCs w:val="24"/>
          <w:shd w:val="clear" w:color="auto" w:fill="FFFFFF"/>
        </w:rPr>
      </w:pPr>
    </w:p>
    <w:p w:rsidR="004F4ED3" w:rsidRDefault="004F4ED3">
      <w:pPr>
        <w:spacing w:line="360" w:lineRule="auto"/>
        <w:jc w:val="both"/>
        <w:rPr>
          <w:rFonts w:ascii="Times New Roman" w:hAnsi="Times New Roman" w:cs="Times New Roman"/>
          <w:sz w:val="24"/>
          <w:szCs w:val="24"/>
        </w:rPr>
      </w:pPr>
    </w:p>
    <w:sectPr w:rsidR="004F4ED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4C6" w:rsidRDefault="00CC24C6">
      <w:r>
        <w:separator/>
      </w:r>
    </w:p>
  </w:endnote>
  <w:endnote w:type="continuationSeparator" w:id="0">
    <w:p w:rsidR="00CC24C6" w:rsidRDefault="00CC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4F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F071CC">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4ED3" w:rsidRDefault="00F071C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4F4ED3" w:rsidRDefault="00F071C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4F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4C6" w:rsidRDefault="00CC24C6">
      <w:r>
        <w:separator/>
      </w:r>
    </w:p>
  </w:footnote>
  <w:footnote w:type="continuationSeparator" w:id="0">
    <w:p w:rsidR="00CC24C6" w:rsidRDefault="00CC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CC24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19"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CC24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20" o:spid="_x0000_s2051" type="#_x0000_t136" style="position:absolute;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CC24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18" o:spid="_x0000_s2049"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730EA"/>
    <w:multiLevelType w:val="singleLevel"/>
    <w:tmpl w:val="AF8730E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7F9CF0C"/>
    <w:multiLevelType w:val="singleLevel"/>
    <w:tmpl w:val="37F9CF0C"/>
    <w:lvl w:ilvl="0">
      <w:start w:val="1"/>
      <w:numFmt w:val="decimal"/>
      <w:lvlText w:val="%1."/>
      <w:lvlJc w:val="left"/>
      <w:pPr>
        <w:tabs>
          <w:tab w:val="left" w:pos="312"/>
        </w:tabs>
      </w:pPr>
    </w:lvl>
  </w:abstractNum>
  <w:abstractNum w:abstractNumId="2" w15:restartNumberingAfterBreak="0">
    <w:nsid w:val="75ECE039"/>
    <w:multiLevelType w:val="singleLevel"/>
    <w:tmpl w:val="75ECE039"/>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15664E"/>
    <w:rsid w:val="000034E0"/>
    <w:rsid w:val="000534FE"/>
    <w:rsid w:val="00112028"/>
    <w:rsid w:val="0018702D"/>
    <w:rsid w:val="001C1294"/>
    <w:rsid w:val="002A56D0"/>
    <w:rsid w:val="002D669B"/>
    <w:rsid w:val="003500E1"/>
    <w:rsid w:val="0048279F"/>
    <w:rsid w:val="004F4ED3"/>
    <w:rsid w:val="005C5919"/>
    <w:rsid w:val="00602060"/>
    <w:rsid w:val="00762C1F"/>
    <w:rsid w:val="00792A7C"/>
    <w:rsid w:val="007B7C19"/>
    <w:rsid w:val="008E3BDD"/>
    <w:rsid w:val="00944E6B"/>
    <w:rsid w:val="00A408BC"/>
    <w:rsid w:val="00A960AF"/>
    <w:rsid w:val="00AA6396"/>
    <w:rsid w:val="00AA76DE"/>
    <w:rsid w:val="00AF75F9"/>
    <w:rsid w:val="00CC24C6"/>
    <w:rsid w:val="00D7369D"/>
    <w:rsid w:val="00F071CC"/>
    <w:rsid w:val="00FD5020"/>
    <w:rsid w:val="03CF5858"/>
    <w:rsid w:val="07BB37EA"/>
    <w:rsid w:val="0C1C796E"/>
    <w:rsid w:val="0EA36F73"/>
    <w:rsid w:val="11BE0F59"/>
    <w:rsid w:val="11F81747"/>
    <w:rsid w:val="13BD0461"/>
    <w:rsid w:val="13F40F42"/>
    <w:rsid w:val="16A85139"/>
    <w:rsid w:val="1C6A7020"/>
    <w:rsid w:val="1CC53D48"/>
    <w:rsid w:val="213E1ADC"/>
    <w:rsid w:val="236E6E5D"/>
    <w:rsid w:val="249E248A"/>
    <w:rsid w:val="275B12AA"/>
    <w:rsid w:val="2B236555"/>
    <w:rsid w:val="2C0853A7"/>
    <w:rsid w:val="2C0F0959"/>
    <w:rsid w:val="2C906B0E"/>
    <w:rsid w:val="2D3B7F60"/>
    <w:rsid w:val="2E020D89"/>
    <w:rsid w:val="329D0CE5"/>
    <w:rsid w:val="35E52705"/>
    <w:rsid w:val="36F75539"/>
    <w:rsid w:val="3B977B51"/>
    <w:rsid w:val="3D6F7E19"/>
    <w:rsid w:val="3F7457B7"/>
    <w:rsid w:val="40697EC2"/>
    <w:rsid w:val="4D3B296C"/>
    <w:rsid w:val="517605DA"/>
    <w:rsid w:val="55446493"/>
    <w:rsid w:val="5A5A29C9"/>
    <w:rsid w:val="65D07668"/>
    <w:rsid w:val="66D16F81"/>
    <w:rsid w:val="67026690"/>
    <w:rsid w:val="67223341"/>
    <w:rsid w:val="700069FE"/>
    <w:rsid w:val="7415664E"/>
    <w:rsid w:val="74191818"/>
    <w:rsid w:val="747B5B27"/>
    <w:rsid w:val="75752DF1"/>
    <w:rsid w:val="75784746"/>
    <w:rsid w:val="7A3D151B"/>
    <w:rsid w:val="7B4B4C93"/>
    <w:rsid w:val="7D75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3F585A"/>
  <w15:docId w15:val="{448DF753-3D4B-450A-9BE9-83D33F9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dc.gov/globalhealth/countries/ghana/pdf/Ghana_Factsheet.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2906-017-194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005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5688/ajpe8159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pewresearch.org/internet/2013/01/15/information-triage/"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knowledge on the utilization of dietary supplement</c:v>
                </c:pt>
              </c:strCache>
            </c:strRef>
          </c:tx>
          <c:spPr>
            <a:scene3d>
              <a:camera prst="orthographicFront"/>
              <a:lightRig rig="threePt" dir="t"/>
            </a:scene3d>
            <a:sp3d contourW="9525"/>
          </c:spPr>
          <c:dPt>
            <c:idx val="0"/>
            <c:bubble3D val="0"/>
            <c:spPr>
              <a:solidFill>
                <a:schemeClr val="accent1"/>
              </a:solidFill>
              <a:ln>
                <a:solidFill>
                  <a:schemeClr val="bg1"/>
                </a:solidFill>
              </a:ln>
              <a:effectLst/>
            </c:spPr>
            <c:extLst>
              <c:ext xmlns:c16="http://schemas.microsoft.com/office/drawing/2014/chart" uri="{C3380CC4-5D6E-409C-BE32-E72D297353CC}">
                <c16:uniqueId val="{00000001-B16A-4615-91C2-51707B14C0CA}"/>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B16A-4615-91C2-51707B14C0CA}"/>
              </c:ext>
            </c:extLst>
          </c:dPt>
          <c:dLbls>
            <c:dLbl>
              <c:idx val="0"/>
              <c:layout>
                <c:manualLayout>
                  <c:x val="0.15043345232024499"/>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1"/>
                        </a:solidFill>
                        <a:latin typeface="+mn-lt"/>
                        <a:ea typeface="+mn-ea"/>
                        <a:cs typeface="+mn-cs"/>
                      </a:defRPr>
                    </a:pPr>
                    <a:r>
                      <a:rPr lang="en-US"/>
                      <a:t>Yes - 100%</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9218086010539"/>
                      <c:h val="0.16444174757281599"/>
                    </c:manualLayout>
                  </c15:layout>
                </c:ext>
                <c:ext xmlns:c16="http://schemas.microsoft.com/office/drawing/2014/chart" uri="{C3380CC4-5D6E-409C-BE32-E72D297353CC}">
                  <c16:uniqueId val="{00000001-B16A-4615-91C2-51707B14C0CA}"/>
                </c:ext>
              </c:extLst>
            </c:dLbl>
            <c:dLbl>
              <c:idx val="1"/>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2"/>
                        </a:solidFill>
                        <a:latin typeface="+mn-lt"/>
                        <a:ea typeface="+mn-ea"/>
                        <a:cs typeface="+mn-cs"/>
                      </a:defRPr>
                    </a:pPr>
                    <a:r>
                      <a:rPr lang="en-US"/>
                      <a:t>No - 0%</a:t>
                    </a:r>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16A-4615-91C2-51707B14C0CA}"/>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4-B16A-4615-91C2-51707B14C0CA}"/>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85952e3b-98f8-4d11-a1c1-8c5887732e6c}"/>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Source of knowledge on the utilization of dietary supplement</c:v>
                </c:pt>
              </c:strCache>
            </c:strRef>
          </c:tx>
          <c:spPr>
            <a:scene3d>
              <a:camera prst="orthographicFront"/>
              <a:lightRig rig="threePt" dir="t"/>
            </a:scene3d>
            <a:sp3d contourW="9525"/>
          </c:spPr>
          <c:dPt>
            <c:idx val="0"/>
            <c:bubble3D val="0"/>
            <c:spPr>
              <a:solidFill>
                <a:schemeClr val="accent1"/>
              </a:solidFill>
              <a:ln>
                <a:solidFill>
                  <a:schemeClr val="bg1"/>
                </a:solidFill>
              </a:ln>
              <a:effectLst/>
            </c:spPr>
            <c:extLst>
              <c:ext xmlns:c16="http://schemas.microsoft.com/office/drawing/2014/chart" uri="{C3380CC4-5D6E-409C-BE32-E72D297353CC}">
                <c16:uniqueId val="{00000001-FCFC-4A5F-A47F-15DC41FC11C4}"/>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FCFC-4A5F-A47F-15DC41FC11C4}"/>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FCFC-4A5F-A47F-15DC41FC11C4}"/>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FCFC-4A5F-A47F-15DC41FC11C4}"/>
              </c:ext>
            </c:extLst>
          </c:dPt>
          <c:dLbls>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CFC-4A5F-A47F-15DC41FC11C4}"/>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CFC-4A5F-A47F-15DC41FC11C4}"/>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CFC-4A5F-A47F-15DC41FC11C4}"/>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Sheet1!$A$2:$A$5</c:f>
              <c:strCache>
                <c:ptCount val="4"/>
                <c:pt idx="0">
                  <c:v>Family and Friends</c:v>
                </c:pt>
                <c:pt idx="1">
                  <c:v>Health Professional</c:v>
                </c:pt>
                <c:pt idx="2">
                  <c:v>Internet</c:v>
                </c:pt>
                <c:pt idx="3">
                  <c:v>Media</c:v>
                </c:pt>
              </c:strCache>
            </c:strRef>
          </c:cat>
          <c:val>
            <c:numRef>
              <c:f>Sheet1!$B$2:$B$5</c:f>
              <c:numCache>
                <c:formatCode>General</c:formatCode>
                <c:ptCount val="4"/>
                <c:pt idx="0">
                  <c:v>22.2</c:v>
                </c:pt>
                <c:pt idx="1">
                  <c:v>32.1</c:v>
                </c:pt>
                <c:pt idx="2">
                  <c:v>37.5</c:v>
                </c:pt>
                <c:pt idx="3">
                  <c:v>8.1999999999999993</c:v>
                </c:pt>
              </c:numCache>
            </c:numRef>
          </c:val>
          <c:extLst>
            <c:ext xmlns:c16="http://schemas.microsoft.com/office/drawing/2014/chart" uri="{C3380CC4-5D6E-409C-BE32-E72D297353CC}">
              <c16:uniqueId val="{00000008-FCFC-4A5F-A47F-15DC41FC11C4}"/>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f7e6d4cd-7bc7-48e7-8005-c6c29abf26b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4038</Words>
  <Characters>23018</Characters>
  <Application>Microsoft Office Word</Application>
  <DocSecurity>0</DocSecurity>
  <Lines>191</Lines>
  <Paragraphs>54</Paragraphs>
  <ScaleCrop>false</ScaleCrop>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dc:creator>
  <cp:lastModifiedBy>SDI 1183</cp:lastModifiedBy>
  <cp:revision>24</cp:revision>
  <dcterms:created xsi:type="dcterms:W3CDTF">2024-08-19T11:01:00Z</dcterms:created>
  <dcterms:modified xsi:type="dcterms:W3CDTF">2025-10-13T04:34:00Z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FF24E18A96E64C6288ED2A0550340026_11</vt:lpwstr>
  </property>
</Properties>
</file>