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47A" w:rsidRDefault="000D774D">
      <w:pPr>
        <w:widowControl w:val="0"/>
        <w:pBdr>
          <w:top w:val="nil"/>
          <w:left w:val="nil"/>
          <w:bottom w:val="nil"/>
          <w:right w:val="nil"/>
          <w:between w:val="nil"/>
        </w:pBdr>
        <w:spacing w:line="276" w:lineRule="auto"/>
      </w:pPr>
      <w:r>
        <w:pict w14:anchorId="67C53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8752;visibility:hidden">
            <o:lock v:ext="edit" selection="t"/>
          </v:shape>
        </w:pict>
      </w:r>
      <w:r>
        <w:pict w14:anchorId="14ABFA2A">
          <v:shape id="_x0000_s1030" type="#_x0000_t136" style="position:absolute;margin-left:0;margin-top:0;width:50pt;height:50pt;z-index:251659776;visibility:hidden">
            <o:lock v:ext="edit" selection="t"/>
          </v:shape>
        </w:pict>
      </w:r>
      <w:r>
        <w:pict w14:anchorId="7F619FAB">
          <v:shape id="_x0000_s1029" type="#_x0000_t136" style="position:absolute;margin-left:0;margin-top:0;width:50pt;height:50pt;z-index:251660800;visibility:hidden">
            <o:lock v:ext="edit" selection="t"/>
          </v:shape>
        </w:pict>
      </w:r>
      <w:r>
        <w:pict w14:anchorId="683857EF">
          <v:shape id="_x0000_s1028" type="#_x0000_t136" style="position:absolute;margin-left:0;margin-top:0;width:50pt;height:50pt;z-index:251661824;visibility:hidden">
            <o:lock v:ext="edit" selection="t"/>
          </v:shape>
        </w:pict>
      </w:r>
      <w:r>
        <w:pict w14:anchorId="0FFF3D74">
          <v:shape id="_x0000_s1027" type="#_x0000_t136" style="position:absolute;margin-left:0;margin-top:0;width:50pt;height:50pt;z-index:251662848;visibility:hidden">
            <o:lock v:ext="edit" selection="t"/>
          </v:shape>
        </w:pict>
      </w:r>
      <w:r>
        <w:pict w14:anchorId="6CBFFAAA">
          <v:shape id="_x0000_s1026" type="#_x0000_t136" style="position:absolute;margin-left:0;margin-top:0;width:50pt;height:50pt;z-index:251663872;visibility:hidden">
            <o:lock v:ext="edit" selection="t"/>
          </v:shape>
        </w:pict>
      </w:r>
    </w:p>
    <w:p w:rsidR="0094047A" w:rsidRDefault="0094047A">
      <w:pPr>
        <w:widowControl w:val="0"/>
        <w:pBdr>
          <w:top w:val="nil"/>
          <w:left w:val="nil"/>
          <w:bottom w:val="nil"/>
          <w:right w:val="nil"/>
          <w:between w:val="nil"/>
        </w:pBdr>
        <w:spacing w:line="276" w:lineRule="auto"/>
      </w:pPr>
    </w:p>
    <w:p w:rsidR="0094047A" w:rsidRDefault="0094047A">
      <w:pPr>
        <w:pStyle w:val="Title"/>
        <w:spacing w:after="0"/>
        <w:jc w:val="both"/>
        <w:rPr>
          <w:rFonts w:ascii="Arial" w:eastAsia="Arial" w:hAnsi="Arial" w:cs="Arial"/>
        </w:rPr>
      </w:pPr>
    </w:p>
    <w:p w:rsidR="0094047A" w:rsidRDefault="00C13554">
      <w:pPr>
        <w:pBdr>
          <w:top w:val="nil"/>
          <w:left w:val="nil"/>
          <w:bottom w:val="nil"/>
          <w:right w:val="nil"/>
          <w:between w:val="nil"/>
        </w:pBdr>
        <w:jc w:val="right"/>
        <w:rPr>
          <w:rFonts w:ascii="Arial" w:eastAsia="Arial" w:hAnsi="Arial" w:cs="Arial"/>
          <w:b/>
          <w:color w:val="000000"/>
          <w:sz w:val="36"/>
          <w:szCs w:val="36"/>
        </w:rPr>
      </w:pPr>
      <w:r>
        <w:rPr>
          <w:rFonts w:ascii="Arial" w:eastAsia="Arial" w:hAnsi="Arial" w:cs="Arial"/>
          <w:b/>
          <w:sz w:val="36"/>
          <w:szCs w:val="36"/>
        </w:rPr>
        <w:t>An Econometric Analysis of Tax Revenue and Economic Growth in the Philippines</w:t>
      </w:r>
      <w:r>
        <w:rPr>
          <w:rFonts w:ascii="Arial" w:eastAsia="Arial" w:hAnsi="Arial" w:cs="Arial"/>
          <w:b/>
          <w:color w:val="000000"/>
          <w:sz w:val="36"/>
          <w:szCs w:val="36"/>
        </w:rPr>
        <w:t xml:space="preserve"> </w:t>
      </w:r>
    </w:p>
    <w:p w:rsidR="0094047A" w:rsidRDefault="00C13554">
      <w:pPr>
        <w:pBdr>
          <w:top w:val="nil"/>
          <w:left w:val="nil"/>
          <w:bottom w:val="nil"/>
          <w:right w:val="nil"/>
          <w:between w:val="nil"/>
        </w:pBdr>
        <w:jc w:val="both"/>
        <w:rPr>
          <w:rFonts w:ascii="Arial" w:eastAsia="Arial" w:hAnsi="Arial" w:cs="Arial"/>
          <w:color w:val="000000"/>
          <w:sz w:val="16"/>
          <w:szCs w:val="16"/>
        </w:rPr>
        <w:sectPr w:rsidR="0094047A">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pgNumType w:start="1"/>
          <w:cols w:space="720"/>
        </w:sectPr>
      </w:pPr>
      <w:r>
        <w:rPr>
          <w:rFonts w:ascii="Arial" w:eastAsia="Arial" w:hAnsi="Arial" w:cs="Arial"/>
          <w:noProof/>
          <w:color w:val="000000"/>
          <w:sz w:val="16"/>
          <w:szCs w:val="16"/>
        </w:rPr>
        <mc:AlternateContent>
          <mc:Choice Requires="wps">
            <w:drawing>
              <wp:inline distT="0" distB="0" distL="114300" distR="114300">
                <wp:extent cx="0" cy="19050"/>
                <wp:effectExtent l="0" t="0" r="0" b="0"/>
                <wp:docPr id="13" name="Freeform: Shape 13"/>
                <wp:cNvGraphicFramePr/>
                <a:graphic xmlns:a="http://schemas.openxmlformats.org/drawingml/2006/main">
                  <a:graphicData uri="http://schemas.microsoft.com/office/word/2010/wordprocessingShape">
                    <wps:wsp>
                      <wps:cNvSpPr/>
                      <wps:spPr>
                        <a:xfrm>
                          <a:off x="2694240" y="3780000"/>
                          <a:ext cx="5303520" cy="0"/>
                        </a:xfrm>
                        <a:custGeom>
                          <a:avLst/>
                          <a:gdLst/>
                          <a:ahLst/>
                          <a:cxnLst/>
                          <a:rect l="l" t="t" r="r" b="b"/>
                          <a:pathLst>
                            <a:path w="5303520" h="1" extrusionOk="0">
                              <a:moveTo>
                                <a:pt x="0" y="0"/>
                              </a:moveTo>
                              <a:lnTo>
                                <a:pt x="530352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inline distB="0" distT="0" distL="114300" distR="114300">
                <wp:extent cx="0" cy="19050"/>
                <wp:effectExtent b="0" l="0" r="0" t="0"/>
                <wp:docPr id="13"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0" cy="19050"/>
                        </a:xfrm>
                        <a:prstGeom prst="rect"/>
                        <a:ln/>
                      </pic:spPr>
                    </pic:pic>
                  </a:graphicData>
                </a:graphic>
              </wp:inline>
            </w:drawing>
          </mc:Fallback>
        </mc:AlternateContent>
      </w:r>
      <w:r>
        <w:rPr>
          <w:rFonts w:ascii="Arial" w:eastAsia="Arial" w:hAnsi="Arial" w:cs="Arial"/>
          <w:color w:val="000000"/>
          <w:sz w:val="16"/>
          <w:szCs w:val="16"/>
        </w:rPr>
        <w:t>.</w:t>
      </w:r>
    </w:p>
    <w:p w:rsidR="0094047A" w:rsidRDefault="00C135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ABSTRACT</w:t>
      </w:r>
    </w:p>
    <w:p w:rsidR="0094047A" w:rsidRDefault="0094047A">
      <w:pPr>
        <w:keepNext/>
        <w:pBdr>
          <w:top w:val="nil"/>
          <w:left w:val="nil"/>
          <w:bottom w:val="nil"/>
          <w:right w:val="nil"/>
          <w:between w:val="nil"/>
        </w:pBdr>
        <w:jc w:val="both"/>
        <w:rPr>
          <w:rFonts w:ascii="Arial" w:eastAsia="Arial" w:hAnsi="Arial" w:cs="Arial"/>
          <w:b/>
          <w:smallCaps/>
          <w:color w:val="000000"/>
          <w:sz w:val="22"/>
          <w:szCs w:val="22"/>
        </w:rPr>
      </w:pPr>
    </w:p>
    <w:tbl>
      <w:tblPr>
        <w:tblStyle w:val="a5"/>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94047A">
        <w:tc>
          <w:tcPr>
            <w:tcW w:w="8424" w:type="dxa"/>
            <w:shd w:val="clear" w:color="auto" w:fill="F2F2F2"/>
          </w:tcPr>
          <w:p w:rsidR="0094047A" w:rsidRDefault="00C13554">
            <w:pPr>
              <w:pBdr>
                <w:top w:val="nil"/>
                <w:left w:val="nil"/>
                <w:bottom w:val="nil"/>
                <w:right w:val="nil"/>
                <w:between w:val="nil"/>
              </w:pBdr>
              <w:jc w:val="both"/>
              <w:rPr>
                <w:rFonts w:ascii="Arial" w:eastAsia="Arial" w:hAnsi="Arial" w:cs="Arial"/>
                <w:color w:val="000000"/>
              </w:rPr>
            </w:pPr>
            <w:r>
              <w:rPr>
                <w:rFonts w:ascii="Arial" w:eastAsia="Arial" w:hAnsi="Arial" w:cs="Arial"/>
              </w:rPr>
              <w:t>Economic growth is a vital driver of national development, fostering employment, reducing poverty, and raising living standards. In the Philippines, taxation remains the government’s primary tool for resource mobilization, yet the distinct contributions of various tax instruments to economic performance have not been thoroughly examined. This study analyzed the effects of Corporate Income Tax (CIT), Value-Added Tax (VAT), and Excise Tax revenues on the country’s Gross Domestic Product (GDP) using a quantitative econometric approach. Time-series data covering 2014 to 2024 were obtained from the Philippine Statistics Authority, World Bank, and Bureau of Internal Revenue. The Ordinary Least Squares (OLS) regression method was employed, supported by descriptive statistics and correlation analysis to validate the results. Findings show that tax revenues collectively explain 95 percent of the variation in GDP (R² = 0.95, F = 44.21, p &lt; 0.01), confirming their substantial role in driving economic growth. Among the three instruments, VAT had the strongest and most significant positive effect (B = 0.48, β = 0.79, p &lt; 0.01), followed by Excise Tax (B = 0.22, β = 0.49, p = 0.03), while CIT displayed a negative but statistically insignificant impact (B = -0.19, p = 0.23). The Durbin–Watson statistic (2.42) indicated no autocorrelation, and multicollinearity was within acceptable levels. These results suggest that indirect taxes, particularly VAT and Excise Tax, are more effective drivers of economic expansion than corporate taxation. The study concludes that strengthening the administration of VAT and Excise Tax, improving compliance mechanisms, and broadening the tax base are essential for sustaining growth, while future research should incorporate other macroeconomic variables to provide a fuller picture of taxation’s role in development.</w:t>
            </w:r>
          </w:p>
        </w:tc>
      </w:tr>
    </w:tbl>
    <w:p w:rsidR="0094047A" w:rsidRDefault="0094047A">
      <w:pPr>
        <w:pBdr>
          <w:top w:val="nil"/>
          <w:left w:val="nil"/>
          <w:bottom w:val="nil"/>
          <w:right w:val="nil"/>
          <w:between w:val="nil"/>
        </w:pBdr>
        <w:jc w:val="both"/>
        <w:rPr>
          <w:rFonts w:ascii="Arial" w:eastAsia="Arial" w:hAnsi="Arial" w:cs="Arial"/>
          <w:i/>
          <w:color w:val="000000"/>
        </w:rPr>
      </w:pPr>
    </w:p>
    <w:p w:rsidR="0094047A" w:rsidRDefault="00C13554">
      <w:pPr>
        <w:pBdr>
          <w:top w:val="nil"/>
          <w:left w:val="nil"/>
          <w:bottom w:val="nil"/>
          <w:right w:val="nil"/>
          <w:between w:val="nil"/>
        </w:pBdr>
        <w:jc w:val="both"/>
        <w:rPr>
          <w:rFonts w:ascii="Arial" w:eastAsia="Arial" w:hAnsi="Arial" w:cs="Arial"/>
          <w:i/>
        </w:rPr>
      </w:pPr>
      <w:r>
        <w:rPr>
          <w:rFonts w:ascii="Arial" w:eastAsia="Arial" w:hAnsi="Arial" w:cs="Arial"/>
          <w:i/>
          <w:color w:val="000000"/>
        </w:rPr>
        <w:t xml:space="preserve">Keywords: </w:t>
      </w:r>
      <w:r>
        <w:rPr>
          <w:rFonts w:ascii="Arial" w:eastAsia="Arial" w:hAnsi="Arial" w:cs="Arial"/>
          <w:i/>
        </w:rPr>
        <w:t>economic growth, excise tax, corporate income tax, GDP, VAT</w:t>
      </w:r>
    </w:p>
    <w:p w:rsidR="0094047A" w:rsidRDefault="0094047A">
      <w:pPr>
        <w:pBdr>
          <w:top w:val="nil"/>
          <w:left w:val="nil"/>
          <w:bottom w:val="nil"/>
          <w:right w:val="nil"/>
          <w:between w:val="nil"/>
        </w:pBdr>
        <w:jc w:val="both"/>
        <w:rPr>
          <w:rFonts w:ascii="Arial" w:eastAsia="Arial" w:hAnsi="Arial" w:cs="Arial"/>
          <w:i/>
        </w:rPr>
      </w:pPr>
    </w:p>
    <w:p w:rsidR="0094047A" w:rsidRDefault="00C135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rsidR="0094047A" w:rsidRDefault="0094047A">
      <w:pPr>
        <w:pBdr>
          <w:top w:val="nil"/>
          <w:left w:val="nil"/>
          <w:bottom w:val="nil"/>
          <w:right w:val="nil"/>
          <w:between w:val="nil"/>
        </w:pBdr>
        <w:jc w:val="both"/>
        <w:rPr>
          <w:rFonts w:ascii="Arial" w:eastAsia="Arial" w:hAnsi="Arial" w:cs="Arial"/>
        </w:rPr>
      </w:pPr>
    </w:p>
    <w:p w:rsidR="0094047A" w:rsidRDefault="008E1FB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r w:rsidR="00C13554">
        <w:rPr>
          <w:rFonts w:ascii="Arial" w:eastAsia="Arial" w:hAnsi="Arial" w:cs="Arial"/>
          <w:color w:val="000000"/>
        </w:rPr>
        <w:t>Economic growth, often measured through Gross Domestic Product (GDP), reflects the overall expansion of a nation’s production of goods and services</w:t>
      </w:r>
      <w:r>
        <w:rPr>
          <w:rFonts w:ascii="Arial" w:eastAsia="Arial" w:hAnsi="Arial" w:cs="Arial"/>
          <w:color w:val="000000"/>
        </w:rPr>
        <w:t>”</w:t>
      </w:r>
      <w:r w:rsidR="00C13554">
        <w:rPr>
          <w:rFonts w:ascii="Arial" w:eastAsia="Arial" w:hAnsi="Arial" w:cs="Arial"/>
          <w:color w:val="000000"/>
        </w:rPr>
        <w:t xml:space="preserve"> </w:t>
      </w:r>
      <w:r w:rsidR="00C13554">
        <w:rPr>
          <w:rFonts w:ascii="Arial" w:eastAsia="Arial" w:hAnsi="Arial" w:cs="Arial"/>
        </w:rPr>
        <w:t>(</w:t>
      </w:r>
      <w:proofErr w:type="spellStart"/>
      <w:r w:rsidR="00C13554">
        <w:rPr>
          <w:rFonts w:ascii="Arial" w:eastAsia="Arial" w:hAnsi="Arial" w:cs="Arial"/>
        </w:rPr>
        <w:t>Roser</w:t>
      </w:r>
      <w:proofErr w:type="spellEnd"/>
      <w:r w:rsidR="00C13554">
        <w:rPr>
          <w:rFonts w:ascii="Arial" w:eastAsia="Arial" w:hAnsi="Arial" w:cs="Arial"/>
        </w:rPr>
        <w:t>, 2021)</w:t>
      </w:r>
      <w:r w:rsidR="00C13554">
        <w:rPr>
          <w:rFonts w:ascii="Arial" w:eastAsia="Arial" w:hAnsi="Arial" w:cs="Arial"/>
          <w:color w:val="000000"/>
        </w:rPr>
        <w:t xml:space="preserve">. It is widely regarded as a central driver of development </w:t>
      </w:r>
      <w:r w:rsidR="00C13554">
        <w:rPr>
          <w:rFonts w:ascii="Arial" w:eastAsia="Arial" w:hAnsi="Arial" w:cs="Arial"/>
        </w:rPr>
        <w:t xml:space="preserve">(Bahmani, 2024) </w:t>
      </w:r>
      <w:r w:rsidR="00C13554">
        <w:rPr>
          <w:rFonts w:ascii="Arial" w:eastAsia="Arial" w:hAnsi="Arial" w:cs="Arial"/>
          <w:color w:val="000000"/>
        </w:rPr>
        <w:t xml:space="preserve">because it raises living standards, reduces poverty, and enhances competitiveness on the global stage </w:t>
      </w:r>
      <w:r w:rsidR="00C13554">
        <w:rPr>
          <w:rFonts w:ascii="Arial" w:eastAsia="Arial" w:hAnsi="Arial" w:cs="Arial"/>
        </w:rPr>
        <w:t xml:space="preserve">(Balasubramanian et al., 2022; </w:t>
      </w:r>
      <w:proofErr w:type="spellStart"/>
      <w:r w:rsidR="00C13554">
        <w:rPr>
          <w:rFonts w:ascii="Arial" w:eastAsia="Arial" w:hAnsi="Arial" w:cs="Arial"/>
        </w:rPr>
        <w:t>Ngubane</w:t>
      </w:r>
      <w:proofErr w:type="spellEnd"/>
      <w:r w:rsidR="00C13554">
        <w:rPr>
          <w:rFonts w:ascii="Arial" w:eastAsia="Arial" w:hAnsi="Arial" w:cs="Arial"/>
        </w:rPr>
        <w:t xml:space="preserve"> et al., 2023)</w:t>
      </w:r>
      <w:r w:rsidR="00C13554">
        <w:rPr>
          <w:rFonts w:ascii="Arial" w:eastAsia="Arial" w:hAnsi="Arial" w:cs="Arial"/>
          <w:color w:val="000000"/>
        </w:rPr>
        <w:t xml:space="preserve">. Studies show that expanding economies generate employment, increase household income, and improve social welfare </w:t>
      </w:r>
      <w:r w:rsidR="00C13554">
        <w:rPr>
          <w:rFonts w:ascii="Arial" w:eastAsia="Arial" w:hAnsi="Arial" w:cs="Arial"/>
        </w:rPr>
        <w:t>(Cheng, 2024; De La Fuente, 2016)</w:t>
      </w:r>
      <w:r w:rsidR="00C13554">
        <w:rPr>
          <w:rFonts w:ascii="Arial" w:eastAsia="Arial" w:hAnsi="Arial" w:cs="Arial"/>
          <w:color w:val="000000"/>
        </w:rPr>
        <w:t xml:space="preserve">. Recognizing these benefits, the United Nations emphasized sustainable and inclusive growth in its Sustainable Development Goals, particularly Goal 8, which highlights decent work and long-term development for all </w:t>
      </w:r>
      <w:r w:rsidR="00C13554">
        <w:rPr>
          <w:rFonts w:ascii="Arial" w:eastAsia="Arial" w:hAnsi="Arial" w:cs="Arial"/>
        </w:rPr>
        <w:t>(Global Goals, 2024).</w:t>
      </w:r>
      <w:r w:rsidR="00C13554">
        <w:rPr>
          <w:rFonts w:ascii="Arial" w:eastAsia="Arial" w:hAnsi="Arial" w:cs="Arial"/>
          <w:color w:val="000000"/>
        </w:rPr>
        <w:t xml:space="preserve"> Thus, achieving strong and sustained growth remains a vital aspiration for developing countries such as the Philippines.</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recent years, the Philippine economy has demonstrated resilience, with the Philippine Statistics Authority reporting a GDP growth rate of 5.5 percent in the second quarter of 2025 </w:t>
      </w:r>
      <w:r>
        <w:rPr>
          <w:rFonts w:ascii="Arial" w:eastAsia="Arial" w:hAnsi="Arial" w:cs="Arial"/>
        </w:rPr>
        <w:t>(</w:t>
      </w:r>
      <w:proofErr w:type="spellStart"/>
      <w:r>
        <w:rPr>
          <w:rFonts w:ascii="Arial" w:eastAsia="Arial" w:hAnsi="Arial" w:cs="Arial"/>
        </w:rPr>
        <w:t>Mapa</w:t>
      </w:r>
      <w:proofErr w:type="spellEnd"/>
      <w:r>
        <w:rPr>
          <w:rFonts w:ascii="Arial" w:eastAsia="Arial" w:hAnsi="Arial" w:cs="Arial"/>
        </w:rPr>
        <w:t>, 2025).</w:t>
      </w:r>
      <w:r>
        <w:rPr>
          <w:rFonts w:ascii="Arial" w:eastAsia="Arial" w:hAnsi="Arial" w:cs="Arial"/>
          <w:color w:val="000000"/>
        </w:rPr>
        <w:t xml:space="preserve"> This growth was largely driven by wholesale and retail trade, public administration, and financial services. However, persistent structural issues hinder inclusive </w:t>
      </w:r>
      <w:r>
        <w:rPr>
          <w:rFonts w:ascii="Arial" w:eastAsia="Arial" w:hAnsi="Arial" w:cs="Arial"/>
          <w:color w:val="000000"/>
        </w:rPr>
        <w:lastRenderedPageBreak/>
        <w:t xml:space="preserve">development. Inequality, unemployment, and underemployment continue to challenge the labor market </w:t>
      </w:r>
      <w:r>
        <w:rPr>
          <w:rFonts w:ascii="Arial" w:eastAsia="Arial" w:hAnsi="Arial" w:cs="Arial"/>
        </w:rPr>
        <w:t xml:space="preserve">(Inquirer, 2024; </w:t>
      </w:r>
      <w:proofErr w:type="spellStart"/>
      <w:r>
        <w:rPr>
          <w:rFonts w:ascii="Arial" w:eastAsia="Arial" w:hAnsi="Arial" w:cs="Arial"/>
        </w:rPr>
        <w:t>Ofod</w:t>
      </w:r>
      <w:proofErr w:type="spellEnd"/>
      <w:r>
        <w:rPr>
          <w:rFonts w:ascii="Arial" w:eastAsia="Arial" w:hAnsi="Arial" w:cs="Arial"/>
        </w:rPr>
        <w:t xml:space="preserve"> et al., 2025; </w:t>
      </w:r>
      <w:proofErr w:type="spellStart"/>
      <w:r>
        <w:rPr>
          <w:rFonts w:ascii="Arial" w:eastAsia="Arial" w:hAnsi="Arial" w:cs="Arial"/>
        </w:rPr>
        <w:t>Jahic</w:t>
      </w:r>
      <w:proofErr w:type="spellEnd"/>
      <w:r>
        <w:rPr>
          <w:rFonts w:ascii="Arial" w:eastAsia="Arial" w:hAnsi="Arial" w:cs="Arial"/>
        </w:rPr>
        <w:t>, 2025)</w:t>
      </w:r>
      <w:r>
        <w:rPr>
          <w:rFonts w:ascii="Arial" w:eastAsia="Arial" w:hAnsi="Arial" w:cs="Arial"/>
          <w:color w:val="000000"/>
        </w:rPr>
        <w:t xml:space="preserve">], while inflationary fluctuations complicate household consumption and economic planning </w:t>
      </w:r>
      <w:r>
        <w:rPr>
          <w:rFonts w:ascii="Arial" w:eastAsia="Arial" w:hAnsi="Arial" w:cs="Arial"/>
        </w:rPr>
        <w:t>(Macrotrends, 2024)</w:t>
      </w:r>
      <w:r>
        <w:rPr>
          <w:rFonts w:ascii="Arial" w:eastAsia="Arial" w:hAnsi="Arial" w:cs="Arial"/>
          <w:color w:val="000000"/>
        </w:rPr>
        <w:t>. These realities show that although growth rates remain positive, ensuring equitable and sustainable development requires effective government strategies, particularly in mobilizing domestic resources.</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One of the most reliable mechanisms for resource mobilization is taxation. Unlike external borrowing, tax revenues provide a sustainable, non-debt source of financing for infrastructure, social services, and development programs. Prior studies affirm the role of taxation in growth, </w:t>
      </w:r>
      <w:proofErr w:type="spellStart"/>
      <w:r>
        <w:rPr>
          <w:rFonts w:ascii="Arial" w:eastAsia="Arial" w:hAnsi="Arial" w:cs="Arial"/>
          <w:color w:val="000000"/>
        </w:rPr>
        <w:t>Orbaningsih</w:t>
      </w:r>
      <w:proofErr w:type="spellEnd"/>
      <w:r>
        <w:rPr>
          <w:rFonts w:ascii="Arial" w:eastAsia="Arial" w:hAnsi="Arial" w:cs="Arial"/>
          <w:color w:val="000000"/>
        </w:rPr>
        <w:t xml:space="preserve"> and </w:t>
      </w:r>
      <w:proofErr w:type="spellStart"/>
      <w:r>
        <w:rPr>
          <w:rFonts w:ascii="Arial" w:eastAsia="Arial" w:hAnsi="Arial" w:cs="Arial"/>
          <w:color w:val="000000"/>
        </w:rPr>
        <w:t>Sujianto</w:t>
      </w:r>
      <w:proofErr w:type="spellEnd"/>
      <w:r>
        <w:rPr>
          <w:rFonts w:ascii="Arial" w:eastAsia="Arial" w:hAnsi="Arial" w:cs="Arial"/>
          <w:color w:val="000000"/>
        </w:rPr>
        <w:t xml:space="preserve"> (2022) emphasized its importance for national </w:t>
      </w:r>
      <w:proofErr w:type="gramStart"/>
      <w:r>
        <w:rPr>
          <w:rFonts w:ascii="Arial" w:eastAsia="Arial" w:hAnsi="Arial" w:cs="Arial"/>
          <w:color w:val="000000"/>
        </w:rPr>
        <w:t>development ,</w:t>
      </w:r>
      <w:proofErr w:type="gramEnd"/>
      <w:r>
        <w:rPr>
          <w:rFonts w:ascii="Arial" w:eastAsia="Arial" w:hAnsi="Arial" w:cs="Arial"/>
          <w:color w:val="000000"/>
        </w:rPr>
        <w:t xml:space="preserve"> while </w:t>
      </w:r>
      <w:proofErr w:type="spellStart"/>
      <w:r>
        <w:rPr>
          <w:rFonts w:ascii="Arial" w:eastAsia="Arial" w:hAnsi="Arial" w:cs="Arial"/>
          <w:color w:val="000000"/>
        </w:rPr>
        <w:t>Maganya</w:t>
      </w:r>
      <w:proofErr w:type="spellEnd"/>
      <w:r>
        <w:rPr>
          <w:rFonts w:ascii="Arial" w:eastAsia="Arial" w:hAnsi="Arial" w:cs="Arial"/>
          <w:color w:val="000000"/>
        </w:rPr>
        <w:t xml:space="preserve"> (2020) confirmed that domestic taxes on goods and services significantly contribute to GDP growt</w:t>
      </w:r>
      <w:r>
        <w:rPr>
          <w:rFonts w:ascii="Arial" w:eastAsia="Arial" w:hAnsi="Arial" w:cs="Arial"/>
        </w:rPr>
        <w:t>h.</w:t>
      </w:r>
      <w:r>
        <w:rPr>
          <w:rFonts w:ascii="Arial" w:eastAsia="Arial" w:hAnsi="Arial" w:cs="Arial"/>
          <w:color w:val="000000"/>
        </w:rPr>
        <w:t xml:space="preserve"> Similarly, Ho et al. (2023) found that tax revenues support economic expansion in developing countries, particularly when paired with trade openness. </w:t>
      </w:r>
      <w:r w:rsidR="008E1FB6">
        <w:rPr>
          <w:rFonts w:ascii="Arial" w:eastAsia="Arial" w:hAnsi="Arial" w:cs="Arial"/>
          <w:color w:val="000000"/>
        </w:rPr>
        <w:t>“</w:t>
      </w:r>
      <w:r>
        <w:rPr>
          <w:rFonts w:ascii="Arial" w:eastAsia="Arial" w:hAnsi="Arial" w:cs="Arial"/>
          <w:color w:val="000000"/>
        </w:rPr>
        <w:t>Revenues from corporate income tax, value-added tax, and excise tax are especially significant</w:t>
      </w:r>
      <w:r w:rsidR="008E1FB6">
        <w:rPr>
          <w:rFonts w:ascii="Arial" w:eastAsia="Arial" w:hAnsi="Arial" w:cs="Arial"/>
          <w:color w:val="000000"/>
        </w:rPr>
        <w:t>”</w:t>
      </w:r>
      <w:r>
        <w:rPr>
          <w:rFonts w:ascii="Arial" w:eastAsia="Arial" w:hAnsi="Arial" w:cs="Arial"/>
        </w:rPr>
        <w:t xml:space="preserve"> (</w:t>
      </w:r>
      <w:proofErr w:type="spellStart"/>
      <w:r>
        <w:rPr>
          <w:rFonts w:ascii="Arial" w:eastAsia="Arial" w:hAnsi="Arial" w:cs="Arial"/>
        </w:rPr>
        <w:t>Ewa</w:t>
      </w:r>
      <w:proofErr w:type="spellEnd"/>
      <w:r>
        <w:rPr>
          <w:rFonts w:ascii="Arial" w:eastAsia="Arial" w:hAnsi="Arial" w:cs="Arial"/>
        </w:rPr>
        <w:t xml:space="preserve"> et al., 2020)</w:t>
      </w:r>
      <w:r>
        <w:rPr>
          <w:rFonts w:ascii="Arial" w:eastAsia="Arial" w:hAnsi="Arial" w:cs="Arial"/>
          <w:color w:val="000000"/>
        </w:rPr>
        <w:t xml:space="preserve">. Still, some scholars argue that the impact of taxes varies by context, depending on policy implementation and external influences </w:t>
      </w:r>
      <w:r>
        <w:rPr>
          <w:rFonts w:ascii="Arial" w:eastAsia="Arial" w:hAnsi="Arial" w:cs="Arial"/>
        </w:rPr>
        <w:t>(</w:t>
      </w:r>
      <w:proofErr w:type="spellStart"/>
      <w:r>
        <w:rPr>
          <w:rFonts w:ascii="Arial" w:eastAsia="Arial" w:hAnsi="Arial" w:cs="Arial"/>
        </w:rPr>
        <w:t>Cornevin</w:t>
      </w:r>
      <w:proofErr w:type="spellEnd"/>
      <w:r>
        <w:rPr>
          <w:rFonts w:ascii="Arial" w:eastAsia="Arial" w:hAnsi="Arial" w:cs="Arial"/>
        </w:rPr>
        <w:t xml:space="preserve"> et al., 2024).</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Against this backdrop, it becomes necessary to examine the Philippine case. While extensive research has explored taxation and growth globally, fewer studies focus on how specific tax instruments affect the Philippine economy. Therefore, this study addresses that gap by conducting an econometric analysis through the three key tax instruments, corporate income tax, value-added tax, and excise </w:t>
      </w:r>
      <w:proofErr w:type="gramStart"/>
      <w:r>
        <w:rPr>
          <w:rFonts w:ascii="Arial" w:eastAsia="Arial" w:hAnsi="Arial" w:cs="Arial"/>
          <w:color w:val="000000"/>
        </w:rPr>
        <w:t>tax,  and</w:t>
      </w:r>
      <w:proofErr w:type="gramEnd"/>
      <w:r>
        <w:rPr>
          <w:rFonts w:ascii="Arial" w:eastAsia="Arial" w:hAnsi="Arial" w:cs="Arial"/>
          <w:color w:val="000000"/>
        </w:rPr>
        <w:t xml:space="preserve"> their impact on GDP growth. The findings aim to provide empirical evidence that will guide policymakers in designing tax reforms, not only to generate revenue but to promote long-term, inclusive, and sustainable economic development.</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1.1 Objectives of the Study</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 xml:space="preserve">The purpose of the present study is to examine the effect of proceeds from taxation on Philippine economic growth, as measured by Gross Domestic Product (GDP). The following objectives outline the key areas of focus for this investigation: </w:t>
      </w:r>
    </w:p>
    <w:p w:rsidR="0094047A" w:rsidRDefault="0094047A">
      <w:pPr>
        <w:pBdr>
          <w:top w:val="nil"/>
          <w:left w:val="nil"/>
          <w:bottom w:val="nil"/>
          <w:right w:val="nil"/>
          <w:between w:val="nil"/>
        </w:pBdr>
        <w:jc w:val="both"/>
        <w:rPr>
          <w:rFonts w:ascii="Arial" w:eastAsia="Arial" w:hAnsi="Arial" w:cs="Arial"/>
        </w:rPr>
      </w:pPr>
    </w:p>
    <w:p w:rsidR="0094047A" w:rsidRDefault="00C13554">
      <w:pPr>
        <w:numPr>
          <w:ilvl w:val="0"/>
          <w:numId w:val="10"/>
        </w:numPr>
        <w:pBdr>
          <w:top w:val="nil"/>
          <w:left w:val="nil"/>
          <w:bottom w:val="nil"/>
          <w:right w:val="nil"/>
          <w:between w:val="nil"/>
        </w:pBdr>
        <w:jc w:val="both"/>
        <w:rPr>
          <w:rFonts w:ascii="Arial" w:eastAsia="Arial" w:hAnsi="Arial" w:cs="Arial"/>
        </w:rPr>
      </w:pPr>
      <w:r>
        <w:rPr>
          <w:rFonts w:ascii="Arial" w:eastAsia="Arial" w:hAnsi="Arial" w:cs="Arial"/>
        </w:rPr>
        <w:t>To determine the effect of Corporate Income Tax (CIT) revenue on economic growth.</w:t>
      </w:r>
    </w:p>
    <w:p w:rsidR="0094047A" w:rsidRDefault="00C13554">
      <w:pPr>
        <w:numPr>
          <w:ilvl w:val="0"/>
          <w:numId w:val="10"/>
        </w:numPr>
        <w:pBdr>
          <w:top w:val="nil"/>
          <w:left w:val="nil"/>
          <w:bottom w:val="nil"/>
          <w:right w:val="nil"/>
          <w:between w:val="nil"/>
        </w:pBdr>
        <w:jc w:val="both"/>
        <w:rPr>
          <w:rFonts w:ascii="Arial" w:eastAsia="Arial" w:hAnsi="Arial" w:cs="Arial"/>
        </w:rPr>
      </w:pPr>
      <w:r>
        <w:rPr>
          <w:rFonts w:ascii="Arial" w:eastAsia="Arial" w:hAnsi="Arial" w:cs="Arial"/>
        </w:rPr>
        <w:t>To assess the effect of Value-Added Tax (VAT) revenue on economic growth.</w:t>
      </w:r>
    </w:p>
    <w:p w:rsidR="0094047A" w:rsidRDefault="00C13554">
      <w:pPr>
        <w:numPr>
          <w:ilvl w:val="0"/>
          <w:numId w:val="10"/>
        </w:numPr>
        <w:pBdr>
          <w:top w:val="nil"/>
          <w:left w:val="nil"/>
          <w:bottom w:val="nil"/>
          <w:right w:val="nil"/>
          <w:between w:val="nil"/>
        </w:pBdr>
        <w:jc w:val="both"/>
        <w:rPr>
          <w:rFonts w:ascii="Arial" w:eastAsia="Arial" w:hAnsi="Arial" w:cs="Arial"/>
        </w:rPr>
      </w:pPr>
      <w:r>
        <w:rPr>
          <w:rFonts w:ascii="Arial" w:eastAsia="Arial" w:hAnsi="Arial" w:cs="Arial"/>
        </w:rPr>
        <w:t>To analyze the effect of Excise Tax revenue on economic growth.</w:t>
      </w:r>
    </w:p>
    <w:p w:rsidR="0094047A" w:rsidRDefault="00C13554">
      <w:pPr>
        <w:numPr>
          <w:ilvl w:val="0"/>
          <w:numId w:val="10"/>
        </w:numPr>
        <w:pBdr>
          <w:top w:val="nil"/>
          <w:left w:val="nil"/>
          <w:bottom w:val="nil"/>
          <w:right w:val="nil"/>
          <w:between w:val="nil"/>
        </w:pBdr>
        <w:jc w:val="both"/>
        <w:rPr>
          <w:rFonts w:ascii="Arial" w:eastAsia="Arial" w:hAnsi="Arial" w:cs="Arial"/>
        </w:rPr>
      </w:pPr>
      <w:r>
        <w:rPr>
          <w:rFonts w:ascii="Arial" w:eastAsia="Arial" w:hAnsi="Arial" w:cs="Arial"/>
        </w:rPr>
        <w:t>To evaluate the combined effect of CIT, VAT, and Excise Tax revenues on economic growth.</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Research Question: To achieve the above objectives, this study addresses the following questions:</w:t>
      </w:r>
    </w:p>
    <w:p w:rsidR="0094047A" w:rsidRDefault="0094047A">
      <w:pPr>
        <w:pBdr>
          <w:top w:val="nil"/>
          <w:left w:val="nil"/>
          <w:bottom w:val="nil"/>
          <w:right w:val="nil"/>
          <w:between w:val="nil"/>
        </w:pBdr>
        <w:jc w:val="both"/>
        <w:rPr>
          <w:rFonts w:ascii="Arial" w:eastAsia="Arial" w:hAnsi="Arial" w:cs="Arial"/>
        </w:rPr>
      </w:pPr>
    </w:p>
    <w:p w:rsidR="0094047A" w:rsidRDefault="00C13554">
      <w:pPr>
        <w:numPr>
          <w:ilvl w:val="0"/>
          <w:numId w:val="8"/>
        </w:numPr>
        <w:pBdr>
          <w:top w:val="nil"/>
          <w:left w:val="nil"/>
          <w:bottom w:val="nil"/>
          <w:right w:val="nil"/>
          <w:between w:val="nil"/>
        </w:pBdr>
        <w:jc w:val="both"/>
        <w:rPr>
          <w:rFonts w:ascii="Arial" w:eastAsia="Arial" w:hAnsi="Arial" w:cs="Arial"/>
        </w:rPr>
      </w:pPr>
      <w:r>
        <w:rPr>
          <w:rFonts w:ascii="Arial" w:eastAsia="Arial" w:hAnsi="Arial" w:cs="Arial"/>
        </w:rPr>
        <w:t>What is the effect of Corporate Income Tax (CIT) revenue on Philippine economic growth?</w:t>
      </w:r>
    </w:p>
    <w:p w:rsidR="0094047A" w:rsidRDefault="00C13554">
      <w:pPr>
        <w:numPr>
          <w:ilvl w:val="0"/>
          <w:numId w:val="8"/>
        </w:numPr>
        <w:pBdr>
          <w:top w:val="nil"/>
          <w:left w:val="nil"/>
          <w:bottom w:val="nil"/>
          <w:right w:val="nil"/>
          <w:between w:val="nil"/>
        </w:pBdr>
        <w:jc w:val="both"/>
        <w:rPr>
          <w:rFonts w:ascii="Arial" w:eastAsia="Arial" w:hAnsi="Arial" w:cs="Arial"/>
        </w:rPr>
      </w:pPr>
      <w:r>
        <w:rPr>
          <w:rFonts w:ascii="Arial" w:eastAsia="Arial" w:hAnsi="Arial" w:cs="Arial"/>
        </w:rPr>
        <w:t>How does Value-Added Tax (VAT) revenue affect Philippine economic growth?</w:t>
      </w:r>
    </w:p>
    <w:p w:rsidR="0094047A" w:rsidRDefault="00C13554">
      <w:pPr>
        <w:numPr>
          <w:ilvl w:val="0"/>
          <w:numId w:val="8"/>
        </w:numPr>
        <w:pBdr>
          <w:top w:val="nil"/>
          <w:left w:val="nil"/>
          <w:bottom w:val="nil"/>
          <w:right w:val="nil"/>
          <w:between w:val="nil"/>
        </w:pBdr>
        <w:jc w:val="both"/>
        <w:rPr>
          <w:rFonts w:ascii="Arial" w:eastAsia="Arial" w:hAnsi="Arial" w:cs="Arial"/>
        </w:rPr>
      </w:pPr>
      <w:r>
        <w:rPr>
          <w:rFonts w:ascii="Arial" w:eastAsia="Arial" w:hAnsi="Arial" w:cs="Arial"/>
        </w:rPr>
        <w:t>What impact does Excise Tax revenue have on Philippine economic growth?</w:t>
      </w:r>
    </w:p>
    <w:p w:rsidR="0094047A" w:rsidRDefault="00C13554">
      <w:pPr>
        <w:numPr>
          <w:ilvl w:val="0"/>
          <w:numId w:val="8"/>
        </w:numPr>
        <w:pBdr>
          <w:top w:val="nil"/>
          <w:left w:val="nil"/>
          <w:bottom w:val="nil"/>
          <w:right w:val="nil"/>
          <w:between w:val="nil"/>
        </w:pBdr>
        <w:jc w:val="both"/>
        <w:rPr>
          <w:rFonts w:ascii="Arial" w:eastAsia="Arial" w:hAnsi="Arial" w:cs="Arial"/>
        </w:rPr>
      </w:pPr>
      <w:r>
        <w:rPr>
          <w:rFonts w:ascii="Arial" w:eastAsia="Arial" w:hAnsi="Arial" w:cs="Arial"/>
        </w:rPr>
        <w:t>What is the combined effect of CIT, VAT, and Excise Tax revenues on Philippine economic growth?</w:t>
      </w:r>
    </w:p>
    <w:p w:rsidR="0094047A" w:rsidRDefault="0094047A">
      <w:pPr>
        <w:pBdr>
          <w:top w:val="nil"/>
          <w:left w:val="nil"/>
          <w:bottom w:val="nil"/>
          <w:right w:val="nil"/>
          <w:between w:val="nil"/>
        </w:pBdr>
        <w:ind w:left="720"/>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Null Hypothesis: At a 5% level of significance, the following null hypotheses will be tested:</w:t>
      </w:r>
    </w:p>
    <w:p w:rsidR="0094047A" w:rsidRDefault="0094047A">
      <w:pPr>
        <w:pBdr>
          <w:top w:val="nil"/>
          <w:left w:val="nil"/>
          <w:bottom w:val="nil"/>
          <w:right w:val="nil"/>
          <w:between w:val="nil"/>
        </w:pBdr>
        <w:ind w:left="720"/>
        <w:jc w:val="both"/>
        <w:rPr>
          <w:rFonts w:ascii="Arial" w:eastAsia="Arial" w:hAnsi="Arial" w:cs="Arial"/>
        </w:rPr>
      </w:pPr>
    </w:p>
    <w:p w:rsidR="0094047A" w:rsidRDefault="00C13554">
      <w:pPr>
        <w:pBdr>
          <w:top w:val="nil"/>
          <w:left w:val="nil"/>
          <w:bottom w:val="nil"/>
          <w:right w:val="nil"/>
          <w:between w:val="nil"/>
        </w:pBdr>
        <w:ind w:left="720"/>
        <w:jc w:val="both"/>
        <w:rPr>
          <w:rFonts w:ascii="Arial" w:eastAsia="Arial" w:hAnsi="Arial" w:cs="Arial"/>
        </w:rPr>
      </w:pPr>
      <w:r>
        <w:rPr>
          <w:rFonts w:ascii="Arial" w:eastAsia="Arial" w:hAnsi="Arial" w:cs="Arial"/>
        </w:rPr>
        <w:t>H₀₁: Corporate Income Tax revenue has no significant effect on Philippine GDP growth.</w:t>
      </w:r>
    </w:p>
    <w:p w:rsidR="0094047A" w:rsidRDefault="00C13554">
      <w:pPr>
        <w:pBdr>
          <w:top w:val="nil"/>
          <w:left w:val="nil"/>
          <w:bottom w:val="nil"/>
          <w:right w:val="nil"/>
          <w:between w:val="nil"/>
        </w:pBdr>
        <w:ind w:left="720"/>
        <w:jc w:val="both"/>
        <w:rPr>
          <w:rFonts w:ascii="Arial" w:eastAsia="Arial" w:hAnsi="Arial" w:cs="Arial"/>
        </w:rPr>
      </w:pPr>
      <w:r>
        <w:rPr>
          <w:rFonts w:ascii="Arial" w:eastAsia="Arial" w:hAnsi="Arial" w:cs="Arial"/>
        </w:rPr>
        <w:lastRenderedPageBreak/>
        <w:t>H₀₂: Value-Added Tax revenue has no significant effect on Philippine GDP growth.</w:t>
      </w:r>
    </w:p>
    <w:p w:rsidR="0094047A" w:rsidRDefault="00C13554">
      <w:pPr>
        <w:pBdr>
          <w:top w:val="nil"/>
          <w:left w:val="nil"/>
          <w:bottom w:val="nil"/>
          <w:right w:val="nil"/>
          <w:between w:val="nil"/>
        </w:pBdr>
        <w:ind w:left="720"/>
        <w:jc w:val="both"/>
        <w:rPr>
          <w:rFonts w:ascii="Arial" w:eastAsia="Arial" w:hAnsi="Arial" w:cs="Arial"/>
        </w:rPr>
      </w:pPr>
      <w:r>
        <w:rPr>
          <w:rFonts w:ascii="Arial" w:eastAsia="Arial" w:hAnsi="Arial" w:cs="Arial"/>
        </w:rPr>
        <w:t>H₀₃: Excise Tax revenue has no significant effect on Philippine GDP growth.</w:t>
      </w:r>
    </w:p>
    <w:p w:rsidR="0094047A" w:rsidRDefault="00C13554">
      <w:pPr>
        <w:pBdr>
          <w:top w:val="nil"/>
          <w:left w:val="nil"/>
          <w:bottom w:val="nil"/>
          <w:right w:val="nil"/>
          <w:between w:val="nil"/>
        </w:pBdr>
        <w:ind w:left="720"/>
        <w:jc w:val="both"/>
        <w:rPr>
          <w:rFonts w:ascii="Arial" w:eastAsia="Arial" w:hAnsi="Arial" w:cs="Arial"/>
        </w:rPr>
      </w:pPr>
      <w:r>
        <w:rPr>
          <w:rFonts w:ascii="Arial" w:eastAsia="Arial" w:hAnsi="Arial" w:cs="Arial"/>
        </w:rPr>
        <w:t>H₀₄: The combined revenues from CIT, VAT, and Excise Tax have no significant effect on Philippine GDP growth.</w:t>
      </w:r>
    </w:p>
    <w:p w:rsidR="0094047A" w:rsidRDefault="0094047A">
      <w:pPr>
        <w:pBdr>
          <w:top w:val="nil"/>
          <w:left w:val="nil"/>
          <w:bottom w:val="nil"/>
          <w:right w:val="nil"/>
          <w:between w:val="nil"/>
        </w:pBdr>
        <w:jc w:val="both"/>
        <w:rPr>
          <w:rFonts w:ascii="Arial" w:eastAsia="Arial" w:hAnsi="Arial" w:cs="Arial"/>
          <w:color w:val="000000"/>
        </w:rPr>
      </w:pPr>
    </w:p>
    <w:p w:rsidR="0094047A" w:rsidRDefault="00C135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w:t>
      </w:r>
      <w:r>
        <w:rPr>
          <w:rFonts w:ascii="Arial" w:eastAsia="Arial" w:hAnsi="Arial" w:cs="Arial"/>
          <w:b/>
          <w:smallCaps/>
          <w:sz w:val="22"/>
          <w:szCs w:val="22"/>
        </w:rPr>
        <w:t>REVIEW OF RELATED LITERATURE</w:t>
      </w:r>
    </w:p>
    <w:p w:rsidR="0094047A" w:rsidRDefault="0094047A">
      <w:pPr>
        <w:pBdr>
          <w:top w:val="nil"/>
          <w:left w:val="nil"/>
          <w:bottom w:val="nil"/>
          <w:right w:val="nil"/>
          <w:between w:val="nil"/>
        </w:pBdr>
        <w:jc w:val="both"/>
        <w:rPr>
          <w:rFonts w:ascii="Arial" w:eastAsia="Arial" w:hAnsi="Arial" w:cs="Arial"/>
          <w:color w:val="000000"/>
        </w:rPr>
      </w:pPr>
    </w:p>
    <w:p w:rsidR="0094047A" w:rsidRDefault="00C13554">
      <w:pPr>
        <w:pBdr>
          <w:top w:val="nil"/>
          <w:left w:val="nil"/>
          <w:bottom w:val="nil"/>
          <w:right w:val="nil"/>
          <w:between w:val="nil"/>
        </w:pBdr>
        <w:jc w:val="both"/>
        <w:rPr>
          <w:rFonts w:ascii="Arial" w:eastAsia="Arial" w:hAnsi="Arial" w:cs="Arial"/>
          <w:b/>
          <w:sz w:val="22"/>
          <w:szCs w:val="22"/>
        </w:rPr>
      </w:pPr>
      <w:r>
        <w:rPr>
          <w:rFonts w:ascii="Arial" w:eastAsia="Arial" w:hAnsi="Arial" w:cs="Arial"/>
          <w:b/>
          <w:sz w:val="22"/>
          <w:szCs w:val="22"/>
        </w:rPr>
        <w:t>2.1 Theoretical Review</w:t>
      </w: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Taxation has long been grounded in theories that explain why governments have the authority to collect revenues and why citizens are obliged to contribute. Two frameworks are particularly relevant to this study, the socio-political theory and the benefit principle. The socio-political theory views taxation not simply as a fiscal tool but as an instrument for promoting collective welfare (</w:t>
      </w:r>
      <w:proofErr w:type="spellStart"/>
      <w:r>
        <w:rPr>
          <w:rFonts w:ascii="Arial" w:eastAsia="Arial" w:hAnsi="Arial" w:cs="Arial"/>
        </w:rPr>
        <w:t>Bhartia</w:t>
      </w:r>
      <w:proofErr w:type="spellEnd"/>
      <w:r>
        <w:rPr>
          <w:rFonts w:ascii="Arial" w:eastAsia="Arial" w:hAnsi="Arial" w:cs="Arial"/>
        </w:rPr>
        <w:t xml:space="preserve">, 2009). It emphasizes that taxation is intended to balance the needs of society by ensuring that the responsibility of financing national development is fairly distributed among citizens. This aligns </w:t>
      </w:r>
      <w:proofErr w:type="gramStart"/>
      <w:r>
        <w:rPr>
          <w:rFonts w:ascii="Arial" w:eastAsia="Arial" w:hAnsi="Arial" w:cs="Arial"/>
        </w:rPr>
        <w:t>in  the</w:t>
      </w:r>
      <w:proofErr w:type="gramEnd"/>
      <w:r>
        <w:rPr>
          <w:rFonts w:ascii="Arial" w:eastAsia="Arial" w:hAnsi="Arial" w:cs="Arial"/>
        </w:rPr>
        <w:t xml:space="preserve"> Philippine context, where revenues from taxes are allocated to infrastructure, social services, and poverty alleviation programs, reflecting objectives that go beyond individual benefit and contribute to overall national progress (</w:t>
      </w:r>
      <w:proofErr w:type="spellStart"/>
      <w:r>
        <w:rPr>
          <w:rFonts w:ascii="Arial" w:eastAsia="Arial" w:hAnsi="Arial" w:cs="Arial"/>
        </w:rPr>
        <w:t>Malicdem</w:t>
      </w:r>
      <w:proofErr w:type="spellEnd"/>
      <w:r>
        <w:rPr>
          <w:rFonts w:ascii="Arial" w:eastAsia="Arial" w:hAnsi="Arial" w:cs="Arial"/>
        </w:rPr>
        <w:t xml:space="preserve"> et al., 2023).</w:t>
      </w: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 xml:space="preserve">Meanwhile, the benefit principle </w:t>
      </w:r>
      <w:proofErr w:type="gramStart"/>
      <w:r>
        <w:rPr>
          <w:rFonts w:ascii="Arial" w:eastAsia="Arial" w:hAnsi="Arial" w:cs="Arial"/>
        </w:rPr>
        <w:t>justifies  taxation</w:t>
      </w:r>
      <w:proofErr w:type="gramEnd"/>
      <w:r>
        <w:rPr>
          <w:rFonts w:ascii="Arial" w:eastAsia="Arial" w:hAnsi="Arial" w:cs="Arial"/>
        </w:rPr>
        <w:t xml:space="preserve"> on the basis of reciprocity, where taxpayers contribute to the state in return for the services and infrastructure they receive. A more developed interpretation of this principle strengthens its moral foundation by outlining the conditions under which taxation can be considered fair (</w:t>
      </w:r>
      <w:proofErr w:type="spellStart"/>
      <w:r>
        <w:rPr>
          <w:rFonts w:ascii="Arial" w:eastAsia="Arial" w:hAnsi="Arial" w:cs="Arial"/>
        </w:rPr>
        <w:t>Voyiakis</w:t>
      </w:r>
      <w:proofErr w:type="spellEnd"/>
      <w:r>
        <w:rPr>
          <w:rFonts w:ascii="Arial" w:eastAsia="Arial" w:hAnsi="Arial" w:cs="Arial"/>
        </w:rPr>
        <w:t>, 2025). It highlights the need to link the taxes collected with the benefits delivered, to foster a sense of reciprocity among citizens, and to prevent excessive or regressive burdens. In the Philippine setting, this perspective is evident in debates on excise taxes applied to fuel, tobacco, and sugar-sweetened beverages. While these taxes raise substantial revenue to fund health and social programs, they are often criticized for placing heavier burdens on lower-income households. Thus, anchoring this study in socio-political theory and the refined benefit principle allows for a twofold analysis. First, it frames Corporate Income Tax (CIT), Value-Added Tax (VAT), and Excise Tax as tools through which both individuals and firms contribute to the common good. Second, it provides a lens for evaluating whether these tax measures not only raise revenue and support GDP growth, but also promote fairness, reciprocity, and inclusiveness in the Philippine economy.</w:t>
      </w:r>
    </w:p>
    <w:p w:rsidR="0094047A" w:rsidRDefault="0094047A">
      <w:pPr>
        <w:pBdr>
          <w:top w:val="nil"/>
          <w:left w:val="nil"/>
          <w:bottom w:val="nil"/>
          <w:right w:val="nil"/>
          <w:between w:val="nil"/>
        </w:pBdr>
        <w:jc w:val="both"/>
        <w:rPr>
          <w:rFonts w:ascii="Arial" w:eastAsia="Arial" w:hAnsi="Arial" w:cs="Arial"/>
        </w:rPr>
      </w:pPr>
    </w:p>
    <w:p w:rsidR="0094047A" w:rsidRDefault="00C13554">
      <w:pPr>
        <w:jc w:val="both"/>
        <w:rPr>
          <w:rFonts w:ascii="Arial" w:eastAsia="Arial" w:hAnsi="Arial" w:cs="Arial"/>
          <w:b/>
          <w:sz w:val="22"/>
          <w:szCs w:val="22"/>
        </w:rPr>
      </w:pPr>
      <w:proofErr w:type="gramStart"/>
      <w:r>
        <w:rPr>
          <w:rFonts w:ascii="Arial" w:eastAsia="Arial" w:hAnsi="Arial" w:cs="Arial"/>
          <w:b/>
          <w:sz w:val="22"/>
          <w:szCs w:val="22"/>
        </w:rPr>
        <w:t>2.2  Conceptual</w:t>
      </w:r>
      <w:proofErr w:type="gramEnd"/>
      <w:r>
        <w:rPr>
          <w:rFonts w:ascii="Arial" w:eastAsia="Arial" w:hAnsi="Arial" w:cs="Arial"/>
          <w:b/>
          <w:sz w:val="22"/>
          <w:szCs w:val="22"/>
        </w:rPr>
        <w:t xml:space="preserve"> Framework</w:t>
      </w:r>
    </w:p>
    <w:p w:rsidR="0094047A" w:rsidRDefault="00C13554">
      <w:pPr>
        <w:pBdr>
          <w:top w:val="nil"/>
          <w:left w:val="nil"/>
          <w:bottom w:val="nil"/>
          <w:right w:val="nil"/>
          <w:between w:val="nil"/>
        </w:pBdr>
        <w:jc w:val="both"/>
        <w:rPr>
          <w:rFonts w:ascii="Arial" w:eastAsia="Arial" w:hAnsi="Arial" w:cs="Arial"/>
        </w:rPr>
      </w:pPr>
      <w:r>
        <w:rPr>
          <w:noProof/>
        </w:rPr>
        <w:drawing>
          <wp:anchor distT="114300" distB="114300" distL="114300" distR="114300" simplePos="0" relativeHeight="251651584" behindDoc="0" locked="0" layoutInCell="1" hidden="0" allowOverlap="1">
            <wp:simplePos x="0" y="0"/>
            <wp:positionH relativeFrom="column">
              <wp:posOffset>2113546</wp:posOffset>
            </wp:positionH>
            <wp:positionV relativeFrom="paragraph">
              <wp:posOffset>209334</wp:posOffset>
            </wp:positionV>
            <wp:extent cx="962025" cy="221364"/>
            <wp:effectExtent l="11669" t="77854" r="11669" b="77854"/>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6493" t="41845" r="7878" b="41038"/>
                    <a:stretch>
                      <a:fillRect/>
                    </a:stretch>
                  </pic:blipFill>
                  <pic:spPr>
                    <a:xfrm rot="569869">
                      <a:off x="0" y="0"/>
                      <a:ext cx="962025" cy="221364"/>
                    </a:xfrm>
                    <a:prstGeom prst="rect">
                      <a:avLst/>
                    </a:prstGeom>
                    <a:ln/>
                  </pic:spPr>
                </pic:pic>
              </a:graphicData>
            </a:graphic>
          </wp:anchor>
        </w:drawing>
      </w:r>
    </w:p>
    <w:p w:rsidR="0094047A" w:rsidRDefault="00C13554">
      <w:pPr>
        <w:pBdr>
          <w:top w:val="nil"/>
          <w:left w:val="nil"/>
          <w:bottom w:val="nil"/>
          <w:right w:val="nil"/>
          <w:between w:val="nil"/>
        </w:pBdr>
        <w:jc w:val="both"/>
        <w:rPr>
          <w:rFonts w:ascii="Arial" w:eastAsia="Arial" w:hAnsi="Arial" w:cs="Arial"/>
        </w:rPr>
      </w:pPr>
      <w:r>
        <w:rPr>
          <w:noProof/>
        </w:rPr>
        <mc:AlternateContent>
          <mc:Choice Requires="wps">
            <w:drawing>
              <wp:anchor distT="0" distB="0" distL="114300" distR="114300" simplePos="0" relativeHeight="251652608" behindDoc="0" locked="0" layoutInCell="1" hidden="0" allowOverlap="1">
                <wp:simplePos x="0" y="0"/>
                <wp:positionH relativeFrom="column">
                  <wp:posOffset>157163</wp:posOffset>
                </wp:positionH>
                <wp:positionV relativeFrom="paragraph">
                  <wp:posOffset>14288</wp:posOffset>
                </wp:positionV>
                <wp:extent cx="1926199" cy="345784"/>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4599900" y="3657900"/>
                          <a:ext cx="1492200" cy="244200"/>
                        </a:xfrm>
                        <a:prstGeom prst="rect">
                          <a:avLst/>
                        </a:prstGeom>
                        <a:solidFill>
                          <a:schemeClr val="lt1"/>
                        </a:solidFill>
                        <a:ln w="9525" cap="flat" cmpd="sng">
                          <a:solidFill>
                            <a:srgbClr val="000000"/>
                          </a:solidFill>
                          <a:prstDash val="solid"/>
                          <a:round/>
                          <a:headEnd type="none" w="sm" len="sm"/>
                          <a:tailEnd type="none" w="sm" len="sm"/>
                        </a:ln>
                      </wps:spPr>
                      <wps:txbx>
                        <w:txbxContent>
                          <w:p w:rsidR="0094047A" w:rsidRDefault="00C13554">
                            <w:pPr>
                              <w:spacing w:line="275" w:lineRule="auto"/>
                              <w:jc w:val="both"/>
                              <w:textDirection w:val="btLr"/>
                            </w:pPr>
                            <w:proofErr w:type="gramStart"/>
                            <w:r>
                              <w:rPr>
                                <w:rFonts w:ascii="Arial" w:eastAsia="Arial" w:hAnsi="Arial" w:cs="Arial"/>
                                <w:color w:val="000000"/>
                              </w:rPr>
                              <w:t>Corporate  Income</w:t>
                            </w:r>
                            <w:proofErr w:type="gramEnd"/>
                            <w:r>
                              <w:rPr>
                                <w:rFonts w:ascii="Arial" w:eastAsia="Arial" w:hAnsi="Arial" w:cs="Arial"/>
                                <w:color w:val="000000"/>
                              </w:rPr>
                              <w:t xml:space="preserve"> Tax</w:t>
                            </w:r>
                          </w:p>
                        </w:txbxContent>
                      </wps:txbx>
                      <wps:bodyPr spcFirstLastPara="1" wrap="square" lIns="91425" tIns="45700" rIns="91425" bIns="45700" anchor="t" anchorCtr="0">
                        <a:noAutofit/>
                      </wps:bodyPr>
                    </wps:wsp>
                  </a:graphicData>
                </a:graphic>
              </wp:anchor>
            </w:drawing>
          </mc:Choice>
          <mc:Fallback>
            <w:pict>
              <v:rect id="Rectangle 11" o:spid="_x0000_s1026" style="position:absolute;left:0;text-align:left;margin-left:12.4pt;margin-top:1.15pt;width:151.65pt;height:27.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" fillcolor="white [3201]">
                <v:stroke startarrowwidth="narrow" startarrowlength="short" endarrowwidth="narrow" endarrowlength="short" joinstyle="round"/>
                <v:textbox inset="2.53958mm,1.2694mm,2.53958mm,1.2694mm">
                  <w:txbxContent>
                    <w:p w:rsidR="0094047A" w:rsidRDefault="00C13554">
                      <w:pPr>
                        <w:spacing w:line="275" w:lineRule="auto"/>
                        <w:jc w:val="both"/>
                        <w:textDirection w:val="btLr"/>
                      </w:pPr>
                      <w:proofErr w:type="gramStart"/>
                      <w:r>
                        <w:rPr>
                          <w:rFonts w:ascii="Arial" w:eastAsia="Arial" w:hAnsi="Arial" w:cs="Arial"/>
                          <w:color w:val="000000"/>
                        </w:rPr>
                        <w:t>Corporate  Income</w:t>
                      </w:r>
                      <w:proofErr w:type="gramEnd"/>
                      <w:r>
                        <w:rPr>
                          <w:rFonts w:ascii="Arial" w:eastAsia="Arial" w:hAnsi="Arial" w:cs="Arial"/>
                          <w:color w:val="000000"/>
                        </w:rPr>
                        <w:t xml:space="preserve"> Tax</w:t>
                      </w:r>
                    </w:p>
                  </w:txbxContent>
                </v:textbox>
                <w10:wrap type="square"/>
              </v:rect>
            </w:pict>
          </mc:Fallback>
        </mc:AlternateContent>
      </w:r>
    </w:p>
    <w:p w:rsidR="0094047A" w:rsidRDefault="0094047A">
      <w:pP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noProof/>
        </w:rPr>
        <mc:AlternateContent>
          <mc:Choice Requires="wps">
            <w:drawing>
              <wp:anchor distT="0" distB="0" distL="114300" distR="114300" simplePos="0" relativeHeight="251653632" behindDoc="0" locked="0" layoutInCell="1" hidden="0" allowOverlap="1">
                <wp:simplePos x="0" y="0"/>
                <wp:positionH relativeFrom="column">
                  <wp:posOffset>3292792</wp:posOffset>
                </wp:positionH>
                <wp:positionV relativeFrom="paragraph">
                  <wp:posOffset>31738</wp:posOffset>
                </wp:positionV>
                <wp:extent cx="1926199" cy="564034"/>
                <wp:effectExtent l="0" t="0" r="0" b="0"/>
                <wp:wrapSquare wrapText="bothSides" distT="0" distB="0" distL="114300" distR="114300"/>
                <wp:docPr id="14" name="Rectangle 14"/>
                <wp:cNvGraphicFramePr/>
                <a:graphic xmlns:a="http://schemas.openxmlformats.org/drawingml/2006/main">
                  <a:graphicData uri="http://schemas.microsoft.com/office/word/2010/wordprocessingShape">
                    <wps:wsp>
                      <wps:cNvSpPr/>
                      <wps:spPr>
                        <a:xfrm>
                          <a:off x="4599900" y="3570450"/>
                          <a:ext cx="1492200" cy="419100"/>
                        </a:xfrm>
                        <a:prstGeom prst="rect">
                          <a:avLst/>
                        </a:prstGeom>
                        <a:solidFill>
                          <a:schemeClr val="lt1"/>
                        </a:solidFill>
                        <a:ln w="9525" cap="flat" cmpd="sng">
                          <a:solidFill>
                            <a:srgbClr val="000000"/>
                          </a:solidFill>
                          <a:prstDash val="solid"/>
                          <a:round/>
                          <a:headEnd type="none" w="sm" len="sm"/>
                          <a:tailEnd type="none" w="sm" len="sm"/>
                        </a:ln>
                      </wps:spPr>
                      <wps:txbx>
                        <w:txbxContent>
                          <w:p w:rsidR="0094047A" w:rsidRDefault="00C13554">
                            <w:pPr>
                              <w:spacing w:line="275" w:lineRule="auto"/>
                              <w:jc w:val="center"/>
                              <w:textDirection w:val="btLr"/>
                            </w:pPr>
                            <w:r>
                              <w:rPr>
                                <w:rFonts w:ascii="Arial" w:eastAsia="Arial" w:hAnsi="Arial" w:cs="Arial"/>
                                <w:color w:val="000000"/>
                              </w:rPr>
                              <w:t>Gross Domestic Product (GDP)</w:t>
                            </w:r>
                          </w:p>
                        </w:txbxContent>
                      </wps:txbx>
                      <wps:bodyPr spcFirstLastPara="1" wrap="square" lIns="91425" tIns="45700" rIns="91425" bIns="45700" anchor="t" anchorCtr="0">
                        <a:noAutofit/>
                      </wps:bodyPr>
                    </wps:wsp>
                  </a:graphicData>
                </a:graphic>
              </wp:anchor>
            </w:drawing>
          </mc:Choice>
          <mc:Fallback>
            <w:pict>
              <v:rect id="Rectangle 14" o:spid="_x0000_s1027" style="position:absolute;left:0;text-align:left;margin-left:259.25pt;margin-top:2.5pt;width:151.65pt;height:44.4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" fillcolor="white [3201]">
                <v:stroke startarrowwidth="narrow" startarrowlength="short" endarrowwidth="narrow" endarrowlength="short" joinstyle="round"/>
                <v:textbox inset="2.53958mm,1.2694mm,2.53958mm,1.2694mm">
                  <w:txbxContent>
                    <w:p w:rsidR="0094047A" w:rsidRDefault="00C13554">
                      <w:pPr>
                        <w:spacing w:line="275" w:lineRule="auto"/>
                        <w:jc w:val="center"/>
                        <w:textDirection w:val="btLr"/>
                      </w:pPr>
                      <w:r>
                        <w:rPr>
                          <w:rFonts w:ascii="Arial" w:eastAsia="Arial" w:hAnsi="Arial" w:cs="Arial"/>
                          <w:color w:val="000000"/>
                        </w:rPr>
                        <w:t>Gross Domestic Product (GDP)</w:t>
                      </w:r>
                    </w:p>
                  </w:txbxContent>
                </v:textbox>
                <w10:wrap type="square"/>
              </v:rect>
            </w:pict>
          </mc:Fallback>
        </mc:AlternateContent>
      </w:r>
      <w:r>
        <w:rPr>
          <w:noProof/>
        </w:rPr>
        <w:drawing>
          <wp:anchor distT="114300" distB="114300" distL="114300" distR="114300" simplePos="0" relativeHeight="251654656" behindDoc="0" locked="0" layoutInCell="1" hidden="0" allowOverlap="1">
            <wp:simplePos x="0" y="0"/>
            <wp:positionH relativeFrom="column">
              <wp:posOffset>2125028</wp:posOffset>
            </wp:positionH>
            <wp:positionV relativeFrom="paragraph">
              <wp:posOffset>203187</wp:posOffset>
            </wp:positionV>
            <wp:extent cx="962978" cy="22157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6493" t="41845" r="7878" b="41038"/>
                    <a:stretch>
                      <a:fillRect/>
                    </a:stretch>
                  </pic:blipFill>
                  <pic:spPr>
                    <a:xfrm>
                      <a:off x="0" y="0"/>
                      <a:ext cx="962978" cy="221570"/>
                    </a:xfrm>
                    <a:prstGeom prst="rect">
                      <a:avLst/>
                    </a:prstGeom>
                    <a:ln/>
                  </pic:spPr>
                </pic:pic>
              </a:graphicData>
            </a:graphic>
          </wp:anchor>
        </w:drawing>
      </w:r>
    </w:p>
    <w:p w:rsidR="0094047A" w:rsidRDefault="00C13554">
      <w:pPr>
        <w:pBdr>
          <w:top w:val="nil"/>
          <w:left w:val="nil"/>
          <w:bottom w:val="nil"/>
          <w:right w:val="nil"/>
          <w:between w:val="nil"/>
        </w:pBdr>
        <w:jc w:val="both"/>
        <w:rPr>
          <w:rFonts w:ascii="Arial" w:eastAsia="Arial" w:hAnsi="Arial" w:cs="Arial"/>
        </w:rPr>
      </w:pPr>
      <w:r>
        <w:rPr>
          <w:noProof/>
        </w:rPr>
        <mc:AlternateContent>
          <mc:Choice Requires="wps">
            <w:drawing>
              <wp:anchor distT="0" distB="0" distL="114300" distR="114300" simplePos="0" relativeHeight="251655680" behindDoc="0" locked="0" layoutInCell="1" hidden="0" allowOverlap="1">
                <wp:simplePos x="0" y="0"/>
                <wp:positionH relativeFrom="column">
                  <wp:posOffset>157163</wp:posOffset>
                </wp:positionH>
                <wp:positionV relativeFrom="paragraph">
                  <wp:posOffset>-4761</wp:posOffset>
                </wp:positionV>
                <wp:extent cx="1926199" cy="347052"/>
                <wp:effectExtent l="0" t="0" r="0" b="0"/>
                <wp:wrapSquare wrapText="bothSides" distT="0" distB="0" distL="114300" distR="114300"/>
                <wp:docPr id="15" name="Rectangle 15"/>
                <wp:cNvGraphicFramePr/>
                <a:graphic xmlns:a="http://schemas.openxmlformats.org/drawingml/2006/main">
                  <a:graphicData uri="http://schemas.microsoft.com/office/word/2010/wordprocessingShape">
                    <wps:wsp>
                      <wps:cNvSpPr/>
                      <wps:spPr>
                        <a:xfrm>
                          <a:off x="4599900" y="3657900"/>
                          <a:ext cx="1492200" cy="244200"/>
                        </a:xfrm>
                        <a:prstGeom prst="rect">
                          <a:avLst/>
                        </a:prstGeom>
                        <a:solidFill>
                          <a:schemeClr val="lt1"/>
                        </a:solidFill>
                        <a:ln w="9525" cap="flat" cmpd="sng">
                          <a:solidFill>
                            <a:srgbClr val="000000"/>
                          </a:solidFill>
                          <a:prstDash val="solid"/>
                          <a:round/>
                          <a:headEnd type="none" w="sm" len="sm"/>
                          <a:tailEnd type="none" w="sm" len="sm"/>
                        </a:ln>
                      </wps:spPr>
                      <wps:txbx>
                        <w:txbxContent>
                          <w:p w:rsidR="0094047A" w:rsidRDefault="00C13554">
                            <w:pPr>
                              <w:spacing w:line="275" w:lineRule="auto"/>
                              <w:jc w:val="center"/>
                              <w:textDirection w:val="btLr"/>
                            </w:pPr>
                            <w:r>
                              <w:rPr>
                                <w:rFonts w:ascii="Arial" w:eastAsia="Arial" w:hAnsi="Arial" w:cs="Arial"/>
                                <w:color w:val="000000"/>
                              </w:rPr>
                              <w:t>Value Added Tax</w:t>
                            </w:r>
                          </w:p>
                        </w:txbxContent>
                      </wps:txbx>
                      <wps:bodyPr spcFirstLastPara="1" wrap="square" lIns="91425" tIns="45700" rIns="91425" bIns="45700" anchor="t" anchorCtr="0">
                        <a:noAutofit/>
                      </wps:bodyPr>
                    </wps:wsp>
                  </a:graphicData>
                </a:graphic>
              </wp:anchor>
            </w:drawing>
          </mc:Choice>
          <mc:Fallback>
            <w:pict>
              <v:rect id="Rectangle 15" o:spid="_x0000_s1028" style="position:absolute;left:0;text-align:left;margin-left:12.4pt;margin-top:-.35pt;width:151.65pt;height:27.3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" fillcolor="white [3201]">
                <v:stroke startarrowwidth="narrow" startarrowlength="short" endarrowwidth="narrow" endarrowlength="short" joinstyle="round"/>
                <v:textbox inset="2.53958mm,1.2694mm,2.53958mm,1.2694mm">
                  <w:txbxContent>
                    <w:p w:rsidR="0094047A" w:rsidRDefault="00C13554">
                      <w:pPr>
                        <w:spacing w:line="275" w:lineRule="auto"/>
                        <w:jc w:val="center"/>
                        <w:textDirection w:val="btLr"/>
                      </w:pPr>
                      <w:r>
                        <w:rPr>
                          <w:rFonts w:ascii="Arial" w:eastAsia="Arial" w:hAnsi="Arial" w:cs="Arial"/>
                          <w:color w:val="000000"/>
                        </w:rPr>
                        <w:t>Value Added Tax</w:t>
                      </w:r>
                    </w:p>
                  </w:txbxContent>
                </v:textbox>
                <w10:wrap type="square"/>
              </v:rect>
            </w:pict>
          </mc:Fallback>
        </mc:AlternateContent>
      </w:r>
    </w:p>
    <w:p w:rsidR="0094047A" w:rsidRDefault="00C13554">
      <w:pPr>
        <w:jc w:val="both"/>
        <w:rPr>
          <w:rFonts w:ascii="Arial" w:eastAsia="Arial" w:hAnsi="Arial" w:cs="Arial"/>
        </w:rPr>
      </w:pPr>
      <w:r>
        <w:rPr>
          <w:noProof/>
        </w:rPr>
        <w:drawing>
          <wp:anchor distT="114300" distB="114300" distL="114300" distR="114300" simplePos="0" relativeHeight="251656704" behindDoc="0" locked="0" layoutInCell="1" hidden="0" allowOverlap="1">
            <wp:simplePos x="0" y="0"/>
            <wp:positionH relativeFrom="column">
              <wp:posOffset>2114554</wp:posOffset>
            </wp:positionH>
            <wp:positionV relativeFrom="paragraph">
              <wp:posOffset>180796</wp:posOffset>
            </wp:positionV>
            <wp:extent cx="962025" cy="221364"/>
            <wp:effectExtent l="11665" t="77789" r="11665" b="77789"/>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6493" t="41845" r="7878" b="41038"/>
                    <a:stretch>
                      <a:fillRect/>
                    </a:stretch>
                  </pic:blipFill>
                  <pic:spPr>
                    <a:xfrm rot="21030619">
                      <a:off x="0" y="0"/>
                      <a:ext cx="962025" cy="221364"/>
                    </a:xfrm>
                    <a:prstGeom prst="rect">
                      <a:avLst/>
                    </a:prstGeom>
                    <a:ln/>
                  </pic:spPr>
                </pic:pic>
              </a:graphicData>
            </a:graphic>
          </wp:anchor>
        </w:drawing>
      </w:r>
    </w:p>
    <w:p w:rsidR="0094047A" w:rsidRDefault="00C13554">
      <w:pPr>
        <w:pBdr>
          <w:top w:val="nil"/>
          <w:left w:val="nil"/>
          <w:bottom w:val="nil"/>
          <w:right w:val="nil"/>
          <w:between w:val="nil"/>
        </w:pBdr>
        <w:jc w:val="both"/>
        <w:rPr>
          <w:rFonts w:ascii="Arial" w:eastAsia="Arial" w:hAnsi="Arial" w:cs="Arial"/>
        </w:rPr>
      </w:pPr>
      <w:r>
        <w:rPr>
          <w:noProof/>
        </w:rPr>
        <mc:AlternateContent>
          <mc:Choice Requires="wps">
            <w:drawing>
              <wp:anchor distT="0" distB="0" distL="114300" distR="114300" simplePos="0" relativeHeight="251657728" behindDoc="0" locked="0" layoutInCell="1" hidden="0" allowOverlap="1">
                <wp:simplePos x="0" y="0"/>
                <wp:positionH relativeFrom="column">
                  <wp:posOffset>157163</wp:posOffset>
                </wp:positionH>
                <wp:positionV relativeFrom="paragraph">
                  <wp:posOffset>122226</wp:posOffset>
                </wp:positionV>
                <wp:extent cx="1926199" cy="347052"/>
                <wp:effectExtent l="0" t="0" r="0" b="0"/>
                <wp:wrapSquare wrapText="bothSides" distT="0" distB="0" distL="114300" distR="114300"/>
                <wp:docPr id="12" name="Rectangle 12"/>
                <wp:cNvGraphicFramePr/>
                <a:graphic xmlns:a="http://schemas.openxmlformats.org/drawingml/2006/main">
                  <a:graphicData uri="http://schemas.microsoft.com/office/word/2010/wordprocessingShape">
                    <wps:wsp>
                      <wps:cNvSpPr/>
                      <wps:spPr>
                        <a:xfrm>
                          <a:off x="4599900" y="3657900"/>
                          <a:ext cx="1492200" cy="244200"/>
                        </a:xfrm>
                        <a:prstGeom prst="rect">
                          <a:avLst/>
                        </a:prstGeom>
                        <a:solidFill>
                          <a:schemeClr val="lt1"/>
                        </a:solidFill>
                        <a:ln w="9525" cap="flat" cmpd="sng">
                          <a:solidFill>
                            <a:srgbClr val="000000"/>
                          </a:solidFill>
                          <a:prstDash val="solid"/>
                          <a:round/>
                          <a:headEnd type="none" w="sm" len="sm"/>
                          <a:tailEnd type="none" w="sm" len="sm"/>
                        </a:ln>
                      </wps:spPr>
                      <wps:txbx>
                        <w:txbxContent>
                          <w:p w:rsidR="0094047A" w:rsidRDefault="00C13554">
                            <w:pPr>
                              <w:spacing w:line="275" w:lineRule="auto"/>
                              <w:jc w:val="center"/>
                              <w:textDirection w:val="btLr"/>
                            </w:pPr>
                            <w:r>
                              <w:rPr>
                                <w:rFonts w:ascii="Arial" w:eastAsia="Arial" w:hAnsi="Arial" w:cs="Arial"/>
                                <w:color w:val="000000"/>
                              </w:rPr>
                              <w:t>Excise Tax</w:t>
                            </w:r>
                          </w:p>
                        </w:txbxContent>
                      </wps:txbx>
                      <wps:bodyPr spcFirstLastPara="1" wrap="square" lIns="91425" tIns="45700" rIns="91425" bIns="45700" anchor="t" anchorCtr="0">
                        <a:noAutofit/>
                      </wps:bodyPr>
                    </wps:wsp>
                  </a:graphicData>
                </a:graphic>
              </wp:anchor>
            </w:drawing>
          </mc:Choice>
          <mc:Fallback>
            <w:pict>
              <v:rect id="Rectangle 12" o:spid="_x0000_s1029" style="position:absolute;left:0;text-align:left;margin-left:12.4pt;margin-top:9.6pt;width:151.65pt;height:27.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" fillcolor="white [3201]">
                <v:stroke startarrowwidth="narrow" startarrowlength="short" endarrowwidth="narrow" endarrowlength="short" joinstyle="round"/>
                <v:textbox inset="2.53958mm,1.2694mm,2.53958mm,1.2694mm">
                  <w:txbxContent>
                    <w:p w:rsidR="0094047A" w:rsidRDefault="00C13554">
                      <w:pPr>
                        <w:spacing w:line="275" w:lineRule="auto"/>
                        <w:jc w:val="center"/>
                        <w:textDirection w:val="btLr"/>
                      </w:pPr>
                      <w:r>
                        <w:rPr>
                          <w:rFonts w:ascii="Arial" w:eastAsia="Arial" w:hAnsi="Arial" w:cs="Arial"/>
                          <w:color w:val="000000"/>
                        </w:rPr>
                        <w:t>Excise Tax</w:t>
                      </w:r>
                    </w:p>
                  </w:txbxContent>
                </v:textbox>
                <w10:wrap type="square"/>
              </v:rect>
            </w:pict>
          </mc:Fallback>
        </mc:AlternateContent>
      </w:r>
    </w:p>
    <w:p w:rsidR="0094047A" w:rsidRDefault="0094047A">
      <w:pPr>
        <w:pBdr>
          <w:top w:val="nil"/>
          <w:left w:val="nil"/>
          <w:bottom w:val="nil"/>
          <w:right w:val="nil"/>
          <w:between w:val="nil"/>
        </w:pBdr>
        <w:jc w:val="both"/>
        <w:rPr>
          <w:rFonts w:ascii="Arial" w:eastAsia="Arial" w:hAnsi="Arial" w:cs="Arial"/>
        </w:rPr>
      </w:pPr>
    </w:p>
    <w:p w:rsidR="0094047A" w:rsidRDefault="0094047A">
      <w:pPr>
        <w:pBdr>
          <w:top w:val="nil"/>
          <w:left w:val="nil"/>
          <w:bottom w:val="nil"/>
          <w:right w:val="nil"/>
          <w:between w:val="nil"/>
        </w:pBdr>
        <w:jc w:val="both"/>
        <w:rPr>
          <w:rFonts w:ascii="Arial" w:eastAsia="Arial" w:hAnsi="Arial" w:cs="Arial"/>
        </w:rPr>
      </w:pPr>
    </w:p>
    <w:p w:rsidR="0094047A" w:rsidRDefault="0094047A">
      <w:pPr>
        <w:pBdr>
          <w:top w:val="nil"/>
          <w:left w:val="nil"/>
          <w:bottom w:val="nil"/>
          <w:right w:val="nil"/>
          <w:between w:val="nil"/>
        </w:pBdr>
        <w:jc w:val="both"/>
        <w:rPr>
          <w:rFonts w:ascii="Arial" w:eastAsia="Arial" w:hAnsi="Arial" w:cs="Arial"/>
        </w:rPr>
      </w:pPr>
    </w:p>
    <w:p w:rsidR="0094047A" w:rsidRDefault="00C13554">
      <w:pPr>
        <w:jc w:val="both"/>
        <w:rPr>
          <w:rFonts w:ascii="Arial" w:eastAsia="Arial" w:hAnsi="Arial" w:cs="Arial"/>
          <w:b/>
        </w:rPr>
      </w:pPr>
      <w:r>
        <w:rPr>
          <w:rFonts w:ascii="Arial" w:eastAsia="Arial" w:hAnsi="Arial" w:cs="Arial"/>
          <w:b/>
        </w:rPr>
        <w:t>Fig. 1. Conceptual Framework depicting the relationship of variables.</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b/>
          <w:u w:val="single"/>
        </w:rPr>
      </w:pPr>
      <w:r>
        <w:rPr>
          <w:rFonts w:ascii="Arial" w:eastAsia="Arial" w:hAnsi="Arial" w:cs="Arial"/>
          <w:b/>
          <w:u w:val="single"/>
        </w:rPr>
        <w:t>2.2.1 Corporate Income Tax</w:t>
      </w: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 xml:space="preserve">Corporate income tax (CIT) is a principal component of government revenue systems and is levied on the profits of corporations and other juridical persons. As a major revenue instrument, CIT influences capital allocation, firm investment decisions, and the fiscal capacity of the state to provide public goods and services. In the Philippines, </w:t>
      </w:r>
      <w:r w:rsidR="008E1FB6">
        <w:rPr>
          <w:rFonts w:ascii="Arial" w:eastAsia="Arial" w:hAnsi="Arial" w:cs="Arial"/>
        </w:rPr>
        <w:t>“</w:t>
      </w:r>
      <w:r>
        <w:rPr>
          <w:rFonts w:ascii="Arial" w:eastAsia="Arial" w:hAnsi="Arial" w:cs="Arial"/>
        </w:rPr>
        <w:t xml:space="preserve">the Corporate Recovery and Tax Incentives for Enterprises (CREATE) Act of 2021 reduced the headline corporate income tax rate from 30% to 25% for large corporations and to 20% for qualified small and </w:t>
      </w:r>
      <w:r>
        <w:rPr>
          <w:rFonts w:ascii="Arial" w:eastAsia="Arial" w:hAnsi="Arial" w:cs="Arial"/>
        </w:rPr>
        <w:lastRenderedPageBreak/>
        <w:t>medium enterprises (SMEs) with net taxable income below PHP 5 million and total assets under PHP 100 million. This reform was intended to enhance competitiveness, encourage reinvestment, and align the country’s statutory rate with regional peers</w:t>
      </w:r>
      <w:r w:rsidR="008E1FB6">
        <w:rPr>
          <w:rFonts w:ascii="Arial" w:eastAsia="Arial" w:hAnsi="Arial" w:cs="Arial"/>
        </w:rPr>
        <w:t>”</w:t>
      </w:r>
      <w:bookmarkStart w:id="0" w:name="_GoBack"/>
      <w:bookmarkEnd w:id="0"/>
      <w:r>
        <w:rPr>
          <w:rFonts w:ascii="Arial" w:eastAsia="Arial" w:hAnsi="Arial" w:cs="Arial"/>
        </w:rPr>
        <w:t xml:space="preserve"> (</w:t>
      </w:r>
      <w:proofErr w:type="spellStart"/>
      <w:r>
        <w:rPr>
          <w:rFonts w:ascii="Arial" w:eastAsia="Arial" w:hAnsi="Arial" w:cs="Arial"/>
        </w:rPr>
        <w:t>Gatdula</w:t>
      </w:r>
      <w:proofErr w:type="spellEnd"/>
      <w:r>
        <w:rPr>
          <w:rFonts w:ascii="Arial" w:eastAsia="Arial" w:hAnsi="Arial" w:cs="Arial"/>
        </w:rPr>
        <w:t xml:space="preserve">, 2022; </w:t>
      </w:r>
      <w:proofErr w:type="spellStart"/>
      <w:r>
        <w:rPr>
          <w:rFonts w:ascii="Arial" w:eastAsia="Arial" w:hAnsi="Arial" w:cs="Arial"/>
        </w:rPr>
        <w:t>Acclime</w:t>
      </w:r>
      <w:proofErr w:type="spellEnd"/>
      <w:r>
        <w:rPr>
          <w:rFonts w:ascii="Arial" w:eastAsia="Arial" w:hAnsi="Arial" w:cs="Arial"/>
        </w:rPr>
        <w:t>, 2025b).</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highlight w:val="yellow"/>
        </w:rPr>
      </w:pPr>
      <w:r>
        <w:rPr>
          <w:rFonts w:ascii="Arial" w:eastAsia="Arial" w:hAnsi="Arial" w:cs="Arial"/>
          <w:highlight w:val="yellow"/>
        </w:rPr>
        <w:t>Meanwhile, CREATE MORE or Republic Act 12066 was signed into law on November 28, 2024. Unlike the CREATE Act, which primarily reduced the corporate income tax rate and introduced the ITH, ED, and SCIT incentive regimes, the CREATE MORE Act builds on these reforms with more targeted adjustments. It lowers the tax rate for registered business enterprises under the Enhanced Deductions regime from 25% to 20%, establishes the RBE Local Tax to resolve uncertainties on local taxation, and allows firms to immediately avail of SCIT or ED without first undergoing an income tax holiday. It also streamlines business operations by permitting tax and duty-free imports prior to registration, subject to a performance bond. These distinctions aim to enhance the country’s competitiveness in attracting investment (Cruz, 2025).</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b/>
          <w:u w:val="single"/>
        </w:rPr>
      </w:pPr>
      <w:r>
        <w:rPr>
          <w:rFonts w:ascii="Arial" w:eastAsia="Arial" w:hAnsi="Arial" w:cs="Arial"/>
          <w:b/>
          <w:u w:val="single"/>
        </w:rPr>
        <w:t>2.2.2 Value Added Tax</w:t>
      </w: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 xml:space="preserve">Value-Added Tax (VAT) is a broad-based consumption tax applied at each stage of production with credit for input taxes. </w:t>
      </w:r>
      <w:r>
        <w:rPr>
          <w:rFonts w:ascii="Arial" w:eastAsia="Arial" w:hAnsi="Arial" w:cs="Arial"/>
          <w:highlight w:val="yellow"/>
        </w:rPr>
        <w:t>According to the National Tax Research Center (2017) since its introduction in 1988 through Executive Order 273, the Philippine VAT system has undergone several amendments, including RA 9337 or the Reformed VAT Law, which raised the VAT rate from 10% to 12%. This was implemented on November 1, 2005 and took effect on Feb. 1, 2006 via BIR Revenue Memorandum Circular (RMC) No. 7-2006</w:t>
      </w:r>
      <w:r>
        <w:rPr>
          <w:rFonts w:ascii="Arial" w:eastAsia="Arial" w:hAnsi="Arial" w:cs="Arial"/>
        </w:rPr>
        <w:t xml:space="preserve">. Moreover, the TRAIN law (2017) introduced measures such as narrowing exemptions and raising thresholds, thereby broadening the taxable base and reducing distortions from preferential treatment (National Tax Research Center, 2018; </w:t>
      </w:r>
      <w:proofErr w:type="spellStart"/>
      <w:r>
        <w:rPr>
          <w:rFonts w:ascii="Arial" w:eastAsia="Arial" w:hAnsi="Arial" w:cs="Arial"/>
        </w:rPr>
        <w:t>Acclime</w:t>
      </w:r>
      <w:proofErr w:type="spellEnd"/>
      <w:r>
        <w:rPr>
          <w:rFonts w:ascii="Arial" w:eastAsia="Arial" w:hAnsi="Arial" w:cs="Arial"/>
        </w:rPr>
        <w:t>, 2025a). VAT plays a stabilizing role in fiscal policy by generating predictable revenues that fund infrastructure, social services, and public investment. This indirect support for growth, however, comes with trade-offs. As a consumption tax, VAT may reduce household purchasing power when disposable income is low, which can dampen its positive impact on overall demand (Belau et al., 2025).</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b/>
          <w:u w:val="single"/>
        </w:rPr>
      </w:pPr>
      <w:r>
        <w:rPr>
          <w:rFonts w:ascii="Arial" w:eastAsia="Arial" w:hAnsi="Arial" w:cs="Arial"/>
          <w:b/>
          <w:u w:val="single"/>
        </w:rPr>
        <w:t>2.2.3 Excise Tax</w:t>
      </w:r>
    </w:p>
    <w:p w:rsidR="0094047A" w:rsidRDefault="00C13554">
      <w:pPr>
        <w:pBdr>
          <w:top w:val="nil"/>
          <w:left w:val="nil"/>
          <w:bottom w:val="nil"/>
          <w:right w:val="nil"/>
          <w:between w:val="nil"/>
        </w:pBdr>
        <w:jc w:val="both"/>
        <w:rPr>
          <w:rFonts w:ascii="Arial" w:eastAsia="Arial" w:hAnsi="Arial" w:cs="Arial"/>
          <w:highlight w:val="yellow"/>
        </w:rPr>
      </w:pPr>
      <w:r>
        <w:rPr>
          <w:rFonts w:ascii="Arial" w:eastAsia="Arial" w:hAnsi="Arial" w:cs="Arial"/>
        </w:rPr>
        <w:t xml:space="preserve">Excise taxes are selective levies on specific goods and services such as fuel, tobacco, alcohol, and sugar-sweetened beverages. These taxes can be structured as either per-unit charges or percentage-based rates, serving both as revenue tools and as policy instruments to curb negative externalities. The Philippines has enacted notable excise reforms, including the Sin Tax Law (2012, expanded 2019), which significantly raised taxes on tobacco and alcohol while earmarking part of the proceeds for health financing (Kaiser, 2016)]. The TRAIN law (2017) likewise increased excise rates on fuel and sweetened beverages, aiming to generate revenue while addressing public health and environmental concerns </w:t>
      </w:r>
      <w:proofErr w:type="gramStart"/>
      <w:r>
        <w:rPr>
          <w:rFonts w:ascii="Arial" w:eastAsia="Arial" w:hAnsi="Arial" w:cs="Arial"/>
        </w:rPr>
        <w:t>( Bureau</w:t>
      </w:r>
      <w:proofErr w:type="gramEnd"/>
      <w:r>
        <w:rPr>
          <w:rFonts w:ascii="Arial" w:eastAsia="Arial" w:hAnsi="Arial" w:cs="Arial"/>
        </w:rPr>
        <w:t xml:space="preserve"> of Internal Revenue, </w:t>
      </w:r>
      <w:proofErr w:type="spellStart"/>
      <w:r>
        <w:rPr>
          <w:rFonts w:ascii="Arial" w:eastAsia="Arial" w:hAnsi="Arial" w:cs="Arial"/>
        </w:rPr>
        <w:t>n.d</w:t>
      </w:r>
      <w:proofErr w:type="spellEnd"/>
      <w:r>
        <w:rPr>
          <w:rFonts w:ascii="Arial" w:eastAsia="Arial" w:hAnsi="Arial" w:cs="Arial"/>
        </w:rPr>
        <w:t xml:space="preserve">). </w:t>
      </w:r>
      <w:r>
        <w:rPr>
          <w:rFonts w:ascii="Arial" w:eastAsia="Arial" w:hAnsi="Arial" w:cs="Arial"/>
          <w:highlight w:val="yellow"/>
        </w:rPr>
        <w:t xml:space="preserve">Moreover, </w:t>
      </w:r>
      <w:proofErr w:type="gramStart"/>
      <w:r>
        <w:rPr>
          <w:rFonts w:ascii="Arial" w:eastAsia="Arial" w:hAnsi="Arial" w:cs="Arial"/>
          <w:highlight w:val="yellow"/>
        </w:rPr>
        <w:t>a  5</w:t>
      </w:r>
      <w:proofErr w:type="gramEnd"/>
      <w:r>
        <w:rPr>
          <w:rFonts w:ascii="Arial" w:eastAsia="Arial" w:hAnsi="Arial" w:cs="Arial"/>
          <w:highlight w:val="yellow"/>
        </w:rPr>
        <w:t>% excise tax on invasive cosmetic procedures was introduced under the TRAIN Law (RA 10963) in 2018 under Section 150-A under Chapter VI, Title VI of the National Internal Revenue Code of 1997. Although it may not be considered as a major revenue source and still lacks rules and regulations, this revenue is expected to raise eventually as taxpayers showed willingness to pay (</w:t>
      </w:r>
      <w:proofErr w:type="spellStart"/>
      <w:r>
        <w:rPr>
          <w:rFonts w:ascii="Arial" w:eastAsia="Arial" w:hAnsi="Arial" w:cs="Arial"/>
          <w:highlight w:val="yellow"/>
        </w:rPr>
        <w:t>Seacor</w:t>
      </w:r>
      <w:proofErr w:type="spellEnd"/>
      <w:r>
        <w:rPr>
          <w:rFonts w:ascii="Arial" w:eastAsia="Arial" w:hAnsi="Arial" w:cs="Arial"/>
          <w:highlight w:val="yellow"/>
        </w:rPr>
        <w:t>, 2021).</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b/>
          <w:u w:val="single"/>
        </w:rPr>
      </w:pPr>
      <w:r>
        <w:rPr>
          <w:rFonts w:ascii="Arial" w:eastAsia="Arial" w:hAnsi="Arial" w:cs="Arial"/>
          <w:b/>
          <w:u w:val="single"/>
        </w:rPr>
        <w:t>2.2.4 Philippine Tax Reforms</w:t>
      </w: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 xml:space="preserve">Collectively, recent Philippine tax reforms illustrate a comprehensive approach to modernizing fiscal policy. The Sin Tax Law targeted health and financing needs, TRAIN prioritized revenue mobilization and base broadening, while CREATE lowered corporate rates to boost competitiveness (Kaiser, 2016). </w:t>
      </w:r>
      <w:r>
        <w:rPr>
          <w:rFonts w:ascii="Arial" w:eastAsia="Arial" w:hAnsi="Arial" w:cs="Arial"/>
          <w:highlight w:val="yellow"/>
        </w:rPr>
        <w:t xml:space="preserve">This was further developed and improved under CREATE MORE, which refined corporate tax incentives, clarified local taxation rules, and provided greater flexibility for registered business enterprises in availing Special Corporate Income Tax </w:t>
      </w:r>
      <w:r>
        <w:rPr>
          <w:rFonts w:ascii="Arial" w:eastAsia="Arial" w:hAnsi="Arial" w:cs="Arial"/>
          <w:highlight w:val="yellow"/>
        </w:rPr>
        <w:lastRenderedPageBreak/>
        <w:t>or Enhanced Deductions (Cruz, 2025)</w:t>
      </w:r>
      <w:r>
        <w:rPr>
          <w:rFonts w:ascii="Arial" w:eastAsia="Arial" w:hAnsi="Arial" w:cs="Arial"/>
        </w:rPr>
        <w:t xml:space="preserve">. These reforms collectively aim to expand the tax base, enhance efficiency, improve equity through targeted excises, and strengthen the tax-to-GDP ratio. Their effectiveness, however, relies heavily on sustained administrative improvements, timely rate indexation, and policies that shield vulnerable groups from short-term burdens (National Tax Research Center, 2018; </w:t>
      </w:r>
      <w:proofErr w:type="spellStart"/>
      <w:r>
        <w:rPr>
          <w:rFonts w:ascii="Arial" w:eastAsia="Arial" w:hAnsi="Arial" w:cs="Arial"/>
        </w:rPr>
        <w:t>Acclime</w:t>
      </w:r>
      <w:proofErr w:type="spellEnd"/>
      <w:r>
        <w:rPr>
          <w:rFonts w:ascii="Arial" w:eastAsia="Arial" w:hAnsi="Arial" w:cs="Arial"/>
        </w:rPr>
        <w:t>, 2025a).</w:t>
      </w:r>
    </w:p>
    <w:p w:rsidR="0094047A" w:rsidRDefault="0094047A">
      <w:pPr>
        <w:pBdr>
          <w:top w:val="nil"/>
          <w:left w:val="nil"/>
          <w:bottom w:val="nil"/>
          <w:right w:val="nil"/>
          <w:between w:val="nil"/>
        </w:pBdr>
        <w:jc w:val="both"/>
        <w:rPr>
          <w:rFonts w:ascii="Arial" w:eastAsia="Arial" w:hAnsi="Arial" w:cs="Arial"/>
        </w:rPr>
      </w:pPr>
    </w:p>
    <w:p w:rsidR="0094047A" w:rsidRDefault="0094047A">
      <w:pPr>
        <w:pBdr>
          <w:top w:val="nil"/>
          <w:left w:val="nil"/>
          <w:bottom w:val="nil"/>
          <w:right w:val="nil"/>
          <w:between w:val="nil"/>
        </w:pBdr>
        <w:jc w:val="both"/>
        <w:rPr>
          <w:rFonts w:ascii="Arial" w:eastAsia="Arial" w:hAnsi="Arial" w:cs="Arial"/>
        </w:rPr>
      </w:pPr>
    </w:p>
    <w:p w:rsidR="0094047A" w:rsidRDefault="00C13554">
      <w:pPr>
        <w:tabs>
          <w:tab w:val="left" w:pos="1080"/>
        </w:tabs>
        <w:jc w:val="both"/>
        <w:rPr>
          <w:rFonts w:ascii="Times New Roman" w:eastAsia="Times New Roman" w:hAnsi="Times New Roman" w:cs="Times New Roman"/>
          <w:sz w:val="24"/>
          <w:szCs w:val="24"/>
        </w:rPr>
      </w:pPr>
      <w:r>
        <w:rPr>
          <w:rFonts w:ascii="Arial" w:eastAsia="Arial" w:hAnsi="Arial" w:cs="Arial"/>
          <w:b/>
        </w:rPr>
        <w:t>Table 1.</w:t>
      </w:r>
      <w:r>
        <w:rPr>
          <w:rFonts w:ascii="Arial" w:eastAsia="Arial" w:hAnsi="Arial" w:cs="Arial"/>
          <w:b/>
        </w:rPr>
        <w:tab/>
        <w:t>Philippine Tax Reform Highlight</w:t>
      </w:r>
    </w:p>
    <w:tbl>
      <w:tblPr>
        <w:tblStyle w:val="a6"/>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0"/>
        <w:gridCol w:w="3220"/>
        <w:gridCol w:w="3220"/>
      </w:tblGrid>
      <w:tr w:rsidR="0094047A">
        <w:trPr>
          <w:trHeight w:val="199"/>
        </w:trPr>
        <w:tc>
          <w:tcPr>
            <w:tcW w:w="3220" w:type="dxa"/>
            <w:tcMar>
              <w:top w:w="100" w:type="dxa"/>
              <w:left w:w="100" w:type="dxa"/>
              <w:bottom w:w="100" w:type="dxa"/>
              <w:right w:w="100" w:type="dxa"/>
            </w:tcMar>
          </w:tcPr>
          <w:p w:rsidR="0094047A" w:rsidRDefault="00C13554">
            <w:pPr>
              <w:widowControl w:val="0"/>
              <w:jc w:val="center"/>
              <w:rPr>
                <w:rFonts w:ascii="Arial" w:eastAsia="Arial" w:hAnsi="Arial" w:cs="Arial"/>
                <w:b/>
              </w:rPr>
            </w:pPr>
            <w:r>
              <w:rPr>
                <w:rFonts w:ascii="Arial" w:eastAsia="Arial" w:hAnsi="Arial" w:cs="Arial"/>
                <w:b/>
              </w:rPr>
              <w:t>CIT</w:t>
            </w:r>
          </w:p>
        </w:tc>
        <w:tc>
          <w:tcPr>
            <w:tcW w:w="3220" w:type="dxa"/>
            <w:tcMar>
              <w:top w:w="100" w:type="dxa"/>
              <w:left w:w="100" w:type="dxa"/>
              <w:bottom w:w="100" w:type="dxa"/>
              <w:right w:w="100" w:type="dxa"/>
            </w:tcMar>
          </w:tcPr>
          <w:p w:rsidR="0094047A" w:rsidRDefault="00C13554">
            <w:pPr>
              <w:widowControl w:val="0"/>
              <w:jc w:val="center"/>
              <w:rPr>
                <w:rFonts w:ascii="Arial" w:eastAsia="Arial" w:hAnsi="Arial" w:cs="Arial"/>
                <w:b/>
              </w:rPr>
            </w:pPr>
            <w:r>
              <w:rPr>
                <w:rFonts w:ascii="Arial" w:eastAsia="Arial" w:hAnsi="Arial" w:cs="Arial"/>
                <w:b/>
              </w:rPr>
              <w:t>Excise Tax</w:t>
            </w:r>
          </w:p>
        </w:tc>
        <w:tc>
          <w:tcPr>
            <w:tcW w:w="3220" w:type="dxa"/>
            <w:tcMar>
              <w:top w:w="100" w:type="dxa"/>
              <w:left w:w="100" w:type="dxa"/>
              <w:bottom w:w="100" w:type="dxa"/>
              <w:right w:w="100" w:type="dxa"/>
            </w:tcMar>
          </w:tcPr>
          <w:p w:rsidR="0094047A" w:rsidRDefault="00C13554">
            <w:pPr>
              <w:widowControl w:val="0"/>
              <w:jc w:val="center"/>
              <w:rPr>
                <w:rFonts w:ascii="Arial" w:eastAsia="Arial" w:hAnsi="Arial" w:cs="Arial"/>
                <w:b/>
              </w:rPr>
            </w:pPr>
            <w:r>
              <w:rPr>
                <w:rFonts w:ascii="Arial" w:eastAsia="Arial" w:hAnsi="Arial" w:cs="Arial"/>
                <w:b/>
              </w:rPr>
              <w:t>VAT</w:t>
            </w:r>
          </w:p>
        </w:tc>
      </w:tr>
      <w:tr w:rsidR="0094047A">
        <w:tc>
          <w:tcPr>
            <w:tcW w:w="3220" w:type="dxa"/>
            <w:tcMar>
              <w:top w:w="100" w:type="dxa"/>
              <w:left w:w="100" w:type="dxa"/>
              <w:bottom w:w="100" w:type="dxa"/>
              <w:right w:w="100" w:type="dxa"/>
            </w:tcMar>
          </w:tcPr>
          <w:p w:rsidR="0094047A" w:rsidRDefault="00C13554">
            <w:pPr>
              <w:widowControl w:val="0"/>
              <w:numPr>
                <w:ilvl w:val="0"/>
                <w:numId w:val="1"/>
              </w:numPr>
              <w:ind w:left="360"/>
              <w:rPr>
                <w:rFonts w:ascii="Arial" w:eastAsia="Arial" w:hAnsi="Arial" w:cs="Arial"/>
              </w:rPr>
            </w:pPr>
            <w:r>
              <w:rPr>
                <w:rFonts w:ascii="Arial" w:eastAsia="Arial" w:hAnsi="Arial" w:cs="Arial"/>
              </w:rPr>
              <w:t>Tax rate increased to 15% on net capital gains realized by domestic corporations from the sale of shares of stock in a domestic corporation not traded on the stock exchange.</w:t>
            </w:r>
          </w:p>
          <w:p w:rsidR="0094047A" w:rsidRDefault="00C13554">
            <w:pPr>
              <w:widowControl w:val="0"/>
              <w:numPr>
                <w:ilvl w:val="0"/>
                <w:numId w:val="15"/>
              </w:numPr>
              <w:ind w:left="360"/>
              <w:rPr>
                <w:rFonts w:ascii="Arial" w:eastAsia="Arial" w:hAnsi="Arial" w:cs="Arial"/>
              </w:rPr>
            </w:pPr>
            <w:r>
              <w:rPr>
                <w:rFonts w:ascii="Arial" w:eastAsia="Arial" w:hAnsi="Arial" w:cs="Arial"/>
              </w:rPr>
              <w:t xml:space="preserve">Final tax on interest income derived by domestic corporations from depository banks under the expanded foreign currency deposit system increased from 7.5% to 15%.  </w:t>
            </w:r>
          </w:p>
          <w:p w:rsidR="0094047A" w:rsidRDefault="00C13554">
            <w:pPr>
              <w:widowControl w:val="0"/>
              <w:numPr>
                <w:ilvl w:val="0"/>
                <w:numId w:val="2"/>
              </w:numPr>
              <w:ind w:left="360"/>
              <w:rPr>
                <w:rFonts w:ascii="Arial" w:eastAsia="Arial" w:hAnsi="Arial" w:cs="Arial"/>
                <w:sz w:val="24"/>
                <w:szCs w:val="24"/>
              </w:rPr>
            </w:pPr>
            <w:r>
              <w:rPr>
                <w:rFonts w:ascii="Arial" w:eastAsia="Arial" w:hAnsi="Arial" w:cs="Arial"/>
              </w:rPr>
              <w:t xml:space="preserve">Requires the Cooperative Development </w:t>
            </w:r>
            <w:proofErr w:type="gramStart"/>
            <w:r>
              <w:rPr>
                <w:rFonts w:ascii="Arial" w:eastAsia="Arial" w:hAnsi="Arial" w:cs="Arial"/>
              </w:rPr>
              <w:t>Authority  to</w:t>
            </w:r>
            <w:proofErr w:type="gramEnd"/>
            <w:r>
              <w:rPr>
                <w:rFonts w:ascii="Arial" w:eastAsia="Arial" w:hAnsi="Arial" w:cs="Arial"/>
              </w:rPr>
              <w:t xml:space="preserve"> submit a report to the BIR and DOF detailing income tax, VAT, and other incentives availed of by cooperatives under R.A. 6938.</w:t>
            </w:r>
          </w:p>
        </w:tc>
        <w:tc>
          <w:tcPr>
            <w:tcW w:w="3220" w:type="dxa"/>
            <w:tcMar>
              <w:top w:w="100" w:type="dxa"/>
              <w:left w:w="100" w:type="dxa"/>
              <w:bottom w:w="100" w:type="dxa"/>
              <w:right w:w="100" w:type="dxa"/>
            </w:tcMar>
          </w:tcPr>
          <w:p w:rsidR="0094047A" w:rsidRDefault="00C13554">
            <w:pPr>
              <w:widowControl w:val="0"/>
              <w:numPr>
                <w:ilvl w:val="0"/>
                <w:numId w:val="14"/>
              </w:numPr>
              <w:ind w:left="360"/>
              <w:rPr>
                <w:rFonts w:ascii="Arial" w:eastAsia="Arial" w:hAnsi="Arial" w:cs="Arial"/>
              </w:rPr>
            </w:pPr>
            <w:r>
              <w:rPr>
                <w:rFonts w:ascii="Arial" w:eastAsia="Arial" w:hAnsi="Arial" w:cs="Arial"/>
              </w:rPr>
              <w:t>The excise tax on gasoline increased gradually to ₱10. The excise tax on diesel rose to ₱6.0. The excise tax on LPG increased to ₱3.</w:t>
            </w:r>
          </w:p>
          <w:p w:rsidR="0094047A" w:rsidRDefault="00C13554">
            <w:pPr>
              <w:widowControl w:val="0"/>
              <w:numPr>
                <w:ilvl w:val="0"/>
                <w:numId w:val="14"/>
              </w:numPr>
              <w:ind w:left="360"/>
              <w:rPr>
                <w:rFonts w:ascii="Arial" w:eastAsia="Arial" w:hAnsi="Arial" w:cs="Arial"/>
              </w:rPr>
            </w:pPr>
            <w:r>
              <w:rPr>
                <w:rFonts w:ascii="Arial" w:eastAsia="Arial" w:hAnsi="Arial" w:cs="Arial"/>
              </w:rPr>
              <w:t>Leaded gasoline was completely phased out under the TRAIN Law.</w:t>
            </w:r>
          </w:p>
          <w:p w:rsidR="0094047A" w:rsidRDefault="00C13554">
            <w:pPr>
              <w:widowControl w:val="0"/>
              <w:numPr>
                <w:ilvl w:val="0"/>
                <w:numId w:val="14"/>
              </w:numPr>
              <w:ind w:left="360"/>
              <w:rPr>
                <w:rFonts w:ascii="Arial" w:eastAsia="Arial" w:hAnsi="Arial" w:cs="Arial"/>
              </w:rPr>
            </w:pPr>
            <w:r>
              <w:rPr>
                <w:rFonts w:ascii="Arial" w:eastAsia="Arial" w:hAnsi="Arial" w:cs="Arial"/>
              </w:rPr>
              <w:t>Beverages with caloric or non-caloric sweeteners are taxed ₱6 per liter. Beverages with high fructose corn syrup are taxed ₱12 per liter.</w:t>
            </w:r>
          </w:p>
          <w:p w:rsidR="0094047A" w:rsidRDefault="00C13554">
            <w:pPr>
              <w:widowControl w:val="0"/>
              <w:numPr>
                <w:ilvl w:val="0"/>
                <w:numId w:val="14"/>
              </w:numPr>
              <w:ind w:left="360"/>
              <w:rPr>
                <w:rFonts w:ascii="Arial" w:eastAsia="Arial" w:hAnsi="Arial" w:cs="Arial"/>
              </w:rPr>
            </w:pPr>
            <w:r>
              <w:rPr>
                <w:rFonts w:ascii="Arial" w:eastAsia="Arial" w:hAnsi="Arial" w:cs="Arial"/>
              </w:rPr>
              <w:t>Sweetened juice drinks, teas, flavored water, carbonated drinks, energy drinks, cereal and grain beverages, powdered drinks, and other non-alcoholic beverages with sugar are included in the tax.</w:t>
            </w:r>
          </w:p>
          <w:p w:rsidR="0094047A" w:rsidRDefault="00C13554">
            <w:pPr>
              <w:widowControl w:val="0"/>
              <w:numPr>
                <w:ilvl w:val="0"/>
                <w:numId w:val="14"/>
              </w:numPr>
              <w:ind w:left="360"/>
              <w:rPr>
                <w:rFonts w:ascii="Arial" w:eastAsia="Arial" w:hAnsi="Arial" w:cs="Arial"/>
              </w:rPr>
            </w:pPr>
            <w:r>
              <w:rPr>
                <w:rFonts w:ascii="Arial" w:eastAsia="Arial" w:hAnsi="Arial" w:cs="Arial"/>
              </w:rPr>
              <w:t>Milk, medical beverages, coffee, and 100% natural juices are exempted from the tax.</w:t>
            </w:r>
          </w:p>
          <w:p w:rsidR="0094047A" w:rsidRDefault="00C13554">
            <w:pPr>
              <w:widowControl w:val="0"/>
              <w:numPr>
                <w:ilvl w:val="0"/>
                <w:numId w:val="14"/>
              </w:numPr>
              <w:ind w:left="360"/>
              <w:rPr>
                <w:rFonts w:ascii="Arial" w:eastAsia="Arial" w:hAnsi="Arial" w:cs="Arial"/>
              </w:rPr>
            </w:pPr>
            <w:r>
              <w:rPr>
                <w:rFonts w:ascii="Arial" w:eastAsia="Arial" w:hAnsi="Arial" w:cs="Arial"/>
              </w:rPr>
              <w:t>The tax increased to ₱40.00 per pack in January 2022.</w:t>
            </w:r>
          </w:p>
          <w:p w:rsidR="0094047A" w:rsidRDefault="00C13554">
            <w:pPr>
              <w:widowControl w:val="0"/>
              <w:numPr>
                <w:ilvl w:val="0"/>
                <w:numId w:val="14"/>
              </w:numPr>
              <w:ind w:left="360"/>
              <w:rPr>
                <w:rFonts w:ascii="Arial" w:eastAsia="Arial" w:hAnsi="Arial" w:cs="Arial"/>
              </w:rPr>
            </w:pPr>
            <w:r>
              <w:rPr>
                <w:rFonts w:ascii="Arial" w:eastAsia="Arial" w:hAnsi="Arial" w:cs="Arial"/>
              </w:rPr>
              <w:t>Starting in 2024, the tax will increase by 4% every year.</w:t>
            </w:r>
          </w:p>
          <w:p w:rsidR="0094047A" w:rsidRDefault="00C13554">
            <w:pPr>
              <w:widowControl w:val="0"/>
              <w:numPr>
                <w:ilvl w:val="0"/>
                <w:numId w:val="14"/>
              </w:numPr>
              <w:ind w:left="360"/>
              <w:rPr>
                <w:rFonts w:ascii="Arial" w:eastAsia="Arial" w:hAnsi="Arial" w:cs="Arial"/>
              </w:rPr>
            </w:pPr>
            <w:r>
              <w:rPr>
                <w:rFonts w:ascii="Arial" w:eastAsia="Arial" w:hAnsi="Arial" w:cs="Arial"/>
              </w:rPr>
              <w:t>The excise tax on coal and coke increased from ₱10 to ₱150 per metric ton by 2020.</w:t>
            </w:r>
          </w:p>
          <w:p w:rsidR="0094047A" w:rsidRDefault="00C13554">
            <w:pPr>
              <w:widowControl w:val="0"/>
              <w:numPr>
                <w:ilvl w:val="0"/>
                <w:numId w:val="14"/>
              </w:numPr>
              <w:ind w:left="360"/>
              <w:rPr>
                <w:rFonts w:ascii="Arial" w:eastAsia="Arial" w:hAnsi="Arial" w:cs="Arial"/>
              </w:rPr>
            </w:pPr>
            <w:r>
              <w:rPr>
                <w:rFonts w:ascii="Arial" w:eastAsia="Arial" w:hAnsi="Arial" w:cs="Arial"/>
              </w:rPr>
              <w:t>The tax on metallic minerals and quarry resources rose by 2%.</w:t>
            </w:r>
          </w:p>
          <w:p w:rsidR="0094047A" w:rsidRDefault="00C13554">
            <w:pPr>
              <w:widowControl w:val="0"/>
              <w:numPr>
                <w:ilvl w:val="0"/>
                <w:numId w:val="14"/>
              </w:numPr>
              <w:ind w:left="360"/>
              <w:rPr>
                <w:rFonts w:ascii="Arial" w:eastAsia="Arial" w:hAnsi="Arial" w:cs="Arial"/>
              </w:rPr>
            </w:pPr>
            <w:r>
              <w:rPr>
                <w:rFonts w:ascii="Arial" w:eastAsia="Arial" w:hAnsi="Arial" w:cs="Arial"/>
              </w:rPr>
              <w:t xml:space="preserve">The tax on gold and chromite also increased by 2%. The tax on indigenous petroleum doubled. </w:t>
            </w:r>
          </w:p>
        </w:tc>
        <w:tc>
          <w:tcPr>
            <w:tcW w:w="3220" w:type="dxa"/>
            <w:tcMar>
              <w:top w:w="100" w:type="dxa"/>
              <w:left w:w="100" w:type="dxa"/>
              <w:bottom w:w="100" w:type="dxa"/>
              <w:right w:w="100" w:type="dxa"/>
            </w:tcMar>
          </w:tcPr>
          <w:p w:rsidR="0094047A" w:rsidRDefault="00C13554">
            <w:pPr>
              <w:widowControl w:val="0"/>
              <w:numPr>
                <w:ilvl w:val="0"/>
                <w:numId w:val="6"/>
              </w:numPr>
              <w:ind w:left="360"/>
              <w:rPr>
                <w:rFonts w:ascii="Arial" w:eastAsia="Arial" w:hAnsi="Arial" w:cs="Arial"/>
              </w:rPr>
            </w:pPr>
            <w:r>
              <w:rPr>
                <w:rFonts w:ascii="Arial" w:eastAsia="Arial" w:hAnsi="Arial" w:cs="Arial"/>
              </w:rPr>
              <w:t xml:space="preserve"> 54 provisions on VAT exemption and zero-rating under special laws were repealed. </w:t>
            </w:r>
          </w:p>
          <w:p w:rsidR="0094047A" w:rsidRDefault="00C13554">
            <w:pPr>
              <w:widowControl w:val="0"/>
              <w:numPr>
                <w:ilvl w:val="0"/>
                <w:numId w:val="12"/>
              </w:numPr>
              <w:ind w:left="330"/>
              <w:rPr>
                <w:rFonts w:ascii="Arial" w:eastAsia="Arial" w:hAnsi="Arial" w:cs="Arial"/>
              </w:rPr>
            </w:pPr>
            <w:r>
              <w:rPr>
                <w:rFonts w:ascii="Arial" w:eastAsia="Arial" w:hAnsi="Arial" w:cs="Arial"/>
              </w:rPr>
              <w:t xml:space="preserve"> Foreign currency denominated sales are no longer VAT zero-rated. Indirect exporters and agents are subject to VAT.</w:t>
            </w:r>
          </w:p>
          <w:p w:rsidR="0094047A" w:rsidRDefault="00C13554">
            <w:pPr>
              <w:widowControl w:val="0"/>
              <w:numPr>
                <w:ilvl w:val="0"/>
                <w:numId w:val="5"/>
              </w:numPr>
              <w:ind w:left="360"/>
              <w:rPr>
                <w:rFonts w:ascii="Arial" w:eastAsia="Arial" w:hAnsi="Arial" w:cs="Arial"/>
              </w:rPr>
            </w:pPr>
            <w:r>
              <w:rPr>
                <w:rFonts w:ascii="Arial" w:eastAsia="Arial" w:hAnsi="Arial" w:cs="Arial"/>
              </w:rPr>
              <w:t xml:space="preserve">Retained VAT Exemptions </w:t>
            </w:r>
            <w:proofErr w:type="gramStart"/>
            <w:r>
              <w:rPr>
                <w:rFonts w:ascii="Arial" w:eastAsia="Arial" w:hAnsi="Arial" w:cs="Arial"/>
              </w:rPr>
              <w:t>are  Raw</w:t>
            </w:r>
            <w:proofErr w:type="gramEnd"/>
            <w:r>
              <w:rPr>
                <w:rFonts w:ascii="Arial" w:eastAsia="Arial" w:hAnsi="Arial" w:cs="Arial"/>
              </w:rPr>
              <w:t xml:space="preserve"> Agricultural &amp; Marine Products, Educational Services, Senior Citizens, Health Services, Cooperatives, Persons with Disabilities. </w:t>
            </w:r>
          </w:p>
          <w:p w:rsidR="0094047A" w:rsidRDefault="00C13554">
            <w:pPr>
              <w:widowControl w:val="0"/>
              <w:numPr>
                <w:ilvl w:val="0"/>
                <w:numId w:val="13"/>
              </w:numPr>
              <w:ind w:left="360"/>
              <w:rPr>
                <w:rFonts w:ascii="Arial" w:eastAsia="Arial" w:hAnsi="Arial" w:cs="Arial"/>
              </w:rPr>
            </w:pPr>
            <w:r>
              <w:rPr>
                <w:rFonts w:ascii="Arial" w:eastAsia="Arial" w:hAnsi="Arial" w:cs="Arial"/>
              </w:rPr>
              <w:t xml:space="preserve">VAT Exemptions Included the Sale of gold to BSP, Sale of drugs/medicines for diabetes, </w:t>
            </w:r>
            <w:proofErr w:type="spellStart"/>
            <w:proofErr w:type="gramStart"/>
            <w:r>
              <w:rPr>
                <w:rFonts w:ascii="Arial" w:eastAsia="Arial" w:hAnsi="Arial" w:cs="Arial"/>
              </w:rPr>
              <w:t>etc.Association</w:t>
            </w:r>
            <w:proofErr w:type="spellEnd"/>
            <w:proofErr w:type="gramEnd"/>
            <w:r>
              <w:rPr>
                <w:rFonts w:ascii="Arial" w:eastAsia="Arial" w:hAnsi="Arial" w:cs="Arial"/>
              </w:rPr>
              <w:t xml:space="preserve"> dues, Transfer of property in a merger.</w:t>
            </w:r>
          </w:p>
          <w:p w:rsidR="0094047A" w:rsidRDefault="00C13554">
            <w:pPr>
              <w:widowControl w:val="0"/>
              <w:numPr>
                <w:ilvl w:val="0"/>
                <w:numId w:val="9"/>
              </w:numPr>
              <w:ind w:left="360"/>
              <w:rPr>
                <w:rFonts w:ascii="Arial" w:eastAsia="Arial" w:hAnsi="Arial" w:cs="Arial"/>
              </w:rPr>
            </w:pPr>
            <w:r>
              <w:rPr>
                <w:rFonts w:ascii="Arial" w:eastAsia="Arial" w:hAnsi="Arial" w:cs="Arial"/>
              </w:rPr>
              <w:t xml:space="preserve"> VAT-exempt threshold increased to P3 million (to be adjusted for inflation every 3 years starting Jan 31, 2021). </w:t>
            </w:r>
          </w:p>
          <w:p w:rsidR="0094047A" w:rsidRDefault="00C13554">
            <w:pPr>
              <w:widowControl w:val="0"/>
              <w:numPr>
                <w:ilvl w:val="0"/>
                <w:numId w:val="7"/>
              </w:numPr>
              <w:ind w:left="360"/>
              <w:rPr>
                <w:rFonts w:ascii="Arial" w:eastAsia="Arial" w:hAnsi="Arial" w:cs="Arial"/>
              </w:rPr>
            </w:pPr>
            <w:r>
              <w:rPr>
                <w:rFonts w:ascii="Arial" w:eastAsia="Arial" w:hAnsi="Arial" w:cs="Arial"/>
              </w:rPr>
              <w:t>VAT-exempt threshold on lease of residential unit with a monthly rental increased to P15,000.</w:t>
            </w:r>
          </w:p>
          <w:p w:rsidR="0094047A" w:rsidRDefault="00C13554">
            <w:pPr>
              <w:widowControl w:val="0"/>
              <w:numPr>
                <w:ilvl w:val="0"/>
                <w:numId w:val="11"/>
              </w:numPr>
              <w:ind w:left="360"/>
              <w:rPr>
                <w:rFonts w:ascii="Arial" w:eastAsia="Arial" w:hAnsi="Arial" w:cs="Arial"/>
              </w:rPr>
            </w:pPr>
            <w:r>
              <w:rPr>
                <w:rFonts w:ascii="Arial" w:eastAsia="Arial" w:hAnsi="Arial" w:cs="Arial"/>
              </w:rPr>
              <w:t xml:space="preserve"> VAT-exempt threshold on sale of house and lot and other residential dwellings reduced to P2,000,000.</w:t>
            </w:r>
          </w:p>
          <w:p w:rsidR="0094047A" w:rsidRDefault="00C13554">
            <w:pPr>
              <w:widowControl w:val="0"/>
              <w:numPr>
                <w:ilvl w:val="0"/>
                <w:numId w:val="4"/>
              </w:numPr>
              <w:ind w:left="360"/>
              <w:rPr>
                <w:rFonts w:ascii="Arial" w:eastAsia="Arial" w:hAnsi="Arial" w:cs="Arial"/>
                <w:sz w:val="24"/>
                <w:szCs w:val="24"/>
              </w:rPr>
            </w:pPr>
            <w:r>
              <w:rPr>
                <w:rFonts w:ascii="Arial" w:eastAsia="Arial" w:hAnsi="Arial" w:cs="Arial"/>
              </w:rPr>
              <w:t>Requires the establishment of VAT refund centers in the BIR and in the BOC and the earmarking of 5% of the total VAT collection for the purpose of funding claims for VAT refund</w:t>
            </w:r>
            <w:r>
              <w:rPr>
                <w:rFonts w:ascii="Arial" w:eastAsia="Arial" w:hAnsi="Arial" w:cs="Arial"/>
                <w:sz w:val="24"/>
                <w:szCs w:val="24"/>
              </w:rPr>
              <w:t>.</w:t>
            </w:r>
          </w:p>
        </w:tc>
      </w:tr>
    </w:tbl>
    <w:p w:rsidR="0094047A" w:rsidRDefault="0094047A">
      <w:pPr>
        <w:jc w:val="both"/>
        <w:rPr>
          <w:rFonts w:ascii="Arial" w:eastAsia="Arial" w:hAnsi="Arial" w:cs="Arial"/>
        </w:rPr>
      </w:pPr>
    </w:p>
    <w:p w:rsidR="0094047A" w:rsidRDefault="00C13554">
      <w:pPr>
        <w:jc w:val="both"/>
        <w:rPr>
          <w:rFonts w:ascii="Arial" w:eastAsia="Arial" w:hAnsi="Arial" w:cs="Arial"/>
          <w:b/>
          <w:sz w:val="22"/>
          <w:szCs w:val="22"/>
        </w:rPr>
      </w:pPr>
      <w:proofErr w:type="gramStart"/>
      <w:r>
        <w:rPr>
          <w:rFonts w:ascii="Arial" w:eastAsia="Arial" w:hAnsi="Arial" w:cs="Arial"/>
          <w:b/>
          <w:sz w:val="22"/>
          <w:szCs w:val="22"/>
        </w:rPr>
        <w:lastRenderedPageBreak/>
        <w:t>2.3  Empirical</w:t>
      </w:r>
      <w:proofErr w:type="gramEnd"/>
      <w:r>
        <w:rPr>
          <w:rFonts w:ascii="Arial" w:eastAsia="Arial" w:hAnsi="Arial" w:cs="Arial"/>
          <w:b/>
          <w:sz w:val="22"/>
          <w:szCs w:val="22"/>
        </w:rPr>
        <w:t xml:space="preserve"> Literature Review</w:t>
      </w:r>
    </w:p>
    <w:p w:rsidR="0094047A" w:rsidRDefault="0094047A">
      <w:pPr>
        <w:jc w:val="both"/>
        <w:rPr>
          <w:rFonts w:ascii="Arial" w:eastAsia="Arial" w:hAnsi="Arial" w:cs="Arial"/>
          <w:b/>
          <w:sz w:val="22"/>
          <w:szCs w:val="22"/>
        </w:rPr>
      </w:pPr>
    </w:p>
    <w:p w:rsidR="0094047A" w:rsidRDefault="00C13554">
      <w:pPr>
        <w:pBdr>
          <w:top w:val="nil"/>
          <w:left w:val="nil"/>
          <w:bottom w:val="nil"/>
          <w:right w:val="nil"/>
          <w:between w:val="nil"/>
        </w:pBdr>
        <w:jc w:val="both"/>
        <w:rPr>
          <w:rFonts w:ascii="Arial" w:eastAsia="Arial" w:hAnsi="Arial" w:cs="Arial"/>
          <w:highlight w:val="yellow"/>
        </w:rPr>
      </w:pPr>
      <w:r>
        <w:rPr>
          <w:rFonts w:ascii="Arial" w:eastAsia="Arial" w:hAnsi="Arial" w:cs="Arial"/>
        </w:rPr>
        <w:t>Empirical evidence indicates that tax revenues and well-designed fiscal reforms play a critical role in fostering stronger macroeconomic outcomes. A literature study observes that tax revenue exerts a positive and significant influence on economic growth, with the effect being more pronounced in contexts characterized by higher government effectiveness. Put differently, institutional quality enhances the growth dividends of tax mobilization (Ho et al., 2023). This finding is reinforced by another study, which reports that higher revenues, when accompanied by effective governance, contribute positively to economic performance (</w:t>
      </w:r>
      <w:proofErr w:type="spellStart"/>
      <w:r>
        <w:rPr>
          <w:rFonts w:ascii="Arial" w:eastAsia="Arial" w:hAnsi="Arial" w:cs="Arial"/>
        </w:rPr>
        <w:t>Mose</w:t>
      </w:r>
      <w:proofErr w:type="spellEnd"/>
      <w:r>
        <w:rPr>
          <w:rFonts w:ascii="Arial" w:eastAsia="Arial" w:hAnsi="Arial" w:cs="Arial"/>
        </w:rPr>
        <w:t xml:space="preserve"> et al., 2025). Similarly, excise tax rates and structures are found to significantly influence consumption and investment behavior, thereby shaping overall economic outcomes. Collectively, these findings suggest that under sound governance, taxation can serve as a driver of economic growth. Moreover, empirical analyses further substantiate these claims. For example, a cross-sectional study demonstrated a clear and significant impact of direct taxes on economic growth (</w:t>
      </w:r>
      <w:proofErr w:type="spellStart"/>
      <w:r>
        <w:rPr>
          <w:rFonts w:ascii="Arial" w:eastAsia="Arial" w:hAnsi="Arial" w:cs="Arial"/>
        </w:rPr>
        <w:t>Stoilova</w:t>
      </w:r>
      <w:proofErr w:type="spellEnd"/>
      <w:r>
        <w:rPr>
          <w:rFonts w:ascii="Arial" w:eastAsia="Arial" w:hAnsi="Arial" w:cs="Arial"/>
        </w:rPr>
        <w:t xml:space="preserve"> &amp; </w:t>
      </w:r>
      <w:proofErr w:type="spellStart"/>
      <w:r>
        <w:rPr>
          <w:rFonts w:ascii="Arial" w:eastAsia="Arial" w:hAnsi="Arial" w:cs="Arial"/>
        </w:rPr>
        <w:t>Patonov</w:t>
      </w:r>
      <w:proofErr w:type="spellEnd"/>
      <w:r>
        <w:rPr>
          <w:rFonts w:ascii="Arial" w:eastAsia="Arial" w:hAnsi="Arial" w:cs="Arial"/>
        </w:rPr>
        <w:t xml:space="preserve">, 2013). In line with this, </w:t>
      </w:r>
      <w:proofErr w:type="spellStart"/>
      <w:r>
        <w:rPr>
          <w:rFonts w:ascii="Arial" w:eastAsia="Arial" w:hAnsi="Arial" w:cs="Arial"/>
        </w:rPr>
        <w:t>Mose</w:t>
      </w:r>
      <w:proofErr w:type="spellEnd"/>
      <w:r>
        <w:rPr>
          <w:rFonts w:ascii="Arial" w:eastAsia="Arial" w:hAnsi="Arial" w:cs="Arial"/>
        </w:rPr>
        <w:t xml:space="preserve"> et al. (2025) emphasized that a 1% increase in excise tax could generate a 0.37% rise in GDP. Corporate Income Tax (CIT) has likewise been shown to exert a positive and significant effect on Gross Domestic Product, with findings suggesting that a 1% increase in CIT results in a 1.3% increase in GDP (</w:t>
      </w:r>
      <w:proofErr w:type="spellStart"/>
      <w:r>
        <w:rPr>
          <w:rFonts w:ascii="Arial" w:eastAsia="Arial" w:hAnsi="Arial" w:cs="Arial"/>
        </w:rPr>
        <w:t>Adejare</w:t>
      </w:r>
      <w:proofErr w:type="spellEnd"/>
      <w:r>
        <w:rPr>
          <w:rFonts w:ascii="Arial" w:eastAsia="Arial" w:hAnsi="Arial" w:cs="Arial"/>
        </w:rPr>
        <w:t>, 2015). In addition, several studies provide evidence that Value Added Tax (VAT) maintains a positive relationship with GDP (</w:t>
      </w:r>
      <w:proofErr w:type="spellStart"/>
      <w:r>
        <w:rPr>
          <w:rFonts w:ascii="Arial" w:eastAsia="Arial" w:hAnsi="Arial" w:cs="Arial"/>
        </w:rPr>
        <w:t>Lalarukh</w:t>
      </w:r>
      <w:proofErr w:type="spellEnd"/>
      <w:r>
        <w:rPr>
          <w:rFonts w:ascii="Arial" w:eastAsia="Arial" w:hAnsi="Arial" w:cs="Arial"/>
        </w:rPr>
        <w:t xml:space="preserve"> &amp; Chowdhury, 2013; Uddin et al., 2022; </w:t>
      </w:r>
      <w:proofErr w:type="spellStart"/>
      <w:r>
        <w:rPr>
          <w:rFonts w:ascii="Arial" w:eastAsia="Arial" w:hAnsi="Arial" w:cs="Arial"/>
        </w:rPr>
        <w:t>Basila</w:t>
      </w:r>
      <w:proofErr w:type="spellEnd"/>
      <w:r>
        <w:rPr>
          <w:rFonts w:ascii="Arial" w:eastAsia="Arial" w:hAnsi="Arial" w:cs="Arial"/>
        </w:rPr>
        <w:t xml:space="preserve">, 2010; </w:t>
      </w:r>
      <w:proofErr w:type="spellStart"/>
      <w:r>
        <w:rPr>
          <w:rFonts w:ascii="Arial" w:eastAsia="Arial" w:hAnsi="Arial" w:cs="Arial"/>
          <w:highlight w:val="yellow"/>
        </w:rPr>
        <w:t>Adefolake</w:t>
      </w:r>
      <w:proofErr w:type="spellEnd"/>
      <w:r>
        <w:rPr>
          <w:rFonts w:ascii="Arial" w:eastAsia="Arial" w:hAnsi="Arial" w:cs="Arial"/>
          <w:highlight w:val="yellow"/>
        </w:rPr>
        <w:t xml:space="preserve"> &amp; </w:t>
      </w:r>
      <w:proofErr w:type="spellStart"/>
      <w:r>
        <w:rPr>
          <w:rFonts w:ascii="Arial" w:eastAsia="Arial" w:hAnsi="Arial" w:cs="Arial"/>
          <w:highlight w:val="yellow"/>
        </w:rPr>
        <w:t>Omodero</w:t>
      </w:r>
      <w:proofErr w:type="spellEnd"/>
      <w:r>
        <w:rPr>
          <w:rFonts w:ascii="Arial" w:eastAsia="Arial" w:hAnsi="Arial" w:cs="Arial"/>
          <w:highlight w:val="yellow"/>
        </w:rPr>
        <w:t>, 2022</w:t>
      </w:r>
      <w:r>
        <w:rPr>
          <w:rFonts w:ascii="Arial" w:eastAsia="Arial" w:hAnsi="Arial" w:cs="Arial"/>
        </w:rPr>
        <w:t xml:space="preserve">). </w:t>
      </w:r>
      <w:r>
        <w:rPr>
          <w:rFonts w:ascii="Arial" w:eastAsia="Arial" w:hAnsi="Arial" w:cs="Arial"/>
          <w:highlight w:val="yellow"/>
        </w:rPr>
        <w:t xml:space="preserve">To support this, the study of </w:t>
      </w:r>
      <w:proofErr w:type="spellStart"/>
      <w:r>
        <w:rPr>
          <w:rFonts w:ascii="Arial" w:eastAsia="Arial" w:hAnsi="Arial" w:cs="Arial"/>
          <w:highlight w:val="yellow"/>
        </w:rPr>
        <w:t>Acaylar</w:t>
      </w:r>
      <w:proofErr w:type="spellEnd"/>
      <w:r>
        <w:rPr>
          <w:rFonts w:ascii="Arial" w:eastAsia="Arial" w:hAnsi="Arial" w:cs="Arial"/>
          <w:highlight w:val="yellow"/>
        </w:rPr>
        <w:t xml:space="preserve"> (2021) noted the importance of VAT in economic growth and emphasized that too much VAT exemption can weaken and decrease economic growth at a rate of 0.900 units for every unit increase in VAT exemption. </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Nonetheless, the literature also underscores that the effects of taxation are not uniformly beneficial. Several studies caution that excessively high or poorly structured taxes may impede growth by limiting capital accumulation, discouraging foreign direct investment (FDI), and diminishing investment incentives (</w:t>
      </w:r>
      <w:proofErr w:type="spellStart"/>
      <w:r>
        <w:rPr>
          <w:rFonts w:ascii="Arial" w:eastAsia="Arial" w:hAnsi="Arial" w:cs="Arial"/>
        </w:rPr>
        <w:t>Macek</w:t>
      </w:r>
      <w:proofErr w:type="spellEnd"/>
      <w:r>
        <w:rPr>
          <w:rFonts w:ascii="Arial" w:eastAsia="Arial" w:hAnsi="Arial" w:cs="Arial"/>
        </w:rPr>
        <w:t xml:space="preserve">, 2015). Consistent with this argument, </w:t>
      </w:r>
      <w:proofErr w:type="spellStart"/>
      <w:r>
        <w:rPr>
          <w:rFonts w:ascii="Arial" w:eastAsia="Arial" w:hAnsi="Arial" w:cs="Arial"/>
        </w:rPr>
        <w:t>Alfò</w:t>
      </w:r>
      <w:proofErr w:type="spellEnd"/>
      <w:r>
        <w:rPr>
          <w:rFonts w:ascii="Arial" w:eastAsia="Arial" w:hAnsi="Arial" w:cs="Arial"/>
        </w:rPr>
        <w:t xml:space="preserve"> et al. (2022</w:t>
      </w:r>
      <w:proofErr w:type="gramStart"/>
      <w:r>
        <w:rPr>
          <w:rFonts w:ascii="Arial" w:eastAsia="Arial" w:hAnsi="Arial" w:cs="Arial"/>
        </w:rPr>
        <w:t>)  contends</w:t>
      </w:r>
      <w:proofErr w:type="gramEnd"/>
      <w:r>
        <w:rPr>
          <w:rFonts w:ascii="Arial" w:eastAsia="Arial" w:hAnsi="Arial" w:cs="Arial"/>
        </w:rPr>
        <w:t xml:space="preserve"> that taxation generally has harmful effects on economic growth.  VAT, for instance, has been shown to yield adverse economic consequences, highlighting the complexity and, at times, contradictory nature of the taxation–growth nexus (Belau et al., 2025). Moreover, in a study of </w:t>
      </w:r>
      <w:proofErr w:type="spellStart"/>
      <w:r>
        <w:rPr>
          <w:rFonts w:ascii="Arial" w:eastAsia="Arial" w:hAnsi="Arial" w:cs="Arial"/>
        </w:rPr>
        <w:t>Krysovatyy</w:t>
      </w:r>
      <w:proofErr w:type="spellEnd"/>
      <w:r>
        <w:rPr>
          <w:rFonts w:ascii="Arial" w:eastAsia="Arial" w:hAnsi="Arial" w:cs="Arial"/>
        </w:rPr>
        <w:t xml:space="preserve"> et al. (2020) and </w:t>
      </w:r>
      <w:proofErr w:type="spellStart"/>
      <w:r>
        <w:rPr>
          <w:rFonts w:ascii="Arial" w:eastAsia="Arial" w:hAnsi="Arial" w:cs="Arial"/>
        </w:rPr>
        <w:t>Zhuravleva</w:t>
      </w:r>
      <w:proofErr w:type="spellEnd"/>
      <w:r>
        <w:rPr>
          <w:rFonts w:ascii="Arial" w:eastAsia="Arial" w:hAnsi="Arial" w:cs="Arial"/>
        </w:rPr>
        <w:t xml:space="preserve"> et al. (2020), although VAT was found to have a neutral impact on GDP overall, a 7% VAT on medicine induced consumers to shift toward lower-priced alternatives and, more importantly, contributed to inflationary pressures. </w:t>
      </w:r>
      <w:r>
        <w:rPr>
          <w:rFonts w:ascii="Arial" w:eastAsia="Arial" w:hAnsi="Arial" w:cs="Arial"/>
          <w:highlight w:val="yellow"/>
        </w:rPr>
        <w:t xml:space="preserve">The study of </w:t>
      </w:r>
      <w:proofErr w:type="spellStart"/>
      <w:r>
        <w:rPr>
          <w:rFonts w:ascii="Arial" w:eastAsia="Arial" w:hAnsi="Arial" w:cs="Arial"/>
          <w:highlight w:val="yellow"/>
        </w:rPr>
        <w:t>Adefolake</w:t>
      </w:r>
      <w:proofErr w:type="spellEnd"/>
      <w:r>
        <w:rPr>
          <w:rFonts w:ascii="Arial" w:eastAsia="Arial" w:hAnsi="Arial" w:cs="Arial"/>
          <w:highlight w:val="yellow"/>
        </w:rPr>
        <w:t xml:space="preserve"> &amp; </w:t>
      </w:r>
      <w:proofErr w:type="spellStart"/>
      <w:r>
        <w:rPr>
          <w:rFonts w:ascii="Arial" w:eastAsia="Arial" w:hAnsi="Arial" w:cs="Arial"/>
          <w:highlight w:val="yellow"/>
        </w:rPr>
        <w:t>Omodero</w:t>
      </w:r>
      <w:proofErr w:type="spellEnd"/>
      <w:r>
        <w:rPr>
          <w:rFonts w:ascii="Arial" w:eastAsia="Arial" w:hAnsi="Arial" w:cs="Arial"/>
          <w:highlight w:val="yellow"/>
        </w:rPr>
        <w:t>, 2022 on the other hand found out that Corporate Income Tax has a negative and significant relationship with GDP, a 1 unit increase in CIT leads to decrease of GDP by about 0.0786 units.</w:t>
      </w:r>
      <w:r>
        <w:rPr>
          <w:rFonts w:ascii="Arial" w:eastAsia="Arial" w:hAnsi="Arial" w:cs="Arial"/>
        </w:rPr>
        <w:t xml:space="preserve"> Consequently, these aforementioned studies recommend reducing tax rates as a means of stimulating economic growth. Evidence of </w:t>
      </w:r>
      <w:proofErr w:type="spellStart"/>
      <w:r>
        <w:rPr>
          <w:rFonts w:ascii="Arial" w:eastAsia="Arial" w:hAnsi="Arial" w:cs="Arial"/>
        </w:rPr>
        <w:t>Krysovatyy</w:t>
      </w:r>
      <w:proofErr w:type="spellEnd"/>
      <w:r>
        <w:rPr>
          <w:rFonts w:ascii="Arial" w:eastAsia="Arial" w:hAnsi="Arial" w:cs="Arial"/>
        </w:rPr>
        <w:t xml:space="preserve"> et al. (2022) suggests that lowering corporate income tax produces favorable effects on investment dynamics. Supporting this view, one study estimated that a 10% reduction in the corporate income tax rate could increase GDP growth by 0.9% (</w:t>
      </w:r>
      <w:proofErr w:type="spellStart"/>
      <w:r>
        <w:rPr>
          <w:rFonts w:ascii="Arial" w:eastAsia="Arial" w:hAnsi="Arial" w:cs="Arial"/>
        </w:rPr>
        <w:t>Alfò</w:t>
      </w:r>
      <w:proofErr w:type="spellEnd"/>
      <w:r>
        <w:rPr>
          <w:rFonts w:ascii="Arial" w:eastAsia="Arial" w:hAnsi="Arial" w:cs="Arial"/>
        </w:rPr>
        <w:t xml:space="preserve"> et al., 2022).  Likewise, reductions in VAT rates have been found to strengthen purchasing power, accelerate capital turnover, and ultimately promote GDP growth (</w:t>
      </w:r>
      <w:proofErr w:type="spellStart"/>
      <w:r>
        <w:rPr>
          <w:rFonts w:ascii="Arial" w:eastAsia="Arial" w:hAnsi="Arial" w:cs="Arial"/>
        </w:rPr>
        <w:t>Zhuravleva</w:t>
      </w:r>
      <w:proofErr w:type="spellEnd"/>
      <w:r>
        <w:rPr>
          <w:rFonts w:ascii="Arial" w:eastAsia="Arial" w:hAnsi="Arial" w:cs="Arial"/>
        </w:rPr>
        <w:t xml:space="preserve"> et al., 2020).</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While international research has established the significant role of taxation in influencing economic growth, empirical studies focusing on the Philippine context remain limited. In particular, the impacts of Corporate Income Tax, Value Added Tax, and excise taxes on Gross Domestic Product have not been sufficiently examined despite their importance to fiscal revenues. This lack of localized evidence creates a research gap that calls for further investigation. By addressing this, the present study contributes to filling the void in Philippine tax-growth literature.</w:t>
      </w:r>
    </w:p>
    <w:p w:rsidR="0094047A" w:rsidRDefault="0094047A">
      <w:pPr>
        <w:pBdr>
          <w:top w:val="nil"/>
          <w:left w:val="nil"/>
          <w:bottom w:val="nil"/>
          <w:right w:val="nil"/>
          <w:between w:val="nil"/>
        </w:pBdr>
        <w:jc w:val="both"/>
        <w:rPr>
          <w:rFonts w:ascii="Arial" w:eastAsia="Arial" w:hAnsi="Arial" w:cs="Arial"/>
        </w:rPr>
      </w:pPr>
    </w:p>
    <w:p w:rsidR="0094047A" w:rsidRDefault="00C13554">
      <w:pPr>
        <w:keepNext/>
        <w:jc w:val="both"/>
        <w:rPr>
          <w:rFonts w:ascii="Arial" w:eastAsia="Arial" w:hAnsi="Arial" w:cs="Arial"/>
          <w:b/>
          <w:smallCaps/>
          <w:sz w:val="22"/>
          <w:szCs w:val="22"/>
        </w:rPr>
      </w:pPr>
      <w:r>
        <w:rPr>
          <w:rFonts w:ascii="Arial" w:eastAsia="Arial" w:hAnsi="Arial" w:cs="Arial"/>
          <w:b/>
          <w:smallCaps/>
          <w:sz w:val="22"/>
          <w:szCs w:val="22"/>
        </w:rPr>
        <w:t xml:space="preserve">3. METHODOLOGY </w:t>
      </w:r>
    </w:p>
    <w:p w:rsidR="0094047A" w:rsidRDefault="0094047A">
      <w:pPr>
        <w:keepNext/>
        <w:jc w:val="both"/>
        <w:rPr>
          <w:rFonts w:ascii="Arial" w:eastAsia="Arial" w:hAnsi="Arial" w:cs="Arial"/>
          <w:b/>
          <w:smallCaps/>
          <w:sz w:val="22"/>
          <w:szCs w:val="22"/>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A longitudinal research design was employed in this study since the analysis utilized time-series data. The scope of the study spans a 11-year period, from 2014 to 2024. Data were sourced from the World Bank, and Philippine Statistics Authority, the official government agency responsible for collecting and publishing statistical information. The independent variables considered are revenues from Corporate Income Tax (CIT), Value Added Tax (VAT), and Excise Tax, while the dependent variable is the Gross Domestic Product (GDP) growth measured at current prices.</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b/>
          <w:sz w:val="22"/>
          <w:szCs w:val="22"/>
        </w:rPr>
      </w:pPr>
      <w:r>
        <w:rPr>
          <w:rFonts w:ascii="Arial" w:eastAsia="Arial" w:hAnsi="Arial" w:cs="Arial"/>
          <w:b/>
          <w:sz w:val="22"/>
          <w:szCs w:val="22"/>
        </w:rPr>
        <w:t>3.1 Techniques of Data Analysis</w:t>
      </w:r>
    </w:p>
    <w:p w:rsidR="0094047A" w:rsidRDefault="0094047A">
      <w:pPr>
        <w:pBdr>
          <w:top w:val="nil"/>
          <w:left w:val="nil"/>
          <w:bottom w:val="nil"/>
          <w:right w:val="nil"/>
          <w:between w:val="nil"/>
        </w:pBdr>
        <w:jc w:val="both"/>
        <w:rPr>
          <w:rFonts w:ascii="Arial" w:eastAsia="Arial" w:hAnsi="Arial" w:cs="Arial"/>
          <w:b/>
          <w:sz w:val="22"/>
          <w:szCs w:val="22"/>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The study employed a Multiple Regression model, which is stochastic in nature, to examine the relationship between tax revenue and economic growth. The estimation was conducted using the Ordinary Least Squares (OLS) method, an econometric approach widely recognized for its desirable properties. The study employed the Ordinary Least Squares (OLS) method due to its computational efficiency and its ability to produce consistent parameter estimates. The literature identifies OLS as a foundational statistical technique for modeling linear relationships, provided that the underlying assumptions are satisfied (</w:t>
      </w:r>
      <w:proofErr w:type="spellStart"/>
      <w:r>
        <w:rPr>
          <w:rFonts w:ascii="Arial" w:eastAsia="Arial" w:hAnsi="Arial" w:cs="Arial"/>
        </w:rPr>
        <w:t>Majka</w:t>
      </w:r>
      <w:proofErr w:type="spellEnd"/>
      <w:r>
        <w:rPr>
          <w:rFonts w:ascii="Arial" w:eastAsia="Arial" w:hAnsi="Arial" w:cs="Arial"/>
        </w:rPr>
        <w:t>, 2024).</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b/>
          <w:sz w:val="22"/>
          <w:szCs w:val="22"/>
        </w:rPr>
      </w:pPr>
      <w:r>
        <w:rPr>
          <w:rFonts w:ascii="Arial" w:eastAsia="Arial" w:hAnsi="Arial" w:cs="Arial"/>
          <w:b/>
          <w:sz w:val="22"/>
          <w:szCs w:val="22"/>
        </w:rPr>
        <w:t>3.2 Model Specification</w:t>
      </w:r>
    </w:p>
    <w:p w:rsidR="0094047A" w:rsidRDefault="0094047A">
      <w:pPr>
        <w:pBdr>
          <w:top w:val="nil"/>
          <w:left w:val="nil"/>
          <w:bottom w:val="nil"/>
          <w:right w:val="nil"/>
          <w:between w:val="nil"/>
        </w:pBdr>
        <w:jc w:val="both"/>
        <w:rPr>
          <w:rFonts w:ascii="Arial" w:eastAsia="Arial" w:hAnsi="Arial" w:cs="Arial"/>
          <w:b/>
          <w:sz w:val="22"/>
          <w:szCs w:val="22"/>
        </w:rPr>
      </w:pPr>
    </w:p>
    <w:p w:rsidR="0094047A" w:rsidRDefault="00C13554">
      <w:pPr>
        <w:pBdr>
          <w:top w:val="nil"/>
          <w:left w:val="nil"/>
          <w:bottom w:val="nil"/>
          <w:right w:val="nil"/>
          <w:between w:val="nil"/>
        </w:pBdr>
        <w:jc w:val="both"/>
        <w:rPr>
          <w:rFonts w:ascii="Arial" w:eastAsia="Arial" w:hAnsi="Arial" w:cs="Arial"/>
          <w:color w:val="FF0000"/>
        </w:rPr>
      </w:pPr>
      <w:r>
        <w:rPr>
          <w:rFonts w:ascii="Arial" w:eastAsia="Arial" w:hAnsi="Arial" w:cs="Arial"/>
        </w:rPr>
        <w:t xml:space="preserve"> The functional model for the study is expressed as:</w:t>
      </w:r>
    </w:p>
    <w:p w:rsidR="0094047A" w:rsidRDefault="00C13554">
      <w:pPr>
        <w:jc w:val="center"/>
        <w:rPr>
          <w:rFonts w:ascii="Arial" w:eastAsia="Arial" w:hAnsi="Arial" w:cs="Arial"/>
        </w:rPr>
      </w:pPr>
      <w:r>
        <w:rPr>
          <w:rFonts w:ascii="Arial" w:eastAsia="Arial" w:hAnsi="Arial" w:cs="Arial"/>
        </w:rPr>
        <w:t>Economic Development = f (Taxation) + τ</w:t>
      </w:r>
    </w:p>
    <w:p w:rsidR="0094047A" w:rsidRDefault="0094047A">
      <w:pPr>
        <w:jc w:val="center"/>
        <w:rPr>
          <w:rFonts w:ascii="Arial" w:eastAsia="Arial" w:hAnsi="Arial" w:cs="Arial"/>
        </w:rPr>
      </w:pPr>
    </w:p>
    <w:p w:rsidR="0094047A" w:rsidRDefault="00C13554">
      <w:pPr>
        <w:jc w:val="both"/>
        <w:rPr>
          <w:rFonts w:ascii="Arial" w:eastAsia="Arial" w:hAnsi="Arial" w:cs="Arial"/>
        </w:rPr>
      </w:pPr>
      <w:r>
        <w:rPr>
          <w:rFonts w:ascii="Arial" w:eastAsia="Arial" w:hAnsi="Arial" w:cs="Arial"/>
        </w:rPr>
        <w:t>In this study, economic growth is estimated by Gross Domestic Product (GDP), which serves as the dependent variable. Taxation, the independent variable, are the Income Tax (CIT), Value Added Tax (VAT), and Excise Tax (EXC</w:t>
      </w:r>
      <w:proofErr w:type="gramStart"/>
      <w:r>
        <w:rPr>
          <w:rFonts w:ascii="Arial" w:eastAsia="Arial" w:hAnsi="Arial" w:cs="Arial"/>
        </w:rPr>
        <w:t>) .</w:t>
      </w:r>
      <w:proofErr w:type="gramEnd"/>
      <w:r>
        <w:rPr>
          <w:rFonts w:ascii="Arial" w:eastAsia="Arial" w:hAnsi="Arial" w:cs="Arial"/>
        </w:rPr>
        <w:t xml:space="preserve"> The functional form of the model can be expressed as:</w:t>
      </w:r>
    </w:p>
    <w:p w:rsidR="0094047A" w:rsidRDefault="00C13554">
      <w:pPr>
        <w:jc w:val="center"/>
        <w:rPr>
          <w:rFonts w:ascii="Arial" w:eastAsia="Arial" w:hAnsi="Arial" w:cs="Arial"/>
        </w:rPr>
      </w:pPr>
      <w:r>
        <w:rPr>
          <w:rFonts w:ascii="Arial" w:eastAsia="Arial" w:hAnsi="Arial" w:cs="Arial"/>
        </w:rPr>
        <w:t>GDP = f (</w:t>
      </w:r>
      <w:proofErr w:type="gramStart"/>
      <w:r>
        <w:rPr>
          <w:rFonts w:ascii="Arial" w:eastAsia="Arial" w:hAnsi="Arial" w:cs="Arial"/>
        </w:rPr>
        <w:t>CIT,VAT</w:t>
      </w:r>
      <w:proofErr w:type="gramEnd"/>
      <w:r>
        <w:rPr>
          <w:rFonts w:ascii="Arial" w:eastAsia="Arial" w:hAnsi="Arial" w:cs="Arial"/>
        </w:rPr>
        <w:t>,EXC)</w:t>
      </w:r>
    </w:p>
    <w:p w:rsidR="0094047A" w:rsidRDefault="0094047A">
      <w:pPr>
        <w:jc w:val="center"/>
        <w:rPr>
          <w:rFonts w:ascii="Arial" w:eastAsia="Arial" w:hAnsi="Arial" w:cs="Arial"/>
        </w:rPr>
      </w:pPr>
    </w:p>
    <w:p w:rsidR="0094047A" w:rsidRDefault="00C13554">
      <w:pPr>
        <w:jc w:val="both"/>
        <w:rPr>
          <w:rFonts w:ascii="Arial" w:eastAsia="Arial" w:hAnsi="Arial" w:cs="Arial"/>
        </w:rPr>
      </w:pPr>
      <w:r>
        <w:rPr>
          <w:rFonts w:ascii="Arial" w:eastAsia="Arial" w:hAnsi="Arial" w:cs="Arial"/>
        </w:rPr>
        <w:t>To expand this into a linear econometric form yields:</w:t>
      </w:r>
    </w:p>
    <w:p w:rsidR="0094047A" w:rsidRDefault="00C13554">
      <w:pPr>
        <w:jc w:val="center"/>
        <w:rPr>
          <w:rFonts w:ascii="Arial" w:eastAsia="Arial" w:hAnsi="Arial" w:cs="Arial"/>
        </w:rPr>
      </w:pPr>
      <w:r>
        <w:rPr>
          <w:rFonts w:ascii="Arial" w:eastAsia="Arial" w:hAnsi="Arial" w:cs="Arial"/>
        </w:rPr>
        <w:t>GDP = β</w:t>
      </w:r>
      <w:r>
        <w:rPr>
          <w:rFonts w:ascii="Arial" w:eastAsia="Arial" w:hAnsi="Arial" w:cs="Arial"/>
          <w:vertAlign w:val="subscript"/>
        </w:rPr>
        <w:t>0</w:t>
      </w:r>
      <w:r>
        <w:rPr>
          <w:rFonts w:ascii="Arial" w:eastAsia="Arial" w:hAnsi="Arial" w:cs="Arial"/>
        </w:rPr>
        <w:t>​ + β</w:t>
      </w:r>
      <w:r>
        <w:rPr>
          <w:rFonts w:ascii="Arial" w:eastAsia="Arial" w:hAnsi="Arial" w:cs="Arial"/>
          <w:vertAlign w:val="subscript"/>
        </w:rPr>
        <w:t>1​</w:t>
      </w:r>
      <w:r>
        <w:rPr>
          <w:rFonts w:ascii="Arial" w:eastAsia="Arial" w:hAnsi="Arial" w:cs="Arial"/>
        </w:rPr>
        <w:t>CIT + β</w:t>
      </w:r>
      <w:r>
        <w:rPr>
          <w:rFonts w:ascii="Arial" w:eastAsia="Arial" w:hAnsi="Arial" w:cs="Arial"/>
          <w:vertAlign w:val="subscript"/>
        </w:rPr>
        <w:t>2</w:t>
      </w:r>
      <w:r>
        <w:rPr>
          <w:rFonts w:ascii="Arial" w:eastAsia="Arial" w:hAnsi="Arial" w:cs="Arial"/>
        </w:rPr>
        <w:t>​VAT + β</w:t>
      </w:r>
      <w:r>
        <w:rPr>
          <w:rFonts w:ascii="Arial" w:eastAsia="Arial" w:hAnsi="Arial" w:cs="Arial"/>
          <w:vertAlign w:val="subscript"/>
        </w:rPr>
        <w:t>3​</w:t>
      </w:r>
      <w:r>
        <w:rPr>
          <w:rFonts w:ascii="Arial" w:eastAsia="Arial" w:hAnsi="Arial" w:cs="Arial"/>
        </w:rPr>
        <w:t>EXC + μ</w:t>
      </w:r>
    </w:p>
    <w:p w:rsidR="0094047A" w:rsidRDefault="0094047A">
      <w:pPr>
        <w:jc w:val="center"/>
        <w:rPr>
          <w:rFonts w:ascii="Arial" w:eastAsia="Arial" w:hAnsi="Arial" w:cs="Arial"/>
        </w:rPr>
      </w:pPr>
    </w:p>
    <w:p w:rsidR="0094047A" w:rsidRDefault="00C13554">
      <w:pPr>
        <w:jc w:val="both"/>
        <w:rPr>
          <w:rFonts w:ascii="Arial" w:eastAsia="Arial" w:hAnsi="Arial" w:cs="Arial"/>
        </w:rPr>
      </w:pPr>
      <w:r>
        <w:rPr>
          <w:rFonts w:ascii="Arial" w:eastAsia="Arial" w:hAnsi="Arial" w:cs="Arial"/>
        </w:rPr>
        <w:t>To ensure comparability of scale and stabilize variance, the model was further transformed into a logarithmic form, as follows:</w:t>
      </w:r>
    </w:p>
    <w:p w:rsidR="0094047A" w:rsidRDefault="0094047A">
      <w:pPr>
        <w:jc w:val="both"/>
        <w:rPr>
          <w:rFonts w:ascii="Arial" w:eastAsia="Arial" w:hAnsi="Arial" w:cs="Arial"/>
        </w:rPr>
      </w:pPr>
    </w:p>
    <w:p w:rsidR="0094047A" w:rsidRDefault="00C13554">
      <w:pPr>
        <w:jc w:val="center"/>
        <w:rPr>
          <w:rFonts w:ascii="Arial" w:eastAsia="Arial" w:hAnsi="Arial" w:cs="Arial"/>
        </w:rPr>
      </w:pPr>
      <w:r>
        <w:rPr>
          <w:rFonts w:ascii="Arial" w:eastAsia="Arial" w:hAnsi="Arial" w:cs="Arial"/>
        </w:rPr>
        <w:t>log (GDP) = β</w:t>
      </w:r>
      <w:r>
        <w:rPr>
          <w:rFonts w:ascii="Arial" w:eastAsia="Arial" w:hAnsi="Arial" w:cs="Arial"/>
          <w:vertAlign w:val="subscript"/>
        </w:rPr>
        <w:t>0</w:t>
      </w:r>
      <w:proofErr w:type="gramStart"/>
      <w:r>
        <w:rPr>
          <w:rFonts w:ascii="Arial" w:eastAsia="Arial" w:hAnsi="Arial" w:cs="Arial"/>
          <w:vertAlign w:val="subscript"/>
        </w:rPr>
        <w:t>​</w:t>
      </w:r>
      <w:r>
        <w:rPr>
          <w:rFonts w:ascii="Arial" w:eastAsia="Arial" w:hAnsi="Arial" w:cs="Arial"/>
        </w:rPr>
        <w:t xml:space="preserve">  ​</w:t>
      </w:r>
      <w:proofErr w:type="gramEnd"/>
      <w:r>
        <w:rPr>
          <w:rFonts w:ascii="Arial" w:eastAsia="Arial" w:hAnsi="Arial" w:cs="Arial"/>
        </w:rPr>
        <w:t>+ β</w:t>
      </w:r>
      <w:r>
        <w:rPr>
          <w:rFonts w:ascii="Arial" w:eastAsia="Arial" w:hAnsi="Arial" w:cs="Arial"/>
          <w:vertAlign w:val="subscript"/>
        </w:rPr>
        <w:t>1</w:t>
      </w:r>
      <w:r>
        <w:rPr>
          <w:rFonts w:ascii="Arial" w:eastAsia="Arial" w:hAnsi="Arial" w:cs="Arial"/>
        </w:rPr>
        <w:t>log(CIT) + β</w:t>
      </w:r>
      <w:r>
        <w:rPr>
          <w:rFonts w:ascii="Arial" w:eastAsia="Arial" w:hAnsi="Arial" w:cs="Arial"/>
          <w:vertAlign w:val="subscript"/>
        </w:rPr>
        <w:t>2</w:t>
      </w:r>
      <w:r>
        <w:rPr>
          <w:rFonts w:ascii="Arial" w:eastAsia="Arial" w:hAnsi="Arial" w:cs="Arial"/>
        </w:rPr>
        <w:t>log(VAT) + β</w:t>
      </w:r>
      <w:r>
        <w:rPr>
          <w:rFonts w:ascii="Arial" w:eastAsia="Arial" w:hAnsi="Arial" w:cs="Arial"/>
          <w:vertAlign w:val="subscript"/>
        </w:rPr>
        <w:t>3</w:t>
      </w:r>
      <w:r>
        <w:rPr>
          <w:rFonts w:ascii="Arial" w:eastAsia="Arial" w:hAnsi="Arial" w:cs="Arial"/>
        </w:rPr>
        <w:t>log(EXC) + μ</w:t>
      </w:r>
    </w:p>
    <w:p w:rsidR="0094047A" w:rsidRDefault="00C13554">
      <w:pPr>
        <w:jc w:val="both"/>
        <w:rPr>
          <w:rFonts w:ascii="Arial" w:eastAsia="Arial" w:hAnsi="Arial" w:cs="Arial"/>
        </w:rPr>
      </w:pPr>
      <w:r>
        <w:rPr>
          <w:rFonts w:ascii="Arial" w:eastAsia="Arial" w:hAnsi="Arial" w:cs="Arial"/>
        </w:rPr>
        <w:t>Where:</w:t>
      </w:r>
    </w:p>
    <w:p w:rsidR="0094047A" w:rsidRDefault="00C13554">
      <w:pPr>
        <w:ind w:left="720"/>
        <w:jc w:val="both"/>
        <w:rPr>
          <w:rFonts w:ascii="Arial" w:eastAsia="Arial" w:hAnsi="Arial" w:cs="Arial"/>
        </w:rPr>
      </w:pPr>
      <w:r>
        <w:rPr>
          <w:rFonts w:ascii="Arial" w:eastAsia="Arial" w:hAnsi="Arial" w:cs="Arial"/>
        </w:rPr>
        <w:t>β</w:t>
      </w:r>
      <w:r>
        <w:rPr>
          <w:rFonts w:ascii="Arial" w:eastAsia="Arial" w:hAnsi="Arial" w:cs="Arial"/>
          <w:vertAlign w:val="subscript"/>
        </w:rPr>
        <w:t>0</w:t>
      </w:r>
      <w:r>
        <w:rPr>
          <w:rFonts w:ascii="Arial" w:eastAsia="Arial" w:hAnsi="Arial" w:cs="Arial"/>
        </w:rPr>
        <w:t xml:space="preserve"> = Constant term (intercept)</w:t>
      </w:r>
    </w:p>
    <w:p w:rsidR="0094047A" w:rsidRDefault="00C13554">
      <w:pPr>
        <w:ind w:left="720"/>
        <w:jc w:val="both"/>
        <w:rPr>
          <w:rFonts w:ascii="Arial" w:eastAsia="Arial" w:hAnsi="Arial" w:cs="Arial"/>
        </w:rPr>
      </w:pPr>
      <w:r>
        <w:rPr>
          <w:rFonts w:ascii="Arial" w:eastAsia="Arial" w:hAnsi="Arial" w:cs="Arial"/>
        </w:rPr>
        <w:t>β</w:t>
      </w:r>
      <w:r>
        <w:rPr>
          <w:rFonts w:ascii="Arial" w:eastAsia="Arial" w:hAnsi="Arial" w:cs="Arial"/>
          <w:vertAlign w:val="subscript"/>
        </w:rPr>
        <w:t>1</w:t>
      </w:r>
      <w:sdt>
        <w:sdtPr>
          <w:tag w:val="goog_rdk_0"/>
          <w:id w:val="-1631758216"/>
        </w:sdtPr>
        <w:sdtEndPr/>
        <w:sdtContent>
          <w:r>
            <w:rPr>
              <w:rFonts w:ascii="Arial Unicode MS" w:eastAsia="Arial Unicode MS" w:hAnsi="Arial Unicode MS" w:cs="Arial Unicode MS"/>
            </w:rPr>
            <w:t>−β3​ = Coefficients measuring the responsiveness of GDP to changes in CIT, VAT, and EXC respectively</w:t>
          </w:r>
        </w:sdtContent>
      </w:sdt>
    </w:p>
    <w:p w:rsidR="0094047A" w:rsidRDefault="00C13554">
      <w:pPr>
        <w:ind w:left="720"/>
        <w:jc w:val="both"/>
        <w:rPr>
          <w:rFonts w:ascii="Arial" w:eastAsia="Arial" w:hAnsi="Arial" w:cs="Arial"/>
        </w:rPr>
      </w:pPr>
      <w:r>
        <w:rPr>
          <w:rFonts w:ascii="Arial" w:eastAsia="Arial" w:hAnsi="Arial" w:cs="Arial"/>
        </w:rPr>
        <w:t>μ = Stochastic error term, capturing the influence of variables not included in the model</w:t>
      </w:r>
    </w:p>
    <w:p w:rsidR="0094047A" w:rsidRDefault="0094047A">
      <w:pPr>
        <w:jc w:val="both"/>
        <w:rPr>
          <w:rFonts w:ascii="Arial" w:eastAsia="Arial" w:hAnsi="Arial" w:cs="Arial"/>
        </w:rPr>
      </w:pPr>
    </w:p>
    <w:p w:rsidR="0094047A" w:rsidRDefault="00C13554">
      <w:pPr>
        <w:jc w:val="both"/>
        <w:rPr>
          <w:rFonts w:ascii="Arial" w:eastAsia="Arial" w:hAnsi="Arial" w:cs="Arial"/>
        </w:rPr>
      </w:pPr>
      <w:r>
        <w:rPr>
          <w:rFonts w:ascii="Arial" w:eastAsia="Arial" w:hAnsi="Arial" w:cs="Arial"/>
        </w:rPr>
        <w:t xml:space="preserve">The a priori expectations are: </w:t>
      </w:r>
    </w:p>
    <w:p w:rsidR="0094047A" w:rsidRDefault="00C13554">
      <w:pPr>
        <w:jc w:val="center"/>
        <w:rPr>
          <w:rFonts w:ascii="Arial" w:eastAsia="Arial" w:hAnsi="Arial" w:cs="Arial"/>
        </w:rPr>
      </w:pPr>
      <w:r>
        <w:rPr>
          <w:rFonts w:ascii="Arial" w:eastAsia="Arial" w:hAnsi="Arial" w:cs="Arial"/>
        </w:rPr>
        <w:t>β</w:t>
      </w:r>
      <w:r>
        <w:rPr>
          <w:rFonts w:ascii="Arial" w:eastAsia="Arial" w:hAnsi="Arial" w:cs="Arial"/>
          <w:vertAlign w:val="subscript"/>
        </w:rPr>
        <w:t>0</w:t>
      </w:r>
      <w:r>
        <w:rPr>
          <w:rFonts w:ascii="Arial" w:eastAsia="Arial" w:hAnsi="Arial" w:cs="Arial"/>
        </w:rPr>
        <w:t>​&gt;0, β</w:t>
      </w:r>
      <w:r>
        <w:rPr>
          <w:rFonts w:ascii="Arial" w:eastAsia="Arial" w:hAnsi="Arial" w:cs="Arial"/>
          <w:vertAlign w:val="subscript"/>
        </w:rPr>
        <w:t>1</w:t>
      </w:r>
      <w:r>
        <w:rPr>
          <w:rFonts w:ascii="Arial" w:eastAsia="Arial" w:hAnsi="Arial" w:cs="Arial"/>
        </w:rPr>
        <w:t>​&gt;0, β</w:t>
      </w:r>
      <w:r>
        <w:rPr>
          <w:rFonts w:ascii="Arial" w:eastAsia="Arial" w:hAnsi="Arial" w:cs="Arial"/>
          <w:vertAlign w:val="subscript"/>
        </w:rPr>
        <w:t>2​</w:t>
      </w:r>
      <w:r>
        <w:rPr>
          <w:rFonts w:ascii="Arial" w:eastAsia="Arial" w:hAnsi="Arial" w:cs="Arial"/>
        </w:rPr>
        <w:t>&gt;0, β</w:t>
      </w:r>
      <w:r>
        <w:rPr>
          <w:rFonts w:ascii="Arial" w:eastAsia="Arial" w:hAnsi="Arial" w:cs="Arial"/>
          <w:vertAlign w:val="subscript"/>
        </w:rPr>
        <w:t>3</w:t>
      </w:r>
      <w:r>
        <w:rPr>
          <w:rFonts w:ascii="Arial" w:eastAsia="Arial" w:hAnsi="Arial" w:cs="Arial"/>
        </w:rPr>
        <w:t>​&gt;0</w:t>
      </w:r>
    </w:p>
    <w:p w:rsidR="0094047A" w:rsidRDefault="0094047A">
      <w:pPr>
        <w:spacing w:line="276" w:lineRule="auto"/>
        <w:jc w:val="both"/>
        <w:rPr>
          <w:rFonts w:ascii="Arial" w:eastAsia="Arial" w:hAnsi="Arial" w:cs="Arial"/>
        </w:rPr>
      </w:pPr>
    </w:p>
    <w:p w:rsidR="0094047A" w:rsidRDefault="0094047A">
      <w:pPr>
        <w:keepNext/>
        <w:jc w:val="both"/>
        <w:rPr>
          <w:rFonts w:ascii="Arial" w:eastAsia="Arial" w:hAnsi="Arial" w:cs="Arial"/>
          <w:b/>
          <w:smallCaps/>
          <w:sz w:val="22"/>
          <w:szCs w:val="22"/>
        </w:rPr>
      </w:pPr>
    </w:p>
    <w:p w:rsidR="0094047A" w:rsidRDefault="00B761E4">
      <w:pPr>
        <w:jc w:val="both"/>
        <w:rPr>
          <w:rFonts w:ascii="Arial" w:eastAsia="Arial" w:hAnsi="Arial" w:cs="Arial"/>
          <w:b/>
          <w:sz w:val="22"/>
          <w:szCs w:val="22"/>
        </w:rPr>
      </w:pPr>
      <w:r w:rsidRPr="00B761E4">
        <w:rPr>
          <w:rFonts w:ascii="Arial" w:eastAsia="Arial" w:hAnsi="Arial" w:cs="Arial"/>
          <w:b/>
          <w:sz w:val="22"/>
          <w:szCs w:val="22"/>
        </w:rPr>
        <w:t>Findings</w:t>
      </w:r>
      <w:r>
        <w:rPr>
          <w:rFonts w:ascii="Arial" w:eastAsia="Arial" w:hAnsi="Arial" w:cs="Arial"/>
          <w:b/>
          <w:sz w:val="22"/>
          <w:szCs w:val="22"/>
        </w:rPr>
        <w:t xml:space="preserve">: </w:t>
      </w:r>
    </w:p>
    <w:p w:rsidR="00B761E4" w:rsidRDefault="00B761E4">
      <w:pPr>
        <w:jc w:val="both"/>
        <w:rPr>
          <w:rFonts w:ascii="Arial" w:eastAsia="Arial" w:hAnsi="Arial" w:cs="Arial"/>
          <w:b/>
          <w:sz w:val="22"/>
          <w:szCs w:val="22"/>
        </w:rPr>
      </w:pPr>
    </w:p>
    <w:p w:rsidR="0094047A" w:rsidRDefault="00C13554">
      <w:pPr>
        <w:tabs>
          <w:tab w:val="left" w:pos="1080"/>
        </w:tabs>
        <w:jc w:val="both"/>
        <w:rPr>
          <w:rFonts w:ascii="Arial" w:eastAsia="Arial" w:hAnsi="Arial" w:cs="Arial"/>
          <w:b/>
        </w:rPr>
      </w:pPr>
      <w:r>
        <w:rPr>
          <w:rFonts w:ascii="Arial" w:eastAsia="Arial" w:hAnsi="Arial" w:cs="Arial"/>
          <w:b/>
        </w:rPr>
        <w:t>Table 2.</w:t>
      </w:r>
      <w:r>
        <w:rPr>
          <w:rFonts w:ascii="Arial" w:eastAsia="Arial" w:hAnsi="Arial" w:cs="Arial"/>
          <w:b/>
        </w:rPr>
        <w:tab/>
        <w:t>Descriptive Statistics for Regression Analysis</w:t>
      </w:r>
    </w:p>
    <w:sdt>
      <w:sdtPr>
        <w:tag w:val="goog_rdk_1"/>
        <w:id w:val="-1637436130"/>
        <w:lock w:val="contentLocked"/>
      </w:sdtPr>
      <w:sdtEndPr/>
      <w:sdtContent>
        <w:tbl>
          <w:tblPr>
            <w:tblStyle w:val="a7"/>
            <w:tblW w:w="8220" w:type="dxa"/>
            <w:tblBorders>
              <w:top w:val="nil"/>
              <w:left w:val="nil"/>
              <w:bottom w:val="nil"/>
              <w:right w:val="nil"/>
              <w:insideH w:val="nil"/>
              <w:insideV w:val="nil"/>
            </w:tblBorders>
            <w:tblLayout w:type="fixed"/>
            <w:tblLook w:val="0600" w:firstRow="0" w:lastRow="0" w:firstColumn="0" w:lastColumn="0" w:noHBand="1" w:noVBand="1"/>
          </w:tblPr>
          <w:tblGrid>
            <w:gridCol w:w="795"/>
            <w:gridCol w:w="1020"/>
            <w:gridCol w:w="870"/>
            <w:gridCol w:w="990"/>
            <w:gridCol w:w="885"/>
            <w:gridCol w:w="885"/>
            <w:gridCol w:w="705"/>
            <w:gridCol w:w="975"/>
            <w:gridCol w:w="1095"/>
          </w:tblGrid>
          <w:tr w:rsidR="0094047A">
            <w:trPr>
              <w:trHeight w:val="300"/>
            </w:trPr>
            <w:tc>
              <w:tcPr>
                <w:tcW w:w="8220" w:type="dxa"/>
                <w:gridSpan w:val="9"/>
                <w:tcBorders>
                  <w:top w:val="single" w:sz="5" w:space="0" w:color="000000"/>
                  <w:left w:val="single" w:sz="5" w:space="0" w:color="FFFFFF"/>
                  <w:bottom w:val="single" w:sz="5" w:space="0" w:color="FFFFFF"/>
                  <w:right w:val="single" w:sz="5" w:space="0" w:color="CCCCCC"/>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GDP at Current</w:t>
                </w:r>
              </w:p>
            </w:tc>
          </w:tr>
          <w:tr w:rsidR="0094047A">
            <w:trPr>
              <w:trHeight w:val="300"/>
            </w:trPr>
            <w:tc>
              <w:tcPr>
                <w:tcW w:w="8220" w:type="dxa"/>
                <w:gridSpan w:val="9"/>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Basic Prices</w:t>
                </w:r>
              </w:p>
            </w:tc>
          </w:tr>
          <w:tr w:rsidR="0094047A">
            <w:trPr>
              <w:trHeight w:val="300"/>
            </w:trPr>
            <w:tc>
              <w:tcPr>
                <w:tcW w:w="79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b/>
                  </w:rPr>
                  <w:t>Year</w:t>
                </w:r>
              </w:p>
            </w:tc>
            <w:tc>
              <w:tcPr>
                <w:tcW w:w="1020"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b/>
                  </w:rPr>
                  <w:t>GDP (billion)</w:t>
                </w:r>
              </w:p>
            </w:tc>
            <w:tc>
              <w:tcPr>
                <w:tcW w:w="870"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b/>
                  </w:rPr>
                  <w:t>CIT (billion)</w:t>
                </w:r>
              </w:p>
            </w:tc>
            <w:tc>
              <w:tcPr>
                <w:tcW w:w="990"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b/>
                  </w:rPr>
                  <w:t>VAT (billion)</w:t>
                </w:r>
              </w:p>
            </w:tc>
            <w:tc>
              <w:tcPr>
                <w:tcW w:w="88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b/>
                  </w:rPr>
                  <w:t>Excise Tax (billion)</w:t>
                </w:r>
              </w:p>
            </w:tc>
            <w:tc>
              <w:tcPr>
                <w:tcW w:w="88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b/>
                  </w:rPr>
                </w:pPr>
                <w:r>
                  <w:rPr>
                    <w:rFonts w:ascii="Arial" w:eastAsia="Arial" w:hAnsi="Arial" w:cs="Arial"/>
                    <w:b/>
                  </w:rPr>
                  <w:t>LOG</w:t>
                </w:r>
              </w:p>
              <w:p w:rsidR="0094047A" w:rsidRDefault="00C13554">
                <w:pPr>
                  <w:widowControl w:val="0"/>
                  <w:spacing w:line="276" w:lineRule="auto"/>
                  <w:jc w:val="center"/>
                  <w:rPr>
                    <w:rFonts w:ascii="Arial" w:eastAsia="Arial" w:hAnsi="Arial" w:cs="Arial"/>
                  </w:rPr>
                </w:pPr>
                <w:r>
                  <w:rPr>
                    <w:rFonts w:ascii="Arial" w:eastAsia="Arial" w:hAnsi="Arial" w:cs="Arial"/>
                    <w:b/>
                  </w:rPr>
                  <w:t>GDP</w:t>
                </w:r>
              </w:p>
            </w:tc>
            <w:tc>
              <w:tcPr>
                <w:tcW w:w="70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b/>
                  </w:rPr>
                </w:pPr>
                <w:r>
                  <w:rPr>
                    <w:rFonts w:ascii="Arial" w:eastAsia="Arial" w:hAnsi="Arial" w:cs="Arial"/>
                    <w:b/>
                  </w:rPr>
                  <w:t>LOG</w:t>
                </w:r>
              </w:p>
              <w:p w:rsidR="0094047A" w:rsidRDefault="00C13554">
                <w:pPr>
                  <w:widowControl w:val="0"/>
                  <w:spacing w:line="276" w:lineRule="auto"/>
                  <w:jc w:val="center"/>
                  <w:rPr>
                    <w:rFonts w:ascii="Arial" w:eastAsia="Arial" w:hAnsi="Arial" w:cs="Arial"/>
                  </w:rPr>
                </w:pPr>
                <w:r>
                  <w:rPr>
                    <w:rFonts w:ascii="Arial" w:eastAsia="Arial" w:hAnsi="Arial" w:cs="Arial"/>
                    <w:b/>
                  </w:rPr>
                  <w:t>CIT</w:t>
                </w:r>
              </w:p>
            </w:tc>
            <w:tc>
              <w:tcPr>
                <w:tcW w:w="97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b/>
                  </w:rPr>
                </w:pPr>
                <w:r>
                  <w:rPr>
                    <w:rFonts w:ascii="Arial" w:eastAsia="Arial" w:hAnsi="Arial" w:cs="Arial"/>
                    <w:b/>
                  </w:rPr>
                  <w:t>LOG</w:t>
                </w:r>
              </w:p>
              <w:p w:rsidR="0094047A" w:rsidRDefault="00C13554">
                <w:pPr>
                  <w:widowControl w:val="0"/>
                  <w:spacing w:line="276" w:lineRule="auto"/>
                  <w:jc w:val="center"/>
                  <w:rPr>
                    <w:rFonts w:ascii="Arial" w:eastAsia="Arial" w:hAnsi="Arial" w:cs="Arial"/>
                  </w:rPr>
                </w:pPr>
                <w:r>
                  <w:rPr>
                    <w:rFonts w:ascii="Arial" w:eastAsia="Arial" w:hAnsi="Arial" w:cs="Arial"/>
                    <w:b/>
                  </w:rPr>
                  <w:t>VAT</w:t>
                </w:r>
              </w:p>
            </w:tc>
            <w:tc>
              <w:tcPr>
                <w:tcW w:w="109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b/>
                  </w:rPr>
                </w:pPr>
                <w:r>
                  <w:rPr>
                    <w:rFonts w:ascii="Arial" w:eastAsia="Arial" w:hAnsi="Arial" w:cs="Arial"/>
                    <w:b/>
                  </w:rPr>
                  <w:t>LOG</w:t>
                </w:r>
              </w:p>
              <w:p w:rsidR="0094047A" w:rsidRDefault="00C13554">
                <w:pPr>
                  <w:widowControl w:val="0"/>
                  <w:spacing w:line="276" w:lineRule="auto"/>
                  <w:jc w:val="center"/>
                  <w:rPr>
                    <w:rFonts w:ascii="Arial" w:eastAsia="Arial" w:hAnsi="Arial" w:cs="Arial"/>
                  </w:rPr>
                </w:pPr>
                <w:r>
                  <w:rPr>
                    <w:rFonts w:ascii="Arial" w:eastAsia="Arial" w:hAnsi="Arial" w:cs="Arial"/>
                    <w:b/>
                  </w:rPr>
                  <w:t>EXC</w:t>
                </w:r>
              </w:p>
            </w:tc>
          </w:tr>
          <w:tr w:rsidR="0094047A">
            <w:trPr>
              <w:trHeight w:val="300"/>
            </w:trPr>
            <w:tc>
              <w:tcPr>
                <w:tcW w:w="79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2014</w:t>
                </w:r>
              </w:p>
            </w:tc>
            <w:tc>
              <w:tcPr>
                <w:tcW w:w="1020"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17,042</w:t>
                </w:r>
              </w:p>
            </w:tc>
            <w:tc>
              <w:tcPr>
                <w:tcW w:w="870"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187.02</w:t>
                </w:r>
              </w:p>
            </w:tc>
            <w:tc>
              <w:tcPr>
                <w:tcW w:w="990"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278.79</w:t>
                </w:r>
              </w:p>
            </w:tc>
            <w:tc>
              <w:tcPr>
                <w:tcW w:w="88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135.32</w:t>
                </w:r>
              </w:p>
            </w:tc>
            <w:tc>
              <w:tcPr>
                <w:tcW w:w="88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4.23</w:t>
                </w:r>
              </w:p>
            </w:tc>
            <w:tc>
              <w:tcPr>
                <w:tcW w:w="70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2.27</w:t>
                </w:r>
              </w:p>
            </w:tc>
            <w:tc>
              <w:tcPr>
                <w:tcW w:w="97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2.45</w:t>
                </w:r>
              </w:p>
            </w:tc>
            <w:tc>
              <w:tcPr>
                <w:tcW w:w="109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2.13</w:t>
                </w:r>
              </w:p>
            </w:tc>
          </w:tr>
          <w:tr w:rsidR="0094047A">
            <w:trPr>
              <w:trHeight w:val="300"/>
            </w:trPr>
            <w:tc>
              <w:tcPr>
                <w:tcW w:w="7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2015</w:t>
                </w:r>
              </w:p>
            </w:tc>
            <w:tc>
              <w:tcPr>
                <w:tcW w:w="102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17,545</w:t>
                </w:r>
              </w:p>
            </w:tc>
            <w:tc>
              <w:tcPr>
                <w:tcW w:w="87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206.93</w:t>
                </w:r>
              </w:p>
            </w:tc>
            <w:tc>
              <w:tcPr>
                <w:tcW w:w="9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295.5</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158.32</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4.24</w:t>
                </w:r>
              </w:p>
            </w:tc>
            <w:tc>
              <w:tcPr>
                <w:tcW w:w="70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2.32</w:t>
                </w:r>
              </w:p>
            </w:tc>
            <w:tc>
              <w:tcPr>
                <w:tcW w:w="9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2.47</w:t>
                </w:r>
              </w:p>
            </w:tc>
            <w:tc>
              <w:tcPr>
                <w:tcW w:w="10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2.2</w:t>
                </w:r>
              </w:p>
            </w:tc>
          </w:tr>
          <w:tr w:rsidR="0094047A">
            <w:trPr>
              <w:trHeight w:val="300"/>
            </w:trPr>
            <w:tc>
              <w:tcPr>
                <w:tcW w:w="7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2016</w:t>
                </w:r>
              </w:p>
            </w:tc>
            <w:tc>
              <w:tcPr>
                <w:tcW w:w="102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18,241</w:t>
                </w:r>
              </w:p>
            </w:tc>
            <w:tc>
              <w:tcPr>
                <w:tcW w:w="87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232.29</w:t>
                </w:r>
              </w:p>
            </w:tc>
            <w:tc>
              <w:tcPr>
                <w:tcW w:w="9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331.42</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163.51</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4.26</w:t>
                </w:r>
              </w:p>
            </w:tc>
            <w:tc>
              <w:tcPr>
                <w:tcW w:w="70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2.37</w:t>
                </w:r>
              </w:p>
            </w:tc>
            <w:tc>
              <w:tcPr>
                <w:tcW w:w="9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2.52</w:t>
                </w:r>
              </w:p>
            </w:tc>
            <w:tc>
              <w:tcPr>
                <w:tcW w:w="10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2.21</w:t>
                </w:r>
              </w:p>
            </w:tc>
          </w:tr>
          <w:tr w:rsidR="0094047A">
            <w:trPr>
              <w:trHeight w:val="300"/>
            </w:trPr>
            <w:tc>
              <w:tcPr>
                <w:tcW w:w="7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2017</w:t>
                </w:r>
              </w:p>
            </w:tc>
            <w:tc>
              <w:tcPr>
                <w:tcW w:w="102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18,809</w:t>
                </w:r>
              </w:p>
            </w:tc>
            <w:tc>
              <w:tcPr>
                <w:tcW w:w="87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257.64</w:t>
                </w:r>
              </w:p>
            </w:tc>
            <w:tc>
              <w:tcPr>
                <w:tcW w:w="9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365.24</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209.49</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4.27</w:t>
                </w:r>
              </w:p>
            </w:tc>
            <w:tc>
              <w:tcPr>
                <w:tcW w:w="70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2.41</w:t>
                </w:r>
              </w:p>
            </w:tc>
            <w:tc>
              <w:tcPr>
                <w:tcW w:w="9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2.56</w:t>
                </w:r>
              </w:p>
            </w:tc>
            <w:tc>
              <w:tcPr>
                <w:tcW w:w="10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2.32</w:t>
                </w:r>
              </w:p>
            </w:tc>
          </w:tr>
          <w:tr w:rsidR="0094047A">
            <w:trPr>
              <w:trHeight w:val="300"/>
            </w:trPr>
            <w:tc>
              <w:tcPr>
                <w:tcW w:w="7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2018</w:t>
                </w:r>
              </w:p>
            </w:tc>
            <w:tc>
              <w:tcPr>
                <w:tcW w:w="102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19,858</w:t>
                </w:r>
              </w:p>
            </w:tc>
            <w:tc>
              <w:tcPr>
                <w:tcW w:w="87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302.98</w:t>
                </w:r>
              </w:p>
            </w:tc>
            <w:tc>
              <w:tcPr>
                <w:tcW w:w="9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358.17</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290.61</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4.30</w:t>
                </w:r>
              </w:p>
            </w:tc>
            <w:tc>
              <w:tcPr>
                <w:tcW w:w="70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2.48</w:t>
                </w:r>
              </w:p>
            </w:tc>
            <w:tc>
              <w:tcPr>
                <w:tcW w:w="9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2.55</w:t>
                </w:r>
              </w:p>
            </w:tc>
            <w:tc>
              <w:tcPr>
                <w:tcW w:w="10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2.46</w:t>
                </w:r>
              </w:p>
            </w:tc>
          </w:tr>
          <w:tr w:rsidR="0094047A">
            <w:trPr>
              <w:trHeight w:val="300"/>
            </w:trPr>
            <w:tc>
              <w:tcPr>
                <w:tcW w:w="7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2019</w:t>
                </w:r>
              </w:p>
            </w:tc>
            <w:tc>
              <w:tcPr>
                <w:tcW w:w="102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21,563</w:t>
                </w:r>
              </w:p>
            </w:tc>
            <w:tc>
              <w:tcPr>
                <w:tcW w:w="87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335.07</w:t>
                </w:r>
              </w:p>
            </w:tc>
            <w:tc>
              <w:tcPr>
                <w:tcW w:w="9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406.08</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317.27</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4.33</w:t>
                </w:r>
              </w:p>
            </w:tc>
            <w:tc>
              <w:tcPr>
                <w:tcW w:w="70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2.53</w:t>
                </w:r>
              </w:p>
            </w:tc>
            <w:tc>
              <w:tcPr>
                <w:tcW w:w="9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2.61</w:t>
                </w:r>
              </w:p>
            </w:tc>
            <w:tc>
              <w:tcPr>
                <w:tcW w:w="10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w:t>
                </w:r>
              </w:p>
            </w:tc>
          </w:tr>
          <w:tr w:rsidR="0094047A">
            <w:trPr>
              <w:trHeight w:val="300"/>
            </w:trPr>
            <w:tc>
              <w:tcPr>
                <w:tcW w:w="7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2020</w:t>
                </w:r>
              </w:p>
            </w:tc>
            <w:tc>
              <w:tcPr>
                <w:tcW w:w="102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20,722</w:t>
                </w:r>
              </w:p>
            </w:tc>
            <w:tc>
              <w:tcPr>
                <w:tcW w:w="87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295.39</w:t>
                </w:r>
              </w:p>
            </w:tc>
            <w:tc>
              <w:tcPr>
                <w:tcW w:w="9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351.75</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296.08</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4.32</w:t>
                </w:r>
              </w:p>
            </w:tc>
            <w:tc>
              <w:tcPr>
                <w:tcW w:w="70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2.47</w:t>
                </w:r>
              </w:p>
            </w:tc>
            <w:tc>
              <w:tcPr>
                <w:tcW w:w="9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2.55</w:t>
                </w:r>
              </w:p>
            </w:tc>
            <w:tc>
              <w:tcPr>
                <w:tcW w:w="10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2.47</w:t>
                </w:r>
              </w:p>
            </w:tc>
          </w:tr>
          <w:tr w:rsidR="0094047A">
            <w:trPr>
              <w:trHeight w:val="300"/>
            </w:trPr>
            <w:tc>
              <w:tcPr>
                <w:tcW w:w="7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2021</w:t>
                </w:r>
              </w:p>
            </w:tc>
            <w:tc>
              <w:tcPr>
                <w:tcW w:w="102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22,561</w:t>
                </w:r>
              </w:p>
            </w:tc>
            <w:tc>
              <w:tcPr>
                <w:tcW w:w="87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245.21</w:t>
                </w:r>
              </w:p>
            </w:tc>
            <w:tc>
              <w:tcPr>
                <w:tcW w:w="9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385.67</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317.67</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4.35</w:t>
                </w:r>
              </w:p>
            </w:tc>
            <w:tc>
              <w:tcPr>
                <w:tcW w:w="70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2.39</w:t>
                </w:r>
              </w:p>
            </w:tc>
            <w:tc>
              <w:tcPr>
                <w:tcW w:w="9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2.59</w:t>
                </w:r>
              </w:p>
            </w:tc>
            <w:tc>
              <w:tcPr>
                <w:tcW w:w="10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w:t>
                </w:r>
              </w:p>
            </w:tc>
          </w:tr>
          <w:tr w:rsidR="0094047A">
            <w:trPr>
              <w:trHeight w:val="300"/>
            </w:trPr>
            <w:tc>
              <w:tcPr>
                <w:tcW w:w="7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2022</w:t>
                </w:r>
              </w:p>
            </w:tc>
            <w:tc>
              <w:tcPr>
                <w:tcW w:w="102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23,163</w:t>
                </w:r>
              </w:p>
            </w:tc>
            <w:tc>
              <w:tcPr>
                <w:tcW w:w="87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279.92</w:t>
                </w:r>
              </w:p>
            </w:tc>
            <w:tc>
              <w:tcPr>
                <w:tcW w:w="9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476.14</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312.2</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4.36</w:t>
                </w:r>
              </w:p>
            </w:tc>
            <w:tc>
              <w:tcPr>
                <w:tcW w:w="70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2.45</w:t>
                </w:r>
              </w:p>
            </w:tc>
            <w:tc>
              <w:tcPr>
                <w:tcW w:w="9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2.68</w:t>
                </w:r>
              </w:p>
            </w:tc>
            <w:tc>
              <w:tcPr>
                <w:tcW w:w="10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2.49</w:t>
                </w:r>
              </w:p>
            </w:tc>
          </w:tr>
          <w:tr w:rsidR="0094047A">
            <w:trPr>
              <w:trHeight w:val="300"/>
            </w:trPr>
            <w:tc>
              <w:tcPr>
                <w:tcW w:w="7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2023</w:t>
                </w:r>
              </w:p>
            </w:tc>
            <w:tc>
              <w:tcPr>
                <w:tcW w:w="102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25,026</w:t>
                </w:r>
              </w:p>
            </w:tc>
            <w:tc>
              <w:tcPr>
                <w:tcW w:w="87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309.41</w:t>
                </w:r>
              </w:p>
            </w:tc>
            <w:tc>
              <w:tcPr>
                <w:tcW w:w="9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475.24</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292.98</w:t>
                </w:r>
              </w:p>
            </w:tc>
            <w:tc>
              <w:tcPr>
                <w:tcW w:w="8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4.40</w:t>
                </w:r>
              </w:p>
            </w:tc>
            <w:tc>
              <w:tcPr>
                <w:tcW w:w="70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2.49</w:t>
                </w:r>
              </w:p>
            </w:tc>
            <w:tc>
              <w:tcPr>
                <w:tcW w:w="9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2.68</w:t>
                </w:r>
              </w:p>
            </w:tc>
            <w:tc>
              <w:tcPr>
                <w:tcW w:w="109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2.47</w:t>
                </w:r>
              </w:p>
            </w:tc>
          </w:tr>
          <w:tr w:rsidR="0094047A">
            <w:trPr>
              <w:trHeight w:val="300"/>
            </w:trPr>
            <w:tc>
              <w:tcPr>
                <w:tcW w:w="79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2024</w:t>
                </w:r>
              </w:p>
            </w:tc>
            <w:tc>
              <w:tcPr>
                <w:tcW w:w="1020"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26,435</w:t>
                </w:r>
              </w:p>
            </w:tc>
            <w:tc>
              <w:tcPr>
                <w:tcW w:w="870"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335.22</w:t>
                </w:r>
              </w:p>
            </w:tc>
            <w:tc>
              <w:tcPr>
                <w:tcW w:w="990"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643.85</w:t>
                </w:r>
              </w:p>
            </w:tc>
            <w:tc>
              <w:tcPr>
                <w:tcW w:w="88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304.28</w:t>
                </w:r>
              </w:p>
            </w:tc>
            <w:tc>
              <w:tcPr>
                <w:tcW w:w="88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4.42</w:t>
                </w:r>
              </w:p>
            </w:tc>
            <w:tc>
              <w:tcPr>
                <w:tcW w:w="70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2.53</w:t>
                </w:r>
              </w:p>
            </w:tc>
            <w:tc>
              <w:tcPr>
                <w:tcW w:w="97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2.81</w:t>
                </w:r>
              </w:p>
            </w:tc>
            <w:tc>
              <w:tcPr>
                <w:tcW w:w="109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2.48</w:t>
                </w:r>
              </w:p>
            </w:tc>
          </w:tr>
        </w:tbl>
      </w:sdtContent>
    </w:sdt>
    <w:p w:rsidR="0094047A" w:rsidRDefault="0094047A">
      <w:pPr>
        <w:spacing w:line="276" w:lineRule="auto"/>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Table 2 presents the raw descriptive data to be used for regression analysis from year 2014 to 2024, consisting of Gross Domestic Product (GDP) at current basic prices alongside Corporate Income Tax (CIT), Value-Added Tax (VAT), and Excise Tax, expressed in both actual figures (billions of pesos) and their logarithmic transformations. As indicated in the result, GDP consistently increased from ₱17,042 billion in 2014 to ₱26,435 billion in 2024, indicating sustained economic growth throughout the period. Correspondingly, tax revenues also exhibited an upward trend. Corporate Income Tax collections increases from ₱187.02 billion in 2014 to ₱335.22 billion in 2024, while VAT increased from ₱278.79 billion to ₱643.85 billion, and Excise Tax from ₱135.32 billion to ₱304.28 billion. Thus, the logarithmic transformations of these variables similarly reflect this positive trajectory. LOGGDP grew from 4.23 to 4.42, LOGCIT from 2.27 to 2.53, LOGVAT from 2.45 to 2.81, and LOGEXC from 2.13 to 2.48 across the study period. These values were generated to normalize the data and facilitate the regression analysis that follows.</w:t>
      </w:r>
    </w:p>
    <w:p w:rsidR="0094047A" w:rsidRDefault="0094047A">
      <w:pPr>
        <w:pBdr>
          <w:top w:val="nil"/>
          <w:left w:val="nil"/>
          <w:bottom w:val="nil"/>
          <w:right w:val="nil"/>
          <w:between w:val="nil"/>
        </w:pBdr>
        <w:jc w:val="both"/>
        <w:rPr>
          <w:rFonts w:ascii="Arial" w:eastAsia="Arial" w:hAnsi="Arial" w:cs="Arial"/>
        </w:rPr>
      </w:pPr>
    </w:p>
    <w:p w:rsidR="0094047A" w:rsidRDefault="00C13554">
      <w:pPr>
        <w:tabs>
          <w:tab w:val="left" w:pos="1080"/>
        </w:tabs>
        <w:jc w:val="both"/>
        <w:rPr>
          <w:rFonts w:ascii="Times New Roman" w:eastAsia="Times New Roman" w:hAnsi="Times New Roman" w:cs="Times New Roman"/>
          <w:sz w:val="24"/>
          <w:szCs w:val="24"/>
        </w:rPr>
      </w:pPr>
      <w:r>
        <w:rPr>
          <w:rFonts w:ascii="Arial" w:eastAsia="Arial" w:hAnsi="Arial" w:cs="Arial"/>
          <w:b/>
        </w:rPr>
        <w:t>Table 3.</w:t>
      </w:r>
      <w:r>
        <w:rPr>
          <w:rFonts w:ascii="Arial" w:eastAsia="Arial" w:hAnsi="Arial" w:cs="Arial"/>
          <w:b/>
        </w:rPr>
        <w:tab/>
        <w:t>Descriptive Statistics</w:t>
      </w:r>
      <w:r w:rsidR="00B761E4" w:rsidRPr="00B761E4">
        <w:t xml:space="preserve"> </w:t>
      </w:r>
      <w:r w:rsidR="00B761E4" w:rsidRPr="00B761E4">
        <w:rPr>
          <w:rFonts w:ascii="Arial" w:eastAsia="Arial" w:hAnsi="Arial" w:cs="Arial"/>
          <w:b/>
        </w:rPr>
        <w:t>of the variables used in the study</w:t>
      </w:r>
    </w:p>
    <w:sdt>
      <w:sdtPr>
        <w:tag w:val="goog_rdk_2"/>
        <w:id w:val="-1428334134"/>
        <w:lock w:val="contentLocked"/>
      </w:sdtPr>
      <w:sdtEndPr/>
      <w:sdtContent>
        <w:tbl>
          <w:tblPr>
            <w:tblStyle w:val="a8"/>
            <w:tblW w:w="8205" w:type="dxa"/>
            <w:tblBorders>
              <w:top w:val="nil"/>
              <w:left w:val="nil"/>
              <w:bottom w:val="nil"/>
              <w:right w:val="nil"/>
              <w:insideH w:val="nil"/>
              <w:insideV w:val="nil"/>
            </w:tblBorders>
            <w:tblLayout w:type="fixed"/>
            <w:tblLook w:val="0600" w:firstRow="0" w:lastRow="0" w:firstColumn="0" w:lastColumn="0" w:noHBand="1" w:noVBand="1"/>
          </w:tblPr>
          <w:tblGrid>
            <w:gridCol w:w="3090"/>
            <w:gridCol w:w="2925"/>
            <w:gridCol w:w="2190"/>
          </w:tblGrid>
          <w:tr w:rsidR="0094047A">
            <w:trPr>
              <w:trHeight w:val="300"/>
            </w:trPr>
            <w:tc>
              <w:tcPr>
                <w:tcW w:w="3090"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center"/>
              </w:tcPr>
              <w:p w:rsidR="0094047A" w:rsidRDefault="0094047A">
                <w:pPr>
                  <w:widowControl w:val="0"/>
                  <w:spacing w:line="276" w:lineRule="auto"/>
                  <w:rPr>
                    <w:rFonts w:ascii="Arial" w:eastAsia="Arial" w:hAnsi="Arial" w:cs="Arial"/>
                    <w:b/>
                  </w:rPr>
                </w:pPr>
              </w:p>
            </w:tc>
            <w:tc>
              <w:tcPr>
                <w:tcW w:w="2925"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b/>
                  </w:rPr>
                </w:pPr>
                <w:r>
                  <w:rPr>
                    <w:rFonts w:ascii="Arial" w:eastAsia="Arial" w:hAnsi="Arial" w:cs="Arial"/>
                    <w:b/>
                  </w:rPr>
                  <w:t>Mean</w:t>
                </w:r>
              </w:p>
            </w:tc>
            <w:tc>
              <w:tcPr>
                <w:tcW w:w="2190"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b/>
                  </w:rPr>
                </w:pPr>
                <w:r>
                  <w:rPr>
                    <w:rFonts w:ascii="Arial" w:eastAsia="Arial" w:hAnsi="Arial" w:cs="Arial"/>
                    <w:b/>
                  </w:rPr>
                  <w:t>Std. Deviation</w:t>
                </w:r>
              </w:p>
            </w:tc>
          </w:tr>
          <w:tr w:rsidR="0094047A">
            <w:trPr>
              <w:trHeight w:val="300"/>
            </w:trPr>
            <w:tc>
              <w:tcPr>
                <w:tcW w:w="3090"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rPr>
                    <w:rFonts w:ascii="Arial" w:eastAsia="Arial" w:hAnsi="Arial" w:cs="Arial"/>
                    <w:b/>
                  </w:rPr>
                </w:pPr>
                <w:r>
                  <w:rPr>
                    <w:rFonts w:ascii="Arial" w:eastAsia="Arial" w:hAnsi="Arial" w:cs="Arial"/>
                    <w:b/>
                  </w:rPr>
                  <w:t>LOGGDP</w:t>
                </w:r>
              </w:p>
            </w:tc>
            <w:tc>
              <w:tcPr>
                <w:tcW w:w="292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4.32</w:t>
                </w:r>
              </w:p>
            </w:tc>
            <w:tc>
              <w:tcPr>
                <w:tcW w:w="2190"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0.06</w:t>
                </w:r>
              </w:p>
            </w:tc>
          </w:tr>
          <w:tr w:rsidR="0094047A">
            <w:trPr>
              <w:trHeight w:val="300"/>
            </w:trPr>
            <w:tc>
              <w:tcPr>
                <w:tcW w:w="30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rPr>
                    <w:rFonts w:ascii="Arial" w:eastAsia="Arial" w:hAnsi="Arial" w:cs="Arial"/>
                    <w:b/>
                  </w:rPr>
                </w:pPr>
                <w:r>
                  <w:rPr>
                    <w:rFonts w:ascii="Arial" w:eastAsia="Arial" w:hAnsi="Arial" w:cs="Arial"/>
                    <w:b/>
                  </w:rPr>
                  <w:t>LOGCIT</w:t>
                </w:r>
              </w:p>
            </w:tc>
            <w:tc>
              <w:tcPr>
                <w:tcW w:w="292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2.43</w:t>
                </w:r>
              </w:p>
            </w:tc>
            <w:tc>
              <w:tcPr>
                <w:tcW w:w="21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0.08</w:t>
                </w:r>
              </w:p>
            </w:tc>
          </w:tr>
          <w:tr w:rsidR="0094047A">
            <w:trPr>
              <w:trHeight w:val="300"/>
            </w:trPr>
            <w:tc>
              <w:tcPr>
                <w:tcW w:w="30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rPr>
                    <w:rFonts w:ascii="Arial" w:eastAsia="Arial" w:hAnsi="Arial" w:cs="Arial"/>
                    <w:b/>
                  </w:rPr>
                </w:pPr>
                <w:r>
                  <w:rPr>
                    <w:rFonts w:ascii="Arial" w:eastAsia="Arial" w:hAnsi="Arial" w:cs="Arial"/>
                    <w:b/>
                  </w:rPr>
                  <w:t>LOGVAT</w:t>
                </w:r>
              </w:p>
            </w:tc>
            <w:tc>
              <w:tcPr>
                <w:tcW w:w="292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2.59</w:t>
                </w:r>
              </w:p>
            </w:tc>
            <w:tc>
              <w:tcPr>
                <w:tcW w:w="2190"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0.10</w:t>
                </w:r>
              </w:p>
            </w:tc>
          </w:tr>
          <w:tr w:rsidR="0094047A">
            <w:trPr>
              <w:trHeight w:val="300"/>
            </w:trPr>
            <w:tc>
              <w:tcPr>
                <w:tcW w:w="3090"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rPr>
                    <w:rFonts w:ascii="Arial" w:eastAsia="Arial" w:hAnsi="Arial" w:cs="Arial"/>
                    <w:b/>
                  </w:rPr>
                </w:pPr>
                <w:r>
                  <w:rPr>
                    <w:rFonts w:ascii="Arial" w:eastAsia="Arial" w:hAnsi="Arial" w:cs="Arial"/>
                    <w:b/>
                  </w:rPr>
                  <w:t>LOGEXC</w:t>
                </w:r>
              </w:p>
            </w:tc>
            <w:tc>
              <w:tcPr>
                <w:tcW w:w="292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2.39</w:t>
                </w:r>
              </w:p>
            </w:tc>
            <w:tc>
              <w:tcPr>
                <w:tcW w:w="2190"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center"/>
              </w:tcPr>
              <w:p w:rsidR="0094047A" w:rsidRDefault="00C13554">
                <w:pPr>
                  <w:widowControl w:val="0"/>
                  <w:spacing w:line="276" w:lineRule="auto"/>
                  <w:jc w:val="center"/>
                  <w:rPr>
                    <w:rFonts w:ascii="Arial" w:eastAsia="Arial" w:hAnsi="Arial" w:cs="Arial"/>
                  </w:rPr>
                </w:pPr>
                <w:r>
                  <w:rPr>
                    <w:rFonts w:ascii="Arial" w:eastAsia="Arial" w:hAnsi="Arial" w:cs="Arial"/>
                  </w:rPr>
                  <w:t>0.14</w:t>
                </w:r>
              </w:p>
            </w:tc>
          </w:tr>
        </w:tbl>
      </w:sdtContent>
    </w:sdt>
    <w:p w:rsidR="0094047A" w:rsidRDefault="00C13554">
      <w:pPr>
        <w:spacing w:line="276" w:lineRule="auto"/>
        <w:jc w:val="both"/>
        <w:rPr>
          <w:rFonts w:ascii="Arial" w:eastAsia="Arial" w:hAnsi="Arial" w:cs="Arial"/>
        </w:rPr>
      </w:pPr>
      <w:r>
        <w:rPr>
          <w:rFonts w:ascii="Arial" w:eastAsia="Arial" w:hAnsi="Arial" w:cs="Arial"/>
        </w:rPr>
        <w:t>Dependent Variable: LOGGDP</w:t>
      </w:r>
    </w:p>
    <w:p w:rsidR="0094047A" w:rsidRDefault="00C13554">
      <w:pPr>
        <w:spacing w:line="276" w:lineRule="auto"/>
        <w:jc w:val="both"/>
        <w:rPr>
          <w:rFonts w:ascii="Arial" w:eastAsia="Arial" w:hAnsi="Arial" w:cs="Arial"/>
        </w:rPr>
      </w:pPr>
      <w:r>
        <w:rPr>
          <w:rFonts w:ascii="Arial" w:eastAsia="Arial" w:hAnsi="Arial" w:cs="Arial"/>
        </w:rPr>
        <w:t>Independent Variable: LOGCIT, LOGVAT, LOGEXC</w:t>
      </w:r>
    </w:p>
    <w:p w:rsidR="0094047A" w:rsidRDefault="0094047A">
      <w:pPr>
        <w:spacing w:line="276" w:lineRule="auto"/>
        <w:jc w:val="both"/>
        <w:rPr>
          <w:rFonts w:ascii="Arial" w:eastAsia="Arial" w:hAnsi="Arial" w:cs="Arial"/>
        </w:rPr>
      </w:pPr>
    </w:p>
    <w:p w:rsidR="0094047A" w:rsidRDefault="00C13554">
      <w:pPr>
        <w:jc w:val="both"/>
        <w:rPr>
          <w:rFonts w:ascii="Arial" w:eastAsia="Arial" w:hAnsi="Arial" w:cs="Arial"/>
        </w:rPr>
      </w:pPr>
      <w:r>
        <w:rPr>
          <w:rFonts w:ascii="Arial" w:eastAsia="Arial" w:hAnsi="Arial" w:cs="Arial"/>
        </w:rPr>
        <w:t xml:space="preserve">Table 3 presents the descriptive statistics of the variables used in the study. The results show that LOGGDP has a mean value of 4.32 with a standard deviation of 0.06, indicating very minimal variation and suggesting that the GDP values are clustered closely around the mean. Similarly, LOGCIT has a mean of 2.43 and a standard deviation of 0.08, while LOGVAT records a mean of 2.59 with a standard deviation of 0.10. Both variables also exhibit low variability, signifying consistency in their respective data values. Meanwhile, among the </w:t>
      </w:r>
      <w:r>
        <w:rPr>
          <w:rFonts w:ascii="Arial" w:eastAsia="Arial" w:hAnsi="Arial" w:cs="Arial"/>
        </w:rPr>
        <w:lastRenderedPageBreak/>
        <w:t>independent variables, LOGEXC shows a mean of 2.39 with a standard deviation of 0.14, which, although slightly higher than the others, still reflects a relatively small spread compared to its mean. Overall, the low standard deviations across all variables suggest that the data points are stable and not widely dispersed, making the computed means reliable measures of central tendency for subsequent regression analysis.</w:t>
      </w:r>
    </w:p>
    <w:p w:rsidR="0094047A" w:rsidRDefault="0094047A">
      <w:pPr>
        <w:spacing w:line="276" w:lineRule="auto"/>
        <w:jc w:val="both"/>
        <w:rPr>
          <w:rFonts w:ascii="Arial" w:eastAsia="Arial" w:hAnsi="Arial" w:cs="Arial"/>
        </w:rPr>
      </w:pPr>
    </w:p>
    <w:p w:rsidR="0094047A" w:rsidRDefault="00C13554">
      <w:pPr>
        <w:widowControl w:val="0"/>
        <w:jc w:val="both"/>
        <w:rPr>
          <w:rFonts w:ascii="Arial" w:eastAsia="Arial" w:hAnsi="Arial" w:cs="Arial"/>
        </w:rPr>
      </w:pPr>
      <w:r>
        <w:rPr>
          <w:rFonts w:ascii="Arial" w:eastAsia="Arial" w:hAnsi="Arial" w:cs="Arial"/>
          <w:b/>
        </w:rPr>
        <w:t>Table 4.</w:t>
      </w:r>
      <w:r>
        <w:rPr>
          <w:rFonts w:ascii="Arial" w:eastAsia="Arial" w:hAnsi="Arial" w:cs="Arial"/>
          <w:b/>
        </w:rPr>
        <w:tab/>
        <w:t>Ordinary Least Square Regression Result Model summary of tax revenue on GDP (Regression constant and coefficient)</w:t>
      </w:r>
      <w:r>
        <w:rPr>
          <w:rFonts w:ascii="Arial" w:eastAsia="Arial" w:hAnsi="Arial" w:cs="Arial"/>
        </w:rPr>
        <w:t xml:space="preserve"> </w:t>
      </w:r>
    </w:p>
    <w:tbl>
      <w:tblPr>
        <w:tblStyle w:val="a9"/>
        <w:tblW w:w="8220" w:type="dxa"/>
        <w:tblBorders>
          <w:top w:val="nil"/>
          <w:left w:val="nil"/>
          <w:bottom w:val="nil"/>
          <w:right w:val="nil"/>
          <w:insideH w:val="nil"/>
          <w:insideV w:val="nil"/>
        </w:tblBorders>
        <w:tblLayout w:type="fixed"/>
        <w:tblLook w:val="0600" w:firstRow="0" w:lastRow="0" w:firstColumn="0" w:lastColumn="0" w:noHBand="1" w:noVBand="1"/>
      </w:tblPr>
      <w:tblGrid>
        <w:gridCol w:w="1395"/>
        <w:gridCol w:w="1545"/>
        <w:gridCol w:w="1155"/>
        <w:gridCol w:w="1350"/>
        <w:gridCol w:w="960"/>
        <w:gridCol w:w="960"/>
        <w:gridCol w:w="855"/>
      </w:tblGrid>
      <w:tr w:rsidR="0094047A">
        <w:trPr>
          <w:trHeight w:val="495"/>
        </w:trPr>
        <w:tc>
          <w:tcPr>
            <w:tcW w:w="1395"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C13554">
            <w:pPr>
              <w:widowControl w:val="0"/>
              <w:jc w:val="center"/>
              <w:rPr>
                <w:rFonts w:ascii="Arial" w:eastAsia="Arial" w:hAnsi="Arial" w:cs="Arial"/>
              </w:rPr>
            </w:pPr>
            <w:r>
              <w:rPr>
                <w:rFonts w:ascii="Arial" w:eastAsia="Arial" w:hAnsi="Arial" w:cs="Arial"/>
              </w:rPr>
              <w:t>Variable</w:t>
            </w:r>
          </w:p>
        </w:tc>
        <w:tc>
          <w:tcPr>
            <w:tcW w:w="1545"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C13554">
            <w:pPr>
              <w:widowControl w:val="0"/>
              <w:jc w:val="center"/>
              <w:rPr>
                <w:rFonts w:ascii="Arial" w:eastAsia="Arial" w:hAnsi="Arial" w:cs="Arial"/>
              </w:rPr>
            </w:pPr>
            <w:r>
              <w:rPr>
                <w:rFonts w:ascii="Arial" w:eastAsia="Arial" w:hAnsi="Arial" w:cs="Arial"/>
              </w:rPr>
              <w:t>Unstandardized B</w:t>
            </w:r>
          </w:p>
        </w:tc>
        <w:tc>
          <w:tcPr>
            <w:tcW w:w="1155"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C13554">
            <w:pPr>
              <w:widowControl w:val="0"/>
              <w:jc w:val="center"/>
              <w:rPr>
                <w:rFonts w:ascii="Arial" w:eastAsia="Arial" w:hAnsi="Arial" w:cs="Arial"/>
              </w:rPr>
            </w:pPr>
            <w:r>
              <w:rPr>
                <w:rFonts w:ascii="Arial" w:eastAsia="Arial" w:hAnsi="Arial" w:cs="Arial"/>
              </w:rPr>
              <w:t>coefficient Std error</w:t>
            </w:r>
          </w:p>
        </w:tc>
        <w:tc>
          <w:tcPr>
            <w:tcW w:w="1350"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C13554">
            <w:pPr>
              <w:widowControl w:val="0"/>
              <w:jc w:val="center"/>
              <w:rPr>
                <w:rFonts w:ascii="Arial" w:eastAsia="Arial" w:hAnsi="Arial" w:cs="Arial"/>
              </w:rPr>
            </w:pPr>
            <w:r>
              <w:rPr>
                <w:rFonts w:ascii="Arial" w:eastAsia="Arial" w:hAnsi="Arial" w:cs="Arial"/>
              </w:rPr>
              <w:t>Standardized coefficient Beta</w:t>
            </w:r>
          </w:p>
        </w:tc>
        <w:tc>
          <w:tcPr>
            <w:tcW w:w="960"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C13554">
            <w:pPr>
              <w:widowControl w:val="0"/>
              <w:jc w:val="center"/>
              <w:rPr>
                <w:rFonts w:ascii="Arial" w:eastAsia="Arial" w:hAnsi="Arial" w:cs="Arial"/>
              </w:rPr>
            </w:pPr>
            <w:r>
              <w:rPr>
                <w:rFonts w:ascii="Arial" w:eastAsia="Arial" w:hAnsi="Arial" w:cs="Arial"/>
              </w:rPr>
              <w:t>Stat t</w:t>
            </w:r>
          </w:p>
        </w:tc>
        <w:tc>
          <w:tcPr>
            <w:tcW w:w="960"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C13554">
            <w:pPr>
              <w:widowControl w:val="0"/>
              <w:jc w:val="center"/>
              <w:rPr>
                <w:rFonts w:ascii="Arial" w:eastAsia="Arial" w:hAnsi="Arial" w:cs="Arial"/>
              </w:rPr>
            </w:pPr>
            <w:r>
              <w:rPr>
                <w:rFonts w:ascii="Arial" w:eastAsia="Arial" w:hAnsi="Arial" w:cs="Arial"/>
              </w:rPr>
              <w:t>Sig</w:t>
            </w:r>
          </w:p>
        </w:tc>
        <w:tc>
          <w:tcPr>
            <w:tcW w:w="855" w:type="dxa"/>
            <w:tcBorders>
              <w:top w:val="single" w:sz="5" w:space="0" w:color="000000"/>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C13554">
            <w:pPr>
              <w:widowControl w:val="0"/>
              <w:jc w:val="center"/>
              <w:rPr>
                <w:rFonts w:ascii="Arial" w:eastAsia="Arial" w:hAnsi="Arial" w:cs="Arial"/>
              </w:rPr>
            </w:pPr>
            <w:r>
              <w:rPr>
                <w:rFonts w:ascii="Arial" w:eastAsia="Arial" w:hAnsi="Arial" w:cs="Arial"/>
                <w:sz w:val="18"/>
                <w:szCs w:val="18"/>
              </w:rPr>
              <w:t>VIF</w:t>
            </w:r>
          </w:p>
        </w:tc>
      </w:tr>
      <w:tr w:rsidR="0094047A">
        <w:trPr>
          <w:trHeight w:val="300"/>
        </w:trPr>
        <w:tc>
          <w:tcPr>
            <w:tcW w:w="1395"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rPr>
              <w:t>Constant</w:t>
            </w:r>
          </w:p>
        </w:tc>
        <w:tc>
          <w:tcPr>
            <w:tcW w:w="1545"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3.03</w:t>
            </w:r>
          </w:p>
        </w:tc>
        <w:tc>
          <w:tcPr>
            <w:tcW w:w="1155"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0.18</w:t>
            </w:r>
          </w:p>
        </w:tc>
        <w:tc>
          <w:tcPr>
            <w:tcW w:w="1350"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16.66</w:t>
            </w:r>
          </w:p>
        </w:tc>
        <w:tc>
          <w:tcPr>
            <w:tcW w:w="960"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&lt; 0.01</w:t>
            </w:r>
          </w:p>
        </w:tc>
        <w:tc>
          <w:tcPr>
            <w:tcW w:w="855"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r>
      <w:tr w:rsidR="0094047A">
        <w:trPr>
          <w:trHeight w:val="300"/>
        </w:trPr>
        <w:tc>
          <w:tcPr>
            <w:tcW w:w="139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rPr>
              <w:t>LOGCIT</w:t>
            </w:r>
          </w:p>
        </w:tc>
        <w:tc>
          <w:tcPr>
            <w:tcW w:w="154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-0.19</w:t>
            </w:r>
          </w:p>
        </w:tc>
        <w:tc>
          <w:tcPr>
            <w:tcW w:w="115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0.14</w:t>
            </w:r>
          </w:p>
        </w:tc>
        <w:tc>
          <w:tcPr>
            <w:tcW w:w="1350"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-0.25</w:t>
            </w:r>
          </w:p>
        </w:tc>
        <w:tc>
          <w:tcPr>
            <w:tcW w:w="960"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-1.32</w:t>
            </w:r>
          </w:p>
        </w:tc>
        <w:tc>
          <w:tcPr>
            <w:tcW w:w="960"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0.23</w:t>
            </w:r>
          </w:p>
        </w:tc>
        <w:tc>
          <w:tcPr>
            <w:tcW w:w="85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sz w:val="18"/>
                <w:szCs w:val="18"/>
              </w:rPr>
              <w:t>5.05</w:t>
            </w:r>
          </w:p>
        </w:tc>
      </w:tr>
      <w:tr w:rsidR="0094047A">
        <w:trPr>
          <w:trHeight w:val="300"/>
        </w:trPr>
        <w:tc>
          <w:tcPr>
            <w:tcW w:w="139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rPr>
              <w:t>LOGEXC</w:t>
            </w:r>
          </w:p>
        </w:tc>
        <w:tc>
          <w:tcPr>
            <w:tcW w:w="154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0.22</w:t>
            </w:r>
          </w:p>
        </w:tc>
        <w:tc>
          <w:tcPr>
            <w:tcW w:w="115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0.08</w:t>
            </w:r>
          </w:p>
        </w:tc>
        <w:tc>
          <w:tcPr>
            <w:tcW w:w="1350"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0.49</w:t>
            </w:r>
          </w:p>
        </w:tc>
        <w:tc>
          <w:tcPr>
            <w:tcW w:w="960"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2.8</w:t>
            </w:r>
          </w:p>
        </w:tc>
        <w:tc>
          <w:tcPr>
            <w:tcW w:w="960"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0.03</w:t>
            </w:r>
          </w:p>
        </w:tc>
        <w:tc>
          <w:tcPr>
            <w:tcW w:w="85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sz w:val="18"/>
                <w:szCs w:val="18"/>
              </w:rPr>
              <w:t>2.55</w:t>
            </w:r>
          </w:p>
        </w:tc>
      </w:tr>
      <w:tr w:rsidR="0094047A">
        <w:trPr>
          <w:trHeight w:val="300"/>
        </w:trPr>
        <w:tc>
          <w:tcPr>
            <w:tcW w:w="1395" w:type="dxa"/>
            <w:tcBorders>
              <w:top w:val="nil"/>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rPr>
              <w:t>LOGVAT</w:t>
            </w:r>
          </w:p>
        </w:tc>
        <w:tc>
          <w:tcPr>
            <w:tcW w:w="1545" w:type="dxa"/>
            <w:tcBorders>
              <w:top w:val="nil"/>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0.48</w:t>
            </w:r>
          </w:p>
        </w:tc>
        <w:tc>
          <w:tcPr>
            <w:tcW w:w="1155" w:type="dxa"/>
            <w:tcBorders>
              <w:top w:val="nil"/>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0.08</w:t>
            </w:r>
          </w:p>
        </w:tc>
        <w:tc>
          <w:tcPr>
            <w:tcW w:w="1350" w:type="dxa"/>
            <w:tcBorders>
              <w:top w:val="nil"/>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0.79</w:t>
            </w:r>
          </w:p>
        </w:tc>
        <w:tc>
          <w:tcPr>
            <w:tcW w:w="960" w:type="dxa"/>
            <w:tcBorders>
              <w:top w:val="nil"/>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5.81</w:t>
            </w:r>
          </w:p>
        </w:tc>
        <w:tc>
          <w:tcPr>
            <w:tcW w:w="960" w:type="dxa"/>
            <w:tcBorders>
              <w:top w:val="nil"/>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&lt; 0.01</w:t>
            </w:r>
          </w:p>
        </w:tc>
        <w:tc>
          <w:tcPr>
            <w:tcW w:w="855" w:type="dxa"/>
            <w:tcBorders>
              <w:top w:val="nil"/>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sz w:val="18"/>
                <w:szCs w:val="18"/>
              </w:rPr>
              <w:t>4.2</w:t>
            </w:r>
          </w:p>
        </w:tc>
      </w:tr>
      <w:tr w:rsidR="0094047A">
        <w:trPr>
          <w:trHeight w:val="300"/>
        </w:trPr>
        <w:tc>
          <w:tcPr>
            <w:tcW w:w="1395"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rPr>
              <w:t>R</w:t>
            </w:r>
          </w:p>
        </w:tc>
        <w:tc>
          <w:tcPr>
            <w:tcW w:w="1545"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0.97</w:t>
            </w:r>
          </w:p>
        </w:tc>
        <w:tc>
          <w:tcPr>
            <w:tcW w:w="1155"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1350"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855" w:type="dxa"/>
            <w:tcBorders>
              <w:top w:val="single" w:sz="5" w:space="0" w:color="CCCCCC"/>
              <w:left w:val="single" w:sz="5" w:space="0" w:color="FFFFFF"/>
              <w:bottom w:val="nil"/>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r>
      <w:tr w:rsidR="0094047A">
        <w:trPr>
          <w:trHeight w:val="300"/>
        </w:trPr>
        <w:tc>
          <w:tcPr>
            <w:tcW w:w="139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rPr>
              <w:t>R²</w:t>
            </w:r>
          </w:p>
        </w:tc>
        <w:tc>
          <w:tcPr>
            <w:tcW w:w="154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0.95</w:t>
            </w:r>
          </w:p>
        </w:tc>
        <w:tc>
          <w:tcPr>
            <w:tcW w:w="1155"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135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855"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r>
      <w:tr w:rsidR="0094047A">
        <w:trPr>
          <w:trHeight w:val="300"/>
        </w:trPr>
        <w:tc>
          <w:tcPr>
            <w:tcW w:w="139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sz w:val="22"/>
                <w:szCs w:val="22"/>
              </w:rPr>
              <w:t>Adjusted R²</w:t>
            </w:r>
          </w:p>
        </w:tc>
        <w:tc>
          <w:tcPr>
            <w:tcW w:w="154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0.93</w:t>
            </w:r>
          </w:p>
        </w:tc>
        <w:tc>
          <w:tcPr>
            <w:tcW w:w="1155"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135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855"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r>
      <w:tr w:rsidR="0094047A">
        <w:trPr>
          <w:trHeight w:val="300"/>
        </w:trPr>
        <w:tc>
          <w:tcPr>
            <w:tcW w:w="139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rPr>
              <w:t>F ratio</w:t>
            </w:r>
          </w:p>
        </w:tc>
        <w:tc>
          <w:tcPr>
            <w:tcW w:w="154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44.21</w:t>
            </w:r>
          </w:p>
        </w:tc>
        <w:tc>
          <w:tcPr>
            <w:tcW w:w="1155"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135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855"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r>
      <w:tr w:rsidR="0094047A">
        <w:trPr>
          <w:trHeight w:val="300"/>
        </w:trPr>
        <w:tc>
          <w:tcPr>
            <w:tcW w:w="139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rPr>
              <w:t>Prob</w:t>
            </w:r>
          </w:p>
        </w:tc>
        <w:tc>
          <w:tcPr>
            <w:tcW w:w="1545" w:type="dxa"/>
            <w:tcBorders>
              <w:top w:val="nil"/>
              <w:left w:val="nil"/>
              <w:bottom w:val="nil"/>
              <w:right w:val="nil"/>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&lt; 0.01</w:t>
            </w:r>
          </w:p>
        </w:tc>
        <w:tc>
          <w:tcPr>
            <w:tcW w:w="1155"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135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855" w:type="dxa"/>
            <w:tcBorders>
              <w:top w:val="nil"/>
              <w:left w:val="nil"/>
              <w:bottom w:val="nil"/>
              <w:right w:val="nil"/>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r>
      <w:tr w:rsidR="0094047A">
        <w:trPr>
          <w:trHeight w:val="300"/>
        </w:trPr>
        <w:tc>
          <w:tcPr>
            <w:tcW w:w="1395" w:type="dxa"/>
            <w:tcBorders>
              <w:top w:val="nil"/>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rPr>
            </w:pPr>
            <w:r>
              <w:rPr>
                <w:rFonts w:ascii="Arial" w:eastAsia="Arial" w:hAnsi="Arial" w:cs="Arial"/>
              </w:rPr>
              <w:t>D/W</w:t>
            </w:r>
          </w:p>
        </w:tc>
        <w:tc>
          <w:tcPr>
            <w:tcW w:w="1545" w:type="dxa"/>
            <w:tcBorders>
              <w:top w:val="nil"/>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2.42</w:t>
            </w:r>
          </w:p>
        </w:tc>
        <w:tc>
          <w:tcPr>
            <w:tcW w:w="1155" w:type="dxa"/>
            <w:tcBorders>
              <w:top w:val="nil"/>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1350" w:type="dxa"/>
            <w:tcBorders>
              <w:top w:val="nil"/>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960" w:type="dxa"/>
            <w:tcBorders>
              <w:top w:val="nil"/>
              <w:left w:val="single" w:sz="5" w:space="0" w:color="FFFFFF"/>
              <w:bottom w:val="single" w:sz="5" w:space="0" w:color="000000"/>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c>
          <w:tcPr>
            <w:tcW w:w="855" w:type="dxa"/>
            <w:tcBorders>
              <w:top w:val="nil"/>
              <w:left w:val="single" w:sz="5" w:space="0" w:color="FFFFFF"/>
              <w:bottom w:val="single" w:sz="8" w:space="0" w:color="000000"/>
              <w:right w:val="single" w:sz="5" w:space="0" w:color="FFFFFF"/>
            </w:tcBorders>
            <w:tcMar>
              <w:top w:w="0" w:type="dxa"/>
              <w:left w:w="40" w:type="dxa"/>
              <w:bottom w:w="0" w:type="dxa"/>
              <w:right w:w="40" w:type="dxa"/>
            </w:tcMar>
            <w:vAlign w:val="bottom"/>
          </w:tcPr>
          <w:p w:rsidR="0094047A" w:rsidRDefault="0094047A">
            <w:pPr>
              <w:widowControl w:val="0"/>
              <w:spacing w:line="276" w:lineRule="auto"/>
              <w:jc w:val="center"/>
              <w:rPr>
                <w:rFonts w:ascii="Arial" w:eastAsia="Arial" w:hAnsi="Arial" w:cs="Arial"/>
              </w:rPr>
            </w:pPr>
          </w:p>
        </w:tc>
      </w:tr>
    </w:tbl>
    <w:p w:rsidR="0094047A" w:rsidRDefault="0094047A">
      <w:pPr>
        <w:jc w:val="both"/>
        <w:rPr>
          <w:rFonts w:ascii="Arial" w:eastAsia="Arial" w:hAnsi="Arial" w:cs="Arial"/>
        </w:rPr>
      </w:pPr>
    </w:p>
    <w:p w:rsidR="0094047A" w:rsidRDefault="00C13554">
      <w:pPr>
        <w:jc w:val="both"/>
        <w:rPr>
          <w:rFonts w:ascii="Arial" w:eastAsia="Arial" w:hAnsi="Arial" w:cs="Arial"/>
        </w:rPr>
      </w:pPr>
      <w:r>
        <w:rPr>
          <w:rFonts w:ascii="Arial" w:eastAsia="Arial" w:hAnsi="Arial" w:cs="Arial"/>
        </w:rPr>
        <w:t>In Table 4 the Ordinary Least Squares (OLS) regression model was employed to examine the effect of tax revenues on GDP. The model demonstrates a very strong explanatory power, with an R of 0.97 and an R² of 0.95, indicating that 95% of the variation in GDP can be explained by the independent variables (corporate income tax, excise tax, and value-added tax revenues). The adjusted R² of 0.93 further supports the robustness of the model, while the F-ratio of 44.21 (p &lt; 0.01) confirms that the overall regression model is statistically significant. The Durbin–Watson statistic (2.42) indicates that autocorrelation is not a concern in this regression analysis.</w:t>
      </w:r>
    </w:p>
    <w:p w:rsidR="0094047A" w:rsidRDefault="0094047A">
      <w:pPr>
        <w:jc w:val="both"/>
        <w:rPr>
          <w:rFonts w:ascii="Arial" w:eastAsia="Arial" w:hAnsi="Arial" w:cs="Arial"/>
        </w:rPr>
      </w:pPr>
    </w:p>
    <w:p w:rsidR="0094047A" w:rsidRDefault="00C13554">
      <w:pPr>
        <w:jc w:val="both"/>
        <w:rPr>
          <w:rFonts w:ascii="Arial" w:eastAsia="Arial" w:hAnsi="Arial" w:cs="Arial"/>
        </w:rPr>
      </w:pPr>
      <w:r>
        <w:rPr>
          <w:rFonts w:ascii="Arial" w:eastAsia="Arial" w:hAnsi="Arial" w:cs="Arial"/>
        </w:rPr>
        <w:t>Examining the regression coefficients, the results reveal varying impacts of the tax revenue types on GDP. Corporate income tax (LOGCIT) shows a negative but statistically insignificant effect on GDP (B = -0.19, p = 0.23). This suggests that changes in corporate income tax revenue do not have a significant influence on GDP growth within the scope of this study. In contrast, excise tax revenue (LOGEXC) has a positive and statistically significant effect (B = 0.22, t = 2.80, p = 0.03), indicating that increases in excise tax revenue contribute to higher GDP levels. Most notably, value-added tax revenue (LOGVAT) exerts the strongest and most significant positive impact on GDP (B = 0.48, t = 5.81, p &lt; 0.01). The standardized coefficients further reinforce these findings, with VAT showing the largest effect size (β = 0.79), followed by excise taxes (β = 0.49), while corporate income tax remains weak and negative (β = -0.25).</w:t>
      </w:r>
    </w:p>
    <w:p w:rsidR="0094047A" w:rsidRDefault="0094047A">
      <w:pPr>
        <w:jc w:val="both"/>
        <w:rPr>
          <w:rFonts w:ascii="Arial" w:eastAsia="Arial" w:hAnsi="Arial" w:cs="Arial"/>
        </w:rPr>
      </w:pPr>
    </w:p>
    <w:p w:rsidR="0094047A" w:rsidRDefault="00C13554">
      <w:pPr>
        <w:tabs>
          <w:tab w:val="left" w:pos="1080"/>
        </w:tabs>
        <w:jc w:val="both"/>
        <w:rPr>
          <w:rFonts w:ascii="Times New Roman" w:eastAsia="Times New Roman" w:hAnsi="Times New Roman" w:cs="Times New Roman"/>
          <w:sz w:val="24"/>
          <w:szCs w:val="24"/>
        </w:rPr>
      </w:pPr>
      <w:r>
        <w:rPr>
          <w:rFonts w:ascii="Arial" w:eastAsia="Arial" w:hAnsi="Arial" w:cs="Arial"/>
          <w:b/>
        </w:rPr>
        <w:t>Table 5.</w:t>
      </w:r>
      <w:r>
        <w:rPr>
          <w:rFonts w:ascii="Arial" w:eastAsia="Arial" w:hAnsi="Arial" w:cs="Arial"/>
          <w:b/>
        </w:rPr>
        <w:tab/>
        <w:t>Inter correlation among the variables (LOGGDP, LOGCIT, LOGVAT, LOGEXC)</w:t>
      </w:r>
    </w:p>
    <w:sdt>
      <w:sdtPr>
        <w:tag w:val="goog_rdk_3"/>
        <w:id w:val="165284258"/>
        <w:lock w:val="contentLocked"/>
      </w:sdtPr>
      <w:sdtEndPr/>
      <w:sdtContent>
        <w:tbl>
          <w:tblPr>
            <w:tblStyle w:val="aa"/>
            <w:tblW w:w="8205" w:type="dxa"/>
            <w:tblBorders>
              <w:top w:val="nil"/>
              <w:left w:val="nil"/>
              <w:bottom w:val="nil"/>
              <w:right w:val="nil"/>
              <w:insideH w:val="nil"/>
              <w:insideV w:val="nil"/>
            </w:tblBorders>
            <w:tblLayout w:type="fixed"/>
            <w:tblLook w:val="0600" w:firstRow="0" w:lastRow="0" w:firstColumn="0" w:lastColumn="0" w:noHBand="1" w:noVBand="1"/>
          </w:tblPr>
          <w:tblGrid>
            <w:gridCol w:w="1275"/>
            <w:gridCol w:w="1875"/>
            <w:gridCol w:w="1485"/>
            <w:gridCol w:w="2055"/>
            <w:gridCol w:w="1515"/>
          </w:tblGrid>
          <w:tr w:rsidR="0094047A">
            <w:trPr>
              <w:trHeight w:val="300"/>
            </w:trPr>
            <w:tc>
              <w:tcPr>
                <w:tcW w:w="1275" w:type="dxa"/>
                <w:tcBorders>
                  <w:top w:val="single" w:sz="5" w:space="0" w:color="000000"/>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94047A">
                <w:pPr>
                  <w:widowControl w:val="0"/>
                  <w:spacing w:line="276" w:lineRule="auto"/>
                  <w:rPr>
                    <w:rFonts w:ascii="Arial" w:eastAsia="Arial" w:hAnsi="Arial" w:cs="Arial"/>
                  </w:rPr>
                </w:pPr>
              </w:p>
            </w:tc>
            <w:tc>
              <w:tcPr>
                <w:tcW w:w="1875" w:type="dxa"/>
                <w:tcBorders>
                  <w:top w:val="single" w:sz="5" w:space="0" w:color="000000"/>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b/>
                  </w:rPr>
                </w:pPr>
                <w:r>
                  <w:rPr>
                    <w:rFonts w:ascii="Arial" w:eastAsia="Arial" w:hAnsi="Arial" w:cs="Arial"/>
                    <w:b/>
                  </w:rPr>
                  <w:t>LOGGDP</w:t>
                </w:r>
              </w:p>
            </w:tc>
            <w:tc>
              <w:tcPr>
                <w:tcW w:w="1485" w:type="dxa"/>
                <w:tcBorders>
                  <w:top w:val="single" w:sz="5" w:space="0" w:color="000000"/>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b/>
                  </w:rPr>
                </w:pPr>
                <w:r>
                  <w:rPr>
                    <w:rFonts w:ascii="Arial" w:eastAsia="Arial" w:hAnsi="Arial" w:cs="Arial"/>
                    <w:b/>
                  </w:rPr>
                  <w:t>LOGCIT</w:t>
                </w:r>
              </w:p>
            </w:tc>
            <w:tc>
              <w:tcPr>
                <w:tcW w:w="2055" w:type="dxa"/>
                <w:tcBorders>
                  <w:top w:val="single" w:sz="5" w:space="0" w:color="000000"/>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b/>
                  </w:rPr>
                </w:pPr>
                <w:r>
                  <w:rPr>
                    <w:rFonts w:ascii="Arial" w:eastAsia="Arial" w:hAnsi="Arial" w:cs="Arial"/>
                    <w:b/>
                  </w:rPr>
                  <w:t>LOGEXC</w:t>
                </w:r>
              </w:p>
            </w:tc>
            <w:tc>
              <w:tcPr>
                <w:tcW w:w="1515" w:type="dxa"/>
                <w:tcBorders>
                  <w:top w:val="single" w:sz="5" w:space="0" w:color="000000"/>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b/>
                  </w:rPr>
                </w:pPr>
                <w:r>
                  <w:rPr>
                    <w:rFonts w:ascii="Arial" w:eastAsia="Arial" w:hAnsi="Arial" w:cs="Arial"/>
                    <w:b/>
                  </w:rPr>
                  <w:t>LOGVAT</w:t>
                </w:r>
              </w:p>
            </w:tc>
          </w:tr>
          <w:tr w:rsidR="0094047A">
            <w:trPr>
              <w:trHeight w:val="300"/>
            </w:trPr>
            <w:tc>
              <w:tcPr>
                <w:tcW w:w="127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b/>
                  </w:rPr>
                </w:pPr>
                <w:r>
                  <w:rPr>
                    <w:rFonts w:ascii="Arial" w:eastAsia="Arial" w:hAnsi="Arial" w:cs="Arial"/>
                    <w:b/>
                  </w:rPr>
                  <w:t>LOGGDP</w:t>
                </w:r>
              </w:p>
            </w:tc>
            <w:tc>
              <w:tcPr>
                <w:tcW w:w="187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1.00</w:t>
                </w:r>
              </w:p>
            </w:tc>
            <w:tc>
              <w:tcPr>
                <w:tcW w:w="148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0.78</w:t>
                </w:r>
              </w:p>
            </w:tc>
            <w:tc>
              <w:tcPr>
                <w:tcW w:w="205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0.83</w:t>
                </w:r>
              </w:p>
            </w:tc>
            <w:tc>
              <w:tcPr>
                <w:tcW w:w="1515" w:type="dxa"/>
                <w:tcBorders>
                  <w:top w:val="single" w:sz="5" w:space="0" w:color="CCCCCC"/>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0.94</w:t>
                </w:r>
              </w:p>
            </w:tc>
          </w:tr>
          <w:tr w:rsidR="0094047A">
            <w:trPr>
              <w:trHeight w:val="300"/>
            </w:trPr>
            <w:tc>
              <w:tcPr>
                <w:tcW w:w="12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b/>
                  </w:rPr>
                </w:pPr>
                <w:r>
                  <w:rPr>
                    <w:rFonts w:ascii="Arial" w:eastAsia="Arial" w:hAnsi="Arial" w:cs="Arial"/>
                    <w:b/>
                  </w:rPr>
                  <w:t>LOGCIT</w:t>
                </w:r>
              </w:p>
            </w:tc>
            <w:tc>
              <w:tcPr>
                <w:tcW w:w="18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0.78</w:t>
                </w:r>
              </w:p>
            </w:tc>
            <w:tc>
              <w:tcPr>
                <w:tcW w:w="14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1.00</w:t>
                </w:r>
              </w:p>
            </w:tc>
            <w:tc>
              <w:tcPr>
                <w:tcW w:w="205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0.87</w:t>
                </w:r>
              </w:p>
            </w:tc>
            <w:tc>
              <w:tcPr>
                <w:tcW w:w="151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0.77</w:t>
                </w:r>
              </w:p>
            </w:tc>
          </w:tr>
          <w:tr w:rsidR="0094047A">
            <w:trPr>
              <w:trHeight w:val="300"/>
            </w:trPr>
            <w:tc>
              <w:tcPr>
                <w:tcW w:w="12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b/>
                  </w:rPr>
                </w:pPr>
                <w:r>
                  <w:rPr>
                    <w:rFonts w:ascii="Arial" w:eastAsia="Arial" w:hAnsi="Arial" w:cs="Arial"/>
                    <w:b/>
                  </w:rPr>
                  <w:t>LOGEXC</w:t>
                </w:r>
              </w:p>
            </w:tc>
            <w:tc>
              <w:tcPr>
                <w:tcW w:w="187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0.83</w:t>
                </w:r>
              </w:p>
            </w:tc>
            <w:tc>
              <w:tcPr>
                <w:tcW w:w="148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0.87</w:t>
                </w:r>
              </w:p>
            </w:tc>
            <w:tc>
              <w:tcPr>
                <w:tcW w:w="205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1.00</w:t>
                </w:r>
              </w:p>
            </w:tc>
            <w:tc>
              <w:tcPr>
                <w:tcW w:w="1515" w:type="dxa"/>
                <w:tcBorders>
                  <w:top w:val="single" w:sz="5" w:space="0" w:color="FFFFFF"/>
                  <w:left w:val="single" w:sz="5" w:space="0" w:color="FFFFFF"/>
                  <w:bottom w:val="single" w:sz="5" w:space="0" w:color="FFFFFF"/>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0.72</w:t>
                </w:r>
              </w:p>
            </w:tc>
          </w:tr>
          <w:tr w:rsidR="0094047A">
            <w:trPr>
              <w:trHeight w:val="300"/>
            </w:trPr>
            <w:tc>
              <w:tcPr>
                <w:tcW w:w="127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rPr>
                    <w:rFonts w:ascii="Arial" w:eastAsia="Arial" w:hAnsi="Arial" w:cs="Arial"/>
                    <w:b/>
                  </w:rPr>
                </w:pPr>
                <w:r>
                  <w:rPr>
                    <w:rFonts w:ascii="Arial" w:eastAsia="Arial" w:hAnsi="Arial" w:cs="Arial"/>
                    <w:b/>
                  </w:rPr>
                  <w:lastRenderedPageBreak/>
                  <w:t>LOGVAT</w:t>
                </w:r>
              </w:p>
            </w:tc>
            <w:tc>
              <w:tcPr>
                <w:tcW w:w="187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0.94</w:t>
                </w:r>
              </w:p>
            </w:tc>
            <w:tc>
              <w:tcPr>
                <w:tcW w:w="148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0.77</w:t>
                </w:r>
              </w:p>
            </w:tc>
            <w:tc>
              <w:tcPr>
                <w:tcW w:w="205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0.72</w:t>
                </w:r>
              </w:p>
            </w:tc>
            <w:tc>
              <w:tcPr>
                <w:tcW w:w="1515" w:type="dxa"/>
                <w:tcBorders>
                  <w:top w:val="single" w:sz="5" w:space="0" w:color="FFFFFF"/>
                  <w:left w:val="single" w:sz="5" w:space="0" w:color="FFFFFF"/>
                  <w:bottom w:val="single" w:sz="10" w:space="0" w:color="000000"/>
                  <w:right w:val="single" w:sz="5" w:space="0" w:color="FFFFFF"/>
                </w:tcBorders>
                <w:tcMar>
                  <w:top w:w="0" w:type="dxa"/>
                  <w:left w:w="40" w:type="dxa"/>
                  <w:bottom w:w="0" w:type="dxa"/>
                  <w:right w:w="40" w:type="dxa"/>
                </w:tcMar>
                <w:vAlign w:val="bottom"/>
              </w:tcPr>
              <w:p w:rsidR="0094047A" w:rsidRDefault="00C13554">
                <w:pPr>
                  <w:widowControl w:val="0"/>
                  <w:spacing w:line="276" w:lineRule="auto"/>
                  <w:jc w:val="center"/>
                  <w:rPr>
                    <w:rFonts w:ascii="Arial" w:eastAsia="Arial" w:hAnsi="Arial" w:cs="Arial"/>
                  </w:rPr>
                </w:pPr>
                <w:r>
                  <w:rPr>
                    <w:rFonts w:ascii="Arial" w:eastAsia="Arial" w:hAnsi="Arial" w:cs="Arial"/>
                  </w:rPr>
                  <w:t>1.00</w:t>
                </w:r>
              </w:p>
            </w:tc>
          </w:tr>
        </w:tbl>
      </w:sdtContent>
    </w:sdt>
    <w:p w:rsidR="0094047A" w:rsidRDefault="00C13554">
      <w:pPr>
        <w:jc w:val="both"/>
        <w:rPr>
          <w:rFonts w:ascii="Arial" w:eastAsia="Arial" w:hAnsi="Arial" w:cs="Arial"/>
        </w:rPr>
      </w:pPr>
      <w:r>
        <w:rPr>
          <w:rFonts w:ascii="Arial" w:eastAsia="Arial" w:hAnsi="Arial" w:cs="Arial"/>
        </w:rPr>
        <w:t>Significant at 0.05 level p &lt; .05</w:t>
      </w:r>
    </w:p>
    <w:p w:rsidR="0094047A" w:rsidRDefault="00C13554">
      <w:pPr>
        <w:jc w:val="both"/>
        <w:rPr>
          <w:rFonts w:ascii="Arial" w:eastAsia="Arial" w:hAnsi="Arial" w:cs="Arial"/>
        </w:rPr>
      </w:pPr>
      <w:r>
        <w:rPr>
          <w:rFonts w:ascii="Arial" w:eastAsia="Arial" w:hAnsi="Arial" w:cs="Arial"/>
        </w:rPr>
        <w:t>Dependent Variable: LOGGDP</w:t>
      </w:r>
    </w:p>
    <w:p w:rsidR="0094047A" w:rsidRDefault="00C13554">
      <w:pPr>
        <w:jc w:val="both"/>
        <w:rPr>
          <w:rFonts w:ascii="Arial" w:eastAsia="Arial" w:hAnsi="Arial" w:cs="Arial"/>
        </w:rPr>
      </w:pPr>
      <w:r>
        <w:rPr>
          <w:rFonts w:ascii="Arial" w:eastAsia="Arial" w:hAnsi="Arial" w:cs="Arial"/>
        </w:rPr>
        <w:t>Independent Variable: LOGCIT, LOGVAT, LOGEXC</w:t>
      </w:r>
    </w:p>
    <w:p w:rsidR="0094047A" w:rsidRDefault="0094047A">
      <w:pPr>
        <w:jc w:val="both"/>
        <w:rPr>
          <w:rFonts w:ascii="Arial" w:eastAsia="Arial" w:hAnsi="Arial" w:cs="Arial"/>
        </w:rPr>
      </w:pPr>
    </w:p>
    <w:p w:rsidR="0094047A" w:rsidRDefault="00C13554">
      <w:pPr>
        <w:jc w:val="both"/>
        <w:rPr>
          <w:rFonts w:ascii="Arial" w:eastAsia="Arial" w:hAnsi="Arial" w:cs="Arial"/>
        </w:rPr>
      </w:pPr>
      <w:r>
        <w:rPr>
          <w:rFonts w:ascii="Arial" w:eastAsia="Arial" w:hAnsi="Arial" w:cs="Arial"/>
        </w:rPr>
        <w:t>Table 5 shows the inter-correlation among the variables included in the study. Results reveal that GDP (LOGGDP) has strong positive correlations with all tax-related variables: corporate income tax (LOGCIT, r = 0.78), excise tax (LOGEXC, r = 0.83), and value-added tax (LOGVAT, r = 0.94). Among the three, VAT demonstrates the strongest association with GDP, indicating its critical role in economic activity. Furthermore, the independent variables also display strong correlations with one another, ranging from 0.72 to 0.87. This suggests potential multicollinearity, which may affect the precision of coefficient estimates in the regression analysis. Nonetheless, the consistently strong and positive relationships reinforce the theoretical expectation that tax revenues are closely linked to economic growth.</w:t>
      </w:r>
    </w:p>
    <w:p w:rsidR="0094047A" w:rsidRDefault="0094047A">
      <w:pPr>
        <w:jc w:val="both"/>
        <w:rPr>
          <w:rFonts w:ascii="Arial" w:eastAsia="Arial" w:hAnsi="Arial" w:cs="Arial"/>
        </w:rPr>
      </w:pPr>
    </w:p>
    <w:p w:rsidR="0094047A" w:rsidRDefault="0094047A">
      <w:pPr>
        <w:jc w:val="both"/>
        <w:rPr>
          <w:rFonts w:ascii="Arial" w:eastAsia="Arial" w:hAnsi="Arial" w:cs="Arial"/>
        </w:rPr>
      </w:pPr>
    </w:p>
    <w:p w:rsidR="0094047A" w:rsidRDefault="0094047A">
      <w:pPr>
        <w:spacing w:line="276" w:lineRule="auto"/>
        <w:jc w:val="both"/>
        <w:rPr>
          <w:rFonts w:ascii="Arial" w:eastAsia="Arial" w:hAnsi="Arial" w:cs="Arial"/>
        </w:rPr>
      </w:pPr>
    </w:p>
    <w:p w:rsidR="0094047A" w:rsidRDefault="00C13554">
      <w:pPr>
        <w:jc w:val="both"/>
        <w:rPr>
          <w:rFonts w:ascii="Arial" w:eastAsia="Arial" w:hAnsi="Arial" w:cs="Arial"/>
          <w:b/>
          <w:sz w:val="22"/>
          <w:szCs w:val="22"/>
        </w:rPr>
      </w:pPr>
      <w:r>
        <w:rPr>
          <w:rFonts w:ascii="Arial" w:eastAsia="Arial" w:hAnsi="Arial" w:cs="Arial"/>
          <w:b/>
          <w:sz w:val="22"/>
          <w:szCs w:val="22"/>
        </w:rPr>
        <w:t>Discussion of Findings</w:t>
      </w:r>
    </w:p>
    <w:p w:rsidR="0094047A" w:rsidRDefault="0094047A">
      <w:pPr>
        <w:jc w:val="both"/>
        <w:rPr>
          <w:rFonts w:ascii="Arial" w:eastAsia="Arial" w:hAnsi="Arial" w:cs="Arial"/>
          <w:b/>
          <w:sz w:val="22"/>
          <w:szCs w:val="22"/>
        </w:rPr>
      </w:pPr>
    </w:p>
    <w:p w:rsidR="0094047A" w:rsidRDefault="00C13554">
      <w:pPr>
        <w:jc w:val="both"/>
        <w:rPr>
          <w:rFonts w:ascii="Arial" w:eastAsia="Arial" w:hAnsi="Arial" w:cs="Arial"/>
          <w:highlight w:val="yellow"/>
        </w:rPr>
      </w:pPr>
      <w:r>
        <w:rPr>
          <w:rFonts w:ascii="Arial" w:eastAsia="Arial" w:hAnsi="Arial" w:cs="Arial"/>
        </w:rPr>
        <w:t>The regression results reveal that tax revenues collectively exert a strong and significant influence on Philippine GDP growth, explaining 95% of the variance (R² = 0.95). This aligns with the broader consensus in empirical literature that taxation, when effectively designed and implemented, can serve as a critical driver of economic growth (</w:t>
      </w:r>
      <w:bookmarkStart w:id="1" w:name="bookmark=kix.5z9wgqiz53av" w:colFirst="0" w:colLast="0"/>
      <w:bookmarkEnd w:id="1"/>
      <w:proofErr w:type="spellStart"/>
      <w:r>
        <w:rPr>
          <w:rFonts w:ascii="Arial" w:eastAsia="Arial" w:hAnsi="Arial" w:cs="Arial"/>
        </w:rPr>
        <w:t>Orbaningsih</w:t>
      </w:r>
      <w:proofErr w:type="spellEnd"/>
      <w:r>
        <w:rPr>
          <w:rFonts w:ascii="Arial" w:eastAsia="Arial" w:hAnsi="Arial" w:cs="Arial"/>
        </w:rPr>
        <w:t xml:space="preserve"> &amp; </w:t>
      </w:r>
      <w:proofErr w:type="spellStart"/>
      <w:r>
        <w:rPr>
          <w:rFonts w:ascii="Arial" w:eastAsia="Arial" w:hAnsi="Arial" w:cs="Arial"/>
        </w:rPr>
        <w:t>Sujianto</w:t>
      </w:r>
      <w:proofErr w:type="spellEnd"/>
      <w:r>
        <w:rPr>
          <w:rFonts w:ascii="Arial" w:eastAsia="Arial" w:hAnsi="Arial" w:cs="Arial"/>
        </w:rPr>
        <w:t xml:space="preserve">, 2022; Ho et al. 2023). </w:t>
      </w:r>
      <w:r>
        <w:rPr>
          <w:rFonts w:ascii="Arial" w:eastAsia="Arial" w:hAnsi="Arial" w:cs="Arial"/>
          <w:highlight w:val="yellow"/>
        </w:rPr>
        <w:t xml:space="preserve">In addition, the study of </w:t>
      </w:r>
      <w:proofErr w:type="spellStart"/>
      <w:r>
        <w:rPr>
          <w:rFonts w:ascii="Arial" w:eastAsia="Arial" w:hAnsi="Arial" w:cs="Arial"/>
          <w:highlight w:val="yellow"/>
        </w:rPr>
        <w:t>Adefolake</w:t>
      </w:r>
      <w:proofErr w:type="spellEnd"/>
      <w:r>
        <w:rPr>
          <w:rFonts w:ascii="Arial" w:eastAsia="Arial" w:hAnsi="Arial" w:cs="Arial"/>
          <w:highlight w:val="yellow"/>
        </w:rPr>
        <w:t xml:space="preserve"> &amp; </w:t>
      </w:r>
      <w:proofErr w:type="spellStart"/>
      <w:r>
        <w:rPr>
          <w:rFonts w:ascii="Arial" w:eastAsia="Arial" w:hAnsi="Arial" w:cs="Arial"/>
          <w:highlight w:val="yellow"/>
        </w:rPr>
        <w:t>Omodero</w:t>
      </w:r>
      <w:proofErr w:type="spellEnd"/>
      <w:r>
        <w:rPr>
          <w:rFonts w:ascii="Arial" w:eastAsia="Arial" w:hAnsi="Arial" w:cs="Arial"/>
          <w:highlight w:val="yellow"/>
        </w:rPr>
        <w:t xml:space="preserve"> (2022) and </w:t>
      </w:r>
      <w:proofErr w:type="spellStart"/>
      <w:r>
        <w:rPr>
          <w:rFonts w:ascii="Arial" w:eastAsia="Arial" w:hAnsi="Arial" w:cs="Arial"/>
          <w:highlight w:val="yellow"/>
        </w:rPr>
        <w:t>Oluwatobi</w:t>
      </w:r>
      <w:proofErr w:type="spellEnd"/>
      <w:r>
        <w:rPr>
          <w:rFonts w:ascii="Arial" w:eastAsia="Arial" w:hAnsi="Arial" w:cs="Arial"/>
          <w:highlight w:val="yellow"/>
        </w:rPr>
        <w:t xml:space="preserve"> et al. (2021) concludes </w:t>
      </w:r>
      <w:proofErr w:type="gramStart"/>
      <w:r>
        <w:rPr>
          <w:rFonts w:ascii="Arial" w:eastAsia="Arial" w:hAnsi="Arial" w:cs="Arial"/>
          <w:highlight w:val="yellow"/>
        </w:rPr>
        <w:t>that  tax</w:t>
      </w:r>
      <w:proofErr w:type="gramEnd"/>
      <w:r>
        <w:rPr>
          <w:rFonts w:ascii="Arial" w:eastAsia="Arial" w:hAnsi="Arial" w:cs="Arial"/>
          <w:highlight w:val="yellow"/>
        </w:rPr>
        <w:t xml:space="preserve"> revenue has a positive significant effect on the GDP. </w:t>
      </w:r>
      <w:r>
        <w:rPr>
          <w:rFonts w:ascii="Arial" w:eastAsia="Arial" w:hAnsi="Arial" w:cs="Arial"/>
        </w:rPr>
        <w:t xml:space="preserve"> </w:t>
      </w:r>
      <w:proofErr w:type="gramStart"/>
      <w:r>
        <w:rPr>
          <w:rFonts w:ascii="Arial" w:eastAsia="Arial" w:hAnsi="Arial" w:cs="Arial"/>
        </w:rPr>
        <w:t>Thus,  the</w:t>
      </w:r>
      <w:proofErr w:type="gramEnd"/>
      <w:r>
        <w:rPr>
          <w:rFonts w:ascii="Arial" w:eastAsia="Arial" w:hAnsi="Arial" w:cs="Arial"/>
        </w:rPr>
        <w:t xml:space="preserve"> study of </w:t>
      </w:r>
      <w:proofErr w:type="spellStart"/>
      <w:r>
        <w:rPr>
          <w:rFonts w:ascii="Arial" w:eastAsia="Arial" w:hAnsi="Arial" w:cs="Arial"/>
        </w:rPr>
        <w:t>Malicdem</w:t>
      </w:r>
      <w:proofErr w:type="spellEnd"/>
      <w:r>
        <w:rPr>
          <w:rFonts w:ascii="Arial" w:eastAsia="Arial" w:hAnsi="Arial" w:cs="Arial"/>
        </w:rPr>
        <w:t xml:space="preserve"> (2023) stressed the importance of paying tax as it serves as the lifeblood of a nation. </w:t>
      </w:r>
      <w:r>
        <w:rPr>
          <w:rFonts w:ascii="Arial" w:eastAsia="Arial" w:hAnsi="Arial" w:cs="Arial"/>
          <w:highlight w:val="yellow"/>
        </w:rPr>
        <w:t>It is important for it provides funds for public services, development of infrastructures, and government expenditures which helps promote economic growth (</w:t>
      </w:r>
      <w:proofErr w:type="spellStart"/>
      <w:r>
        <w:rPr>
          <w:rFonts w:ascii="Arial" w:eastAsia="Arial" w:hAnsi="Arial" w:cs="Arial"/>
          <w:highlight w:val="yellow"/>
        </w:rPr>
        <w:t>Salawu</w:t>
      </w:r>
      <w:proofErr w:type="spellEnd"/>
      <w:r>
        <w:rPr>
          <w:rFonts w:ascii="Arial" w:eastAsia="Arial" w:hAnsi="Arial" w:cs="Arial"/>
          <w:highlight w:val="yellow"/>
        </w:rPr>
        <w:t xml:space="preserve">, 2023; Shafiq et al., 2022). </w:t>
      </w:r>
    </w:p>
    <w:p w:rsidR="0094047A" w:rsidRDefault="0094047A">
      <w:pPr>
        <w:jc w:val="both"/>
        <w:rPr>
          <w:rFonts w:ascii="Arial" w:eastAsia="Arial" w:hAnsi="Arial" w:cs="Arial"/>
        </w:rPr>
      </w:pPr>
    </w:p>
    <w:p w:rsidR="0094047A" w:rsidRDefault="00C13554">
      <w:pPr>
        <w:jc w:val="both"/>
        <w:rPr>
          <w:rFonts w:ascii="Arial" w:eastAsia="Arial" w:hAnsi="Arial" w:cs="Arial"/>
        </w:rPr>
      </w:pPr>
      <w:r>
        <w:rPr>
          <w:rFonts w:ascii="Arial" w:eastAsia="Arial" w:hAnsi="Arial" w:cs="Arial"/>
          <w:highlight w:val="yellow"/>
        </w:rPr>
        <w:t xml:space="preserve">The findings of this study partly align with the study of </w:t>
      </w:r>
      <w:proofErr w:type="spellStart"/>
      <w:r>
        <w:rPr>
          <w:rFonts w:ascii="Arial" w:eastAsia="Arial" w:hAnsi="Arial" w:cs="Arial"/>
          <w:highlight w:val="yellow"/>
        </w:rPr>
        <w:t>Adefolake</w:t>
      </w:r>
      <w:proofErr w:type="spellEnd"/>
      <w:r>
        <w:rPr>
          <w:rFonts w:ascii="Arial" w:eastAsia="Arial" w:hAnsi="Arial" w:cs="Arial"/>
          <w:highlight w:val="yellow"/>
        </w:rPr>
        <w:t xml:space="preserve"> and </w:t>
      </w:r>
      <w:proofErr w:type="spellStart"/>
      <w:r>
        <w:rPr>
          <w:rFonts w:ascii="Arial" w:eastAsia="Arial" w:hAnsi="Arial" w:cs="Arial"/>
          <w:highlight w:val="yellow"/>
        </w:rPr>
        <w:t>Omodero</w:t>
      </w:r>
      <w:proofErr w:type="spellEnd"/>
      <w:r>
        <w:rPr>
          <w:rFonts w:ascii="Arial" w:eastAsia="Arial" w:hAnsi="Arial" w:cs="Arial"/>
          <w:highlight w:val="yellow"/>
        </w:rPr>
        <w:t xml:space="preserve"> (2022) and </w:t>
      </w:r>
      <w:proofErr w:type="spellStart"/>
      <w:r>
        <w:rPr>
          <w:rFonts w:ascii="Arial" w:eastAsia="Arial" w:hAnsi="Arial" w:cs="Arial"/>
          <w:highlight w:val="yellow"/>
        </w:rPr>
        <w:t>Balasoiu</w:t>
      </w:r>
      <w:proofErr w:type="spellEnd"/>
      <w:r>
        <w:rPr>
          <w:rFonts w:ascii="Arial" w:eastAsia="Arial" w:hAnsi="Arial" w:cs="Arial"/>
          <w:highlight w:val="yellow"/>
        </w:rPr>
        <w:t xml:space="preserve"> et al. (2023) who emphasized that Corporate Income Tax has a negative and statistically significant effect on GDP</w:t>
      </w:r>
      <w:r>
        <w:rPr>
          <w:rFonts w:ascii="Arial" w:eastAsia="Arial" w:hAnsi="Arial" w:cs="Arial"/>
        </w:rPr>
        <w:t>. Similarly, our study also found the negative relationship between CIT and GDP. However, unlike the earlier study, our findings indicated a statistically insignificant effect on GDP (B = -0.19, p = 0.23). This suggests that fluctuations in CIT revenue do not significantly influence economic growth within the study period. This finding resonates with prior studies warning that high or poorly structured corporate taxes can discourage investment and hinder capital accumulation (</w:t>
      </w:r>
      <w:proofErr w:type="spellStart"/>
      <w:r>
        <w:rPr>
          <w:rFonts w:ascii="Arial" w:eastAsia="Arial" w:hAnsi="Arial" w:cs="Arial"/>
        </w:rPr>
        <w:t>Alfò</w:t>
      </w:r>
      <w:proofErr w:type="spellEnd"/>
      <w:r>
        <w:rPr>
          <w:rFonts w:ascii="Arial" w:eastAsia="Arial" w:hAnsi="Arial" w:cs="Arial"/>
        </w:rPr>
        <w:t xml:space="preserve"> et al., 2022). This could be due to tax evasion of some companies (Beech, 2025). However, other studies such as </w:t>
      </w:r>
      <w:proofErr w:type="spellStart"/>
      <w:r>
        <w:rPr>
          <w:rFonts w:ascii="Arial" w:eastAsia="Arial" w:hAnsi="Arial" w:cs="Arial"/>
        </w:rPr>
        <w:t>Adejare</w:t>
      </w:r>
      <w:proofErr w:type="spellEnd"/>
      <w:r>
        <w:rPr>
          <w:rFonts w:ascii="Arial" w:eastAsia="Arial" w:hAnsi="Arial" w:cs="Arial"/>
        </w:rPr>
        <w:t xml:space="preserve"> (2015) and Belau et al. (2025) reported a positive relationship between CIT and GDP, underscoring the context-specific nature of the tax-growth nexus.</w:t>
      </w:r>
    </w:p>
    <w:p w:rsidR="0094047A" w:rsidRDefault="0094047A">
      <w:pPr>
        <w:jc w:val="both"/>
        <w:rPr>
          <w:rFonts w:ascii="Arial" w:eastAsia="Arial" w:hAnsi="Arial" w:cs="Arial"/>
        </w:rPr>
      </w:pPr>
    </w:p>
    <w:p w:rsidR="0094047A" w:rsidRDefault="00C13554">
      <w:pPr>
        <w:jc w:val="both"/>
        <w:rPr>
          <w:rFonts w:ascii="Arial" w:eastAsia="Arial" w:hAnsi="Arial" w:cs="Arial"/>
        </w:rPr>
      </w:pPr>
      <w:r>
        <w:rPr>
          <w:rFonts w:ascii="Arial" w:eastAsia="Arial" w:hAnsi="Arial" w:cs="Arial"/>
        </w:rPr>
        <w:t xml:space="preserve">In contrast, VAT demonstrates the strongest and most significant positive impact on GDP (B = 0.48, p &lt; 0.01), with a standardized coefficient (β = 0.79) indicating its central role in sustaining economic activity. This corroborates findings from </w:t>
      </w:r>
      <w:proofErr w:type="spellStart"/>
      <w:r>
        <w:rPr>
          <w:rFonts w:ascii="Arial" w:eastAsia="Arial" w:hAnsi="Arial" w:cs="Arial"/>
        </w:rPr>
        <w:t>Lalarukh</w:t>
      </w:r>
      <w:proofErr w:type="spellEnd"/>
      <w:r>
        <w:rPr>
          <w:rFonts w:ascii="Arial" w:eastAsia="Arial" w:hAnsi="Arial" w:cs="Arial"/>
        </w:rPr>
        <w:t xml:space="preserve"> and Chowdhury (2013), Uddin et al. (2022), and </w:t>
      </w:r>
      <w:proofErr w:type="spellStart"/>
      <w:r>
        <w:rPr>
          <w:rFonts w:ascii="Arial" w:eastAsia="Arial" w:hAnsi="Arial" w:cs="Arial"/>
        </w:rPr>
        <w:t>Basila</w:t>
      </w:r>
      <w:proofErr w:type="spellEnd"/>
      <w:r>
        <w:rPr>
          <w:rFonts w:ascii="Arial" w:eastAsia="Arial" w:hAnsi="Arial" w:cs="Arial"/>
        </w:rPr>
        <w:t xml:space="preserve"> (2010) who reported that VAT collections contribute significantly to GDP expansion. Similarly, </w:t>
      </w:r>
      <w:proofErr w:type="spellStart"/>
      <w:r>
        <w:rPr>
          <w:rFonts w:ascii="Arial" w:eastAsia="Arial" w:hAnsi="Arial" w:cs="Arial"/>
        </w:rPr>
        <w:t>Maganya</w:t>
      </w:r>
      <w:proofErr w:type="spellEnd"/>
      <w:r>
        <w:rPr>
          <w:rFonts w:ascii="Arial" w:eastAsia="Arial" w:hAnsi="Arial" w:cs="Arial"/>
        </w:rPr>
        <w:t xml:space="preserve"> (2020) highlighted that taxes on goods and services, including VAT, are vital sources of revenue in developing economies. However, the results also nuance earlier cautions that VAT can, in some contexts, depress household consumption due to reduced purchasing power (</w:t>
      </w:r>
      <w:proofErr w:type="spellStart"/>
      <w:r>
        <w:rPr>
          <w:rFonts w:ascii="Arial" w:eastAsia="Arial" w:hAnsi="Arial" w:cs="Arial"/>
        </w:rPr>
        <w:t>Zhuravleva</w:t>
      </w:r>
      <w:proofErr w:type="spellEnd"/>
      <w:r>
        <w:rPr>
          <w:rFonts w:ascii="Arial" w:eastAsia="Arial" w:hAnsi="Arial" w:cs="Arial"/>
        </w:rPr>
        <w:t>, et al., 2020). The Philippine case suggests that VAT’s stabilizing revenue function outweighs such risks, particularly after reforms under the TRAIN law that broadened the tax base and improved compliance (National Tax Research Center, 2018).</w:t>
      </w:r>
    </w:p>
    <w:p w:rsidR="0094047A" w:rsidRDefault="0094047A">
      <w:pPr>
        <w:jc w:val="both"/>
        <w:rPr>
          <w:rFonts w:ascii="Arial" w:eastAsia="Arial" w:hAnsi="Arial" w:cs="Arial"/>
        </w:rPr>
      </w:pPr>
    </w:p>
    <w:p w:rsidR="0094047A" w:rsidRDefault="00C13554">
      <w:pPr>
        <w:jc w:val="both"/>
        <w:rPr>
          <w:rFonts w:ascii="Arial" w:eastAsia="Arial" w:hAnsi="Arial" w:cs="Arial"/>
        </w:rPr>
      </w:pPr>
      <w:r>
        <w:rPr>
          <w:rFonts w:ascii="Arial" w:eastAsia="Arial" w:hAnsi="Arial" w:cs="Arial"/>
        </w:rPr>
        <w:t xml:space="preserve">Moreover, excise taxes also show a positive and statistically significant effect on GDP (B = 0.22, p = 0.03). This finding is consistent with </w:t>
      </w:r>
      <w:proofErr w:type="spellStart"/>
      <w:r>
        <w:rPr>
          <w:rFonts w:ascii="Arial" w:eastAsia="Arial" w:hAnsi="Arial" w:cs="Arial"/>
        </w:rPr>
        <w:t>Mose</w:t>
      </w:r>
      <w:proofErr w:type="spellEnd"/>
      <w:r>
        <w:rPr>
          <w:rFonts w:ascii="Arial" w:eastAsia="Arial" w:hAnsi="Arial" w:cs="Arial"/>
        </w:rPr>
        <w:t xml:space="preserve"> et. al. (2025), who reported that excise tax increases generate measurable gains in GDP, estimating that a 1% rise in excise tax could lift GDP by 0.37%. Philippine reforms such as the Sin Tax Law (2012, expanded 2019) and the TRAIN law (2017) have reinforced excises as reliable sources of revenue while simultaneously addressing externalities related to health and the environment (Kaiser, 2016; Bureau of Internal Revenue, n.d.). Thus, the present results suggest that excise taxes, far from merely corrective, also contribute positively to broader economic expansion.</w:t>
      </w:r>
    </w:p>
    <w:p w:rsidR="0094047A" w:rsidRDefault="0094047A">
      <w:pPr>
        <w:jc w:val="both"/>
        <w:rPr>
          <w:rFonts w:ascii="Arial" w:eastAsia="Arial" w:hAnsi="Arial" w:cs="Arial"/>
        </w:rPr>
      </w:pPr>
    </w:p>
    <w:p w:rsidR="0094047A" w:rsidRDefault="00C13554">
      <w:pPr>
        <w:jc w:val="both"/>
        <w:rPr>
          <w:rFonts w:ascii="Arial" w:eastAsia="Arial" w:hAnsi="Arial" w:cs="Arial"/>
        </w:rPr>
      </w:pPr>
      <w:r>
        <w:rPr>
          <w:rFonts w:ascii="Arial" w:eastAsia="Arial" w:hAnsi="Arial" w:cs="Arial"/>
        </w:rPr>
        <w:t xml:space="preserve">Overall, the regression model underscores that taxation collectively has a powerful impact on economic growth, with VAT and excise taxes driving most of the effect while corporate income tax appears neutral to slightly adverse. This finding supports </w:t>
      </w:r>
      <w:proofErr w:type="spellStart"/>
      <w:r>
        <w:rPr>
          <w:rFonts w:ascii="Arial" w:eastAsia="Arial" w:hAnsi="Arial" w:cs="Arial"/>
        </w:rPr>
        <w:t>Orbaningsih</w:t>
      </w:r>
      <w:proofErr w:type="spellEnd"/>
      <w:r>
        <w:rPr>
          <w:rFonts w:ascii="Arial" w:eastAsia="Arial" w:hAnsi="Arial" w:cs="Arial"/>
        </w:rPr>
        <w:t xml:space="preserve"> and </w:t>
      </w:r>
      <w:proofErr w:type="spellStart"/>
      <w:r>
        <w:rPr>
          <w:rFonts w:ascii="Arial" w:eastAsia="Arial" w:hAnsi="Arial" w:cs="Arial"/>
        </w:rPr>
        <w:t>Sujianto</w:t>
      </w:r>
      <w:proofErr w:type="spellEnd"/>
      <w:r>
        <w:rPr>
          <w:rFonts w:ascii="Arial" w:eastAsia="Arial" w:hAnsi="Arial" w:cs="Arial"/>
        </w:rPr>
        <w:t xml:space="preserve"> (2022), who emphasized that tax revenue mobilization is critical for development financing, and Ho et al. (2023), who stressed the amplifying role of effective institutions in harnessing tax revenues for growt</w:t>
      </w:r>
      <w:bookmarkStart w:id="2" w:name="bookmark=kix.uzat2rnpspdu" w:colFirst="0" w:colLast="0"/>
      <w:bookmarkStart w:id="3" w:name="bookmark=kix.1y4v30y7tgv3" w:colFirst="0" w:colLast="0"/>
      <w:bookmarkEnd w:id="2"/>
      <w:bookmarkEnd w:id="3"/>
      <w:r>
        <w:rPr>
          <w:rFonts w:ascii="Arial" w:eastAsia="Arial" w:hAnsi="Arial" w:cs="Arial"/>
        </w:rPr>
        <w:t xml:space="preserve">h. At the same time, the divergence in effects between tax types reinforces </w:t>
      </w:r>
      <w:proofErr w:type="spellStart"/>
      <w:r>
        <w:rPr>
          <w:rFonts w:ascii="Arial" w:eastAsia="Arial" w:hAnsi="Arial" w:cs="Arial"/>
        </w:rPr>
        <w:t>Macek’s</w:t>
      </w:r>
      <w:proofErr w:type="spellEnd"/>
      <w:r>
        <w:rPr>
          <w:rFonts w:ascii="Arial" w:eastAsia="Arial" w:hAnsi="Arial" w:cs="Arial"/>
        </w:rPr>
        <w:t xml:space="preserve"> (2015) caution that not all taxes contribute equally to growth; rather, design, structure, and context matter.</w:t>
      </w:r>
    </w:p>
    <w:p w:rsidR="0094047A" w:rsidRDefault="0094047A">
      <w:pPr>
        <w:pBdr>
          <w:top w:val="nil"/>
          <w:left w:val="nil"/>
          <w:bottom w:val="nil"/>
          <w:right w:val="nil"/>
          <w:between w:val="nil"/>
        </w:pBdr>
        <w:jc w:val="both"/>
        <w:rPr>
          <w:rFonts w:ascii="Arial" w:eastAsia="Arial" w:hAnsi="Arial" w:cs="Arial"/>
          <w:color w:val="000000"/>
        </w:rPr>
      </w:pPr>
    </w:p>
    <w:p w:rsidR="0094047A" w:rsidRDefault="00C13554">
      <w:pPr>
        <w:keepNext/>
        <w:jc w:val="both"/>
        <w:rPr>
          <w:rFonts w:ascii="Arial" w:eastAsia="Arial" w:hAnsi="Arial" w:cs="Arial"/>
          <w:b/>
          <w:smallCaps/>
          <w:color w:val="000000"/>
          <w:sz w:val="22"/>
          <w:szCs w:val="22"/>
        </w:rPr>
      </w:pPr>
      <w:r>
        <w:rPr>
          <w:rFonts w:ascii="Arial" w:eastAsia="Arial" w:hAnsi="Arial" w:cs="Arial"/>
          <w:b/>
          <w:smallCaps/>
          <w:sz w:val="22"/>
          <w:szCs w:val="22"/>
        </w:rPr>
        <w:t>5. CONCLUSION</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This study examined the effect of Corporate Income Tax (CIT), Value-Added Tax (VAT), and Excise Tax on the Gross Domestic Product (GDP) of the Philippines. The regression model indicated that taxation, taken as a whole, has a strong and statistically significant impact on GDP, accounting for 95 percent of its variation.</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When the individual tax components were assessed, the results showed that CIT had a negative but statistically insignificant coefficient. This led to the acceptance of the null hypothesis that corporate income tax does not exert a significant effect on GDP. In contrast, VAT displayed a strong positive and significant relationship with GDP, implying that higher value-added tax revenues are associated with greater economic growth. Excise tax also demonstrated a positive and significant effect, confirming its contribution to GDP expansion. These findings suggest that indirect taxes, particularly VAT and excise, serve as more effective drivers of economic growth in the Philippine context compared to corporate income taxation.</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Moreover, for consideration, the analysis also noted moderate multicollinearity among the independent variables, with Variance Inflation Factor (VIF) values ranging from 2.55 to 5.05. While this remains within the acceptable threshold for regression analysis, it may have had a minor effect on the precision of some estimates, especially for CIT. Furthermore, the study relied on secondary data, which reflects the constraints of official statistics and may be influenced by reporting practices and policy implementation. These considerations do not reduce the validity of the findings but point to areas where interpretation should be approached with care.</w:t>
      </w:r>
    </w:p>
    <w:p w:rsidR="0094047A" w:rsidRDefault="0094047A">
      <w:pPr>
        <w:pBdr>
          <w:top w:val="nil"/>
          <w:left w:val="nil"/>
          <w:bottom w:val="nil"/>
          <w:right w:val="nil"/>
          <w:between w:val="nil"/>
        </w:pBdr>
        <w:jc w:val="both"/>
        <w:rPr>
          <w:rFonts w:ascii="Arial" w:eastAsia="Arial" w:hAnsi="Arial" w:cs="Arial"/>
        </w:rPr>
      </w:pPr>
    </w:p>
    <w:p w:rsidR="0094047A" w:rsidRDefault="00C13554">
      <w:pPr>
        <w:keepNext/>
        <w:jc w:val="both"/>
        <w:rPr>
          <w:rFonts w:ascii="Arial" w:eastAsia="Arial" w:hAnsi="Arial" w:cs="Arial"/>
          <w:b/>
          <w:smallCaps/>
          <w:sz w:val="22"/>
          <w:szCs w:val="22"/>
        </w:rPr>
      </w:pPr>
      <w:r>
        <w:rPr>
          <w:rFonts w:ascii="Arial" w:eastAsia="Arial" w:hAnsi="Arial" w:cs="Arial"/>
          <w:b/>
          <w:smallCaps/>
          <w:sz w:val="22"/>
          <w:szCs w:val="22"/>
        </w:rPr>
        <w:t>5. RECOMMENDATIONS</w:t>
      </w:r>
    </w:p>
    <w:p w:rsidR="0094047A" w:rsidRDefault="0094047A">
      <w:pPr>
        <w:pBdr>
          <w:top w:val="nil"/>
          <w:left w:val="nil"/>
          <w:bottom w:val="nil"/>
          <w:right w:val="nil"/>
          <w:between w:val="nil"/>
        </w:pBdr>
        <w:jc w:val="both"/>
        <w:rPr>
          <w:rFonts w:ascii="Arial" w:eastAsia="Arial" w:hAnsi="Arial" w:cs="Arial"/>
        </w:rPr>
      </w:pPr>
    </w:p>
    <w:p w:rsidR="0094047A" w:rsidRDefault="00C13554">
      <w:pPr>
        <w:pBdr>
          <w:top w:val="nil"/>
          <w:left w:val="nil"/>
          <w:bottom w:val="nil"/>
          <w:right w:val="nil"/>
          <w:between w:val="nil"/>
        </w:pBdr>
        <w:jc w:val="both"/>
        <w:rPr>
          <w:rFonts w:ascii="Arial" w:eastAsia="Arial" w:hAnsi="Arial" w:cs="Arial"/>
        </w:rPr>
      </w:pPr>
      <w:r>
        <w:rPr>
          <w:rFonts w:ascii="Arial" w:eastAsia="Arial" w:hAnsi="Arial" w:cs="Arial"/>
        </w:rPr>
        <w:t xml:space="preserve">Policymakers are encouraged to enhance the administration of Value Added Tax and excise taxes, as the revenue of these sources showed greater consistency in contributing to economic growth. Broadening the tax base through stricter compliance monitoring revenue leakages in order to improve collection efficiency and ensure a sustainable fiscal framework. Further evaluations of the CREATE Act are essential to determine its long-term effects on corporate income tax performance and overall business activity. Future researchers may </w:t>
      </w:r>
      <w:r>
        <w:rPr>
          <w:rFonts w:ascii="Arial" w:eastAsia="Arial" w:hAnsi="Arial" w:cs="Arial"/>
        </w:rPr>
        <w:lastRenderedPageBreak/>
        <w:t>consider addressing the issue of multicollinearity observed among the independent variables by applying alternative econometric techniques, and extending the study period or incorporating additional macroeconomic variables, such as government expenditure, investment, or inflation, would also provide a more comprehensive understanding of the dynamic relationship between taxation and economic growth in the Philippines.</w:t>
      </w:r>
    </w:p>
    <w:p w:rsidR="0094047A" w:rsidRDefault="0094047A">
      <w:pPr>
        <w:pBdr>
          <w:top w:val="nil"/>
          <w:left w:val="nil"/>
          <w:bottom w:val="nil"/>
          <w:right w:val="nil"/>
          <w:between w:val="nil"/>
        </w:pBdr>
        <w:jc w:val="both"/>
        <w:rPr>
          <w:rFonts w:ascii="Arial" w:eastAsia="Arial" w:hAnsi="Arial" w:cs="Arial"/>
        </w:rPr>
      </w:pPr>
    </w:p>
    <w:p w:rsidR="0094047A" w:rsidRDefault="00C13554">
      <w:pPr>
        <w:keepNext/>
        <w:jc w:val="both"/>
        <w:rPr>
          <w:rFonts w:ascii="Arial" w:eastAsia="Arial" w:hAnsi="Arial" w:cs="Arial"/>
          <w:b/>
          <w:smallCaps/>
          <w:sz w:val="22"/>
          <w:szCs w:val="22"/>
          <w:highlight w:val="yellow"/>
        </w:rPr>
      </w:pPr>
      <w:r>
        <w:rPr>
          <w:rFonts w:ascii="Arial" w:eastAsia="Arial" w:hAnsi="Arial" w:cs="Arial"/>
          <w:b/>
          <w:smallCaps/>
          <w:sz w:val="22"/>
          <w:szCs w:val="22"/>
          <w:highlight w:val="yellow"/>
        </w:rPr>
        <w:t>DISCLAIMER (ARTIFICIAL INTELLIGENCE)</w:t>
      </w:r>
    </w:p>
    <w:p w:rsidR="0094047A" w:rsidRDefault="00C13554">
      <w:pPr>
        <w:pBdr>
          <w:top w:val="nil"/>
          <w:left w:val="nil"/>
          <w:bottom w:val="nil"/>
          <w:right w:val="nil"/>
          <w:between w:val="nil"/>
        </w:pBdr>
        <w:jc w:val="both"/>
        <w:rPr>
          <w:rFonts w:ascii="Arial" w:eastAsia="Arial" w:hAnsi="Arial" w:cs="Arial"/>
          <w:highlight w:val="yellow"/>
        </w:rPr>
      </w:pPr>
      <w:r>
        <w:rPr>
          <w:rFonts w:ascii="Arial" w:eastAsia="Arial" w:hAnsi="Arial" w:cs="Arial"/>
          <w:highlight w:val="yellow"/>
        </w:rPr>
        <w:t>Authors hereby declare that NO generative AI technologies such as Large Language Models (</w:t>
      </w:r>
      <w:proofErr w:type="spellStart"/>
      <w:r>
        <w:rPr>
          <w:rFonts w:ascii="Arial" w:eastAsia="Arial" w:hAnsi="Arial" w:cs="Arial"/>
          <w:highlight w:val="yellow"/>
        </w:rPr>
        <w:t>ChatGPT</w:t>
      </w:r>
      <w:proofErr w:type="spellEnd"/>
      <w:r>
        <w:rPr>
          <w:rFonts w:ascii="Arial" w:eastAsia="Arial" w:hAnsi="Arial" w:cs="Arial"/>
          <w:highlight w:val="yellow"/>
        </w:rPr>
        <w:t>, COPILOT, etc.) and text-to-image generators have been used during the writing or editing of this manuscript.</w:t>
      </w:r>
    </w:p>
    <w:p w:rsidR="0094047A" w:rsidRDefault="0094047A">
      <w:pPr>
        <w:pBdr>
          <w:top w:val="nil"/>
          <w:left w:val="nil"/>
          <w:bottom w:val="nil"/>
          <w:right w:val="nil"/>
          <w:between w:val="nil"/>
        </w:pBdr>
        <w:jc w:val="both"/>
        <w:rPr>
          <w:rFonts w:ascii="Arial" w:eastAsia="Arial" w:hAnsi="Arial" w:cs="Arial"/>
        </w:rPr>
      </w:pPr>
    </w:p>
    <w:p w:rsidR="0094047A" w:rsidRDefault="0094047A">
      <w:pPr>
        <w:keepNext/>
        <w:pBdr>
          <w:top w:val="nil"/>
          <w:left w:val="nil"/>
          <w:bottom w:val="nil"/>
          <w:right w:val="nil"/>
          <w:between w:val="nil"/>
        </w:pBdr>
        <w:jc w:val="both"/>
        <w:rPr>
          <w:rFonts w:ascii="Arial" w:eastAsia="Arial" w:hAnsi="Arial" w:cs="Arial"/>
        </w:rPr>
      </w:pPr>
    </w:p>
    <w:p w:rsidR="0094047A" w:rsidRDefault="00C13554">
      <w:pPr>
        <w:keepNext/>
        <w:pBdr>
          <w:top w:val="nil"/>
          <w:left w:val="nil"/>
          <w:bottom w:val="nil"/>
          <w:right w:val="nil"/>
          <w:between w:val="nil"/>
        </w:pBdr>
        <w:jc w:val="both"/>
        <w:rPr>
          <w:rFonts w:ascii="Arial" w:eastAsia="Arial" w:hAnsi="Arial" w:cs="Arial"/>
          <w:b/>
          <w:smallCaps/>
        </w:rPr>
      </w:pPr>
      <w:r>
        <w:rPr>
          <w:rFonts w:ascii="Arial" w:eastAsia="Arial" w:hAnsi="Arial" w:cs="Arial"/>
          <w:b/>
          <w:smallCaps/>
        </w:rPr>
        <w:t>REFERENCES</w:t>
      </w:r>
    </w:p>
    <w:p w:rsidR="0094047A" w:rsidRDefault="0094047A">
      <w:pPr>
        <w:keepNext/>
        <w:pBdr>
          <w:top w:val="nil"/>
          <w:left w:val="nil"/>
          <w:bottom w:val="nil"/>
          <w:right w:val="nil"/>
          <w:between w:val="nil"/>
        </w:pBdr>
        <w:jc w:val="both"/>
        <w:rPr>
          <w:rFonts w:ascii="Arial" w:eastAsia="Arial" w:hAnsi="Arial" w:cs="Arial"/>
          <w:b/>
          <w:smallCaps/>
        </w:rPr>
      </w:pPr>
    </w:p>
    <w:p w:rsidR="0094047A" w:rsidRDefault="00C13554">
      <w:pPr>
        <w:numPr>
          <w:ilvl w:val="0"/>
          <w:numId w:val="3"/>
        </w:numPr>
        <w:jc w:val="both"/>
        <w:rPr>
          <w:rFonts w:ascii="Arial" w:eastAsia="Arial" w:hAnsi="Arial" w:cs="Arial"/>
        </w:rPr>
      </w:pPr>
      <w:bookmarkStart w:id="4" w:name="bookmark=kix.dqm5f52m4rd8" w:colFirst="0" w:colLast="0"/>
      <w:bookmarkEnd w:id="4"/>
      <w:proofErr w:type="spellStart"/>
      <w:r>
        <w:rPr>
          <w:rFonts w:ascii="Arial" w:eastAsia="Arial" w:hAnsi="Arial" w:cs="Arial"/>
        </w:rPr>
        <w:t>Roser</w:t>
      </w:r>
      <w:proofErr w:type="spellEnd"/>
      <w:r>
        <w:rPr>
          <w:rFonts w:ascii="Arial" w:eastAsia="Arial" w:hAnsi="Arial" w:cs="Arial"/>
        </w:rPr>
        <w:t xml:space="preserve">, M. (2021, May 13). What is economic growth? And why is it so important? </w:t>
      </w:r>
      <w:r>
        <w:rPr>
          <w:rFonts w:ascii="Arial" w:eastAsia="Arial" w:hAnsi="Arial" w:cs="Arial"/>
          <w:i/>
        </w:rPr>
        <w:t>Our World in Data</w:t>
      </w:r>
      <w:r>
        <w:rPr>
          <w:rFonts w:ascii="Arial" w:eastAsia="Arial" w:hAnsi="Arial" w:cs="Arial"/>
        </w:rPr>
        <w:t xml:space="preserve">. </w:t>
      </w:r>
      <w:hyperlink r:id="rId16">
        <w:r>
          <w:rPr>
            <w:rFonts w:ascii="Arial" w:eastAsia="Arial" w:hAnsi="Arial" w:cs="Arial"/>
            <w:color w:val="0000FF"/>
            <w:u w:val="single"/>
          </w:rPr>
          <w:t>https://ourworldindata.org/what-is-economic-growth</w:t>
        </w:r>
      </w:hyperlink>
    </w:p>
    <w:p w:rsidR="0094047A" w:rsidRDefault="00C13554">
      <w:pPr>
        <w:numPr>
          <w:ilvl w:val="0"/>
          <w:numId w:val="3"/>
        </w:numPr>
        <w:jc w:val="both"/>
        <w:rPr>
          <w:rFonts w:ascii="Arial" w:eastAsia="Arial" w:hAnsi="Arial" w:cs="Arial"/>
        </w:rPr>
      </w:pPr>
      <w:r>
        <w:rPr>
          <w:rFonts w:ascii="Arial" w:eastAsia="Arial" w:hAnsi="Arial" w:cs="Arial"/>
        </w:rPr>
        <w:t xml:space="preserve">Bahmani, S. (2024, February 28). Economic Growth vs. Economic Development: Defining Success. </w:t>
      </w:r>
      <w:r>
        <w:rPr>
          <w:rFonts w:ascii="Arial" w:eastAsia="Arial" w:hAnsi="Arial" w:cs="Arial"/>
          <w:i/>
        </w:rPr>
        <w:t>Journal of Research in International Business and Management</w:t>
      </w:r>
      <w:r>
        <w:rPr>
          <w:rFonts w:ascii="Arial" w:eastAsia="Arial" w:hAnsi="Arial" w:cs="Arial"/>
        </w:rPr>
        <w:t xml:space="preserve">, </w:t>
      </w:r>
      <w:r>
        <w:rPr>
          <w:rFonts w:ascii="Arial" w:eastAsia="Arial" w:hAnsi="Arial" w:cs="Arial"/>
          <w:i/>
        </w:rPr>
        <w:t>11</w:t>
      </w:r>
      <w:r>
        <w:rPr>
          <w:rFonts w:ascii="Arial" w:eastAsia="Arial" w:hAnsi="Arial" w:cs="Arial"/>
        </w:rPr>
        <w:t xml:space="preserve">(1). </w:t>
      </w:r>
      <w:hyperlink r:id="rId17">
        <w:r>
          <w:rPr>
            <w:rFonts w:ascii="Arial" w:eastAsia="Arial" w:hAnsi="Arial" w:cs="Arial"/>
            <w:color w:val="0000FF"/>
            <w:u w:val="single"/>
          </w:rPr>
          <w:t>https://www.interesjournals.org/author/bahmani-sirous-44120</w:t>
        </w:r>
      </w:hyperlink>
    </w:p>
    <w:p w:rsidR="0094047A" w:rsidRDefault="00C13554">
      <w:pPr>
        <w:numPr>
          <w:ilvl w:val="0"/>
          <w:numId w:val="3"/>
        </w:numPr>
        <w:jc w:val="both"/>
        <w:rPr>
          <w:rFonts w:ascii="Arial" w:eastAsia="Arial" w:hAnsi="Arial" w:cs="Arial"/>
        </w:rPr>
      </w:pPr>
      <w:bookmarkStart w:id="5" w:name="bookmark=kix.s4fonvjdsf1s" w:colFirst="0" w:colLast="0"/>
      <w:bookmarkEnd w:id="5"/>
      <w:r>
        <w:rPr>
          <w:rFonts w:ascii="Arial" w:eastAsia="Arial" w:hAnsi="Arial" w:cs="Arial"/>
        </w:rPr>
        <w:t xml:space="preserve">Balasubramanian, P., </w:t>
      </w:r>
      <w:proofErr w:type="spellStart"/>
      <w:r>
        <w:rPr>
          <w:rFonts w:ascii="Arial" w:eastAsia="Arial" w:hAnsi="Arial" w:cs="Arial"/>
        </w:rPr>
        <w:t>Burchi</w:t>
      </w:r>
      <w:proofErr w:type="spellEnd"/>
      <w:r>
        <w:rPr>
          <w:rFonts w:ascii="Arial" w:eastAsia="Arial" w:hAnsi="Arial" w:cs="Arial"/>
        </w:rPr>
        <w:t xml:space="preserve">, F., &amp; </w:t>
      </w:r>
      <w:proofErr w:type="spellStart"/>
      <w:r>
        <w:rPr>
          <w:rFonts w:ascii="Arial" w:eastAsia="Arial" w:hAnsi="Arial" w:cs="Arial"/>
        </w:rPr>
        <w:t>Malerba</w:t>
      </w:r>
      <w:proofErr w:type="spellEnd"/>
      <w:r>
        <w:rPr>
          <w:rFonts w:ascii="Arial" w:eastAsia="Arial" w:hAnsi="Arial" w:cs="Arial"/>
        </w:rPr>
        <w:t>, D. (2022). Does economic growth reduce multidimensional poverty? Evidence from low- and middle-income countries. World Development, 161, 106119.</w:t>
      </w:r>
      <w:hyperlink r:id="rId18">
        <w:r>
          <w:rPr>
            <w:rFonts w:ascii="Arial" w:eastAsia="Arial" w:hAnsi="Arial" w:cs="Arial"/>
            <w:color w:val="0000FF"/>
            <w:u w:val="single"/>
          </w:rPr>
          <w:t xml:space="preserve"> https://doi.org/10.1016/j.worlddev.2022.106119</w:t>
        </w:r>
      </w:hyperlink>
      <w:r>
        <w:rPr>
          <w:rFonts w:ascii="Arial" w:eastAsia="Arial" w:hAnsi="Arial" w:cs="Arial"/>
        </w:rPr>
        <w:t> </w:t>
      </w:r>
    </w:p>
    <w:p w:rsidR="0094047A" w:rsidRDefault="00C13554">
      <w:pPr>
        <w:numPr>
          <w:ilvl w:val="0"/>
          <w:numId w:val="3"/>
        </w:numPr>
        <w:jc w:val="both"/>
        <w:rPr>
          <w:rFonts w:ascii="Arial" w:eastAsia="Arial" w:hAnsi="Arial" w:cs="Arial"/>
        </w:rPr>
      </w:pPr>
      <w:bookmarkStart w:id="6" w:name="bookmark=kix.8lf2rogxl27z" w:colFirst="0" w:colLast="0"/>
      <w:bookmarkEnd w:id="6"/>
      <w:proofErr w:type="spellStart"/>
      <w:r>
        <w:rPr>
          <w:rFonts w:ascii="Arial" w:eastAsia="Arial" w:hAnsi="Arial" w:cs="Arial"/>
        </w:rPr>
        <w:t>Ngubane</w:t>
      </w:r>
      <w:proofErr w:type="spellEnd"/>
      <w:r>
        <w:rPr>
          <w:rFonts w:ascii="Arial" w:eastAsia="Arial" w:hAnsi="Arial" w:cs="Arial"/>
        </w:rPr>
        <w:t xml:space="preserve">, M. Z., </w:t>
      </w:r>
      <w:proofErr w:type="spellStart"/>
      <w:r>
        <w:rPr>
          <w:rFonts w:ascii="Arial" w:eastAsia="Arial" w:hAnsi="Arial" w:cs="Arial"/>
        </w:rPr>
        <w:t>Mndebele</w:t>
      </w:r>
      <w:proofErr w:type="spellEnd"/>
      <w:r>
        <w:rPr>
          <w:rFonts w:ascii="Arial" w:eastAsia="Arial" w:hAnsi="Arial" w:cs="Arial"/>
        </w:rPr>
        <w:t xml:space="preserve">, S., &amp; </w:t>
      </w:r>
      <w:proofErr w:type="spellStart"/>
      <w:r>
        <w:rPr>
          <w:rFonts w:ascii="Arial" w:eastAsia="Arial" w:hAnsi="Arial" w:cs="Arial"/>
        </w:rPr>
        <w:t>Kaseeram</w:t>
      </w:r>
      <w:proofErr w:type="spellEnd"/>
      <w:r>
        <w:rPr>
          <w:rFonts w:ascii="Arial" w:eastAsia="Arial" w:hAnsi="Arial" w:cs="Arial"/>
        </w:rPr>
        <w:t xml:space="preserve">, I. (2023, October). Economic growth, unemployment and poverty: Linear and non-linear evidence from South Africa. </w:t>
      </w:r>
      <w:proofErr w:type="spellStart"/>
      <w:r>
        <w:rPr>
          <w:rFonts w:ascii="Arial" w:eastAsia="Arial" w:hAnsi="Arial" w:cs="Arial"/>
          <w:i/>
        </w:rPr>
        <w:t>Heliyon</w:t>
      </w:r>
      <w:proofErr w:type="spellEnd"/>
      <w:r>
        <w:rPr>
          <w:rFonts w:ascii="Arial" w:eastAsia="Arial" w:hAnsi="Arial" w:cs="Arial"/>
        </w:rPr>
        <w:t xml:space="preserve">, </w:t>
      </w:r>
      <w:r>
        <w:rPr>
          <w:rFonts w:ascii="Arial" w:eastAsia="Arial" w:hAnsi="Arial" w:cs="Arial"/>
          <w:i/>
        </w:rPr>
        <w:t>9</w:t>
      </w:r>
      <w:r>
        <w:rPr>
          <w:rFonts w:ascii="Arial" w:eastAsia="Arial" w:hAnsi="Arial" w:cs="Arial"/>
        </w:rPr>
        <w:t xml:space="preserve">(10). </w:t>
      </w:r>
      <w:hyperlink r:id="rId19">
        <w:r>
          <w:rPr>
            <w:rFonts w:ascii="Arial" w:eastAsia="Arial" w:hAnsi="Arial" w:cs="Arial"/>
            <w:color w:val="0000FF"/>
            <w:u w:val="single"/>
          </w:rPr>
          <w:t>https://doi.org/10.1016/j.heliyon.2023.e20267</w:t>
        </w:r>
      </w:hyperlink>
    </w:p>
    <w:p w:rsidR="0094047A" w:rsidRDefault="00C13554">
      <w:pPr>
        <w:numPr>
          <w:ilvl w:val="0"/>
          <w:numId w:val="3"/>
        </w:numPr>
        <w:jc w:val="both"/>
        <w:rPr>
          <w:rFonts w:ascii="Arial" w:eastAsia="Arial" w:hAnsi="Arial" w:cs="Arial"/>
        </w:rPr>
      </w:pPr>
      <w:bookmarkStart w:id="7" w:name="bookmark=kix.1guhhxru6i68" w:colFirst="0" w:colLast="0"/>
      <w:bookmarkEnd w:id="7"/>
      <w:r>
        <w:rPr>
          <w:rFonts w:ascii="Arial" w:eastAsia="Arial" w:hAnsi="Arial" w:cs="Arial"/>
        </w:rPr>
        <w:t xml:space="preserve">Cheng, S. (2024). An Investigation into the Relationship Between Employment and Economic Growth. Modern Economics &amp; Management Forum, 5(5), 847. </w:t>
      </w:r>
      <w:hyperlink r:id="rId20">
        <w:r>
          <w:rPr>
            <w:rFonts w:ascii="Arial" w:eastAsia="Arial" w:hAnsi="Arial" w:cs="Arial"/>
            <w:color w:val="0000FF"/>
            <w:u w:val="single"/>
          </w:rPr>
          <w:t>https://doi.org/10.32629/memf.v5i5.2859</w:t>
        </w:r>
      </w:hyperlink>
    </w:p>
    <w:p w:rsidR="0094047A" w:rsidRDefault="00C13554">
      <w:pPr>
        <w:numPr>
          <w:ilvl w:val="0"/>
          <w:numId w:val="3"/>
        </w:numPr>
        <w:jc w:val="both"/>
        <w:rPr>
          <w:rFonts w:ascii="Arial" w:eastAsia="Arial" w:hAnsi="Arial" w:cs="Arial"/>
        </w:rPr>
      </w:pPr>
      <w:bookmarkStart w:id="8" w:name="bookmark=kix.e1mheemcx402" w:colFirst="0" w:colLast="0"/>
      <w:bookmarkEnd w:id="8"/>
      <w:r>
        <w:rPr>
          <w:rFonts w:ascii="Arial" w:eastAsia="Arial" w:hAnsi="Arial" w:cs="Arial"/>
        </w:rPr>
        <w:t xml:space="preserve">De La Fuente, B. P. (2016). Economic growth and poverty reduction in a rapidly changing world. European Economy Economic Briefs, 019. </w:t>
      </w:r>
      <w:hyperlink r:id="rId21">
        <w:r>
          <w:rPr>
            <w:rFonts w:ascii="Arial" w:eastAsia="Arial" w:hAnsi="Arial" w:cs="Arial"/>
            <w:color w:val="0000FF"/>
            <w:u w:val="single"/>
          </w:rPr>
          <w:t>https://doi.org/10.2765/730208</w:t>
        </w:r>
      </w:hyperlink>
    </w:p>
    <w:p w:rsidR="0094047A" w:rsidRDefault="00C13554">
      <w:pPr>
        <w:numPr>
          <w:ilvl w:val="0"/>
          <w:numId w:val="3"/>
        </w:numPr>
        <w:jc w:val="both"/>
        <w:rPr>
          <w:rFonts w:ascii="Arial" w:eastAsia="Arial" w:hAnsi="Arial" w:cs="Arial"/>
        </w:rPr>
      </w:pPr>
      <w:bookmarkStart w:id="9" w:name="bookmark=kix.naoirug7d2a3" w:colFirst="0" w:colLast="0"/>
      <w:bookmarkEnd w:id="9"/>
      <w:r>
        <w:rPr>
          <w:rFonts w:ascii="Arial" w:eastAsia="Arial" w:hAnsi="Arial" w:cs="Arial"/>
        </w:rPr>
        <w:t xml:space="preserve">Global Goals. (2024, January 23). </w:t>
      </w:r>
      <w:r>
        <w:rPr>
          <w:rFonts w:ascii="Arial" w:eastAsia="Arial" w:hAnsi="Arial" w:cs="Arial"/>
          <w:i/>
        </w:rPr>
        <w:t>Goal 8: Decent work and economic growth - the global goals</w:t>
      </w:r>
      <w:r>
        <w:rPr>
          <w:rFonts w:ascii="Arial" w:eastAsia="Arial" w:hAnsi="Arial" w:cs="Arial"/>
        </w:rPr>
        <w:t xml:space="preserve">. Retrieved April 9, 2025, from </w:t>
      </w:r>
      <w:hyperlink r:id="rId22">
        <w:r>
          <w:rPr>
            <w:rFonts w:ascii="Arial" w:eastAsia="Arial" w:hAnsi="Arial" w:cs="Arial"/>
            <w:color w:val="0000FF"/>
            <w:u w:val="single"/>
          </w:rPr>
          <w:t>https://globalgoals.org/goals/8-decent-work-and-economic-growth/</w:t>
        </w:r>
      </w:hyperlink>
    </w:p>
    <w:p w:rsidR="0094047A" w:rsidRDefault="00C13554">
      <w:pPr>
        <w:numPr>
          <w:ilvl w:val="0"/>
          <w:numId w:val="3"/>
        </w:numPr>
        <w:jc w:val="both"/>
        <w:rPr>
          <w:rFonts w:ascii="Arial" w:eastAsia="Arial" w:hAnsi="Arial" w:cs="Arial"/>
        </w:rPr>
      </w:pPr>
      <w:bookmarkStart w:id="10" w:name="bookmark=kix.bxs8eoc68x" w:colFirst="0" w:colLast="0"/>
      <w:bookmarkEnd w:id="10"/>
      <w:proofErr w:type="spellStart"/>
      <w:r>
        <w:rPr>
          <w:rFonts w:ascii="Arial" w:eastAsia="Arial" w:hAnsi="Arial" w:cs="Arial"/>
        </w:rPr>
        <w:t>Mapa</w:t>
      </w:r>
      <w:proofErr w:type="spellEnd"/>
      <w:r>
        <w:rPr>
          <w:rFonts w:ascii="Arial" w:eastAsia="Arial" w:hAnsi="Arial" w:cs="Arial"/>
        </w:rPr>
        <w:t xml:space="preserve">, C. D. (2025, August 7). </w:t>
      </w:r>
      <w:r>
        <w:rPr>
          <w:rFonts w:ascii="Arial" w:eastAsia="Arial" w:hAnsi="Arial" w:cs="Arial"/>
          <w:i/>
        </w:rPr>
        <w:t>GDP Expands by 5.5 Percent in the Second Quarter of 2025</w:t>
      </w:r>
      <w:r>
        <w:rPr>
          <w:rFonts w:ascii="Arial" w:eastAsia="Arial" w:hAnsi="Arial" w:cs="Arial"/>
        </w:rPr>
        <w:t xml:space="preserve">. Philippine Statistics Authority. Retrieved September 4, 2025, from </w:t>
      </w:r>
      <w:hyperlink r:id="rId23">
        <w:r>
          <w:rPr>
            <w:rFonts w:ascii="Arial" w:eastAsia="Arial" w:hAnsi="Arial" w:cs="Arial"/>
            <w:color w:val="0000FF"/>
            <w:u w:val="single"/>
          </w:rPr>
          <w:t>https://psa.gov.ph/statistics/national-accounts</w:t>
        </w:r>
      </w:hyperlink>
    </w:p>
    <w:p w:rsidR="0094047A" w:rsidRDefault="00C13554">
      <w:pPr>
        <w:numPr>
          <w:ilvl w:val="0"/>
          <w:numId w:val="3"/>
        </w:numPr>
        <w:jc w:val="both"/>
        <w:rPr>
          <w:rFonts w:ascii="Arial" w:eastAsia="Arial" w:hAnsi="Arial" w:cs="Arial"/>
        </w:rPr>
      </w:pPr>
      <w:bookmarkStart w:id="11" w:name="bookmark=kix.84orhen8gqnx" w:colFirst="0" w:colLast="0"/>
      <w:bookmarkEnd w:id="11"/>
      <w:r>
        <w:rPr>
          <w:rFonts w:ascii="Arial" w:eastAsia="Arial" w:hAnsi="Arial" w:cs="Arial"/>
        </w:rPr>
        <w:t xml:space="preserve">Inquirer P.D. (2024, October 31). </w:t>
      </w:r>
      <w:r>
        <w:rPr>
          <w:rFonts w:ascii="Arial" w:eastAsia="Arial" w:hAnsi="Arial" w:cs="Arial"/>
          <w:i/>
        </w:rPr>
        <w:t>In PH, stubborn gaps persist in income, gender, economic status</w:t>
      </w:r>
      <w:r>
        <w:rPr>
          <w:rFonts w:ascii="Arial" w:eastAsia="Arial" w:hAnsi="Arial" w:cs="Arial"/>
        </w:rPr>
        <w:t xml:space="preserve">. Global News. Retrieved September 4, 2025, from </w:t>
      </w:r>
      <w:hyperlink r:id="rId24">
        <w:r>
          <w:rPr>
            <w:rFonts w:ascii="Arial" w:eastAsia="Arial" w:hAnsi="Arial" w:cs="Arial"/>
            <w:color w:val="0000FF"/>
            <w:u w:val="single"/>
          </w:rPr>
          <w:t>https://globalnation.inquirer.net/254037/in-ph-stubborn-gaps-persist-in-income-gender-economic-status</w:t>
        </w:r>
      </w:hyperlink>
    </w:p>
    <w:p w:rsidR="0094047A" w:rsidRDefault="00C13554">
      <w:pPr>
        <w:numPr>
          <w:ilvl w:val="0"/>
          <w:numId w:val="3"/>
        </w:numPr>
        <w:jc w:val="both"/>
        <w:rPr>
          <w:rFonts w:ascii="Arial" w:eastAsia="Arial" w:hAnsi="Arial" w:cs="Arial"/>
        </w:rPr>
      </w:pPr>
      <w:bookmarkStart w:id="12" w:name="bookmark=kix.waap1feu86zh" w:colFirst="0" w:colLast="0"/>
      <w:bookmarkEnd w:id="12"/>
      <w:proofErr w:type="spellStart"/>
      <w:r>
        <w:rPr>
          <w:rFonts w:ascii="Arial" w:eastAsia="Arial" w:hAnsi="Arial" w:cs="Arial"/>
        </w:rPr>
        <w:t>Ofod</w:t>
      </w:r>
      <w:proofErr w:type="spellEnd"/>
      <w:r>
        <w:rPr>
          <w:rFonts w:ascii="Arial" w:eastAsia="Arial" w:hAnsi="Arial" w:cs="Arial"/>
        </w:rPr>
        <w:t xml:space="preserve">, J., </w:t>
      </w:r>
      <w:proofErr w:type="spellStart"/>
      <w:r>
        <w:rPr>
          <w:rFonts w:ascii="Arial" w:eastAsia="Arial" w:hAnsi="Arial" w:cs="Arial"/>
        </w:rPr>
        <w:t>Ganagan</w:t>
      </w:r>
      <w:proofErr w:type="spellEnd"/>
      <w:r>
        <w:rPr>
          <w:rFonts w:ascii="Arial" w:eastAsia="Arial" w:hAnsi="Arial" w:cs="Arial"/>
        </w:rPr>
        <w:t xml:space="preserve">, J., </w:t>
      </w:r>
      <w:proofErr w:type="spellStart"/>
      <w:r>
        <w:rPr>
          <w:rFonts w:ascii="Arial" w:eastAsia="Arial" w:hAnsi="Arial" w:cs="Arial"/>
        </w:rPr>
        <w:t>Bullanday</w:t>
      </w:r>
      <w:proofErr w:type="spellEnd"/>
      <w:r>
        <w:rPr>
          <w:rFonts w:ascii="Arial" w:eastAsia="Arial" w:hAnsi="Arial" w:cs="Arial"/>
        </w:rPr>
        <w:t xml:space="preserve">, U., </w:t>
      </w:r>
      <w:proofErr w:type="spellStart"/>
      <w:r>
        <w:rPr>
          <w:rFonts w:ascii="Arial" w:eastAsia="Arial" w:hAnsi="Arial" w:cs="Arial"/>
        </w:rPr>
        <w:t>Vigonte</w:t>
      </w:r>
      <w:proofErr w:type="spellEnd"/>
      <w:r>
        <w:rPr>
          <w:rFonts w:ascii="Arial" w:eastAsia="Arial" w:hAnsi="Arial" w:cs="Arial"/>
        </w:rPr>
        <w:t xml:space="preserve">, F., &amp; </w:t>
      </w:r>
      <w:proofErr w:type="spellStart"/>
      <w:r>
        <w:rPr>
          <w:rFonts w:ascii="Arial" w:eastAsia="Arial" w:hAnsi="Arial" w:cs="Arial"/>
        </w:rPr>
        <w:t>Abante</w:t>
      </w:r>
      <w:proofErr w:type="spellEnd"/>
      <w:r>
        <w:rPr>
          <w:rFonts w:ascii="Arial" w:eastAsia="Arial" w:hAnsi="Arial" w:cs="Arial"/>
        </w:rPr>
        <w:t xml:space="preserve">, M. V. (2025, February 17). Issues Facing the Economy: Addressing Economic Inequality and Growth Challenges in the Philippines. </w:t>
      </w:r>
      <w:proofErr w:type="spellStart"/>
      <w:r>
        <w:rPr>
          <w:rFonts w:ascii="Arial" w:eastAsia="Arial" w:hAnsi="Arial" w:cs="Arial"/>
          <w:i/>
        </w:rPr>
        <w:t>PlumX</w:t>
      </w:r>
      <w:proofErr w:type="spellEnd"/>
      <w:r>
        <w:rPr>
          <w:rFonts w:ascii="Arial" w:eastAsia="Arial" w:hAnsi="Arial" w:cs="Arial"/>
          <w:i/>
        </w:rPr>
        <w:t xml:space="preserve"> Metrics</w:t>
      </w:r>
      <w:r>
        <w:rPr>
          <w:rFonts w:ascii="Arial" w:eastAsia="Arial" w:hAnsi="Arial" w:cs="Arial"/>
        </w:rPr>
        <w:t xml:space="preserve">. </w:t>
      </w:r>
      <w:hyperlink r:id="rId25">
        <w:r>
          <w:rPr>
            <w:rFonts w:ascii="Arial" w:eastAsia="Arial" w:hAnsi="Arial" w:cs="Arial"/>
            <w:color w:val="0000FF"/>
            <w:u w:val="single"/>
          </w:rPr>
          <w:t>http://dx.doi.org/10.2139/ssrn.5140485</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Jahic</w:t>
      </w:r>
      <w:proofErr w:type="spellEnd"/>
      <w:r>
        <w:rPr>
          <w:rFonts w:ascii="Arial" w:eastAsia="Arial" w:hAnsi="Arial" w:cs="Arial"/>
        </w:rPr>
        <w:t xml:space="preserve">, N. (2025, June 1). </w:t>
      </w:r>
      <w:r>
        <w:rPr>
          <w:rFonts w:ascii="Arial" w:eastAsia="Arial" w:hAnsi="Arial" w:cs="Arial"/>
          <w:i/>
        </w:rPr>
        <w:t>Poverty and Unemployment in The Philippines</w:t>
      </w:r>
      <w:r>
        <w:rPr>
          <w:rFonts w:ascii="Arial" w:eastAsia="Arial" w:hAnsi="Arial" w:cs="Arial"/>
        </w:rPr>
        <w:t xml:space="preserve">. The </w:t>
      </w:r>
      <w:proofErr w:type="spellStart"/>
      <w:r>
        <w:rPr>
          <w:rFonts w:ascii="Arial" w:eastAsia="Arial" w:hAnsi="Arial" w:cs="Arial"/>
        </w:rPr>
        <w:t>Borgen</w:t>
      </w:r>
      <w:proofErr w:type="spellEnd"/>
      <w:r>
        <w:rPr>
          <w:rFonts w:ascii="Arial" w:eastAsia="Arial" w:hAnsi="Arial" w:cs="Arial"/>
        </w:rPr>
        <w:t xml:space="preserve"> Project. Retrieved September 4, 2025, from </w:t>
      </w:r>
      <w:hyperlink r:id="rId26">
        <w:r>
          <w:rPr>
            <w:rFonts w:ascii="Arial" w:eastAsia="Arial" w:hAnsi="Arial" w:cs="Arial"/>
            <w:color w:val="0000FF"/>
            <w:u w:val="single"/>
          </w:rPr>
          <w:t>https://borgenproject.org/unemployment-in-the-philippines/</w:t>
        </w:r>
      </w:hyperlink>
    </w:p>
    <w:p w:rsidR="0094047A" w:rsidRDefault="00C13554">
      <w:pPr>
        <w:numPr>
          <w:ilvl w:val="0"/>
          <w:numId w:val="3"/>
        </w:numPr>
        <w:jc w:val="both"/>
        <w:rPr>
          <w:rFonts w:ascii="Arial" w:eastAsia="Arial" w:hAnsi="Arial" w:cs="Arial"/>
        </w:rPr>
      </w:pPr>
      <w:bookmarkStart w:id="13" w:name="bookmark=kix.hez4zd464eah" w:colFirst="0" w:colLast="0"/>
      <w:bookmarkEnd w:id="13"/>
      <w:r>
        <w:rPr>
          <w:rFonts w:ascii="Arial" w:eastAsia="Arial" w:hAnsi="Arial" w:cs="Arial"/>
        </w:rPr>
        <w:t>Macrotrends. (2024). Philippines inflation rate (1960-2024). In Macrotrends Consumer Price Index.</w:t>
      </w:r>
      <w:hyperlink r:id="rId27">
        <w:r>
          <w:rPr>
            <w:rFonts w:ascii="Arial" w:eastAsia="Arial" w:hAnsi="Arial" w:cs="Arial"/>
            <w:color w:val="0000FF"/>
            <w:u w:val="single"/>
          </w:rPr>
          <w:t xml:space="preserve"> https://www.macrotrends.net/global-metrics/countries/phl/philippines/inflation-rate-cpi</w:t>
        </w:r>
      </w:hyperlink>
      <w:r>
        <w:rPr>
          <w:rFonts w:ascii="Arial" w:eastAsia="Arial" w:hAnsi="Arial" w:cs="Arial"/>
        </w:rPr>
        <w:t> </w:t>
      </w:r>
    </w:p>
    <w:p w:rsidR="0094047A" w:rsidRDefault="00C13554">
      <w:pPr>
        <w:numPr>
          <w:ilvl w:val="0"/>
          <w:numId w:val="3"/>
        </w:numPr>
        <w:jc w:val="both"/>
        <w:rPr>
          <w:rFonts w:ascii="Arial" w:eastAsia="Arial" w:hAnsi="Arial" w:cs="Arial"/>
        </w:rPr>
      </w:pPr>
      <w:bookmarkStart w:id="14" w:name="bookmark=kix.dyc1tianfot1" w:colFirst="0" w:colLast="0"/>
      <w:bookmarkEnd w:id="14"/>
      <w:proofErr w:type="spellStart"/>
      <w:r>
        <w:rPr>
          <w:rFonts w:ascii="Arial" w:eastAsia="Arial" w:hAnsi="Arial" w:cs="Arial"/>
        </w:rPr>
        <w:t>Orbaningsih</w:t>
      </w:r>
      <w:proofErr w:type="spellEnd"/>
      <w:r>
        <w:rPr>
          <w:rFonts w:ascii="Arial" w:eastAsia="Arial" w:hAnsi="Arial" w:cs="Arial"/>
        </w:rPr>
        <w:t xml:space="preserve">, D., &amp; </w:t>
      </w:r>
      <w:proofErr w:type="spellStart"/>
      <w:r>
        <w:rPr>
          <w:rFonts w:ascii="Arial" w:eastAsia="Arial" w:hAnsi="Arial" w:cs="Arial"/>
        </w:rPr>
        <w:t>Sujianto</w:t>
      </w:r>
      <w:proofErr w:type="spellEnd"/>
      <w:r>
        <w:rPr>
          <w:rFonts w:ascii="Arial" w:eastAsia="Arial" w:hAnsi="Arial" w:cs="Arial"/>
        </w:rPr>
        <w:t xml:space="preserve">, A. E. (2022). The Impact of Tax Revenue on Economic Growth: Evidence from Indonesia. International Journal of Research and Innovation in Social Science, 06(05), 693–697. </w:t>
      </w:r>
      <w:hyperlink r:id="rId28">
        <w:r>
          <w:rPr>
            <w:rFonts w:ascii="Arial" w:eastAsia="Arial" w:hAnsi="Arial" w:cs="Arial"/>
            <w:color w:val="0000FF"/>
            <w:u w:val="single"/>
          </w:rPr>
          <w:t>https://doi.org/10.47772/ijriss.2022.6538</w:t>
        </w:r>
      </w:hyperlink>
    </w:p>
    <w:p w:rsidR="0094047A" w:rsidRDefault="00C13554">
      <w:pPr>
        <w:numPr>
          <w:ilvl w:val="0"/>
          <w:numId w:val="3"/>
        </w:numPr>
        <w:jc w:val="both"/>
        <w:rPr>
          <w:rFonts w:ascii="Arial" w:eastAsia="Arial" w:hAnsi="Arial" w:cs="Arial"/>
        </w:rPr>
      </w:pPr>
      <w:bookmarkStart w:id="15" w:name="bookmark=kix.hmao5ip3mwif" w:colFirst="0" w:colLast="0"/>
      <w:bookmarkEnd w:id="15"/>
      <w:proofErr w:type="spellStart"/>
      <w:r>
        <w:rPr>
          <w:rFonts w:ascii="Arial" w:eastAsia="Arial" w:hAnsi="Arial" w:cs="Arial"/>
        </w:rPr>
        <w:lastRenderedPageBreak/>
        <w:t>Maganya</w:t>
      </w:r>
      <w:proofErr w:type="spellEnd"/>
      <w:r>
        <w:rPr>
          <w:rFonts w:ascii="Arial" w:eastAsia="Arial" w:hAnsi="Arial" w:cs="Arial"/>
        </w:rPr>
        <w:t xml:space="preserve">, M. H. (2020). Tax revenue and economic growth in developing country: an autoregressive distribution lags approach. </w:t>
      </w:r>
      <w:r>
        <w:rPr>
          <w:rFonts w:ascii="Arial" w:eastAsia="Arial" w:hAnsi="Arial" w:cs="Arial"/>
          <w:i/>
        </w:rPr>
        <w:t>Central European Economic Journal</w:t>
      </w:r>
      <w:r>
        <w:rPr>
          <w:rFonts w:ascii="Arial" w:eastAsia="Arial" w:hAnsi="Arial" w:cs="Arial"/>
        </w:rPr>
        <w:t xml:space="preserve">, </w:t>
      </w:r>
      <w:r>
        <w:rPr>
          <w:rFonts w:ascii="Arial" w:eastAsia="Arial" w:hAnsi="Arial" w:cs="Arial"/>
          <w:i/>
        </w:rPr>
        <w:t>7</w:t>
      </w:r>
      <w:r>
        <w:rPr>
          <w:rFonts w:ascii="Arial" w:eastAsia="Arial" w:hAnsi="Arial" w:cs="Arial"/>
        </w:rPr>
        <w:t xml:space="preserve">(54), 205–217. </w:t>
      </w:r>
      <w:hyperlink r:id="rId29">
        <w:r>
          <w:rPr>
            <w:rFonts w:ascii="Arial" w:eastAsia="Arial" w:hAnsi="Arial" w:cs="Arial"/>
            <w:color w:val="0000FF"/>
            <w:u w:val="single"/>
          </w:rPr>
          <w:t>https://doi.org/10.2478/ceej-2020-0018</w:t>
        </w:r>
      </w:hyperlink>
    </w:p>
    <w:p w:rsidR="0094047A" w:rsidRDefault="00C13554">
      <w:pPr>
        <w:numPr>
          <w:ilvl w:val="0"/>
          <w:numId w:val="3"/>
        </w:numPr>
        <w:jc w:val="both"/>
        <w:rPr>
          <w:rFonts w:ascii="Arial" w:eastAsia="Arial" w:hAnsi="Arial" w:cs="Arial"/>
        </w:rPr>
      </w:pPr>
      <w:bookmarkStart w:id="16" w:name="bookmark=kix.5rq4stvngmuj" w:colFirst="0" w:colLast="0"/>
      <w:bookmarkEnd w:id="16"/>
      <w:r>
        <w:rPr>
          <w:rFonts w:ascii="Arial" w:eastAsia="Arial" w:hAnsi="Arial" w:cs="Arial"/>
        </w:rPr>
        <w:t xml:space="preserve">Ho, T. T., Tran, X. H., &amp; Nguyen, Q. K. (2023, May 14). Tax revenue-economic growth relationship and the role of trade openness in developing countries. </w:t>
      </w:r>
      <w:r>
        <w:rPr>
          <w:rFonts w:ascii="Arial" w:eastAsia="Arial" w:hAnsi="Arial" w:cs="Arial"/>
          <w:i/>
        </w:rPr>
        <w:t>Cogent Business &amp; Management</w:t>
      </w:r>
      <w:r>
        <w:rPr>
          <w:rFonts w:ascii="Arial" w:eastAsia="Arial" w:hAnsi="Arial" w:cs="Arial"/>
        </w:rPr>
        <w:t xml:space="preserve">, </w:t>
      </w:r>
      <w:r>
        <w:rPr>
          <w:rFonts w:ascii="Arial" w:eastAsia="Arial" w:hAnsi="Arial" w:cs="Arial"/>
          <w:i/>
        </w:rPr>
        <w:t>10</w:t>
      </w:r>
      <w:r>
        <w:rPr>
          <w:rFonts w:ascii="Arial" w:eastAsia="Arial" w:hAnsi="Arial" w:cs="Arial"/>
        </w:rPr>
        <w:t xml:space="preserve">(2). </w:t>
      </w:r>
      <w:hyperlink r:id="rId30">
        <w:r>
          <w:rPr>
            <w:rFonts w:ascii="Arial" w:eastAsia="Arial" w:hAnsi="Arial" w:cs="Arial"/>
            <w:color w:val="0000FF"/>
            <w:u w:val="single"/>
          </w:rPr>
          <w:t>https://doi.org/10.1080/23311975.2023.2213959</w:t>
        </w:r>
      </w:hyperlink>
    </w:p>
    <w:p w:rsidR="0094047A" w:rsidRDefault="00C13554">
      <w:pPr>
        <w:numPr>
          <w:ilvl w:val="0"/>
          <w:numId w:val="3"/>
        </w:numPr>
        <w:jc w:val="both"/>
        <w:rPr>
          <w:rFonts w:ascii="Arial" w:eastAsia="Arial" w:hAnsi="Arial" w:cs="Arial"/>
        </w:rPr>
      </w:pPr>
      <w:bookmarkStart w:id="17" w:name="bookmark=kix.da77m56eo4rr" w:colFirst="0" w:colLast="0"/>
      <w:bookmarkEnd w:id="17"/>
      <w:proofErr w:type="spellStart"/>
      <w:r>
        <w:rPr>
          <w:rFonts w:ascii="Arial" w:eastAsia="Arial" w:hAnsi="Arial" w:cs="Arial"/>
        </w:rPr>
        <w:t>Ewa</w:t>
      </w:r>
      <w:proofErr w:type="spellEnd"/>
      <w:r>
        <w:rPr>
          <w:rFonts w:ascii="Arial" w:eastAsia="Arial" w:hAnsi="Arial" w:cs="Arial"/>
        </w:rPr>
        <w:t xml:space="preserve">, U. E., Adesola, W. A., &amp; Essien, E. N. (2020). Impact of tax revenue on economic development in Nigeria. </w:t>
      </w:r>
      <w:r>
        <w:rPr>
          <w:rFonts w:ascii="Arial" w:eastAsia="Arial" w:hAnsi="Arial" w:cs="Arial"/>
          <w:i/>
        </w:rPr>
        <w:t>International Business Research</w:t>
      </w:r>
      <w:r>
        <w:rPr>
          <w:rFonts w:ascii="Arial" w:eastAsia="Arial" w:hAnsi="Arial" w:cs="Arial"/>
        </w:rPr>
        <w:t xml:space="preserve">, </w:t>
      </w:r>
      <w:r>
        <w:rPr>
          <w:rFonts w:ascii="Arial" w:eastAsia="Arial" w:hAnsi="Arial" w:cs="Arial"/>
          <w:i/>
        </w:rPr>
        <w:t>13</w:t>
      </w:r>
      <w:r>
        <w:rPr>
          <w:rFonts w:ascii="Arial" w:eastAsia="Arial" w:hAnsi="Arial" w:cs="Arial"/>
        </w:rPr>
        <w:t xml:space="preserve">(6), 1. </w:t>
      </w:r>
      <w:hyperlink r:id="rId31">
        <w:r>
          <w:rPr>
            <w:rFonts w:ascii="Arial" w:eastAsia="Arial" w:hAnsi="Arial" w:cs="Arial"/>
            <w:color w:val="0000FF"/>
            <w:u w:val="single"/>
          </w:rPr>
          <w:t>https://doi.org/10.5539/ibr.v13n6p1</w:t>
        </w:r>
      </w:hyperlink>
    </w:p>
    <w:p w:rsidR="0094047A" w:rsidRDefault="00C13554">
      <w:pPr>
        <w:numPr>
          <w:ilvl w:val="0"/>
          <w:numId w:val="3"/>
        </w:numPr>
        <w:jc w:val="both"/>
        <w:rPr>
          <w:rFonts w:ascii="Arial" w:eastAsia="Arial" w:hAnsi="Arial" w:cs="Arial"/>
        </w:rPr>
      </w:pPr>
      <w:bookmarkStart w:id="18" w:name="bookmark=kix.u98pp36iuzj3" w:colFirst="0" w:colLast="0"/>
      <w:bookmarkEnd w:id="18"/>
      <w:proofErr w:type="spellStart"/>
      <w:r>
        <w:rPr>
          <w:rFonts w:ascii="Arial" w:eastAsia="Arial" w:hAnsi="Arial" w:cs="Arial"/>
        </w:rPr>
        <w:t>Cornevin</w:t>
      </w:r>
      <w:proofErr w:type="spellEnd"/>
      <w:r>
        <w:rPr>
          <w:rFonts w:ascii="Arial" w:eastAsia="Arial" w:hAnsi="Arial" w:cs="Arial"/>
        </w:rPr>
        <w:t xml:space="preserve">, A., Corrales, J. S., &amp; Mojica, J. P. A. (2024). Do tax revenues track economic growth? Comparing panel data estimators. </w:t>
      </w:r>
      <w:r>
        <w:rPr>
          <w:rFonts w:ascii="Arial" w:eastAsia="Arial" w:hAnsi="Arial" w:cs="Arial"/>
          <w:i/>
        </w:rPr>
        <w:t>Economic Modelling</w:t>
      </w:r>
      <w:r>
        <w:rPr>
          <w:rFonts w:ascii="Arial" w:eastAsia="Arial" w:hAnsi="Arial" w:cs="Arial"/>
        </w:rPr>
        <w:t xml:space="preserve">, </w:t>
      </w:r>
      <w:r>
        <w:rPr>
          <w:rFonts w:ascii="Arial" w:eastAsia="Arial" w:hAnsi="Arial" w:cs="Arial"/>
          <w:i/>
        </w:rPr>
        <w:t>140</w:t>
      </w:r>
      <w:r>
        <w:rPr>
          <w:rFonts w:ascii="Arial" w:eastAsia="Arial" w:hAnsi="Arial" w:cs="Arial"/>
        </w:rPr>
        <w:t xml:space="preserve">, 106867. </w:t>
      </w:r>
      <w:hyperlink r:id="rId32">
        <w:r>
          <w:rPr>
            <w:rFonts w:ascii="Arial" w:eastAsia="Arial" w:hAnsi="Arial" w:cs="Arial"/>
            <w:color w:val="0000FF"/>
            <w:u w:val="single"/>
          </w:rPr>
          <w:t>https://doi.org/10.1016/j.econmod.2024.106867</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Bhartia</w:t>
      </w:r>
      <w:proofErr w:type="spellEnd"/>
      <w:r>
        <w:rPr>
          <w:rFonts w:ascii="Arial" w:eastAsia="Arial" w:hAnsi="Arial" w:cs="Arial"/>
        </w:rPr>
        <w:t>, H.L. (2009) Public Finance. 14th Edition, Vikas Publishing House PVT Ltd., New Delhi.</w:t>
      </w:r>
    </w:p>
    <w:p w:rsidR="0094047A" w:rsidRDefault="00C13554">
      <w:pPr>
        <w:numPr>
          <w:ilvl w:val="0"/>
          <w:numId w:val="3"/>
        </w:numPr>
        <w:jc w:val="both"/>
        <w:rPr>
          <w:rFonts w:ascii="Arial" w:eastAsia="Arial" w:hAnsi="Arial" w:cs="Arial"/>
        </w:rPr>
      </w:pPr>
      <w:proofErr w:type="spellStart"/>
      <w:r>
        <w:rPr>
          <w:rFonts w:ascii="Arial" w:eastAsia="Arial" w:hAnsi="Arial" w:cs="Arial"/>
        </w:rPr>
        <w:t>Malicdem</w:t>
      </w:r>
      <w:proofErr w:type="spellEnd"/>
      <w:r>
        <w:rPr>
          <w:rFonts w:ascii="Arial" w:eastAsia="Arial" w:hAnsi="Arial" w:cs="Arial"/>
        </w:rPr>
        <w:t xml:space="preserve">, K. A., </w:t>
      </w:r>
      <w:proofErr w:type="spellStart"/>
      <w:r>
        <w:rPr>
          <w:rFonts w:ascii="Arial" w:eastAsia="Arial" w:hAnsi="Arial" w:cs="Arial"/>
        </w:rPr>
        <w:t>Vigonte</w:t>
      </w:r>
      <w:proofErr w:type="spellEnd"/>
      <w:r>
        <w:rPr>
          <w:rFonts w:ascii="Arial" w:eastAsia="Arial" w:hAnsi="Arial" w:cs="Arial"/>
        </w:rPr>
        <w:t xml:space="preserve">, F., &amp; </w:t>
      </w:r>
      <w:proofErr w:type="spellStart"/>
      <w:r>
        <w:rPr>
          <w:rFonts w:ascii="Arial" w:eastAsia="Arial" w:hAnsi="Arial" w:cs="Arial"/>
        </w:rPr>
        <w:t>Abante</w:t>
      </w:r>
      <w:proofErr w:type="spellEnd"/>
      <w:r>
        <w:rPr>
          <w:rFonts w:ascii="Arial" w:eastAsia="Arial" w:hAnsi="Arial" w:cs="Arial"/>
        </w:rPr>
        <w:t xml:space="preserve">, M. V. (2023). Assessing the awareness of people in Philippine taxes as part of the role of the government in the economy. SSRN Electronic Journal. </w:t>
      </w:r>
      <w:hyperlink r:id="rId33">
        <w:r>
          <w:rPr>
            <w:rFonts w:ascii="Arial" w:eastAsia="Arial" w:hAnsi="Arial" w:cs="Arial"/>
            <w:color w:val="0000FF"/>
            <w:u w:val="single"/>
          </w:rPr>
          <w:t>https://doi.org/10.2139/ssrn.4433959</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Voyiakis</w:t>
      </w:r>
      <w:proofErr w:type="spellEnd"/>
      <w:r>
        <w:rPr>
          <w:rFonts w:ascii="Arial" w:eastAsia="Arial" w:hAnsi="Arial" w:cs="Arial"/>
        </w:rPr>
        <w:t xml:space="preserve">, E. (2025). The moral force of the benefit principle. Economics and Philosophy, 1–21. </w:t>
      </w:r>
      <w:hyperlink r:id="rId34">
        <w:r>
          <w:rPr>
            <w:rFonts w:ascii="Arial" w:eastAsia="Arial" w:hAnsi="Arial" w:cs="Arial"/>
            <w:i/>
            <w:color w:val="0000FF"/>
            <w:u w:val="single"/>
          </w:rPr>
          <w:t>https://doi.org/10.1017/s0266267125000100</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Gatdula</w:t>
      </w:r>
      <w:proofErr w:type="spellEnd"/>
      <w:r>
        <w:rPr>
          <w:rFonts w:ascii="Arial" w:eastAsia="Arial" w:hAnsi="Arial" w:cs="Arial"/>
        </w:rPr>
        <w:t xml:space="preserve">, T. A. (2022, March 1). </w:t>
      </w:r>
      <w:r>
        <w:rPr>
          <w:rFonts w:ascii="Arial" w:eastAsia="Arial" w:hAnsi="Arial" w:cs="Arial"/>
          <w:i/>
        </w:rPr>
        <w:t>New year, new tax incentives: The CREATE Act explained</w:t>
      </w:r>
      <w:r>
        <w:rPr>
          <w:rFonts w:ascii="Arial" w:eastAsia="Arial" w:hAnsi="Arial" w:cs="Arial"/>
        </w:rPr>
        <w:t xml:space="preserve">. The Manila Times. </w:t>
      </w:r>
      <w:hyperlink r:id="rId35">
        <w:r>
          <w:rPr>
            <w:rFonts w:ascii="Arial" w:eastAsia="Arial" w:hAnsi="Arial" w:cs="Arial"/>
            <w:color w:val="1155CC"/>
            <w:u w:val="single"/>
          </w:rPr>
          <w:t>https://www.grantthornton.com.ph/insights/articles-and-updates1/lets-talk-tax/new-year-new-corporate-income-tax-rate-for-rohqs/</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Acclime</w:t>
      </w:r>
      <w:proofErr w:type="spellEnd"/>
      <w:r>
        <w:rPr>
          <w:rFonts w:ascii="Arial" w:eastAsia="Arial" w:hAnsi="Arial" w:cs="Arial"/>
        </w:rPr>
        <w:t xml:space="preserve">. (2025b, June 2). </w:t>
      </w:r>
      <w:r>
        <w:rPr>
          <w:rFonts w:ascii="Arial" w:eastAsia="Arial" w:hAnsi="Arial" w:cs="Arial"/>
          <w:i/>
        </w:rPr>
        <w:t>Corporate income tax in the Philippines</w:t>
      </w:r>
      <w:r>
        <w:rPr>
          <w:rFonts w:ascii="Arial" w:eastAsia="Arial" w:hAnsi="Arial" w:cs="Arial"/>
        </w:rPr>
        <w:t xml:space="preserve">. </w:t>
      </w:r>
      <w:proofErr w:type="spellStart"/>
      <w:r>
        <w:rPr>
          <w:rFonts w:ascii="Arial" w:eastAsia="Arial" w:hAnsi="Arial" w:cs="Arial"/>
        </w:rPr>
        <w:t>Acclime</w:t>
      </w:r>
      <w:proofErr w:type="spellEnd"/>
      <w:r>
        <w:rPr>
          <w:rFonts w:ascii="Arial" w:eastAsia="Arial" w:hAnsi="Arial" w:cs="Arial"/>
        </w:rPr>
        <w:t xml:space="preserve">. </w:t>
      </w:r>
      <w:hyperlink r:id="rId36">
        <w:r>
          <w:rPr>
            <w:rFonts w:ascii="Arial" w:eastAsia="Arial" w:hAnsi="Arial" w:cs="Arial"/>
            <w:color w:val="1155CC"/>
            <w:u w:val="single"/>
          </w:rPr>
          <w:t>https://philippines.acclime.com/guides/corporate-income-tax/</w:t>
        </w:r>
      </w:hyperlink>
    </w:p>
    <w:p w:rsidR="0094047A" w:rsidRDefault="00C13554">
      <w:pPr>
        <w:numPr>
          <w:ilvl w:val="0"/>
          <w:numId w:val="3"/>
        </w:numPr>
        <w:rPr>
          <w:rFonts w:ascii="Arial" w:eastAsia="Arial" w:hAnsi="Arial" w:cs="Arial"/>
          <w:highlight w:val="yellow"/>
        </w:rPr>
      </w:pPr>
      <w:r>
        <w:rPr>
          <w:rFonts w:ascii="Arial" w:eastAsia="Arial" w:hAnsi="Arial" w:cs="Arial"/>
          <w:highlight w:val="yellow"/>
        </w:rPr>
        <w:t xml:space="preserve">Cruz, A. R. D. (2025, February 13). </w:t>
      </w:r>
      <w:r>
        <w:rPr>
          <w:rFonts w:ascii="Arial" w:eastAsia="Arial" w:hAnsi="Arial" w:cs="Arial"/>
          <w:i/>
          <w:highlight w:val="yellow"/>
        </w:rPr>
        <w:t>CREATE MORE: a better version of the CREATE Law</w:t>
      </w:r>
      <w:r>
        <w:rPr>
          <w:rFonts w:ascii="Arial" w:eastAsia="Arial" w:hAnsi="Arial" w:cs="Arial"/>
          <w:highlight w:val="yellow"/>
        </w:rPr>
        <w:t xml:space="preserve">. PwC. </w:t>
      </w:r>
      <w:hyperlink r:id="rId37">
        <w:r>
          <w:rPr>
            <w:rFonts w:ascii="Arial" w:eastAsia="Arial" w:hAnsi="Arial" w:cs="Arial"/>
            <w:color w:val="1155CC"/>
            <w:highlight w:val="yellow"/>
            <w:u w:val="single"/>
          </w:rPr>
          <w:t>https://www.pwc.com/ph/en/tax/tax-publications/taxwise-or-otherwise/2025/create-more-a-better-version-of-the-create-law.html</w:t>
        </w:r>
      </w:hyperlink>
    </w:p>
    <w:p w:rsidR="0094047A" w:rsidRDefault="00C13554">
      <w:pPr>
        <w:numPr>
          <w:ilvl w:val="0"/>
          <w:numId w:val="3"/>
        </w:numPr>
        <w:jc w:val="both"/>
        <w:rPr>
          <w:rFonts w:ascii="Arial" w:eastAsia="Arial" w:hAnsi="Arial" w:cs="Arial"/>
          <w:highlight w:val="yellow"/>
        </w:rPr>
      </w:pPr>
      <w:r>
        <w:rPr>
          <w:rFonts w:ascii="Arial" w:eastAsia="Arial" w:hAnsi="Arial" w:cs="Arial"/>
          <w:highlight w:val="yellow"/>
        </w:rPr>
        <w:t xml:space="preserve">National Tax Research Center. 2017. </w:t>
      </w:r>
      <w:r>
        <w:rPr>
          <w:rFonts w:ascii="Arial" w:eastAsia="Arial" w:hAnsi="Arial" w:cs="Arial"/>
          <w:i/>
          <w:highlight w:val="yellow"/>
        </w:rPr>
        <w:t>Proposed Reforms on the Value-Added Tax</w:t>
      </w:r>
      <w:r>
        <w:rPr>
          <w:rFonts w:ascii="Arial" w:eastAsia="Arial" w:hAnsi="Arial" w:cs="Arial"/>
          <w:highlight w:val="yellow"/>
        </w:rPr>
        <w:t xml:space="preserve">. </w:t>
      </w:r>
      <w:hyperlink r:id="rId38">
        <w:r>
          <w:rPr>
            <w:rFonts w:ascii="Arial" w:eastAsia="Arial" w:hAnsi="Arial" w:cs="Arial"/>
            <w:color w:val="1155CC"/>
            <w:highlight w:val="yellow"/>
            <w:u w:val="single"/>
          </w:rPr>
          <w:t>https://serp-p.pids.gov.ph/publication/public/view?slug=proposed-reforms-on-the-value-added-tax</w:t>
        </w:r>
      </w:hyperlink>
    </w:p>
    <w:p w:rsidR="0094047A" w:rsidRDefault="00C13554">
      <w:pPr>
        <w:numPr>
          <w:ilvl w:val="0"/>
          <w:numId w:val="3"/>
        </w:numPr>
        <w:jc w:val="both"/>
        <w:rPr>
          <w:rFonts w:ascii="Arial" w:eastAsia="Arial" w:hAnsi="Arial" w:cs="Arial"/>
        </w:rPr>
      </w:pPr>
      <w:r>
        <w:rPr>
          <w:rFonts w:ascii="Arial" w:eastAsia="Arial" w:hAnsi="Arial" w:cs="Arial"/>
        </w:rPr>
        <w:t xml:space="preserve">National Tax Research Center. (2018). </w:t>
      </w:r>
      <w:r>
        <w:rPr>
          <w:rFonts w:ascii="Arial" w:eastAsia="Arial" w:hAnsi="Arial" w:cs="Arial"/>
          <w:i/>
        </w:rPr>
        <w:t>Republic Act No. 10963: Tax Reform for Acceleration and Inclusion (TRAIN) law primer</w:t>
      </w:r>
      <w:r>
        <w:rPr>
          <w:rFonts w:ascii="Arial" w:eastAsia="Arial" w:hAnsi="Arial" w:cs="Arial"/>
        </w:rPr>
        <w:t>. Quezon City: National Tax Research Center.</w:t>
      </w:r>
      <w:hyperlink r:id="rId39">
        <w:r>
          <w:rPr>
            <w:rFonts w:ascii="Arial" w:eastAsia="Arial" w:hAnsi="Arial" w:cs="Arial"/>
            <w:color w:val="1155CC"/>
            <w:u w:val="single"/>
          </w:rPr>
          <w:t>https://ntrc.gov.ph/images/train/Tax-Changes-You-Need-to-Know-under-RA-10963.pdf</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Acclime</w:t>
      </w:r>
      <w:proofErr w:type="spellEnd"/>
      <w:r>
        <w:rPr>
          <w:rFonts w:ascii="Arial" w:eastAsia="Arial" w:hAnsi="Arial" w:cs="Arial"/>
        </w:rPr>
        <w:t xml:space="preserve">. (2025a, May 23). </w:t>
      </w:r>
      <w:r>
        <w:rPr>
          <w:rFonts w:ascii="Arial" w:eastAsia="Arial" w:hAnsi="Arial" w:cs="Arial"/>
          <w:i/>
        </w:rPr>
        <w:t>VAT in the Philippines</w:t>
      </w:r>
      <w:r>
        <w:rPr>
          <w:rFonts w:ascii="Arial" w:eastAsia="Arial" w:hAnsi="Arial" w:cs="Arial"/>
        </w:rPr>
        <w:t xml:space="preserve">. </w:t>
      </w:r>
      <w:proofErr w:type="spellStart"/>
      <w:r>
        <w:rPr>
          <w:rFonts w:ascii="Arial" w:eastAsia="Arial" w:hAnsi="Arial" w:cs="Arial"/>
        </w:rPr>
        <w:t>Acclime</w:t>
      </w:r>
      <w:proofErr w:type="spellEnd"/>
      <w:r>
        <w:rPr>
          <w:rFonts w:ascii="Arial" w:eastAsia="Arial" w:hAnsi="Arial" w:cs="Arial"/>
        </w:rPr>
        <w:t xml:space="preserve">. </w:t>
      </w:r>
      <w:hyperlink r:id="rId40">
        <w:r>
          <w:rPr>
            <w:rFonts w:ascii="Arial" w:eastAsia="Arial" w:hAnsi="Arial" w:cs="Arial"/>
            <w:color w:val="1155CC"/>
            <w:u w:val="single"/>
          </w:rPr>
          <w:t>https://philippines.acclime.com/guides/vat/</w:t>
        </w:r>
      </w:hyperlink>
    </w:p>
    <w:p w:rsidR="0094047A" w:rsidRDefault="00C13554">
      <w:pPr>
        <w:numPr>
          <w:ilvl w:val="0"/>
          <w:numId w:val="3"/>
        </w:numPr>
        <w:jc w:val="both"/>
        <w:rPr>
          <w:rFonts w:ascii="Arial" w:eastAsia="Arial" w:hAnsi="Arial" w:cs="Arial"/>
        </w:rPr>
      </w:pPr>
      <w:r>
        <w:rPr>
          <w:rFonts w:ascii="Arial" w:eastAsia="Arial" w:hAnsi="Arial" w:cs="Arial"/>
        </w:rPr>
        <w:t xml:space="preserve">Belau, B. K., </w:t>
      </w:r>
      <w:proofErr w:type="spellStart"/>
      <w:r>
        <w:rPr>
          <w:rFonts w:ascii="Arial" w:eastAsia="Arial" w:hAnsi="Arial" w:cs="Arial"/>
        </w:rPr>
        <w:t>Sunmonu</w:t>
      </w:r>
      <w:proofErr w:type="spellEnd"/>
      <w:r>
        <w:rPr>
          <w:rFonts w:ascii="Arial" w:eastAsia="Arial" w:hAnsi="Arial" w:cs="Arial"/>
        </w:rPr>
        <w:t xml:space="preserve">, S. O., &amp; </w:t>
      </w:r>
      <w:proofErr w:type="spellStart"/>
      <w:r>
        <w:rPr>
          <w:rFonts w:ascii="Arial" w:eastAsia="Arial" w:hAnsi="Arial" w:cs="Arial"/>
        </w:rPr>
        <w:t>Odeyale</w:t>
      </w:r>
      <w:proofErr w:type="spellEnd"/>
      <w:r>
        <w:rPr>
          <w:rFonts w:ascii="Arial" w:eastAsia="Arial" w:hAnsi="Arial" w:cs="Arial"/>
        </w:rPr>
        <w:t xml:space="preserve">, A. J. (2025). The impact of taxation on economic growth and development. Asian Journal of Economics Business and Accounting, 25(3), 389–399. </w:t>
      </w:r>
      <w:hyperlink r:id="rId41">
        <w:r>
          <w:rPr>
            <w:rFonts w:ascii="Arial" w:eastAsia="Arial" w:hAnsi="Arial" w:cs="Arial"/>
            <w:color w:val="1155CC"/>
            <w:u w:val="single"/>
          </w:rPr>
          <w:t>https://doi.org/10.9734/ajeba/2025/v25i31718</w:t>
        </w:r>
      </w:hyperlink>
    </w:p>
    <w:p w:rsidR="0094047A" w:rsidRDefault="00C13554">
      <w:pPr>
        <w:numPr>
          <w:ilvl w:val="0"/>
          <w:numId w:val="3"/>
        </w:numPr>
        <w:jc w:val="both"/>
        <w:rPr>
          <w:rFonts w:ascii="Arial" w:eastAsia="Arial" w:hAnsi="Arial" w:cs="Arial"/>
        </w:rPr>
      </w:pPr>
      <w:r>
        <w:rPr>
          <w:rFonts w:ascii="Arial" w:eastAsia="Arial" w:hAnsi="Arial" w:cs="Arial"/>
        </w:rPr>
        <w:t xml:space="preserve">Kaiser, K. C. R. M. (2016, July 13). </w:t>
      </w:r>
      <w:r>
        <w:rPr>
          <w:rFonts w:ascii="Arial" w:eastAsia="Arial" w:hAnsi="Arial" w:cs="Arial"/>
          <w:i/>
        </w:rPr>
        <w:t>Sin Tax Reform Law: Lessons and insights</w:t>
      </w:r>
      <w:r>
        <w:rPr>
          <w:rFonts w:ascii="Arial" w:eastAsia="Arial" w:hAnsi="Arial" w:cs="Arial"/>
        </w:rPr>
        <w:t xml:space="preserve">. Philippine Institute for Development Studies. </w:t>
      </w:r>
      <w:hyperlink r:id="rId42">
        <w:r>
          <w:rPr>
            <w:rFonts w:ascii="Arial" w:eastAsia="Arial" w:hAnsi="Arial" w:cs="Arial"/>
            <w:color w:val="1155CC"/>
            <w:u w:val="single"/>
          </w:rPr>
          <w:t>http://documents.worldbank.org/curated/en/638391468480878595</w:t>
        </w:r>
      </w:hyperlink>
    </w:p>
    <w:p w:rsidR="0094047A" w:rsidRDefault="00C13554">
      <w:pPr>
        <w:numPr>
          <w:ilvl w:val="0"/>
          <w:numId w:val="3"/>
        </w:numPr>
        <w:jc w:val="both"/>
        <w:rPr>
          <w:rFonts w:ascii="Arial" w:eastAsia="Arial" w:hAnsi="Arial" w:cs="Arial"/>
        </w:rPr>
      </w:pPr>
      <w:r>
        <w:rPr>
          <w:rFonts w:ascii="Arial" w:eastAsia="Arial" w:hAnsi="Arial" w:cs="Arial"/>
        </w:rPr>
        <w:t xml:space="preserve">Bureau of Internal Revenue. (n.d.). </w:t>
      </w:r>
      <w:r>
        <w:rPr>
          <w:rFonts w:ascii="Arial" w:eastAsia="Arial" w:hAnsi="Arial" w:cs="Arial"/>
          <w:i/>
        </w:rPr>
        <w:t>Excise Tax</w:t>
      </w:r>
      <w:r>
        <w:rPr>
          <w:rFonts w:ascii="Arial" w:eastAsia="Arial" w:hAnsi="Arial" w:cs="Arial"/>
        </w:rPr>
        <w:t xml:space="preserve">. Retrieved September 10, 2025, from </w:t>
      </w:r>
      <w:hyperlink r:id="rId43">
        <w:r>
          <w:rPr>
            <w:rFonts w:ascii="Arial" w:eastAsia="Arial" w:hAnsi="Arial" w:cs="Arial"/>
            <w:color w:val="1155CC"/>
            <w:u w:val="single"/>
          </w:rPr>
          <w:t>https://www.bir.gov.ph/excise-tax</w:t>
        </w:r>
      </w:hyperlink>
    </w:p>
    <w:p w:rsidR="0094047A" w:rsidRDefault="00C13554">
      <w:pPr>
        <w:numPr>
          <w:ilvl w:val="0"/>
          <w:numId w:val="3"/>
        </w:numPr>
        <w:rPr>
          <w:rFonts w:ascii="Arial" w:eastAsia="Arial" w:hAnsi="Arial" w:cs="Arial"/>
          <w:highlight w:val="yellow"/>
        </w:rPr>
      </w:pPr>
      <w:proofErr w:type="spellStart"/>
      <w:r>
        <w:rPr>
          <w:rFonts w:ascii="Arial" w:eastAsia="Arial" w:hAnsi="Arial" w:cs="Arial"/>
          <w:highlight w:val="yellow"/>
        </w:rPr>
        <w:t>Seacor</w:t>
      </w:r>
      <w:proofErr w:type="spellEnd"/>
      <w:r>
        <w:rPr>
          <w:rFonts w:ascii="Arial" w:eastAsia="Arial" w:hAnsi="Arial" w:cs="Arial"/>
          <w:highlight w:val="yellow"/>
        </w:rPr>
        <w:t xml:space="preserve">, K. (2021). Tax assessment of the imposition of excise tax on invasive cosmetic procedures pursuant to Section 46 of Republic Act No. 10963. NTRC Tax Research Journal, 33(2), 17–27. </w:t>
      </w:r>
      <w:hyperlink r:id="rId44">
        <w:r>
          <w:rPr>
            <w:rFonts w:ascii="Arial" w:eastAsia="Arial" w:hAnsi="Arial" w:cs="Arial"/>
            <w:color w:val="1155CC"/>
            <w:highlight w:val="yellow"/>
            <w:u w:val="single"/>
          </w:rPr>
          <w:t>https://serp-p.pids.gov.ph/publication/public/view?slug=4-tax-assessment-of-the-imposition-of-excise-tax-on-invasive-cosmetic-procedures-pursuant-to-sectio</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Mose</w:t>
      </w:r>
      <w:proofErr w:type="spellEnd"/>
      <w:r>
        <w:rPr>
          <w:rFonts w:ascii="Arial" w:eastAsia="Arial" w:hAnsi="Arial" w:cs="Arial"/>
        </w:rPr>
        <w:t xml:space="preserve">, N., </w:t>
      </w:r>
      <w:proofErr w:type="spellStart"/>
      <w:r>
        <w:rPr>
          <w:rFonts w:ascii="Arial" w:eastAsia="Arial" w:hAnsi="Arial" w:cs="Arial"/>
        </w:rPr>
        <w:t>Fumey</w:t>
      </w:r>
      <w:proofErr w:type="spellEnd"/>
      <w:r>
        <w:rPr>
          <w:rFonts w:ascii="Arial" w:eastAsia="Arial" w:hAnsi="Arial" w:cs="Arial"/>
        </w:rPr>
        <w:t xml:space="preserve">, M. P., </w:t>
      </w:r>
      <w:proofErr w:type="spellStart"/>
      <w:r>
        <w:rPr>
          <w:rFonts w:ascii="Arial" w:eastAsia="Arial" w:hAnsi="Arial" w:cs="Arial"/>
        </w:rPr>
        <w:t>Karikari</w:t>
      </w:r>
      <w:proofErr w:type="spellEnd"/>
      <w:r>
        <w:rPr>
          <w:rFonts w:ascii="Arial" w:eastAsia="Arial" w:hAnsi="Arial" w:cs="Arial"/>
        </w:rPr>
        <w:t xml:space="preserve">, F. A., &amp; </w:t>
      </w:r>
      <w:proofErr w:type="spellStart"/>
      <w:r>
        <w:rPr>
          <w:rFonts w:ascii="Arial" w:eastAsia="Arial" w:hAnsi="Arial" w:cs="Arial"/>
        </w:rPr>
        <w:t>Tanchev</w:t>
      </w:r>
      <w:proofErr w:type="spellEnd"/>
      <w:r>
        <w:rPr>
          <w:rFonts w:ascii="Arial" w:eastAsia="Arial" w:hAnsi="Arial" w:cs="Arial"/>
        </w:rPr>
        <w:t xml:space="preserve">, S. (2025). Effect of excise taxes on economic growth in Southeast Europe. Asian Journal of Public Administration and Law, 7, No. 1, 45-57. </w:t>
      </w:r>
      <w:hyperlink r:id="rId45">
        <w:r>
          <w:rPr>
            <w:rFonts w:ascii="Arial" w:eastAsia="Arial" w:hAnsi="Arial" w:cs="Arial"/>
            <w:color w:val="1155CC"/>
            <w:u w:val="single"/>
          </w:rPr>
          <w:t>https://doi.org/10.55493/5053.v7i1.5473</w:t>
        </w:r>
      </w:hyperlink>
    </w:p>
    <w:p w:rsidR="0094047A" w:rsidRDefault="00C13554">
      <w:pPr>
        <w:numPr>
          <w:ilvl w:val="0"/>
          <w:numId w:val="3"/>
        </w:numPr>
        <w:rPr>
          <w:rFonts w:ascii="Arial" w:eastAsia="Arial" w:hAnsi="Arial" w:cs="Arial"/>
        </w:rPr>
      </w:pPr>
      <w:proofErr w:type="spellStart"/>
      <w:r>
        <w:rPr>
          <w:rFonts w:ascii="Arial" w:eastAsia="Arial" w:hAnsi="Arial" w:cs="Arial"/>
        </w:rPr>
        <w:lastRenderedPageBreak/>
        <w:t>Stoilova</w:t>
      </w:r>
      <w:proofErr w:type="spellEnd"/>
      <w:r>
        <w:rPr>
          <w:rFonts w:ascii="Arial" w:eastAsia="Arial" w:hAnsi="Arial" w:cs="Arial"/>
        </w:rPr>
        <w:t xml:space="preserve">, D., &amp; </w:t>
      </w:r>
      <w:proofErr w:type="spellStart"/>
      <w:r>
        <w:rPr>
          <w:rFonts w:ascii="Arial" w:eastAsia="Arial" w:hAnsi="Arial" w:cs="Arial"/>
        </w:rPr>
        <w:t>Patonov</w:t>
      </w:r>
      <w:proofErr w:type="spellEnd"/>
      <w:r>
        <w:rPr>
          <w:rFonts w:ascii="Arial" w:eastAsia="Arial" w:hAnsi="Arial" w:cs="Arial"/>
        </w:rPr>
        <w:t xml:space="preserve">, N. (2013). An empirical evidence for the impact of taxation on economy growth in the European Union. </w:t>
      </w:r>
      <w:proofErr w:type="spellStart"/>
      <w:r>
        <w:rPr>
          <w:rFonts w:ascii="Arial" w:eastAsia="Arial" w:hAnsi="Arial" w:cs="Arial"/>
        </w:rPr>
        <w:t>Dialnet</w:t>
      </w:r>
      <w:proofErr w:type="spellEnd"/>
      <w:r>
        <w:rPr>
          <w:rFonts w:ascii="Arial" w:eastAsia="Arial" w:hAnsi="Arial" w:cs="Arial"/>
        </w:rPr>
        <w:t xml:space="preserve">. </w:t>
      </w:r>
      <w:hyperlink r:id="rId46">
        <w:r>
          <w:rPr>
            <w:rFonts w:ascii="Arial" w:eastAsia="Arial" w:hAnsi="Arial" w:cs="Arial"/>
            <w:color w:val="1155CC"/>
            <w:u w:val="single"/>
          </w:rPr>
          <w:t>https://dialnet.unirioja.es/servlet/articulo?codigo=4788887</w:t>
        </w:r>
      </w:hyperlink>
    </w:p>
    <w:p w:rsidR="0094047A" w:rsidRDefault="00C13554">
      <w:pPr>
        <w:numPr>
          <w:ilvl w:val="0"/>
          <w:numId w:val="3"/>
        </w:numPr>
        <w:rPr>
          <w:rFonts w:ascii="Arial" w:eastAsia="Arial" w:hAnsi="Arial" w:cs="Arial"/>
        </w:rPr>
      </w:pPr>
      <w:proofErr w:type="spellStart"/>
      <w:r>
        <w:rPr>
          <w:rFonts w:ascii="Arial" w:eastAsia="Arial" w:hAnsi="Arial" w:cs="Arial"/>
        </w:rPr>
        <w:t>Adejare</w:t>
      </w:r>
      <w:proofErr w:type="spellEnd"/>
      <w:r>
        <w:rPr>
          <w:rFonts w:ascii="Arial" w:eastAsia="Arial" w:hAnsi="Arial" w:cs="Arial"/>
        </w:rPr>
        <w:t xml:space="preserve">, A. T. (2015). The Analysis of the Effect of Corporate Income Tax (CIT) on Revenue Profile in Nigeria. American Journal of Economics, Finance and Management, 1(4), 312–319. </w:t>
      </w:r>
      <w:hyperlink r:id="rId47">
        <w:r>
          <w:rPr>
            <w:rFonts w:ascii="Arial" w:eastAsia="Arial" w:hAnsi="Arial" w:cs="Arial"/>
            <w:color w:val="1155CC"/>
            <w:u w:val="single"/>
          </w:rPr>
          <w:t>https://www.researchgate.net/publication/327273928_The_Analysis_of_the_Effect_of_Corporate_Income_Tax_CIT_on_Revenue_Profile_in_Nigeria</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Lalarukh</w:t>
      </w:r>
      <w:proofErr w:type="spellEnd"/>
      <w:r>
        <w:rPr>
          <w:rFonts w:ascii="Arial" w:eastAsia="Arial" w:hAnsi="Arial" w:cs="Arial"/>
        </w:rPr>
        <w:t xml:space="preserve">, F., &amp; Chowdhury, M. S. (2013). Contribution of VAT to the GDP of Bangladesh: A Trend Study. Journal of Business Studies, 34(2). </w:t>
      </w:r>
      <w:hyperlink r:id="rId48">
        <w:r>
          <w:rPr>
            <w:rFonts w:ascii="Arial" w:eastAsia="Arial" w:hAnsi="Arial" w:cs="Arial"/>
            <w:color w:val="1155CC"/>
            <w:u w:val="single"/>
          </w:rPr>
          <w:t>https://www.researchgate.net/publication/355520965_Contribution_of_VAT_to_the_GDP_of_Bangladesh_A_Trend_Study</w:t>
        </w:r>
      </w:hyperlink>
    </w:p>
    <w:p w:rsidR="0094047A" w:rsidRDefault="00C13554">
      <w:pPr>
        <w:numPr>
          <w:ilvl w:val="0"/>
          <w:numId w:val="3"/>
        </w:numPr>
        <w:jc w:val="both"/>
        <w:rPr>
          <w:rFonts w:ascii="Arial" w:eastAsia="Arial" w:hAnsi="Arial" w:cs="Arial"/>
        </w:rPr>
      </w:pPr>
      <w:r>
        <w:rPr>
          <w:rFonts w:ascii="Arial" w:eastAsia="Arial" w:hAnsi="Arial" w:cs="Arial"/>
        </w:rPr>
        <w:t xml:space="preserve">Uddin, M. M., Islam, R., </w:t>
      </w:r>
      <w:proofErr w:type="spellStart"/>
      <w:r>
        <w:rPr>
          <w:rFonts w:ascii="Arial" w:eastAsia="Arial" w:hAnsi="Arial" w:cs="Arial"/>
        </w:rPr>
        <w:t>Sahid</w:t>
      </w:r>
      <w:proofErr w:type="spellEnd"/>
      <w:r>
        <w:rPr>
          <w:rFonts w:ascii="Arial" w:eastAsia="Arial" w:hAnsi="Arial" w:cs="Arial"/>
        </w:rPr>
        <w:t xml:space="preserve">, Md. A., &amp; Hasan, M. (2022). VAT role in the development of Bangladesh: any association with GDP growth rate, government revenues, and annual budget. Innovative Space of Scientific Research Journals, 36(3), 697–705. </w:t>
      </w:r>
      <w:hyperlink r:id="rId49">
        <w:r>
          <w:rPr>
            <w:rFonts w:ascii="Arial" w:eastAsia="Arial" w:hAnsi="Arial" w:cs="Arial"/>
            <w:color w:val="1155CC"/>
            <w:u w:val="single"/>
          </w:rPr>
          <w:t>https://www.researchgate.net/publication/361395987_VAT_Role_in_the_Development_of_Bangladesh_Any_Association_with_GDP_Growth_Rate_Government_Revenues_and_Annual_Budget</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Basila</w:t>
      </w:r>
      <w:proofErr w:type="spellEnd"/>
      <w:r>
        <w:rPr>
          <w:rFonts w:ascii="Arial" w:eastAsia="Arial" w:hAnsi="Arial" w:cs="Arial"/>
        </w:rPr>
        <w:t xml:space="preserve">, D. (2010). INVESTIGATING THE RELATIONSHIP BETWEEN VAT AND GDP IN NIGERIAN ECONOMY. Journal of Management and Corporate Governance, 2. </w:t>
      </w:r>
      <w:hyperlink r:id="rId50">
        <w:r>
          <w:rPr>
            <w:rFonts w:ascii="Arial" w:eastAsia="Arial" w:hAnsi="Arial" w:cs="Arial"/>
            <w:color w:val="1155CC"/>
            <w:u w:val="single"/>
          </w:rPr>
          <w:t>https://www.cenresinjournals.com/wp-content/uploads/2020/03/page-65-72-163.pdf</w:t>
        </w:r>
      </w:hyperlink>
    </w:p>
    <w:p w:rsidR="0094047A" w:rsidRDefault="00C13554">
      <w:pPr>
        <w:numPr>
          <w:ilvl w:val="0"/>
          <w:numId w:val="3"/>
        </w:numPr>
        <w:jc w:val="both"/>
        <w:rPr>
          <w:rFonts w:ascii="Arial" w:eastAsia="Arial" w:hAnsi="Arial" w:cs="Arial"/>
          <w:highlight w:val="yellow"/>
        </w:rPr>
      </w:pPr>
      <w:proofErr w:type="spellStart"/>
      <w:r>
        <w:rPr>
          <w:rFonts w:ascii="Arial" w:eastAsia="Arial" w:hAnsi="Arial" w:cs="Arial"/>
          <w:highlight w:val="yellow"/>
        </w:rPr>
        <w:t>Adefolake</w:t>
      </w:r>
      <w:proofErr w:type="spellEnd"/>
      <w:r>
        <w:rPr>
          <w:rFonts w:ascii="Arial" w:eastAsia="Arial" w:hAnsi="Arial" w:cs="Arial"/>
          <w:highlight w:val="yellow"/>
        </w:rPr>
        <w:t xml:space="preserve">, A. O., &amp; </w:t>
      </w:r>
      <w:proofErr w:type="spellStart"/>
      <w:r>
        <w:rPr>
          <w:rFonts w:ascii="Arial" w:eastAsia="Arial" w:hAnsi="Arial" w:cs="Arial"/>
          <w:highlight w:val="yellow"/>
        </w:rPr>
        <w:t>Omodero</w:t>
      </w:r>
      <w:proofErr w:type="spellEnd"/>
      <w:r>
        <w:rPr>
          <w:rFonts w:ascii="Arial" w:eastAsia="Arial" w:hAnsi="Arial" w:cs="Arial"/>
          <w:highlight w:val="yellow"/>
        </w:rPr>
        <w:t xml:space="preserve">, C. O. (2022). Tax revenue and economic growth in Nigeria. </w:t>
      </w:r>
      <w:r>
        <w:rPr>
          <w:rFonts w:ascii="Arial" w:eastAsia="Arial" w:hAnsi="Arial" w:cs="Arial"/>
          <w:i/>
          <w:highlight w:val="yellow"/>
        </w:rPr>
        <w:t>Cogent Business &amp; Management</w:t>
      </w:r>
      <w:r>
        <w:rPr>
          <w:rFonts w:ascii="Arial" w:eastAsia="Arial" w:hAnsi="Arial" w:cs="Arial"/>
          <w:highlight w:val="yellow"/>
        </w:rPr>
        <w:t xml:space="preserve">, </w:t>
      </w:r>
      <w:r>
        <w:rPr>
          <w:rFonts w:ascii="Arial" w:eastAsia="Arial" w:hAnsi="Arial" w:cs="Arial"/>
          <w:i/>
          <w:highlight w:val="yellow"/>
        </w:rPr>
        <w:t>9</w:t>
      </w:r>
      <w:r>
        <w:rPr>
          <w:rFonts w:ascii="Arial" w:eastAsia="Arial" w:hAnsi="Arial" w:cs="Arial"/>
          <w:highlight w:val="yellow"/>
        </w:rPr>
        <w:t xml:space="preserve">(1). </w:t>
      </w:r>
      <w:hyperlink r:id="rId51">
        <w:r>
          <w:rPr>
            <w:rFonts w:ascii="Arial" w:eastAsia="Arial" w:hAnsi="Arial" w:cs="Arial"/>
            <w:color w:val="1155CC"/>
            <w:highlight w:val="yellow"/>
            <w:u w:val="single"/>
          </w:rPr>
          <w:t>https://doi.org/10.1080/23311975.2022.2115282</w:t>
        </w:r>
      </w:hyperlink>
    </w:p>
    <w:p w:rsidR="0094047A" w:rsidRDefault="00C13554">
      <w:pPr>
        <w:numPr>
          <w:ilvl w:val="0"/>
          <w:numId w:val="3"/>
        </w:numPr>
        <w:jc w:val="both"/>
        <w:rPr>
          <w:rFonts w:ascii="Arial" w:eastAsia="Arial" w:hAnsi="Arial" w:cs="Arial"/>
          <w:highlight w:val="yellow"/>
        </w:rPr>
      </w:pPr>
      <w:proofErr w:type="spellStart"/>
      <w:r>
        <w:rPr>
          <w:rFonts w:ascii="Arial" w:eastAsia="Arial" w:hAnsi="Arial" w:cs="Arial"/>
          <w:highlight w:val="yellow"/>
        </w:rPr>
        <w:t>Acaylar</w:t>
      </w:r>
      <w:proofErr w:type="spellEnd"/>
      <w:r>
        <w:rPr>
          <w:rFonts w:ascii="Arial" w:eastAsia="Arial" w:hAnsi="Arial" w:cs="Arial"/>
          <w:highlight w:val="yellow"/>
        </w:rPr>
        <w:t xml:space="preserve">, A. P. J. T. (2021). Effectiveness of the Value added tax exemption Policy on gross domestic product in selected ASEAN countries towards a conducive business environment model. </w:t>
      </w:r>
      <w:r>
        <w:rPr>
          <w:rFonts w:ascii="Arial" w:eastAsia="Arial" w:hAnsi="Arial" w:cs="Arial"/>
          <w:i/>
          <w:highlight w:val="yellow"/>
        </w:rPr>
        <w:t>Journal of Governance Risk Management Compliance and Sustainability</w:t>
      </w:r>
      <w:r>
        <w:rPr>
          <w:rFonts w:ascii="Arial" w:eastAsia="Arial" w:hAnsi="Arial" w:cs="Arial"/>
          <w:highlight w:val="yellow"/>
        </w:rPr>
        <w:t xml:space="preserve">, </w:t>
      </w:r>
      <w:r>
        <w:rPr>
          <w:rFonts w:ascii="Arial" w:eastAsia="Arial" w:hAnsi="Arial" w:cs="Arial"/>
          <w:i/>
          <w:highlight w:val="yellow"/>
        </w:rPr>
        <w:t>1</w:t>
      </w:r>
      <w:r>
        <w:rPr>
          <w:rFonts w:ascii="Arial" w:eastAsia="Arial" w:hAnsi="Arial" w:cs="Arial"/>
          <w:highlight w:val="yellow"/>
        </w:rPr>
        <w:t xml:space="preserve">(2), 01–17. </w:t>
      </w:r>
      <w:hyperlink r:id="rId52">
        <w:r>
          <w:rPr>
            <w:rFonts w:ascii="Arial" w:eastAsia="Arial" w:hAnsi="Arial" w:cs="Arial"/>
            <w:color w:val="1155CC"/>
            <w:highlight w:val="yellow"/>
            <w:u w:val="single"/>
          </w:rPr>
          <w:t>https://doi.org/10.31098/jgrcs.v1i2.686</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Macek</w:t>
      </w:r>
      <w:proofErr w:type="spellEnd"/>
      <w:r>
        <w:rPr>
          <w:rFonts w:ascii="Arial" w:eastAsia="Arial" w:hAnsi="Arial" w:cs="Arial"/>
        </w:rPr>
        <w:t xml:space="preserve">, R. (2015). </w:t>
      </w:r>
      <w:r>
        <w:rPr>
          <w:rFonts w:ascii="Arial" w:eastAsia="Arial" w:hAnsi="Arial" w:cs="Arial"/>
          <w:i/>
        </w:rPr>
        <w:t>The impact of taxation on economic growth in OECD countries</w:t>
      </w:r>
      <w:r>
        <w:rPr>
          <w:rFonts w:ascii="Arial" w:eastAsia="Arial" w:hAnsi="Arial" w:cs="Arial"/>
        </w:rPr>
        <w:t xml:space="preserve">. Review of Economic Perspectives, 15(4), 329–346. </w:t>
      </w:r>
      <w:hyperlink r:id="rId53">
        <w:r>
          <w:rPr>
            <w:rFonts w:ascii="Arial" w:eastAsia="Arial" w:hAnsi="Arial" w:cs="Arial"/>
            <w:color w:val="1155CC"/>
            <w:u w:val="single"/>
          </w:rPr>
          <w:t>https://doi.org/10.1515/revecp-2015-0002</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Alfò</w:t>
      </w:r>
      <w:proofErr w:type="spellEnd"/>
      <w:r>
        <w:rPr>
          <w:rFonts w:ascii="Arial" w:eastAsia="Arial" w:hAnsi="Arial" w:cs="Arial"/>
        </w:rPr>
        <w:t xml:space="preserve">, M., Carbonari, L., &amp; </w:t>
      </w:r>
      <w:proofErr w:type="spellStart"/>
      <w:r>
        <w:rPr>
          <w:rFonts w:ascii="Arial" w:eastAsia="Arial" w:hAnsi="Arial" w:cs="Arial"/>
        </w:rPr>
        <w:t>Trovato</w:t>
      </w:r>
      <w:proofErr w:type="spellEnd"/>
      <w:r>
        <w:rPr>
          <w:rFonts w:ascii="Arial" w:eastAsia="Arial" w:hAnsi="Arial" w:cs="Arial"/>
        </w:rPr>
        <w:t xml:space="preserve">, G. (2022). </w:t>
      </w:r>
      <w:r>
        <w:rPr>
          <w:rFonts w:ascii="Arial" w:eastAsia="Arial" w:hAnsi="Arial" w:cs="Arial"/>
          <w:i/>
        </w:rPr>
        <w:t>Tax policy and economic growth: Evidence from OECD countries</w:t>
      </w:r>
      <w:r>
        <w:rPr>
          <w:rFonts w:ascii="Arial" w:eastAsia="Arial" w:hAnsi="Arial" w:cs="Arial"/>
        </w:rPr>
        <w:t xml:space="preserve">. European Economic Review, 149, 104312. </w:t>
      </w:r>
      <w:hyperlink r:id="rId54">
        <w:r>
          <w:rPr>
            <w:rFonts w:ascii="Arial" w:eastAsia="Arial" w:hAnsi="Arial" w:cs="Arial"/>
            <w:color w:val="1155CC"/>
            <w:u w:val="single"/>
          </w:rPr>
          <w:t>https://doi.org/10.1017/s1365100522000219</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Krysovatyy</w:t>
      </w:r>
      <w:proofErr w:type="spellEnd"/>
      <w:r>
        <w:rPr>
          <w:rFonts w:ascii="Arial" w:eastAsia="Arial" w:hAnsi="Arial" w:cs="Arial"/>
        </w:rPr>
        <w:t xml:space="preserve">, A., </w:t>
      </w:r>
      <w:proofErr w:type="spellStart"/>
      <w:r>
        <w:rPr>
          <w:rFonts w:ascii="Arial" w:eastAsia="Arial" w:hAnsi="Arial" w:cs="Arial"/>
        </w:rPr>
        <w:t>Fedosov</w:t>
      </w:r>
      <w:proofErr w:type="spellEnd"/>
      <w:r>
        <w:rPr>
          <w:rFonts w:ascii="Arial" w:eastAsia="Arial" w:hAnsi="Arial" w:cs="Arial"/>
        </w:rPr>
        <w:t xml:space="preserve">, V., </w:t>
      </w:r>
      <w:proofErr w:type="spellStart"/>
      <w:r>
        <w:rPr>
          <w:rFonts w:ascii="Arial" w:eastAsia="Arial" w:hAnsi="Arial" w:cs="Arial"/>
        </w:rPr>
        <w:t>Tymchenko</w:t>
      </w:r>
      <w:proofErr w:type="spellEnd"/>
      <w:r>
        <w:rPr>
          <w:rFonts w:ascii="Arial" w:eastAsia="Arial" w:hAnsi="Arial" w:cs="Arial"/>
        </w:rPr>
        <w:t xml:space="preserve">, O., &amp; </w:t>
      </w:r>
      <w:proofErr w:type="spellStart"/>
      <w:r>
        <w:rPr>
          <w:rFonts w:ascii="Arial" w:eastAsia="Arial" w:hAnsi="Arial" w:cs="Arial"/>
        </w:rPr>
        <w:t>Dzvinchuk</w:t>
      </w:r>
      <w:proofErr w:type="spellEnd"/>
      <w:r>
        <w:rPr>
          <w:rFonts w:ascii="Arial" w:eastAsia="Arial" w:hAnsi="Arial" w:cs="Arial"/>
        </w:rPr>
        <w:t xml:space="preserve">, D. (2020). </w:t>
      </w:r>
      <w:r>
        <w:rPr>
          <w:rFonts w:ascii="Arial" w:eastAsia="Arial" w:hAnsi="Arial" w:cs="Arial"/>
          <w:i/>
        </w:rPr>
        <w:t>Price and tax policy and its impact on consumption patterns: Evidence from Ukraine</w:t>
      </w:r>
      <w:r>
        <w:rPr>
          <w:rFonts w:ascii="Arial" w:eastAsia="Arial" w:hAnsi="Arial" w:cs="Arial"/>
        </w:rPr>
        <w:t xml:space="preserve">. Economic Annals-XXI, 183(9–10), 15–22. </w:t>
      </w:r>
      <w:hyperlink r:id="rId55">
        <w:r>
          <w:rPr>
            <w:rFonts w:ascii="Arial" w:eastAsia="Arial" w:hAnsi="Arial" w:cs="Arial"/>
            <w:color w:val="1155CC"/>
            <w:u w:val="single"/>
          </w:rPr>
          <w:t>https://doi.org/10.21003/ea37.V183-02</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Zhuravleva</w:t>
      </w:r>
      <w:proofErr w:type="spellEnd"/>
      <w:r>
        <w:rPr>
          <w:rFonts w:ascii="Arial" w:eastAsia="Arial" w:hAnsi="Arial" w:cs="Arial"/>
        </w:rPr>
        <w:t xml:space="preserve">, I. A., </w:t>
      </w:r>
      <w:proofErr w:type="spellStart"/>
      <w:r>
        <w:rPr>
          <w:rFonts w:ascii="Arial" w:eastAsia="Arial" w:hAnsi="Arial" w:cs="Arial"/>
        </w:rPr>
        <w:t>Nazarova</w:t>
      </w:r>
      <w:proofErr w:type="spellEnd"/>
      <w:r>
        <w:rPr>
          <w:rFonts w:ascii="Arial" w:eastAsia="Arial" w:hAnsi="Arial" w:cs="Arial"/>
        </w:rPr>
        <w:t xml:space="preserve">, N. A., &amp; </w:t>
      </w:r>
      <w:proofErr w:type="spellStart"/>
      <w:r>
        <w:rPr>
          <w:rFonts w:ascii="Arial" w:eastAsia="Arial" w:hAnsi="Arial" w:cs="Arial"/>
        </w:rPr>
        <w:t>Grundel</w:t>
      </w:r>
      <w:proofErr w:type="spellEnd"/>
      <w:r>
        <w:rPr>
          <w:rFonts w:ascii="Arial" w:eastAsia="Arial" w:hAnsi="Arial" w:cs="Arial"/>
        </w:rPr>
        <w:t xml:space="preserve">, L. P. (2020). Value added tax: Problems affecting GDP. In Lecture notes in networks and systems (pp. 1642–1652). </w:t>
      </w:r>
      <w:hyperlink r:id="rId56">
        <w:r>
          <w:rPr>
            <w:rFonts w:ascii="Arial" w:eastAsia="Arial" w:hAnsi="Arial" w:cs="Arial"/>
            <w:color w:val="1155CC"/>
            <w:u w:val="single"/>
          </w:rPr>
          <w:t>https://doi.org/10.1007/978-3-030-47945-9_175</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Majka</w:t>
      </w:r>
      <w:proofErr w:type="spellEnd"/>
      <w:r>
        <w:rPr>
          <w:rFonts w:ascii="Arial" w:eastAsia="Arial" w:hAnsi="Arial" w:cs="Arial"/>
        </w:rPr>
        <w:t xml:space="preserve">, Marcin. (2024). Ordinary Least Squares. </w:t>
      </w:r>
      <w:hyperlink r:id="rId57">
        <w:r>
          <w:rPr>
            <w:rFonts w:ascii="Arial" w:eastAsia="Arial" w:hAnsi="Arial" w:cs="Arial"/>
            <w:color w:val="1155CC"/>
            <w:u w:val="single"/>
          </w:rPr>
          <w:t>https://www.researchgate.net/publication/384403324_Ordinary_Least_Squares/citation/download</w:t>
        </w:r>
      </w:hyperlink>
    </w:p>
    <w:p w:rsidR="0094047A" w:rsidRDefault="00C13554">
      <w:pPr>
        <w:numPr>
          <w:ilvl w:val="0"/>
          <w:numId w:val="3"/>
        </w:numPr>
        <w:jc w:val="both"/>
        <w:rPr>
          <w:rFonts w:ascii="Arial" w:eastAsia="Arial" w:hAnsi="Arial" w:cs="Arial"/>
        </w:rPr>
      </w:pPr>
      <w:proofErr w:type="spellStart"/>
      <w:r>
        <w:rPr>
          <w:rFonts w:ascii="Arial" w:eastAsia="Arial" w:hAnsi="Arial" w:cs="Arial"/>
        </w:rPr>
        <w:t>Malicdem</w:t>
      </w:r>
      <w:proofErr w:type="spellEnd"/>
      <w:r>
        <w:rPr>
          <w:rFonts w:ascii="Arial" w:eastAsia="Arial" w:hAnsi="Arial" w:cs="Arial"/>
        </w:rPr>
        <w:t xml:space="preserve">, K. A., </w:t>
      </w:r>
      <w:proofErr w:type="spellStart"/>
      <w:r>
        <w:rPr>
          <w:rFonts w:ascii="Arial" w:eastAsia="Arial" w:hAnsi="Arial" w:cs="Arial"/>
        </w:rPr>
        <w:t>Vigonte</w:t>
      </w:r>
      <w:proofErr w:type="spellEnd"/>
      <w:r>
        <w:rPr>
          <w:rFonts w:ascii="Arial" w:eastAsia="Arial" w:hAnsi="Arial" w:cs="Arial"/>
        </w:rPr>
        <w:t xml:space="preserve">, F., &amp; </w:t>
      </w:r>
      <w:proofErr w:type="spellStart"/>
      <w:r>
        <w:rPr>
          <w:rFonts w:ascii="Arial" w:eastAsia="Arial" w:hAnsi="Arial" w:cs="Arial"/>
        </w:rPr>
        <w:t>Abante</w:t>
      </w:r>
      <w:proofErr w:type="spellEnd"/>
      <w:r>
        <w:rPr>
          <w:rFonts w:ascii="Arial" w:eastAsia="Arial" w:hAnsi="Arial" w:cs="Arial"/>
        </w:rPr>
        <w:t xml:space="preserve">, M. V. (2023). Assessing the awareness of people in Philippine taxes as part of the role of the government in the economy. SSRN Electronic Journal. </w:t>
      </w:r>
      <w:hyperlink r:id="rId58">
        <w:r>
          <w:rPr>
            <w:rFonts w:ascii="Arial" w:eastAsia="Arial" w:hAnsi="Arial" w:cs="Arial"/>
            <w:color w:val="1155CC"/>
            <w:u w:val="single"/>
          </w:rPr>
          <w:t>https://doi.org/10.2139/ssrn.4433959</w:t>
        </w:r>
      </w:hyperlink>
    </w:p>
    <w:p w:rsidR="0094047A" w:rsidRDefault="00C13554">
      <w:pPr>
        <w:numPr>
          <w:ilvl w:val="0"/>
          <w:numId w:val="3"/>
        </w:numPr>
        <w:jc w:val="both"/>
        <w:rPr>
          <w:rFonts w:ascii="Arial" w:eastAsia="Arial" w:hAnsi="Arial" w:cs="Arial"/>
        </w:rPr>
      </w:pPr>
      <w:r>
        <w:rPr>
          <w:rFonts w:ascii="Arial" w:eastAsia="Arial" w:hAnsi="Arial" w:cs="Arial"/>
        </w:rPr>
        <w:t xml:space="preserve">Beech, M. L. (2025, August 7). 23 firms face tax evasion cases for P1.4 billion ghost receipts. Philstar.com. </w:t>
      </w:r>
      <w:hyperlink r:id="rId59">
        <w:r>
          <w:rPr>
            <w:rFonts w:ascii="Arial" w:eastAsia="Arial" w:hAnsi="Arial" w:cs="Arial"/>
            <w:color w:val="1155CC"/>
            <w:u w:val="single"/>
          </w:rPr>
          <w:t>https://www.philstar.com/business/2025/08/08/2463870/23-firms-face-tax-evasion-cases-p14-billion-ghost-receipts</w:t>
        </w:r>
      </w:hyperlink>
    </w:p>
    <w:p w:rsidR="0094047A" w:rsidRDefault="00C13554">
      <w:pPr>
        <w:numPr>
          <w:ilvl w:val="0"/>
          <w:numId w:val="3"/>
        </w:numPr>
        <w:jc w:val="both"/>
        <w:rPr>
          <w:rFonts w:ascii="Arial" w:eastAsia="Arial" w:hAnsi="Arial" w:cs="Arial"/>
          <w:highlight w:val="yellow"/>
        </w:rPr>
      </w:pPr>
      <w:proofErr w:type="spellStart"/>
      <w:r>
        <w:rPr>
          <w:rFonts w:ascii="Arial" w:eastAsia="Arial" w:hAnsi="Arial" w:cs="Arial"/>
          <w:highlight w:val="yellow"/>
        </w:rPr>
        <w:t>Oluwatobi</w:t>
      </w:r>
      <w:proofErr w:type="spellEnd"/>
      <w:r>
        <w:rPr>
          <w:rFonts w:ascii="Arial" w:eastAsia="Arial" w:hAnsi="Arial" w:cs="Arial"/>
          <w:highlight w:val="yellow"/>
        </w:rPr>
        <w:t xml:space="preserve">, A. A., Festus, F. A., &amp; Grace, O. O. (2021). Tax revenue, capital formation, and economic growth in Nigeria. Research in World Economy, 12(1), 101. </w:t>
      </w:r>
      <w:hyperlink r:id="rId60">
        <w:r>
          <w:rPr>
            <w:rFonts w:ascii="Arial" w:eastAsia="Arial" w:hAnsi="Arial" w:cs="Arial"/>
            <w:color w:val="1155CC"/>
            <w:highlight w:val="yellow"/>
            <w:u w:val="single"/>
          </w:rPr>
          <w:t>https://doi.org/10.5430/rwe.v12n1p101</w:t>
        </w:r>
      </w:hyperlink>
    </w:p>
    <w:p w:rsidR="0094047A" w:rsidRDefault="00C13554">
      <w:pPr>
        <w:numPr>
          <w:ilvl w:val="0"/>
          <w:numId w:val="3"/>
        </w:numPr>
        <w:jc w:val="both"/>
        <w:rPr>
          <w:rFonts w:ascii="Arial" w:eastAsia="Arial" w:hAnsi="Arial" w:cs="Arial"/>
          <w:highlight w:val="yellow"/>
        </w:rPr>
      </w:pPr>
      <w:proofErr w:type="spellStart"/>
      <w:r>
        <w:rPr>
          <w:rFonts w:ascii="Arial" w:eastAsia="Arial" w:hAnsi="Arial" w:cs="Arial"/>
          <w:highlight w:val="yellow"/>
        </w:rPr>
        <w:lastRenderedPageBreak/>
        <w:t>Salawu</w:t>
      </w:r>
      <w:proofErr w:type="spellEnd"/>
      <w:r>
        <w:rPr>
          <w:rFonts w:ascii="Arial" w:eastAsia="Arial" w:hAnsi="Arial" w:cs="Arial"/>
          <w:highlight w:val="yellow"/>
        </w:rPr>
        <w:t xml:space="preserve">, B. (2023, April 12). The crucial role of tax administration in revenue generation and economic development. </w:t>
      </w:r>
      <w:hyperlink r:id="rId61">
        <w:r>
          <w:rPr>
            <w:rFonts w:ascii="Arial" w:eastAsia="Arial" w:hAnsi="Arial" w:cs="Arial"/>
            <w:color w:val="1155CC"/>
            <w:highlight w:val="yellow"/>
            <w:u w:val="single"/>
          </w:rPr>
          <w:t>https://www.abacademies.org/articles/the-crucial-role-of-tax-administration-in-revenue-generation-and-economic-development-15932.html</w:t>
        </w:r>
      </w:hyperlink>
    </w:p>
    <w:p w:rsidR="0094047A" w:rsidRDefault="00C13554">
      <w:pPr>
        <w:numPr>
          <w:ilvl w:val="0"/>
          <w:numId w:val="3"/>
        </w:numPr>
        <w:jc w:val="both"/>
        <w:rPr>
          <w:rFonts w:ascii="Arial" w:eastAsia="Arial" w:hAnsi="Arial" w:cs="Arial"/>
          <w:highlight w:val="yellow"/>
        </w:rPr>
      </w:pPr>
      <w:r>
        <w:rPr>
          <w:rFonts w:ascii="Arial" w:eastAsia="Arial" w:hAnsi="Arial" w:cs="Arial"/>
          <w:highlight w:val="yellow"/>
        </w:rPr>
        <w:t xml:space="preserve">Shafiq, M. N., Bhatti, M. A., Bashir, F., &amp; Nawaz, M. A. (2022). Impact of Taxation on Economic Growth: Empirical Evidence from Pakistan. Journal of Business and Social Review in Emerging Economies, 8(2), 381–392. </w:t>
      </w:r>
      <w:hyperlink r:id="rId62">
        <w:r>
          <w:rPr>
            <w:rFonts w:ascii="Arial" w:eastAsia="Arial" w:hAnsi="Arial" w:cs="Arial"/>
            <w:color w:val="1155CC"/>
            <w:highlight w:val="yellow"/>
            <w:u w:val="single"/>
          </w:rPr>
          <w:t>https://doi.org/10.26710/jbsee.v8i2.2309</w:t>
        </w:r>
      </w:hyperlink>
    </w:p>
    <w:p w:rsidR="0094047A" w:rsidRDefault="00C13554">
      <w:pPr>
        <w:numPr>
          <w:ilvl w:val="0"/>
          <w:numId w:val="3"/>
        </w:numPr>
        <w:jc w:val="both"/>
        <w:rPr>
          <w:rFonts w:ascii="Arial" w:eastAsia="Arial" w:hAnsi="Arial" w:cs="Arial"/>
          <w:highlight w:val="yellow"/>
        </w:rPr>
      </w:pPr>
      <w:proofErr w:type="spellStart"/>
      <w:r>
        <w:rPr>
          <w:rFonts w:ascii="Arial" w:eastAsia="Arial" w:hAnsi="Arial" w:cs="Arial"/>
          <w:highlight w:val="yellow"/>
        </w:rPr>
        <w:t>Balasoiu</w:t>
      </w:r>
      <w:proofErr w:type="spellEnd"/>
      <w:r>
        <w:rPr>
          <w:rFonts w:ascii="Arial" w:eastAsia="Arial" w:hAnsi="Arial" w:cs="Arial"/>
          <w:highlight w:val="yellow"/>
        </w:rPr>
        <w:t xml:space="preserve">, N., </w:t>
      </w:r>
      <w:proofErr w:type="spellStart"/>
      <w:r>
        <w:rPr>
          <w:rFonts w:ascii="Arial" w:eastAsia="Arial" w:hAnsi="Arial" w:cs="Arial"/>
          <w:highlight w:val="yellow"/>
        </w:rPr>
        <w:t>Chifu</w:t>
      </w:r>
      <w:proofErr w:type="spellEnd"/>
      <w:r>
        <w:rPr>
          <w:rFonts w:ascii="Arial" w:eastAsia="Arial" w:hAnsi="Arial" w:cs="Arial"/>
          <w:highlight w:val="yellow"/>
        </w:rPr>
        <w:t xml:space="preserve">, I., &amp; </w:t>
      </w:r>
      <w:proofErr w:type="spellStart"/>
      <w:r>
        <w:rPr>
          <w:rFonts w:ascii="Arial" w:eastAsia="Arial" w:hAnsi="Arial" w:cs="Arial"/>
          <w:highlight w:val="yellow"/>
        </w:rPr>
        <w:t>Oancea</w:t>
      </w:r>
      <w:proofErr w:type="spellEnd"/>
      <w:r>
        <w:rPr>
          <w:rFonts w:ascii="Arial" w:eastAsia="Arial" w:hAnsi="Arial" w:cs="Arial"/>
          <w:highlight w:val="yellow"/>
        </w:rPr>
        <w:t xml:space="preserve">, M. (2023). Impact of direct taxation on economic growth: Empirical evidence based on panel data regression analysis at the level of EU countries. Sustainability, 15(9), 7146. </w:t>
      </w:r>
      <w:hyperlink r:id="rId63">
        <w:r>
          <w:rPr>
            <w:rFonts w:ascii="Arial" w:eastAsia="Arial" w:hAnsi="Arial" w:cs="Arial"/>
            <w:color w:val="1155CC"/>
            <w:highlight w:val="yellow"/>
            <w:u w:val="single"/>
          </w:rPr>
          <w:t>https://doi.org/10.3390/su15097146</w:t>
        </w:r>
      </w:hyperlink>
    </w:p>
    <w:p w:rsidR="0094047A" w:rsidRDefault="0094047A">
      <w:pPr>
        <w:ind w:left="720"/>
        <w:jc w:val="both"/>
        <w:rPr>
          <w:rFonts w:ascii="Arial" w:eastAsia="Arial" w:hAnsi="Arial" w:cs="Arial"/>
          <w:highlight w:val="yellow"/>
        </w:rPr>
      </w:pPr>
    </w:p>
    <w:sectPr w:rsidR="0094047A">
      <w:headerReference w:type="even" r:id="rId64"/>
      <w:headerReference w:type="default" r:id="rId65"/>
      <w:footerReference w:type="default" r:id="rId66"/>
      <w:headerReference w:type="first" r:id="rId67"/>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74D" w:rsidRDefault="000D774D">
      <w:r>
        <w:separator/>
      </w:r>
    </w:p>
  </w:endnote>
  <w:endnote w:type="continuationSeparator" w:id="0">
    <w:p w:rsidR="000D774D" w:rsidRDefault="000D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94047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94047A">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94047A">
    <w:pPr>
      <w:pBdr>
        <w:top w:val="nil"/>
        <w:left w:val="nil"/>
        <w:bottom w:val="nil"/>
        <w:right w:val="nil"/>
        <w:between w:val="nil"/>
      </w:pBdr>
      <w:tabs>
        <w:tab w:val="center" w:pos="4320"/>
        <w:tab w:val="right" w:pos="8640"/>
      </w:tabs>
      <w:rPr>
        <w:rFonts w:ascii="Arial" w:eastAsia="Arial" w:hAnsi="Arial" w:cs="Arial"/>
        <w:color w:val="000000"/>
        <w:sz w:val="16"/>
        <w:szCs w:val="16"/>
      </w:rPr>
    </w:pPr>
  </w:p>
  <w:p w:rsidR="0094047A" w:rsidRDefault="00C13554">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rsidR="0094047A" w:rsidRDefault="0094047A">
    <w:pPr>
      <w:pBdr>
        <w:top w:val="nil"/>
        <w:left w:val="nil"/>
        <w:bottom w:val="nil"/>
        <w:right w:val="nil"/>
        <w:between w:val="nil"/>
      </w:pBdr>
      <w:tabs>
        <w:tab w:val="center" w:pos="4320"/>
        <w:tab w:val="right" w:pos="8640"/>
      </w:tabs>
      <w:rPr>
        <w:rFonts w:ascii="Arial" w:eastAsia="Arial" w:hAnsi="Arial" w:cs="Arial"/>
        <w:color w:val="000000"/>
        <w:sz w:val="16"/>
        <w:szCs w:val="16"/>
      </w:rPr>
    </w:pPr>
  </w:p>
  <w:p w:rsidR="0094047A" w:rsidRDefault="00C13554">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94047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74D" w:rsidRDefault="000D774D">
      <w:r>
        <w:separator/>
      </w:r>
    </w:p>
  </w:footnote>
  <w:footnote w:type="continuationSeparator" w:id="0">
    <w:p w:rsidR="000D774D" w:rsidRDefault="000D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0D774D">
    <w:pPr>
      <w:pBdr>
        <w:top w:val="nil"/>
        <w:left w:val="nil"/>
        <w:bottom w:val="nil"/>
        <w:right w:val="nil"/>
        <w:between w:val="nil"/>
      </w:pBdr>
      <w:tabs>
        <w:tab w:val="center" w:pos="4320"/>
        <w:tab w:val="right" w:pos="8640"/>
      </w:tabs>
      <w:rPr>
        <w:color w:val="000000"/>
      </w:rPr>
    </w:pPr>
    <w:r>
      <w:pict w14:anchorId="09030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520.65pt;height:57.85pt;rotation:315;z-index:-251659264;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0D774D">
    <w:pPr>
      <w:pBdr>
        <w:top w:val="nil"/>
        <w:left w:val="nil"/>
        <w:bottom w:val="nil"/>
        <w:right w:val="nil"/>
        <w:between w:val="nil"/>
      </w:pBdr>
      <w:tabs>
        <w:tab w:val="center" w:pos="4320"/>
        <w:tab w:val="right" w:pos="8640"/>
      </w:tabs>
      <w:rPr>
        <w:color w:val="000000"/>
      </w:rPr>
    </w:pPr>
    <w:r>
      <w:pict w14:anchorId="6A9E1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520.65pt;height:57.85pt;rotation:315;z-index:-25166131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0D774D">
    <w:pPr>
      <w:ind w:left="2160"/>
      <w:jc w:val="center"/>
      <w:rPr>
        <w:rFonts w:ascii="Times New Roman" w:eastAsia="Times New Roman" w:hAnsi="Times New Roman" w:cs="Times New Roman"/>
        <w:i/>
        <w:sz w:val="18"/>
        <w:szCs w:val="18"/>
      </w:rPr>
    </w:pPr>
    <w:r>
      <w:pict w14:anchorId="1DAD0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520.65pt;height:57.85pt;rotation:315;z-index:-25166028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94047A" w:rsidRDefault="00C13554">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94047A" w:rsidRDefault="00C1355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94047A" w:rsidRDefault="00C13554">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94047A" w:rsidRDefault="00C1355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94047A" w:rsidRDefault="00C13554">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94047A" w:rsidRDefault="00C13554">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0D774D">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0.65pt;height:57.85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0D774D">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0.65pt;height:57.85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47A" w:rsidRDefault="000D774D">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20.65pt;height:57.85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632EC"/>
    <w:multiLevelType w:val="multilevel"/>
    <w:tmpl w:val="A1E68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786A02"/>
    <w:multiLevelType w:val="multilevel"/>
    <w:tmpl w:val="30BC0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DE7173"/>
    <w:multiLevelType w:val="multilevel"/>
    <w:tmpl w:val="2354A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BA5932"/>
    <w:multiLevelType w:val="multilevel"/>
    <w:tmpl w:val="4612B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A95BC6"/>
    <w:multiLevelType w:val="multilevel"/>
    <w:tmpl w:val="EC9EE8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14551A7"/>
    <w:multiLevelType w:val="multilevel"/>
    <w:tmpl w:val="85185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BE0390"/>
    <w:multiLevelType w:val="multilevel"/>
    <w:tmpl w:val="B0A67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3E572C1"/>
    <w:multiLevelType w:val="multilevel"/>
    <w:tmpl w:val="56042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6119E2"/>
    <w:multiLevelType w:val="multilevel"/>
    <w:tmpl w:val="32B84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F8580E"/>
    <w:multiLevelType w:val="multilevel"/>
    <w:tmpl w:val="AB14B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CEC3ABC"/>
    <w:multiLevelType w:val="multilevel"/>
    <w:tmpl w:val="F85A3DF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3C41B8"/>
    <w:multiLevelType w:val="multilevel"/>
    <w:tmpl w:val="F2F06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053103"/>
    <w:multiLevelType w:val="multilevel"/>
    <w:tmpl w:val="0A3E3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EF67F6"/>
    <w:multiLevelType w:val="multilevel"/>
    <w:tmpl w:val="14566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CA30D2"/>
    <w:multiLevelType w:val="multilevel"/>
    <w:tmpl w:val="54EEA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BE2090"/>
    <w:multiLevelType w:val="multilevel"/>
    <w:tmpl w:val="CBA03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8"/>
  </w:num>
  <w:num w:numId="3">
    <w:abstractNumId w:val="9"/>
  </w:num>
  <w:num w:numId="4">
    <w:abstractNumId w:val="5"/>
  </w:num>
  <w:num w:numId="5">
    <w:abstractNumId w:val="15"/>
  </w:num>
  <w:num w:numId="6">
    <w:abstractNumId w:val="2"/>
  </w:num>
  <w:num w:numId="7">
    <w:abstractNumId w:val="11"/>
  </w:num>
  <w:num w:numId="8">
    <w:abstractNumId w:val="6"/>
  </w:num>
  <w:num w:numId="9">
    <w:abstractNumId w:val="14"/>
  </w:num>
  <w:num w:numId="10">
    <w:abstractNumId w:val="4"/>
  </w:num>
  <w:num w:numId="11">
    <w:abstractNumId w:val="0"/>
  </w:num>
  <w:num w:numId="12">
    <w:abstractNumId w:val="1"/>
  </w:num>
  <w:num w:numId="13">
    <w:abstractNumId w:val="13"/>
  </w:num>
  <w:num w:numId="14">
    <w:abstractNumId w:val="7"/>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7A"/>
    <w:rsid w:val="000D774D"/>
    <w:rsid w:val="008E1FB6"/>
    <w:rsid w:val="0094047A"/>
    <w:rsid w:val="00B761E4"/>
    <w:rsid w:val="00C1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0F61F36"/>
  <w15:docId w15:val="{6FD85E43-41D6-4B10-8E9A-40D9E660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60"/>
      <w:jc w:val="right"/>
    </w:pPr>
    <w:rPr>
      <w:b/>
      <w:sz w:val="36"/>
      <w:szCs w:val="36"/>
    </w:rPr>
  </w:style>
  <w:style w:type="table" w:customStyle="1" w:styleId="TableNormal1">
    <w:name w:val="TableNormal"/>
    <w:tblPr>
      <w:tblCellMar>
        <w:top w:w="100" w:type="dxa"/>
        <w:left w:w="100" w:type="dxa"/>
        <w:bottom w:w="100" w:type="dxa"/>
        <w:right w:w="100" w:type="dxa"/>
      </w:tblCellMar>
    </w:tbl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numPr>
        <w:numId w:val="16"/>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borgenproject.org/unemployment-in-the-philippines/" TargetMode="External"/><Relationship Id="rId21" Type="http://schemas.openxmlformats.org/officeDocument/2006/relationships/hyperlink" Target="https://doi.org/10.2765/730208" TargetMode="External"/><Relationship Id="rId42" Type="http://schemas.openxmlformats.org/officeDocument/2006/relationships/hyperlink" Target="http://documents.worldbank.org/curated/en/638391468480878595" TargetMode="External"/><Relationship Id="rId47" Type="http://schemas.openxmlformats.org/officeDocument/2006/relationships/hyperlink" Target="https://www.researchgate.net/publication/327273928_The_Analysis_of_the_Effect_of_Corporate_Income_Tax_CIT_on_Revenue_Profile_in_Nigeria" TargetMode="External"/><Relationship Id="rId63" Type="http://schemas.openxmlformats.org/officeDocument/2006/relationships/hyperlink" Target="https://doi.org/10.3390/su15097146"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urworldindata.org/what-is-economic-growth" TargetMode="External"/><Relationship Id="rId29" Type="http://schemas.openxmlformats.org/officeDocument/2006/relationships/hyperlink" Target="https://doi.org/10.2478/ceej-2020-0018" TargetMode="External"/><Relationship Id="rId11" Type="http://schemas.openxmlformats.org/officeDocument/2006/relationships/footer" Target="footer2.xml"/><Relationship Id="rId24" Type="http://schemas.openxmlformats.org/officeDocument/2006/relationships/hyperlink" Target="https://globalnation.inquirer.net/254037/in-ph-stubborn-gaps-persist-in-income-gender-economic-status" TargetMode="External"/><Relationship Id="rId32" Type="http://schemas.openxmlformats.org/officeDocument/2006/relationships/hyperlink" Target="https://doi.org/10.1016/j.econmod.2024.106867" TargetMode="External"/><Relationship Id="rId37" Type="http://schemas.openxmlformats.org/officeDocument/2006/relationships/hyperlink" Target="https://www.pwc.com/ph/en/tax/tax-publications/taxwise-or-otherwise/2025/create-more-a-better-version-of-the-create-law.html" TargetMode="External"/><Relationship Id="rId40" Type="http://schemas.openxmlformats.org/officeDocument/2006/relationships/hyperlink" Target="https://philippines.acclime.com/guides/vat/" TargetMode="External"/><Relationship Id="rId45" Type="http://schemas.openxmlformats.org/officeDocument/2006/relationships/hyperlink" Target="https://doi.org/10.55493/5053.v7i1.5473" TargetMode="External"/><Relationship Id="rId53" Type="http://schemas.openxmlformats.org/officeDocument/2006/relationships/hyperlink" Target="https://doi.org/10.1515/revecp-2015-0002" TargetMode="External"/><Relationship Id="rId58" Type="http://schemas.openxmlformats.org/officeDocument/2006/relationships/hyperlink" Target="https://doi.org/10.2139/ssrn.4433959"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www.abacademies.org/articles/the-crucial-role-of-tax-administration-in-revenue-generation-and-economic-development-15932.html" TargetMode="External"/><Relationship Id="rId19" Type="http://schemas.openxmlformats.org/officeDocument/2006/relationships/hyperlink" Target="https://doi.org/10.1016/j.heliyon.2023.e20267" TargetMode="External"/><Relationship Id="rId14" Type="http://schemas.openxmlformats.org/officeDocument/2006/relationships/image" Target="media/image4.png"/><Relationship Id="rId22" Type="http://schemas.openxmlformats.org/officeDocument/2006/relationships/hyperlink" Target="https://globalgoals.org/goals/8-decent-work-and-economic-growth/" TargetMode="External"/><Relationship Id="rId27" Type="http://schemas.openxmlformats.org/officeDocument/2006/relationships/hyperlink" Target="https://www.macrotrends.net/global-metrics/countries/phl/philippines/inflation-rate-cpi" TargetMode="External"/><Relationship Id="rId30" Type="http://schemas.openxmlformats.org/officeDocument/2006/relationships/hyperlink" Target="https://doi.org/10.1080/23311975.2023.2213959" TargetMode="External"/><Relationship Id="rId35" Type="http://schemas.openxmlformats.org/officeDocument/2006/relationships/hyperlink" Target="https://www.grantthornton.com.ph/insights/articles-and-updates1/lets-talk-tax/new-year-new-corporate-income-tax-rate-for-rohqs/" TargetMode="External"/><Relationship Id="rId43" Type="http://schemas.openxmlformats.org/officeDocument/2006/relationships/hyperlink" Target="https://www.bir.gov.ph/excise-tax" TargetMode="External"/><Relationship Id="rId48" Type="http://schemas.openxmlformats.org/officeDocument/2006/relationships/hyperlink" Target="https://www.researchgate.net/publication/355520965_Contribution_of_VAT_to_the_GDP_of_Bangladesh_A_Trend_Study" TargetMode="External"/><Relationship Id="rId56" Type="http://schemas.openxmlformats.org/officeDocument/2006/relationships/hyperlink" Target="https://doi.org/10.1007/978-3-030-47945-9_175" TargetMode="External"/><Relationship Id="rId64" Type="http://schemas.openxmlformats.org/officeDocument/2006/relationships/header" Target="header4.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080/23311975.2022.211528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interesjournals.org/author/bahmani-sirous-44120" TargetMode="External"/><Relationship Id="rId25" Type="http://schemas.openxmlformats.org/officeDocument/2006/relationships/hyperlink" Target="http://dx.doi.org/10.2139/ssrn.5140485" TargetMode="External"/><Relationship Id="rId33" Type="http://schemas.openxmlformats.org/officeDocument/2006/relationships/hyperlink" Target="https://doi.org/10.2139/ssrn.4433959" TargetMode="External"/><Relationship Id="rId38" Type="http://schemas.openxmlformats.org/officeDocument/2006/relationships/hyperlink" Target="https://serp-p.pids.gov.ph/publication/public/view?slug=proposed-reforms-on-the-value-added-tax" TargetMode="External"/><Relationship Id="rId46" Type="http://schemas.openxmlformats.org/officeDocument/2006/relationships/hyperlink" Target="https://dialnet.unirioja.es/servlet/articulo?codigo=4788887" TargetMode="External"/><Relationship Id="rId59" Type="http://schemas.openxmlformats.org/officeDocument/2006/relationships/hyperlink" Target="https://www.philstar.com/business/2025/08/08/2463870/23-firms-face-tax-evasion-cases-p14-billion-ghost-receipts" TargetMode="External"/><Relationship Id="rId67" Type="http://schemas.openxmlformats.org/officeDocument/2006/relationships/header" Target="header6.xml"/><Relationship Id="rId20" Type="http://schemas.openxmlformats.org/officeDocument/2006/relationships/hyperlink" Target="https://doi.org/10.32629/memf.v5i5.2859" TargetMode="External"/><Relationship Id="rId41" Type="http://schemas.openxmlformats.org/officeDocument/2006/relationships/hyperlink" Target="https://doi.org/10.9734/ajeba/2025/v25i31718" TargetMode="External"/><Relationship Id="rId54" Type="http://schemas.openxmlformats.org/officeDocument/2006/relationships/hyperlink" Target="https://doi.org/10.1017/s1365100522000219" TargetMode="External"/><Relationship Id="rId62" Type="http://schemas.openxmlformats.org/officeDocument/2006/relationships/hyperlink" Target="https://doi.org/10.26710/jbsee.v8i2.230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psa.gov.ph/statistics/national-accounts" TargetMode="External"/><Relationship Id="rId28" Type="http://schemas.openxmlformats.org/officeDocument/2006/relationships/hyperlink" Target="https://doi.org/10.47772/ijriss.2022.6538" TargetMode="External"/><Relationship Id="rId36" Type="http://schemas.openxmlformats.org/officeDocument/2006/relationships/hyperlink" Target="https://philippines.acclime.com/guides/corporate-income-tax/" TargetMode="External"/><Relationship Id="rId49" Type="http://schemas.openxmlformats.org/officeDocument/2006/relationships/hyperlink" Target="https://www.researchgate.net/publication/361395987_VAT_Role_in_the_Development_of_Bangladesh_Any_Association_with_GDP_Growth_Rate_Government_Revenues_and_Annual_Budget" TargetMode="External"/><Relationship Id="rId57" Type="http://schemas.openxmlformats.org/officeDocument/2006/relationships/hyperlink" Target="https://www.researchgate.net/publication/384403324_Ordinary_Least_Squares/citation/download" TargetMode="External"/><Relationship Id="rId10" Type="http://schemas.openxmlformats.org/officeDocument/2006/relationships/footer" Target="footer1.xml"/><Relationship Id="rId31" Type="http://schemas.openxmlformats.org/officeDocument/2006/relationships/hyperlink" Target="https://doi.org/10.5539/ibr.v13n6p1" TargetMode="External"/><Relationship Id="rId44" Type="http://schemas.openxmlformats.org/officeDocument/2006/relationships/hyperlink" Target="https://serp-p.pids.gov.ph/publication/public/view?slug=4-tax-assessment-of-the-imposition-of-excise-tax-on-invasive-cosmetic-procedures-pursuant-to-sectio" TargetMode="External"/><Relationship Id="rId52" Type="http://schemas.openxmlformats.org/officeDocument/2006/relationships/hyperlink" Target="https://doi.org/10.31098/jgrcs.v1i2.686" TargetMode="External"/><Relationship Id="rId60" Type="http://schemas.openxmlformats.org/officeDocument/2006/relationships/hyperlink" Target="https://doi.org/10.5430/rwe.v12n1p101" TargetMode="Externa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worlddev.2022.106119" TargetMode="External"/><Relationship Id="rId39" Type="http://schemas.openxmlformats.org/officeDocument/2006/relationships/hyperlink" Target="https://ntrc.gov.ph/images/train/Tax-Changes-You-Need-to-Know-under-RA-10963.pdf" TargetMode="External"/><Relationship Id="rId34" Type="http://schemas.openxmlformats.org/officeDocument/2006/relationships/hyperlink" Target="https://doi.org/10.1017/s0266267125000100" TargetMode="External"/><Relationship Id="rId50" Type="http://schemas.openxmlformats.org/officeDocument/2006/relationships/hyperlink" Target="https://www.cenresinjournals.com/wp-content/uploads/2020/03/page-65-72-163.pdf" TargetMode="External"/><Relationship Id="rId55" Type="http://schemas.openxmlformats.org/officeDocument/2006/relationships/hyperlink" Target="https://doi.org/10.21003/ea.V18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CIEo/JnpbdJjLvlCSA2EsX+rg==">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7623</Words>
  <Characters>43453</Characters>
  <Application>Microsoft Office Word</Application>
  <DocSecurity>0</DocSecurity>
  <Lines>362</Lines>
  <Paragraphs>101</Paragraphs>
  <ScaleCrop>false</ScaleCrop>
  <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1183</cp:lastModifiedBy>
  <cp:revision>3</cp:revision>
  <dcterms:created xsi:type="dcterms:W3CDTF">2014-10-25T14:34:00Z</dcterms:created>
  <dcterms:modified xsi:type="dcterms:W3CDTF">2025-10-07T08:40:00Z</dcterms:modified>
</cp:coreProperties>
</file>