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8A6" w:rsidRDefault="009008A6" w:rsidP="009008A6">
      <w:pPr>
        <w:jc w:val="center"/>
        <w:rPr>
          <w:rFonts w:ascii="Times New Roman" w:hAnsi="Times New Roman" w:cs="Times New Roman"/>
          <w:b/>
          <w:sz w:val="28"/>
          <w:szCs w:val="28"/>
          <w:lang w:val="en-GB"/>
        </w:rPr>
      </w:pPr>
      <w:r w:rsidRPr="009008A6">
        <w:rPr>
          <w:rFonts w:ascii="Times New Roman" w:hAnsi="Times New Roman" w:cs="Times New Roman"/>
          <w:b/>
          <w:sz w:val="28"/>
          <w:szCs w:val="28"/>
          <w:lang w:val="en-GB"/>
        </w:rPr>
        <w:t>Research &amp; Development: the Crucial Enabler of Economic Growth</w:t>
      </w:r>
    </w:p>
    <w:p w:rsidR="009008A6" w:rsidRDefault="009008A6" w:rsidP="0039310E">
      <w:pPr>
        <w:spacing w:line="360" w:lineRule="auto"/>
        <w:jc w:val="both"/>
        <w:rPr>
          <w:rFonts w:ascii="Times New Roman" w:hAnsi="Times New Roman" w:cs="Times New Roman"/>
          <w:sz w:val="24"/>
          <w:szCs w:val="24"/>
        </w:rPr>
      </w:pPr>
    </w:p>
    <w:p w:rsidR="00E5096E" w:rsidRDefault="009008A6" w:rsidP="0039310E">
      <w:pPr>
        <w:spacing w:line="360" w:lineRule="auto"/>
        <w:jc w:val="both"/>
        <w:rPr>
          <w:rFonts w:ascii="Times New Roman" w:hAnsi="Times New Roman" w:cs="Times New Roman"/>
          <w:sz w:val="24"/>
          <w:szCs w:val="24"/>
        </w:rPr>
      </w:pPr>
      <w:r w:rsidRPr="00DB1986">
        <w:rPr>
          <w:rFonts w:ascii="Times New Roman" w:hAnsi="Times New Roman" w:cs="Times New Roman"/>
          <w:b/>
          <w:sz w:val="24"/>
          <w:szCs w:val="24"/>
        </w:rPr>
        <w:t>Abstract</w:t>
      </w:r>
      <w:r>
        <w:rPr>
          <w:rFonts w:ascii="Times New Roman" w:hAnsi="Times New Roman" w:cs="Times New Roman"/>
          <w:sz w:val="24"/>
          <w:szCs w:val="24"/>
        </w:rPr>
        <w:t xml:space="preserve">: </w:t>
      </w:r>
      <w:r w:rsidR="00E5096E" w:rsidRPr="0039310E">
        <w:rPr>
          <w:rFonts w:ascii="Times New Roman" w:hAnsi="Times New Roman" w:cs="Times New Roman"/>
          <w:sz w:val="24"/>
          <w:szCs w:val="24"/>
        </w:rPr>
        <w:t>Research and Development (R&amp;D) is widely regarded as a critical investment contributing to expansion of knowledge base and identifying the most efficient methods of production within an economy. It not only facilitates technological advancement but also strengthens a country’s ability to adapt to changing global conditions and sustain long-term economic growth. Numerous empirical studies across both developed and developing economies have consistently demonstrated a strong and positive correlation between R&amp;D expenditure and economic growth.   Many countries have therefore prioritized R&amp;D in their science and technology policies, adopting targets based on R&amp;D intensity measured as Gross Expenditure on Research and Development (GERD) as a percentage of GDP to strengthen their innovation capacities and global competitiveness. For an emerging economy like India, transitioning from a net consumer to a net producer of knowledge is essential to maintain growth momentum and reduce dependence on external technologies. This requires enhanced public and private investment in R&amp;D, stronger industry academia linkages, and supportive policy frameworks to stimulate indigenous innovation. This paper examines the relationship between R&amp;D and economic growth</w:t>
      </w:r>
      <w:r w:rsidR="00771B6C">
        <w:rPr>
          <w:rFonts w:ascii="Times New Roman" w:hAnsi="Times New Roman" w:cs="Times New Roman"/>
          <w:sz w:val="24"/>
          <w:szCs w:val="24"/>
        </w:rPr>
        <w:t xml:space="preserve"> </w:t>
      </w:r>
      <w:r w:rsidR="0039310E" w:rsidRPr="0039310E">
        <w:rPr>
          <w:rFonts w:ascii="Times New Roman" w:hAnsi="Times New Roman" w:cs="Times New Roman"/>
          <w:sz w:val="24"/>
          <w:szCs w:val="24"/>
        </w:rPr>
        <w:t>and recent trends in India’s R&amp;D expenditure</w:t>
      </w:r>
      <w:r w:rsidR="00E5096E" w:rsidRPr="0039310E">
        <w:rPr>
          <w:rFonts w:ascii="Times New Roman" w:hAnsi="Times New Roman" w:cs="Times New Roman"/>
          <w:sz w:val="24"/>
          <w:szCs w:val="24"/>
        </w:rPr>
        <w:t xml:space="preserve"> and underscores the need for sustained investment to secure long-term economic resilience and technological leadership.</w:t>
      </w:r>
    </w:p>
    <w:p w:rsidR="00C90CE1" w:rsidRPr="0039310E" w:rsidRDefault="00C90CE1" w:rsidP="003931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C90CE1">
        <w:rPr>
          <w:rFonts w:ascii="Times New Roman" w:hAnsi="Times New Roman" w:cs="Times New Roman"/>
          <w:sz w:val="24"/>
          <w:szCs w:val="24"/>
        </w:rPr>
        <w:t>Research and Development</w:t>
      </w:r>
      <w:r>
        <w:rPr>
          <w:rFonts w:ascii="Times New Roman" w:hAnsi="Times New Roman" w:cs="Times New Roman"/>
          <w:sz w:val="24"/>
          <w:szCs w:val="24"/>
        </w:rPr>
        <w:t xml:space="preserve">, </w:t>
      </w:r>
      <w:r w:rsidRPr="00C90CE1">
        <w:rPr>
          <w:rFonts w:ascii="Times New Roman" w:hAnsi="Times New Roman" w:cs="Times New Roman"/>
          <w:sz w:val="24"/>
          <w:szCs w:val="24"/>
        </w:rPr>
        <w:t>Economic Growth</w:t>
      </w:r>
      <w:r>
        <w:rPr>
          <w:rFonts w:ascii="Times New Roman" w:hAnsi="Times New Roman" w:cs="Times New Roman"/>
          <w:sz w:val="24"/>
          <w:szCs w:val="24"/>
        </w:rPr>
        <w:t xml:space="preserve">, </w:t>
      </w:r>
      <w:r w:rsidRPr="00C90CE1">
        <w:rPr>
          <w:rFonts w:ascii="Times New Roman" w:hAnsi="Times New Roman" w:cs="Times New Roman"/>
          <w:sz w:val="24"/>
          <w:szCs w:val="24"/>
        </w:rPr>
        <w:t>Gross Expenditure on Research and Development</w:t>
      </w:r>
      <w:r>
        <w:rPr>
          <w:rFonts w:ascii="Times New Roman" w:hAnsi="Times New Roman" w:cs="Times New Roman"/>
          <w:sz w:val="24"/>
          <w:szCs w:val="24"/>
        </w:rPr>
        <w:t xml:space="preserve">, </w:t>
      </w:r>
      <w:r w:rsidRPr="00C90CE1">
        <w:rPr>
          <w:rFonts w:ascii="Times New Roman" w:hAnsi="Times New Roman" w:cs="Times New Roman"/>
          <w:sz w:val="24"/>
          <w:szCs w:val="24"/>
        </w:rPr>
        <w:t>GDP</w:t>
      </w:r>
    </w:p>
    <w:p w:rsidR="00246499" w:rsidRDefault="00246499" w:rsidP="00E5096E">
      <w:pPr>
        <w:pStyle w:val="NormalWeb"/>
        <w:jc w:val="both"/>
      </w:pPr>
    </w:p>
    <w:p w:rsidR="00A208EF" w:rsidRPr="00A208EF" w:rsidRDefault="00246499" w:rsidP="00A208EF">
      <w:pPr>
        <w:pStyle w:val="NoSpacing"/>
        <w:spacing w:line="360" w:lineRule="auto"/>
        <w:jc w:val="both"/>
        <w:rPr>
          <w:rFonts w:ascii="Times New Roman" w:eastAsia="Times New Roman" w:hAnsi="Times New Roman" w:cs="Times New Roman"/>
          <w:sz w:val="24"/>
          <w:szCs w:val="24"/>
        </w:rPr>
      </w:pPr>
      <w:r w:rsidRPr="0039310E">
        <w:rPr>
          <w:rFonts w:ascii="Times New Roman" w:hAnsi="Times New Roman" w:cs="Times New Roman"/>
          <w:b/>
          <w:sz w:val="24"/>
          <w:szCs w:val="24"/>
        </w:rPr>
        <w:t>Introduction</w:t>
      </w:r>
      <w:r w:rsidR="0039310E" w:rsidRPr="0039310E">
        <w:rPr>
          <w:rFonts w:ascii="Times New Roman" w:hAnsi="Times New Roman" w:cs="Times New Roman"/>
          <w:sz w:val="24"/>
          <w:szCs w:val="24"/>
        </w:rPr>
        <w:t>:</w:t>
      </w:r>
      <w:r w:rsidR="0039310E">
        <w:t xml:space="preserve"> </w:t>
      </w:r>
      <w:r w:rsidR="0039310E" w:rsidRPr="0039310E">
        <w:t xml:space="preserve"> </w:t>
      </w:r>
    </w:p>
    <w:p w:rsidR="00A208EF" w:rsidRPr="00A208EF" w:rsidRDefault="00A208EF" w:rsidP="00A208EF">
      <w:pPr>
        <w:spacing w:line="360" w:lineRule="auto"/>
        <w:jc w:val="both"/>
        <w:rPr>
          <w:rFonts w:ascii="Times New Roman" w:hAnsi="Times New Roman" w:cs="Times New Roman"/>
          <w:sz w:val="24"/>
          <w:szCs w:val="24"/>
        </w:rPr>
      </w:pPr>
      <w:r w:rsidRPr="00A208EF">
        <w:rPr>
          <w:rFonts w:ascii="Times New Roman" w:hAnsi="Times New Roman" w:cs="Times New Roman"/>
          <w:sz w:val="24"/>
          <w:szCs w:val="24"/>
        </w:rPr>
        <w:t xml:space="preserve">Research and Development (R&amp;D) is widely regarded as a cornerstone of modern economic growth, forming the basis for innovation, technological progress, and productivity enhancement. In today’s knowledge-driven global economy, the ability of nations to generate new technologies and translate scientific advancements into practical applications defines their competitiveness, resilience, and long-term prosperity. R&amp;D not only improves the efficiency of production processes but also stimulates the creation of high-value industries, drives industrial diversification, and generates quality employment opportunities. By broadening the knowledge </w:t>
      </w:r>
      <w:r w:rsidRPr="00A208EF">
        <w:rPr>
          <w:rFonts w:ascii="Times New Roman" w:hAnsi="Times New Roman" w:cs="Times New Roman"/>
          <w:sz w:val="24"/>
          <w:szCs w:val="24"/>
        </w:rPr>
        <w:lastRenderedPageBreak/>
        <w:t>base, R&amp;D enables countries to tackle pressing global challenges, from digital transformation and artificial intelligence to renewable energy and climate change, while simultaneously opening pathways for sustainable development and inclusive growth.</w:t>
      </w:r>
    </w:p>
    <w:p w:rsidR="00A208EF" w:rsidRPr="00A208EF" w:rsidRDefault="00A208EF" w:rsidP="00A208EF">
      <w:pPr>
        <w:spacing w:line="360" w:lineRule="auto"/>
        <w:jc w:val="both"/>
        <w:rPr>
          <w:rFonts w:ascii="Times New Roman" w:hAnsi="Times New Roman" w:cs="Times New Roman"/>
          <w:sz w:val="24"/>
          <w:szCs w:val="24"/>
        </w:rPr>
      </w:pPr>
      <w:r w:rsidRPr="00A208EF">
        <w:rPr>
          <w:rFonts w:ascii="Times New Roman" w:hAnsi="Times New Roman" w:cs="Times New Roman"/>
          <w:sz w:val="24"/>
          <w:szCs w:val="24"/>
        </w:rPr>
        <w:t>Governments and policymakers around the world increasingly view R&amp;D as a strategic investment rather than a discretionary expenditure. Decades of empirical research demonstrate a strong positive rel</w:t>
      </w:r>
      <w:r>
        <w:rPr>
          <w:rFonts w:ascii="Times New Roman" w:hAnsi="Times New Roman" w:cs="Times New Roman"/>
          <w:sz w:val="24"/>
          <w:szCs w:val="24"/>
        </w:rPr>
        <w:t xml:space="preserve">ationship between R&amp;D intensity </w:t>
      </w:r>
      <w:r w:rsidRPr="00A208EF">
        <w:rPr>
          <w:rFonts w:ascii="Times New Roman" w:hAnsi="Times New Roman" w:cs="Times New Roman"/>
          <w:sz w:val="24"/>
          <w:szCs w:val="24"/>
        </w:rPr>
        <w:t>measured as Gross Expenditure on Research and Dev</w:t>
      </w:r>
      <w:r>
        <w:rPr>
          <w:rFonts w:ascii="Times New Roman" w:hAnsi="Times New Roman" w:cs="Times New Roman"/>
          <w:sz w:val="24"/>
          <w:szCs w:val="24"/>
        </w:rPr>
        <w:t xml:space="preserve">elopment (GERD) relative to GDP </w:t>
      </w:r>
      <w:r w:rsidRPr="00A208EF">
        <w:rPr>
          <w:rFonts w:ascii="Times New Roman" w:hAnsi="Times New Roman" w:cs="Times New Roman"/>
          <w:sz w:val="24"/>
          <w:szCs w:val="24"/>
        </w:rPr>
        <w:t>and long-term economic growth. Countries such as the United States, Germany, Japan, and South Korea, which consistently invest between 2–4% of their GDP in R&amp;D, have emerged as global leaders in innovation, high-technology industries, and advanced manufacturing. Their experience highlights how sustained R&amp;D expenditure fosters robust innovation ecosystems, promotes collaboration between academia and industry, and ensures technological self-reliance. Conversely, nations with underdeveloped R&amp;D systems often face structural limitations that hinder their ability to compete globally, leaving them dependent on imported technologies and vulnerable to external shocks.</w:t>
      </w:r>
    </w:p>
    <w:p w:rsidR="00A208EF" w:rsidRPr="00A208EF" w:rsidRDefault="00A208EF" w:rsidP="00A208EF">
      <w:pPr>
        <w:spacing w:line="360" w:lineRule="auto"/>
        <w:jc w:val="both"/>
        <w:rPr>
          <w:rFonts w:ascii="Times New Roman" w:hAnsi="Times New Roman" w:cs="Times New Roman"/>
          <w:sz w:val="24"/>
          <w:szCs w:val="24"/>
        </w:rPr>
      </w:pPr>
      <w:r w:rsidRPr="00A208EF">
        <w:rPr>
          <w:rFonts w:ascii="Times New Roman" w:hAnsi="Times New Roman" w:cs="Times New Roman"/>
          <w:sz w:val="24"/>
          <w:szCs w:val="24"/>
        </w:rPr>
        <w:t>For developing and emerging economies, strengthening R&amp;D capacity is crucial to move beyond being passive consumers of innovation and instead become active contributors to the global knowledge economy. Building strong research institutions, incentivizing private sector participation, and encouraging international collaboration are vital steps toward achieving this transformation.</w:t>
      </w:r>
    </w:p>
    <w:p w:rsidR="00A208EF" w:rsidRDefault="00A208EF" w:rsidP="00A208EF">
      <w:pPr>
        <w:pStyle w:val="NoSpacing"/>
        <w:spacing w:line="360" w:lineRule="auto"/>
        <w:jc w:val="both"/>
        <w:rPr>
          <w:rFonts w:ascii="Times New Roman" w:eastAsia="Times New Roman" w:hAnsi="Times New Roman" w:cs="Times New Roman"/>
          <w:sz w:val="24"/>
          <w:szCs w:val="24"/>
        </w:rPr>
      </w:pPr>
      <w:r w:rsidRPr="00A208EF">
        <w:rPr>
          <w:rFonts w:ascii="Times New Roman" w:hAnsi="Times New Roman" w:cs="Times New Roman"/>
          <w:sz w:val="24"/>
          <w:szCs w:val="24"/>
        </w:rPr>
        <w:t>In the Indian context, R&amp;D assumes particular importance. As one of the fastest-growing major economies, India faces the dual challenge of sustaining its growth trajectory while addressing developmental priorities such as energy security, healthcare, infrastructure, and climate resilience. Expanding indigenous research capacity will enable India to reduce reliance on foreign technologies, develop locally suited innovations, and create globally competitive industries. By positioning R&amp;D as a central driver of economic transformation, India can strengthen its competitiveness, generate high-skilled employment, and secure a more sustainable and self-reliant future.</w:t>
      </w:r>
      <w:r w:rsidRPr="00A208EF">
        <w:rPr>
          <w:rFonts w:ascii="Times New Roman" w:eastAsia="Times New Roman" w:hAnsi="Times New Roman" w:cs="Times New Roman"/>
          <w:sz w:val="24"/>
          <w:szCs w:val="24"/>
        </w:rPr>
        <w:t xml:space="preserve"> This makes R&amp;D not just an enabler but a crucial driver of long-term economic transformation and global competitiveness</w:t>
      </w:r>
      <w:r>
        <w:rPr>
          <w:rFonts w:ascii="Times New Roman" w:eastAsia="Times New Roman" w:hAnsi="Times New Roman" w:cs="Times New Roman"/>
          <w:sz w:val="24"/>
          <w:szCs w:val="24"/>
        </w:rPr>
        <w:t xml:space="preserve"> </w:t>
      </w:r>
    </w:p>
    <w:p w:rsidR="00A208EF" w:rsidRPr="00A208EF" w:rsidRDefault="00A208EF" w:rsidP="00A208EF">
      <w:pPr>
        <w:spacing w:line="360" w:lineRule="auto"/>
        <w:jc w:val="both"/>
        <w:rPr>
          <w:rFonts w:ascii="Times New Roman" w:hAnsi="Times New Roman" w:cs="Times New Roman"/>
          <w:sz w:val="24"/>
          <w:szCs w:val="24"/>
        </w:rPr>
      </w:pPr>
    </w:p>
    <w:p w:rsidR="00A208EF" w:rsidRPr="00A208EF" w:rsidRDefault="00A208EF" w:rsidP="0039310E">
      <w:pPr>
        <w:pStyle w:val="NoSpacing"/>
        <w:spacing w:line="360" w:lineRule="auto"/>
        <w:jc w:val="both"/>
        <w:rPr>
          <w:rFonts w:ascii="Times New Roman" w:eastAsia="Times New Roman" w:hAnsi="Times New Roman" w:cs="Times New Roman"/>
          <w:sz w:val="24"/>
          <w:szCs w:val="24"/>
        </w:rPr>
      </w:pPr>
    </w:p>
    <w:p w:rsidR="00246499" w:rsidRDefault="00246499" w:rsidP="003D17C5">
      <w:pPr>
        <w:pStyle w:val="NormalWeb"/>
        <w:spacing w:line="360" w:lineRule="auto"/>
        <w:jc w:val="both"/>
      </w:pPr>
      <w:r w:rsidRPr="0039310E">
        <w:rPr>
          <w:b/>
        </w:rPr>
        <w:t>Review of literature</w:t>
      </w:r>
      <w:r>
        <w:t>:</w:t>
      </w:r>
      <w:r w:rsidRPr="00246499">
        <w:t xml:space="preserve"> </w:t>
      </w:r>
      <w:r>
        <w:t>The review of existing literature highlights a substantial body of research emphasizing the influence of R&amp;D activities on economic performance. It is a well-accepted notion that economic growth has a direct impact on living standards and overall welfare. Economists widely agree that long-term growth in per capita income is largely determined by productivity gains. While economic output can be increased through investments in physical capital and employment growth, sustained improvements in productivity remain the key driver. By utilizing resources more efficiently, economies can produce more with the same inputs, while innovations in products and services further enhance value creation for consumers (Erik Canton, 2005).</w:t>
      </w:r>
    </w:p>
    <w:p w:rsidR="00246499" w:rsidRDefault="00246499" w:rsidP="003D17C5">
      <w:pPr>
        <w:pStyle w:val="NormalWeb"/>
        <w:spacing w:line="360" w:lineRule="auto"/>
        <w:jc w:val="both"/>
      </w:pPr>
      <w:r>
        <w:t>Broadly, two major schools of thought dominate growth theory: the neoclassical model and the endogenous growth model. The neoclassical approach assumes that productivity growth is externally determined, while the endogenous growth theory, developed in the early 1980s, challenged this view by emphasizing the role of deliberate human actions such as innovation and education. Human capital not only contributes directly to productivity but also strengthens a country’s capacity to adopt and adapt new technologies. Empirical evidence suggests that raising the average educational level by one year can increase long-run per capita output by about 6%, though this effect may diminish in countries with already high education levels (Erik Canton, 2005).</w:t>
      </w:r>
    </w:p>
    <w:p w:rsidR="00246499" w:rsidRDefault="00246499" w:rsidP="003D17C5">
      <w:pPr>
        <w:pStyle w:val="NormalWeb"/>
        <w:spacing w:line="360" w:lineRule="auto"/>
        <w:jc w:val="both"/>
      </w:pPr>
      <w:r>
        <w:t>Scholars of endogenous growth theory have extensively examined the impact of R&amp;D and human capital on long-term growth. Influential works by Romer (1990), Grossman (1991), and Aghion (1992) underscore the pivotal role of R&amp;D in driving productivity growth. Romer identified technological change, driven by R&amp;D expenditure, as the foundation of economic progress, arguing that R&amp;D-generated knowledge mitigates diminishing returns to scale. Grossman highlighted R&amp;D as a key source of innovation, while Aghion formalized the concept of “creative destruction,” illustrating how R&amp;D fuels growth through continuous innovation.</w:t>
      </w:r>
    </w:p>
    <w:p w:rsidR="00246499" w:rsidRDefault="00246499" w:rsidP="003D17C5">
      <w:pPr>
        <w:pStyle w:val="NormalWeb"/>
        <w:spacing w:line="360" w:lineRule="auto"/>
        <w:jc w:val="both"/>
      </w:pPr>
      <w:r>
        <w:t xml:space="preserve">Subsequent empirical studies reinforce these theoretical insights. Prodan (2005) established a positive relationship between R&amp;D investments and patent applications in OECD countries </w:t>
      </w:r>
      <w:r>
        <w:lastRenderedPageBreak/>
        <w:t xml:space="preserve">between 1981 and 2001. Falk Martin (2007) demonstrated that R&amp;D expenditure in high-tech sectors had a strong positive impact on long-term GDP per capita across OECD nations from 1970 to 2004. Similarly, </w:t>
      </w:r>
      <w:proofErr w:type="spellStart"/>
      <w:r>
        <w:t>Guloglu</w:t>
      </w:r>
      <w:proofErr w:type="spellEnd"/>
      <w:r>
        <w:t xml:space="preserve"> and </w:t>
      </w:r>
      <w:proofErr w:type="spellStart"/>
      <w:r>
        <w:t>Tekin</w:t>
      </w:r>
      <w:proofErr w:type="spellEnd"/>
      <w:r>
        <w:t xml:space="preserve"> (2012) confirmed the causal link between R&amp;D, innovation, and economic growth in high-tech industries, showing that R&amp;D accelerates technological progress. </w:t>
      </w:r>
      <w:proofErr w:type="spellStart"/>
      <w:r>
        <w:t>Gumus</w:t>
      </w:r>
      <w:proofErr w:type="spellEnd"/>
      <w:r>
        <w:t xml:space="preserve"> and </w:t>
      </w:r>
      <w:proofErr w:type="spellStart"/>
      <w:r>
        <w:t>Celikay</w:t>
      </w:r>
      <w:proofErr w:type="spellEnd"/>
      <w:r>
        <w:t xml:space="preserve"> (2015), analyzing data from 52 countries between 1996 and 2010, found that R&amp;D effects were modest in the short run but significantly stronger in the long run, especially for developing economies.</w:t>
      </w:r>
    </w:p>
    <w:p w:rsidR="00EB495E" w:rsidRDefault="00EB495E" w:rsidP="00E70AEF">
      <w:pPr>
        <w:pStyle w:val="NormalWeb"/>
        <w:spacing w:line="360" w:lineRule="auto"/>
        <w:jc w:val="both"/>
      </w:pPr>
      <w:r>
        <w:t xml:space="preserve"> </w:t>
      </w:r>
      <w:r w:rsidRPr="00EB495E">
        <w:t xml:space="preserve">Research and Development (R&amp;D) is increasingly seen as essential for national security. It plays a key role in protecting sovereignty, preparing for defense, and building resilience against new threats. Scholars agree that sustained investment in R&amp;D directly improves a nation's ability to defend itself and stay competitive in a fast-changing global security landscape. Historically, many dual-use technologies like GPS, the internet, and advanced aerospace systems came from defense-related R&amp;D. These technologies later found uses in civilian applications, boosting both security and economic growth (Grossman &amp; </w:t>
      </w:r>
      <w:proofErr w:type="spellStart"/>
      <w:r w:rsidRPr="00EB495E">
        <w:t>Helpman</w:t>
      </w:r>
      <w:proofErr w:type="spellEnd"/>
      <w:r w:rsidRPr="00EB495E">
        <w:t>, 1991; Romer, 1990).</w:t>
      </w:r>
    </w:p>
    <w:p w:rsidR="00EB495E" w:rsidRPr="00E70AEF" w:rsidRDefault="00EB495E" w:rsidP="00E70AEF">
      <w:pPr>
        <w:pStyle w:val="NormalWeb"/>
        <w:spacing w:line="360" w:lineRule="auto"/>
        <w:jc w:val="both"/>
        <w:rPr>
          <w:highlight w:val="yellow"/>
        </w:rPr>
      </w:pPr>
      <w:r w:rsidRPr="00EB495E">
        <w:t>Within the framework of endogenous growth theory, research and development (R&amp;D) drives long-term productivity and national capability. Aghion and Howitt (1992) highlighted that R&amp;D-led innovation, through “creative destruction,” constantly replaces outdated technologies with better systems. This is essential for maintaining military superiority. Likewise, Romer (1990) stated that technological change, based on R&amp;D spending, is a key factor in sustained growth and security readiness.</w:t>
      </w:r>
    </w:p>
    <w:p w:rsidR="00EB495E" w:rsidRPr="00E70AEF" w:rsidRDefault="00EB495E" w:rsidP="00E70AEF">
      <w:pPr>
        <w:pStyle w:val="NormalWeb"/>
        <w:spacing w:line="360" w:lineRule="auto"/>
        <w:jc w:val="both"/>
        <w:rPr>
          <w:highlight w:val="yellow"/>
        </w:rPr>
      </w:pPr>
      <w:r w:rsidRPr="00EB495E">
        <w:t xml:space="preserve">Empirical studies back up the connection between R&amp;D and security strength. Prodan (2005) showed a positive link between R&amp;D spending and patent applications in OECD countries. This highlights how the ability to innovate leads to technological leadership, which is crucial for national defense. Falk (2007) also found that R&amp;D investment in high-tech industries has significant long-term effects on GDP per capita. This indirectly strengthens a state’s capacity to fund security systems. </w:t>
      </w:r>
      <w:proofErr w:type="spellStart"/>
      <w:r w:rsidRPr="00EB495E">
        <w:t>Guloglu</w:t>
      </w:r>
      <w:proofErr w:type="spellEnd"/>
      <w:r w:rsidRPr="00EB495E">
        <w:t xml:space="preserve"> and </w:t>
      </w:r>
      <w:proofErr w:type="spellStart"/>
      <w:r w:rsidRPr="00EB495E">
        <w:t>Tekin</w:t>
      </w:r>
      <w:proofErr w:type="spellEnd"/>
      <w:r w:rsidRPr="00EB495E">
        <w:t xml:space="preserve"> (2012) found evidence of a direct relationship between R&amp;D, innovation, and growth in OECD economies. This suggests that technological advancements help national security by speeding up defense capabilities.</w:t>
      </w:r>
    </w:p>
    <w:p w:rsidR="00EB495E" w:rsidRDefault="00EB495E" w:rsidP="00E70AEF">
      <w:pPr>
        <w:pStyle w:val="NormalWeb"/>
        <w:spacing w:line="360" w:lineRule="auto"/>
        <w:jc w:val="both"/>
      </w:pPr>
      <w:r w:rsidRPr="00EB495E">
        <w:lastRenderedPageBreak/>
        <w:t xml:space="preserve">Recent studies expand this view by looking at non-traditional security threats. </w:t>
      </w:r>
      <w:proofErr w:type="spellStart"/>
      <w:r w:rsidRPr="00EB495E">
        <w:t>Gumus</w:t>
      </w:r>
      <w:proofErr w:type="spellEnd"/>
      <w:r w:rsidRPr="00EB495E">
        <w:t xml:space="preserve"> and </w:t>
      </w:r>
      <w:proofErr w:type="spellStart"/>
      <w:r w:rsidRPr="00EB495E">
        <w:t>Celikay</w:t>
      </w:r>
      <w:proofErr w:type="spellEnd"/>
      <w:r w:rsidRPr="00EB495E">
        <w:t xml:space="preserve"> (2015) studied R&amp;D investment in 52 countries. They found that although short-term effects may be limited, long-term R&amp;D spending greatly improves the resilience of developing nations. This is especially crucial in fields like cybersecurity, energy security, and biotechnology. In these areas, innovation is essential for protecting critical infrastructure and national well-being.</w:t>
      </w:r>
    </w:p>
    <w:p w:rsidR="00112FE0" w:rsidRPr="00674518" w:rsidRDefault="00112FE0" w:rsidP="00112FE0">
      <w:pPr>
        <w:spacing w:line="360" w:lineRule="auto"/>
        <w:jc w:val="both"/>
        <w:rPr>
          <w:rFonts w:ascii="Times New Roman" w:hAnsi="Times New Roman" w:cs="Times New Roman"/>
          <w:sz w:val="24"/>
          <w:szCs w:val="24"/>
        </w:rPr>
      </w:pPr>
      <w:r w:rsidRPr="00674518">
        <w:rPr>
          <w:rFonts w:ascii="Times New Roman" w:hAnsi="Times New Roman" w:cs="Times New Roman"/>
          <w:sz w:val="24"/>
          <w:szCs w:val="24"/>
        </w:rPr>
        <w:t>The reviewed literature also reveals growing consensus that Gross Expenditure on Research and Development (GERD), measured as a percentage of GDP, has become a critical benchmark for evaluating national innovation capacity and security preparedness. Countries such as the United States, Japan, South Korea, and Germany consistently allocate higher shares of their GDP to R&amp;D, recognizing its importance for both economic growth and strategic autonomy. By contrast, countries with lower GERD-to-GDP ratios, such as India, face challenges in bridging the technological gap and ensuring long-term security resilience. Policymakers increasingly view GERD targets as a key element of science, technology, and security policy, integrating them into national strategies to promote self-reliance, reduce vulnerability, and foster global competitiveness (Karahan, 2016).</w:t>
      </w:r>
    </w:p>
    <w:p w:rsidR="00112FE0" w:rsidRPr="00674518" w:rsidRDefault="00112FE0" w:rsidP="00112FE0">
      <w:pPr>
        <w:pStyle w:val="NormalWeb"/>
        <w:spacing w:line="360" w:lineRule="auto"/>
        <w:jc w:val="both"/>
      </w:pPr>
      <w:r w:rsidRPr="00674518">
        <w:t>Overall, the literature strongly supports the argument that R&amp;D is not merely an economic driver but also a critical pillar of national security. It enables states to innovate, maintain technological independence, and respond effectively to both traditional threats—such as military conflict—and non-traditional threats, including climate change, pandemics, and cyberwarfare. The interplay between R&amp;D, growth, and security is thus both multidimensional and mutually reinforcing. Economies that invest consistently in R&amp;D not only achieve sustained growth but also enhance their strategic resilience, ensuring that they can withstand uncertainties and challenges in an increasingly volatile global environment. The consensus across both theoretical and empirical research is clear: R&amp;D is among the most decisive factors shaping the trajectory of economic development and national security in the 21st century.</w:t>
      </w:r>
    </w:p>
    <w:p w:rsidR="00246499" w:rsidRDefault="0039310E" w:rsidP="003D17C5">
      <w:pPr>
        <w:pStyle w:val="NormalWeb"/>
        <w:spacing w:line="360" w:lineRule="auto"/>
        <w:jc w:val="both"/>
      </w:pPr>
      <w:proofErr w:type="gramStart"/>
      <w:r>
        <w:t xml:space="preserve">Thus </w:t>
      </w:r>
      <w:r w:rsidR="00246499">
        <w:t xml:space="preserve"> consensus</w:t>
      </w:r>
      <w:proofErr w:type="gramEnd"/>
      <w:r w:rsidR="00246499">
        <w:t xml:space="preserve"> across theoretical and empirical studies is that R&amp;D is one of the most critical determinants of economic growth, primarily through its role in enhancing technological capacity and innovation. As a result, governments worldwide have increasingly prioritized R&amp;D in their </w:t>
      </w:r>
      <w:r w:rsidR="00246499">
        <w:lastRenderedPageBreak/>
        <w:t>policy agendas, allocating greater resources to research activities. Setting R&amp;D expenditure targets, often measured as Gross Expenditure on Research and Development (GERD) as a percentage of GDP, has thus become a central element of science and technology strategies in many countries (</w:t>
      </w:r>
      <w:proofErr w:type="spellStart"/>
      <w:r w:rsidR="00246499">
        <w:t>Özcan</w:t>
      </w:r>
      <w:proofErr w:type="spellEnd"/>
      <w:r w:rsidR="00246499">
        <w:t xml:space="preserve"> Karahan, 2016).</w:t>
      </w:r>
    </w:p>
    <w:p w:rsidR="00112FE0" w:rsidRPr="00771B6C" w:rsidRDefault="00112FE0" w:rsidP="00112FE0">
      <w:pPr>
        <w:pStyle w:val="NoSpacing"/>
        <w:spacing w:line="360" w:lineRule="auto"/>
        <w:jc w:val="both"/>
        <w:rPr>
          <w:rFonts w:ascii="Times New Roman" w:hAnsi="Times New Roman" w:cs="Times New Roman"/>
          <w:b/>
          <w:sz w:val="24"/>
          <w:szCs w:val="24"/>
        </w:rPr>
      </w:pPr>
      <w:r w:rsidRPr="00771B6C">
        <w:rPr>
          <w:rFonts w:ascii="Times New Roman" w:eastAsia="Times New Roman" w:hAnsi="Times New Roman" w:cs="Times New Roman"/>
          <w:b/>
          <w:sz w:val="24"/>
          <w:szCs w:val="24"/>
        </w:rPr>
        <w:t>Objectives:</w:t>
      </w:r>
      <w:r w:rsidRPr="00771B6C">
        <w:rPr>
          <w:rFonts w:ascii="Times New Roman" w:hAnsi="Times New Roman" w:cs="Times New Roman"/>
          <w:b/>
          <w:sz w:val="24"/>
          <w:szCs w:val="24"/>
        </w:rPr>
        <w:t xml:space="preserve"> </w:t>
      </w:r>
    </w:p>
    <w:p w:rsidR="00112FE0" w:rsidRDefault="00112FE0" w:rsidP="00112FE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To </w:t>
      </w:r>
      <w:r w:rsidRPr="0039310E">
        <w:rPr>
          <w:rFonts w:ascii="Times New Roman" w:hAnsi="Times New Roman" w:cs="Times New Roman"/>
          <w:sz w:val="24"/>
          <w:szCs w:val="24"/>
        </w:rPr>
        <w:t>examines the relationship between R&amp;D and economic growth</w:t>
      </w:r>
      <w:r>
        <w:rPr>
          <w:rFonts w:ascii="Times New Roman" w:hAnsi="Times New Roman" w:cs="Times New Roman"/>
          <w:sz w:val="24"/>
          <w:szCs w:val="24"/>
        </w:rPr>
        <w:t xml:space="preserve"> </w:t>
      </w:r>
    </w:p>
    <w:p w:rsidR="00112FE0" w:rsidRPr="0039310E" w:rsidRDefault="00112FE0" w:rsidP="00112FE0">
      <w:pPr>
        <w:pStyle w:val="NoSpacing"/>
        <w:spacing w:line="360" w:lineRule="auto"/>
        <w:jc w:val="both"/>
        <w:rPr>
          <w:rFonts w:ascii="Times New Roman" w:eastAsia="Times New Roman" w:hAnsi="Times New Roman" w:cs="Times New Roman"/>
          <w:sz w:val="24"/>
          <w:szCs w:val="24"/>
        </w:rPr>
      </w:pPr>
      <w:r w:rsidRPr="0039310E">
        <w:rPr>
          <w:rFonts w:ascii="Times New Roman" w:hAnsi="Times New Roman" w:cs="Times New Roman"/>
          <w:sz w:val="24"/>
          <w:szCs w:val="24"/>
        </w:rPr>
        <w:t xml:space="preserve">  </w:t>
      </w:r>
      <w:r>
        <w:rPr>
          <w:rFonts w:ascii="Times New Roman" w:hAnsi="Times New Roman" w:cs="Times New Roman"/>
          <w:sz w:val="24"/>
          <w:szCs w:val="24"/>
        </w:rPr>
        <w:t xml:space="preserve">2. To examine </w:t>
      </w:r>
      <w:r w:rsidRPr="0039310E">
        <w:rPr>
          <w:rFonts w:ascii="Times New Roman" w:hAnsi="Times New Roman" w:cs="Times New Roman"/>
          <w:sz w:val="24"/>
          <w:szCs w:val="24"/>
        </w:rPr>
        <w:t>recent trends in India’s R&amp;D</w:t>
      </w:r>
    </w:p>
    <w:p w:rsidR="00112FE0" w:rsidRDefault="00112FE0" w:rsidP="00112FE0">
      <w:pPr>
        <w:autoSpaceDE w:val="0"/>
        <w:autoSpaceDN w:val="0"/>
        <w:adjustRightInd w:val="0"/>
        <w:spacing w:after="0" w:line="360" w:lineRule="auto"/>
        <w:jc w:val="both"/>
        <w:rPr>
          <w:rFonts w:ascii="Times New Roman" w:hAnsi="Times New Roman" w:cs="Times New Roman"/>
          <w:b/>
          <w:sz w:val="24"/>
          <w:szCs w:val="24"/>
        </w:rPr>
      </w:pPr>
    </w:p>
    <w:p w:rsidR="00112FE0" w:rsidRDefault="00112FE0" w:rsidP="00112FE0">
      <w:pPr>
        <w:autoSpaceDE w:val="0"/>
        <w:autoSpaceDN w:val="0"/>
        <w:adjustRightInd w:val="0"/>
        <w:spacing w:after="0" w:line="360" w:lineRule="auto"/>
        <w:jc w:val="both"/>
      </w:pPr>
      <w:r w:rsidRPr="00063179">
        <w:rPr>
          <w:rFonts w:ascii="Times New Roman" w:hAnsi="Times New Roman" w:cs="Times New Roman"/>
          <w:b/>
          <w:sz w:val="24"/>
          <w:szCs w:val="24"/>
        </w:rPr>
        <w:t>Methodology</w:t>
      </w:r>
      <w:r w:rsidRPr="00FD2B5E">
        <w:rPr>
          <w:rFonts w:ascii="Times New Roman" w:hAnsi="Times New Roman" w:cs="Times New Roman"/>
          <w:sz w:val="24"/>
          <w:szCs w:val="24"/>
        </w:rPr>
        <w:t>: The paper is p</w:t>
      </w:r>
      <w:r>
        <w:rPr>
          <w:rFonts w:ascii="Times New Roman" w:hAnsi="Times New Roman" w:cs="Times New Roman"/>
          <w:sz w:val="24"/>
          <w:szCs w:val="24"/>
        </w:rPr>
        <w:t xml:space="preserve">urely based upon secondary data. </w:t>
      </w:r>
      <w:r w:rsidRPr="00FD2B5E">
        <w:rPr>
          <w:rFonts w:ascii="Times New Roman" w:hAnsi="Times New Roman" w:cs="Times New Roman"/>
          <w:sz w:val="24"/>
          <w:szCs w:val="24"/>
        </w:rPr>
        <w:t xml:space="preserve"> Sources of procurement of literature include journals, magazines, books, published research articles and website</w:t>
      </w:r>
      <w:r>
        <w:rPr>
          <w:rFonts w:ascii="Times New Roman" w:hAnsi="Times New Roman" w:cs="Times New Roman"/>
          <w:sz w:val="23"/>
          <w:szCs w:val="23"/>
        </w:rPr>
        <w:t xml:space="preserve"> sources</w:t>
      </w:r>
    </w:p>
    <w:p w:rsidR="00112FE0" w:rsidRDefault="00112FE0" w:rsidP="00EF30D2">
      <w:pPr>
        <w:autoSpaceDE w:val="0"/>
        <w:autoSpaceDN w:val="0"/>
        <w:adjustRightInd w:val="0"/>
        <w:spacing w:after="0" w:line="360" w:lineRule="auto"/>
        <w:jc w:val="both"/>
        <w:rPr>
          <w:rFonts w:ascii="Times New Roman" w:hAnsi="Times New Roman" w:cs="Times New Roman"/>
          <w:b/>
          <w:sz w:val="24"/>
          <w:szCs w:val="24"/>
        </w:rPr>
      </w:pPr>
    </w:p>
    <w:p w:rsidR="0084255B" w:rsidRPr="000312CF" w:rsidRDefault="00EF30D2" w:rsidP="0084255B">
      <w:pPr>
        <w:spacing w:line="360" w:lineRule="auto"/>
        <w:jc w:val="both"/>
        <w:rPr>
          <w:rFonts w:ascii="Times New Roman" w:hAnsi="Times New Roman" w:cs="Times New Roman"/>
          <w:sz w:val="24"/>
          <w:szCs w:val="24"/>
        </w:rPr>
      </w:pPr>
      <w:r w:rsidRPr="00EF30D2">
        <w:rPr>
          <w:rFonts w:ascii="Times New Roman" w:hAnsi="Times New Roman" w:cs="Times New Roman"/>
          <w:b/>
          <w:sz w:val="24"/>
          <w:szCs w:val="24"/>
        </w:rPr>
        <w:t>Discussion:</w:t>
      </w:r>
      <w:r w:rsidRPr="00EF30D2">
        <w:rPr>
          <w:rFonts w:ascii="Times New Roman" w:hAnsi="Times New Roman" w:cs="Times New Roman"/>
          <w:sz w:val="24"/>
          <w:szCs w:val="24"/>
        </w:rPr>
        <w:t xml:space="preserve"> </w:t>
      </w:r>
      <w:r w:rsidR="0084255B" w:rsidRPr="000312CF">
        <w:rPr>
          <w:rFonts w:ascii="Times New Roman" w:hAnsi="Times New Roman" w:cs="Times New Roman"/>
          <w:sz w:val="24"/>
          <w:szCs w:val="24"/>
        </w:rPr>
        <w:t>As India continues its trajectory toward becoming one of the world’s largest economies, the transition from being primarily a consumer of knowledge to an active producer of globally relevant innovations becomes imperative. To achieve this transformation, India must attract greater levels of productive investment in Research and Development (R&amp;D). Investment in R&amp;D is not only essential for sustaining long-term economic growth but also fundamental to broader national security intere</w:t>
      </w:r>
      <w:r w:rsidR="0084255B">
        <w:rPr>
          <w:rFonts w:ascii="Times New Roman" w:hAnsi="Times New Roman" w:cs="Times New Roman"/>
          <w:sz w:val="24"/>
          <w:szCs w:val="24"/>
        </w:rPr>
        <w:t xml:space="preserve">sts. Human security </w:t>
      </w:r>
      <w:r w:rsidR="0084255B" w:rsidRPr="000312CF">
        <w:rPr>
          <w:rFonts w:ascii="Times New Roman" w:hAnsi="Times New Roman" w:cs="Times New Roman"/>
          <w:sz w:val="24"/>
          <w:szCs w:val="24"/>
        </w:rPr>
        <w:t>encompassing healthcare, educati</w:t>
      </w:r>
      <w:r w:rsidR="0084255B">
        <w:rPr>
          <w:rFonts w:ascii="Times New Roman" w:hAnsi="Times New Roman" w:cs="Times New Roman"/>
          <w:sz w:val="24"/>
          <w:szCs w:val="24"/>
        </w:rPr>
        <w:t xml:space="preserve">on, and sustainable livelihoods </w:t>
      </w:r>
      <w:r w:rsidR="0084255B" w:rsidRPr="000312CF">
        <w:rPr>
          <w:rFonts w:ascii="Times New Roman" w:hAnsi="Times New Roman" w:cs="Times New Roman"/>
          <w:sz w:val="24"/>
          <w:szCs w:val="24"/>
        </w:rPr>
        <w:t>depends heavily on technological advancement and indigenous innovation. At the same time, resilience to global uncertainties, such as climate change, financial instability, and pandemics, requires robust research capabilities. Furthermore, India’s national security challenges, from cyberwarfare to autonomous weapons systems such as drones, underscore the strategic importance of a strong domestic R&amp;D ecosystem (</w:t>
      </w:r>
      <w:proofErr w:type="spellStart"/>
      <w:r w:rsidR="0084255B" w:rsidRPr="000312CF">
        <w:rPr>
          <w:rFonts w:ascii="Times New Roman" w:hAnsi="Times New Roman" w:cs="Times New Roman"/>
          <w:sz w:val="24"/>
          <w:szCs w:val="24"/>
        </w:rPr>
        <w:t>Watal</w:t>
      </w:r>
      <w:proofErr w:type="spellEnd"/>
      <w:r w:rsidR="0084255B" w:rsidRPr="000312CF">
        <w:rPr>
          <w:rFonts w:ascii="Times New Roman" w:hAnsi="Times New Roman" w:cs="Times New Roman"/>
          <w:sz w:val="24"/>
          <w:szCs w:val="24"/>
        </w:rPr>
        <w:t xml:space="preserve">, </w:t>
      </w:r>
      <w:proofErr w:type="spellStart"/>
      <w:r w:rsidR="0084255B" w:rsidRPr="000312CF">
        <w:rPr>
          <w:rFonts w:ascii="Times New Roman" w:hAnsi="Times New Roman" w:cs="Times New Roman"/>
          <w:sz w:val="24"/>
          <w:szCs w:val="24"/>
        </w:rPr>
        <w:t>Satpathy</w:t>
      </w:r>
      <w:proofErr w:type="spellEnd"/>
      <w:r w:rsidR="0084255B" w:rsidRPr="000312CF">
        <w:rPr>
          <w:rFonts w:ascii="Times New Roman" w:hAnsi="Times New Roman" w:cs="Times New Roman"/>
          <w:sz w:val="24"/>
          <w:szCs w:val="24"/>
        </w:rPr>
        <w:t>, and Mohan, 2019).</w:t>
      </w:r>
    </w:p>
    <w:p w:rsidR="00EF30D2" w:rsidRPr="00FD3A7D" w:rsidRDefault="0084255B" w:rsidP="0084255B">
      <w:pPr>
        <w:autoSpaceDE w:val="0"/>
        <w:autoSpaceDN w:val="0"/>
        <w:adjustRightInd w:val="0"/>
        <w:spacing w:after="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 xml:space="preserve"> </w:t>
      </w:r>
      <w:r>
        <w:rPr>
          <w:rFonts w:ascii="Times New Roman" w:hAnsi="Times New Roman" w:cs="Times New Roman"/>
          <w:sz w:val="24"/>
          <w:szCs w:val="24"/>
        </w:rPr>
        <w:tab/>
      </w:r>
      <w:r w:rsidR="00F55C98">
        <w:rPr>
          <w:rFonts w:ascii="Times New Roman" w:hAnsi="Times New Roman" w:cs="Times New Roman"/>
          <w:sz w:val="24"/>
          <w:szCs w:val="24"/>
        </w:rPr>
        <w:t>“</w:t>
      </w:r>
      <w:r w:rsidR="00EF30D2" w:rsidRPr="00E726C6">
        <w:rPr>
          <w:rFonts w:ascii="Times New Roman" w:hAnsi="Times New Roman" w:cs="Times New Roman"/>
          <w:sz w:val="24"/>
          <w:szCs w:val="24"/>
        </w:rPr>
        <w:t>R&amp;D as an activity has three distinguish</w:t>
      </w:r>
      <w:r w:rsidR="00EF30D2">
        <w:rPr>
          <w:rFonts w:ascii="Times New Roman" w:hAnsi="Times New Roman" w:cs="Times New Roman"/>
          <w:sz w:val="24"/>
          <w:szCs w:val="24"/>
        </w:rPr>
        <w:t>ed</w:t>
      </w:r>
      <w:r w:rsidR="00EF30D2" w:rsidRPr="00E726C6">
        <w:rPr>
          <w:rFonts w:ascii="Times New Roman" w:hAnsi="Times New Roman" w:cs="Times New Roman"/>
          <w:sz w:val="24"/>
          <w:szCs w:val="24"/>
        </w:rPr>
        <w:t xml:space="preserve"> features. It involves basic research, applied research and experimental development. Basic science, sometimes called “pure” or “fundamental” science. Through basic science researchers try to answer fundamental questions about how life works. Examples </w:t>
      </w:r>
      <w:r w:rsidR="00EF30D2">
        <w:rPr>
          <w:rFonts w:ascii="Times New Roman" w:hAnsi="Times New Roman" w:cs="Times New Roman"/>
          <w:sz w:val="24"/>
          <w:szCs w:val="24"/>
        </w:rPr>
        <w:t>like h</w:t>
      </w:r>
      <w:r w:rsidR="00EF30D2" w:rsidRPr="00E726C6">
        <w:rPr>
          <w:rFonts w:ascii="Times New Roman" w:hAnsi="Times New Roman" w:cs="Times New Roman"/>
          <w:sz w:val="24"/>
          <w:szCs w:val="24"/>
        </w:rPr>
        <w:t>ow do cells talk to each other?</w:t>
      </w:r>
      <w:r w:rsidR="00EF30D2">
        <w:rPr>
          <w:rFonts w:ascii="Times New Roman" w:hAnsi="Times New Roman" w:cs="Times New Roman"/>
          <w:sz w:val="24"/>
          <w:szCs w:val="24"/>
        </w:rPr>
        <w:t xml:space="preserve"> </w:t>
      </w:r>
      <w:r w:rsidR="00EF30D2" w:rsidRPr="00E726C6">
        <w:rPr>
          <w:rFonts w:ascii="Times New Roman" w:hAnsi="Times New Roman" w:cs="Times New Roman"/>
          <w:sz w:val="24"/>
          <w:szCs w:val="24"/>
        </w:rPr>
        <w:t>What controls gene activity?</w:t>
      </w:r>
      <w:r w:rsidR="00EF30D2">
        <w:rPr>
          <w:rFonts w:ascii="Times New Roman" w:hAnsi="Times New Roman" w:cs="Times New Roman"/>
          <w:sz w:val="24"/>
          <w:szCs w:val="24"/>
        </w:rPr>
        <w:t xml:space="preserve"> </w:t>
      </w:r>
      <w:r w:rsidR="00EF30D2" w:rsidRPr="00E726C6">
        <w:rPr>
          <w:rFonts w:ascii="Times New Roman" w:hAnsi="Times New Roman" w:cs="Times New Roman"/>
          <w:sz w:val="24"/>
          <w:szCs w:val="24"/>
        </w:rPr>
        <w:t>How do proteins fold so they can work properly?</w:t>
      </w:r>
      <w:r w:rsidR="00EF30D2">
        <w:rPr>
          <w:rFonts w:ascii="Times New Roman" w:hAnsi="Times New Roman" w:cs="Times New Roman"/>
          <w:sz w:val="24"/>
          <w:szCs w:val="24"/>
        </w:rPr>
        <w:t xml:space="preserve"> </w:t>
      </w:r>
      <w:r w:rsidR="00EF30D2" w:rsidRPr="00E726C6">
        <w:rPr>
          <w:rFonts w:ascii="Times New Roman" w:hAnsi="Times New Roman" w:cs="Times New Roman"/>
          <w:sz w:val="24"/>
          <w:szCs w:val="24"/>
        </w:rPr>
        <w:t>How do diseases develop?</w:t>
      </w:r>
      <w:r w:rsidR="00EF30D2">
        <w:rPr>
          <w:rFonts w:ascii="Times New Roman" w:hAnsi="Times New Roman" w:cs="Times New Roman"/>
          <w:sz w:val="24"/>
          <w:szCs w:val="24"/>
        </w:rPr>
        <w:t xml:space="preserve"> Etc. Similarly, other question like w</w:t>
      </w:r>
      <w:r w:rsidR="00EF30D2" w:rsidRPr="00E726C6">
        <w:rPr>
          <w:rFonts w:ascii="Times New Roman" w:hAnsi="Times New Roman" w:cs="Times New Roman"/>
          <w:sz w:val="24"/>
          <w:szCs w:val="24"/>
        </w:rPr>
        <w:t xml:space="preserve">hy do so many Americans win the Nobel Prizes?  The answer is </w:t>
      </w:r>
      <w:r w:rsidR="00EF30D2" w:rsidRPr="00E726C6">
        <w:rPr>
          <w:rFonts w:ascii="Times New Roman" w:hAnsi="Times New Roman" w:cs="Times New Roman"/>
          <w:sz w:val="24"/>
          <w:szCs w:val="24"/>
        </w:rPr>
        <w:lastRenderedPageBreak/>
        <w:t>that according to experts, it’s a strong historic investment in basi</w:t>
      </w:r>
      <w:bookmarkStart w:id="0" w:name="_GoBack"/>
      <w:bookmarkEnd w:id="0"/>
      <w:r w:rsidR="00EF30D2" w:rsidRPr="00E726C6">
        <w:rPr>
          <w:rFonts w:ascii="Times New Roman" w:hAnsi="Times New Roman" w:cs="Times New Roman"/>
          <w:sz w:val="24"/>
          <w:szCs w:val="24"/>
        </w:rPr>
        <w:t>c science, academic freedom for researche</w:t>
      </w:r>
      <w:r w:rsidR="00EF30D2">
        <w:rPr>
          <w:rFonts w:ascii="Times New Roman" w:hAnsi="Times New Roman" w:cs="Times New Roman"/>
          <w:sz w:val="24"/>
          <w:szCs w:val="24"/>
        </w:rPr>
        <w:t>rs and patience to see results</w:t>
      </w:r>
      <w:r w:rsidR="00F55C98">
        <w:rPr>
          <w:rFonts w:ascii="Times New Roman" w:hAnsi="Times New Roman" w:cs="Times New Roman"/>
          <w:sz w:val="24"/>
          <w:szCs w:val="24"/>
        </w:rPr>
        <w:t>”. (</w:t>
      </w:r>
      <w:proofErr w:type="spellStart"/>
      <w:r w:rsidR="00F55C98" w:rsidRPr="00F55C98">
        <w:rPr>
          <w:rFonts w:ascii="Times New Roman" w:hAnsi="Times New Roman" w:cs="Times New Roman"/>
          <w:sz w:val="24"/>
          <w:szCs w:val="24"/>
        </w:rPr>
        <w:t>Bano</w:t>
      </w:r>
      <w:proofErr w:type="spellEnd"/>
      <w:r w:rsidR="00F55C98">
        <w:rPr>
          <w:rFonts w:ascii="Times New Roman" w:hAnsi="Times New Roman" w:cs="Times New Roman"/>
          <w:sz w:val="24"/>
          <w:szCs w:val="24"/>
        </w:rPr>
        <w:t xml:space="preserve"> &amp;</w:t>
      </w:r>
      <w:r w:rsidR="00F55C98" w:rsidRPr="00F55C98">
        <w:t xml:space="preserve"> </w:t>
      </w:r>
      <w:proofErr w:type="spellStart"/>
      <w:r w:rsidR="00F55C98" w:rsidRPr="00F55C98">
        <w:rPr>
          <w:rFonts w:ascii="Times New Roman" w:hAnsi="Times New Roman" w:cs="Times New Roman"/>
          <w:sz w:val="24"/>
          <w:szCs w:val="24"/>
        </w:rPr>
        <w:t>Byrappa</w:t>
      </w:r>
      <w:proofErr w:type="spellEnd"/>
      <w:r w:rsidR="00F55C98">
        <w:rPr>
          <w:rFonts w:ascii="Times New Roman" w:hAnsi="Times New Roman" w:cs="Times New Roman"/>
          <w:sz w:val="24"/>
          <w:szCs w:val="24"/>
        </w:rPr>
        <w:t>, 2023)</w:t>
      </w:r>
    </w:p>
    <w:p w:rsidR="00EF30D2" w:rsidRDefault="00EF30D2" w:rsidP="00EF30D2">
      <w:pPr>
        <w:spacing w:line="360" w:lineRule="auto"/>
        <w:ind w:firstLine="720"/>
        <w:jc w:val="both"/>
        <w:rPr>
          <w:rFonts w:ascii="Times New Roman" w:hAnsi="Times New Roman" w:cs="Times New Roman"/>
          <w:sz w:val="24"/>
          <w:szCs w:val="24"/>
        </w:rPr>
      </w:pPr>
      <w:r w:rsidRPr="00FD3A7D">
        <w:rPr>
          <w:rFonts w:ascii="Times New Roman" w:eastAsia="Times New Roman" w:hAnsi="Times New Roman" w:cs="Times New Roman"/>
          <w:sz w:val="24"/>
          <w:szCs w:val="24"/>
          <w:lang w:val="en-GB"/>
        </w:rPr>
        <w:t xml:space="preserve">But </w:t>
      </w:r>
      <w:r>
        <w:rPr>
          <w:rFonts w:ascii="Times New Roman" w:eastAsia="Times New Roman" w:hAnsi="Times New Roman" w:cs="Times New Roman"/>
          <w:sz w:val="24"/>
          <w:szCs w:val="24"/>
          <w:lang w:val="en-GB"/>
        </w:rPr>
        <w:t>b</w:t>
      </w:r>
      <w:r w:rsidRPr="00FD3A7D">
        <w:rPr>
          <w:rFonts w:ascii="Times New Roman" w:eastAsia="Times New Roman" w:hAnsi="Times New Roman" w:cs="Times New Roman"/>
          <w:sz w:val="24"/>
          <w:szCs w:val="24"/>
          <w:lang w:val="en-GB"/>
        </w:rPr>
        <w:t xml:space="preserve">asic </w:t>
      </w:r>
      <w:r>
        <w:rPr>
          <w:rFonts w:ascii="Times New Roman" w:eastAsia="Times New Roman" w:hAnsi="Times New Roman" w:cs="Times New Roman"/>
          <w:sz w:val="24"/>
          <w:szCs w:val="24"/>
          <w:lang w:val="en-GB"/>
        </w:rPr>
        <w:t>s</w:t>
      </w:r>
      <w:r w:rsidRPr="00FD3A7D">
        <w:rPr>
          <w:rFonts w:ascii="Times New Roman" w:eastAsia="Times New Roman" w:hAnsi="Times New Roman" w:cs="Times New Roman"/>
          <w:sz w:val="24"/>
          <w:szCs w:val="24"/>
          <w:lang w:val="en-GB"/>
        </w:rPr>
        <w:t xml:space="preserve">cience </w:t>
      </w:r>
      <w:r>
        <w:rPr>
          <w:rFonts w:ascii="Times New Roman" w:eastAsia="Times New Roman" w:hAnsi="Times New Roman" w:cs="Times New Roman"/>
          <w:sz w:val="24"/>
          <w:szCs w:val="24"/>
          <w:lang w:val="en-GB"/>
        </w:rPr>
        <w:t>e</w:t>
      </w:r>
      <w:r w:rsidRPr="00FD3A7D">
        <w:rPr>
          <w:rFonts w:ascii="Times New Roman" w:eastAsia="Times New Roman" w:hAnsi="Times New Roman" w:cs="Times New Roman"/>
          <w:sz w:val="24"/>
          <w:szCs w:val="24"/>
          <w:lang w:val="en-GB"/>
        </w:rPr>
        <w:t xml:space="preserve">ducation in combination with Applied Science and Technology is what makes the </w:t>
      </w:r>
      <w:r>
        <w:rPr>
          <w:rFonts w:ascii="Times New Roman" w:eastAsia="Times New Roman" w:hAnsi="Times New Roman" w:cs="Times New Roman"/>
          <w:sz w:val="24"/>
          <w:szCs w:val="24"/>
          <w:lang w:val="en-GB"/>
        </w:rPr>
        <w:t>u</w:t>
      </w:r>
      <w:r w:rsidRPr="00FD3A7D">
        <w:rPr>
          <w:rFonts w:ascii="Times New Roman" w:eastAsia="Times New Roman" w:hAnsi="Times New Roman" w:cs="Times New Roman"/>
          <w:sz w:val="24"/>
          <w:szCs w:val="24"/>
          <w:lang w:val="en-GB"/>
        </w:rPr>
        <w:t xml:space="preserve">niversity </w:t>
      </w:r>
      <w:r>
        <w:rPr>
          <w:rFonts w:ascii="Times New Roman" w:eastAsia="Times New Roman" w:hAnsi="Times New Roman" w:cs="Times New Roman"/>
          <w:sz w:val="24"/>
          <w:szCs w:val="24"/>
          <w:lang w:val="en-GB"/>
        </w:rPr>
        <w:t xml:space="preserve">or </w:t>
      </w:r>
      <w:proofErr w:type="gramStart"/>
      <w:r>
        <w:rPr>
          <w:rFonts w:ascii="Times New Roman" w:eastAsia="Times New Roman" w:hAnsi="Times New Roman" w:cs="Times New Roman"/>
          <w:sz w:val="24"/>
          <w:szCs w:val="24"/>
          <w:lang w:val="en-GB"/>
        </w:rPr>
        <w:t>an</w:t>
      </w:r>
      <w:proofErr w:type="gramEnd"/>
      <w:r>
        <w:rPr>
          <w:rFonts w:ascii="Times New Roman" w:eastAsia="Times New Roman" w:hAnsi="Times New Roman" w:cs="Times New Roman"/>
          <w:sz w:val="24"/>
          <w:szCs w:val="24"/>
          <w:lang w:val="en-GB"/>
        </w:rPr>
        <w:t xml:space="preserve"> higher education institution </w:t>
      </w:r>
      <w:r w:rsidRPr="00FD3A7D">
        <w:rPr>
          <w:rFonts w:ascii="Times New Roman" w:eastAsia="Times New Roman" w:hAnsi="Times New Roman" w:cs="Times New Roman"/>
          <w:sz w:val="24"/>
          <w:szCs w:val="24"/>
          <w:lang w:val="en-GB"/>
        </w:rPr>
        <w:t>complete</w:t>
      </w:r>
      <w:r>
        <w:rPr>
          <w:rFonts w:ascii="Times New Roman" w:eastAsia="Times New Roman" w:hAnsi="Times New Roman" w:cs="Times New Roman"/>
          <w:sz w:val="24"/>
          <w:szCs w:val="24"/>
          <w:lang w:val="en-GB"/>
        </w:rPr>
        <w:t xml:space="preserve">. </w:t>
      </w:r>
      <w:r w:rsidR="00F47B73">
        <w:rPr>
          <w:rFonts w:ascii="Times New Roman" w:eastAsia="Times New Roman" w:hAnsi="Times New Roman" w:cs="Times New Roman"/>
          <w:sz w:val="24"/>
          <w:szCs w:val="24"/>
          <w:lang w:val="en-GB"/>
        </w:rPr>
        <w:t>“</w:t>
      </w:r>
      <w:r w:rsidRPr="00A70CCB">
        <w:rPr>
          <w:rFonts w:ascii="Times New Roman" w:hAnsi="Times New Roman" w:cs="Times New Roman"/>
          <w:sz w:val="24"/>
          <w:szCs w:val="24"/>
        </w:rPr>
        <w:t xml:space="preserve">The concept </w:t>
      </w:r>
      <w:r>
        <w:rPr>
          <w:rFonts w:ascii="Times New Roman" w:hAnsi="Times New Roman" w:cs="Times New Roman"/>
          <w:sz w:val="24"/>
          <w:szCs w:val="24"/>
        </w:rPr>
        <w:t>o</w:t>
      </w:r>
      <w:r w:rsidRPr="00A70CCB">
        <w:rPr>
          <w:rFonts w:ascii="Times New Roman" w:hAnsi="Times New Roman" w:cs="Times New Roman"/>
          <w:sz w:val="24"/>
          <w:szCs w:val="24"/>
        </w:rPr>
        <w:t>f GERD has been derived from OECD and is known as Gross Domestic Expenditure on R&amp;D. It is the sum of R&amp;D expenditure of four economic sectors namely business, government, private sector and higher education</w:t>
      </w:r>
      <w:r w:rsidR="00F47B73">
        <w:rPr>
          <w:rFonts w:ascii="Times New Roman" w:hAnsi="Times New Roman" w:cs="Times New Roman"/>
          <w:sz w:val="24"/>
          <w:szCs w:val="24"/>
        </w:rPr>
        <w:t>” (PSA, 2024)</w:t>
      </w:r>
      <w:r>
        <w:rPr>
          <w:rFonts w:ascii="Times New Roman" w:hAnsi="Times New Roman" w:cs="Times New Roman"/>
          <w:sz w:val="24"/>
          <w:szCs w:val="24"/>
        </w:rPr>
        <w:t xml:space="preserve">. </w:t>
      </w:r>
    </w:p>
    <w:p w:rsidR="00EF30D2" w:rsidRDefault="00EF30D2" w:rsidP="00EF30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Fig.1 India’s GERD on R&amp;D</w:t>
      </w:r>
    </w:p>
    <w:p w:rsidR="00EF30D2" w:rsidRDefault="00EF30D2" w:rsidP="00E770AD">
      <w:pPr>
        <w:spacing w:after="0" w:line="360" w:lineRule="auto"/>
        <w:ind w:firstLine="720"/>
        <w:jc w:val="both"/>
        <w:rPr>
          <w:rFonts w:ascii="Times New Roman" w:hAnsi="Times New Roman" w:cs="Times New Roman"/>
          <w:sz w:val="24"/>
          <w:szCs w:val="24"/>
        </w:rPr>
      </w:pPr>
      <w:r w:rsidRPr="00EF30D2">
        <w:rPr>
          <w:rFonts w:ascii="Times New Roman" w:hAnsi="Times New Roman" w:cs="Times New Roman"/>
          <w:noProof/>
          <w:sz w:val="24"/>
          <w:szCs w:val="24"/>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770AD" w:rsidRPr="00E770AD" w:rsidRDefault="00E770AD" w:rsidP="00E770A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E770AD">
        <w:rPr>
          <w:rFonts w:ascii="Times New Roman" w:hAnsi="Times New Roman" w:cs="Times New Roman"/>
          <w:bCs/>
          <w:sz w:val="20"/>
          <w:szCs w:val="20"/>
        </w:rPr>
        <w:t xml:space="preserve">Sources: Dept of Science and technology (DST) </w:t>
      </w:r>
    </w:p>
    <w:p w:rsidR="00E770AD" w:rsidRPr="00E770AD" w:rsidRDefault="00E770AD" w:rsidP="00E770AD">
      <w:pPr>
        <w:spacing w:after="0" w:line="360" w:lineRule="auto"/>
        <w:ind w:firstLine="720"/>
        <w:jc w:val="both"/>
        <w:rPr>
          <w:rFonts w:ascii="Times New Roman" w:hAnsi="Times New Roman" w:cs="Times New Roman"/>
          <w:sz w:val="20"/>
          <w:szCs w:val="20"/>
        </w:rPr>
      </w:pPr>
      <w:r w:rsidRPr="00E770AD">
        <w:rPr>
          <w:rFonts w:ascii="Times New Roman" w:hAnsi="Times New Roman" w:cs="Times New Roman"/>
          <w:bCs/>
          <w:sz w:val="20"/>
          <w:szCs w:val="20"/>
        </w:rPr>
        <w:t>Note:  GERD</w:t>
      </w:r>
      <w:r w:rsidRPr="00E770AD">
        <w:rPr>
          <w:rFonts w:ascii="Times New Roman" w:hAnsi="Times New Roman" w:cs="Times New Roman"/>
          <w:sz w:val="20"/>
          <w:szCs w:val="20"/>
        </w:rPr>
        <w:t xml:space="preserve"> is the sum of R&amp;D expenditure of four economic sectors namely business, government, </w:t>
      </w:r>
      <w:r>
        <w:rPr>
          <w:rFonts w:ascii="Times New Roman" w:hAnsi="Times New Roman" w:cs="Times New Roman"/>
          <w:sz w:val="20"/>
          <w:szCs w:val="20"/>
        </w:rPr>
        <w:t xml:space="preserve">  </w:t>
      </w:r>
      <w:r w:rsidRPr="00E770AD">
        <w:rPr>
          <w:rFonts w:ascii="Times New Roman" w:hAnsi="Times New Roman" w:cs="Times New Roman"/>
          <w:sz w:val="20"/>
          <w:szCs w:val="20"/>
        </w:rPr>
        <w:t xml:space="preserve">private sector and higher education. </w:t>
      </w:r>
    </w:p>
    <w:p w:rsidR="00EF30D2" w:rsidRPr="00E770AD" w:rsidRDefault="00F55C98" w:rsidP="0084255B">
      <w:pPr>
        <w:pStyle w:val="Default"/>
        <w:spacing w:line="360" w:lineRule="auto"/>
        <w:jc w:val="both"/>
      </w:pPr>
      <w:r>
        <w:rPr>
          <w:b/>
          <w:bCs/>
          <w:iCs/>
        </w:rPr>
        <w:t>“</w:t>
      </w:r>
      <w:r w:rsidR="00E770AD" w:rsidRPr="00E770AD">
        <w:rPr>
          <w:b/>
          <w:bCs/>
          <w:iCs/>
        </w:rPr>
        <w:t>India’s expenditure on research and development on a decline</w:t>
      </w:r>
      <w:r w:rsidR="00E770AD">
        <w:rPr>
          <w:b/>
          <w:bCs/>
          <w:iCs/>
        </w:rPr>
        <w:t xml:space="preserve">. </w:t>
      </w:r>
      <w:r w:rsidR="00E770AD" w:rsidRPr="00E770AD">
        <w:t>Investment in science is measured in terms of gross expenditure in research and development (GERD).</w:t>
      </w:r>
      <w:r w:rsidR="00E770AD">
        <w:t xml:space="preserve">  </w:t>
      </w:r>
      <w:r w:rsidR="00E770AD" w:rsidRPr="00E770AD">
        <w:t>GERD as a percentage of GDP has been d</w:t>
      </w:r>
      <w:r w:rsidR="00E770AD">
        <w:t>eclining since 2009-10 (Figure 1</w:t>
      </w:r>
      <w:r w:rsidR="00E770AD" w:rsidRPr="00E770AD">
        <w:t>). GERD in 2018-19 was estimated to be 0.65% of GDP (latest year till which estimates are available)</w:t>
      </w:r>
      <w:r>
        <w:t>” (</w:t>
      </w:r>
      <w:r w:rsidRPr="00F55C98">
        <w:t>PRS INDIA</w:t>
      </w:r>
      <w:r>
        <w:t>, 2023)</w:t>
      </w:r>
      <w:r w:rsidR="00E770AD" w:rsidRPr="00E770AD">
        <w:t>.</w:t>
      </w:r>
    </w:p>
    <w:p w:rsidR="00E770AD" w:rsidRDefault="00E770AD" w:rsidP="0084255B">
      <w:pPr>
        <w:spacing w:line="360" w:lineRule="auto"/>
        <w:ind w:firstLine="720"/>
        <w:jc w:val="both"/>
        <w:rPr>
          <w:rFonts w:ascii="Times New Roman" w:hAnsi="Times New Roman" w:cs="Times New Roman"/>
          <w:sz w:val="24"/>
          <w:szCs w:val="24"/>
        </w:rPr>
      </w:pPr>
    </w:p>
    <w:p w:rsidR="00EF30D2" w:rsidRDefault="00EF30D2" w:rsidP="00EF30D2">
      <w:pPr>
        <w:spacing w:line="360" w:lineRule="auto"/>
        <w:ind w:firstLine="720"/>
        <w:jc w:val="both"/>
        <w:rPr>
          <w:rFonts w:ascii="Times New Roman" w:hAnsi="Times New Roman" w:cs="Times New Roman"/>
          <w:sz w:val="24"/>
          <w:szCs w:val="24"/>
        </w:rPr>
      </w:pPr>
      <w:r w:rsidRPr="00A70CCB">
        <w:rPr>
          <w:rFonts w:ascii="Times New Roman" w:hAnsi="Times New Roman" w:cs="Times New Roman"/>
          <w:sz w:val="24"/>
          <w:szCs w:val="24"/>
        </w:rPr>
        <w:t xml:space="preserve">The major stakeholders in India’s R&amp;D ecosystem can be divided into two categories. They are </w:t>
      </w:r>
      <w:r>
        <w:rPr>
          <w:rFonts w:ascii="Times New Roman" w:hAnsi="Times New Roman" w:cs="Times New Roman"/>
          <w:sz w:val="24"/>
          <w:szCs w:val="24"/>
        </w:rPr>
        <w:t>t</w:t>
      </w:r>
      <w:r w:rsidRPr="00A70CCB">
        <w:rPr>
          <w:rFonts w:ascii="Times New Roman" w:hAnsi="Times New Roman" w:cs="Times New Roman"/>
          <w:sz w:val="24"/>
          <w:szCs w:val="24"/>
        </w:rPr>
        <w:t>he</w:t>
      </w:r>
      <w:r>
        <w:rPr>
          <w:rFonts w:ascii="Times New Roman" w:hAnsi="Times New Roman" w:cs="Times New Roman"/>
          <w:sz w:val="24"/>
          <w:szCs w:val="24"/>
        </w:rPr>
        <w:t xml:space="preserve"> </w:t>
      </w:r>
      <w:r w:rsidRPr="00A70CCB">
        <w:rPr>
          <w:rFonts w:ascii="Times New Roman" w:hAnsi="Times New Roman" w:cs="Times New Roman"/>
          <w:sz w:val="24"/>
          <w:szCs w:val="24"/>
        </w:rPr>
        <w:t>Public and Private Sector</w:t>
      </w:r>
      <w:r>
        <w:rPr>
          <w:rFonts w:ascii="Times New Roman" w:hAnsi="Times New Roman" w:cs="Times New Roman"/>
          <w:sz w:val="24"/>
          <w:szCs w:val="24"/>
        </w:rPr>
        <w:t>s</w:t>
      </w:r>
      <w:r w:rsidRPr="00A70CCB">
        <w:rPr>
          <w:rFonts w:ascii="Times New Roman" w:hAnsi="Times New Roman" w:cs="Times New Roman"/>
          <w:sz w:val="24"/>
          <w:szCs w:val="24"/>
        </w:rPr>
        <w:t>:</w:t>
      </w:r>
    </w:p>
    <w:p w:rsidR="009A27EA" w:rsidRDefault="009A27EA" w:rsidP="00EF30D2">
      <w:pPr>
        <w:spacing w:line="360" w:lineRule="auto"/>
        <w:ind w:firstLine="720"/>
        <w:jc w:val="both"/>
        <w:rPr>
          <w:rFonts w:ascii="Times New Roman" w:hAnsi="Times New Roman" w:cs="Times New Roman"/>
          <w:sz w:val="24"/>
          <w:szCs w:val="24"/>
        </w:rPr>
      </w:pPr>
    </w:p>
    <w:p w:rsidR="009A27EA" w:rsidRDefault="009A27EA" w:rsidP="009A27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FIG 2. India's R&amp;D in public sector at 63.2%, with the Central Government being the largest single contributor at 45.4%</w:t>
      </w:r>
    </w:p>
    <w:p w:rsidR="009A27EA" w:rsidRDefault="009A27EA" w:rsidP="00EF30D2">
      <w:pPr>
        <w:spacing w:line="360" w:lineRule="auto"/>
        <w:ind w:firstLine="720"/>
        <w:jc w:val="both"/>
        <w:rPr>
          <w:rFonts w:ascii="Times New Roman" w:hAnsi="Times New Roman" w:cs="Times New Roman"/>
          <w:sz w:val="24"/>
          <w:szCs w:val="24"/>
        </w:rPr>
      </w:pPr>
    </w:p>
    <w:p w:rsidR="00EF30D2" w:rsidRPr="00A70CCB" w:rsidRDefault="00EF30D2" w:rsidP="00EF30D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38137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F30D2" w:rsidRPr="00A70CCB" w:rsidRDefault="00EF30D2" w:rsidP="00EF30D2">
      <w:pPr>
        <w:spacing w:after="0" w:line="360" w:lineRule="auto"/>
        <w:jc w:val="both"/>
        <w:rPr>
          <w:rFonts w:ascii="Times New Roman" w:hAnsi="Times New Roman" w:cs="Times New Roman"/>
          <w:b/>
          <w:bCs/>
          <w:sz w:val="24"/>
          <w:szCs w:val="24"/>
        </w:rPr>
      </w:pPr>
    </w:p>
    <w:p w:rsidR="00EF30D2" w:rsidRDefault="00EF30D2" w:rsidP="00EF30D2">
      <w:pPr>
        <w:spacing w:after="0" w:line="360" w:lineRule="auto"/>
        <w:jc w:val="both"/>
        <w:rPr>
          <w:rFonts w:ascii="Times New Roman" w:hAnsi="Times New Roman" w:cs="Times New Roman"/>
          <w:bCs/>
          <w:sz w:val="24"/>
          <w:szCs w:val="24"/>
        </w:rPr>
      </w:pPr>
      <w:r w:rsidRPr="00A70CCB">
        <w:rPr>
          <w:rFonts w:ascii="Times New Roman" w:hAnsi="Times New Roman" w:cs="Times New Roman"/>
          <w:bCs/>
          <w:sz w:val="24"/>
          <w:szCs w:val="24"/>
        </w:rPr>
        <w:t>The Gross expenditure on R&amp;D is a relevant indicator for measuring the amount of resources allocated in the economy. The overall trends of R&amp;D expenditure in India are not satisfactory</w:t>
      </w:r>
    </w:p>
    <w:p w:rsidR="00E770AD" w:rsidRPr="00586BE5" w:rsidRDefault="00E770AD" w:rsidP="00E770AD">
      <w:pPr>
        <w:spacing w:after="0" w:line="360" w:lineRule="auto"/>
        <w:jc w:val="both"/>
        <w:rPr>
          <w:rFonts w:ascii="Times New Roman" w:hAnsi="Times New Roman" w:cs="Times New Roman"/>
          <w:b/>
          <w:bCs/>
          <w:sz w:val="24"/>
          <w:szCs w:val="24"/>
        </w:rPr>
      </w:pPr>
      <w:r w:rsidRPr="00586BE5">
        <w:rPr>
          <w:rFonts w:ascii="Times New Roman" w:hAnsi="Times New Roman" w:cs="Times New Roman"/>
          <w:b/>
          <w:bCs/>
          <w:sz w:val="24"/>
          <w:szCs w:val="24"/>
        </w:rPr>
        <w:t xml:space="preserve">Trends in R&amp;D expenditure in India </w:t>
      </w:r>
    </w:p>
    <w:p w:rsidR="00E770AD" w:rsidRPr="00586BE5" w:rsidRDefault="00E770AD" w:rsidP="00E770A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Table1. R &amp; D E</w:t>
      </w:r>
      <w:r w:rsidRPr="00586BE5">
        <w:rPr>
          <w:rFonts w:ascii="Times New Roman" w:hAnsi="Times New Roman" w:cs="Times New Roman"/>
          <w:bCs/>
          <w:sz w:val="24"/>
          <w:szCs w:val="24"/>
        </w:rPr>
        <w:t xml:space="preserve">xpenditure </w:t>
      </w:r>
      <w:r>
        <w:rPr>
          <w:rFonts w:ascii="Times New Roman" w:hAnsi="Times New Roman" w:cs="Times New Roman"/>
          <w:bCs/>
          <w:sz w:val="24"/>
          <w:szCs w:val="24"/>
        </w:rPr>
        <w:t>in India</w:t>
      </w:r>
      <w:r w:rsidRPr="00586BE5">
        <w:rPr>
          <w:rFonts w:ascii="Times New Roman" w:hAnsi="Times New Roman" w:cs="Times New Roman"/>
          <w:bCs/>
          <w:sz w:val="24"/>
          <w:szCs w:val="24"/>
        </w:rPr>
        <w:t xml:space="preserve"> (Rs Crores and per cent Nominal GDP in Parentheses)</w:t>
      </w:r>
    </w:p>
    <w:tbl>
      <w:tblPr>
        <w:tblStyle w:val="TableGrid"/>
        <w:tblW w:w="0" w:type="auto"/>
        <w:jc w:val="center"/>
        <w:tblLook w:val="04A0" w:firstRow="1" w:lastRow="0" w:firstColumn="1" w:lastColumn="0" w:noHBand="0" w:noVBand="1"/>
      </w:tblPr>
      <w:tblGrid>
        <w:gridCol w:w="1101"/>
        <w:gridCol w:w="1701"/>
        <w:gridCol w:w="1559"/>
        <w:gridCol w:w="1701"/>
        <w:gridCol w:w="1417"/>
        <w:gridCol w:w="1701"/>
      </w:tblGrid>
      <w:tr w:rsidR="00E770AD" w:rsidRPr="00586BE5" w:rsidTr="00C62B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vAlign w:val="center"/>
          </w:tcPr>
          <w:p w:rsidR="00E770AD" w:rsidRPr="00586BE5" w:rsidRDefault="00E770AD" w:rsidP="00C62B23">
            <w:pPr>
              <w:jc w:val="center"/>
              <w:rPr>
                <w:rFonts w:ascii="Times New Roman" w:hAnsi="Times New Roman" w:cs="Times New Roman"/>
                <w:bCs w:val="0"/>
                <w:sz w:val="24"/>
                <w:szCs w:val="24"/>
              </w:rPr>
            </w:pPr>
            <w:r w:rsidRPr="00586BE5">
              <w:rPr>
                <w:rFonts w:ascii="Times New Roman" w:hAnsi="Times New Roman" w:cs="Times New Roman"/>
                <w:sz w:val="24"/>
                <w:szCs w:val="24"/>
              </w:rPr>
              <w:t>Year</w:t>
            </w:r>
          </w:p>
        </w:tc>
        <w:tc>
          <w:tcPr>
            <w:tcW w:w="1701" w:type="dxa"/>
            <w:vAlign w:val="center"/>
          </w:tcPr>
          <w:p w:rsidR="00E770AD" w:rsidRPr="00586BE5" w:rsidRDefault="00E770AD"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6BE5">
              <w:rPr>
                <w:rFonts w:ascii="Times New Roman" w:hAnsi="Times New Roman" w:cs="Times New Roman"/>
                <w:sz w:val="24"/>
                <w:szCs w:val="24"/>
              </w:rPr>
              <w:t>Public investment in R &amp; D</w:t>
            </w:r>
          </w:p>
        </w:tc>
        <w:tc>
          <w:tcPr>
            <w:tcW w:w="1559" w:type="dxa"/>
            <w:vAlign w:val="center"/>
          </w:tcPr>
          <w:p w:rsidR="00E770AD" w:rsidRPr="00586BE5" w:rsidRDefault="00E770AD"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6BE5">
              <w:rPr>
                <w:rFonts w:ascii="Times New Roman" w:hAnsi="Times New Roman" w:cs="Times New Roman"/>
                <w:sz w:val="24"/>
                <w:szCs w:val="24"/>
              </w:rPr>
              <w:t>% share of Public Investment in total R&amp;D</w:t>
            </w:r>
          </w:p>
        </w:tc>
        <w:tc>
          <w:tcPr>
            <w:tcW w:w="1701" w:type="dxa"/>
            <w:vAlign w:val="center"/>
          </w:tcPr>
          <w:p w:rsidR="00E770AD" w:rsidRPr="00586BE5" w:rsidRDefault="00E770AD"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6BE5">
              <w:rPr>
                <w:rFonts w:ascii="Times New Roman" w:hAnsi="Times New Roman" w:cs="Times New Roman"/>
                <w:sz w:val="24"/>
                <w:szCs w:val="24"/>
              </w:rPr>
              <w:t>Private investment in R&amp;D</w:t>
            </w:r>
          </w:p>
        </w:tc>
        <w:tc>
          <w:tcPr>
            <w:tcW w:w="1417" w:type="dxa"/>
            <w:vAlign w:val="center"/>
          </w:tcPr>
          <w:p w:rsidR="00E770AD" w:rsidRPr="00586BE5" w:rsidRDefault="00E770AD"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6BE5">
              <w:rPr>
                <w:rFonts w:ascii="Times New Roman" w:hAnsi="Times New Roman" w:cs="Times New Roman"/>
                <w:sz w:val="24"/>
                <w:szCs w:val="24"/>
              </w:rPr>
              <w:t>% share of Private Investment in total R&amp;D</w:t>
            </w:r>
          </w:p>
        </w:tc>
        <w:tc>
          <w:tcPr>
            <w:tcW w:w="1701" w:type="dxa"/>
            <w:vAlign w:val="center"/>
          </w:tcPr>
          <w:p w:rsidR="00E770AD" w:rsidRPr="00586BE5" w:rsidRDefault="00E770AD"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6BE5">
              <w:rPr>
                <w:rFonts w:ascii="Times New Roman" w:hAnsi="Times New Roman" w:cs="Times New Roman"/>
                <w:sz w:val="24"/>
                <w:szCs w:val="24"/>
              </w:rPr>
              <w:t>Total</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2004-05</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18078 (0.5%)</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75.0</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6039(0.2%)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25.0</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24117(0.7%)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2005-06</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21460.63(0.6)</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71.7</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8471.95(0.2)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28.3</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29932.58(0.8)</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2006-07</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23752.81(0.6)</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69.4</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10485.58(0.2)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30.6</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34238.39(0.8)</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2007-08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26511.64(0.5)</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67.2</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12926.14(0.3)</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32.8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39437.77(0.8)</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lastRenderedPageBreak/>
              <w:t>2008-09</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32988(0.5%)</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69.7</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14365 (0.2%)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30.3</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47353(0.7%)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2009-10</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37735.75(0.6)</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71.1</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 xml:space="preserve"> 15305.55(0.2)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28.9</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53041.30(0.8)</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2010-11</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40859.73(0.6)</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67.9</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19337.02(0.2)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32.1</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60196.75(0.8)</w:t>
            </w:r>
          </w:p>
        </w:tc>
      </w:tr>
      <w:tr w:rsidR="00E770AD" w:rsidRPr="00586BE5" w:rsidTr="00C62B23">
        <w:trPr>
          <w:trHeight w:val="467"/>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2011-12</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42665.62(0.5)</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64.7</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23295.71(0.3)</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35.3</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65961.33(0.8)</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2012-13</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46886(0.2%)</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63.4</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27096.51(0.3)</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36.6</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73982.79(0.7)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2013-14</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48841.09(0.4)</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61.5</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30514.80(0.3)</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38.5</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79355.89(0.7)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2014-15</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54935.05(0.4)</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62.8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32538.39(0.3)</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37.2</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87473.44(0.7)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2015-16</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59430.29(0.4)</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62.8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36022.15(0.3)</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37.7</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95452.44(0.7)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2016-17</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60869 (0.4%)</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62.1</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39124.71(0.3)</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37.9</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103099.26(0.7)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2017-18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63974.55(0.4)</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63.2</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41855.88(0.2)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37.8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113825.03(0.7)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2018-19</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71969.15(0.5)</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63.2</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45562.72(0.2)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36.8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123847.71(0.7)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sz w:val="24"/>
                <w:szCs w:val="24"/>
              </w:rPr>
            </w:pPr>
            <w:r w:rsidRPr="00586BE5">
              <w:rPr>
                <w:rFonts w:ascii="Times New Roman" w:hAnsi="Times New Roman" w:cs="Times New Roman"/>
                <w:sz w:val="24"/>
                <w:szCs w:val="24"/>
              </w:rPr>
              <w:t>2019-20</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87813.47(0.4)   </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66.2</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44753.54(0.2)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33.8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132567.01(0.7)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sz w:val="24"/>
                <w:szCs w:val="24"/>
              </w:rPr>
            </w:pPr>
            <w:r w:rsidRPr="00586BE5">
              <w:rPr>
                <w:rFonts w:ascii="Times New Roman" w:hAnsi="Times New Roman" w:cs="Times New Roman"/>
                <w:sz w:val="24"/>
                <w:szCs w:val="24"/>
              </w:rPr>
              <w:t>2020-21</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80992.83(0.4)</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63.6</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46388.13(0.2)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36.4</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127380.96(0.6)</w:t>
            </w:r>
          </w:p>
        </w:tc>
      </w:tr>
    </w:tbl>
    <w:p w:rsidR="00E770AD" w:rsidRPr="00F308D4" w:rsidRDefault="00E770AD" w:rsidP="00E770AD">
      <w:pPr>
        <w:spacing w:after="0" w:line="240" w:lineRule="auto"/>
        <w:jc w:val="both"/>
        <w:rPr>
          <w:rFonts w:ascii="Times New Roman" w:hAnsi="Times New Roman" w:cs="Times New Roman"/>
          <w:bCs/>
          <w:sz w:val="20"/>
          <w:szCs w:val="20"/>
        </w:rPr>
      </w:pPr>
      <w:r w:rsidRPr="00F308D4">
        <w:rPr>
          <w:rFonts w:ascii="Times New Roman" w:hAnsi="Times New Roman" w:cs="Times New Roman"/>
          <w:bCs/>
          <w:sz w:val="20"/>
          <w:szCs w:val="20"/>
        </w:rPr>
        <w:t xml:space="preserve">Sources: Dept of Science and technology (DST) Note: public investment in R&amp;D=central govt ministers/department+ public sector/joint sector/joint </w:t>
      </w:r>
      <w:proofErr w:type="spellStart"/>
      <w:r w:rsidRPr="00F308D4">
        <w:rPr>
          <w:rFonts w:ascii="Times New Roman" w:hAnsi="Times New Roman" w:cs="Times New Roman"/>
          <w:bCs/>
          <w:sz w:val="20"/>
          <w:szCs w:val="20"/>
        </w:rPr>
        <w:t>industries+state</w:t>
      </w:r>
      <w:proofErr w:type="spellEnd"/>
      <w:r w:rsidRPr="00F308D4">
        <w:rPr>
          <w:rFonts w:ascii="Times New Roman" w:hAnsi="Times New Roman" w:cs="Times New Roman"/>
          <w:bCs/>
          <w:sz w:val="20"/>
          <w:szCs w:val="20"/>
        </w:rPr>
        <w:t xml:space="preserve"> </w:t>
      </w:r>
      <w:proofErr w:type="spellStart"/>
      <w:r w:rsidRPr="00F308D4">
        <w:rPr>
          <w:rFonts w:ascii="Times New Roman" w:hAnsi="Times New Roman" w:cs="Times New Roman"/>
          <w:bCs/>
          <w:sz w:val="20"/>
          <w:szCs w:val="20"/>
        </w:rPr>
        <w:t>govt+higher</w:t>
      </w:r>
      <w:proofErr w:type="spellEnd"/>
      <w:r w:rsidRPr="00F308D4">
        <w:rPr>
          <w:rFonts w:ascii="Times New Roman" w:hAnsi="Times New Roman" w:cs="Times New Roman"/>
          <w:bCs/>
          <w:sz w:val="20"/>
          <w:szCs w:val="20"/>
        </w:rPr>
        <w:t xml:space="preserve"> education</w:t>
      </w:r>
    </w:p>
    <w:p w:rsidR="00EF30D2" w:rsidRDefault="00EF30D2" w:rsidP="00EF30D2">
      <w:pPr>
        <w:spacing w:after="0" w:line="360" w:lineRule="auto"/>
        <w:jc w:val="both"/>
        <w:rPr>
          <w:rFonts w:ascii="Times New Roman" w:hAnsi="Times New Roman" w:cs="Times New Roman"/>
          <w:b/>
          <w:bCs/>
          <w:sz w:val="24"/>
          <w:szCs w:val="24"/>
        </w:rPr>
      </w:pPr>
    </w:p>
    <w:p w:rsidR="008B4DE8" w:rsidRPr="00586BE5" w:rsidRDefault="008B4DE8" w:rsidP="008B4DE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86BE5">
        <w:rPr>
          <w:rFonts w:ascii="Times New Roman" w:hAnsi="Times New Roman" w:cs="Times New Roman"/>
          <w:sz w:val="24"/>
          <w:szCs w:val="24"/>
        </w:rPr>
        <w:t>The investments in Indian science, measured in terms of Gross Expenditure on R&amp;D (GERD), have shown a consistently increasing trend over the years.</w:t>
      </w:r>
    </w:p>
    <w:p w:rsidR="008B4DE8" w:rsidRPr="00586BE5" w:rsidRDefault="008B4DE8" w:rsidP="008B4DE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86BE5">
        <w:rPr>
          <w:rFonts w:ascii="Times New Roman" w:hAnsi="Times New Roman" w:cs="Times New Roman"/>
          <w:sz w:val="24"/>
          <w:szCs w:val="24"/>
        </w:rPr>
        <w:t>As a fraction of GDP, R&amp;D spend has been stagnant – between 0.6 - 0.7percent of GDP – over the past two decades. India’s spending on R&amp;D (about 0.6 percent of GDP).</w:t>
      </w:r>
    </w:p>
    <w:p w:rsidR="008B4DE8" w:rsidRDefault="008B4DE8" w:rsidP="008B4DE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86BE5">
        <w:rPr>
          <w:rFonts w:ascii="Times New Roman" w:hAnsi="Times New Roman" w:cs="Times New Roman"/>
          <w:sz w:val="24"/>
          <w:szCs w:val="24"/>
        </w:rPr>
        <w:t>The   public expenditure   is dominant factor contributing the total expenditure on R&amp;D.  Though in recent years the share of public expenditure has declined from 75% of the total expenditure to about 60% over the last ten years. This shows that the share of private sector is inching up though at a very slow rate.</w:t>
      </w:r>
    </w:p>
    <w:p w:rsidR="008B4DE8" w:rsidRDefault="008B4DE8" w:rsidP="008B4DE8">
      <w:pPr>
        <w:autoSpaceDE w:val="0"/>
        <w:autoSpaceDN w:val="0"/>
        <w:adjustRightInd w:val="0"/>
        <w:spacing w:after="0" w:line="360" w:lineRule="auto"/>
        <w:jc w:val="both"/>
        <w:rPr>
          <w:rFonts w:ascii="Times New Roman" w:hAnsi="Times New Roman" w:cs="Times New Roman"/>
          <w:sz w:val="24"/>
          <w:szCs w:val="24"/>
        </w:rPr>
      </w:pPr>
    </w:p>
    <w:p w:rsidR="008B4DE8" w:rsidRPr="008B4DE8" w:rsidRDefault="008B4DE8" w:rsidP="008B4DE8">
      <w:pPr>
        <w:autoSpaceDE w:val="0"/>
        <w:autoSpaceDN w:val="0"/>
        <w:adjustRightInd w:val="0"/>
        <w:spacing w:after="0" w:line="360" w:lineRule="auto"/>
        <w:jc w:val="both"/>
        <w:rPr>
          <w:rFonts w:ascii="Times New Roman" w:hAnsi="Times New Roman" w:cs="Times New Roman"/>
          <w:sz w:val="24"/>
          <w:szCs w:val="24"/>
        </w:rPr>
      </w:pPr>
      <w:r w:rsidRPr="008B4DE8">
        <w:rPr>
          <w:rFonts w:ascii="Times New Roman" w:hAnsi="Times New Roman" w:cs="Times New Roman"/>
          <w:sz w:val="24"/>
          <w:szCs w:val="24"/>
        </w:rPr>
        <w:t>Fig.</w:t>
      </w:r>
      <w:r w:rsidR="009A27EA">
        <w:rPr>
          <w:rFonts w:ascii="Times New Roman" w:hAnsi="Times New Roman" w:cs="Times New Roman"/>
          <w:sz w:val="24"/>
          <w:szCs w:val="24"/>
        </w:rPr>
        <w:t>3</w:t>
      </w:r>
      <w:r w:rsidRPr="008B4DE8">
        <w:rPr>
          <w:rFonts w:ascii="Times New Roman" w:hAnsi="Times New Roman" w:cs="Times New Roman"/>
          <w:sz w:val="24"/>
          <w:szCs w:val="24"/>
        </w:rPr>
        <w:t xml:space="preserve">: </w:t>
      </w:r>
      <w:r w:rsidRPr="008B4DE8">
        <w:rPr>
          <w:rFonts w:ascii="Times New Roman" w:hAnsi="Times New Roman" w:cs="Times New Roman"/>
          <w:bCs/>
          <w:sz w:val="24"/>
          <w:szCs w:val="24"/>
        </w:rPr>
        <w:t>Declining expenditure by the public sector on R&amp;D (Figures in % of GDP)</w:t>
      </w:r>
    </w:p>
    <w:p w:rsidR="00EF30D2" w:rsidRDefault="008B4DE8" w:rsidP="003D17C5">
      <w:pPr>
        <w:pStyle w:val="NormalWeb"/>
        <w:spacing w:line="360" w:lineRule="auto"/>
        <w:jc w:val="both"/>
      </w:pPr>
      <w:r w:rsidRPr="008B4DE8">
        <w:rPr>
          <w:noProof/>
        </w:rPr>
        <w:lastRenderedPageBreak/>
        <w:drawing>
          <wp:inline distT="0" distB="0" distL="0" distR="0">
            <wp:extent cx="497205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46499" w:rsidRPr="008B4DE8" w:rsidRDefault="008B4DE8" w:rsidP="003D17C5">
      <w:pPr>
        <w:pStyle w:val="NormalWeb"/>
        <w:spacing w:line="360" w:lineRule="auto"/>
        <w:jc w:val="both"/>
        <w:rPr>
          <w:sz w:val="20"/>
          <w:szCs w:val="20"/>
        </w:rPr>
      </w:pPr>
      <w:r w:rsidRPr="008B4DE8">
        <w:rPr>
          <w:sz w:val="20"/>
          <w:szCs w:val="20"/>
        </w:rPr>
        <w:t>Sources: Research and Development Statistics 2019-20; Ministry of Science and Technology; PRS.</w:t>
      </w:r>
    </w:p>
    <w:p w:rsidR="00886965" w:rsidRDefault="008B4DE8" w:rsidP="003D17C5">
      <w:pPr>
        <w:spacing w:line="360" w:lineRule="auto"/>
        <w:jc w:val="both"/>
        <w:rPr>
          <w:rFonts w:ascii="Times New Roman" w:hAnsi="Times New Roman" w:cs="Times New Roman"/>
          <w:bCs/>
          <w:iCs/>
          <w:sz w:val="24"/>
          <w:szCs w:val="24"/>
        </w:rPr>
      </w:pPr>
      <w:r w:rsidRPr="008B4DE8">
        <w:rPr>
          <w:rFonts w:ascii="Times New Roman" w:hAnsi="Times New Roman" w:cs="Times New Roman"/>
          <w:bCs/>
          <w:iCs/>
          <w:sz w:val="24"/>
          <w:szCs w:val="24"/>
        </w:rPr>
        <w:t>Public sector investment on R&amp;D on a decline; lowest since 2004-05</w:t>
      </w:r>
      <w:r>
        <w:rPr>
          <w:rFonts w:ascii="Times New Roman" w:hAnsi="Times New Roman" w:cs="Times New Roman"/>
          <w:bCs/>
          <w:iCs/>
          <w:sz w:val="24"/>
          <w:szCs w:val="24"/>
        </w:rPr>
        <w:t xml:space="preserve"> and share of private investment in total R&amp;D is less even compared to public sector.</w:t>
      </w:r>
    </w:p>
    <w:p w:rsidR="00AA06B0" w:rsidRPr="00586BE5" w:rsidRDefault="00AA06B0" w:rsidP="00AA06B0">
      <w:pPr>
        <w:tabs>
          <w:tab w:val="left" w:pos="1890"/>
        </w:tabs>
        <w:autoSpaceDE w:val="0"/>
        <w:autoSpaceDN w:val="0"/>
        <w:adjustRightInd w:val="0"/>
        <w:spacing w:after="0" w:line="360" w:lineRule="auto"/>
        <w:jc w:val="both"/>
        <w:rPr>
          <w:rFonts w:ascii="Times New Roman" w:hAnsi="Times New Roman" w:cs="Times New Roman"/>
          <w:b/>
          <w:sz w:val="24"/>
          <w:szCs w:val="24"/>
        </w:rPr>
      </w:pPr>
      <w:r w:rsidRPr="00586BE5">
        <w:rPr>
          <w:rFonts w:ascii="Times New Roman" w:hAnsi="Times New Roman" w:cs="Times New Roman"/>
          <w:b/>
          <w:sz w:val="24"/>
          <w:szCs w:val="24"/>
        </w:rPr>
        <w:t>Major stake hold in R&amp; D in India</w:t>
      </w:r>
    </w:p>
    <w:p w:rsidR="00AA06B0" w:rsidRPr="00AA06B0" w:rsidRDefault="00AA06B0" w:rsidP="00AA06B0">
      <w:pPr>
        <w:pStyle w:val="ListParagraph"/>
        <w:numPr>
          <w:ilvl w:val="0"/>
          <w:numId w:val="2"/>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586BE5">
        <w:rPr>
          <w:rFonts w:ascii="Times New Roman" w:hAnsi="Times New Roman" w:cs="Times New Roman"/>
          <w:sz w:val="24"/>
          <w:szCs w:val="24"/>
        </w:rPr>
        <w:t xml:space="preserve"> </w:t>
      </w:r>
      <w:r w:rsidR="00F47B73">
        <w:rPr>
          <w:rFonts w:ascii="Times New Roman" w:hAnsi="Times New Roman" w:cs="Times New Roman"/>
          <w:sz w:val="24"/>
          <w:szCs w:val="24"/>
        </w:rPr>
        <w:t>“</w:t>
      </w:r>
      <w:r w:rsidRPr="00586BE5">
        <w:rPr>
          <w:rFonts w:ascii="Times New Roman" w:hAnsi="Times New Roman" w:cs="Times New Roman"/>
          <w:sz w:val="24"/>
          <w:szCs w:val="24"/>
        </w:rPr>
        <w:t>The major player in the R&amp;D expenditure ecosystem In India is the Central Government.</w:t>
      </w:r>
      <w:r w:rsidRPr="00586BE5">
        <w:rPr>
          <w:rFonts w:ascii="Times New Roman" w:hAnsi="Times New Roman" w:cs="Times New Roman"/>
          <w:color w:val="0070C0"/>
          <w:sz w:val="24"/>
          <w:szCs w:val="24"/>
        </w:rPr>
        <w:t xml:space="preserve"> </w:t>
      </w:r>
      <w:r w:rsidRPr="00586BE5">
        <w:rPr>
          <w:rFonts w:ascii="Times New Roman" w:hAnsi="Times New Roman" w:cs="Times New Roman"/>
          <w:sz w:val="24"/>
          <w:szCs w:val="24"/>
        </w:rPr>
        <w:t xml:space="preserve">The major chunk of the public expenditure is incurred by key government scientific departments like Atomic Energy, Space, Earth Sciences, Science and Technology and Biotechnology.  The private sector which is an important player in other countries is not potent sources of R&amp;D spend in India. Further the R&amp;D spending as a percentage of GDP has remained stagnant over. </w:t>
      </w:r>
      <w:r w:rsidRPr="00586BE5">
        <w:rPr>
          <w:rFonts w:ascii="Times New Roman" w:hAnsi="Times New Roman" w:cs="Times New Roman"/>
          <w:color w:val="000000" w:themeColor="text1"/>
          <w:sz w:val="24"/>
          <w:szCs w:val="24"/>
        </w:rPr>
        <w:t xml:space="preserve">  Another important point is that the public expenditure caters to about 60% of the total expenditure on R&amp;D whereas private sector contributes around 40%. The share of public expenditure has however declined over the last decade</w:t>
      </w:r>
      <w:r w:rsidR="00F47B73">
        <w:rPr>
          <w:rFonts w:ascii="Times New Roman" w:hAnsi="Times New Roman" w:cs="Times New Roman"/>
          <w:color w:val="000000" w:themeColor="text1"/>
          <w:sz w:val="24"/>
          <w:szCs w:val="24"/>
        </w:rPr>
        <w:t>” (PSA, 2024)</w:t>
      </w:r>
      <w:r w:rsidRPr="00586BE5">
        <w:rPr>
          <w:rFonts w:ascii="Times New Roman" w:hAnsi="Times New Roman" w:cs="Times New Roman"/>
          <w:color w:val="000000" w:themeColor="text1"/>
          <w:sz w:val="24"/>
          <w:szCs w:val="24"/>
        </w:rPr>
        <w:t>.</w:t>
      </w:r>
    </w:p>
    <w:p w:rsidR="00AA06B0" w:rsidRPr="00586BE5" w:rsidRDefault="00AA06B0" w:rsidP="00AA06B0">
      <w:pPr>
        <w:pStyle w:val="ListParagraph"/>
        <w:autoSpaceDE w:val="0"/>
        <w:autoSpaceDN w:val="0"/>
        <w:adjustRightInd w:val="0"/>
        <w:spacing w:after="0" w:line="360" w:lineRule="auto"/>
        <w:jc w:val="both"/>
        <w:rPr>
          <w:rFonts w:ascii="Times New Roman" w:hAnsi="Times New Roman" w:cs="Times New Roman"/>
          <w:b/>
          <w:color w:val="000000" w:themeColor="text1"/>
          <w:sz w:val="24"/>
          <w:szCs w:val="24"/>
        </w:rPr>
      </w:pPr>
    </w:p>
    <w:p w:rsidR="00AA06B0" w:rsidRDefault="00AA06B0" w:rsidP="00AA06B0">
      <w:pPr>
        <w:pStyle w:val="ListParagraph"/>
        <w:spacing w:after="0" w:line="360" w:lineRule="auto"/>
        <w:rPr>
          <w:rFonts w:ascii="Times New Roman" w:hAnsi="Times New Roman" w:cs="Times New Roman"/>
          <w:bCs/>
          <w:sz w:val="24"/>
          <w:szCs w:val="24"/>
        </w:rPr>
      </w:pPr>
      <w:r w:rsidRPr="00AA06B0">
        <w:rPr>
          <w:rFonts w:ascii="Times New Roman" w:hAnsi="Times New Roman" w:cs="Times New Roman"/>
          <w:bCs/>
          <w:sz w:val="24"/>
          <w:szCs w:val="24"/>
        </w:rPr>
        <w:t>Table 2. Expenditure of Principal Science Government Agencies (Rs. Crores)</w:t>
      </w:r>
    </w:p>
    <w:tbl>
      <w:tblPr>
        <w:tblStyle w:val="TableGrid"/>
        <w:tblW w:w="9356" w:type="dxa"/>
        <w:jc w:val="center"/>
        <w:tblLayout w:type="fixed"/>
        <w:tblLook w:val="04A0" w:firstRow="1" w:lastRow="0" w:firstColumn="1" w:lastColumn="0" w:noHBand="0" w:noVBand="1"/>
      </w:tblPr>
      <w:tblGrid>
        <w:gridCol w:w="568"/>
        <w:gridCol w:w="3118"/>
        <w:gridCol w:w="1134"/>
        <w:gridCol w:w="1134"/>
        <w:gridCol w:w="1134"/>
        <w:gridCol w:w="1134"/>
        <w:gridCol w:w="1134"/>
      </w:tblGrid>
      <w:tr w:rsidR="00AA06B0" w:rsidRPr="00586BE5" w:rsidTr="00C62B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both"/>
              <w:rPr>
                <w:rFonts w:ascii="Times New Roman" w:hAnsi="Times New Roman" w:cs="Times New Roman"/>
                <w:sz w:val="24"/>
                <w:szCs w:val="24"/>
              </w:rPr>
            </w:pPr>
            <w:proofErr w:type="spellStart"/>
            <w:r w:rsidRPr="00586BE5">
              <w:rPr>
                <w:rFonts w:ascii="Times New Roman" w:hAnsi="Times New Roman" w:cs="Times New Roman"/>
                <w:sz w:val="24"/>
                <w:szCs w:val="24"/>
              </w:rPr>
              <w:t>Sl.No</w:t>
            </w:r>
            <w:proofErr w:type="spellEnd"/>
          </w:p>
        </w:tc>
        <w:tc>
          <w:tcPr>
            <w:tcW w:w="3118"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Agency</w:t>
            </w:r>
          </w:p>
        </w:tc>
        <w:tc>
          <w:tcPr>
            <w:tcW w:w="1134"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2005-06</w:t>
            </w:r>
          </w:p>
        </w:tc>
        <w:tc>
          <w:tcPr>
            <w:tcW w:w="1134"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2009-10</w:t>
            </w:r>
          </w:p>
        </w:tc>
        <w:tc>
          <w:tcPr>
            <w:tcW w:w="1134"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2015-16</w:t>
            </w:r>
          </w:p>
        </w:tc>
        <w:tc>
          <w:tcPr>
            <w:tcW w:w="1134"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2016-17</w:t>
            </w:r>
          </w:p>
        </w:tc>
        <w:tc>
          <w:tcPr>
            <w:tcW w:w="1134"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2017-18</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1</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Council of Scientific &amp;</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Industrial Research (CSIR)</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1427.04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2666.44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3988.14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4013.06</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4582.12</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2</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86BE5">
              <w:rPr>
                <w:rFonts w:ascii="Times New Roman" w:hAnsi="Times New Roman" w:cs="Times New Roman"/>
                <w:sz w:val="24"/>
                <w:szCs w:val="24"/>
              </w:rPr>
              <w:t>Defence</w:t>
            </w:r>
            <w:proofErr w:type="spellEnd"/>
            <w:r>
              <w:rPr>
                <w:rFonts w:ascii="Times New Roman" w:hAnsi="Times New Roman" w:cs="Times New Roman"/>
                <w:sz w:val="24"/>
                <w:szCs w:val="24"/>
              </w:rPr>
              <w:t xml:space="preserve"> </w:t>
            </w:r>
            <w:r w:rsidRPr="00586BE5">
              <w:rPr>
                <w:rFonts w:ascii="Times New Roman" w:hAnsi="Times New Roman" w:cs="Times New Roman"/>
                <w:sz w:val="24"/>
                <w:szCs w:val="24"/>
              </w:rPr>
              <w:t xml:space="preserve"> Research &amp;</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lastRenderedPageBreak/>
              <w:t xml:space="preserve"> Development </w:t>
            </w:r>
            <w:proofErr w:type="spellStart"/>
            <w:r w:rsidRPr="00586BE5">
              <w:rPr>
                <w:rFonts w:ascii="Times New Roman" w:hAnsi="Times New Roman" w:cs="Times New Roman"/>
                <w:sz w:val="24"/>
                <w:szCs w:val="24"/>
              </w:rPr>
              <w:t>Organisation</w:t>
            </w:r>
            <w:proofErr w:type="spellEnd"/>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(DRDO)</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lastRenderedPageBreak/>
              <w:t>5283.35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8475.38</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13317.12</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13382.05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15195.87</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3</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Department of Atomic</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Energy</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(DAE)</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1752.50</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3858.21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46359.54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4750.39</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5208.01</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4</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Department of Biotechnology</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(DBT)</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325.85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727.38</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1210.25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1446.71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1771.65</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5</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Ministry of Electronics and</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Information</w:t>
            </w:r>
            <w:r>
              <w:rPr>
                <w:rFonts w:ascii="Times New Roman" w:hAnsi="Times New Roman" w:cs="Times New Roman"/>
                <w:sz w:val="24"/>
                <w:szCs w:val="24"/>
              </w:rPr>
              <w:t xml:space="preserve">  </w:t>
            </w:r>
            <w:r w:rsidRPr="00586BE5">
              <w:rPr>
                <w:rFonts w:ascii="Times New Roman" w:hAnsi="Times New Roman" w:cs="Times New Roman"/>
                <w:sz w:val="24"/>
                <w:szCs w:val="24"/>
              </w:rPr>
              <w:t>Technology</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(MEITY) +</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167.85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327.96</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351.51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409.85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386.55</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6</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Ministry of New and</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Renewable</w:t>
            </w:r>
            <w:r>
              <w:rPr>
                <w:rFonts w:ascii="Times New Roman" w:hAnsi="Times New Roman" w:cs="Times New Roman"/>
                <w:sz w:val="24"/>
                <w:szCs w:val="24"/>
              </w:rPr>
              <w:t xml:space="preserve"> </w:t>
            </w:r>
            <w:r w:rsidRPr="00586BE5">
              <w:rPr>
                <w:rFonts w:ascii="Times New Roman" w:hAnsi="Times New Roman" w:cs="Times New Roman"/>
                <w:sz w:val="24"/>
                <w:szCs w:val="24"/>
              </w:rPr>
              <w:t>Energy (MNRE)</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9.62</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26.51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23.11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32.35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34.50</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7</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Ministry of Earth Sciences</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(MES)++</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235.48</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448.24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839.25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951.24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1123.58</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8</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Department of Science &amp;</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Technology (DST)</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1237.05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1986.01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2800.76</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3161.54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3526.64</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9</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Department of Space (DOS)</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2667.60</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4162.96</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6920.01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8040.00</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9130.57</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10</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Indian Council of</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Agricultural</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Research (ICAR)d</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1717.27</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2881.30</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4369.75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4592.95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5355.57</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both"/>
              <w:rPr>
                <w:rFonts w:ascii="Times New Roman" w:hAnsi="Times New Roman" w:cs="Times New Roman"/>
                <w:sz w:val="24"/>
                <w:szCs w:val="24"/>
              </w:rPr>
            </w:pPr>
            <w:r w:rsidRPr="00586BE5">
              <w:rPr>
                <w:rFonts w:ascii="Times New Roman" w:hAnsi="Times New Roman" w:cs="Times New Roman"/>
                <w:sz w:val="24"/>
                <w:szCs w:val="24"/>
              </w:rPr>
              <w:t>11</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Indian Council of Medical Research (ICMR)</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331.00</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583.50</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918.02</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1073.83</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1468.70</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both"/>
              <w:rPr>
                <w:rFonts w:ascii="Times New Roman" w:hAnsi="Times New Roman" w:cs="Times New Roman"/>
                <w:sz w:val="24"/>
                <w:szCs w:val="24"/>
              </w:rPr>
            </w:pPr>
            <w:r w:rsidRPr="00586BE5">
              <w:rPr>
                <w:rFonts w:ascii="Times New Roman" w:hAnsi="Times New Roman" w:cs="Times New Roman"/>
                <w:sz w:val="24"/>
                <w:szCs w:val="24"/>
              </w:rPr>
              <w:t>12</w:t>
            </w:r>
          </w:p>
          <w:p w:rsidR="00AA06B0" w:rsidRPr="00586BE5" w:rsidRDefault="00AA06B0" w:rsidP="00C62B23">
            <w:pPr>
              <w:jc w:val="both"/>
              <w:rPr>
                <w:rFonts w:ascii="Times New Roman" w:hAnsi="Times New Roman" w:cs="Times New Roman"/>
                <w:sz w:val="24"/>
                <w:szCs w:val="24"/>
              </w:rPr>
            </w:pPr>
          </w:p>
          <w:p w:rsidR="00AA06B0" w:rsidRPr="00586BE5" w:rsidRDefault="00AA06B0" w:rsidP="00C62B23">
            <w:pPr>
              <w:jc w:val="both"/>
              <w:rPr>
                <w:rFonts w:ascii="Times New Roman" w:hAnsi="Times New Roman" w:cs="Times New Roman"/>
                <w:sz w:val="24"/>
                <w:szCs w:val="24"/>
              </w:rPr>
            </w:pP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Ministry of Environment, Forest and Climate Change (</w:t>
            </w:r>
            <w:proofErr w:type="spellStart"/>
            <w:r w:rsidRPr="00586BE5">
              <w:rPr>
                <w:rFonts w:ascii="Times New Roman" w:hAnsi="Times New Roman" w:cs="Times New Roman"/>
                <w:sz w:val="24"/>
                <w:szCs w:val="24"/>
              </w:rPr>
              <w:t>MoEFCC</w:t>
            </w:r>
            <w:proofErr w:type="spellEnd"/>
            <w:r w:rsidRPr="00586BE5">
              <w:rPr>
                <w:rFonts w:ascii="Times New Roman" w:hAnsi="Times New Roman" w:cs="Times New Roman"/>
                <w:sz w:val="24"/>
                <w:szCs w:val="24"/>
              </w:rPr>
              <w:t>)</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235.31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415.57</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192.84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220.21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260.87</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both"/>
              <w:rPr>
                <w:rFonts w:ascii="Times New Roman" w:hAnsi="Times New Roman" w:cs="Times New Roman"/>
                <w:sz w:val="24"/>
                <w:szCs w:val="24"/>
              </w:rPr>
            </w:pP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Total</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15389.92</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26559.46</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39566.71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42074.18</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48044.63</w:t>
            </w:r>
          </w:p>
        </w:tc>
      </w:tr>
    </w:tbl>
    <w:p w:rsidR="00AA06B0" w:rsidRPr="00F308D4" w:rsidRDefault="00AA06B0" w:rsidP="00AA06B0">
      <w:pPr>
        <w:tabs>
          <w:tab w:val="left" w:pos="1890"/>
        </w:tabs>
        <w:autoSpaceDE w:val="0"/>
        <w:autoSpaceDN w:val="0"/>
        <w:adjustRightInd w:val="0"/>
        <w:spacing w:after="0" w:line="360" w:lineRule="auto"/>
        <w:jc w:val="both"/>
        <w:rPr>
          <w:rFonts w:ascii="Times New Roman" w:hAnsi="Times New Roman" w:cs="Times New Roman"/>
          <w:bCs/>
          <w:sz w:val="20"/>
          <w:szCs w:val="20"/>
        </w:rPr>
      </w:pPr>
      <w:r>
        <w:rPr>
          <w:rFonts w:ascii="Times New Roman" w:hAnsi="Times New Roman" w:cs="Times New Roman"/>
          <w:sz w:val="20"/>
          <w:szCs w:val="20"/>
        </w:rPr>
        <w:t xml:space="preserve">Sources: </w:t>
      </w:r>
      <w:r w:rsidRPr="00F308D4">
        <w:rPr>
          <w:rFonts w:ascii="Times New Roman" w:hAnsi="Times New Roman" w:cs="Times New Roman"/>
          <w:sz w:val="20"/>
          <w:szCs w:val="20"/>
        </w:rPr>
        <w:t xml:space="preserve">Data collected and compiled by NSTMIS, DST, </w:t>
      </w:r>
      <w:proofErr w:type="spellStart"/>
      <w:r w:rsidRPr="00F308D4">
        <w:rPr>
          <w:rFonts w:ascii="Times New Roman" w:hAnsi="Times New Roman" w:cs="Times New Roman"/>
          <w:sz w:val="20"/>
          <w:szCs w:val="20"/>
        </w:rPr>
        <w:t>GoI</w:t>
      </w:r>
      <w:proofErr w:type="spellEnd"/>
      <w:r w:rsidRPr="00F308D4">
        <w:rPr>
          <w:rFonts w:ascii="Times New Roman" w:hAnsi="Times New Roman" w:cs="Times New Roman"/>
          <w:sz w:val="20"/>
          <w:szCs w:val="20"/>
        </w:rPr>
        <w:t>.</w:t>
      </w:r>
    </w:p>
    <w:p w:rsidR="00AA06B0" w:rsidRPr="00586BE5" w:rsidRDefault="00AA06B0" w:rsidP="00AA06B0">
      <w:pPr>
        <w:autoSpaceDE w:val="0"/>
        <w:autoSpaceDN w:val="0"/>
        <w:adjustRightInd w:val="0"/>
        <w:spacing w:after="0" w:line="360" w:lineRule="auto"/>
        <w:jc w:val="both"/>
        <w:rPr>
          <w:rFonts w:ascii="Times New Roman" w:hAnsi="Times New Roman" w:cs="Times New Roman"/>
          <w:b/>
          <w:bCs/>
          <w:sz w:val="24"/>
          <w:szCs w:val="24"/>
        </w:rPr>
      </w:pPr>
      <w:r w:rsidRPr="00F308D4">
        <w:rPr>
          <w:rFonts w:ascii="Times New Roman" w:hAnsi="Times New Roman" w:cs="Times New Roman"/>
          <w:b/>
          <w:bCs/>
          <w:sz w:val="24"/>
          <w:szCs w:val="24"/>
        </w:rPr>
        <w:t>International Comparison</w:t>
      </w:r>
      <w:r w:rsidRPr="00586BE5">
        <w:rPr>
          <w:rFonts w:ascii="Times New Roman" w:hAnsi="Times New Roman" w:cs="Times New Roman"/>
          <w:bCs/>
          <w:sz w:val="24"/>
          <w:szCs w:val="24"/>
        </w:rPr>
        <w:t>:</w:t>
      </w:r>
      <w:r w:rsidRPr="00586BE5">
        <w:rPr>
          <w:rFonts w:ascii="Times New Roman" w:hAnsi="Times New Roman" w:cs="Times New Roman"/>
          <w:sz w:val="24"/>
          <w:szCs w:val="24"/>
        </w:rPr>
        <w:t xml:space="preserve">  If we compare globally, India’s GERD is substantially lower than countries such as Germany, USA, China, Japan and South Korea.</w:t>
      </w:r>
    </w:p>
    <w:p w:rsidR="00AA06B0" w:rsidRPr="00586BE5" w:rsidRDefault="00AA06B0" w:rsidP="00AA06B0">
      <w:pPr>
        <w:spacing w:after="0" w:line="360" w:lineRule="auto"/>
        <w:jc w:val="center"/>
        <w:rPr>
          <w:rFonts w:ascii="Times New Roman" w:hAnsi="Times New Roman" w:cs="Times New Roman"/>
          <w:bCs/>
          <w:sz w:val="24"/>
          <w:szCs w:val="24"/>
        </w:rPr>
      </w:pPr>
      <w:r w:rsidRPr="00586BE5">
        <w:rPr>
          <w:rFonts w:ascii="Times New Roman" w:hAnsi="Times New Roman" w:cs="Times New Roman"/>
          <w:bCs/>
          <w:sz w:val="24"/>
          <w:szCs w:val="24"/>
        </w:rPr>
        <w:t>Table 3.Top five countries in Global R&amp;D spend</w:t>
      </w:r>
    </w:p>
    <w:tbl>
      <w:tblPr>
        <w:tblStyle w:val="TableGrid"/>
        <w:tblW w:w="0" w:type="auto"/>
        <w:jc w:val="center"/>
        <w:tblLook w:val="04A0" w:firstRow="1" w:lastRow="0" w:firstColumn="1" w:lastColumn="0" w:noHBand="0" w:noVBand="1"/>
      </w:tblPr>
      <w:tblGrid>
        <w:gridCol w:w="959"/>
        <w:gridCol w:w="1149"/>
        <w:gridCol w:w="1843"/>
        <w:gridCol w:w="1984"/>
      </w:tblGrid>
      <w:tr w:rsidR="00AA06B0" w:rsidRPr="00586BE5" w:rsidTr="00C62B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vAlign w:val="center"/>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Rank</w:t>
            </w:r>
          </w:p>
        </w:tc>
        <w:tc>
          <w:tcPr>
            <w:tcW w:w="1149"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Country</w:t>
            </w:r>
          </w:p>
        </w:tc>
        <w:tc>
          <w:tcPr>
            <w:tcW w:w="1843"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R &amp; D Spending in Billion $in PPP</w:t>
            </w:r>
          </w:p>
        </w:tc>
        <w:tc>
          <w:tcPr>
            <w:tcW w:w="1984"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R&amp;D expenditure as percentage of GDP</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AA06B0" w:rsidRPr="00586BE5" w:rsidRDefault="00AA06B0" w:rsidP="00C62B23">
            <w:pPr>
              <w:spacing w:line="360" w:lineRule="auto"/>
              <w:jc w:val="center"/>
              <w:rPr>
                <w:rFonts w:ascii="Times New Roman" w:hAnsi="Times New Roman" w:cs="Times New Roman"/>
                <w:sz w:val="24"/>
                <w:szCs w:val="24"/>
              </w:rPr>
            </w:pPr>
            <w:r w:rsidRPr="00586BE5">
              <w:rPr>
                <w:rFonts w:ascii="Times New Roman" w:hAnsi="Times New Roman" w:cs="Times New Roman"/>
                <w:sz w:val="24"/>
                <w:szCs w:val="24"/>
              </w:rPr>
              <w:t>1</w:t>
            </w:r>
          </w:p>
        </w:tc>
        <w:tc>
          <w:tcPr>
            <w:tcW w:w="1149"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USA</w:t>
            </w:r>
          </w:p>
        </w:tc>
        <w:tc>
          <w:tcPr>
            <w:tcW w:w="1843"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720.9</w:t>
            </w:r>
          </w:p>
        </w:tc>
        <w:tc>
          <w:tcPr>
            <w:tcW w:w="1984"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31.9</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AA06B0" w:rsidRPr="00586BE5" w:rsidRDefault="00AA06B0" w:rsidP="00C62B23">
            <w:pPr>
              <w:spacing w:line="360" w:lineRule="auto"/>
              <w:jc w:val="center"/>
              <w:rPr>
                <w:rFonts w:ascii="Times New Roman" w:hAnsi="Times New Roman" w:cs="Times New Roman"/>
                <w:sz w:val="24"/>
                <w:szCs w:val="24"/>
              </w:rPr>
            </w:pPr>
            <w:r w:rsidRPr="00586BE5">
              <w:rPr>
                <w:rFonts w:ascii="Times New Roman" w:hAnsi="Times New Roman" w:cs="Times New Roman"/>
                <w:sz w:val="24"/>
                <w:szCs w:val="24"/>
              </w:rPr>
              <w:t>2</w:t>
            </w:r>
          </w:p>
        </w:tc>
        <w:tc>
          <w:tcPr>
            <w:tcW w:w="1149"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China </w:t>
            </w:r>
          </w:p>
        </w:tc>
        <w:tc>
          <w:tcPr>
            <w:tcW w:w="1843"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582.8</w:t>
            </w:r>
          </w:p>
        </w:tc>
        <w:tc>
          <w:tcPr>
            <w:tcW w:w="1984"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29.1</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AA06B0" w:rsidRPr="00586BE5" w:rsidRDefault="00AA06B0" w:rsidP="00C62B23">
            <w:pPr>
              <w:spacing w:line="360" w:lineRule="auto"/>
              <w:jc w:val="center"/>
              <w:rPr>
                <w:rFonts w:ascii="Times New Roman" w:hAnsi="Times New Roman" w:cs="Times New Roman"/>
                <w:sz w:val="24"/>
                <w:szCs w:val="24"/>
              </w:rPr>
            </w:pPr>
            <w:r w:rsidRPr="00586BE5">
              <w:rPr>
                <w:rFonts w:ascii="Times New Roman" w:hAnsi="Times New Roman" w:cs="Times New Roman"/>
                <w:sz w:val="24"/>
                <w:szCs w:val="24"/>
              </w:rPr>
              <w:t>3</w:t>
            </w:r>
          </w:p>
        </w:tc>
        <w:tc>
          <w:tcPr>
            <w:tcW w:w="1149"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Japan</w:t>
            </w:r>
          </w:p>
        </w:tc>
        <w:tc>
          <w:tcPr>
            <w:tcW w:w="1843"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174.1</w:t>
            </w:r>
          </w:p>
        </w:tc>
        <w:tc>
          <w:tcPr>
            <w:tcW w:w="1984"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10.3</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AA06B0" w:rsidRPr="00586BE5" w:rsidRDefault="00AA06B0" w:rsidP="00C62B23">
            <w:pPr>
              <w:spacing w:line="360" w:lineRule="auto"/>
              <w:jc w:val="center"/>
              <w:rPr>
                <w:rFonts w:ascii="Times New Roman" w:hAnsi="Times New Roman" w:cs="Times New Roman"/>
                <w:sz w:val="24"/>
                <w:szCs w:val="24"/>
              </w:rPr>
            </w:pPr>
            <w:r w:rsidRPr="00586BE5">
              <w:rPr>
                <w:rFonts w:ascii="Times New Roman" w:hAnsi="Times New Roman" w:cs="Times New Roman"/>
                <w:sz w:val="24"/>
                <w:szCs w:val="24"/>
              </w:rPr>
              <w:t>4</w:t>
            </w:r>
          </w:p>
        </w:tc>
        <w:tc>
          <w:tcPr>
            <w:tcW w:w="1149"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Germany</w:t>
            </w:r>
          </w:p>
        </w:tc>
        <w:tc>
          <w:tcPr>
            <w:tcW w:w="1843"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143.4</w:t>
            </w:r>
          </w:p>
        </w:tc>
        <w:tc>
          <w:tcPr>
            <w:tcW w:w="1984"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7.5</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AA06B0" w:rsidRPr="00586BE5" w:rsidRDefault="00AA06B0" w:rsidP="00C62B23">
            <w:pPr>
              <w:spacing w:line="360" w:lineRule="auto"/>
              <w:jc w:val="center"/>
              <w:rPr>
                <w:rFonts w:ascii="Times New Roman" w:hAnsi="Times New Roman" w:cs="Times New Roman"/>
                <w:sz w:val="24"/>
                <w:szCs w:val="24"/>
              </w:rPr>
            </w:pPr>
            <w:r w:rsidRPr="00586BE5">
              <w:rPr>
                <w:rFonts w:ascii="Times New Roman" w:hAnsi="Times New Roman" w:cs="Times New Roman"/>
                <w:sz w:val="24"/>
                <w:szCs w:val="24"/>
              </w:rPr>
              <w:t>5</w:t>
            </w:r>
          </w:p>
        </w:tc>
        <w:tc>
          <w:tcPr>
            <w:tcW w:w="1149"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South Korea</w:t>
            </w:r>
          </w:p>
        </w:tc>
        <w:tc>
          <w:tcPr>
            <w:tcW w:w="1843"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112.9</w:t>
            </w:r>
          </w:p>
        </w:tc>
        <w:tc>
          <w:tcPr>
            <w:tcW w:w="1984"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5.3</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AA06B0" w:rsidRPr="00586BE5" w:rsidRDefault="00AA06B0" w:rsidP="00C62B23">
            <w:pPr>
              <w:spacing w:line="360" w:lineRule="auto"/>
              <w:jc w:val="center"/>
              <w:rPr>
                <w:rFonts w:ascii="Times New Roman" w:hAnsi="Times New Roman" w:cs="Times New Roman"/>
                <w:sz w:val="24"/>
                <w:szCs w:val="24"/>
              </w:rPr>
            </w:pPr>
          </w:p>
        </w:tc>
        <w:tc>
          <w:tcPr>
            <w:tcW w:w="1149"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India</w:t>
            </w:r>
          </w:p>
        </w:tc>
        <w:tc>
          <w:tcPr>
            <w:tcW w:w="1843"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48.1</w:t>
            </w:r>
          </w:p>
        </w:tc>
        <w:tc>
          <w:tcPr>
            <w:tcW w:w="1984"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0.7</w:t>
            </w:r>
          </w:p>
        </w:tc>
      </w:tr>
    </w:tbl>
    <w:p w:rsidR="00AA06B0" w:rsidRDefault="00AA06B0" w:rsidP="00AA06B0">
      <w:pPr>
        <w:spacing w:after="0" w:line="240" w:lineRule="auto"/>
        <w:jc w:val="both"/>
        <w:rPr>
          <w:rFonts w:ascii="Times New Roman" w:hAnsi="Times New Roman" w:cs="Times New Roman"/>
          <w:sz w:val="24"/>
          <w:szCs w:val="24"/>
        </w:rPr>
      </w:pPr>
      <w:r w:rsidRPr="00586BE5">
        <w:rPr>
          <w:rFonts w:ascii="Times New Roman" w:hAnsi="Times New Roman" w:cs="Times New Roman"/>
          <w:b/>
          <w:bCs/>
          <w:sz w:val="24"/>
          <w:szCs w:val="24"/>
        </w:rPr>
        <w:t xml:space="preserve">Source: </w:t>
      </w:r>
      <w:r w:rsidRPr="00586BE5">
        <w:rPr>
          <w:rFonts w:ascii="Times New Roman" w:hAnsi="Times New Roman" w:cs="Times New Roman"/>
          <w:sz w:val="24"/>
          <w:szCs w:val="24"/>
        </w:rPr>
        <w:t xml:space="preserve">CRS analysis of </w:t>
      </w:r>
      <w:proofErr w:type="spellStart"/>
      <w:r w:rsidRPr="00586BE5">
        <w:rPr>
          <w:rFonts w:ascii="Times New Roman" w:hAnsi="Times New Roman" w:cs="Times New Roman"/>
          <w:sz w:val="24"/>
          <w:szCs w:val="24"/>
        </w:rPr>
        <w:t>Organisation</w:t>
      </w:r>
      <w:proofErr w:type="spellEnd"/>
      <w:r w:rsidRPr="00586BE5">
        <w:rPr>
          <w:rFonts w:ascii="Times New Roman" w:hAnsi="Times New Roman" w:cs="Times New Roman"/>
          <w:sz w:val="24"/>
          <w:szCs w:val="24"/>
        </w:rPr>
        <w:t xml:space="preserve"> for Economic Development and Cooperation, </w:t>
      </w:r>
      <w:proofErr w:type="spellStart"/>
      <w:r w:rsidRPr="00586BE5">
        <w:rPr>
          <w:rFonts w:ascii="Times New Roman" w:hAnsi="Times New Roman" w:cs="Times New Roman"/>
          <w:sz w:val="24"/>
          <w:szCs w:val="24"/>
        </w:rPr>
        <w:t>OECD.Stat</w:t>
      </w:r>
      <w:proofErr w:type="spellEnd"/>
      <w:r w:rsidRPr="00586BE5">
        <w:rPr>
          <w:rFonts w:ascii="Times New Roman" w:hAnsi="Times New Roman" w:cs="Times New Roman"/>
          <w:sz w:val="24"/>
          <w:szCs w:val="24"/>
        </w:rPr>
        <w:t xml:space="preserve"> database, </w:t>
      </w:r>
      <w:hyperlink r:id="rId13" w:history="1">
        <w:r w:rsidRPr="00586BE5">
          <w:rPr>
            <w:rStyle w:val="Hyperlink"/>
            <w:rFonts w:ascii="Times New Roman" w:hAnsi="Times New Roman" w:cs="Times New Roman"/>
            <w:sz w:val="24"/>
            <w:szCs w:val="24"/>
          </w:rPr>
          <w:t>https://stats.oecd.org/Index.aspx?DataSetCode=MSTI_PUB</w:t>
        </w:r>
      </w:hyperlink>
      <w:r w:rsidRPr="00586BE5">
        <w:rPr>
          <w:rFonts w:ascii="Times New Roman" w:hAnsi="Times New Roman" w:cs="Times New Roman"/>
          <w:sz w:val="24"/>
          <w:szCs w:val="24"/>
        </w:rPr>
        <w:t>.</w:t>
      </w:r>
    </w:p>
    <w:p w:rsidR="00AA06B0" w:rsidRPr="00586BE5" w:rsidRDefault="00AA06B0" w:rsidP="00AA06B0">
      <w:pPr>
        <w:spacing w:after="0" w:line="240" w:lineRule="auto"/>
        <w:jc w:val="both"/>
        <w:rPr>
          <w:rFonts w:ascii="Times New Roman" w:hAnsi="Times New Roman" w:cs="Times New Roman"/>
          <w:sz w:val="24"/>
          <w:szCs w:val="24"/>
        </w:rPr>
      </w:pPr>
    </w:p>
    <w:p w:rsidR="00AA06B0" w:rsidRPr="00586BE5" w:rsidRDefault="00AA06B0" w:rsidP="00AA06B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p>
    <w:p w:rsidR="00AA06B0" w:rsidRPr="00586BE5" w:rsidRDefault="00F47B73" w:rsidP="00AA06B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A06B0" w:rsidRPr="00586BE5">
        <w:rPr>
          <w:rFonts w:ascii="Times New Roman" w:hAnsi="Times New Roman" w:cs="Times New Roman"/>
          <w:sz w:val="24"/>
          <w:szCs w:val="24"/>
        </w:rPr>
        <w:t>In 2020 (the most recent year for which comprehensive data are available), global R&amp;D expenditures were $2.352 trillion</w:t>
      </w:r>
      <w:r>
        <w:rPr>
          <w:rFonts w:ascii="Times New Roman" w:hAnsi="Times New Roman" w:cs="Times New Roman"/>
          <w:sz w:val="24"/>
          <w:szCs w:val="24"/>
        </w:rPr>
        <w:t>”</w:t>
      </w:r>
      <w:r w:rsidR="00AA06B0" w:rsidRPr="00586BE5">
        <w:rPr>
          <w:rFonts w:ascii="Times New Roman" w:hAnsi="Times New Roman" w:cs="Times New Roman"/>
          <w:sz w:val="24"/>
          <w:szCs w:val="24"/>
        </w:rPr>
        <w:t>.</w:t>
      </w:r>
      <w:sdt>
        <w:sdtPr>
          <w:rPr>
            <w:rFonts w:ascii="Times New Roman" w:hAnsi="Times New Roman" w:cs="Times New Roman"/>
            <w:sz w:val="24"/>
            <w:szCs w:val="24"/>
          </w:rPr>
          <w:id w:val="2218922"/>
          <w:citation/>
        </w:sdtPr>
        <w:sdtEndPr/>
        <w:sdtContent>
          <w:r w:rsidR="009B485A" w:rsidRPr="00586BE5">
            <w:rPr>
              <w:rFonts w:ascii="Times New Roman" w:hAnsi="Times New Roman" w:cs="Times New Roman"/>
              <w:sz w:val="24"/>
              <w:szCs w:val="24"/>
            </w:rPr>
            <w:fldChar w:fldCharType="begin"/>
          </w:r>
          <w:r w:rsidR="00AA06B0" w:rsidRPr="00586BE5">
            <w:rPr>
              <w:rFonts w:ascii="Times New Roman" w:hAnsi="Times New Roman" w:cs="Times New Roman"/>
              <w:sz w:val="24"/>
              <w:szCs w:val="24"/>
            </w:rPr>
            <w:instrText xml:space="preserve"> CITATION Joh22 \l 1033  </w:instrText>
          </w:r>
          <w:r w:rsidR="009B485A" w:rsidRPr="00586BE5">
            <w:rPr>
              <w:rFonts w:ascii="Times New Roman" w:hAnsi="Times New Roman" w:cs="Times New Roman"/>
              <w:sz w:val="24"/>
              <w:szCs w:val="24"/>
            </w:rPr>
            <w:fldChar w:fldCharType="separate"/>
          </w:r>
          <w:r w:rsidR="002C707E" w:rsidRPr="002C707E">
            <w:rPr>
              <w:rFonts w:ascii="Times New Roman" w:hAnsi="Times New Roman" w:cs="Times New Roman"/>
              <w:noProof/>
              <w:sz w:val="24"/>
              <w:szCs w:val="24"/>
            </w:rPr>
            <w:t>(Sargent, September 14, 2022)</w:t>
          </w:r>
          <w:r w:rsidR="009B485A" w:rsidRPr="00586BE5">
            <w:rPr>
              <w:rFonts w:ascii="Times New Roman" w:hAnsi="Times New Roman" w:cs="Times New Roman"/>
              <w:sz w:val="24"/>
              <w:szCs w:val="24"/>
            </w:rPr>
            <w:fldChar w:fldCharType="end"/>
          </w:r>
        </w:sdtContent>
      </w:sdt>
      <w:r w:rsidR="00AA06B0" w:rsidRPr="00586BE5">
        <w:rPr>
          <w:rFonts w:ascii="Times New Roman" w:hAnsi="Times New Roman" w:cs="Times New Roman"/>
          <w:b/>
          <w:noProof/>
          <w:sz w:val="24"/>
          <w:szCs w:val="24"/>
        </w:rPr>
        <w:t xml:space="preserve"> </w:t>
      </w:r>
      <w:r w:rsidR="00AA06B0" w:rsidRPr="00586BE5">
        <w:rPr>
          <w:rFonts w:ascii="Times New Roman" w:hAnsi="Times New Roman" w:cs="Times New Roman"/>
          <w:noProof/>
          <w:sz w:val="24"/>
          <w:szCs w:val="24"/>
        </w:rPr>
        <w:t xml:space="preserve"> </w:t>
      </w:r>
      <w:r>
        <w:rPr>
          <w:rFonts w:ascii="Times New Roman" w:hAnsi="Times New Roman" w:cs="Times New Roman"/>
          <w:noProof/>
          <w:sz w:val="24"/>
          <w:szCs w:val="24"/>
        </w:rPr>
        <w:t>“</w:t>
      </w:r>
      <w:r w:rsidR="00AA06B0" w:rsidRPr="00586BE5">
        <w:rPr>
          <w:rFonts w:ascii="Times New Roman" w:hAnsi="Times New Roman" w:cs="Times New Roman"/>
          <w:sz w:val="24"/>
          <w:szCs w:val="24"/>
        </w:rPr>
        <w:t xml:space="preserve">The United States continued to fund more R&amp;D than any other country. China, ranked second in 2020, funded more R&amp;D than the next four highest countries combined.  The industries that lead in the total R &amp; D spending are auto, health care, computing and electronic and </w:t>
      </w:r>
      <w:proofErr w:type="spellStart"/>
      <w:r w:rsidR="00AA06B0" w:rsidRPr="00586BE5">
        <w:rPr>
          <w:rFonts w:ascii="Times New Roman" w:hAnsi="Times New Roman" w:cs="Times New Roman"/>
          <w:sz w:val="24"/>
          <w:szCs w:val="24"/>
        </w:rPr>
        <w:t>defence</w:t>
      </w:r>
      <w:proofErr w:type="spellEnd"/>
      <w:r w:rsidR="00AA06B0" w:rsidRPr="00586BE5">
        <w:rPr>
          <w:rFonts w:ascii="Times New Roman" w:hAnsi="Times New Roman" w:cs="Times New Roman"/>
          <w:sz w:val="24"/>
          <w:szCs w:val="24"/>
        </w:rPr>
        <w:t>. Whereas India’s share in Global R&amp;D Expenditure is 2.8% amounting to USD 48.1 billion in PPP terms. In terms of R&amp;Ds share in GDP, it is around 0.6% which is one of the lowest amongst even the BRICS Countries</w:t>
      </w:r>
      <w:r>
        <w:rPr>
          <w:rFonts w:ascii="Times New Roman" w:hAnsi="Times New Roman" w:cs="Times New Roman"/>
          <w:sz w:val="24"/>
          <w:szCs w:val="24"/>
        </w:rPr>
        <w:t>”</w:t>
      </w:r>
      <w:r w:rsidR="00AA06B0" w:rsidRPr="00586BE5">
        <w:rPr>
          <w:rFonts w:ascii="Times New Roman" w:hAnsi="Times New Roman" w:cs="Times New Roman"/>
          <w:sz w:val="24"/>
          <w:szCs w:val="24"/>
        </w:rPr>
        <w:t>.</w:t>
      </w:r>
      <w:sdt>
        <w:sdtPr>
          <w:rPr>
            <w:rFonts w:ascii="Times New Roman" w:hAnsi="Times New Roman" w:cs="Times New Roman"/>
            <w:sz w:val="24"/>
            <w:szCs w:val="24"/>
          </w:rPr>
          <w:id w:val="2218923"/>
          <w:citation/>
        </w:sdtPr>
        <w:sdtEndPr/>
        <w:sdtContent>
          <w:r w:rsidR="009B485A" w:rsidRPr="00586BE5">
            <w:rPr>
              <w:rFonts w:ascii="Times New Roman" w:hAnsi="Times New Roman" w:cs="Times New Roman"/>
              <w:sz w:val="24"/>
              <w:szCs w:val="24"/>
            </w:rPr>
            <w:fldChar w:fldCharType="begin"/>
          </w:r>
          <w:r w:rsidR="00AA06B0" w:rsidRPr="00586BE5">
            <w:rPr>
              <w:rFonts w:ascii="Times New Roman" w:hAnsi="Times New Roman" w:cs="Times New Roman"/>
              <w:sz w:val="24"/>
              <w:szCs w:val="24"/>
            </w:rPr>
            <w:instrText xml:space="preserve"> CITATION Eco19 \l 1033  </w:instrText>
          </w:r>
          <w:r w:rsidR="009B485A" w:rsidRPr="00586BE5">
            <w:rPr>
              <w:rFonts w:ascii="Times New Roman" w:hAnsi="Times New Roman" w:cs="Times New Roman"/>
              <w:sz w:val="24"/>
              <w:szCs w:val="24"/>
            </w:rPr>
            <w:fldChar w:fldCharType="separate"/>
          </w:r>
          <w:r w:rsidR="002C707E" w:rsidRPr="002C707E">
            <w:rPr>
              <w:rFonts w:ascii="Times New Roman" w:hAnsi="Times New Roman" w:cs="Times New Roman"/>
              <w:noProof/>
              <w:sz w:val="24"/>
              <w:szCs w:val="24"/>
            </w:rPr>
            <w:t>(Shri Ratan Watal, 2019)</w:t>
          </w:r>
          <w:r w:rsidR="009B485A" w:rsidRPr="00586BE5">
            <w:rPr>
              <w:rFonts w:ascii="Times New Roman" w:hAnsi="Times New Roman" w:cs="Times New Roman"/>
              <w:sz w:val="24"/>
              <w:szCs w:val="24"/>
            </w:rPr>
            <w:fldChar w:fldCharType="end"/>
          </w:r>
        </w:sdtContent>
      </w:sdt>
      <w:r w:rsidR="00AA06B0">
        <w:rPr>
          <w:rFonts w:ascii="Times New Roman" w:hAnsi="Times New Roman" w:cs="Times New Roman"/>
          <w:sz w:val="24"/>
          <w:szCs w:val="24"/>
        </w:rPr>
        <w:t>.</w:t>
      </w:r>
    </w:p>
    <w:p w:rsidR="00AA06B0" w:rsidRPr="00586BE5" w:rsidRDefault="00AA06B0" w:rsidP="00AA06B0">
      <w:pPr>
        <w:tabs>
          <w:tab w:val="left" w:pos="1890"/>
        </w:tabs>
        <w:autoSpaceDE w:val="0"/>
        <w:autoSpaceDN w:val="0"/>
        <w:adjustRightInd w:val="0"/>
        <w:spacing w:after="0" w:line="360" w:lineRule="auto"/>
        <w:jc w:val="both"/>
        <w:rPr>
          <w:rFonts w:ascii="Times New Roman" w:hAnsi="Times New Roman" w:cs="Times New Roman"/>
          <w:b/>
          <w:sz w:val="24"/>
          <w:szCs w:val="24"/>
        </w:rPr>
      </w:pPr>
      <w:r w:rsidRPr="00586BE5">
        <w:rPr>
          <w:rFonts w:ascii="Times New Roman" w:hAnsi="Times New Roman" w:cs="Times New Roman"/>
          <w:b/>
          <w:sz w:val="24"/>
          <w:szCs w:val="24"/>
        </w:rPr>
        <w:t xml:space="preserve">Rand D Expenditure on Higher Education: Sector Wise Classification of </w:t>
      </w:r>
      <w:r>
        <w:rPr>
          <w:rFonts w:ascii="Times New Roman" w:hAnsi="Times New Roman" w:cs="Times New Roman"/>
          <w:b/>
          <w:sz w:val="24"/>
          <w:szCs w:val="24"/>
        </w:rPr>
        <w:t>Expenditure</w:t>
      </w:r>
    </w:p>
    <w:p w:rsidR="00AA06B0" w:rsidRDefault="00AA06B0" w:rsidP="00AA06B0">
      <w:pPr>
        <w:tabs>
          <w:tab w:val="left" w:pos="1890"/>
        </w:tabs>
        <w:autoSpaceDE w:val="0"/>
        <w:autoSpaceDN w:val="0"/>
        <w:adjustRightInd w:val="0"/>
        <w:spacing w:after="0" w:line="360" w:lineRule="auto"/>
        <w:jc w:val="both"/>
        <w:rPr>
          <w:rFonts w:ascii="Times New Roman" w:hAnsi="Times New Roman" w:cs="Times New Roman"/>
          <w:sz w:val="24"/>
          <w:szCs w:val="24"/>
        </w:rPr>
      </w:pPr>
      <w:r w:rsidRPr="00586BE5">
        <w:rPr>
          <w:rFonts w:ascii="Times New Roman" w:hAnsi="Times New Roman" w:cs="Times New Roman"/>
          <w:sz w:val="24"/>
          <w:szCs w:val="24"/>
        </w:rPr>
        <w:t>The universities play a relatively small role in the research activities of the country. This is in contrast to the scenario in advanced countries where universities play a critical role in creating the talent pool for research and generating high quality research and in India, it is all publicly funded.</w:t>
      </w:r>
    </w:p>
    <w:p w:rsidR="00AA06B0" w:rsidRPr="00AA06B0" w:rsidRDefault="00AA06B0" w:rsidP="00AA06B0">
      <w:pPr>
        <w:tabs>
          <w:tab w:val="left" w:pos="1890"/>
        </w:tabs>
        <w:autoSpaceDE w:val="0"/>
        <w:autoSpaceDN w:val="0"/>
        <w:adjustRightInd w:val="0"/>
        <w:spacing w:after="0" w:line="360" w:lineRule="auto"/>
        <w:jc w:val="center"/>
        <w:rPr>
          <w:rFonts w:ascii="Times New Roman" w:hAnsi="Times New Roman" w:cs="Times New Roman"/>
          <w:bCs/>
          <w:sz w:val="24"/>
          <w:szCs w:val="24"/>
        </w:rPr>
      </w:pPr>
      <w:r w:rsidRPr="00AA06B0">
        <w:rPr>
          <w:rFonts w:ascii="Times New Roman" w:hAnsi="Times New Roman" w:cs="Times New Roman"/>
          <w:bCs/>
          <w:sz w:val="24"/>
          <w:szCs w:val="24"/>
        </w:rPr>
        <w:t>Fig.</w:t>
      </w:r>
      <w:r w:rsidR="009A27EA">
        <w:rPr>
          <w:rFonts w:ascii="Times New Roman" w:hAnsi="Times New Roman" w:cs="Times New Roman"/>
          <w:bCs/>
          <w:sz w:val="24"/>
          <w:szCs w:val="24"/>
        </w:rPr>
        <w:t>4</w:t>
      </w:r>
      <w:r w:rsidRPr="00AA06B0">
        <w:rPr>
          <w:rFonts w:ascii="Times New Roman" w:hAnsi="Times New Roman" w:cs="Times New Roman"/>
          <w:bCs/>
          <w:sz w:val="24"/>
          <w:szCs w:val="24"/>
        </w:rPr>
        <w:t>: Sector Wise classification of Expenditure on R&amp;D in India</w:t>
      </w:r>
    </w:p>
    <w:p w:rsidR="00AA06B0" w:rsidRPr="00AA06B0" w:rsidRDefault="00AA06B0" w:rsidP="00AA06B0">
      <w:pPr>
        <w:pStyle w:val="ListParagraph"/>
        <w:spacing w:after="0" w:line="360" w:lineRule="auto"/>
        <w:rPr>
          <w:rFonts w:ascii="Times New Roman" w:hAnsi="Times New Roman" w:cs="Times New Roman"/>
          <w:bCs/>
          <w:sz w:val="24"/>
          <w:szCs w:val="24"/>
        </w:rPr>
      </w:pPr>
      <w:r w:rsidRPr="00AA06B0">
        <w:rPr>
          <w:rFonts w:ascii="Times New Roman" w:hAnsi="Times New Roman" w:cs="Times New Roman"/>
          <w:bCs/>
          <w:noProof/>
          <w:sz w:val="24"/>
          <w:szCs w:val="24"/>
        </w:rPr>
        <w:drawing>
          <wp:inline distT="0" distB="0" distL="0" distR="0">
            <wp:extent cx="5943600" cy="3401060"/>
            <wp:effectExtent l="19050" t="0" r="19050" b="889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A06B0" w:rsidRPr="00586BE5" w:rsidRDefault="00AA06B0" w:rsidP="0084255B">
      <w:pPr>
        <w:autoSpaceDE w:val="0"/>
        <w:autoSpaceDN w:val="0"/>
        <w:adjustRightInd w:val="0"/>
        <w:spacing w:after="0" w:line="360" w:lineRule="auto"/>
        <w:jc w:val="both"/>
        <w:rPr>
          <w:rFonts w:ascii="Times New Roman" w:hAnsi="Times New Roman" w:cs="Times New Roman"/>
          <w:b/>
          <w:sz w:val="24"/>
          <w:szCs w:val="24"/>
        </w:rPr>
      </w:pPr>
      <w:r w:rsidRPr="00586BE5">
        <w:rPr>
          <w:rFonts w:ascii="Times New Roman" w:hAnsi="Times New Roman" w:cs="Times New Roman"/>
          <w:sz w:val="24"/>
          <w:szCs w:val="24"/>
        </w:rPr>
        <w:lastRenderedPageBreak/>
        <w:t>The share of the various sectors in the total R&amp;D expenditure for the years 2010–2018-19 shows that central government including the public sector industry has remained more or less around  50.0%, private sector 36.8%, the state governments</w:t>
      </w:r>
      <w:r>
        <w:rPr>
          <w:rFonts w:ascii="Times New Roman" w:hAnsi="Times New Roman" w:cs="Times New Roman"/>
          <w:sz w:val="24"/>
          <w:szCs w:val="24"/>
        </w:rPr>
        <w:t xml:space="preserve"> </w:t>
      </w:r>
      <w:r w:rsidRPr="00586BE5">
        <w:rPr>
          <w:rFonts w:ascii="Times New Roman" w:hAnsi="Times New Roman" w:cs="Times New Roman"/>
          <w:sz w:val="24"/>
          <w:szCs w:val="24"/>
        </w:rPr>
        <w:t>6.4% and the higher education 6.8%</w:t>
      </w:r>
    </w:p>
    <w:p w:rsidR="00AA06B0" w:rsidRPr="00586BE5" w:rsidRDefault="00AA06B0" w:rsidP="0084255B">
      <w:pPr>
        <w:spacing w:after="0" w:line="360" w:lineRule="auto"/>
        <w:jc w:val="both"/>
        <w:rPr>
          <w:rFonts w:ascii="Times New Roman" w:hAnsi="Times New Roman" w:cs="Times New Roman"/>
          <w:b/>
          <w:sz w:val="24"/>
          <w:szCs w:val="24"/>
        </w:rPr>
      </w:pPr>
    </w:p>
    <w:p w:rsidR="00AA06B0" w:rsidRPr="00586BE5" w:rsidRDefault="00AA06B0" w:rsidP="00AA06B0">
      <w:pPr>
        <w:spacing w:after="0" w:line="360" w:lineRule="auto"/>
        <w:jc w:val="both"/>
        <w:rPr>
          <w:rFonts w:ascii="Times New Roman" w:hAnsi="Times New Roman" w:cs="Times New Roman"/>
          <w:b/>
          <w:sz w:val="24"/>
          <w:szCs w:val="24"/>
        </w:rPr>
      </w:pPr>
      <w:r w:rsidRPr="00586BE5">
        <w:rPr>
          <w:rFonts w:ascii="Times New Roman" w:hAnsi="Times New Roman" w:cs="Times New Roman"/>
          <w:b/>
          <w:sz w:val="24"/>
          <w:szCs w:val="24"/>
        </w:rPr>
        <w:t xml:space="preserve">Trends in FDI inflow in India </w:t>
      </w:r>
    </w:p>
    <w:p w:rsidR="00AA06B0" w:rsidRPr="00586BE5" w:rsidRDefault="00F47B73" w:rsidP="00AA06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A06B0" w:rsidRPr="00586BE5">
        <w:rPr>
          <w:rFonts w:ascii="Times New Roman" w:hAnsi="Times New Roman" w:cs="Times New Roman"/>
          <w:sz w:val="24"/>
          <w:szCs w:val="24"/>
        </w:rPr>
        <w:t>Conceptually R&amp;D contributes to economic growth in multiple ways. It leads to capital formation which in turn results in economic growth. It is sources for trade in services. R&amp;D contributes to GDP, Exports – imports and FDI. The intellectual property generated from R&amp; D also brings revenue to the economy in the form of copy rights and patents</w:t>
      </w:r>
      <w:r>
        <w:rPr>
          <w:rFonts w:ascii="Times New Roman" w:hAnsi="Times New Roman" w:cs="Times New Roman"/>
          <w:sz w:val="24"/>
          <w:szCs w:val="24"/>
        </w:rPr>
        <w:t>”</w:t>
      </w:r>
      <w:r w:rsidR="00AA06B0" w:rsidRPr="00586BE5">
        <w:rPr>
          <w:rFonts w:ascii="Times New Roman" w:hAnsi="Times New Roman" w:cs="Times New Roman"/>
          <w:sz w:val="24"/>
          <w:szCs w:val="24"/>
        </w:rPr>
        <w:t>.</w:t>
      </w:r>
      <w:sdt>
        <w:sdtPr>
          <w:rPr>
            <w:rFonts w:ascii="Times New Roman" w:hAnsi="Times New Roman" w:cs="Times New Roman"/>
            <w:sz w:val="24"/>
            <w:szCs w:val="24"/>
          </w:rPr>
          <w:id w:val="2218931"/>
          <w:citation/>
        </w:sdtPr>
        <w:sdtEndPr/>
        <w:sdtContent>
          <w:r w:rsidR="009B485A" w:rsidRPr="00586BE5">
            <w:rPr>
              <w:rFonts w:ascii="Times New Roman" w:hAnsi="Times New Roman" w:cs="Times New Roman"/>
              <w:sz w:val="24"/>
              <w:szCs w:val="24"/>
            </w:rPr>
            <w:fldChar w:fldCharType="begin"/>
          </w:r>
          <w:r w:rsidR="00AA06B0" w:rsidRPr="00586BE5">
            <w:rPr>
              <w:rFonts w:ascii="Times New Roman" w:hAnsi="Times New Roman" w:cs="Times New Roman"/>
              <w:sz w:val="24"/>
              <w:szCs w:val="24"/>
            </w:rPr>
            <w:instrText xml:space="preserve"> CITATION Eco19 \l 1033 </w:instrText>
          </w:r>
          <w:r w:rsidR="009B485A" w:rsidRPr="00586BE5">
            <w:rPr>
              <w:rFonts w:ascii="Times New Roman" w:hAnsi="Times New Roman" w:cs="Times New Roman"/>
              <w:sz w:val="24"/>
              <w:szCs w:val="24"/>
            </w:rPr>
            <w:fldChar w:fldCharType="separate"/>
          </w:r>
          <w:r w:rsidR="002C707E" w:rsidRPr="002C707E">
            <w:rPr>
              <w:rFonts w:ascii="Times New Roman" w:hAnsi="Times New Roman" w:cs="Times New Roman"/>
              <w:noProof/>
              <w:sz w:val="24"/>
              <w:szCs w:val="24"/>
            </w:rPr>
            <w:t>(Shri Ratan Watal, 2019)</w:t>
          </w:r>
          <w:r w:rsidR="009B485A" w:rsidRPr="00586BE5">
            <w:rPr>
              <w:rFonts w:ascii="Times New Roman" w:hAnsi="Times New Roman" w:cs="Times New Roman"/>
              <w:sz w:val="24"/>
              <w:szCs w:val="24"/>
            </w:rPr>
            <w:fldChar w:fldCharType="end"/>
          </w:r>
        </w:sdtContent>
      </w:sdt>
    </w:p>
    <w:p w:rsidR="00AA06B0" w:rsidRPr="00586BE5" w:rsidRDefault="00F47B73" w:rsidP="00AA06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A06B0" w:rsidRPr="00586BE5">
        <w:rPr>
          <w:rFonts w:ascii="Times New Roman" w:hAnsi="Times New Roman" w:cs="Times New Roman"/>
          <w:sz w:val="24"/>
          <w:szCs w:val="24"/>
        </w:rPr>
        <w:t>India’s share in global R&amp;D exports was about 2.8% in 2019.  R&amp;D exports include: (</w:t>
      </w:r>
      <w:proofErr w:type="spellStart"/>
      <w:r w:rsidR="00AA06B0" w:rsidRPr="00586BE5">
        <w:rPr>
          <w:rFonts w:ascii="Times New Roman" w:hAnsi="Times New Roman" w:cs="Times New Roman"/>
          <w:sz w:val="24"/>
          <w:szCs w:val="24"/>
        </w:rPr>
        <w:t>i</w:t>
      </w:r>
      <w:proofErr w:type="spellEnd"/>
      <w:r w:rsidR="00AA06B0" w:rsidRPr="00586BE5">
        <w:rPr>
          <w:rFonts w:ascii="Times New Roman" w:hAnsi="Times New Roman" w:cs="Times New Roman"/>
          <w:sz w:val="24"/>
          <w:szCs w:val="24"/>
        </w:rPr>
        <w:t>) licensing of intellectual property, (ii) technology embodied in exported intermediate goods, (iii) technology transfer through FDI, and (iv) outflow of technical services. India has a trade</w:t>
      </w:r>
      <w:r w:rsidR="00AA06B0">
        <w:rPr>
          <w:rFonts w:ascii="Times New Roman" w:hAnsi="Times New Roman" w:cs="Times New Roman"/>
          <w:sz w:val="24"/>
          <w:szCs w:val="24"/>
        </w:rPr>
        <w:t>.</w:t>
      </w:r>
      <w:r w:rsidR="00AA06B0" w:rsidRPr="00AA06B0">
        <w:rPr>
          <w:rFonts w:ascii="Times New Roman" w:hAnsi="Times New Roman" w:cs="Times New Roman"/>
          <w:sz w:val="24"/>
          <w:szCs w:val="24"/>
        </w:rPr>
        <w:t xml:space="preserve"> </w:t>
      </w:r>
      <w:r w:rsidR="00AA06B0" w:rsidRPr="00586BE5">
        <w:rPr>
          <w:rFonts w:ascii="Times New Roman" w:hAnsi="Times New Roman" w:cs="Times New Roman"/>
          <w:sz w:val="24"/>
          <w:szCs w:val="24"/>
        </w:rPr>
        <w:t>surplus in R&amp;D services during 2011-20. India’s R&amp;D exports grew at a Compound Annual Growth Rate (CAGR) of 26.6%, which is the highest growth among the top 10 exporting countries in R&amp;D. However, R&amp;D accounts for only a tiny share of Foreign Direct Investment (FDI) inflows into India (0.25% in 2018-19). Further, it is mostly concentrated in four sectors - Information and Communication Technology, Natural Sciences and Engineering, Pharmaceuticals, and Clinical Research (more than 80%)</w:t>
      </w:r>
      <w:r>
        <w:rPr>
          <w:rFonts w:ascii="Times New Roman" w:hAnsi="Times New Roman" w:cs="Times New Roman"/>
          <w:sz w:val="24"/>
          <w:szCs w:val="24"/>
        </w:rPr>
        <w:t>”</w:t>
      </w:r>
      <w:r w:rsidR="00AA06B0" w:rsidRPr="00586BE5">
        <w:rPr>
          <w:rFonts w:ascii="Times New Roman" w:hAnsi="Times New Roman" w:cs="Times New Roman"/>
          <w:sz w:val="24"/>
          <w:szCs w:val="24"/>
        </w:rPr>
        <w:t>.</w:t>
      </w:r>
      <w:sdt>
        <w:sdtPr>
          <w:rPr>
            <w:rFonts w:ascii="Times New Roman" w:hAnsi="Times New Roman" w:cs="Times New Roman"/>
            <w:sz w:val="24"/>
            <w:szCs w:val="24"/>
          </w:rPr>
          <w:id w:val="2218929"/>
          <w:citation/>
        </w:sdtPr>
        <w:sdtEndPr/>
        <w:sdtContent>
          <w:r w:rsidR="009B485A" w:rsidRPr="00586BE5">
            <w:rPr>
              <w:rFonts w:ascii="Times New Roman" w:hAnsi="Times New Roman" w:cs="Times New Roman"/>
              <w:sz w:val="24"/>
              <w:szCs w:val="24"/>
            </w:rPr>
            <w:fldChar w:fldCharType="begin"/>
          </w:r>
          <w:r w:rsidR="00AA06B0" w:rsidRPr="00586BE5">
            <w:rPr>
              <w:rFonts w:ascii="Times New Roman" w:hAnsi="Times New Roman" w:cs="Times New Roman"/>
              <w:sz w:val="24"/>
              <w:szCs w:val="24"/>
            </w:rPr>
            <w:instrText xml:space="preserve"> CITATION Eco19 \l 1033 </w:instrText>
          </w:r>
          <w:r w:rsidR="009B485A" w:rsidRPr="00586BE5">
            <w:rPr>
              <w:rFonts w:ascii="Times New Roman" w:hAnsi="Times New Roman" w:cs="Times New Roman"/>
              <w:sz w:val="24"/>
              <w:szCs w:val="24"/>
            </w:rPr>
            <w:fldChar w:fldCharType="separate"/>
          </w:r>
          <w:r w:rsidR="002C707E" w:rsidRPr="002C707E">
            <w:rPr>
              <w:rFonts w:ascii="Times New Roman" w:hAnsi="Times New Roman" w:cs="Times New Roman"/>
              <w:noProof/>
              <w:sz w:val="24"/>
              <w:szCs w:val="24"/>
            </w:rPr>
            <w:t>(Shri Ratan Watal, 2019)</w:t>
          </w:r>
          <w:r w:rsidR="009B485A" w:rsidRPr="00586BE5">
            <w:rPr>
              <w:rFonts w:ascii="Times New Roman" w:hAnsi="Times New Roman" w:cs="Times New Roman"/>
              <w:sz w:val="24"/>
              <w:szCs w:val="24"/>
            </w:rPr>
            <w:fldChar w:fldCharType="end"/>
          </w:r>
        </w:sdtContent>
      </w:sdt>
    </w:p>
    <w:p w:rsidR="00AA06B0" w:rsidRPr="00586BE5" w:rsidRDefault="00AA06B0" w:rsidP="00AA06B0">
      <w:pPr>
        <w:spacing w:after="0" w:line="360" w:lineRule="auto"/>
        <w:jc w:val="center"/>
        <w:rPr>
          <w:rFonts w:ascii="Times New Roman" w:hAnsi="Times New Roman" w:cs="Times New Roman"/>
          <w:sz w:val="24"/>
          <w:szCs w:val="24"/>
        </w:rPr>
      </w:pPr>
      <w:r w:rsidRPr="00586BE5">
        <w:rPr>
          <w:rFonts w:ascii="Times New Roman" w:hAnsi="Times New Roman" w:cs="Times New Roman"/>
          <w:sz w:val="24"/>
          <w:szCs w:val="24"/>
        </w:rPr>
        <w:t>Table 4.FDI equity inflow (in USD million)</w:t>
      </w:r>
    </w:p>
    <w:tbl>
      <w:tblPr>
        <w:tblStyle w:val="TableGrid"/>
        <w:tblW w:w="0" w:type="auto"/>
        <w:jc w:val="center"/>
        <w:tblLook w:val="04A0" w:firstRow="1" w:lastRow="0" w:firstColumn="1" w:lastColumn="0" w:noHBand="0" w:noVBand="1"/>
      </w:tblPr>
      <w:tblGrid>
        <w:gridCol w:w="1242"/>
        <w:gridCol w:w="851"/>
        <w:gridCol w:w="992"/>
        <w:gridCol w:w="992"/>
      </w:tblGrid>
      <w:tr w:rsidR="00AA06B0" w:rsidRPr="00586BE5" w:rsidTr="00C62B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rsidR="00AA06B0" w:rsidRPr="00586BE5" w:rsidRDefault="00AA06B0" w:rsidP="00C62B23">
            <w:pPr>
              <w:spacing w:line="360" w:lineRule="auto"/>
              <w:jc w:val="center"/>
              <w:rPr>
                <w:rFonts w:ascii="Times New Roman" w:hAnsi="Times New Roman" w:cs="Times New Roman"/>
                <w:sz w:val="24"/>
                <w:szCs w:val="24"/>
              </w:rPr>
            </w:pPr>
            <w:r w:rsidRPr="00586BE5">
              <w:rPr>
                <w:rFonts w:ascii="Times New Roman" w:hAnsi="Times New Roman" w:cs="Times New Roman"/>
                <w:sz w:val="24"/>
                <w:szCs w:val="24"/>
              </w:rPr>
              <w:t>Year</w:t>
            </w:r>
          </w:p>
        </w:tc>
        <w:tc>
          <w:tcPr>
            <w:tcW w:w="851" w:type="dxa"/>
          </w:tcPr>
          <w:p w:rsidR="00AA06B0" w:rsidRPr="00586BE5" w:rsidRDefault="00AA06B0" w:rsidP="00C62B2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R&amp;D</w:t>
            </w:r>
          </w:p>
        </w:tc>
        <w:tc>
          <w:tcPr>
            <w:tcW w:w="992" w:type="dxa"/>
          </w:tcPr>
          <w:p w:rsidR="00AA06B0" w:rsidRPr="00586BE5" w:rsidRDefault="00AA06B0" w:rsidP="00C62B2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Total</w:t>
            </w:r>
          </w:p>
        </w:tc>
        <w:tc>
          <w:tcPr>
            <w:tcW w:w="992" w:type="dxa"/>
          </w:tcPr>
          <w:p w:rsidR="00AA06B0" w:rsidRPr="00586BE5" w:rsidRDefault="00AA06B0" w:rsidP="00C62B2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share</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242" w:type="dxa"/>
          </w:tcPr>
          <w:p w:rsidR="00AA06B0" w:rsidRPr="00586BE5" w:rsidRDefault="00AA06B0" w:rsidP="00C62B23">
            <w:pPr>
              <w:spacing w:line="360" w:lineRule="auto"/>
              <w:jc w:val="both"/>
              <w:rPr>
                <w:rFonts w:ascii="Times New Roman" w:hAnsi="Times New Roman" w:cs="Times New Roman"/>
                <w:sz w:val="24"/>
                <w:szCs w:val="24"/>
              </w:rPr>
            </w:pPr>
            <w:r w:rsidRPr="00586BE5">
              <w:rPr>
                <w:rFonts w:ascii="Times New Roman" w:hAnsi="Times New Roman" w:cs="Times New Roman"/>
                <w:sz w:val="24"/>
                <w:szCs w:val="24"/>
              </w:rPr>
              <w:t>2015-16</w:t>
            </w:r>
          </w:p>
        </w:tc>
        <w:tc>
          <w:tcPr>
            <w:tcW w:w="851"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235</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40,001</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0.59%</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242" w:type="dxa"/>
          </w:tcPr>
          <w:p w:rsidR="00AA06B0" w:rsidRPr="00586BE5" w:rsidRDefault="00AA06B0" w:rsidP="00C62B23">
            <w:pPr>
              <w:spacing w:line="360" w:lineRule="auto"/>
              <w:jc w:val="both"/>
              <w:rPr>
                <w:rFonts w:ascii="Times New Roman" w:hAnsi="Times New Roman" w:cs="Times New Roman"/>
                <w:sz w:val="24"/>
                <w:szCs w:val="24"/>
              </w:rPr>
            </w:pPr>
            <w:r w:rsidRPr="00586BE5">
              <w:rPr>
                <w:rFonts w:ascii="Times New Roman" w:hAnsi="Times New Roman" w:cs="Times New Roman"/>
                <w:sz w:val="24"/>
                <w:szCs w:val="24"/>
              </w:rPr>
              <w:t>2016-17</w:t>
            </w:r>
          </w:p>
        </w:tc>
        <w:tc>
          <w:tcPr>
            <w:tcW w:w="851"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84</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43,478</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0.19%</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242" w:type="dxa"/>
          </w:tcPr>
          <w:p w:rsidR="00AA06B0" w:rsidRPr="00586BE5" w:rsidRDefault="00AA06B0" w:rsidP="00C62B23">
            <w:pPr>
              <w:spacing w:line="360" w:lineRule="auto"/>
              <w:jc w:val="both"/>
              <w:rPr>
                <w:rFonts w:ascii="Times New Roman" w:hAnsi="Times New Roman" w:cs="Times New Roman"/>
                <w:sz w:val="24"/>
                <w:szCs w:val="24"/>
              </w:rPr>
            </w:pPr>
            <w:r w:rsidRPr="00586BE5">
              <w:rPr>
                <w:rFonts w:ascii="Times New Roman" w:hAnsi="Times New Roman" w:cs="Times New Roman"/>
                <w:sz w:val="24"/>
                <w:szCs w:val="24"/>
              </w:rPr>
              <w:t>2017-18</w:t>
            </w:r>
          </w:p>
        </w:tc>
        <w:tc>
          <w:tcPr>
            <w:tcW w:w="851"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107</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44,857</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0.24%</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242" w:type="dxa"/>
          </w:tcPr>
          <w:p w:rsidR="00AA06B0" w:rsidRPr="00586BE5" w:rsidRDefault="00AA06B0" w:rsidP="00C62B23">
            <w:pPr>
              <w:spacing w:line="360" w:lineRule="auto"/>
              <w:jc w:val="both"/>
              <w:rPr>
                <w:rFonts w:ascii="Times New Roman" w:hAnsi="Times New Roman" w:cs="Times New Roman"/>
                <w:sz w:val="24"/>
                <w:szCs w:val="24"/>
              </w:rPr>
            </w:pPr>
            <w:r w:rsidRPr="00586BE5">
              <w:rPr>
                <w:rFonts w:ascii="Times New Roman" w:hAnsi="Times New Roman" w:cs="Times New Roman"/>
                <w:sz w:val="24"/>
                <w:szCs w:val="24"/>
              </w:rPr>
              <w:t>2018-19</w:t>
            </w:r>
          </w:p>
        </w:tc>
        <w:tc>
          <w:tcPr>
            <w:tcW w:w="851"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110</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44,366</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0.25%</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242" w:type="dxa"/>
          </w:tcPr>
          <w:p w:rsidR="00AA06B0" w:rsidRPr="00586BE5" w:rsidRDefault="00AA06B0" w:rsidP="00C62B23">
            <w:pPr>
              <w:spacing w:line="360" w:lineRule="auto"/>
              <w:jc w:val="both"/>
              <w:rPr>
                <w:rFonts w:ascii="Times New Roman" w:hAnsi="Times New Roman" w:cs="Times New Roman"/>
                <w:sz w:val="24"/>
                <w:szCs w:val="24"/>
              </w:rPr>
            </w:pPr>
            <w:r w:rsidRPr="00586BE5">
              <w:rPr>
                <w:rFonts w:ascii="Times New Roman" w:hAnsi="Times New Roman" w:cs="Times New Roman"/>
                <w:sz w:val="24"/>
                <w:szCs w:val="24"/>
              </w:rPr>
              <w:t>2019-20</w:t>
            </w:r>
          </w:p>
        </w:tc>
        <w:tc>
          <w:tcPr>
            <w:tcW w:w="851"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67</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49,977</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0.13%</w:t>
            </w:r>
          </w:p>
        </w:tc>
      </w:tr>
    </w:tbl>
    <w:p w:rsidR="00AA06B0" w:rsidRPr="00586BE5" w:rsidRDefault="00AA06B0" w:rsidP="00AA06B0">
      <w:pPr>
        <w:spacing w:after="0" w:line="240" w:lineRule="auto"/>
        <w:jc w:val="both"/>
        <w:rPr>
          <w:rFonts w:ascii="Times New Roman" w:hAnsi="Times New Roman" w:cs="Times New Roman"/>
          <w:sz w:val="24"/>
          <w:szCs w:val="24"/>
        </w:rPr>
      </w:pPr>
      <w:r w:rsidRPr="00586BE5">
        <w:rPr>
          <w:rFonts w:ascii="Times New Roman" w:hAnsi="Times New Roman" w:cs="Times New Roman"/>
          <w:sz w:val="24"/>
          <w:szCs w:val="24"/>
        </w:rPr>
        <w:t xml:space="preserve">Sources: Note titled “FDI into R&amp;D: Current Status and Way Forward” by the Office of the Principal Scientific Advisor &amp; </w:t>
      </w:r>
      <w:sdt>
        <w:sdtPr>
          <w:rPr>
            <w:rFonts w:ascii="Times New Roman" w:hAnsi="Times New Roman" w:cs="Times New Roman"/>
            <w:b/>
            <w:color w:val="000000" w:themeColor="text1"/>
            <w:sz w:val="24"/>
            <w:szCs w:val="24"/>
          </w:rPr>
          <w:id w:val="2218925"/>
          <w:citation/>
        </w:sdtPr>
        <w:sdtEndPr/>
        <w:sdtContent>
          <w:r w:rsidR="009B485A" w:rsidRPr="00586BE5">
            <w:rPr>
              <w:rFonts w:ascii="Times New Roman" w:hAnsi="Times New Roman" w:cs="Times New Roman"/>
              <w:b/>
              <w:color w:val="000000" w:themeColor="text1"/>
              <w:sz w:val="24"/>
              <w:szCs w:val="24"/>
            </w:rPr>
            <w:fldChar w:fldCharType="begin"/>
          </w:r>
          <w:r w:rsidRPr="00586BE5">
            <w:rPr>
              <w:rFonts w:ascii="Times New Roman" w:hAnsi="Times New Roman" w:cs="Times New Roman"/>
              <w:b/>
              <w:color w:val="000000" w:themeColor="text1"/>
              <w:sz w:val="24"/>
              <w:szCs w:val="24"/>
            </w:rPr>
            <w:instrText xml:space="preserve"> CITATION PRS22 \l 1033  </w:instrText>
          </w:r>
          <w:r w:rsidR="009B485A" w:rsidRPr="00586BE5">
            <w:rPr>
              <w:rFonts w:ascii="Times New Roman" w:hAnsi="Times New Roman" w:cs="Times New Roman"/>
              <w:b/>
              <w:color w:val="000000" w:themeColor="text1"/>
              <w:sz w:val="24"/>
              <w:szCs w:val="24"/>
            </w:rPr>
            <w:fldChar w:fldCharType="separate"/>
          </w:r>
          <w:r w:rsidR="002C707E" w:rsidRPr="002C707E">
            <w:rPr>
              <w:rFonts w:ascii="Times New Roman" w:hAnsi="Times New Roman" w:cs="Times New Roman"/>
              <w:noProof/>
              <w:color w:val="000000" w:themeColor="text1"/>
              <w:sz w:val="24"/>
              <w:szCs w:val="24"/>
            </w:rPr>
            <w:t>(PRS legislative research, 2021-22)</w:t>
          </w:r>
          <w:r w:rsidR="009B485A" w:rsidRPr="00586BE5">
            <w:rPr>
              <w:rFonts w:ascii="Times New Roman" w:hAnsi="Times New Roman" w:cs="Times New Roman"/>
              <w:b/>
              <w:color w:val="000000" w:themeColor="text1"/>
              <w:sz w:val="24"/>
              <w:szCs w:val="24"/>
            </w:rPr>
            <w:fldChar w:fldCharType="end"/>
          </w:r>
        </w:sdtContent>
      </w:sdt>
    </w:p>
    <w:p w:rsidR="00AA06B0" w:rsidRPr="00586BE5" w:rsidRDefault="00AA06B0" w:rsidP="00AA06B0">
      <w:pPr>
        <w:spacing w:after="0" w:line="360" w:lineRule="auto"/>
        <w:jc w:val="both"/>
        <w:rPr>
          <w:rFonts w:ascii="Times New Roman" w:hAnsi="Times New Roman" w:cs="Times New Roman"/>
          <w:sz w:val="24"/>
          <w:szCs w:val="24"/>
        </w:rPr>
      </w:pPr>
    </w:p>
    <w:p w:rsidR="00AA06B0" w:rsidRPr="00586BE5" w:rsidRDefault="00AA06B0" w:rsidP="00AA06B0">
      <w:pPr>
        <w:autoSpaceDE w:val="0"/>
        <w:autoSpaceDN w:val="0"/>
        <w:adjustRightInd w:val="0"/>
        <w:spacing w:after="0" w:line="360" w:lineRule="auto"/>
        <w:jc w:val="both"/>
        <w:rPr>
          <w:rFonts w:ascii="Times New Roman" w:hAnsi="Times New Roman" w:cs="Times New Roman"/>
          <w:sz w:val="24"/>
          <w:szCs w:val="24"/>
        </w:rPr>
      </w:pPr>
      <w:r w:rsidRPr="00586BE5">
        <w:rPr>
          <w:rFonts w:ascii="Times New Roman" w:hAnsi="Times New Roman" w:cs="Times New Roman"/>
          <w:sz w:val="24"/>
          <w:szCs w:val="24"/>
        </w:rPr>
        <w:t>In contrast to the trend observed in advanced countries where the private sector</w:t>
      </w:r>
      <w:r>
        <w:rPr>
          <w:rFonts w:ascii="Times New Roman" w:hAnsi="Times New Roman" w:cs="Times New Roman"/>
          <w:sz w:val="24"/>
          <w:szCs w:val="24"/>
        </w:rPr>
        <w:t xml:space="preserve"> </w:t>
      </w:r>
      <w:r w:rsidRPr="00586BE5">
        <w:rPr>
          <w:rFonts w:ascii="Times New Roman" w:hAnsi="Times New Roman" w:cs="Times New Roman"/>
          <w:sz w:val="24"/>
          <w:szCs w:val="24"/>
        </w:rPr>
        <w:t>carries out the bulk of research and development. In India, the government is not just the primary</w:t>
      </w:r>
      <w:r>
        <w:rPr>
          <w:rFonts w:ascii="Times New Roman" w:hAnsi="Times New Roman" w:cs="Times New Roman"/>
          <w:sz w:val="24"/>
          <w:szCs w:val="24"/>
        </w:rPr>
        <w:t xml:space="preserve"> </w:t>
      </w:r>
      <w:r w:rsidRPr="00586BE5">
        <w:rPr>
          <w:rFonts w:ascii="Times New Roman" w:hAnsi="Times New Roman" w:cs="Times New Roman"/>
          <w:sz w:val="24"/>
          <w:szCs w:val="24"/>
        </w:rPr>
        <w:t xml:space="preserve">source of </w:t>
      </w:r>
      <w:r w:rsidRPr="00586BE5">
        <w:rPr>
          <w:rFonts w:ascii="Times New Roman" w:hAnsi="Times New Roman" w:cs="Times New Roman"/>
          <w:sz w:val="24"/>
          <w:szCs w:val="24"/>
        </w:rPr>
        <w:lastRenderedPageBreak/>
        <w:t>R&amp;D funding but also it</w:t>
      </w:r>
      <w:r w:rsidR="00435056">
        <w:rPr>
          <w:rFonts w:ascii="Times New Roman" w:hAnsi="Times New Roman" w:cs="Times New Roman"/>
          <w:sz w:val="24"/>
          <w:szCs w:val="24"/>
        </w:rPr>
        <w:t xml:space="preserve"> i</w:t>
      </w:r>
      <w:r w:rsidRPr="00586BE5">
        <w:rPr>
          <w:rFonts w:ascii="Times New Roman" w:hAnsi="Times New Roman" w:cs="Times New Roman"/>
          <w:sz w:val="24"/>
          <w:szCs w:val="24"/>
        </w:rPr>
        <w:t>s the primary user of these funds.</w:t>
      </w:r>
      <w:r>
        <w:rPr>
          <w:rFonts w:ascii="Times New Roman" w:hAnsi="Times New Roman" w:cs="Times New Roman"/>
          <w:sz w:val="24"/>
          <w:szCs w:val="24"/>
        </w:rPr>
        <w:t xml:space="preserve"> </w:t>
      </w:r>
      <w:r w:rsidRPr="00586BE5">
        <w:rPr>
          <w:rFonts w:ascii="Times New Roman" w:hAnsi="Times New Roman" w:cs="Times New Roman"/>
          <w:sz w:val="24"/>
          <w:szCs w:val="24"/>
        </w:rPr>
        <w:t>Government expenditure on R&amp;D is undertaken almost entirely by the central government with state</w:t>
      </w:r>
      <w:r>
        <w:rPr>
          <w:rFonts w:ascii="Times New Roman" w:hAnsi="Times New Roman" w:cs="Times New Roman"/>
          <w:sz w:val="24"/>
          <w:szCs w:val="24"/>
        </w:rPr>
        <w:t xml:space="preserve"> </w:t>
      </w:r>
      <w:r w:rsidRPr="00586BE5">
        <w:rPr>
          <w:rFonts w:ascii="Times New Roman" w:hAnsi="Times New Roman" w:cs="Times New Roman"/>
          <w:sz w:val="24"/>
          <w:szCs w:val="24"/>
        </w:rPr>
        <w:t>government playing a secondary role.</w:t>
      </w:r>
      <w:r>
        <w:rPr>
          <w:rFonts w:ascii="Times New Roman" w:hAnsi="Times New Roman" w:cs="Times New Roman"/>
          <w:sz w:val="24"/>
          <w:szCs w:val="24"/>
        </w:rPr>
        <w:t xml:space="preserve"> </w:t>
      </w:r>
      <w:r w:rsidRPr="00586BE5">
        <w:rPr>
          <w:rFonts w:ascii="Times New Roman" w:hAnsi="Times New Roman" w:cs="Times New Roman"/>
          <w:sz w:val="24"/>
          <w:szCs w:val="24"/>
        </w:rPr>
        <w:t>Transfer of technology developed by public-funded institutions such as the Council of Scientific and Industrial Research (CSIR) is relatively low. It highlighted poor marketing skills and information dissemination as key reasons for this.</w:t>
      </w:r>
    </w:p>
    <w:p w:rsidR="00AA06B0" w:rsidRPr="00AA06B0" w:rsidRDefault="009008A6" w:rsidP="00AA06B0">
      <w:pPr>
        <w:spacing w:line="360" w:lineRule="auto"/>
        <w:jc w:val="both"/>
        <w:rPr>
          <w:rFonts w:ascii="Times New Roman" w:hAnsi="Times New Roman" w:cs="Times New Roman"/>
          <w:sz w:val="24"/>
          <w:szCs w:val="24"/>
        </w:rPr>
      </w:pPr>
      <w:r w:rsidRPr="009008A6">
        <w:rPr>
          <w:rFonts w:ascii="Times New Roman" w:hAnsi="Times New Roman" w:cs="Times New Roman"/>
          <w:b/>
          <w:sz w:val="24"/>
          <w:szCs w:val="24"/>
        </w:rPr>
        <w:t>Conclusion:</w:t>
      </w:r>
      <w:r w:rsidR="00AA06B0" w:rsidRPr="00AA06B0">
        <w:rPr>
          <w:rFonts w:ascii="Times New Roman" w:hAnsi="Times New Roman" w:cs="Times New Roman"/>
          <w:sz w:val="24"/>
          <w:szCs w:val="24"/>
        </w:rPr>
        <w:t xml:space="preserve"> India’s journey toward becoming a knowledge-driven economy depends heavily on strengthening its research and development (R&amp;D) ecosystem. While the country has made notable progress in terms of absolute investment in R&amp;D over the years, its expenditure as a share of GDP has remained stagnant at around 0.6–0.7 percent, significantly lower than global leaders like the USA, China, Japan, and South Korea. The dominance of public investment, particularly from central government agencies such as DRDO, CSIR, and the Department of Space, has sustained India’s R&amp;D activities. However, the declining share of public expenditure and the relatively slow rise of private sector participation indicate structural imbalances that hinder innovation. Furthermore, universities, which play a central role in advanced economies, contribute minimally in India, highlighting the need for greater integration of higher education into the research landscape.</w:t>
      </w:r>
    </w:p>
    <w:p w:rsidR="002C707E" w:rsidRDefault="00AA06B0" w:rsidP="002C707E">
      <w:pPr>
        <w:pBdr>
          <w:bottom w:val="double" w:sz="6" w:space="1" w:color="auto"/>
        </w:pBdr>
        <w:spacing w:line="360" w:lineRule="auto"/>
        <w:jc w:val="both"/>
        <w:rPr>
          <w:rFonts w:ascii="Times New Roman" w:hAnsi="Times New Roman" w:cs="Times New Roman"/>
          <w:sz w:val="24"/>
          <w:szCs w:val="24"/>
        </w:rPr>
      </w:pPr>
      <w:r w:rsidRPr="00AA06B0">
        <w:rPr>
          <w:rFonts w:ascii="Times New Roman" w:hAnsi="Times New Roman" w:cs="Times New Roman"/>
          <w:sz w:val="24"/>
          <w:szCs w:val="24"/>
        </w:rPr>
        <w:t>India’s low GERD-to-GDP ratio and limited FDI inflows into R&amp;D underscore the urgency for policy reforms to incentivize private investment, strengthen university–industry linkages, and promote commercialization of innovations. The country’s share in global R&amp;D exports and its trade surplus in R&amp;D services reflect untapped potential, but sustaining this momentum requires improving intellectual property frameworks and encouraging cross-border collaborations. Investing in basic science, alongside applied and experimental research, will be essential to address challenges in national security, climate resilience, and healthcare while also driving economic growth. Thus, a coordinated strategy to enhance funding, diversify stakeholders, and promote innovation ecosystems will be vital for India to transition from a net consumer of knowledge to a net producer on the global stage.</w:t>
      </w:r>
    </w:p>
    <w:p w:rsidR="00C90CE1" w:rsidRPr="00C90CE1" w:rsidRDefault="00C90CE1" w:rsidP="00C90CE1">
      <w:pPr>
        <w:pBdr>
          <w:bottom w:val="double" w:sz="6" w:space="1" w:color="auto"/>
        </w:pBdr>
        <w:spacing w:line="360" w:lineRule="auto"/>
        <w:jc w:val="both"/>
        <w:rPr>
          <w:rFonts w:ascii="Times New Roman" w:hAnsi="Times New Roman" w:cs="Times New Roman"/>
          <w:b/>
          <w:sz w:val="24"/>
          <w:szCs w:val="24"/>
        </w:rPr>
      </w:pPr>
      <w:r w:rsidRPr="00C90CE1">
        <w:rPr>
          <w:rFonts w:ascii="Times New Roman" w:hAnsi="Times New Roman" w:cs="Times New Roman"/>
          <w:b/>
          <w:sz w:val="24"/>
          <w:szCs w:val="24"/>
        </w:rPr>
        <w:t>Disclaimer (Artificial intelligence)</w:t>
      </w:r>
    </w:p>
    <w:p w:rsidR="00C90CE1" w:rsidRPr="00C90CE1" w:rsidRDefault="00C90CE1" w:rsidP="00C90CE1">
      <w:pPr>
        <w:pBdr>
          <w:bottom w:val="double" w:sz="6" w:space="1" w:color="auto"/>
        </w:pBdr>
        <w:spacing w:line="360" w:lineRule="auto"/>
        <w:jc w:val="both"/>
        <w:rPr>
          <w:rFonts w:ascii="Times New Roman" w:hAnsi="Times New Roman" w:cs="Times New Roman"/>
          <w:sz w:val="24"/>
          <w:szCs w:val="24"/>
        </w:rPr>
      </w:pPr>
      <w:r w:rsidRPr="00C90CE1">
        <w:rPr>
          <w:rFonts w:ascii="Times New Roman" w:hAnsi="Times New Roman" w:cs="Times New Roman"/>
          <w:sz w:val="24"/>
          <w:szCs w:val="24"/>
        </w:rPr>
        <w:t xml:space="preserve">Option 1: </w:t>
      </w:r>
    </w:p>
    <w:p w:rsidR="00C90CE1" w:rsidRPr="00C90CE1" w:rsidRDefault="00C90CE1" w:rsidP="00C90CE1">
      <w:pPr>
        <w:pBdr>
          <w:bottom w:val="double" w:sz="6" w:space="1" w:color="auto"/>
        </w:pBdr>
        <w:spacing w:line="360" w:lineRule="auto"/>
        <w:jc w:val="both"/>
        <w:rPr>
          <w:rFonts w:ascii="Times New Roman" w:hAnsi="Times New Roman" w:cs="Times New Roman"/>
          <w:sz w:val="24"/>
          <w:szCs w:val="24"/>
        </w:rPr>
      </w:pPr>
      <w:r w:rsidRPr="00C90CE1">
        <w:rPr>
          <w:rFonts w:ascii="Times New Roman" w:hAnsi="Times New Roman" w:cs="Times New Roman"/>
          <w:sz w:val="24"/>
          <w:szCs w:val="24"/>
        </w:rPr>
        <w:lastRenderedPageBreak/>
        <w:t>Author(s) hereby declare that NO generative AI technologies such as Large Language Models (</w:t>
      </w:r>
      <w:proofErr w:type="spellStart"/>
      <w:r w:rsidRPr="00C90CE1">
        <w:rPr>
          <w:rFonts w:ascii="Times New Roman" w:hAnsi="Times New Roman" w:cs="Times New Roman"/>
          <w:sz w:val="24"/>
          <w:szCs w:val="24"/>
        </w:rPr>
        <w:t>ChatGPT</w:t>
      </w:r>
      <w:proofErr w:type="spellEnd"/>
      <w:r w:rsidRPr="00C90CE1">
        <w:rPr>
          <w:rFonts w:ascii="Times New Roman" w:hAnsi="Times New Roman" w:cs="Times New Roman"/>
          <w:sz w:val="24"/>
          <w:szCs w:val="24"/>
        </w:rPr>
        <w:t xml:space="preserve">, COPILOT, etc.) and text-to-image generators have been used during the writing or editing of this manuscript. </w:t>
      </w:r>
    </w:p>
    <w:p w:rsidR="00C90CE1" w:rsidRPr="00C90CE1" w:rsidRDefault="00C90CE1" w:rsidP="00C90CE1">
      <w:pPr>
        <w:pBdr>
          <w:bottom w:val="double" w:sz="6" w:space="1" w:color="auto"/>
        </w:pBdr>
        <w:spacing w:line="360" w:lineRule="auto"/>
        <w:jc w:val="both"/>
        <w:rPr>
          <w:rFonts w:ascii="Times New Roman" w:hAnsi="Times New Roman" w:cs="Times New Roman"/>
          <w:sz w:val="24"/>
          <w:szCs w:val="24"/>
        </w:rPr>
      </w:pPr>
      <w:r w:rsidRPr="00C90CE1">
        <w:rPr>
          <w:rFonts w:ascii="Times New Roman" w:hAnsi="Times New Roman" w:cs="Times New Roman"/>
          <w:sz w:val="24"/>
          <w:szCs w:val="24"/>
        </w:rPr>
        <w:t xml:space="preserve">Option 2: </w:t>
      </w:r>
    </w:p>
    <w:p w:rsidR="00C90CE1" w:rsidRPr="00C90CE1" w:rsidRDefault="00C90CE1" w:rsidP="00C90CE1">
      <w:pPr>
        <w:pBdr>
          <w:bottom w:val="double" w:sz="6" w:space="1" w:color="auto"/>
        </w:pBdr>
        <w:spacing w:line="360" w:lineRule="auto"/>
        <w:jc w:val="both"/>
        <w:rPr>
          <w:rFonts w:ascii="Times New Roman" w:hAnsi="Times New Roman" w:cs="Times New Roman"/>
          <w:sz w:val="24"/>
          <w:szCs w:val="24"/>
        </w:rPr>
      </w:pPr>
      <w:r w:rsidRPr="00C90CE1">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90CE1" w:rsidRPr="00C90CE1" w:rsidRDefault="00C90CE1" w:rsidP="00C90CE1">
      <w:pPr>
        <w:pBdr>
          <w:bottom w:val="double" w:sz="6" w:space="1" w:color="auto"/>
        </w:pBdr>
        <w:spacing w:line="360" w:lineRule="auto"/>
        <w:jc w:val="both"/>
        <w:rPr>
          <w:rFonts w:ascii="Times New Roman" w:hAnsi="Times New Roman" w:cs="Times New Roman"/>
          <w:sz w:val="24"/>
          <w:szCs w:val="24"/>
        </w:rPr>
      </w:pPr>
      <w:r w:rsidRPr="00C90CE1">
        <w:rPr>
          <w:rFonts w:ascii="Times New Roman" w:hAnsi="Times New Roman" w:cs="Times New Roman"/>
          <w:sz w:val="24"/>
          <w:szCs w:val="24"/>
        </w:rPr>
        <w:t>Details of the AI usage are given below:</w:t>
      </w:r>
    </w:p>
    <w:p w:rsidR="00C90CE1" w:rsidRPr="00C90CE1" w:rsidRDefault="00C90CE1" w:rsidP="00C90CE1">
      <w:pPr>
        <w:pBdr>
          <w:bottom w:val="double" w:sz="6" w:space="1" w:color="auto"/>
        </w:pBdr>
        <w:spacing w:line="360" w:lineRule="auto"/>
        <w:jc w:val="both"/>
        <w:rPr>
          <w:rFonts w:ascii="Times New Roman" w:hAnsi="Times New Roman" w:cs="Times New Roman"/>
          <w:sz w:val="24"/>
          <w:szCs w:val="24"/>
        </w:rPr>
      </w:pPr>
      <w:r w:rsidRPr="00C90CE1">
        <w:rPr>
          <w:rFonts w:ascii="Times New Roman" w:hAnsi="Times New Roman" w:cs="Times New Roman"/>
          <w:sz w:val="24"/>
          <w:szCs w:val="24"/>
        </w:rPr>
        <w:t>1.</w:t>
      </w:r>
    </w:p>
    <w:p w:rsidR="00C90CE1" w:rsidRPr="00C90CE1" w:rsidRDefault="00C90CE1" w:rsidP="00C90CE1">
      <w:pPr>
        <w:pBdr>
          <w:bottom w:val="double" w:sz="6" w:space="1" w:color="auto"/>
        </w:pBdr>
        <w:spacing w:line="360" w:lineRule="auto"/>
        <w:jc w:val="both"/>
        <w:rPr>
          <w:rFonts w:ascii="Times New Roman" w:hAnsi="Times New Roman" w:cs="Times New Roman"/>
          <w:sz w:val="24"/>
          <w:szCs w:val="24"/>
        </w:rPr>
      </w:pPr>
      <w:r w:rsidRPr="00C90CE1">
        <w:rPr>
          <w:rFonts w:ascii="Times New Roman" w:hAnsi="Times New Roman" w:cs="Times New Roman"/>
          <w:sz w:val="24"/>
          <w:szCs w:val="24"/>
        </w:rPr>
        <w:t>2.</w:t>
      </w:r>
    </w:p>
    <w:p w:rsidR="002C707E" w:rsidRDefault="00C90CE1" w:rsidP="00C90CE1">
      <w:pPr>
        <w:pBdr>
          <w:bottom w:val="double" w:sz="6" w:space="1" w:color="auto"/>
        </w:pBdr>
        <w:spacing w:line="360" w:lineRule="auto"/>
        <w:jc w:val="both"/>
        <w:rPr>
          <w:rFonts w:ascii="Times New Roman" w:hAnsi="Times New Roman" w:cs="Times New Roman"/>
          <w:sz w:val="24"/>
          <w:szCs w:val="24"/>
        </w:rPr>
      </w:pPr>
      <w:r w:rsidRPr="00C90CE1">
        <w:rPr>
          <w:rFonts w:ascii="Times New Roman" w:hAnsi="Times New Roman" w:cs="Times New Roman"/>
          <w:sz w:val="24"/>
          <w:szCs w:val="24"/>
        </w:rPr>
        <w:t>3.</w:t>
      </w:r>
    </w:p>
    <w:p w:rsidR="002A01B6" w:rsidRDefault="002C707E" w:rsidP="002C707E">
      <w:pPr>
        <w:pBdr>
          <w:bottom w:val="double" w:sz="6" w:space="1" w:color="auto"/>
        </w:pBdr>
        <w:spacing w:line="360" w:lineRule="auto"/>
        <w:jc w:val="both"/>
        <w:rPr>
          <w:rFonts w:ascii="Times New Roman" w:hAnsi="Times New Roman" w:cs="Times New Roman"/>
          <w:b/>
          <w:sz w:val="24"/>
          <w:szCs w:val="24"/>
        </w:rPr>
      </w:pPr>
      <w:r w:rsidRPr="00466A77">
        <w:rPr>
          <w:rFonts w:ascii="Times New Roman" w:hAnsi="Times New Roman" w:cs="Times New Roman"/>
          <w:b/>
          <w:sz w:val="24"/>
          <w:szCs w:val="24"/>
        </w:rPr>
        <w:t>References</w:t>
      </w:r>
      <w:r w:rsidR="002A01B6">
        <w:rPr>
          <w:rFonts w:ascii="Times New Roman" w:hAnsi="Times New Roman" w:cs="Times New Roman"/>
          <w:b/>
          <w:sz w:val="24"/>
          <w:szCs w:val="24"/>
        </w:rPr>
        <w:t xml:space="preserve"> </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466A77">
        <w:rPr>
          <w:rFonts w:ascii="Times New Roman" w:hAnsi="Times New Roman" w:cs="Times New Roman"/>
          <w:b/>
          <w:sz w:val="24"/>
          <w:szCs w:val="24"/>
        </w:rPr>
        <w:t xml:space="preserve"> </w:t>
      </w:r>
      <w:r w:rsidRPr="003856FE">
        <w:rPr>
          <w:rFonts w:ascii="Times New Roman" w:hAnsi="Times New Roman" w:cs="Times New Roman"/>
          <w:sz w:val="24"/>
          <w:szCs w:val="24"/>
        </w:rPr>
        <w:t>Aghion, P.</w:t>
      </w:r>
      <w:r>
        <w:rPr>
          <w:rFonts w:ascii="Times New Roman" w:hAnsi="Times New Roman" w:cs="Times New Roman"/>
          <w:sz w:val="24"/>
          <w:szCs w:val="24"/>
        </w:rPr>
        <w:t>A</w:t>
      </w:r>
      <w:r w:rsidRPr="003856FE">
        <w:rPr>
          <w:rFonts w:ascii="Times New Roman" w:hAnsi="Times New Roman" w:cs="Times New Roman"/>
          <w:sz w:val="24"/>
          <w:szCs w:val="24"/>
        </w:rPr>
        <w:t xml:space="preserve">. (1992). A Model of Growth through Creative Destruction. </w:t>
      </w:r>
      <w:proofErr w:type="spellStart"/>
      <w:r w:rsidRPr="003856FE">
        <w:rPr>
          <w:rFonts w:ascii="Times New Roman" w:hAnsi="Times New Roman" w:cs="Times New Roman"/>
          <w:sz w:val="24"/>
          <w:szCs w:val="24"/>
        </w:rPr>
        <w:t>Econometrica</w:t>
      </w:r>
      <w:proofErr w:type="spellEnd"/>
      <w:r w:rsidRPr="003856FE">
        <w:rPr>
          <w:rFonts w:ascii="Times New Roman" w:hAnsi="Times New Roman" w:cs="Times New Roman"/>
          <w:sz w:val="24"/>
          <w:szCs w:val="24"/>
        </w:rPr>
        <w:t xml:space="preserve">, 60,2 (March) 323-351.Department of Science and Technology. (2019-20). Research and </w:t>
      </w:r>
      <w:r>
        <w:rPr>
          <w:rFonts w:ascii="Times New Roman" w:hAnsi="Times New Roman" w:cs="Times New Roman"/>
          <w:sz w:val="24"/>
          <w:szCs w:val="24"/>
        </w:rPr>
        <w:t>D</w:t>
      </w:r>
      <w:r w:rsidRPr="003856FE">
        <w:rPr>
          <w:rFonts w:ascii="Times New Roman" w:hAnsi="Times New Roman" w:cs="Times New Roman"/>
          <w:sz w:val="24"/>
          <w:szCs w:val="24"/>
        </w:rPr>
        <w:t>evelopment Statistic</w:t>
      </w:r>
      <w:r>
        <w:rPr>
          <w:rFonts w:ascii="Times New Roman" w:hAnsi="Times New Roman" w:cs="Times New Roman"/>
          <w:sz w:val="24"/>
          <w:szCs w:val="24"/>
        </w:rPr>
        <w:t>s,</w:t>
      </w:r>
      <w:r w:rsidRPr="003856FE">
        <w:rPr>
          <w:rFonts w:ascii="Times New Roman" w:hAnsi="Times New Roman" w:cs="Times New Roman"/>
          <w:sz w:val="24"/>
          <w:szCs w:val="24"/>
        </w:rPr>
        <w:t xml:space="preserve"> Government of India.</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3856FE">
        <w:rPr>
          <w:rFonts w:ascii="Times New Roman" w:hAnsi="Times New Roman" w:cs="Times New Roman"/>
          <w:sz w:val="24"/>
          <w:szCs w:val="24"/>
        </w:rPr>
        <w:t xml:space="preserve">Erik Canton, B.M. (August 2005). Human Capital, R&amp;D and Competition and Macroeconomic Analysis, Working Paper No. 38: European Network </w:t>
      </w:r>
      <w:r>
        <w:rPr>
          <w:rFonts w:ascii="Times New Roman" w:hAnsi="Times New Roman" w:cs="Times New Roman"/>
          <w:sz w:val="24"/>
          <w:szCs w:val="24"/>
        </w:rPr>
        <w:t>o</w:t>
      </w:r>
      <w:r w:rsidRPr="003856FE">
        <w:rPr>
          <w:rFonts w:ascii="Times New Roman" w:hAnsi="Times New Roman" w:cs="Times New Roman"/>
          <w:sz w:val="24"/>
          <w:szCs w:val="24"/>
        </w:rPr>
        <w:t>f Economic Policy Research Institutes.</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3856FE">
        <w:rPr>
          <w:rFonts w:ascii="Times New Roman" w:hAnsi="Times New Roman" w:cs="Times New Roman"/>
          <w:sz w:val="24"/>
          <w:szCs w:val="24"/>
        </w:rPr>
        <w:t>Falk Martin. (2007). R&amp;D Spending in the High-Tech Sector and Economic Growth. Research in Economics, 61, 140-147.</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3856FE">
        <w:rPr>
          <w:rFonts w:ascii="Times New Roman" w:hAnsi="Times New Roman" w:cs="Times New Roman"/>
          <w:sz w:val="24"/>
          <w:szCs w:val="24"/>
        </w:rPr>
        <w:t>Grossman, G.M. (1991). Innovation and Growth in the Global Economy, MIT Press, Cambridge MA</w:t>
      </w:r>
      <w:r>
        <w:rPr>
          <w:rFonts w:ascii="Times New Roman" w:hAnsi="Times New Roman" w:cs="Times New Roman"/>
          <w:sz w:val="24"/>
          <w:szCs w:val="24"/>
        </w:rPr>
        <w:t>, USA</w:t>
      </w:r>
      <w:r w:rsidRPr="003856FE">
        <w:rPr>
          <w:rFonts w:ascii="Times New Roman" w:hAnsi="Times New Roman" w:cs="Times New Roman"/>
          <w:sz w:val="24"/>
          <w:szCs w:val="24"/>
        </w:rPr>
        <w:t>.</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3856FE">
        <w:rPr>
          <w:rFonts w:ascii="Times New Roman" w:hAnsi="Times New Roman" w:cs="Times New Roman"/>
          <w:sz w:val="24"/>
          <w:szCs w:val="24"/>
        </w:rPr>
        <w:t>Grossman, G.M. (1991). Innovation and Growth in the Global Economy, MIT Press, Cambridge MA</w:t>
      </w:r>
      <w:r>
        <w:rPr>
          <w:rFonts w:ascii="Times New Roman" w:hAnsi="Times New Roman" w:cs="Times New Roman"/>
          <w:sz w:val="24"/>
          <w:szCs w:val="24"/>
        </w:rPr>
        <w:t>, USA</w:t>
      </w:r>
      <w:r w:rsidRPr="003856FE">
        <w:rPr>
          <w:rFonts w:ascii="Times New Roman" w:hAnsi="Times New Roman" w:cs="Times New Roman"/>
          <w:sz w:val="24"/>
          <w:szCs w:val="24"/>
        </w:rPr>
        <w:t xml:space="preserve">. </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proofErr w:type="spellStart"/>
      <w:r w:rsidRPr="003856FE">
        <w:rPr>
          <w:rFonts w:ascii="Times New Roman" w:hAnsi="Times New Roman" w:cs="Times New Roman"/>
          <w:sz w:val="24"/>
          <w:szCs w:val="24"/>
        </w:rPr>
        <w:lastRenderedPageBreak/>
        <w:t>Guloglu</w:t>
      </w:r>
      <w:proofErr w:type="spellEnd"/>
      <w:r>
        <w:rPr>
          <w:rFonts w:ascii="Times New Roman" w:hAnsi="Times New Roman" w:cs="Times New Roman"/>
          <w:sz w:val="24"/>
          <w:szCs w:val="24"/>
        </w:rPr>
        <w:t>,</w:t>
      </w:r>
      <w:r w:rsidRPr="003856FE">
        <w:rPr>
          <w:rFonts w:ascii="Times New Roman" w:hAnsi="Times New Roman" w:cs="Times New Roman"/>
          <w:sz w:val="24"/>
          <w:szCs w:val="24"/>
        </w:rPr>
        <w:t xml:space="preserve"> B. and </w:t>
      </w:r>
      <w:proofErr w:type="spellStart"/>
      <w:r w:rsidRPr="003856FE">
        <w:rPr>
          <w:rFonts w:ascii="Times New Roman" w:hAnsi="Times New Roman" w:cs="Times New Roman"/>
          <w:sz w:val="24"/>
          <w:szCs w:val="24"/>
        </w:rPr>
        <w:t>Tekin</w:t>
      </w:r>
      <w:proofErr w:type="spellEnd"/>
      <w:r>
        <w:rPr>
          <w:rFonts w:ascii="Times New Roman" w:hAnsi="Times New Roman" w:cs="Times New Roman"/>
          <w:sz w:val="24"/>
          <w:szCs w:val="24"/>
        </w:rPr>
        <w:t xml:space="preserve">, R.B. </w:t>
      </w:r>
      <w:r w:rsidRPr="003856FE">
        <w:rPr>
          <w:rFonts w:ascii="Times New Roman" w:hAnsi="Times New Roman" w:cs="Times New Roman"/>
          <w:sz w:val="24"/>
          <w:szCs w:val="24"/>
        </w:rPr>
        <w:t xml:space="preserve">(2012). A Panel Causality Analysis of the </w:t>
      </w:r>
      <w:proofErr w:type="spellStart"/>
      <w:r w:rsidRPr="003856FE">
        <w:rPr>
          <w:rFonts w:ascii="Times New Roman" w:hAnsi="Times New Roman" w:cs="Times New Roman"/>
          <w:sz w:val="24"/>
          <w:szCs w:val="24"/>
        </w:rPr>
        <w:t>Relationshipamong</w:t>
      </w:r>
      <w:proofErr w:type="spellEnd"/>
      <w:r w:rsidRPr="003856FE">
        <w:rPr>
          <w:rFonts w:ascii="Times New Roman" w:hAnsi="Times New Roman" w:cs="Times New Roman"/>
          <w:sz w:val="24"/>
          <w:szCs w:val="24"/>
        </w:rPr>
        <w:t xml:space="preserve"> R&amp;D, Innovation and Economic Growth in High-Income OECD Countries. Eurasian Economic Review, 2 (1), 32-47.</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proofErr w:type="spellStart"/>
      <w:r w:rsidRPr="003856FE">
        <w:rPr>
          <w:rFonts w:ascii="Times New Roman" w:hAnsi="Times New Roman" w:cs="Times New Roman"/>
          <w:sz w:val="24"/>
          <w:szCs w:val="24"/>
        </w:rPr>
        <w:t>Gumus</w:t>
      </w:r>
      <w:proofErr w:type="spellEnd"/>
      <w:r>
        <w:rPr>
          <w:rFonts w:ascii="Times New Roman" w:hAnsi="Times New Roman" w:cs="Times New Roman"/>
          <w:sz w:val="24"/>
          <w:szCs w:val="24"/>
        </w:rPr>
        <w:t>,</w:t>
      </w:r>
      <w:r w:rsidRPr="003856FE">
        <w:rPr>
          <w:rFonts w:ascii="Times New Roman" w:hAnsi="Times New Roman" w:cs="Times New Roman"/>
          <w:sz w:val="24"/>
          <w:szCs w:val="24"/>
        </w:rPr>
        <w:t xml:space="preserve"> E. and </w:t>
      </w:r>
      <w:proofErr w:type="spellStart"/>
      <w:r w:rsidRPr="003856FE">
        <w:rPr>
          <w:rFonts w:ascii="Times New Roman" w:hAnsi="Times New Roman" w:cs="Times New Roman"/>
          <w:sz w:val="24"/>
          <w:szCs w:val="24"/>
        </w:rPr>
        <w:t>Celikay</w:t>
      </w:r>
      <w:proofErr w:type="spellEnd"/>
      <w:r>
        <w:rPr>
          <w:rFonts w:ascii="Times New Roman" w:hAnsi="Times New Roman" w:cs="Times New Roman"/>
          <w:sz w:val="24"/>
          <w:szCs w:val="24"/>
        </w:rPr>
        <w:t>, F</w:t>
      </w:r>
      <w:r w:rsidRPr="003856FE">
        <w:rPr>
          <w:rFonts w:ascii="Times New Roman" w:hAnsi="Times New Roman" w:cs="Times New Roman"/>
          <w:sz w:val="24"/>
          <w:szCs w:val="24"/>
        </w:rPr>
        <w:t xml:space="preserve"> (2015). R&amp;D Expenditure and Economic Growth: New Empirical Evidence, Journal of Applied Economic Research, 9 (3), 205-217.</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proofErr w:type="spellStart"/>
      <w:r w:rsidRPr="003856FE">
        <w:rPr>
          <w:rFonts w:ascii="Times New Roman" w:hAnsi="Times New Roman" w:cs="Times New Roman"/>
          <w:sz w:val="24"/>
          <w:szCs w:val="24"/>
        </w:rPr>
        <w:t>Özcan</w:t>
      </w:r>
      <w:proofErr w:type="spellEnd"/>
      <w:r w:rsidRPr="003856FE">
        <w:rPr>
          <w:rFonts w:ascii="Times New Roman" w:hAnsi="Times New Roman" w:cs="Times New Roman"/>
          <w:sz w:val="24"/>
          <w:szCs w:val="24"/>
        </w:rPr>
        <w:t xml:space="preserve"> Karahan, B.O. (2016). Complementarity between Human Capital and Research and Development Activities. The European Conference on the Social Sciences.</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3856FE">
        <w:rPr>
          <w:rFonts w:ascii="Times New Roman" w:hAnsi="Times New Roman" w:cs="Times New Roman"/>
          <w:sz w:val="24"/>
          <w:szCs w:val="24"/>
        </w:rPr>
        <w:t>Prodan</w:t>
      </w:r>
      <w:r>
        <w:rPr>
          <w:rFonts w:ascii="Times New Roman" w:hAnsi="Times New Roman" w:cs="Times New Roman"/>
          <w:sz w:val="24"/>
          <w:szCs w:val="24"/>
        </w:rPr>
        <w:t>, A.M.</w:t>
      </w:r>
      <w:r w:rsidRPr="003856FE">
        <w:rPr>
          <w:rFonts w:ascii="Times New Roman" w:hAnsi="Times New Roman" w:cs="Times New Roman"/>
          <w:sz w:val="24"/>
          <w:szCs w:val="24"/>
        </w:rPr>
        <w:t xml:space="preserve"> (2005). Influence of R&amp;D Expenditures on Number of Patent Applications:</w:t>
      </w:r>
      <w:r>
        <w:rPr>
          <w:rFonts w:ascii="Times New Roman" w:hAnsi="Times New Roman" w:cs="Times New Roman"/>
          <w:sz w:val="24"/>
          <w:szCs w:val="24"/>
        </w:rPr>
        <w:t xml:space="preserve"> </w:t>
      </w:r>
      <w:r w:rsidRPr="003856FE">
        <w:rPr>
          <w:rFonts w:ascii="Times New Roman" w:hAnsi="Times New Roman" w:cs="Times New Roman"/>
          <w:sz w:val="24"/>
          <w:szCs w:val="24"/>
        </w:rPr>
        <w:t xml:space="preserve">Selected Case Studies in OECD Countries and Central Europe, Applied </w:t>
      </w:r>
      <w:proofErr w:type="spellStart"/>
      <w:r w:rsidRPr="003856FE">
        <w:rPr>
          <w:rFonts w:ascii="Times New Roman" w:hAnsi="Times New Roman" w:cs="Times New Roman"/>
          <w:sz w:val="24"/>
          <w:szCs w:val="24"/>
        </w:rPr>
        <w:t>Econometricsand</w:t>
      </w:r>
      <w:proofErr w:type="spellEnd"/>
      <w:r w:rsidRPr="003856FE">
        <w:rPr>
          <w:rFonts w:ascii="Times New Roman" w:hAnsi="Times New Roman" w:cs="Times New Roman"/>
          <w:sz w:val="24"/>
          <w:szCs w:val="24"/>
        </w:rPr>
        <w:t xml:space="preserve"> International Development, 5 (4), 5-22.</w:t>
      </w:r>
    </w:p>
    <w:p w:rsidR="002C707E" w:rsidRDefault="002C707E" w:rsidP="002C707E">
      <w:pPr>
        <w:pBdr>
          <w:bottom w:val="double" w:sz="6" w:space="1" w:color="auto"/>
        </w:pBdr>
        <w:spacing w:line="360" w:lineRule="auto"/>
        <w:jc w:val="both"/>
        <w:rPr>
          <w:rFonts w:ascii="Times New Roman" w:hAnsi="Times New Roman" w:cs="Times New Roman"/>
          <w:noProof/>
          <w:sz w:val="24"/>
          <w:szCs w:val="24"/>
        </w:rPr>
      </w:pPr>
      <w:r w:rsidRPr="003856FE">
        <w:rPr>
          <w:rFonts w:ascii="Times New Roman" w:hAnsi="Times New Roman" w:cs="Times New Roman"/>
          <w:sz w:val="24"/>
          <w:szCs w:val="24"/>
        </w:rPr>
        <w:t xml:space="preserve">Ratan </w:t>
      </w:r>
      <w:proofErr w:type="spellStart"/>
      <w:proofErr w:type="gramStart"/>
      <w:r w:rsidRPr="003856FE">
        <w:rPr>
          <w:rFonts w:ascii="Times New Roman" w:hAnsi="Times New Roman" w:cs="Times New Roman"/>
          <w:sz w:val="24"/>
          <w:szCs w:val="24"/>
        </w:rPr>
        <w:t>Watal,B.N</w:t>
      </w:r>
      <w:proofErr w:type="spellEnd"/>
      <w:r w:rsidRPr="003856FE">
        <w:rPr>
          <w:rFonts w:ascii="Times New Roman" w:hAnsi="Times New Roman" w:cs="Times New Roman"/>
          <w:sz w:val="24"/>
          <w:szCs w:val="24"/>
        </w:rPr>
        <w:t>.</w:t>
      </w:r>
      <w:proofErr w:type="gramEnd"/>
      <w:r w:rsidRPr="003856FE">
        <w:rPr>
          <w:rFonts w:ascii="Times New Roman" w:hAnsi="Times New Roman" w:cs="Times New Roman"/>
          <w:sz w:val="24"/>
          <w:szCs w:val="24"/>
        </w:rPr>
        <w:t xml:space="preserve"> </w:t>
      </w:r>
      <w:proofErr w:type="spellStart"/>
      <w:r w:rsidRPr="003856FE">
        <w:rPr>
          <w:rFonts w:ascii="Times New Roman" w:hAnsi="Times New Roman" w:cs="Times New Roman"/>
          <w:sz w:val="24"/>
          <w:szCs w:val="24"/>
        </w:rPr>
        <w:t>Satpathy</w:t>
      </w:r>
      <w:proofErr w:type="spellEnd"/>
      <w:r w:rsidRPr="003856FE">
        <w:rPr>
          <w:rFonts w:ascii="Times New Roman" w:hAnsi="Times New Roman" w:cs="Times New Roman"/>
          <w:sz w:val="24"/>
          <w:szCs w:val="24"/>
        </w:rPr>
        <w:t xml:space="preserve"> and </w:t>
      </w:r>
      <w:proofErr w:type="spellStart"/>
      <w:r w:rsidRPr="003856FE">
        <w:rPr>
          <w:rFonts w:ascii="Times New Roman" w:hAnsi="Times New Roman" w:cs="Times New Roman"/>
          <w:sz w:val="24"/>
          <w:szCs w:val="24"/>
        </w:rPr>
        <w:t>Suneet</w:t>
      </w:r>
      <w:proofErr w:type="spellEnd"/>
      <w:r w:rsidRPr="003856FE">
        <w:rPr>
          <w:rFonts w:ascii="Times New Roman" w:hAnsi="Times New Roman" w:cs="Times New Roman"/>
          <w:sz w:val="24"/>
          <w:szCs w:val="24"/>
        </w:rPr>
        <w:t xml:space="preserve"> Mohan (2019). ‘Research and Development Expenditure Ecosystem: Economic Advisory Council to the Prime Minister.</w:t>
      </w:r>
      <w:r>
        <w:rPr>
          <w:rFonts w:ascii="Times New Roman" w:hAnsi="Times New Roman" w:cs="Times New Roman"/>
          <w:noProof/>
          <w:sz w:val="24"/>
          <w:szCs w:val="24"/>
        </w:rPr>
        <w:t xml:space="preserve"> </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E8720A">
        <w:rPr>
          <w:rFonts w:ascii="Times New Roman" w:hAnsi="Times New Roman" w:cs="Times New Roman"/>
          <w:sz w:val="24"/>
          <w:szCs w:val="24"/>
        </w:rPr>
        <w:t>PRS legislative Research, (Demand for Grants 2021-22 Analysis Science and Technology. 2021-22).</w:t>
      </w:r>
      <w:r>
        <w:rPr>
          <w:rFonts w:ascii="Times New Roman" w:hAnsi="Times New Roman" w:cs="Times New Roman"/>
          <w:sz w:val="24"/>
          <w:szCs w:val="24"/>
        </w:rPr>
        <w:t xml:space="preserve"> </w:t>
      </w:r>
      <w:r w:rsidRPr="003856FE">
        <w:rPr>
          <w:rFonts w:ascii="Times New Roman" w:hAnsi="Times New Roman" w:cs="Times New Roman"/>
          <w:sz w:val="24"/>
          <w:szCs w:val="24"/>
        </w:rPr>
        <w:t>Romer, P.M. (1990). Endogenous Technological Chang. Journal of Political.</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3856FE">
        <w:rPr>
          <w:rFonts w:ascii="Times New Roman" w:hAnsi="Times New Roman" w:cs="Times New Roman"/>
          <w:sz w:val="24"/>
          <w:szCs w:val="24"/>
        </w:rPr>
        <w:t xml:space="preserve">Romer, P.M. (1990). Journal of Political </w:t>
      </w:r>
      <w:r>
        <w:rPr>
          <w:rFonts w:ascii="Times New Roman" w:hAnsi="Times New Roman" w:cs="Times New Roman"/>
          <w:sz w:val="24"/>
          <w:szCs w:val="24"/>
        </w:rPr>
        <w:t>C</w:t>
      </w:r>
      <w:r w:rsidRPr="003856FE">
        <w:rPr>
          <w:rFonts w:ascii="Times New Roman" w:hAnsi="Times New Roman" w:cs="Times New Roman"/>
          <w:sz w:val="24"/>
          <w:szCs w:val="24"/>
        </w:rPr>
        <w:t>hange. Endogenous Technological Change.</w:t>
      </w:r>
    </w:p>
    <w:p w:rsidR="002C707E" w:rsidRDefault="002C707E" w:rsidP="002A01B6">
      <w:pPr>
        <w:pBdr>
          <w:bottom w:val="double" w:sz="6" w:space="1" w:color="auto"/>
        </w:pBdr>
        <w:spacing w:line="360" w:lineRule="auto"/>
        <w:jc w:val="both"/>
        <w:rPr>
          <w:rFonts w:ascii="Times New Roman" w:hAnsi="Times New Roman" w:cs="Times New Roman"/>
          <w:sz w:val="24"/>
          <w:szCs w:val="24"/>
        </w:rPr>
      </w:pPr>
      <w:r w:rsidRPr="003856FE">
        <w:rPr>
          <w:rFonts w:ascii="Times New Roman" w:hAnsi="Times New Roman" w:cs="Times New Roman"/>
          <w:sz w:val="24"/>
          <w:szCs w:val="24"/>
        </w:rPr>
        <w:t xml:space="preserve">UNESCO. (2015). </w:t>
      </w:r>
      <w:r>
        <w:rPr>
          <w:rFonts w:ascii="Times New Roman" w:hAnsi="Times New Roman" w:cs="Times New Roman"/>
          <w:sz w:val="24"/>
          <w:szCs w:val="24"/>
        </w:rPr>
        <w:t>M</w:t>
      </w:r>
      <w:r w:rsidRPr="003856FE">
        <w:rPr>
          <w:rFonts w:ascii="Times New Roman" w:hAnsi="Times New Roman" w:cs="Times New Roman"/>
          <w:sz w:val="24"/>
          <w:szCs w:val="24"/>
        </w:rPr>
        <w:t xml:space="preserve">anual 1984 and </w:t>
      </w:r>
      <w:r>
        <w:rPr>
          <w:rFonts w:ascii="Times New Roman" w:hAnsi="Times New Roman" w:cs="Times New Roman"/>
          <w:sz w:val="24"/>
          <w:szCs w:val="24"/>
        </w:rPr>
        <w:t>F</w:t>
      </w:r>
      <w:r w:rsidRPr="003856FE">
        <w:rPr>
          <w:rFonts w:ascii="Times New Roman" w:hAnsi="Times New Roman" w:cs="Times New Roman"/>
          <w:sz w:val="24"/>
          <w:szCs w:val="24"/>
        </w:rPr>
        <w:t xml:space="preserve">rascati </w:t>
      </w:r>
      <w:r>
        <w:rPr>
          <w:rFonts w:ascii="Times New Roman" w:hAnsi="Times New Roman" w:cs="Times New Roman"/>
          <w:sz w:val="24"/>
          <w:szCs w:val="24"/>
        </w:rPr>
        <w:t>M</w:t>
      </w:r>
      <w:r w:rsidRPr="003856FE">
        <w:rPr>
          <w:rFonts w:ascii="Times New Roman" w:hAnsi="Times New Roman" w:cs="Times New Roman"/>
          <w:sz w:val="24"/>
          <w:szCs w:val="24"/>
        </w:rPr>
        <w:t>anual, OECD, UNESCO.</w:t>
      </w:r>
    </w:p>
    <w:p w:rsidR="00F47B73" w:rsidRDefault="00F47B73" w:rsidP="002A01B6">
      <w:pPr>
        <w:pBdr>
          <w:bottom w:val="double" w:sz="6"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PSA (2024) Principal Scientific Adviser. </w:t>
      </w:r>
      <w:hyperlink r:id="rId15" w:history="1">
        <w:r w:rsidRPr="00007F7B">
          <w:rPr>
            <w:rStyle w:val="Hyperlink"/>
            <w:rFonts w:ascii="Times New Roman" w:hAnsi="Times New Roman" w:cs="Times New Roman"/>
            <w:sz w:val="24"/>
            <w:szCs w:val="24"/>
          </w:rPr>
          <w:t>https://www.psa.gov.in/</w:t>
        </w:r>
      </w:hyperlink>
      <w:r>
        <w:rPr>
          <w:rFonts w:ascii="Times New Roman" w:hAnsi="Times New Roman" w:cs="Times New Roman"/>
          <w:sz w:val="24"/>
          <w:szCs w:val="24"/>
        </w:rPr>
        <w:t xml:space="preserve"> </w:t>
      </w:r>
    </w:p>
    <w:p w:rsidR="002A01B6" w:rsidRDefault="00F55C98" w:rsidP="00F55C98">
      <w:pPr>
        <w:pBdr>
          <w:bottom w:val="double" w:sz="6"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PRS INDIA, </w:t>
      </w:r>
      <w:r w:rsidRPr="00F55C98">
        <w:rPr>
          <w:rFonts w:ascii="Times New Roman" w:hAnsi="Times New Roman" w:cs="Times New Roman"/>
          <w:sz w:val="24"/>
          <w:szCs w:val="24"/>
        </w:rPr>
        <w:t>UNION</w:t>
      </w:r>
      <w:r>
        <w:rPr>
          <w:rFonts w:ascii="Times New Roman" w:hAnsi="Times New Roman" w:cs="Times New Roman"/>
          <w:sz w:val="24"/>
          <w:szCs w:val="24"/>
        </w:rPr>
        <w:t xml:space="preserve"> </w:t>
      </w:r>
      <w:r w:rsidRPr="00F55C98">
        <w:rPr>
          <w:rFonts w:ascii="Times New Roman" w:hAnsi="Times New Roman" w:cs="Times New Roman"/>
          <w:sz w:val="24"/>
          <w:szCs w:val="24"/>
        </w:rPr>
        <w:t>BUDGET</w:t>
      </w:r>
      <w:r>
        <w:rPr>
          <w:rFonts w:ascii="Times New Roman" w:hAnsi="Times New Roman" w:cs="Times New Roman"/>
          <w:sz w:val="24"/>
          <w:szCs w:val="24"/>
        </w:rPr>
        <w:t xml:space="preserve"> </w:t>
      </w:r>
      <w:r w:rsidRPr="00F55C98">
        <w:rPr>
          <w:rFonts w:ascii="Times New Roman" w:hAnsi="Times New Roman" w:cs="Times New Roman"/>
          <w:sz w:val="24"/>
          <w:szCs w:val="24"/>
        </w:rPr>
        <w:t>2022-23</w:t>
      </w:r>
      <w:r>
        <w:rPr>
          <w:rFonts w:ascii="Times New Roman" w:hAnsi="Times New Roman" w:cs="Times New Roman"/>
          <w:sz w:val="24"/>
          <w:szCs w:val="24"/>
        </w:rPr>
        <w:t xml:space="preserve"> </w:t>
      </w:r>
      <w:r w:rsidRPr="00F55C98">
        <w:rPr>
          <w:rFonts w:ascii="Times New Roman" w:hAnsi="Times New Roman" w:cs="Times New Roman"/>
          <w:sz w:val="24"/>
          <w:szCs w:val="24"/>
        </w:rPr>
        <w:t xml:space="preserve">Analysis of </w:t>
      </w:r>
      <w:proofErr w:type="spellStart"/>
      <w:r w:rsidRPr="00F55C98">
        <w:rPr>
          <w:rFonts w:ascii="Times New Roman" w:hAnsi="Times New Roman" w:cs="Times New Roman"/>
          <w:sz w:val="24"/>
          <w:szCs w:val="24"/>
        </w:rPr>
        <w:t>Expenditureby</w:t>
      </w:r>
      <w:proofErr w:type="spellEnd"/>
      <w:r w:rsidRPr="00F55C98">
        <w:rPr>
          <w:rFonts w:ascii="Times New Roman" w:hAnsi="Times New Roman" w:cs="Times New Roman"/>
          <w:sz w:val="24"/>
          <w:szCs w:val="24"/>
        </w:rPr>
        <w:t xml:space="preserve"> Ministries</w:t>
      </w:r>
      <w:r>
        <w:rPr>
          <w:rFonts w:ascii="Times New Roman" w:hAnsi="Times New Roman" w:cs="Times New Roman"/>
          <w:sz w:val="24"/>
          <w:szCs w:val="24"/>
        </w:rPr>
        <w:t xml:space="preserve">. </w:t>
      </w:r>
      <w:hyperlink r:id="rId16" w:history="1">
        <w:r w:rsidRPr="00007F7B">
          <w:rPr>
            <w:rStyle w:val="Hyperlink"/>
            <w:rFonts w:ascii="Times New Roman" w:hAnsi="Times New Roman" w:cs="Times New Roman"/>
            <w:sz w:val="24"/>
            <w:szCs w:val="24"/>
          </w:rPr>
          <w:t>https://prsindia.org/files/budget/budget_parliament/2022/Union%20Budget%202022-23%20Analysis%20of%20Major%20Demands.pdf</w:t>
        </w:r>
      </w:hyperlink>
      <w:r>
        <w:rPr>
          <w:rFonts w:ascii="Times New Roman" w:hAnsi="Times New Roman" w:cs="Times New Roman"/>
          <w:sz w:val="24"/>
          <w:szCs w:val="24"/>
        </w:rPr>
        <w:t xml:space="preserve"> </w:t>
      </w:r>
    </w:p>
    <w:p w:rsidR="00F55C98" w:rsidRPr="00A70CCB" w:rsidRDefault="00F55C98" w:rsidP="00F55C98">
      <w:pPr>
        <w:pBdr>
          <w:bottom w:val="double" w:sz="6" w:space="1" w:color="auto"/>
        </w:pBdr>
        <w:spacing w:line="360" w:lineRule="auto"/>
        <w:jc w:val="both"/>
        <w:rPr>
          <w:rFonts w:ascii="Times New Roman" w:hAnsi="Times New Roman" w:cs="Times New Roman"/>
          <w:sz w:val="24"/>
          <w:szCs w:val="24"/>
        </w:rPr>
      </w:pPr>
      <w:proofErr w:type="spellStart"/>
      <w:r w:rsidRPr="00F55C98">
        <w:rPr>
          <w:rFonts w:ascii="Times New Roman" w:hAnsi="Times New Roman" w:cs="Times New Roman"/>
          <w:sz w:val="24"/>
          <w:szCs w:val="24"/>
        </w:rPr>
        <w:t>Bano</w:t>
      </w:r>
      <w:proofErr w:type="spellEnd"/>
      <w:r w:rsidRPr="00F55C98">
        <w:rPr>
          <w:rFonts w:ascii="Times New Roman" w:hAnsi="Times New Roman" w:cs="Times New Roman"/>
          <w:sz w:val="24"/>
          <w:szCs w:val="24"/>
        </w:rPr>
        <w:t xml:space="preserve">, W., &amp; </w:t>
      </w:r>
      <w:proofErr w:type="spellStart"/>
      <w:r w:rsidRPr="00F55C98">
        <w:rPr>
          <w:rFonts w:ascii="Times New Roman" w:hAnsi="Times New Roman" w:cs="Times New Roman"/>
          <w:sz w:val="24"/>
          <w:szCs w:val="24"/>
        </w:rPr>
        <w:t>Byrappa</w:t>
      </w:r>
      <w:proofErr w:type="spellEnd"/>
      <w:r w:rsidRPr="00F55C98">
        <w:rPr>
          <w:rFonts w:ascii="Times New Roman" w:hAnsi="Times New Roman" w:cs="Times New Roman"/>
          <w:sz w:val="24"/>
          <w:szCs w:val="24"/>
        </w:rPr>
        <w:t xml:space="preserve">, K. (2023). Writing Research Grants Proposals: From an Indian Perspective. In </w:t>
      </w:r>
      <w:proofErr w:type="gramStart"/>
      <w:r w:rsidRPr="00F55C98">
        <w:rPr>
          <w:rFonts w:ascii="Times New Roman" w:hAnsi="Times New Roman" w:cs="Times New Roman"/>
          <w:sz w:val="24"/>
          <w:szCs w:val="24"/>
        </w:rPr>
        <w:t>The</w:t>
      </w:r>
      <w:proofErr w:type="gramEnd"/>
      <w:r w:rsidRPr="00F55C98">
        <w:rPr>
          <w:rFonts w:ascii="Times New Roman" w:hAnsi="Times New Roman" w:cs="Times New Roman"/>
          <w:sz w:val="24"/>
          <w:szCs w:val="24"/>
        </w:rPr>
        <w:t xml:space="preserve"> Quintessence of Basic and Clinical Research and Scientific Publishing (pp. 821-836). Singapore: Springer Nature Singapore.</w:t>
      </w:r>
    </w:p>
    <w:sectPr w:rsidR="00F55C98" w:rsidRPr="00A70CCB" w:rsidSect="00542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E5AF4"/>
    <w:multiLevelType w:val="hybridMultilevel"/>
    <w:tmpl w:val="0AE8E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E2D07"/>
    <w:multiLevelType w:val="hybridMultilevel"/>
    <w:tmpl w:val="0AE8E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096E"/>
    <w:rsid w:val="0005693C"/>
    <w:rsid w:val="00112FE0"/>
    <w:rsid w:val="00246499"/>
    <w:rsid w:val="002A01B6"/>
    <w:rsid w:val="002C707E"/>
    <w:rsid w:val="0039310E"/>
    <w:rsid w:val="003D17C5"/>
    <w:rsid w:val="00435056"/>
    <w:rsid w:val="00542EF6"/>
    <w:rsid w:val="00674518"/>
    <w:rsid w:val="00771B6C"/>
    <w:rsid w:val="0084255B"/>
    <w:rsid w:val="00886965"/>
    <w:rsid w:val="00895BBB"/>
    <w:rsid w:val="008B4DE8"/>
    <w:rsid w:val="009008A6"/>
    <w:rsid w:val="009A27EA"/>
    <w:rsid w:val="009B485A"/>
    <w:rsid w:val="00A208EF"/>
    <w:rsid w:val="00A42162"/>
    <w:rsid w:val="00AA06B0"/>
    <w:rsid w:val="00BB4845"/>
    <w:rsid w:val="00C90CE1"/>
    <w:rsid w:val="00D66B7A"/>
    <w:rsid w:val="00DB1986"/>
    <w:rsid w:val="00DC114B"/>
    <w:rsid w:val="00E5096E"/>
    <w:rsid w:val="00E70AEF"/>
    <w:rsid w:val="00E770AD"/>
    <w:rsid w:val="00EB495E"/>
    <w:rsid w:val="00EF30D2"/>
    <w:rsid w:val="00F47B73"/>
    <w:rsid w:val="00F55C98"/>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16D9"/>
  <w15:docId w15:val="{68E4769E-17FF-4427-8178-9AB6960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EF6"/>
  </w:style>
  <w:style w:type="paragraph" w:styleId="Heading1">
    <w:name w:val="heading 1"/>
    <w:basedOn w:val="Normal"/>
    <w:next w:val="Normal"/>
    <w:link w:val="Heading1Char"/>
    <w:uiPriority w:val="9"/>
    <w:qFormat/>
    <w:rsid w:val="002C707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5">
    <w:name w:val="heading 5"/>
    <w:basedOn w:val="Normal"/>
    <w:link w:val="Heading5Char"/>
    <w:uiPriority w:val="9"/>
    <w:qFormat/>
    <w:rsid w:val="0039310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9310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09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39310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9310E"/>
    <w:rPr>
      <w:rFonts w:ascii="Times New Roman" w:eastAsia="Times New Roman" w:hAnsi="Times New Roman" w:cs="Times New Roman"/>
      <w:b/>
      <w:bCs/>
      <w:sz w:val="15"/>
      <w:szCs w:val="15"/>
    </w:rPr>
  </w:style>
  <w:style w:type="paragraph" w:styleId="z-TopofForm">
    <w:name w:val="HTML Top of Form"/>
    <w:basedOn w:val="Normal"/>
    <w:next w:val="Normal"/>
    <w:link w:val="z-TopofFormChar"/>
    <w:hidden/>
    <w:uiPriority w:val="99"/>
    <w:semiHidden/>
    <w:unhideWhenUsed/>
    <w:rsid w:val="003931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9310E"/>
    <w:rPr>
      <w:rFonts w:ascii="Arial" w:eastAsia="Times New Roman" w:hAnsi="Arial" w:cs="Arial"/>
      <w:vanish/>
      <w:sz w:val="16"/>
      <w:szCs w:val="16"/>
    </w:rPr>
  </w:style>
  <w:style w:type="paragraph" w:customStyle="1" w:styleId="placeholder">
    <w:name w:val="placeholder"/>
    <w:basedOn w:val="Normal"/>
    <w:rsid w:val="0039310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9310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9310E"/>
    <w:rPr>
      <w:rFonts w:ascii="Arial" w:eastAsia="Times New Roman" w:hAnsi="Arial" w:cs="Arial"/>
      <w:vanish/>
      <w:sz w:val="16"/>
      <w:szCs w:val="16"/>
    </w:rPr>
  </w:style>
  <w:style w:type="paragraph" w:styleId="NoSpacing">
    <w:name w:val="No Spacing"/>
    <w:uiPriority w:val="1"/>
    <w:qFormat/>
    <w:rsid w:val="0039310E"/>
    <w:pPr>
      <w:spacing w:after="0" w:line="240" w:lineRule="auto"/>
    </w:pPr>
  </w:style>
  <w:style w:type="paragraph" w:styleId="BalloonText">
    <w:name w:val="Balloon Text"/>
    <w:basedOn w:val="Normal"/>
    <w:link w:val="BalloonTextChar"/>
    <w:uiPriority w:val="99"/>
    <w:semiHidden/>
    <w:unhideWhenUsed/>
    <w:rsid w:val="00EF3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0D2"/>
    <w:rPr>
      <w:rFonts w:ascii="Tahoma" w:hAnsi="Tahoma" w:cs="Tahoma"/>
      <w:sz w:val="16"/>
      <w:szCs w:val="16"/>
    </w:rPr>
  </w:style>
  <w:style w:type="paragraph" w:customStyle="1" w:styleId="Default">
    <w:name w:val="Default"/>
    <w:rsid w:val="00E770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Grid2"/>
    <w:uiPriority w:val="59"/>
    <w:rsid w:val="00E770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770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8B4DE8"/>
    <w:pPr>
      <w:ind w:left="720"/>
      <w:contextualSpacing/>
    </w:pPr>
  </w:style>
  <w:style w:type="character" w:styleId="Hyperlink">
    <w:name w:val="Hyperlink"/>
    <w:basedOn w:val="DefaultParagraphFont"/>
    <w:uiPriority w:val="99"/>
    <w:unhideWhenUsed/>
    <w:rsid w:val="00AA06B0"/>
    <w:rPr>
      <w:color w:val="0000FF" w:themeColor="hyperlink"/>
      <w:u w:val="single"/>
    </w:rPr>
  </w:style>
  <w:style w:type="character" w:customStyle="1" w:styleId="Heading1Char">
    <w:name w:val="Heading 1 Char"/>
    <w:basedOn w:val="DefaultParagraphFont"/>
    <w:link w:val="Heading1"/>
    <w:uiPriority w:val="9"/>
    <w:rsid w:val="002C707E"/>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2C707E"/>
  </w:style>
  <w:style w:type="character" w:styleId="UnresolvedMention">
    <w:name w:val="Unresolved Mention"/>
    <w:basedOn w:val="DefaultParagraphFont"/>
    <w:uiPriority w:val="99"/>
    <w:semiHidden/>
    <w:unhideWhenUsed/>
    <w:rsid w:val="00D66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94271">
      <w:bodyDiv w:val="1"/>
      <w:marLeft w:val="0"/>
      <w:marRight w:val="0"/>
      <w:marTop w:val="0"/>
      <w:marBottom w:val="0"/>
      <w:divBdr>
        <w:top w:val="none" w:sz="0" w:space="0" w:color="auto"/>
        <w:left w:val="none" w:sz="0" w:space="0" w:color="auto"/>
        <w:bottom w:val="none" w:sz="0" w:space="0" w:color="auto"/>
        <w:right w:val="none" w:sz="0" w:space="0" w:color="auto"/>
      </w:divBdr>
    </w:div>
    <w:div w:id="512843358">
      <w:bodyDiv w:val="1"/>
      <w:marLeft w:val="0"/>
      <w:marRight w:val="0"/>
      <w:marTop w:val="0"/>
      <w:marBottom w:val="0"/>
      <w:divBdr>
        <w:top w:val="none" w:sz="0" w:space="0" w:color="auto"/>
        <w:left w:val="none" w:sz="0" w:space="0" w:color="auto"/>
        <w:bottom w:val="none" w:sz="0" w:space="0" w:color="auto"/>
        <w:right w:val="none" w:sz="0" w:space="0" w:color="auto"/>
      </w:divBdr>
    </w:div>
    <w:div w:id="650988126">
      <w:bodyDiv w:val="1"/>
      <w:marLeft w:val="0"/>
      <w:marRight w:val="0"/>
      <w:marTop w:val="0"/>
      <w:marBottom w:val="0"/>
      <w:divBdr>
        <w:top w:val="none" w:sz="0" w:space="0" w:color="auto"/>
        <w:left w:val="none" w:sz="0" w:space="0" w:color="auto"/>
        <w:bottom w:val="none" w:sz="0" w:space="0" w:color="auto"/>
        <w:right w:val="none" w:sz="0" w:space="0" w:color="auto"/>
      </w:divBdr>
    </w:div>
    <w:div w:id="768737687">
      <w:bodyDiv w:val="1"/>
      <w:marLeft w:val="0"/>
      <w:marRight w:val="0"/>
      <w:marTop w:val="0"/>
      <w:marBottom w:val="0"/>
      <w:divBdr>
        <w:top w:val="none" w:sz="0" w:space="0" w:color="auto"/>
        <w:left w:val="none" w:sz="0" w:space="0" w:color="auto"/>
        <w:bottom w:val="none" w:sz="0" w:space="0" w:color="auto"/>
        <w:right w:val="none" w:sz="0" w:space="0" w:color="auto"/>
      </w:divBdr>
    </w:div>
    <w:div w:id="1016691459">
      <w:bodyDiv w:val="1"/>
      <w:marLeft w:val="0"/>
      <w:marRight w:val="0"/>
      <w:marTop w:val="0"/>
      <w:marBottom w:val="0"/>
      <w:divBdr>
        <w:top w:val="none" w:sz="0" w:space="0" w:color="auto"/>
        <w:left w:val="none" w:sz="0" w:space="0" w:color="auto"/>
        <w:bottom w:val="none" w:sz="0" w:space="0" w:color="auto"/>
        <w:right w:val="none" w:sz="0" w:space="0" w:color="auto"/>
      </w:divBdr>
      <w:divsChild>
        <w:div w:id="1804763013">
          <w:marLeft w:val="0"/>
          <w:marRight w:val="0"/>
          <w:marTop w:val="0"/>
          <w:marBottom w:val="0"/>
          <w:divBdr>
            <w:top w:val="none" w:sz="0" w:space="0" w:color="auto"/>
            <w:left w:val="none" w:sz="0" w:space="0" w:color="auto"/>
            <w:bottom w:val="none" w:sz="0" w:space="0" w:color="auto"/>
            <w:right w:val="none" w:sz="0" w:space="0" w:color="auto"/>
          </w:divBdr>
          <w:divsChild>
            <w:div w:id="6451090">
              <w:marLeft w:val="0"/>
              <w:marRight w:val="0"/>
              <w:marTop w:val="0"/>
              <w:marBottom w:val="0"/>
              <w:divBdr>
                <w:top w:val="none" w:sz="0" w:space="0" w:color="auto"/>
                <w:left w:val="none" w:sz="0" w:space="0" w:color="auto"/>
                <w:bottom w:val="none" w:sz="0" w:space="0" w:color="auto"/>
                <w:right w:val="none" w:sz="0" w:space="0" w:color="auto"/>
              </w:divBdr>
              <w:divsChild>
                <w:div w:id="1499733925">
                  <w:marLeft w:val="0"/>
                  <w:marRight w:val="0"/>
                  <w:marTop w:val="0"/>
                  <w:marBottom w:val="0"/>
                  <w:divBdr>
                    <w:top w:val="none" w:sz="0" w:space="0" w:color="auto"/>
                    <w:left w:val="none" w:sz="0" w:space="0" w:color="auto"/>
                    <w:bottom w:val="none" w:sz="0" w:space="0" w:color="auto"/>
                    <w:right w:val="none" w:sz="0" w:space="0" w:color="auto"/>
                  </w:divBdr>
                  <w:divsChild>
                    <w:div w:id="531574329">
                      <w:marLeft w:val="0"/>
                      <w:marRight w:val="0"/>
                      <w:marTop w:val="0"/>
                      <w:marBottom w:val="0"/>
                      <w:divBdr>
                        <w:top w:val="none" w:sz="0" w:space="0" w:color="auto"/>
                        <w:left w:val="none" w:sz="0" w:space="0" w:color="auto"/>
                        <w:bottom w:val="none" w:sz="0" w:space="0" w:color="auto"/>
                        <w:right w:val="none" w:sz="0" w:space="0" w:color="auto"/>
                      </w:divBdr>
                      <w:divsChild>
                        <w:div w:id="278294994">
                          <w:marLeft w:val="0"/>
                          <w:marRight w:val="0"/>
                          <w:marTop w:val="0"/>
                          <w:marBottom w:val="0"/>
                          <w:divBdr>
                            <w:top w:val="none" w:sz="0" w:space="0" w:color="auto"/>
                            <w:left w:val="none" w:sz="0" w:space="0" w:color="auto"/>
                            <w:bottom w:val="none" w:sz="0" w:space="0" w:color="auto"/>
                            <w:right w:val="none" w:sz="0" w:space="0" w:color="auto"/>
                          </w:divBdr>
                          <w:divsChild>
                            <w:div w:id="20644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734416">
      <w:bodyDiv w:val="1"/>
      <w:marLeft w:val="0"/>
      <w:marRight w:val="0"/>
      <w:marTop w:val="0"/>
      <w:marBottom w:val="0"/>
      <w:divBdr>
        <w:top w:val="none" w:sz="0" w:space="0" w:color="auto"/>
        <w:left w:val="none" w:sz="0" w:space="0" w:color="auto"/>
        <w:bottom w:val="none" w:sz="0" w:space="0" w:color="auto"/>
        <w:right w:val="none" w:sz="0" w:space="0" w:color="auto"/>
      </w:divBdr>
    </w:div>
    <w:div w:id="1124883552">
      <w:bodyDiv w:val="1"/>
      <w:marLeft w:val="0"/>
      <w:marRight w:val="0"/>
      <w:marTop w:val="0"/>
      <w:marBottom w:val="0"/>
      <w:divBdr>
        <w:top w:val="none" w:sz="0" w:space="0" w:color="auto"/>
        <w:left w:val="none" w:sz="0" w:space="0" w:color="auto"/>
        <w:bottom w:val="none" w:sz="0" w:space="0" w:color="auto"/>
        <w:right w:val="none" w:sz="0" w:space="0" w:color="auto"/>
      </w:divBdr>
      <w:divsChild>
        <w:div w:id="585193412">
          <w:marLeft w:val="0"/>
          <w:marRight w:val="0"/>
          <w:marTop w:val="0"/>
          <w:marBottom w:val="0"/>
          <w:divBdr>
            <w:top w:val="none" w:sz="0" w:space="0" w:color="auto"/>
            <w:left w:val="none" w:sz="0" w:space="0" w:color="auto"/>
            <w:bottom w:val="none" w:sz="0" w:space="0" w:color="auto"/>
            <w:right w:val="none" w:sz="0" w:space="0" w:color="auto"/>
          </w:divBdr>
          <w:divsChild>
            <w:div w:id="625819039">
              <w:marLeft w:val="0"/>
              <w:marRight w:val="0"/>
              <w:marTop w:val="0"/>
              <w:marBottom w:val="0"/>
              <w:divBdr>
                <w:top w:val="none" w:sz="0" w:space="0" w:color="auto"/>
                <w:left w:val="none" w:sz="0" w:space="0" w:color="auto"/>
                <w:bottom w:val="none" w:sz="0" w:space="0" w:color="auto"/>
                <w:right w:val="none" w:sz="0" w:space="0" w:color="auto"/>
              </w:divBdr>
              <w:divsChild>
                <w:div w:id="591200597">
                  <w:marLeft w:val="0"/>
                  <w:marRight w:val="0"/>
                  <w:marTop w:val="0"/>
                  <w:marBottom w:val="0"/>
                  <w:divBdr>
                    <w:top w:val="none" w:sz="0" w:space="0" w:color="auto"/>
                    <w:left w:val="none" w:sz="0" w:space="0" w:color="auto"/>
                    <w:bottom w:val="none" w:sz="0" w:space="0" w:color="auto"/>
                    <w:right w:val="none" w:sz="0" w:space="0" w:color="auto"/>
                  </w:divBdr>
                  <w:divsChild>
                    <w:div w:id="1828009765">
                      <w:marLeft w:val="0"/>
                      <w:marRight w:val="0"/>
                      <w:marTop w:val="0"/>
                      <w:marBottom w:val="0"/>
                      <w:divBdr>
                        <w:top w:val="none" w:sz="0" w:space="0" w:color="auto"/>
                        <w:left w:val="none" w:sz="0" w:space="0" w:color="auto"/>
                        <w:bottom w:val="none" w:sz="0" w:space="0" w:color="auto"/>
                        <w:right w:val="none" w:sz="0" w:space="0" w:color="auto"/>
                      </w:divBdr>
                      <w:divsChild>
                        <w:div w:id="758066409">
                          <w:marLeft w:val="0"/>
                          <w:marRight w:val="0"/>
                          <w:marTop w:val="0"/>
                          <w:marBottom w:val="0"/>
                          <w:divBdr>
                            <w:top w:val="none" w:sz="0" w:space="0" w:color="auto"/>
                            <w:left w:val="none" w:sz="0" w:space="0" w:color="auto"/>
                            <w:bottom w:val="none" w:sz="0" w:space="0" w:color="auto"/>
                            <w:right w:val="none" w:sz="0" w:space="0" w:color="auto"/>
                          </w:divBdr>
                          <w:divsChild>
                            <w:div w:id="1740132289">
                              <w:marLeft w:val="0"/>
                              <w:marRight w:val="0"/>
                              <w:marTop w:val="0"/>
                              <w:marBottom w:val="0"/>
                              <w:divBdr>
                                <w:top w:val="none" w:sz="0" w:space="0" w:color="auto"/>
                                <w:left w:val="none" w:sz="0" w:space="0" w:color="auto"/>
                                <w:bottom w:val="none" w:sz="0" w:space="0" w:color="auto"/>
                                <w:right w:val="none" w:sz="0" w:space="0" w:color="auto"/>
                              </w:divBdr>
                              <w:divsChild>
                                <w:div w:id="415059763">
                                  <w:marLeft w:val="0"/>
                                  <w:marRight w:val="0"/>
                                  <w:marTop w:val="0"/>
                                  <w:marBottom w:val="0"/>
                                  <w:divBdr>
                                    <w:top w:val="none" w:sz="0" w:space="0" w:color="auto"/>
                                    <w:left w:val="none" w:sz="0" w:space="0" w:color="auto"/>
                                    <w:bottom w:val="none" w:sz="0" w:space="0" w:color="auto"/>
                                    <w:right w:val="none" w:sz="0" w:space="0" w:color="auto"/>
                                  </w:divBdr>
                                  <w:divsChild>
                                    <w:div w:id="2107578594">
                                      <w:marLeft w:val="0"/>
                                      <w:marRight w:val="0"/>
                                      <w:marTop w:val="0"/>
                                      <w:marBottom w:val="0"/>
                                      <w:divBdr>
                                        <w:top w:val="none" w:sz="0" w:space="0" w:color="auto"/>
                                        <w:left w:val="none" w:sz="0" w:space="0" w:color="auto"/>
                                        <w:bottom w:val="none" w:sz="0" w:space="0" w:color="auto"/>
                                        <w:right w:val="none" w:sz="0" w:space="0" w:color="auto"/>
                                      </w:divBdr>
                                      <w:divsChild>
                                        <w:div w:id="1808891689">
                                          <w:marLeft w:val="0"/>
                                          <w:marRight w:val="0"/>
                                          <w:marTop w:val="0"/>
                                          <w:marBottom w:val="0"/>
                                          <w:divBdr>
                                            <w:top w:val="none" w:sz="0" w:space="0" w:color="auto"/>
                                            <w:left w:val="none" w:sz="0" w:space="0" w:color="auto"/>
                                            <w:bottom w:val="none" w:sz="0" w:space="0" w:color="auto"/>
                                            <w:right w:val="none" w:sz="0" w:space="0" w:color="auto"/>
                                          </w:divBdr>
                                          <w:divsChild>
                                            <w:div w:id="2924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635365">
                          <w:marLeft w:val="0"/>
                          <w:marRight w:val="0"/>
                          <w:marTop w:val="0"/>
                          <w:marBottom w:val="0"/>
                          <w:divBdr>
                            <w:top w:val="none" w:sz="0" w:space="0" w:color="auto"/>
                            <w:left w:val="none" w:sz="0" w:space="0" w:color="auto"/>
                            <w:bottom w:val="none" w:sz="0" w:space="0" w:color="auto"/>
                            <w:right w:val="none" w:sz="0" w:space="0" w:color="auto"/>
                          </w:divBdr>
                          <w:divsChild>
                            <w:div w:id="258024852">
                              <w:marLeft w:val="0"/>
                              <w:marRight w:val="0"/>
                              <w:marTop w:val="0"/>
                              <w:marBottom w:val="0"/>
                              <w:divBdr>
                                <w:top w:val="none" w:sz="0" w:space="0" w:color="auto"/>
                                <w:left w:val="none" w:sz="0" w:space="0" w:color="auto"/>
                                <w:bottom w:val="none" w:sz="0" w:space="0" w:color="auto"/>
                                <w:right w:val="none" w:sz="0" w:space="0" w:color="auto"/>
                              </w:divBdr>
                              <w:divsChild>
                                <w:div w:id="1725182603">
                                  <w:marLeft w:val="0"/>
                                  <w:marRight w:val="0"/>
                                  <w:marTop w:val="0"/>
                                  <w:marBottom w:val="0"/>
                                  <w:divBdr>
                                    <w:top w:val="none" w:sz="0" w:space="0" w:color="auto"/>
                                    <w:left w:val="none" w:sz="0" w:space="0" w:color="auto"/>
                                    <w:bottom w:val="none" w:sz="0" w:space="0" w:color="auto"/>
                                    <w:right w:val="none" w:sz="0" w:space="0" w:color="auto"/>
                                  </w:divBdr>
                                  <w:divsChild>
                                    <w:div w:id="1464420693">
                                      <w:marLeft w:val="0"/>
                                      <w:marRight w:val="0"/>
                                      <w:marTop w:val="0"/>
                                      <w:marBottom w:val="0"/>
                                      <w:divBdr>
                                        <w:top w:val="none" w:sz="0" w:space="0" w:color="auto"/>
                                        <w:left w:val="none" w:sz="0" w:space="0" w:color="auto"/>
                                        <w:bottom w:val="none" w:sz="0" w:space="0" w:color="auto"/>
                                        <w:right w:val="none" w:sz="0" w:space="0" w:color="auto"/>
                                      </w:divBdr>
                                      <w:divsChild>
                                        <w:div w:id="1288661592">
                                          <w:marLeft w:val="0"/>
                                          <w:marRight w:val="0"/>
                                          <w:marTop w:val="0"/>
                                          <w:marBottom w:val="0"/>
                                          <w:divBdr>
                                            <w:top w:val="none" w:sz="0" w:space="0" w:color="auto"/>
                                            <w:left w:val="none" w:sz="0" w:space="0" w:color="auto"/>
                                            <w:bottom w:val="none" w:sz="0" w:space="0" w:color="auto"/>
                                            <w:right w:val="none" w:sz="0" w:space="0" w:color="auto"/>
                                          </w:divBdr>
                                          <w:divsChild>
                                            <w:div w:id="694117678">
                                              <w:marLeft w:val="0"/>
                                              <w:marRight w:val="0"/>
                                              <w:marTop w:val="0"/>
                                              <w:marBottom w:val="0"/>
                                              <w:divBdr>
                                                <w:top w:val="none" w:sz="0" w:space="0" w:color="auto"/>
                                                <w:left w:val="none" w:sz="0" w:space="0" w:color="auto"/>
                                                <w:bottom w:val="none" w:sz="0" w:space="0" w:color="auto"/>
                                                <w:right w:val="none" w:sz="0" w:space="0" w:color="auto"/>
                                              </w:divBdr>
                                              <w:divsChild>
                                                <w:div w:id="512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393480">
                          <w:marLeft w:val="0"/>
                          <w:marRight w:val="0"/>
                          <w:marTop w:val="0"/>
                          <w:marBottom w:val="0"/>
                          <w:divBdr>
                            <w:top w:val="none" w:sz="0" w:space="0" w:color="auto"/>
                            <w:left w:val="none" w:sz="0" w:space="0" w:color="auto"/>
                            <w:bottom w:val="none" w:sz="0" w:space="0" w:color="auto"/>
                            <w:right w:val="none" w:sz="0" w:space="0" w:color="auto"/>
                          </w:divBdr>
                          <w:divsChild>
                            <w:div w:id="860167112">
                              <w:marLeft w:val="0"/>
                              <w:marRight w:val="0"/>
                              <w:marTop w:val="0"/>
                              <w:marBottom w:val="0"/>
                              <w:divBdr>
                                <w:top w:val="none" w:sz="0" w:space="0" w:color="auto"/>
                                <w:left w:val="none" w:sz="0" w:space="0" w:color="auto"/>
                                <w:bottom w:val="none" w:sz="0" w:space="0" w:color="auto"/>
                                <w:right w:val="none" w:sz="0" w:space="0" w:color="auto"/>
                              </w:divBdr>
                              <w:divsChild>
                                <w:div w:id="1698921765">
                                  <w:marLeft w:val="0"/>
                                  <w:marRight w:val="0"/>
                                  <w:marTop w:val="0"/>
                                  <w:marBottom w:val="0"/>
                                  <w:divBdr>
                                    <w:top w:val="none" w:sz="0" w:space="0" w:color="auto"/>
                                    <w:left w:val="none" w:sz="0" w:space="0" w:color="auto"/>
                                    <w:bottom w:val="none" w:sz="0" w:space="0" w:color="auto"/>
                                    <w:right w:val="none" w:sz="0" w:space="0" w:color="auto"/>
                                  </w:divBdr>
                                  <w:divsChild>
                                    <w:div w:id="477108528">
                                      <w:marLeft w:val="0"/>
                                      <w:marRight w:val="0"/>
                                      <w:marTop w:val="0"/>
                                      <w:marBottom w:val="0"/>
                                      <w:divBdr>
                                        <w:top w:val="none" w:sz="0" w:space="0" w:color="auto"/>
                                        <w:left w:val="none" w:sz="0" w:space="0" w:color="auto"/>
                                        <w:bottom w:val="none" w:sz="0" w:space="0" w:color="auto"/>
                                        <w:right w:val="none" w:sz="0" w:space="0" w:color="auto"/>
                                      </w:divBdr>
                                      <w:divsChild>
                                        <w:div w:id="335691474">
                                          <w:marLeft w:val="0"/>
                                          <w:marRight w:val="0"/>
                                          <w:marTop w:val="0"/>
                                          <w:marBottom w:val="0"/>
                                          <w:divBdr>
                                            <w:top w:val="none" w:sz="0" w:space="0" w:color="auto"/>
                                            <w:left w:val="none" w:sz="0" w:space="0" w:color="auto"/>
                                            <w:bottom w:val="none" w:sz="0" w:space="0" w:color="auto"/>
                                            <w:right w:val="none" w:sz="0" w:space="0" w:color="auto"/>
                                          </w:divBdr>
                                          <w:divsChild>
                                            <w:div w:id="1209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5716635">
          <w:marLeft w:val="0"/>
          <w:marRight w:val="0"/>
          <w:marTop w:val="0"/>
          <w:marBottom w:val="0"/>
          <w:divBdr>
            <w:top w:val="none" w:sz="0" w:space="0" w:color="auto"/>
            <w:left w:val="none" w:sz="0" w:space="0" w:color="auto"/>
            <w:bottom w:val="none" w:sz="0" w:space="0" w:color="auto"/>
            <w:right w:val="none" w:sz="0" w:space="0" w:color="auto"/>
          </w:divBdr>
          <w:divsChild>
            <w:div w:id="924655175">
              <w:marLeft w:val="0"/>
              <w:marRight w:val="0"/>
              <w:marTop w:val="0"/>
              <w:marBottom w:val="0"/>
              <w:divBdr>
                <w:top w:val="none" w:sz="0" w:space="0" w:color="auto"/>
                <w:left w:val="none" w:sz="0" w:space="0" w:color="auto"/>
                <w:bottom w:val="none" w:sz="0" w:space="0" w:color="auto"/>
                <w:right w:val="none" w:sz="0" w:space="0" w:color="auto"/>
              </w:divBdr>
              <w:divsChild>
                <w:div w:id="1564560584">
                  <w:marLeft w:val="0"/>
                  <w:marRight w:val="0"/>
                  <w:marTop w:val="0"/>
                  <w:marBottom w:val="0"/>
                  <w:divBdr>
                    <w:top w:val="none" w:sz="0" w:space="0" w:color="auto"/>
                    <w:left w:val="none" w:sz="0" w:space="0" w:color="auto"/>
                    <w:bottom w:val="none" w:sz="0" w:space="0" w:color="auto"/>
                    <w:right w:val="none" w:sz="0" w:space="0" w:color="auto"/>
                  </w:divBdr>
                  <w:divsChild>
                    <w:div w:id="501815470">
                      <w:marLeft w:val="0"/>
                      <w:marRight w:val="0"/>
                      <w:marTop w:val="0"/>
                      <w:marBottom w:val="0"/>
                      <w:divBdr>
                        <w:top w:val="none" w:sz="0" w:space="0" w:color="auto"/>
                        <w:left w:val="none" w:sz="0" w:space="0" w:color="auto"/>
                        <w:bottom w:val="none" w:sz="0" w:space="0" w:color="auto"/>
                        <w:right w:val="none" w:sz="0" w:space="0" w:color="auto"/>
                      </w:divBdr>
                      <w:divsChild>
                        <w:div w:id="1593858038">
                          <w:marLeft w:val="0"/>
                          <w:marRight w:val="0"/>
                          <w:marTop w:val="0"/>
                          <w:marBottom w:val="0"/>
                          <w:divBdr>
                            <w:top w:val="none" w:sz="0" w:space="0" w:color="auto"/>
                            <w:left w:val="none" w:sz="0" w:space="0" w:color="auto"/>
                            <w:bottom w:val="none" w:sz="0" w:space="0" w:color="auto"/>
                            <w:right w:val="none" w:sz="0" w:space="0" w:color="auto"/>
                          </w:divBdr>
                          <w:divsChild>
                            <w:div w:id="286353331">
                              <w:marLeft w:val="0"/>
                              <w:marRight w:val="0"/>
                              <w:marTop w:val="0"/>
                              <w:marBottom w:val="0"/>
                              <w:divBdr>
                                <w:top w:val="none" w:sz="0" w:space="0" w:color="auto"/>
                                <w:left w:val="none" w:sz="0" w:space="0" w:color="auto"/>
                                <w:bottom w:val="none" w:sz="0" w:space="0" w:color="auto"/>
                                <w:right w:val="none" w:sz="0" w:space="0" w:color="auto"/>
                              </w:divBdr>
                              <w:divsChild>
                                <w:div w:id="939487737">
                                  <w:marLeft w:val="0"/>
                                  <w:marRight w:val="0"/>
                                  <w:marTop w:val="0"/>
                                  <w:marBottom w:val="0"/>
                                  <w:divBdr>
                                    <w:top w:val="none" w:sz="0" w:space="0" w:color="auto"/>
                                    <w:left w:val="none" w:sz="0" w:space="0" w:color="auto"/>
                                    <w:bottom w:val="none" w:sz="0" w:space="0" w:color="auto"/>
                                    <w:right w:val="none" w:sz="0" w:space="0" w:color="auto"/>
                                  </w:divBdr>
                                  <w:divsChild>
                                    <w:div w:id="985010739">
                                      <w:marLeft w:val="0"/>
                                      <w:marRight w:val="0"/>
                                      <w:marTop w:val="0"/>
                                      <w:marBottom w:val="0"/>
                                      <w:divBdr>
                                        <w:top w:val="none" w:sz="0" w:space="0" w:color="auto"/>
                                        <w:left w:val="none" w:sz="0" w:space="0" w:color="auto"/>
                                        <w:bottom w:val="none" w:sz="0" w:space="0" w:color="auto"/>
                                        <w:right w:val="none" w:sz="0" w:space="0" w:color="auto"/>
                                      </w:divBdr>
                                      <w:divsChild>
                                        <w:div w:id="636492006">
                                          <w:marLeft w:val="0"/>
                                          <w:marRight w:val="0"/>
                                          <w:marTop w:val="0"/>
                                          <w:marBottom w:val="0"/>
                                          <w:divBdr>
                                            <w:top w:val="none" w:sz="0" w:space="0" w:color="auto"/>
                                            <w:left w:val="none" w:sz="0" w:space="0" w:color="auto"/>
                                            <w:bottom w:val="none" w:sz="0" w:space="0" w:color="auto"/>
                                            <w:right w:val="none" w:sz="0" w:space="0" w:color="auto"/>
                                          </w:divBdr>
                                          <w:divsChild>
                                            <w:div w:id="1939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02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stats.oecd.org/Index.aspx?DataSetCode=MSTI_PU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sindia.org/files/budget/budget_parliament/2022/Union%20Budget%202022-23%20Analysis%20of%20Major%20Demands.pdf"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yperlink" Target="https://www.psa.gov.in/" TargetMode="Externa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F:\G%20Drive\dalit\2021%20papers\2022-23\new%20work%20with%20sir\articles%202023\tab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G%20Drive\dalit\2021%20papers\2022-23\new%20work%20with%20sir\articles%202023\tab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G%20Drive\dalit\2021%20papers\2022-23\new%20work%20with%20sir\articles%202023\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GERD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Sheet3!$A$2:$A$16</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Sheet3!$B$2:$B$16</c:f>
              <c:numCache>
                <c:formatCode>General</c:formatCode>
                <c:ptCount val="15"/>
                <c:pt idx="0">
                  <c:v>0.74000000000000077</c:v>
                </c:pt>
                <c:pt idx="1">
                  <c:v>0.81</c:v>
                </c:pt>
                <c:pt idx="2">
                  <c:v>0.8</c:v>
                </c:pt>
                <c:pt idx="3">
                  <c:v>0.79</c:v>
                </c:pt>
                <c:pt idx="4">
                  <c:v>0.84000000000000064</c:v>
                </c:pt>
                <c:pt idx="5">
                  <c:v>0.82000000000000062</c:v>
                </c:pt>
                <c:pt idx="6">
                  <c:v>0.77000000000000046</c:v>
                </c:pt>
                <c:pt idx="7">
                  <c:v>0.7600000000000009</c:v>
                </c:pt>
                <c:pt idx="8">
                  <c:v>0.74000000000000077</c:v>
                </c:pt>
                <c:pt idx="9">
                  <c:v>0.71000000000000063</c:v>
                </c:pt>
                <c:pt idx="10">
                  <c:v>0.71000000000000063</c:v>
                </c:pt>
                <c:pt idx="11">
                  <c:v>0.69000000000000072</c:v>
                </c:pt>
                <c:pt idx="12">
                  <c:v>0.67000000000000104</c:v>
                </c:pt>
                <c:pt idx="13">
                  <c:v>0.67000000000000104</c:v>
                </c:pt>
                <c:pt idx="14">
                  <c:v>0.65000000000000102</c:v>
                </c:pt>
              </c:numCache>
            </c:numRef>
          </c:val>
          <c:extLst>
            <c:ext xmlns:c16="http://schemas.microsoft.com/office/drawing/2014/chart" uri="{C3380CC4-5D6E-409C-BE32-E72D297353CC}">
              <c16:uniqueId val="{00000000-63CD-469E-B9C9-A35E0D8B0935}"/>
            </c:ext>
          </c:extLst>
        </c:ser>
        <c:dLbls>
          <c:showLegendKey val="0"/>
          <c:showVal val="1"/>
          <c:showCatName val="0"/>
          <c:showSerName val="0"/>
          <c:showPercent val="0"/>
          <c:showBubbleSize val="0"/>
        </c:dLbls>
        <c:gapWidth val="75"/>
        <c:axId val="98085504"/>
        <c:axId val="99205504"/>
      </c:barChart>
      <c:catAx>
        <c:axId val="98085504"/>
        <c:scaling>
          <c:orientation val="minMax"/>
        </c:scaling>
        <c:delete val="0"/>
        <c:axPos val="b"/>
        <c:numFmt formatCode="General" sourceLinked="0"/>
        <c:majorTickMark val="none"/>
        <c:minorTickMark val="none"/>
        <c:tickLblPos val="nextTo"/>
        <c:crossAx val="99205504"/>
        <c:crosses val="autoZero"/>
        <c:auto val="1"/>
        <c:lblAlgn val="ctr"/>
        <c:lblOffset val="100"/>
        <c:noMultiLvlLbl val="0"/>
      </c:catAx>
      <c:valAx>
        <c:axId val="99205504"/>
        <c:scaling>
          <c:orientation val="minMax"/>
        </c:scaling>
        <c:delete val="0"/>
        <c:axPos val="l"/>
        <c:majorGridlines/>
        <c:numFmt formatCode="General" sourceLinked="1"/>
        <c:majorTickMark val="none"/>
        <c:minorTickMark val="none"/>
        <c:tickLblPos val="nextTo"/>
        <c:crossAx val="980855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488407699037621E-2"/>
          <c:y val="5.1400554097404488E-2"/>
          <c:w val="0.53280526218017665"/>
          <c:h val="0.69972987751531335"/>
        </c:manualLayout>
      </c:layout>
      <c:lineChart>
        <c:grouping val="standard"/>
        <c:varyColors val="0"/>
        <c:ser>
          <c:idx val="0"/>
          <c:order val="0"/>
          <c:tx>
            <c:strRef>
              <c:f>Sheet12!$B$1</c:f>
              <c:strCache>
                <c:ptCount val="1"/>
                <c:pt idx="0">
                  <c:v>% share of Public Investment in total R&amp;D</c:v>
                </c:pt>
              </c:strCache>
            </c:strRef>
          </c:tx>
          <c:cat>
            <c:strRef>
              <c:f>Sheet12!$A$2:$A$16</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Sheet12!$B$2:$B$16</c:f>
              <c:numCache>
                <c:formatCode>General</c:formatCode>
                <c:ptCount val="15"/>
                <c:pt idx="0">
                  <c:v>75</c:v>
                </c:pt>
                <c:pt idx="1">
                  <c:v>71.7</c:v>
                </c:pt>
                <c:pt idx="2">
                  <c:v>69.400000000000006</c:v>
                </c:pt>
                <c:pt idx="3">
                  <c:v>67.2</c:v>
                </c:pt>
                <c:pt idx="4">
                  <c:v>69.7</c:v>
                </c:pt>
                <c:pt idx="5">
                  <c:v>71.099999999999994</c:v>
                </c:pt>
                <c:pt idx="6">
                  <c:v>67.900000000000006</c:v>
                </c:pt>
                <c:pt idx="7">
                  <c:v>64.7</c:v>
                </c:pt>
                <c:pt idx="8">
                  <c:v>63.4</c:v>
                </c:pt>
                <c:pt idx="9">
                  <c:v>61.5</c:v>
                </c:pt>
                <c:pt idx="10">
                  <c:v>62.8</c:v>
                </c:pt>
                <c:pt idx="11">
                  <c:v>62.8</c:v>
                </c:pt>
                <c:pt idx="12">
                  <c:v>62.1</c:v>
                </c:pt>
                <c:pt idx="13">
                  <c:v>63.2</c:v>
                </c:pt>
                <c:pt idx="14">
                  <c:v>63.2</c:v>
                </c:pt>
              </c:numCache>
            </c:numRef>
          </c:val>
          <c:smooth val="0"/>
          <c:extLst>
            <c:ext xmlns:c16="http://schemas.microsoft.com/office/drawing/2014/chart" uri="{C3380CC4-5D6E-409C-BE32-E72D297353CC}">
              <c16:uniqueId val="{00000000-8AEA-4BC7-A3FD-D80B0733C679}"/>
            </c:ext>
          </c:extLst>
        </c:ser>
        <c:ser>
          <c:idx val="1"/>
          <c:order val="1"/>
          <c:tx>
            <c:strRef>
              <c:f>Sheet12!$C$1</c:f>
              <c:strCache>
                <c:ptCount val="1"/>
                <c:pt idx="0">
                  <c:v>% share of Private Investment in total R&amp;D</c:v>
                </c:pt>
              </c:strCache>
            </c:strRef>
          </c:tx>
          <c:cat>
            <c:strRef>
              <c:f>Sheet12!$A$2:$A$16</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Sheet12!$C$2:$C$16</c:f>
              <c:numCache>
                <c:formatCode>General</c:formatCode>
                <c:ptCount val="15"/>
                <c:pt idx="0">
                  <c:v>25</c:v>
                </c:pt>
                <c:pt idx="1">
                  <c:v>28.3</c:v>
                </c:pt>
                <c:pt idx="2">
                  <c:v>30.6</c:v>
                </c:pt>
                <c:pt idx="3">
                  <c:v>32.800000000000004</c:v>
                </c:pt>
                <c:pt idx="4">
                  <c:v>30.3</c:v>
                </c:pt>
                <c:pt idx="5">
                  <c:v>28.9</c:v>
                </c:pt>
                <c:pt idx="6">
                  <c:v>32.1</c:v>
                </c:pt>
                <c:pt idx="7">
                  <c:v>35.300000000000004</c:v>
                </c:pt>
                <c:pt idx="8">
                  <c:v>36.6</c:v>
                </c:pt>
                <c:pt idx="9">
                  <c:v>38.5</c:v>
                </c:pt>
                <c:pt idx="10">
                  <c:v>37.200000000000003</c:v>
                </c:pt>
                <c:pt idx="11">
                  <c:v>37.700000000000003</c:v>
                </c:pt>
                <c:pt idx="12">
                  <c:v>37.9</c:v>
                </c:pt>
                <c:pt idx="13">
                  <c:v>37.800000000000004</c:v>
                </c:pt>
                <c:pt idx="14">
                  <c:v>36.800000000000004</c:v>
                </c:pt>
              </c:numCache>
            </c:numRef>
          </c:val>
          <c:smooth val="0"/>
          <c:extLst>
            <c:ext xmlns:c16="http://schemas.microsoft.com/office/drawing/2014/chart" uri="{C3380CC4-5D6E-409C-BE32-E72D297353CC}">
              <c16:uniqueId val="{00000001-8AEA-4BC7-A3FD-D80B0733C679}"/>
            </c:ext>
          </c:extLst>
        </c:ser>
        <c:dLbls>
          <c:showLegendKey val="0"/>
          <c:showVal val="0"/>
          <c:showCatName val="0"/>
          <c:showSerName val="0"/>
          <c:showPercent val="0"/>
          <c:showBubbleSize val="0"/>
        </c:dLbls>
        <c:marker val="1"/>
        <c:smooth val="0"/>
        <c:axId val="45069440"/>
        <c:axId val="45070976"/>
      </c:lineChart>
      <c:catAx>
        <c:axId val="45069440"/>
        <c:scaling>
          <c:orientation val="minMax"/>
        </c:scaling>
        <c:delete val="0"/>
        <c:axPos val="b"/>
        <c:numFmt formatCode="General" sourceLinked="0"/>
        <c:majorTickMark val="out"/>
        <c:minorTickMark val="none"/>
        <c:tickLblPos val="nextTo"/>
        <c:crossAx val="45070976"/>
        <c:crosses val="autoZero"/>
        <c:auto val="1"/>
        <c:lblAlgn val="ctr"/>
        <c:lblOffset val="100"/>
        <c:noMultiLvlLbl val="0"/>
      </c:catAx>
      <c:valAx>
        <c:axId val="45070976"/>
        <c:scaling>
          <c:orientation val="minMax"/>
        </c:scaling>
        <c:delete val="0"/>
        <c:axPos val="l"/>
        <c:majorGridlines/>
        <c:numFmt formatCode="General" sourceLinked="1"/>
        <c:majorTickMark val="out"/>
        <c:minorTickMark val="none"/>
        <c:tickLblPos val="nextTo"/>
        <c:crossAx val="4506944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Sheet4!$B$1</c:f>
              <c:strCache>
                <c:ptCount val="1"/>
                <c:pt idx="0">
                  <c:v>Central State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Sheet4!$A$2:$A$10</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Sheet4!$B$2:$B$10</c:f>
              <c:numCache>
                <c:formatCode>General</c:formatCode>
                <c:ptCount val="9"/>
                <c:pt idx="0">
                  <c:v>54.97</c:v>
                </c:pt>
                <c:pt idx="1">
                  <c:v>51.57</c:v>
                </c:pt>
                <c:pt idx="2">
                  <c:v>51.220000000000013</c:v>
                </c:pt>
                <c:pt idx="3">
                  <c:v>48.99</c:v>
                </c:pt>
                <c:pt idx="4">
                  <c:v>49.260000000000012</c:v>
                </c:pt>
                <c:pt idx="5">
                  <c:v>49.120000000000012</c:v>
                </c:pt>
                <c:pt idx="6">
                  <c:v>48.7</c:v>
                </c:pt>
                <c:pt idx="7">
                  <c:v>59.63</c:v>
                </c:pt>
                <c:pt idx="8">
                  <c:v>49</c:v>
                </c:pt>
              </c:numCache>
            </c:numRef>
          </c:val>
          <c:extLst>
            <c:ext xmlns:c16="http://schemas.microsoft.com/office/drawing/2014/chart" uri="{C3380CC4-5D6E-409C-BE32-E72D297353CC}">
              <c16:uniqueId val="{00000000-4A6E-44DA-9977-08FC904D7C21}"/>
            </c:ext>
          </c:extLst>
        </c:ser>
        <c:ser>
          <c:idx val="1"/>
          <c:order val="1"/>
          <c:tx>
            <c:strRef>
              <c:f>Sheet4!$C$1</c:f>
              <c:strCache>
                <c:ptCount val="1"/>
                <c:pt idx="0">
                  <c:v>State-sector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Sheet4!$A$2:$A$10</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Sheet4!$C$2:$C$10</c:f>
              <c:numCache>
                <c:formatCode>General</c:formatCode>
                <c:ptCount val="9"/>
                <c:pt idx="0">
                  <c:v>7.4</c:v>
                </c:pt>
                <c:pt idx="1">
                  <c:v>7.8</c:v>
                </c:pt>
                <c:pt idx="2">
                  <c:v>7.1</c:v>
                </c:pt>
                <c:pt idx="3">
                  <c:v>7.4</c:v>
                </c:pt>
                <c:pt idx="4">
                  <c:v>7.2</c:v>
                </c:pt>
                <c:pt idx="5">
                  <c:v>7.4</c:v>
                </c:pt>
                <c:pt idx="6">
                  <c:v>6.7</c:v>
                </c:pt>
                <c:pt idx="7">
                  <c:v>6.2</c:v>
                </c:pt>
                <c:pt idx="8">
                  <c:v>6.2</c:v>
                </c:pt>
              </c:numCache>
            </c:numRef>
          </c:val>
          <c:extLst>
            <c:ext xmlns:c16="http://schemas.microsoft.com/office/drawing/2014/chart" uri="{C3380CC4-5D6E-409C-BE32-E72D297353CC}">
              <c16:uniqueId val="{00000001-4A6E-44DA-9977-08FC904D7C21}"/>
            </c:ext>
          </c:extLst>
        </c:ser>
        <c:ser>
          <c:idx val="2"/>
          <c:order val="2"/>
          <c:tx>
            <c:strRef>
              <c:f>Sheet4!$D$1</c:f>
              <c:strCache>
                <c:ptCount val="1"/>
                <c:pt idx="0">
                  <c:v> Private Sector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Sheet4!$A$2:$A$10</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Sheet4!$D$2:$D$10</c:f>
              <c:numCache>
                <c:formatCode>General</c:formatCode>
                <c:ptCount val="9"/>
                <c:pt idx="0">
                  <c:v>32.120000000000012</c:v>
                </c:pt>
                <c:pt idx="1">
                  <c:v>35.32</c:v>
                </c:pt>
                <c:pt idx="2">
                  <c:v>36.620000000000012</c:v>
                </c:pt>
                <c:pt idx="3">
                  <c:v>41.24</c:v>
                </c:pt>
                <c:pt idx="4">
                  <c:v>37.190000000000012</c:v>
                </c:pt>
                <c:pt idx="5">
                  <c:v>37.730000000000011</c:v>
                </c:pt>
                <c:pt idx="6">
                  <c:v>34.93</c:v>
                </c:pt>
                <c:pt idx="7">
                  <c:v>37.94</c:v>
                </c:pt>
                <c:pt idx="8">
                  <c:v>36.78</c:v>
                </c:pt>
              </c:numCache>
            </c:numRef>
          </c:val>
          <c:extLst>
            <c:ext xmlns:c16="http://schemas.microsoft.com/office/drawing/2014/chart" uri="{C3380CC4-5D6E-409C-BE32-E72D297353CC}">
              <c16:uniqueId val="{00000002-4A6E-44DA-9977-08FC904D7C21}"/>
            </c:ext>
          </c:extLst>
        </c:ser>
        <c:ser>
          <c:idx val="3"/>
          <c:order val="3"/>
          <c:tx>
            <c:strRef>
              <c:f>Sheet4!$E$1</c:f>
              <c:strCache>
                <c:ptCount val="1"/>
                <c:pt idx="0">
                  <c:v>Higher education sector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Sheet4!$A$2:$A$10</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Sheet4!$E$2:$E$10</c:f>
              <c:numCache>
                <c:formatCode>General</c:formatCode>
                <c:ptCount val="9"/>
                <c:pt idx="0">
                  <c:v>5.49</c:v>
                </c:pt>
                <c:pt idx="1">
                  <c:v>5.31</c:v>
                </c:pt>
                <c:pt idx="2">
                  <c:v>5.01</c:v>
                </c:pt>
                <c:pt idx="3">
                  <c:v>5.05</c:v>
                </c:pt>
                <c:pt idx="4">
                  <c:v>6.3</c:v>
                </c:pt>
                <c:pt idx="5">
                  <c:v>6.38</c:v>
                </c:pt>
                <c:pt idx="6">
                  <c:v>6.68</c:v>
                </c:pt>
                <c:pt idx="7">
                  <c:v>6.68</c:v>
                </c:pt>
                <c:pt idx="8">
                  <c:v>7.1</c:v>
                </c:pt>
              </c:numCache>
            </c:numRef>
          </c:val>
          <c:extLst>
            <c:ext xmlns:c16="http://schemas.microsoft.com/office/drawing/2014/chart" uri="{C3380CC4-5D6E-409C-BE32-E72D297353CC}">
              <c16:uniqueId val="{00000003-4A6E-44DA-9977-08FC904D7C21}"/>
            </c:ext>
          </c:extLst>
        </c:ser>
        <c:dLbls>
          <c:showLegendKey val="0"/>
          <c:showVal val="0"/>
          <c:showCatName val="0"/>
          <c:showSerName val="0"/>
          <c:showPercent val="0"/>
          <c:showBubbleSize val="0"/>
        </c:dLbls>
        <c:gapWidth val="150"/>
        <c:shape val="box"/>
        <c:axId val="99739904"/>
        <c:axId val="45105152"/>
        <c:axId val="0"/>
      </c:bar3DChart>
      <c:catAx>
        <c:axId val="99739904"/>
        <c:scaling>
          <c:orientation val="minMax"/>
        </c:scaling>
        <c:delete val="0"/>
        <c:axPos val="b"/>
        <c:numFmt formatCode="General" sourceLinked="0"/>
        <c:majorTickMark val="out"/>
        <c:minorTickMark val="none"/>
        <c:tickLblPos val="nextTo"/>
        <c:crossAx val="45105152"/>
        <c:crosses val="autoZero"/>
        <c:auto val="1"/>
        <c:lblAlgn val="ctr"/>
        <c:lblOffset val="100"/>
        <c:noMultiLvlLbl val="0"/>
      </c:catAx>
      <c:valAx>
        <c:axId val="45105152"/>
        <c:scaling>
          <c:orientation val="minMax"/>
        </c:scaling>
        <c:delete val="0"/>
        <c:axPos val="l"/>
        <c:majorGridlines/>
        <c:numFmt formatCode="General" sourceLinked="1"/>
        <c:majorTickMark val="out"/>
        <c:minorTickMark val="none"/>
        <c:tickLblPos val="nextTo"/>
        <c:crossAx val="99739904"/>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23184F-B418-4F3D-A910-F9E75D5DC9A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FF59E36-9B6D-4ED5-9EE5-3DFD48360DAF}">
      <dgm:prSet phldrT="[Text]" custT="1"/>
      <dgm:spPr/>
      <dgm:t>
        <a:bodyPr/>
        <a:lstStyle/>
        <a:p>
          <a:r>
            <a:rPr lang="en-US" sz="1300"/>
            <a:t> </a:t>
          </a:r>
          <a:r>
            <a:rPr lang="en-US" sz="1400">
              <a:latin typeface="Times New Roman" panose="02020603050405020304" pitchFamily="18" charset="0"/>
              <a:cs typeface="Times New Roman" panose="02020603050405020304" pitchFamily="18" charset="0"/>
            </a:rPr>
            <a:t>India's R&amp;D</a:t>
          </a:r>
        </a:p>
      </dgm:t>
    </dgm:pt>
    <dgm:pt modelId="{475B1B5F-EF5E-4696-A936-EF8ED3920982}" type="parTrans" cxnId="{B640E54D-3417-4CDB-989E-0EAFE57B6E47}">
      <dgm:prSet/>
      <dgm:spPr/>
      <dgm:t>
        <a:bodyPr/>
        <a:lstStyle/>
        <a:p>
          <a:endParaRPr lang="en-US"/>
        </a:p>
      </dgm:t>
    </dgm:pt>
    <dgm:pt modelId="{3E8F2F6F-CDD1-4984-80E7-FB7E44140D33}" type="sibTrans" cxnId="{B640E54D-3417-4CDB-989E-0EAFE57B6E47}">
      <dgm:prSet/>
      <dgm:spPr/>
      <dgm:t>
        <a:bodyPr/>
        <a:lstStyle/>
        <a:p>
          <a:endParaRPr lang="en-US"/>
        </a:p>
      </dgm:t>
    </dgm:pt>
    <dgm:pt modelId="{4FF8B55B-4BFC-4B3F-8CF8-5CEB6D48D8F8}">
      <dgm:prSet phldrT="[Text]" custT="1"/>
      <dgm:spPr/>
      <dgm:t>
        <a:bodyPr/>
        <a:lstStyle/>
        <a:p>
          <a:endParaRPr lang="en-US" sz="1400">
            <a:latin typeface="Times New Roman" panose="02020603050405020304" pitchFamily="18" charset="0"/>
            <a:cs typeface="Times New Roman" panose="02020603050405020304" pitchFamily="18" charset="0"/>
          </a:endParaRPr>
        </a:p>
        <a:p>
          <a:r>
            <a:rPr lang="en-US" sz="1400">
              <a:latin typeface="Times New Roman" panose="02020603050405020304" pitchFamily="18" charset="0"/>
              <a:cs typeface="Times New Roman" panose="02020603050405020304" pitchFamily="18" charset="0"/>
            </a:rPr>
            <a:t>Public sector</a:t>
          </a:r>
        </a:p>
        <a:p>
          <a:r>
            <a:rPr lang="en-US" sz="1400">
              <a:latin typeface="Times New Roman" panose="02020603050405020304" pitchFamily="18" charset="0"/>
              <a:cs typeface="Times New Roman" panose="02020603050405020304" pitchFamily="18" charset="0"/>
            </a:rPr>
            <a:t>(63.2%)</a:t>
          </a:r>
        </a:p>
        <a:p>
          <a:endParaRPr lang="en-US" sz="1300"/>
        </a:p>
      </dgm:t>
    </dgm:pt>
    <dgm:pt modelId="{5F6B68E7-871D-4E56-A5A3-E0CB4892A70A}" type="parTrans" cxnId="{4B3C4D81-4EE9-4C6A-81DA-0289B211395D}">
      <dgm:prSet/>
      <dgm:spPr/>
      <dgm:t>
        <a:bodyPr/>
        <a:lstStyle/>
        <a:p>
          <a:endParaRPr lang="en-US"/>
        </a:p>
      </dgm:t>
    </dgm:pt>
    <dgm:pt modelId="{E12040A6-50B7-483D-A01B-C44782D9A5B6}" type="sibTrans" cxnId="{4B3C4D81-4EE9-4C6A-81DA-0289B211395D}">
      <dgm:prSet/>
      <dgm:spPr/>
      <dgm:t>
        <a:bodyPr/>
        <a:lstStyle/>
        <a:p>
          <a:endParaRPr lang="en-US"/>
        </a:p>
      </dgm:t>
    </dgm:pt>
    <dgm:pt modelId="{BFE70983-0D82-4CEC-88AB-BA7FCE4CA036}">
      <dgm:prSet phldrT="[Text]" custT="1"/>
      <dgm:spPr/>
      <dgm:t>
        <a:bodyPr/>
        <a:lstStyle/>
        <a:p>
          <a:r>
            <a:rPr lang="en-US" sz="1400">
              <a:latin typeface="Times New Roman" panose="02020603050405020304" pitchFamily="18" charset="0"/>
              <a:cs typeface="Times New Roman" panose="02020603050405020304" pitchFamily="18" charset="0"/>
            </a:rPr>
            <a:t>Private sector</a:t>
          </a:r>
        </a:p>
        <a:p>
          <a:r>
            <a:rPr lang="en-US" sz="1400">
              <a:latin typeface="Times New Roman" panose="02020603050405020304" pitchFamily="18" charset="0"/>
              <a:cs typeface="Times New Roman" panose="02020603050405020304" pitchFamily="18" charset="0"/>
            </a:rPr>
            <a:t>(36.8%)</a:t>
          </a:r>
        </a:p>
      </dgm:t>
    </dgm:pt>
    <dgm:pt modelId="{9E6D8A60-CD19-4791-A42D-A2D8B8DF7A44}" type="parTrans" cxnId="{379B6645-497B-450C-AFBB-BB6F7E673DF5}">
      <dgm:prSet/>
      <dgm:spPr/>
      <dgm:t>
        <a:bodyPr/>
        <a:lstStyle/>
        <a:p>
          <a:endParaRPr lang="en-US"/>
        </a:p>
      </dgm:t>
    </dgm:pt>
    <dgm:pt modelId="{847BEB1A-FA5C-4003-B2AB-2CAD77E13072}" type="sibTrans" cxnId="{379B6645-497B-450C-AFBB-BB6F7E673DF5}">
      <dgm:prSet/>
      <dgm:spPr/>
      <dgm:t>
        <a:bodyPr/>
        <a:lstStyle/>
        <a:p>
          <a:endParaRPr lang="en-US"/>
        </a:p>
      </dgm:t>
    </dgm:pt>
    <dgm:pt modelId="{D81BB102-B069-404A-B514-0BA985D1E8F4}" type="asst">
      <dgm:prSet custT="1"/>
      <dgm:spPr/>
      <dgm:t>
        <a:bodyPr/>
        <a:lstStyle/>
        <a:p>
          <a:r>
            <a:rPr lang="en-US" sz="1400">
              <a:latin typeface="Times New Roman" panose="02020603050405020304" pitchFamily="18" charset="0"/>
              <a:cs typeface="Times New Roman" panose="02020603050405020304" pitchFamily="18" charset="0"/>
            </a:rPr>
            <a:t>Central Govt</a:t>
          </a:r>
        </a:p>
        <a:p>
          <a:r>
            <a:rPr lang="en-US" sz="1400">
              <a:latin typeface="Times New Roman" panose="02020603050405020304" pitchFamily="18" charset="0"/>
              <a:cs typeface="Times New Roman" panose="02020603050405020304" pitchFamily="18" charset="0"/>
            </a:rPr>
            <a:t>(45.4%)</a:t>
          </a:r>
        </a:p>
      </dgm:t>
    </dgm:pt>
    <dgm:pt modelId="{56012047-0445-447C-9234-611A335FB193}" type="parTrans" cxnId="{C0818611-CE28-410A-B423-30FC550EF045}">
      <dgm:prSet/>
      <dgm:spPr/>
      <dgm:t>
        <a:bodyPr/>
        <a:lstStyle/>
        <a:p>
          <a:endParaRPr lang="x-none"/>
        </a:p>
      </dgm:t>
    </dgm:pt>
    <dgm:pt modelId="{6AA43CDB-AC62-440C-BD4C-17FE6F44251E}" type="sibTrans" cxnId="{C0818611-CE28-410A-B423-30FC550EF045}">
      <dgm:prSet/>
      <dgm:spPr/>
      <dgm:t>
        <a:bodyPr/>
        <a:lstStyle/>
        <a:p>
          <a:endParaRPr lang="x-none"/>
        </a:p>
      </dgm:t>
    </dgm:pt>
    <dgm:pt modelId="{8744C8DE-4DCE-42A9-AD8F-99BBF5168237}" type="asst">
      <dgm:prSet custT="1"/>
      <dgm:spPr/>
      <dgm:t>
        <a:bodyPr/>
        <a:lstStyle/>
        <a:p>
          <a:r>
            <a:rPr lang="en-US" sz="1400">
              <a:latin typeface="Times New Roman" panose="02020603050405020304" pitchFamily="18" charset="0"/>
              <a:cs typeface="Times New Roman" panose="02020603050405020304" pitchFamily="18" charset="0"/>
            </a:rPr>
            <a:t>CPSEs</a:t>
          </a:r>
        </a:p>
        <a:p>
          <a:r>
            <a:rPr lang="en-US" sz="1400">
              <a:latin typeface="Times New Roman" panose="02020603050405020304" pitchFamily="18" charset="0"/>
              <a:cs typeface="Times New Roman" panose="02020603050405020304" pitchFamily="18" charset="0"/>
            </a:rPr>
            <a:t>(4.6%)</a:t>
          </a:r>
        </a:p>
      </dgm:t>
    </dgm:pt>
    <dgm:pt modelId="{CA5664FD-D6FE-4111-B096-B29D9A01298B}" type="parTrans" cxnId="{14466970-6208-42B1-AF57-140C15D328EF}">
      <dgm:prSet/>
      <dgm:spPr/>
      <dgm:t>
        <a:bodyPr/>
        <a:lstStyle/>
        <a:p>
          <a:endParaRPr lang="x-none"/>
        </a:p>
      </dgm:t>
    </dgm:pt>
    <dgm:pt modelId="{BBE9F2E1-4D7A-4FD4-9504-BFC143CC7414}" type="sibTrans" cxnId="{14466970-6208-42B1-AF57-140C15D328EF}">
      <dgm:prSet/>
      <dgm:spPr/>
      <dgm:t>
        <a:bodyPr/>
        <a:lstStyle/>
        <a:p>
          <a:endParaRPr lang="x-none"/>
        </a:p>
      </dgm:t>
    </dgm:pt>
    <dgm:pt modelId="{2EFBE230-E837-4441-B829-34DE9CEA5DD8}" type="asst">
      <dgm:prSet custT="1"/>
      <dgm:spPr/>
      <dgm:t>
        <a:bodyPr/>
        <a:lstStyle/>
        <a:p>
          <a:r>
            <a:rPr lang="en-US" sz="1400">
              <a:latin typeface="Times New Roman" panose="02020603050405020304" pitchFamily="18" charset="0"/>
              <a:cs typeface="Times New Roman" panose="02020603050405020304" pitchFamily="18" charset="0"/>
            </a:rPr>
            <a:t>State Govt</a:t>
          </a:r>
        </a:p>
        <a:p>
          <a:r>
            <a:rPr lang="en-US" sz="1400">
              <a:latin typeface="Times New Roman" panose="02020603050405020304" pitchFamily="18" charset="0"/>
              <a:cs typeface="Times New Roman" panose="02020603050405020304" pitchFamily="18" charset="0"/>
            </a:rPr>
            <a:t>(6.4%)</a:t>
          </a:r>
        </a:p>
      </dgm:t>
    </dgm:pt>
    <dgm:pt modelId="{7DE57F6A-FA34-4C3B-87A5-1D4CCF1FD78F}" type="parTrans" cxnId="{188D681A-B327-4160-AC8F-B2184D2F846C}">
      <dgm:prSet/>
      <dgm:spPr/>
      <dgm:t>
        <a:bodyPr/>
        <a:lstStyle/>
        <a:p>
          <a:endParaRPr lang="x-none"/>
        </a:p>
      </dgm:t>
    </dgm:pt>
    <dgm:pt modelId="{063962C1-73EE-4C9D-90C8-7D0BCC00C312}" type="sibTrans" cxnId="{188D681A-B327-4160-AC8F-B2184D2F846C}">
      <dgm:prSet/>
      <dgm:spPr/>
      <dgm:t>
        <a:bodyPr/>
        <a:lstStyle/>
        <a:p>
          <a:endParaRPr lang="x-none"/>
        </a:p>
      </dgm:t>
    </dgm:pt>
    <dgm:pt modelId="{4A53AB6B-8CCA-4EB5-996E-E629492ABC58}" type="asst">
      <dgm:prSet custT="1"/>
      <dgm:spPr/>
      <dgm:t>
        <a:bodyPr/>
        <a:lstStyle/>
        <a:p>
          <a:r>
            <a:rPr lang="en-US" sz="1400">
              <a:latin typeface="Times New Roman" panose="02020603050405020304" pitchFamily="18" charset="0"/>
              <a:cs typeface="Times New Roman" panose="02020603050405020304" pitchFamily="18" charset="0"/>
            </a:rPr>
            <a:t>Universites</a:t>
          </a:r>
        </a:p>
        <a:p>
          <a:r>
            <a:rPr lang="en-US" sz="1400">
              <a:latin typeface="Times New Roman" panose="02020603050405020304" pitchFamily="18" charset="0"/>
              <a:cs typeface="Times New Roman" panose="02020603050405020304" pitchFamily="18" charset="0"/>
            </a:rPr>
            <a:t>(6.8%)</a:t>
          </a:r>
        </a:p>
      </dgm:t>
    </dgm:pt>
    <dgm:pt modelId="{A61EC265-8995-4714-9245-23C4FFA981C1}" type="parTrans" cxnId="{A3BFB7FF-5566-4843-B184-0EB5F514E482}">
      <dgm:prSet/>
      <dgm:spPr/>
      <dgm:t>
        <a:bodyPr/>
        <a:lstStyle/>
        <a:p>
          <a:endParaRPr lang="x-none"/>
        </a:p>
      </dgm:t>
    </dgm:pt>
    <dgm:pt modelId="{4F30E98F-56E2-451B-AEFF-F5EDC047394B}" type="sibTrans" cxnId="{A3BFB7FF-5566-4843-B184-0EB5F514E482}">
      <dgm:prSet/>
      <dgm:spPr/>
      <dgm:t>
        <a:bodyPr/>
        <a:lstStyle/>
        <a:p>
          <a:endParaRPr lang="x-none"/>
        </a:p>
      </dgm:t>
    </dgm:pt>
    <dgm:pt modelId="{921FD70F-BE14-458D-BA90-33FA662B5F6A}" type="pres">
      <dgm:prSet presAssocID="{1123184F-B418-4F3D-A910-F9E75D5DC9A2}" presName="hierChild1" presStyleCnt="0">
        <dgm:presLayoutVars>
          <dgm:orgChart val="1"/>
          <dgm:chPref val="1"/>
          <dgm:dir/>
          <dgm:animOne val="branch"/>
          <dgm:animLvl val="lvl"/>
          <dgm:resizeHandles/>
        </dgm:presLayoutVars>
      </dgm:prSet>
      <dgm:spPr/>
    </dgm:pt>
    <dgm:pt modelId="{D96EAFAE-955E-49A6-AA2D-3FF96BEABD1A}" type="pres">
      <dgm:prSet presAssocID="{8FF59E36-9B6D-4ED5-9EE5-3DFD48360DAF}" presName="hierRoot1" presStyleCnt="0">
        <dgm:presLayoutVars>
          <dgm:hierBranch val="init"/>
        </dgm:presLayoutVars>
      </dgm:prSet>
      <dgm:spPr/>
    </dgm:pt>
    <dgm:pt modelId="{51BCE6A7-14DF-445B-87A0-7D288E4A2B26}" type="pres">
      <dgm:prSet presAssocID="{8FF59E36-9B6D-4ED5-9EE5-3DFD48360DAF}" presName="rootComposite1" presStyleCnt="0"/>
      <dgm:spPr/>
    </dgm:pt>
    <dgm:pt modelId="{6A3DA052-71C5-4A8E-8104-B48E3772F6E7}" type="pres">
      <dgm:prSet presAssocID="{8FF59E36-9B6D-4ED5-9EE5-3DFD48360DAF}" presName="rootText1" presStyleLbl="node0" presStyleIdx="0" presStyleCnt="1" custScaleY="67530">
        <dgm:presLayoutVars>
          <dgm:chPref val="3"/>
        </dgm:presLayoutVars>
      </dgm:prSet>
      <dgm:spPr/>
    </dgm:pt>
    <dgm:pt modelId="{371FCF5B-0CD7-4730-B406-A27E5CCDC08C}" type="pres">
      <dgm:prSet presAssocID="{8FF59E36-9B6D-4ED5-9EE5-3DFD48360DAF}" presName="rootConnector1" presStyleLbl="node1" presStyleIdx="0" presStyleCnt="0"/>
      <dgm:spPr/>
    </dgm:pt>
    <dgm:pt modelId="{A90A59F2-848A-4252-81A7-E96DC967C23D}" type="pres">
      <dgm:prSet presAssocID="{8FF59E36-9B6D-4ED5-9EE5-3DFD48360DAF}" presName="hierChild2" presStyleCnt="0"/>
      <dgm:spPr/>
    </dgm:pt>
    <dgm:pt modelId="{ECFD3202-A741-4CD1-A2D7-8B93192FA247}" type="pres">
      <dgm:prSet presAssocID="{5F6B68E7-871D-4E56-A5A3-E0CB4892A70A}" presName="Name37" presStyleLbl="parChTrans1D2" presStyleIdx="0" presStyleCnt="2"/>
      <dgm:spPr/>
    </dgm:pt>
    <dgm:pt modelId="{759581DD-FEAA-4F2D-86F0-7D972595C669}" type="pres">
      <dgm:prSet presAssocID="{4FF8B55B-4BFC-4B3F-8CF8-5CEB6D48D8F8}" presName="hierRoot2" presStyleCnt="0">
        <dgm:presLayoutVars>
          <dgm:hierBranch val="init"/>
        </dgm:presLayoutVars>
      </dgm:prSet>
      <dgm:spPr/>
    </dgm:pt>
    <dgm:pt modelId="{04C266AC-FAF8-4568-86A8-4D20AB39393A}" type="pres">
      <dgm:prSet presAssocID="{4FF8B55B-4BFC-4B3F-8CF8-5CEB6D48D8F8}" presName="rootComposite" presStyleCnt="0"/>
      <dgm:spPr/>
    </dgm:pt>
    <dgm:pt modelId="{5272FDFC-913C-403D-803B-2299AB627477}" type="pres">
      <dgm:prSet presAssocID="{4FF8B55B-4BFC-4B3F-8CF8-5CEB6D48D8F8}" presName="rootText" presStyleLbl="node2" presStyleIdx="0" presStyleCnt="2" custLinFactNeighborX="-53" custLinFactNeighborY="1535">
        <dgm:presLayoutVars>
          <dgm:chPref val="3"/>
        </dgm:presLayoutVars>
      </dgm:prSet>
      <dgm:spPr/>
    </dgm:pt>
    <dgm:pt modelId="{09007491-F980-4F48-B783-71F2803119A4}" type="pres">
      <dgm:prSet presAssocID="{4FF8B55B-4BFC-4B3F-8CF8-5CEB6D48D8F8}" presName="rootConnector" presStyleLbl="node2" presStyleIdx="0" presStyleCnt="2"/>
      <dgm:spPr/>
    </dgm:pt>
    <dgm:pt modelId="{04BE9B34-01AC-401B-8188-5D49B4AC3D76}" type="pres">
      <dgm:prSet presAssocID="{4FF8B55B-4BFC-4B3F-8CF8-5CEB6D48D8F8}" presName="hierChild4" presStyleCnt="0"/>
      <dgm:spPr/>
    </dgm:pt>
    <dgm:pt modelId="{FAE079B7-3DCA-4705-AF26-B30154EDF387}" type="pres">
      <dgm:prSet presAssocID="{4FF8B55B-4BFC-4B3F-8CF8-5CEB6D48D8F8}" presName="hierChild5" presStyleCnt="0"/>
      <dgm:spPr/>
    </dgm:pt>
    <dgm:pt modelId="{57411D60-11E5-4A63-928A-67BB9FEE078E}" type="pres">
      <dgm:prSet presAssocID="{56012047-0445-447C-9234-611A335FB193}" presName="Name111" presStyleLbl="parChTrans1D3" presStyleIdx="0" presStyleCnt="4"/>
      <dgm:spPr/>
    </dgm:pt>
    <dgm:pt modelId="{793ACAC4-5276-476E-BBCB-5782353B9A39}" type="pres">
      <dgm:prSet presAssocID="{D81BB102-B069-404A-B514-0BA985D1E8F4}" presName="hierRoot3" presStyleCnt="0">
        <dgm:presLayoutVars>
          <dgm:hierBranch val="init"/>
        </dgm:presLayoutVars>
      </dgm:prSet>
      <dgm:spPr/>
    </dgm:pt>
    <dgm:pt modelId="{268CE342-F83D-4C26-ABB8-FD935EAFF1E8}" type="pres">
      <dgm:prSet presAssocID="{D81BB102-B069-404A-B514-0BA985D1E8F4}" presName="rootComposite3" presStyleCnt="0"/>
      <dgm:spPr/>
    </dgm:pt>
    <dgm:pt modelId="{3DA35D64-6EA8-4DD9-888A-5B6481F87D73}" type="pres">
      <dgm:prSet presAssocID="{D81BB102-B069-404A-B514-0BA985D1E8F4}" presName="rootText3" presStyleLbl="asst2" presStyleIdx="0" presStyleCnt="4">
        <dgm:presLayoutVars>
          <dgm:chPref val="3"/>
        </dgm:presLayoutVars>
      </dgm:prSet>
      <dgm:spPr/>
    </dgm:pt>
    <dgm:pt modelId="{E160817D-EC3D-45B4-BE15-6727A7BAD478}" type="pres">
      <dgm:prSet presAssocID="{D81BB102-B069-404A-B514-0BA985D1E8F4}" presName="rootConnector3" presStyleLbl="asst2" presStyleIdx="0" presStyleCnt="4"/>
      <dgm:spPr/>
    </dgm:pt>
    <dgm:pt modelId="{BDF767BE-30D2-445F-836B-5891120AA423}" type="pres">
      <dgm:prSet presAssocID="{D81BB102-B069-404A-B514-0BA985D1E8F4}" presName="hierChild6" presStyleCnt="0"/>
      <dgm:spPr/>
    </dgm:pt>
    <dgm:pt modelId="{BBD21ABF-055E-4FA8-984D-B72A5555CB3A}" type="pres">
      <dgm:prSet presAssocID="{D81BB102-B069-404A-B514-0BA985D1E8F4}" presName="hierChild7" presStyleCnt="0"/>
      <dgm:spPr/>
    </dgm:pt>
    <dgm:pt modelId="{DA7ACC4B-0A6B-47C1-ACAE-477D3AE5D7FC}" type="pres">
      <dgm:prSet presAssocID="{CA5664FD-D6FE-4111-B096-B29D9A01298B}" presName="Name111" presStyleLbl="parChTrans1D3" presStyleIdx="1" presStyleCnt="4"/>
      <dgm:spPr/>
    </dgm:pt>
    <dgm:pt modelId="{E8AA7B28-394E-4FB9-86EA-AD693A4F6103}" type="pres">
      <dgm:prSet presAssocID="{8744C8DE-4DCE-42A9-AD8F-99BBF5168237}" presName="hierRoot3" presStyleCnt="0">
        <dgm:presLayoutVars>
          <dgm:hierBranch val="init"/>
        </dgm:presLayoutVars>
      </dgm:prSet>
      <dgm:spPr/>
    </dgm:pt>
    <dgm:pt modelId="{5058F3F5-09B6-4CE5-B849-E71EACD51D8B}" type="pres">
      <dgm:prSet presAssocID="{8744C8DE-4DCE-42A9-AD8F-99BBF5168237}" presName="rootComposite3" presStyleCnt="0"/>
      <dgm:spPr/>
    </dgm:pt>
    <dgm:pt modelId="{38C9B0AD-C1BD-422E-9FCC-A8A5AA443D2A}" type="pres">
      <dgm:prSet presAssocID="{8744C8DE-4DCE-42A9-AD8F-99BBF5168237}" presName="rootText3" presStyleLbl="asst2" presStyleIdx="1" presStyleCnt="4" custScaleX="83761" custLinFactNeighborX="10695">
        <dgm:presLayoutVars>
          <dgm:chPref val="3"/>
        </dgm:presLayoutVars>
      </dgm:prSet>
      <dgm:spPr/>
    </dgm:pt>
    <dgm:pt modelId="{B2392FED-F044-40E3-90FA-9AD3A0F1A5C1}" type="pres">
      <dgm:prSet presAssocID="{8744C8DE-4DCE-42A9-AD8F-99BBF5168237}" presName="rootConnector3" presStyleLbl="asst2" presStyleIdx="1" presStyleCnt="4"/>
      <dgm:spPr/>
    </dgm:pt>
    <dgm:pt modelId="{7D4190ED-B97D-4052-B411-6F9BF7BD7DD4}" type="pres">
      <dgm:prSet presAssocID="{8744C8DE-4DCE-42A9-AD8F-99BBF5168237}" presName="hierChild6" presStyleCnt="0"/>
      <dgm:spPr/>
    </dgm:pt>
    <dgm:pt modelId="{B515B52D-13E9-4F50-8BAA-857F8C9ECA90}" type="pres">
      <dgm:prSet presAssocID="{8744C8DE-4DCE-42A9-AD8F-99BBF5168237}" presName="hierChild7" presStyleCnt="0"/>
      <dgm:spPr/>
    </dgm:pt>
    <dgm:pt modelId="{3B529764-69D4-450A-8C34-8018A2DD45CF}" type="pres">
      <dgm:prSet presAssocID="{7DE57F6A-FA34-4C3B-87A5-1D4CCF1FD78F}" presName="Name111" presStyleLbl="parChTrans1D3" presStyleIdx="2" presStyleCnt="4"/>
      <dgm:spPr/>
    </dgm:pt>
    <dgm:pt modelId="{036D2EA8-277D-4525-9DCD-A5878C50831C}" type="pres">
      <dgm:prSet presAssocID="{2EFBE230-E837-4441-B829-34DE9CEA5DD8}" presName="hierRoot3" presStyleCnt="0">
        <dgm:presLayoutVars>
          <dgm:hierBranch val="init"/>
        </dgm:presLayoutVars>
      </dgm:prSet>
      <dgm:spPr/>
    </dgm:pt>
    <dgm:pt modelId="{DA6CD809-4A1F-4918-B554-738D819B094B}" type="pres">
      <dgm:prSet presAssocID="{2EFBE230-E837-4441-B829-34DE9CEA5DD8}" presName="rootComposite3" presStyleCnt="0"/>
      <dgm:spPr/>
    </dgm:pt>
    <dgm:pt modelId="{F80E35A6-A7C1-4533-9A59-C9F97CC5A157}" type="pres">
      <dgm:prSet presAssocID="{2EFBE230-E837-4441-B829-34DE9CEA5DD8}" presName="rootText3" presStyleLbl="asst2" presStyleIdx="2" presStyleCnt="4">
        <dgm:presLayoutVars>
          <dgm:chPref val="3"/>
        </dgm:presLayoutVars>
      </dgm:prSet>
      <dgm:spPr/>
    </dgm:pt>
    <dgm:pt modelId="{D62071E1-0FFA-4E12-A380-7432FE80703F}" type="pres">
      <dgm:prSet presAssocID="{2EFBE230-E837-4441-B829-34DE9CEA5DD8}" presName="rootConnector3" presStyleLbl="asst2" presStyleIdx="2" presStyleCnt="4"/>
      <dgm:spPr/>
    </dgm:pt>
    <dgm:pt modelId="{5A913DD8-6E58-420A-8A15-5190D7F717A9}" type="pres">
      <dgm:prSet presAssocID="{2EFBE230-E837-4441-B829-34DE9CEA5DD8}" presName="hierChild6" presStyleCnt="0"/>
      <dgm:spPr/>
    </dgm:pt>
    <dgm:pt modelId="{F1111584-5B2C-4479-9885-69FABA6120CB}" type="pres">
      <dgm:prSet presAssocID="{2EFBE230-E837-4441-B829-34DE9CEA5DD8}" presName="hierChild7" presStyleCnt="0"/>
      <dgm:spPr/>
    </dgm:pt>
    <dgm:pt modelId="{6B3E62BD-D43E-4339-B70A-1AEF220A9CB3}" type="pres">
      <dgm:prSet presAssocID="{A61EC265-8995-4714-9245-23C4FFA981C1}" presName="Name111" presStyleLbl="parChTrans1D3" presStyleIdx="3" presStyleCnt="4"/>
      <dgm:spPr/>
    </dgm:pt>
    <dgm:pt modelId="{D84C07FC-50D7-4887-ADD0-EE2ADA444F5C}" type="pres">
      <dgm:prSet presAssocID="{4A53AB6B-8CCA-4EB5-996E-E629492ABC58}" presName="hierRoot3" presStyleCnt="0">
        <dgm:presLayoutVars>
          <dgm:hierBranch val="init"/>
        </dgm:presLayoutVars>
      </dgm:prSet>
      <dgm:spPr/>
    </dgm:pt>
    <dgm:pt modelId="{61DC6589-3755-4EBC-A2A2-731C9759CF09}" type="pres">
      <dgm:prSet presAssocID="{4A53AB6B-8CCA-4EB5-996E-E629492ABC58}" presName="rootComposite3" presStyleCnt="0"/>
      <dgm:spPr/>
    </dgm:pt>
    <dgm:pt modelId="{18B8A3E6-37C1-45D8-A7CD-B4E893E445DC}" type="pres">
      <dgm:prSet presAssocID="{4A53AB6B-8CCA-4EB5-996E-E629492ABC58}" presName="rootText3" presStyleLbl="asst2" presStyleIdx="3" presStyleCnt="4">
        <dgm:presLayoutVars>
          <dgm:chPref val="3"/>
        </dgm:presLayoutVars>
      </dgm:prSet>
      <dgm:spPr/>
    </dgm:pt>
    <dgm:pt modelId="{68E104BC-5F1A-4ABC-9EBD-5CF27B0DEC96}" type="pres">
      <dgm:prSet presAssocID="{4A53AB6B-8CCA-4EB5-996E-E629492ABC58}" presName="rootConnector3" presStyleLbl="asst2" presStyleIdx="3" presStyleCnt="4"/>
      <dgm:spPr/>
    </dgm:pt>
    <dgm:pt modelId="{EB21788C-1888-4D19-B054-D93A7CB7C22B}" type="pres">
      <dgm:prSet presAssocID="{4A53AB6B-8CCA-4EB5-996E-E629492ABC58}" presName="hierChild6" presStyleCnt="0"/>
      <dgm:spPr/>
    </dgm:pt>
    <dgm:pt modelId="{034304EB-B16D-41EE-8F77-79AF9AB7C21C}" type="pres">
      <dgm:prSet presAssocID="{4A53AB6B-8CCA-4EB5-996E-E629492ABC58}" presName="hierChild7" presStyleCnt="0"/>
      <dgm:spPr/>
    </dgm:pt>
    <dgm:pt modelId="{B02941D5-25CC-4F27-B243-DC5A1DDE3845}" type="pres">
      <dgm:prSet presAssocID="{9E6D8A60-CD19-4791-A42D-A2D8B8DF7A44}" presName="Name37" presStyleLbl="parChTrans1D2" presStyleIdx="1" presStyleCnt="2"/>
      <dgm:spPr/>
    </dgm:pt>
    <dgm:pt modelId="{8380CABA-2EC2-43D0-BB5F-0037B658532D}" type="pres">
      <dgm:prSet presAssocID="{BFE70983-0D82-4CEC-88AB-BA7FCE4CA036}" presName="hierRoot2" presStyleCnt="0">
        <dgm:presLayoutVars>
          <dgm:hierBranch val="init"/>
        </dgm:presLayoutVars>
      </dgm:prSet>
      <dgm:spPr/>
    </dgm:pt>
    <dgm:pt modelId="{48798EA1-0EEA-4030-94C6-A1C7283DF3B3}" type="pres">
      <dgm:prSet presAssocID="{BFE70983-0D82-4CEC-88AB-BA7FCE4CA036}" presName="rootComposite" presStyleCnt="0"/>
      <dgm:spPr/>
    </dgm:pt>
    <dgm:pt modelId="{DCD9AD8E-7F38-44AF-A046-9E4A957794EF}" type="pres">
      <dgm:prSet presAssocID="{BFE70983-0D82-4CEC-88AB-BA7FCE4CA036}" presName="rootText" presStyleLbl="node2" presStyleIdx="1" presStyleCnt="2" custScaleX="99064" custLinFactNeighborX="53" custLinFactNeighborY="-7677">
        <dgm:presLayoutVars>
          <dgm:chPref val="3"/>
        </dgm:presLayoutVars>
      </dgm:prSet>
      <dgm:spPr/>
    </dgm:pt>
    <dgm:pt modelId="{4F1B53F6-8562-4872-BB8C-2396722E6AC7}" type="pres">
      <dgm:prSet presAssocID="{BFE70983-0D82-4CEC-88AB-BA7FCE4CA036}" presName="rootConnector" presStyleLbl="node2" presStyleIdx="1" presStyleCnt="2"/>
      <dgm:spPr/>
    </dgm:pt>
    <dgm:pt modelId="{733A3E4A-2115-4B03-869E-247E7A80036F}" type="pres">
      <dgm:prSet presAssocID="{BFE70983-0D82-4CEC-88AB-BA7FCE4CA036}" presName="hierChild4" presStyleCnt="0"/>
      <dgm:spPr/>
    </dgm:pt>
    <dgm:pt modelId="{A8F53B3E-9C20-449E-8484-374E99713008}" type="pres">
      <dgm:prSet presAssocID="{BFE70983-0D82-4CEC-88AB-BA7FCE4CA036}" presName="hierChild5" presStyleCnt="0"/>
      <dgm:spPr/>
    </dgm:pt>
    <dgm:pt modelId="{4971998F-AE78-4CEB-B4C3-3793C4A66DB4}" type="pres">
      <dgm:prSet presAssocID="{8FF59E36-9B6D-4ED5-9EE5-3DFD48360DAF}" presName="hierChild3" presStyleCnt="0"/>
      <dgm:spPr/>
    </dgm:pt>
  </dgm:ptLst>
  <dgm:cxnLst>
    <dgm:cxn modelId="{12A5280A-DEA7-4689-9007-229D887C7A0C}" type="presOf" srcId="{8744C8DE-4DCE-42A9-AD8F-99BBF5168237}" destId="{38C9B0AD-C1BD-422E-9FCC-A8A5AA443D2A}" srcOrd="0" destOrd="0" presId="urn:microsoft.com/office/officeart/2005/8/layout/orgChart1"/>
    <dgm:cxn modelId="{C15D7A10-5134-4F4F-8D16-CBDCB1BA4E2C}" type="presOf" srcId="{8FF59E36-9B6D-4ED5-9EE5-3DFD48360DAF}" destId="{371FCF5B-0CD7-4730-B406-A27E5CCDC08C}" srcOrd="1" destOrd="0" presId="urn:microsoft.com/office/officeart/2005/8/layout/orgChart1"/>
    <dgm:cxn modelId="{C0818611-CE28-410A-B423-30FC550EF045}" srcId="{4FF8B55B-4BFC-4B3F-8CF8-5CEB6D48D8F8}" destId="{D81BB102-B069-404A-B514-0BA985D1E8F4}" srcOrd="0" destOrd="0" parTransId="{56012047-0445-447C-9234-611A335FB193}" sibTransId="{6AA43CDB-AC62-440C-BD4C-17FE6F44251E}"/>
    <dgm:cxn modelId="{648ED419-A7DD-4474-BEFE-40C7F7ECECF4}" type="presOf" srcId="{5F6B68E7-871D-4E56-A5A3-E0CB4892A70A}" destId="{ECFD3202-A741-4CD1-A2D7-8B93192FA247}" srcOrd="0" destOrd="0" presId="urn:microsoft.com/office/officeart/2005/8/layout/orgChart1"/>
    <dgm:cxn modelId="{188D681A-B327-4160-AC8F-B2184D2F846C}" srcId="{4FF8B55B-4BFC-4B3F-8CF8-5CEB6D48D8F8}" destId="{2EFBE230-E837-4441-B829-34DE9CEA5DD8}" srcOrd="2" destOrd="0" parTransId="{7DE57F6A-FA34-4C3B-87A5-1D4CCF1FD78F}" sibTransId="{063962C1-73EE-4C9D-90C8-7D0BCC00C312}"/>
    <dgm:cxn modelId="{3908EA32-63DC-467A-AAA1-DF49FFE0AC05}" type="presOf" srcId="{8FF59E36-9B6D-4ED5-9EE5-3DFD48360DAF}" destId="{6A3DA052-71C5-4A8E-8104-B48E3772F6E7}" srcOrd="0" destOrd="0" presId="urn:microsoft.com/office/officeart/2005/8/layout/orgChart1"/>
    <dgm:cxn modelId="{08383365-2FC4-4BB9-8F27-344A9392B8D7}" type="presOf" srcId="{2EFBE230-E837-4441-B829-34DE9CEA5DD8}" destId="{D62071E1-0FFA-4E12-A380-7432FE80703F}" srcOrd="1" destOrd="0" presId="urn:microsoft.com/office/officeart/2005/8/layout/orgChart1"/>
    <dgm:cxn modelId="{379B6645-497B-450C-AFBB-BB6F7E673DF5}" srcId="{8FF59E36-9B6D-4ED5-9EE5-3DFD48360DAF}" destId="{BFE70983-0D82-4CEC-88AB-BA7FCE4CA036}" srcOrd="1" destOrd="0" parTransId="{9E6D8A60-CD19-4791-A42D-A2D8B8DF7A44}" sibTransId="{847BEB1A-FA5C-4003-B2AB-2CAD77E13072}"/>
    <dgm:cxn modelId="{4C0ADF69-B0CA-4D85-8A5A-F5D9B70028F6}" type="presOf" srcId="{8744C8DE-4DCE-42A9-AD8F-99BBF5168237}" destId="{B2392FED-F044-40E3-90FA-9AD3A0F1A5C1}" srcOrd="1" destOrd="0" presId="urn:microsoft.com/office/officeart/2005/8/layout/orgChart1"/>
    <dgm:cxn modelId="{273A2D4A-724A-4B3B-B9F2-8C958F250C20}" type="presOf" srcId="{BFE70983-0D82-4CEC-88AB-BA7FCE4CA036}" destId="{4F1B53F6-8562-4872-BB8C-2396722E6AC7}" srcOrd="1" destOrd="0" presId="urn:microsoft.com/office/officeart/2005/8/layout/orgChart1"/>
    <dgm:cxn modelId="{8BE9C96A-83B5-46D9-A8B3-D9AF1FAA7EE3}" type="presOf" srcId="{4FF8B55B-4BFC-4B3F-8CF8-5CEB6D48D8F8}" destId="{09007491-F980-4F48-B783-71F2803119A4}" srcOrd="1" destOrd="0" presId="urn:microsoft.com/office/officeart/2005/8/layout/orgChart1"/>
    <dgm:cxn modelId="{B640E54D-3417-4CDB-989E-0EAFE57B6E47}" srcId="{1123184F-B418-4F3D-A910-F9E75D5DC9A2}" destId="{8FF59E36-9B6D-4ED5-9EE5-3DFD48360DAF}" srcOrd="0" destOrd="0" parTransId="{475B1B5F-EF5E-4696-A936-EF8ED3920982}" sibTransId="{3E8F2F6F-CDD1-4984-80E7-FB7E44140D33}"/>
    <dgm:cxn modelId="{14466970-6208-42B1-AF57-140C15D328EF}" srcId="{4FF8B55B-4BFC-4B3F-8CF8-5CEB6D48D8F8}" destId="{8744C8DE-4DCE-42A9-AD8F-99BBF5168237}" srcOrd="1" destOrd="0" parTransId="{CA5664FD-D6FE-4111-B096-B29D9A01298B}" sibTransId="{BBE9F2E1-4D7A-4FD4-9504-BFC143CC7414}"/>
    <dgm:cxn modelId="{F90DAA80-C732-4145-8193-3C897AF6EF60}" type="presOf" srcId="{D81BB102-B069-404A-B514-0BA985D1E8F4}" destId="{E160817D-EC3D-45B4-BE15-6727A7BAD478}" srcOrd="1" destOrd="0" presId="urn:microsoft.com/office/officeart/2005/8/layout/orgChart1"/>
    <dgm:cxn modelId="{4B3C4D81-4EE9-4C6A-81DA-0289B211395D}" srcId="{8FF59E36-9B6D-4ED5-9EE5-3DFD48360DAF}" destId="{4FF8B55B-4BFC-4B3F-8CF8-5CEB6D48D8F8}" srcOrd="0" destOrd="0" parTransId="{5F6B68E7-871D-4E56-A5A3-E0CB4892A70A}" sibTransId="{E12040A6-50B7-483D-A01B-C44782D9A5B6}"/>
    <dgm:cxn modelId="{2446A5A4-630C-487A-8DC2-F516E26DF38F}" type="presOf" srcId="{CA5664FD-D6FE-4111-B096-B29D9A01298B}" destId="{DA7ACC4B-0A6B-47C1-ACAE-477D3AE5D7FC}" srcOrd="0" destOrd="0" presId="urn:microsoft.com/office/officeart/2005/8/layout/orgChart1"/>
    <dgm:cxn modelId="{200445A9-0B8A-4A1B-8636-C86938A06E64}" type="presOf" srcId="{4A53AB6B-8CCA-4EB5-996E-E629492ABC58}" destId="{18B8A3E6-37C1-45D8-A7CD-B4E893E445DC}" srcOrd="0" destOrd="0" presId="urn:microsoft.com/office/officeart/2005/8/layout/orgChart1"/>
    <dgm:cxn modelId="{A2032BB0-A63B-4589-B461-BC1E18BB8C72}" type="presOf" srcId="{A61EC265-8995-4714-9245-23C4FFA981C1}" destId="{6B3E62BD-D43E-4339-B70A-1AEF220A9CB3}" srcOrd="0" destOrd="0" presId="urn:microsoft.com/office/officeart/2005/8/layout/orgChart1"/>
    <dgm:cxn modelId="{4DD085B9-65B9-4E7E-B4E2-DDF8FFCE7346}" type="presOf" srcId="{D81BB102-B069-404A-B514-0BA985D1E8F4}" destId="{3DA35D64-6EA8-4DD9-888A-5B6481F87D73}" srcOrd="0" destOrd="0" presId="urn:microsoft.com/office/officeart/2005/8/layout/orgChart1"/>
    <dgm:cxn modelId="{4B2221BA-34EC-4B5D-BC7B-8F4004FCAE19}" type="presOf" srcId="{4FF8B55B-4BFC-4B3F-8CF8-5CEB6D48D8F8}" destId="{5272FDFC-913C-403D-803B-2299AB627477}" srcOrd="0" destOrd="0" presId="urn:microsoft.com/office/officeart/2005/8/layout/orgChart1"/>
    <dgm:cxn modelId="{58D96BBC-0683-42AE-9A34-E6E7519D1772}" type="presOf" srcId="{BFE70983-0D82-4CEC-88AB-BA7FCE4CA036}" destId="{DCD9AD8E-7F38-44AF-A046-9E4A957794EF}" srcOrd="0" destOrd="0" presId="urn:microsoft.com/office/officeart/2005/8/layout/orgChart1"/>
    <dgm:cxn modelId="{570174C1-334F-4C76-9505-E4E15AF0D29D}" type="presOf" srcId="{7DE57F6A-FA34-4C3B-87A5-1D4CCF1FD78F}" destId="{3B529764-69D4-450A-8C34-8018A2DD45CF}" srcOrd="0" destOrd="0" presId="urn:microsoft.com/office/officeart/2005/8/layout/orgChart1"/>
    <dgm:cxn modelId="{29853EC4-2425-4938-A7A8-2E305B7E046F}" type="presOf" srcId="{56012047-0445-447C-9234-611A335FB193}" destId="{57411D60-11E5-4A63-928A-67BB9FEE078E}" srcOrd="0" destOrd="0" presId="urn:microsoft.com/office/officeart/2005/8/layout/orgChart1"/>
    <dgm:cxn modelId="{23F6F3CE-C51A-4B33-A092-E11C19E45B0C}" type="presOf" srcId="{2EFBE230-E837-4441-B829-34DE9CEA5DD8}" destId="{F80E35A6-A7C1-4533-9A59-C9F97CC5A157}" srcOrd="0" destOrd="0" presId="urn:microsoft.com/office/officeart/2005/8/layout/orgChart1"/>
    <dgm:cxn modelId="{5325E4D0-573A-4F8E-904E-6A066BBE7703}" type="presOf" srcId="{4A53AB6B-8CCA-4EB5-996E-E629492ABC58}" destId="{68E104BC-5F1A-4ABC-9EBD-5CF27B0DEC96}" srcOrd="1" destOrd="0" presId="urn:microsoft.com/office/officeart/2005/8/layout/orgChart1"/>
    <dgm:cxn modelId="{4C0BD4F1-56D7-436D-8DEC-4F363DC4F15C}" type="presOf" srcId="{9E6D8A60-CD19-4791-A42D-A2D8B8DF7A44}" destId="{B02941D5-25CC-4F27-B243-DC5A1DDE3845}" srcOrd="0" destOrd="0" presId="urn:microsoft.com/office/officeart/2005/8/layout/orgChart1"/>
    <dgm:cxn modelId="{361923F3-5594-4A33-8003-6AFF95283FB2}" type="presOf" srcId="{1123184F-B418-4F3D-A910-F9E75D5DC9A2}" destId="{921FD70F-BE14-458D-BA90-33FA662B5F6A}" srcOrd="0" destOrd="0" presId="urn:microsoft.com/office/officeart/2005/8/layout/orgChart1"/>
    <dgm:cxn modelId="{A3BFB7FF-5566-4843-B184-0EB5F514E482}" srcId="{4FF8B55B-4BFC-4B3F-8CF8-5CEB6D48D8F8}" destId="{4A53AB6B-8CCA-4EB5-996E-E629492ABC58}" srcOrd="3" destOrd="0" parTransId="{A61EC265-8995-4714-9245-23C4FFA981C1}" sibTransId="{4F30E98F-56E2-451B-AEFF-F5EDC047394B}"/>
    <dgm:cxn modelId="{096B0042-EAD0-410F-B0E8-5732D8C3B514}" type="presParOf" srcId="{921FD70F-BE14-458D-BA90-33FA662B5F6A}" destId="{D96EAFAE-955E-49A6-AA2D-3FF96BEABD1A}" srcOrd="0" destOrd="0" presId="urn:microsoft.com/office/officeart/2005/8/layout/orgChart1"/>
    <dgm:cxn modelId="{4B823C25-FFC7-472B-B89B-1A70D9E554FA}" type="presParOf" srcId="{D96EAFAE-955E-49A6-AA2D-3FF96BEABD1A}" destId="{51BCE6A7-14DF-445B-87A0-7D288E4A2B26}" srcOrd="0" destOrd="0" presId="urn:microsoft.com/office/officeart/2005/8/layout/orgChart1"/>
    <dgm:cxn modelId="{45D81D00-A0F2-4AC1-8969-B3937232DC17}" type="presParOf" srcId="{51BCE6A7-14DF-445B-87A0-7D288E4A2B26}" destId="{6A3DA052-71C5-4A8E-8104-B48E3772F6E7}" srcOrd="0" destOrd="0" presId="urn:microsoft.com/office/officeart/2005/8/layout/orgChart1"/>
    <dgm:cxn modelId="{15061AC5-7879-46C8-9628-781D345A0E78}" type="presParOf" srcId="{51BCE6A7-14DF-445B-87A0-7D288E4A2B26}" destId="{371FCF5B-0CD7-4730-B406-A27E5CCDC08C}" srcOrd="1" destOrd="0" presId="urn:microsoft.com/office/officeart/2005/8/layout/orgChart1"/>
    <dgm:cxn modelId="{DFC06DAF-E894-4506-8CC3-F67AAC1982E6}" type="presParOf" srcId="{D96EAFAE-955E-49A6-AA2D-3FF96BEABD1A}" destId="{A90A59F2-848A-4252-81A7-E96DC967C23D}" srcOrd="1" destOrd="0" presId="urn:microsoft.com/office/officeart/2005/8/layout/orgChart1"/>
    <dgm:cxn modelId="{B37BC920-E140-4CFF-AC8A-0DE3D2108788}" type="presParOf" srcId="{A90A59F2-848A-4252-81A7-E96DC967C23D}" destId="{ECFD3202-A741-4CD1-A2D7-8B93192FA247}" srcOrd="0" destOrd="0" presId="urn:microsoft.com/office/officeart/2005/8/layout/orgChart1"/>
    <dgm:cxn modelId="{D0AB867D-0E19-4207-A8A0-A79D0494562B}" type="presParOf" srcId="{A90A59F2-848A-4252-81A7-E96DC967C23D}" destId="{759581DD-FEAA-4F2D-86F0-7D972595C669}" srcOrd="1" destOrd="0" presId="urn:microsoft.com/office/officeart/2005/8/layout/orgChart1"/>
    <dgm:cxn modelId="{72F95AB9-BA96-4B54-B514-C426EDD25463}" type="presParOf" srcId="{759581DD-FEAA-4F2D-86F0-7D972595C669}" destId="{04C266AC-FAF8-4568-86A8-4D20AB39393A}" srcOrd="0" destOrd="0" presId="urn:microsoft.com/office/officeart/2005/8/layout/orgChart1"/>
    <dgm:cxn modelId="{23AB72AD-0462-4EE4-A8D7-3B7FEE5A89B6}" type="presParOf" srcId="{04C266AC-FAF8-4568-86A8-4D20AB39393A}" destId="{5272FDFC-913C-403D-803B-2299AB627477}" srcOrd="0" destOrd="0" presId="urn:microsoft.com/office/officeart/2005/8/layout/orgChart1"/>
    <dgm:cxn modelId="{C46C83FC-E609-49B5-B09B-87CD7BB5A5C4}" type="presParOf" srcId="{04C266AC-FAF8-4568-86A8-4D20AB39393A}" destId="{09007491-F980-4F48-B783-71F2803119A4}" srcOrd="1" destOrd="0" presId="urn:microsoft.com/office/officeart/2005/8/layout/orgChart1"/>
    <dgm:cxn modelId="{FEF37B3D-6578-49B4-96C6-6C42581AA661}" type="presParOf" srcId="{759581DD-FEAA-4F2D-86F0-7D972595C669}" destId="{04BE9B34-01AC-401B-8188-5D49B4AC3D76}" srcOrd="1" destOrd="0" presId="urn:microsoft.com/office/officeart/2005/8/layout/orgChart1"/>
    <dgm:cxn modelId="{92EFDF08-0391-447A-840D-66AE5E5644F4}" type="presParOf" srcId="{759581DD-FEAA-4F2D-86F0-7D972595C669}" destId="{FAE079B7-3DCA-4705-AF26-B30154EDF387}" srcOrd="2" destOrd="0" presId="urn:microsoft.com/office/officeart/2005/8/layout/orgChart1"/>
    <dgm:cxn modelId="{98539E64-C294-44E3-ACDC-32A64B8791BD}" type="presParOf" srcId="{FAE079B7-3DCA-4705-AF26-B30154EDF387}" destId="{57411D60-11E5-4A63-928A-67BB9FEE078E}" srcOrd="0" destOrd="0" presId="urn:microsoft.com/office/officeart/2005/8/layout/orgChart1"/>
    <dgm:cxn modelId="{EB8ACA23-CAF5-42C9-BD7C-7C22A9A5015F}" type="presParOf" srcId="{FAE079B7-3DCA-4705-AF26-B30154EDF387}" destId="{793ACAC4-5276-476E-BBCB-5782353B9A39}" srcOrd="1" destOrd="0" presId="urn:microsoft.com/office/officeart/2005/8/layout/orgChart1"/>
    <dgm:cxn modelId="{F5694FF7-4F08-465C-A86A-8F25B02532A1}" type="presParOf" srcId="{793ACAC4-5276-476E-BBCB-5782353B9A39}" destId="{268CE342-F83D-4C26-ABB8-FD935EAFF1E8}" srcOrd="0" destOrd="0" presId="urn:microsoft.com/office/officeart/2005/8/layout/orgChart1"/>
    <dgm:cxn modelId="{990C5D39-2FA4-4B58-8896-D0683AD21934}" type="presParOf" srcId="{268CE342-F83D-4C26-ABB8-FD935EAFF1E8}" destId="{3DA35D64-6EA8-4DD9-888A-5B6481F87D73}" srcOrd="0" destOrd="0" presId="urn:microsoft.com/office/officeart/2005/8/layout/orgChart1"/>
    <dgm:cxn modelId="{CC718281-9071-44A7-8691-A8D5202DD543}" type="presParOf" srcId="{268CE342-F83D-4C26-ABB8-FD935EAFF1E8}" destId="{E160817D-EC3D-45B4-BE15-6727A7BAD478}" srcOrd="1" destOrd="0" presId="urn:microsoft.com/office/officeart/2005/8/layout/orgChart1"/>
    <dgm:cxn modelId="{82835712-D11A-4C4A-9634-CC0ECFB4CAFC}" type="presParOf" srcId="{793ACAC4-5276-476E-BBCB-5782353B9A39}" destId="{BDF767BE-30D2-445F-836B-5891120AA423}" srcOrd="1" destOrd="0" presId="urn:microsoft.com/office/officeart/2005/8/layout/orgChart1"/>
    <dgm:cxn modelId="{32BBDE38-8714-48CE-A2C4-425B5E511F02}" type="presParOf" srcId="{793ACAC4-5276-476E-BBCB-5782353B9A39}" destId="{BBD21ABF-055E-4FA8-984D-B72A5555CB3A}" srcOrd="2" destOrd="0" presId="urn:microsoft.com/office/officeart/2005/8/layout/orgChart1"/>
    <dgm:cxn modelId="{7B2943B8-8367-4E2F-AC7B-7FDA40BD8C94}" type="presParOf" srcId="{FAE079B7-3DCA-4705-AF26-B30154EDF387}" destId="{DA7ACC4B-0A6B-47C1-ACAE-477D3AE5D7FC}" srcOrd="2" destOrd="0" presId="urn:microsoft.com/office/officeart/2005/8/layout/orgChart1"/>
    <dgm:cxn modelId="{BB2E76F6-4152-423F-BA07-6808D909086A}" type="presParOf" srcId="{FAE079B7-3DCA-4705-AF26-B30154EDF387}" destId="{E8AA7B28-394E-4FB9-86EA-AD693A4F6103}" srcOrd="3" destOrd="0" presId="urn:microsoft.com/office/officeart/2005/8/layout/orgChart1"/>
    <dgm:cxn modelId="{13FB0A03-0DCD-4798-BFEF-4BD46B05730E}" type="presParOf" srcId="{E8AA7B28-394E-4FB9-86EA-AD693A4F6103}" destId="{5058F3F5-09B6-4CE5-B849-E71EACD51D8B}" srcOrd="0" destOrd="0" presId="urn:microsoft.com/office/officeart/2005/8/layout/orgChart1"/>
    <dgm:cxn modelId="{C12C7557-A402-47A8-91D1-4A53B3A6254E}" type="presParOf" srcId="{5058F3F5-09B6-4CE5-B849-E71EACD51D8B}" destId="{38C9B0AD-C1BD-422E-9FCC-A8A5AA443D2A}" srcOrd="0" destOrd="0" presId="urn:microsoft.com/office/officeart/2005/8/layout/orgChart1"/>
    <dgm:cxn modelId="{29E81438-C480-4E2C-B045-D907B586918C}" type="presParOf" srcId="{5058F3F5-09B6-4CE5-B849-E71EACD51D8B}" destId="{B2392FED-F044-40E3-90FA-9AD3A0F1A5C1}" srcOrd="1" destOrd="0" presId="urn:microsoft.com/office/officeart/2005/8/layout/orgChart1"/>
    <dgm:cxn modelId="{E5C2F54A-F0E8-4530-975C-63C8155841A4}" type="presParOf" srcId="{E8AA7B28-394E-4FB9-86EA-AD693A4F6103}" destId="{7D4190ED-B97D-4052-B411-6F9BF7BD7DD4}" srcOrd="1" destOrd="0" presId="urn:microsoft.com/office/officeart/2005/8/layout/orgChart1"/>
    <dgm:cxn modelId="{B2D398A7-228D-422C-8782-313B2CD1C154}" type="presParOf" srcId="{E8AA7B28-394E-4FB9-86EA-AD693A4F6103}" destId="{B515B52D-13E9-4F50-8BAA-857F8C9ECA90}" srcOrd="2" destOrd="0" presId="urn:microsoft.com/office/officeart/2005/8/layout/orgChart1"/>
    <dgm:cxn modelId="{74953118-E7B3-45C2-A64E-CF94A376BD6F}" type="presParOf" srcId="{FAE079B7-3DCA-4705-AF26-B30154EDF387}" destId="{3B529764-69D4-450A-8C34-8018A2DD45CF}" srcOrd="4" destOrd="0" presId="urn:microsoft.com/office/officeart/2005/8/layout/orgChart1"/>
    <dgm:cxn modelId="{C13A4735-99FB-4A42-BE79-2288F6FFC45C}" type="presParOf" srcId="{FAE079B7-3DCA-4705-AF26-B30154EDF387}" destId="{036D2EA8-277D-4525-9DCD-A5878C50831C}" srcOrd="5" destOrd="0" presId="urn:microsoft.com/office/officeart/2005/8/layout/orgChart1"/>
    <dgm:cxn modelId="{47B9EEBF-F142-4D06-9BC5-CF48F284EB34}" type="presParOf" srcId="{036D2EA8-277D-4525-9DCD-A5878C50831C}" destId="{DA6CD809-4A1F-4918-B554-738D819B094B}" srcOrd="0" destOrd="0" presId="urn:microsoft.com/office/officeart/2005/8/layout/orgChart1"/>
    <dgm:cxn modelId="{CE81F764-2380-46C4-B519-D4984DF6A740}" type="presParOf" srcId="{DA6CD809-4A1F-4918-B554-738D819B094B}" destId="{F80E35A6-A7C1-4533-9A59-C9F97CC5A157}" srcOrd="0" destOrd="0" presId="urn:microsoft.com/office/officeart/2005/8/layout/orgChart1"/>
    <dgm:cxn modelId="{391EA5FD-D19D-48DA-9A63-F5AB47E91C7A}" type="presParOf" srcId="{DA6CD809-4A1F-4918-B554-738D819B094B}" destId="{D62071E1-0FFA-4E12-A380-7432FE80703F}" srcOrd="1" destOrd="0" presId="urn:microsoft.com/office/officeart/2005/8/layout/orgChart1"/>
    <dgm:cxn modelId="{551D9DD4-71FA-42A5-A3B0-92B88D7631A6}" type="presParOf" srcId="{036D2EA8-277D-4525-9DCD-A5878C50831C}" destId="{5A913DD8-6E58-420A-8A15-5190D7F717A9}" srcOrd="1" destOrd="0" presId="urn:microsoft.com/office/officeart/2005/8/layout/orgChart1"/>
    <dgm:cxn modelId="{CB87C840-3049-4379-8658-67E818196590}" type="presParOf" srcId="{036D2EA8-277D-4525-9DCD-A5878C50831C}" destId="{F1111584-5B2C-4479-9885-69FABA6120CB}" srcOrd="2" destOrd="0" presId="urn:microsoft.com/office/officeart/2005/8/layout/orgChart1"/>
    <dgm:cxn modelId="{F75C0565-7198-4EF9-98AE-41FEFF2FE9BA}" type="presParOf" srcId="{FAE079B7-3DCA-4705-AF26-B30154EDF387}" destId="{6B3E62BD-D43E-4339-B70A-1AEF220A9CB3}" srcOrd="6" destOrd="0" presId="urn:microsoft.com/office/officeart/2005/8/layout/orgChart1"/>
    <dgm:cxn modelId="{81C0E8BC-B19B-4354-BEED-4FFC550AB6F9}" type="presParOf" srcId="{FAE079B7-3DCA-4705-AF26-B30154EDF387}" destId="{D84C07FC-50D7-4887-ADD0-EE2ADA444F5C}" srcOrd="7" destOrd="0" presId="urn:microsoft.com/office/officeart/2005/8/layout/orgChart1"/>
    <dgm:cxn modelId="{4AD2AD9D-6215-4587-9B12-D10159044C02}" type="presParOf" srcId="{D84C07FC-50D7-4887-ADD0-EE2ADA444F5C}" destId="{61DC6589-3755-4EBC-A2A2-731C9759CF09}" srcOrd="0" destOrd="0" presId="urn:microsoft.com/office/officeart/2005/8/layout/orgChart1"/>
    <dgm:cxn modelId="{8F81F573-CD1B-4258-A405-03FCDDFBAF30}" type="presParOf" srcId="{61DC6589-3755-4EBC-A2A2-731C9759CF09}" destId="{18B8A3E6-37C1-45D8-A7CD-B4E893E445DC}" srcOrd="0" destOrd="0" presId="urn:microsoft.com/office/officeart/2005/8/layout/orgChart1"/>
    <dgm:cxn modelId="{C5048C6A-1E15-4ABE-A454-96F4F14F91E0}" type="presParOf" srcId="{61DC6589-3755-4EBC-A2A2-731C9759CF09}" destId="{68E104BC-5F1A-4ABC-9EBD-5CF27B0DEC96}" srcOrd="1" destOrd="0" presId="urn:microsoft.com/office/officeart/2005/8/layout/orgChart1"/>
    <dgm:cxn modelId="{56442EDA-BF55-4AB2-A798-1D3B40459E8B}" type="presParOf" srcId="{D84C07FC-50D7-4887-ADD0-EE2ADA444F5C}" destId="{EB21788C-1888-4D19-B054-D93A7CB7C22B}" srcOrd="1" destOrd="0" presId="urn:microsoft.com/office/officeart/2005/8/layout/orgChart1"/>
    <dgm:cxn modelId="{BAFB4D7C-6A0D-4C0D-A784-568CF8B6D553}" type="presParOf" srcId="{D84C07FC-50D7-4887-ADD0-EE2ADA444F5C}" destId="{034304EB-B16D-41EE-8F77-79AF9AB7C21C}" srcOrd="2" destOrd="0" presId="urn:microsoft.com/office/officeart/2005/8/layout/orgChart1"/>
    <dgm:cxn modelId="{91594C25-0348-43B8-908A-1F6F767C8A92}" type="presParOf" srcId="{A90A59F2-848A-4252-81A7-E96DC967C23D}" destId="{B02941D5-25CC-4F27-B243-DC5A1DDE3845}" srcOrd="2" destOrd="0" presId="urn:microsoft.com/office/officeart/2005/8/layout/orgChart1"/>
    <dgm:cxn modelId="{960D793A-B0E4-4E82-AA1F-3DCD79BE21D0}" type="presParOf" srcId="{A90A59F2-848A-4252-81A7-E96DC967C23D}" destId="{8380CABA-2EC2-43D0-BB5F-0037B658532D}" srcOrd="3" destOrd="0" presId="urn:microsoft.com/office/officeart/2005/8/layout/orgChart1"/>
    <dgm:cxn modelId="{6149DA26-B6A8-4DA4-AF02-2EE7F061F656}" type="presParOf" srcId="{8380CABA-2EC2-43D0-BB5F-0037B658532D}" destId="{48798EA1-0EEA-4030-94C6-A1C7283DF3B3}" srcOrd="0" destOrd="0" presId="urn:microsoft.com/office/officeart/2005/8/layout/orgChart1"/>
    <dgm:cxn modelId="{923BC7B9-FFE7-4B37-AC34-31916102CE2E}" type="presParOf" srcId="{48798EA1-0EEA-4030-94C6-A1C7283DF3B3}" destId="{DCD9AD8E-7F38-44AF-A046-9E4A957794EF}" srcOrd="0" destOrd="0" presId="urn:microsoft.com/office/officeart/2005/8/layout/orgChart1"/>
    <dgm:cxn modelId="{0F09FD3F-07D7-4068-85C0-485827673DC2}" type="presParOf" srcId="{48798EA1-0EEA-4030-94C6-A1C7283DF3B3}" destId="{4F1B53F6-8562-4872-BB8C-2396722E6AC7}" srcOrd="1" destOrd="0" presId="urn:microsoft.com/office/officeart/2005/8/layout/orgChart1"/>
    <dgm:cxn modelId="{00F41028-5455-4850-80F0-E931D10C3CF5}" type="presParOf" srcId="{8380CABA-2EC2-43D0-BB5F-0037B658532D}" destId="{733A3E4A-2115-4B03-869E-247E7A80036F}" srcOrd="1" destOrd="0" presId="urn:microsoft.com/office/officeart/2005/8/layout/orgChart1"/>
    <dgm:cxn modelId="{A85FD028-F115-4988-A68C-1C2CDB273625}" type="presParOf" srcId="{8380CABA-2EC2-43D0-BB5F-0037B658532D}" destId="{A8F53B3E-9C20-449E-8484-374E99713008}" srcOrd="2" destOrd="0" presId="urn:microsoft.com/office/officeart/2005/8/layout/orgChart1"/>
    <dgm:cxn modelId="{B7C4F970-B1C6-4D83-85A7-338DB88F98C8}" type="presParOf" srcId="{D96EAFAE-955E-49A6-AA2D-3FF96BEABD1A}" destId="{4971998F-AE78-4CEB-B4C3-3793C4A66DB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2941D5-25CC-4F27-B243-DC5A1DDE3845}">
      <dsp:nvSpPr>
        <dsp:cNvPr id="0" name=""/>
        <dsp:cNvSpPr/>
      </dsp:nvSpPr>
      <dsp:spPr>
        <a:xfrm>
          <a:off x="3157501" y="463294"/>
          <a:ext cx="829328" cy="235042"/>
        </a:xfrm>
        <a:custGeom>
          <a:avLst/>
          <a:gdLst/>
          <a:ahLst/>
          <a:cxnLst/>
          <a:rect l="0" t="0" r="0" b="0"/>
          <a:pathLst>
            <a:path>
              <a:moveTo>
                <a:pt x="0" y="0"/>
              </a:moveTo>
              <a:lnTo>
                <a:pt x="0" y="91235"/>
              </a:lnTo>
              <a:lnTo>
                <a:pt x="829328" y="91235"/>
              </a:lnTo>
              <a:lnTo>
                <a:pt x="829328" y="235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3E62BD-D43E-4339-B70A-1AEF220A9CB3}">
      <dsp:nvSpPr>
        <dsp:cNvPr id="0" name=""/>
        <dsp:cNvSpPr/>
      </dsp:nvSpPr>
      <dsp:spPr>
        <a:xfrm>
          <a:off x="2334582" y="1446215"/>
          <a:ext cx="144532" cy="1591909"/>
        </a:xfrm>
        <a:custGeom>
          <a:avLst/>
          <a:gdLst/>
          <a:ahLst/>
          <a:cxnLst/>
          <a:rect l="0" t="0" r="0" b="0"/>
          <a:pathLst>
            <a:path>
              <a:moveTo>
                <a:pt x="0" y="0"/>
              </a:moveTo>
              <a:lnTo>
                <a:pt x="0" y="1591909"/>
              </a:lnTo>
              <a:lnTo>
                <a:pt x="144532" y="15919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529764-69D4-450A-8C34-8018A2DD45CF}">
      <dsp:nvSpPr>
        <dsp:cNvPr id="0" name=""/>
        <dsp:cNvSpPr/>
      </dsp:nvSpPr>
      <dsp:spPr>
        <a:xfrm>
          <a:off x="2191501" y="1446215"/>
          <a:ext cx="143081" cy="1591909"/>
        </a:xfrm>
        <a:custGeom>
          <a:avLst/>
          <a:gdLst/>
          <a:ahLst/>
          <a:cxnLst/>
          <a:rect l="0" t="0" r="0" b="0"/>
          <a:pathLst>
            <a:path>
              <a:moveTo>
                <a:pt x="143081" y="0"/>
              </a:moveTo>
              <a:lnTo>
                <a:pt x="143081" y="1591909"/>
              </a:lnTo>
              <a:lnTo>
                <a:pt x="0" y="15919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7ACC4B-0A6B-47C1-ACAE-477D3AE5D7FC}">
      <dsp:nvSpPr>
        <dsp:cNvPr id="0" name=""/>
        <dsp:cNvSpPr/>
      </dsp:nvSpPr>
      <dsp:spPr>
        <a:xfrm>
          <a:off x="2334582" y="1446215"/>
          <a:ext cx="402214" cy="619500"/>
        </a:xfrm>
        <a:custGeom>
          <a:avLst/>
          <a:gdLst/>
          <a:ahLst/>
          <a:cxnLst/>
          <a:rect l="0" t="0" r="0" b="0"/>
          <a:pathLst>
            <a:path>
              <a:moveTo>
                <a:pt x="0" y="0"/>
              </a:moveTo>
              <a:lnTo>
                <a:pt x="0" y="619500"/>
              </a:lnTo>
              <a:lnTo>
                <a:pt x="402214" y="6195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411D60-11E5-4A63-928A-67BB9FEE078E}">
      <dsp:nvSpPr>
        <dsp:cNvPr id="0" name=""/>
        <dsp:cNvSpPr/>
      </dsp:nvSpPr>
      <dsp:spPr>
        <a:xfrm>
          <a:off x="2191501" y="1446215"/>
          <a:ext cx="143081" cy="619500"/>
        </a:xfrm>
        <a:custGeom>
          <a:avLst/>
          <a:gdLst/>
          <a:ahLst/>
          <a:cxnLst/>
          <a:rect l="0" t="0" r="0" b="0"/>
          <a:pathLst>
            <a:path>
              <a:moveTo>
                <a:pt x="143081" y="0"/>
              </a:moveTo>
              <a:lnTo>
                <a:pt x="143081" y="619500"/>
              </a:lnTo>
              <a:lnTo>
                <a:pt x="0" y="6195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FD3202-A741-4CD1-A2D7-8B93192FA247}">
      <dsp:nvSpPr>
        <dsp:cNvPr id="0" name=""/>
        <dsp:cNvSpPr/>
      </dsp:nvSpPr>
      <dsp:spPr>
        <a:xfrm>
          <a:off x="2334582" y="463294"/>
          <a:ext cx="822918" cy="298125"/>
        </a:xfrm>
        <a:custGeom>
          <a:avLst/>
          <a:gdLst/>
          <a:ahLst/>
          <a:cxnLst/>
          <a:rect l="0" t="0" r="0" b="0"/>
          <a:pathLst>
            <a:path>
              <a:moveTo>
                <a:pt x="822918" y="0"/>
              </a:moveTo>
              <a:lnTo>
                <a:pt x="822918" y="154318"/>
              </a:lnTo>
              <a:lnTo>
                <a:pt x="0" y="154318"/>
              </a:lnTo>
              <a:lnTo>
                <a:pt x="0" y="2981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3DA052-71C5-4A8E-8104-B48E3772F6E7}">
      <dsp:nvSpPr>
        <dsp:cNvPr id="0" name=""/>
        <dsp:cNvSpPr/>
      </dsp:nvSpPr>
      <dsp:spPr>
        <a:xfrm>
          <a:off x="2472705" y="852"/>
          <a:ext cx="1369590" cy="4624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 </a:t>
          </a:r>
          <a:r>
            <a:rPr lang="en-US" sz="1400" kern="1200">
              <a:latin typeface="Times New Roman" panose="02020603050405020304" pitchFamily="18" charset="0"/>
              <a:cs typeface="Times New Roman" panose="02020603050405020304" pitchFamily="18" charset="0"/>
            </a:rPr>
            <a:t>India's R&amp;D</a:t>
          </a:r>
        </a:p>
      </dsp:txBody>
      <dsp:txXfrm>
        <a:off x="2472705" y="852"/>
        <a:ext cx="1369590" cy="462442"/>
      </dsp:txXfrm>
    </dsp:sp>
    <dsp:sp modelId="{5272FDFC-913C-403D-803B-2299AB627477}">
      <dsp:nvSpPr>
        <dsp:cNvPr id="0" name=""/>
        <dsp:cNvSpPr/>
      </dsp:nvSpPr>
      <dsp:spPr>
        <a:xfrm>
          <a:off x="1649787" y="761420"/>
          <a:ext cx="1369590"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endParaRPr lang="en-US" sz="1400" kern="1200">
            <a:latin typeface="Times New Roman" panose="02020603050405020304" pitchFamily="18" charset="0"/>
            <a:cs typeface="Times New Roman" panose="02020603050405020304" pitchFamily="18" charset="0"/>
          </a:endParaRP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Public sector</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(63.2%)</a:t>
          </a:r>
        </a:p>
        <a:p>
          <a:pPr marL="0" lvl="0" indent="0" algn="ctr" defTabSz="622300">
            <a:lnSpc>
              <a:spcPct val="90000"/>
            </a:lnSpc>
            <a:spcBef>
              <a:spcPct val="0"/>
            </a:spcBef>
            <a:spcAft>
              <a:spcPct val="35000"/>
            </a:spcAft>
            <a:buNone/>
          </a:pPr>
          <a:endParaRPr lang="en-US" sz="1300" kern="1200"/>
        </a:p>
      </dsp:txBody>
      <dsp:txXfrm>
        <a:off x="1649787" y="761420"/>
        <a:ext cx="1369590" cy="684795"/>
      </dsp:txXfrm>
    </dsp:sp>
    <dsp:sp modelId="{3DA35D64-6EA8-4DD9-888A-5B6481F87D73}">
      <dsp:nvSpPr>
        <dsp:cNvPr id="0" name=""/>
        <dsp:cNvSpPr/>
      </dsp:nvSpPr>
      <dsp:spPr>
        <a:xfrm>
          <a:off x="821910" y="1723318"/>
          <a:ext cx="1369590"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Central Govt</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(45.4%)</a:t>
          </a:r>
        </a:p>
      </dsp:txBody>
      <dsp:txXfrm>
        <a:off x="821910" y="1723318"/>
        <a:ext cx="1369590" cy="684795"/>
      </dsp:txXfrm>
    </dsp:sp>
    <dsp:sp modelId="{38C9B0AD-C1BD-422E-9FCC-A8A5AA443D2A}">
      <dsp:nvSpPr>
        <dsp:cNvPr id="0" name=""/>
        <dsp:cNvSpPr/>
      </dsp:nvSpPr>
      <dsp:spPr>
        <a:xfrm>
          <a:off x="2736797" y="1723318"/>
          <a:ext cx="1147182"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CPSEs</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(4.6%)</a:t>
          </a:r>
        </a:p>
      </dsp:txBody>
      <dsp:txXfrm>
        <a:off x="2736797" y="1723318"/>
        <a:ext cx="1147182" cy="684795"/>
      </dsp:txXfrm>
    </dsp:sp>
    <dsp:sp modelId="{F80E35A6-A7C1-4533-9A59-C9F97CC5A157}">
      <dsp:nvSpPr>
        <dsp:cNvPr id="0" name=""/>
        <dsp:cNvSpPr/>
      </dsp:nvSpPr>
      <dsp:spPr>
        <a:xfrm>
          <a:off x="821910" y="2695727"/>
          <a:ext cx="1369590"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State Govt</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(6.4%)</a:t>
          </a:r>
        </a:p>
      </dsp:txBody>
      <dsp:txXfrm>
        <a:off x="821910" y="2695727"/>
        <a:ext cx="1369590" cy="684795"/>
      </dsp:txXfrm>
    </dsp:sp>
    <dsp:sp modelId="{18B8A3E6-37C1-45D8-A7CD-B4E893E445DC}">
      <dsp:nvSpPr>
        <dsp:cNvPr id="0" name=""/>
        <dsp:cNvSpPr/>
      </dsp:nvSpPr>
      <dsp:spPr>
        <a:xfrm>
          <a:off x="2479115" y="2695727"/>
          <a:ext cx="1369590"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Universites</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(6.8%)</a:t>
          </a:r>
        </a:p>
      </dsp:txBody>
      <dsp:txXfrm>
        <a:off x="2479115" y="2695727"/>
        <a:ext cx="1369590" cy="684795"/>
      </dsp:txXfrm>
    </dsp:sp>
    <dsp:sp modelId="{DCD9AD8E-7F38-44AF-A046-9E4A957794EF}">
      <dsp:nvSpPr>
        <dsp:cNvPr id="0" name=""/>
        <dsp:cNvSpPr/>
      </dsp:nvSpPr>
      <dsp:spPr>
        <a:xfrm>
          <a:off x="3308443" y="698336"/>
          <a:ext cx="1356771"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Private sector</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(36.8%)</a:t>
          </a:r>
        </a:p>
      </dsp:txBody>
      <dsp:txXfrm>
        <a:off x="3308443" y="698336"/>
        <a:ext cx="1356771" cy="6847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Joh22</b:Tag>
    <b:SourceType>Report</b:SourceType>
    <b:Guid>{8CD73836-B1BD-4023-93A1-EBE40088CE6E}</b:Guid>
    <b:Author>
      <b:Author>
        <b:NameList>
          <b:Person>
            <b:Last>Sargent</b:Last>
            <b:First>John</b:First>
            <b:Middle>F.</b:Middle>
          </b:Person>
        </b:NameList>
      </b:Author>
    </b:Author>
    <b:Title>Global Research and Development Expenditures: Fact Sheet</b:Title>
    <b:Year>September 14, 2022</b:Year>
    <b:Publisher>Congressional Research Service</b:Publisher>
    <b:RefOrder>1</b:RefOrder>
  </b:Source>
  <b:Source>
    <b:Tag>Eco19</b:Tag>
    <b:SourceType>Report</b:SourceType>
    <b:Guid>{86EB8D54-5881-4FBB-B21F-AED38BF66DDF}</b:Guid>
    <b:Author>
      <b:Author>
        <b:NameList>
          <b:Person>
            <b:Last>Shri Ratan Watal</b:Last>
            <b:First>Shri</b:First>
            <b:Middle>B. N. Satpathy and Shri Suneet Mohan</b:Middle>
          </b:Person>
        </b:NameList>
      </b:Author>
    </b:Author>
    <b:Title>R&amp;D expenditure Ecosystem:  Current status &amp; A way forward</b:Title>
    <b:Year>2019</b:Year>
    <b:Publisher> Economic Advisory Council to the Prime Minister</b:Publisher>
    <b:RefOrder>2</b:RefOrder>
  </b:Source>
  <b:Source>
    <b:Tag>PRS22</b:Tag>
    <b:SourceType>Report</b:SourceType>
    <b:Guid>{80327960-CF09-4EA6-8427-FFCC98FAF621}</b:Guid>
    <b:Author>
      <b:Author>
        <b:NameList>
          <b:Person>
            <b:Last>PRS legislative research</b:Last>
          </b:Person>
        </b:NameList>
      </b:Author>
    </b:Author>
    <b:Title>Demand for Grants 2021-22 Analysis  Science and Technology</b:Title>
    <b:Year>2021-22</b:Year>
    <b:RefOrder>3</b:RefOrder>
  </b:Source>
</b:Sources>
</file>

<file path=customXml/itemProps1.xml><?xml version="1.0" encoding="utf-8"?>
<ds:datastoreItem xmlns:ds="http://schemas.openxmlformats.org/officeDocument/2006/customXml" ds:itemID="{17500792-0BBA-47DC-B973-1F398093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4412</Words>
  <Characters>25152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1183</cp:lastModifiedBy>
  <cp:revision>15</cp:revision>
  <dcterms:created xsi:type="dcterms:W3CDTF">2025-09-30T10:30:00Z</dcterms:created>
  <dcterms:modified xsi:type="dcterms:W3CDTF">2025-10-08T08:43:00Z</dcterms:modified>
</cp:coreProperties>
</file>