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37C" w:rsidRDefault="00EC69F2">
      <w:pPr>
        <w:spacing w:before="240" w:after="240" w:line="240" w:lineRule="auto"/>
        <w:jc w:val="right"/>
        <w:rPr>
          <w:b/>
          <w:sz w:val="36"/>
          <w:szCs w:val="36"/>
        </w:rPr>
      </w:pPr>
      <w:r>
        <w:rPr>
          <w:noProof/>
        </w:rPr>
        <mc:AlternateContent>
          <mc:Choice Requires="wps">
            <w:drawing>
              <wp:anchor distT="0" distB="0" distL="0" distR="0" simplePos="0" relativeHeight="2" behindDoc="0" locked="0" layoutInCell="1" allowOverlap="1">
                <wp:simplePos x="0" y="0"/>
                <wp:positionH relativeFrom="column">
                  <wp:posOffset>12065</wp:posOffset>
                </wp:positionH>
                <wp:positionV relativeFrom="paragraph">
                  <wp:posOffset>767936</wp:posOffset>
                </wp:positionV>
                <wp:extent cx="5755487" cy="38804"/>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755487" cy="38804"/>
                        </a:xfrm>
                        <a:prstGeom prst="straightConnector1">
                          <a:avLst/>
                        </a:prstGeom>
                        <a:ln w="25400" cap="flat" cmpd="sng">
                          <a:solidFill>
                            <a:srgbClr val="000000"/>
                          </a:solidFill>
                          <a:prstDash val="solid"/>
                          <a:round/>
                          <a:headEnd type="none" w="sm" len="sm"/>
                          <a:tailEnd type="none" w="sm" len="sm"/>
                        </a:ln>
                      </wps:spPr>
                      <wps:bodyPr/>
                    </wps:wsp>
                  </a:graphicData>
                </a:graphic>
              </wp:anchor>
            </w:drawing>
          </mc:Choice>
          <mc:Fallback>
            <w:pict>
              <v:shapetype w14:anchorId="6034F072" id="_x0000_t32" coordsize="21600,21600" o:spt="32" o:oned="t" path="m,l21600,21600e" filled="f">
                <v:path arrowok="t" fillok="f" o:connecttype="none"/>
                <o:lock v:ext="edit" shapetype="t"/>
              </v:shapetype>
              <v:shape id="Straight Arrow Connector 1026" o:spid="_x0000_s1026" type="#_x0000_t32" style="position:absolute;margin-left:.95pt;margin-top:60.45pt;width:453.2pt;height:3.05pt;rotation:180;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" strokeweight="2pt">
                <v:stroke startarrowwidth="narrow" startarrowlength="short" endarrowwidth="narrow" endarrowlength="short"/>
                <o:lock v:ext="edit" shapetype="f"/>
              </v:shape>
            </w:pict>
          </mc:Fallback>
        </mc:AlternateContent>
      </w:r>
      <w:r w:rsidR="0049228C">
        <w:rPr>
          <w:b/>
          <w:sz w:val="36"/>
          <w:szCs w:val="36"/>
        </w:rPr>
        <w:t xml:space="preserve">  </w:t>
      </w:r>
      <w:r w:rsidR="009652E2">
        <w:rPr>
          <w:b/>
          <w:sz w:val="36"/>
          <w:szCs w:val="36"/>
        </w:rPr>
        <w:t>E</w:t>
      </w:r>
      <w:r w:rsidR="009652E2" w:rsidRPr="009652E2">
        <w:rPr>
          <w:b/>
          <w:sz w:val="36"/>
          <w:szCs w:val="36"/>
        </w:rPr>
        <w:t xml:space="preserve">xamined the </w:t>
      </w:r>
      <w:r w:rsidR="009652E2">
        <w:rPr>
          <w:b/>
          <w:sz w:val="36"/>
          <w:szCs w:val="36"/>
        </w:rPr>
        <w:t xml:space="preserve">Financial Literacy Among </w:t>
      </w:r>
      <w:proofErr w:type="spellStart"/>
      <w:r w:rsidR="009652E2" w:rsidRPr="009652E2">
        <w:rPr>
          <w:b/>
          <w:sz w:val="36"/>
          <w:szCs w:val="36"/>
        </w:rPr>
        <w:t>Pantawid</w:t>
      </w:r>
      <w:proofErr w:type="spellEnd"/>
      <w:r w:rsidR="009652E2" w:rsidRPr="009652E2">
        <w:rPr>
          <w:b/>
          <w:sz w:val="36"/>
          <w:szCs w:val="36"/>
        </w:rPr>
        <w:t xml:space="preserve"> </w:t>
      </w:r>
      <w:proofErr w:type="spellStart"/>
      <w:r w:rsidR="009652E2" w:rsidRPr="009652E2">
        <w:rPr>
          <w:b/>
          <w:sz w:val="36"/>
          <w:szCs w:val="36"/>
        </w:rPr>
        <w:t>Pamilyang</w:t>
      </w:r>
      <w:proofErr w:type="spellEnd"/>
      <w:r w:rsidR="009652E2" w:rsidRPr="009652E2">
        <w:rPr>
          <w:b/>
          <w:sz w:val="36"/>
          <w:szCs w:val="36"/>
        </w:rPr>
        <w:t xml:space="preserve"> Pilipino Program (4Ps)</w:t>
      </w:r>
      <w:r w:rsidR="009652E2">
        <w:rPr>
          <w:b/>
          <w:sz w:val="36"/>
          <w:szCs w:val="36"/>
        </w:rPr>
        <w:t xml:space="preserve"> Beneficiaries</w:t>
      </w:r>
    </w:p>
    <w:p w:rsidR="00EC69F2" w:rsidRDefault="00EC69F2">
      <w:pPr>
        <w:tabs>
          <w:tab w:val="left" w:pos="240"/>
          <w:tab w:val="right" w:pos="9026"/>
        </w:tabs>
        <w:spacing w:before="240" w:after="240" w:line="240" w:lineRule="auto"/>
        <w:jc w:val="left"/>
        <w:rPr>
          <w:b/>
          <w:sz w:val="22"/>
          <w:szCs w:val="22"/>
        </w:rPr>
      </w:pPr>
    </w:p>
    <w:p w:rsidR="004B237C" w:rsidRDefault="00EC69F2">
      <w:pPr>
        <w:tabs>
          <w:tab w:val="left" w:pos="240"/>
          <w:tab w:val="right" w:pos="9026"/>
        </w:tabs>
        <w:spacing w:before="240" w:after="240" w:line="240" w:lineRule="auto"/>
        <w:jc w:val="left"/>
        <w:rPr>
          <w:b/>
          <w:sz w:val="22"/>
          <w:szCs w:val="22"/>
        </w:rPr>
      </w:pPr>
      <w:r>
        <w:rPr>
          <w:b/>
          <w:sz w:val="22"/>
          <w:szCs w:val="22"/>
        </w:rPr>
        <w:t>ABSTRACT</w:t>
      </w:r>
      <w:r>
        <w:rPr>
          <w:noProof/>
        </w:rPr>
        <w:t xml:space="preserve"> </w:t>
      </w:r>
      <w:bookmarkStart w:id="0" w:name="_heading=h.2ie9rzd6rfv1" w:colFirst="0" w:colLast="0"/>
      <w:bookmarkEnd w:id="0"/>
    </w:p>
    <w:p w:rsidR="004B237C" w:rsidRDefault="00EC69F2">
      <w:pPr>
        <w:tabs>
          <w:tab w:val="left" w:pos="240"/>
          <w:tab w:val="right" w:pos="9026"/>
        </w:tabs>
        <w:spacing w:before="240" w:after="240" w:line="240" w:lineRule="auto"/>
        <w:jc w:val="left"/>
        <w:rPr>
          <w:b/>
          <w:sz w:val="22"/>
          <w:szCs w:val="22"/>
        </w:rPr>
      </w:pPr>
      <w:r>
        <w:rPr>
          <w:noProof/>
        </w:rPr>
        <mc:AlternateContent>
          <mc:Choice Requires="wps">
            <w:drawing>
              <wp:anchor distT="0" distB="0" distL="0" distR="0" simplePos="0" relativeHeight="3" behindDoc="1" locked="0" layoutInCell="1" allowOverlap="1">
                <wp:simplePos x="0" y="0"/>
                <wp:positionH relativeFrom="page">
                  <wp:posOffset>925181</wp:posOffset>
                </wp:positionH>
                <wp:positionV relativeFrom="page">
                  <wp:posOffset>2236869</wp:posOffset>
                </wp:positionV>
                <wp:extent cx="5849805" cy="3220556"/>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805" cy="3220556"/>
                        </a:xfrm>
                        <a:prstGeom prst="rect">
                          <a:avLst/>
                        </a:prstGeom>
                        <a:solidFill>
                          <a:srgbClr val="FFFFFF"/>
                        </a:solidFill>
                        <a:ln w="9525" cap="flat" cmpd="sng">
                          <a:solidFill>
                            <a:srgbClr val="666666"/>
                          </a:solidFill>
                          <a:prstDash val="solid"/>
                          <a:round/>
                          <a:headEnd type="none" w="med" len="med"/>
                          <a:tailEnd type="none" w="med" len="med"/>
                        </a:ln>
                      </wps:spPr>
                      <wps:txbx>
                        <w:txbxContent>
                          <w:p w:rsidR="009652E2" w:rsidRDefault="009652E2">
                            <w:r>
                              <w:t>Financial literacy is essential for empowering individuals to manage resources effectively, make informed decisions, and achieve economic stability. Yet, limited research has examined the financial literacy of marginalized groups such as Pantawid Pamilyang Pilipino Program (4Ps) beneficiaries, who face distinct economic challenges. To address this gap, this study assessed the financial literacy of 4Ps beneficiaries using a quantitative descriptive method. Data were collected through a complete enumeration survey, with most respondents having low income, high school education, and small family sizes. Findings revealed very high levels of financial skills, knowledge, and values, while financial attitude, behavior, and awareness were rated high. Overall financial literacy was also high, with an average mean score of 4.17. ANOVA results indicated no significant differences in financial literacy when grouped by education, occupation, income, family living arrangements, or number of children, suggesting uniformity across demographics. The study concluded that 4Ps beneficiaries possess strong financial literacy, particularly in skills, knowledge, and values, but need improvement in financial attitude. It is recommended that targeted financial literacy programs emphasize budgeting, expense reduction, emergency saving, and financial coaching. Future research should explore barriers that hinder effective record-keeping, budgeting practices, and sustained engagement with government support programs.</w:t>
                            </w:r>
                          </w:p>
                          <w:p w:rsidR="009652E2" w:rsidRDefault="009652E2">
                            <w:pPr>
                              <w:jc w:val="center"/>
                            </w:pPr>
                          </w:p>
                          <w:p w:rsidR="009652E2" w:rsidRDefault="009652E2">
                            <w:pPr>
                              <w:jc w:val="center"/>
                            </w:pPr>
                            <w:r>
                              <w:t>---</w:t>
                            </w:r>
                          </w:p>
                          <w:p w:rsidR="009652E2" w:rsidRDefault="009652E2">
                            <w:pPr>
                              <w:jc w:val="center"/>
                            </w:pPr>
                          </w:p>
                          <w:p w:rsidR="009652E2" w:rsidRDefault="009652E2">
                            <w:pPr>
                              <w:jc w:val="center"/>
                            </w:pPr>
                            <w:r>
                              <w:t>Would you like me to also make a **journal-style structured abstract** (with headings like Background, Method, Results, Conclusion, Recommendations) for academic submission?</w:t>
                            </w:r>
                          </w:p>
                          <w:p w:rsidR="009652E2" w:rsidRDefault="009652E2">
                            <w:pPr>
                              <w:jc w:val="center"/>
                            </w:pPr>
                          </w:p>
                        </w:txbxContent>
                      </wps:txbx>
                      <wps:bodyPr anchor="ctr">
                        <a:prstTxWarp prst="textNoShape">
                          <a:avLst/>
                        </a:prstTxWarp>
                        <a:noAutofit/>
                      </wps:bodyPr>
                    </wps:wsp>
                  </a:graphicData>
                </a:graphic>
              </wp:anchor>
            </w:drawing>
          </mc:Choice>
          <mc:Fallback>
            <w:pict>
              <v:rect id="Image1" o:spid="_x0000_s1026" style="position:absolute;margin-left:72.85pt;margin-top:176.15pt;width:460.6pt;height:253.6pt;z-index:-503316477;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" strokecolor="#666">
                <v:stroke joinstyle="round"/>
                <v:path arrowok="t"/>
                <v:textbox>
                  <w:txbxContent>
                    <w:p w:rsidR="009652E2" w:rsidRDefault="009652E2">
                      <w:r>
                        <w:t>Financial literacy is essential for empowering individuals to manage resources effectively, make informed decisions, and achieve economic stability. Yet, limited research has examined the financial literacy of marginalized groups such as Pantawid Pamilyang Pilipino Program (4Ps) beneficiaries, who face distinct economic challenges. To address this gap, this study assessed the financial literacy of 4Ps beneficiaries using a quantitative descriptive method. Data were collected through a complete enumeration survey, with most respondents having low income, high school education, and small family sizes. Findings revealed very high levels of financial skills, knowledge, and values, while financial attitude, behavior, and awareness were rated high. Overall financial literacy was also high, with an average mean score of 4.17. ANOVA results indicated no significant differences in financial literacy when grouped by education, occupation, income, family living arrangements, or number of children, suggesting uniformity across demographics. The study concluded that 4Ps beneficiaries possess strong financial literacy, particularly in skills, knowledge, and values, but need improvement in financial attitude. It is recommended that targeted financial literacy programs emphasize budgeting, expense reduction, emergency saving, and financial coaching. Future research should explore barriers that hinder effective record-keeping, budgeting practices, and sustained engagement with government support programs.</w:t>
                      </w:r>
                    </w:p>
                    <w:p w:rsidR="009652E2" w:rsidRDefault="009652E2">
                      <w:pPr>
                        <w:jc w:val="center"/>
                      </w:pPr>
                    </w:p>
                    <w:p w:rsidR="009652E2" w:rsidRDefault="009652E2">
                      <w:pPr>
                        <w:jc w:val="center"/>
                      </w:pPr>
                      <w:r>
                        <w:t>---</w:t>
                      </w:r>
                    </w:p>
                    <w:p w:rsidR="009652E2" w:rsidRDefault="009652E2">
                      <w:pPr>
                        <w:jc w:val="center"/>
                      </w:pPr>
                    </w:p>
                    <w:p w:rsidR="009652E2" w:rsidRDefault="009652E2">
                      <w:pPr>
                        <w:jc w:val="center"/>
                      </w:pPr>
                      <w:r>
                        <w:t>Would you like me to also make a **journal-style structured abstract** (with headings like Background, Method, Results, Conclusion, Recommendations) for academic submission?</w:t>
                      </w:r>
                    </w:p>
                    <w:p w:rsidR="009652E2" w:rsidRDefault="009652E2">
                      <w:pPr>
                        <w:jc w:val="center"/>
                      </w:pPr>
                    </w:p>
                  </w:txbxContent>
                </v:textbox>
                <w10:wrap anchorx="page" anchory="page"/>
              </v:rect>
            </w:pict>
          </mc:Fallback>
        </mc:AlternateContent>
      </w: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B237C">
      <w:pPr>
        <w:spacing w:before="240" w:after="240" w:line="240" w:lineRule="auto"/>
        <w:rPr>
          <w:i/>
          <w:sz w:val="20"/>
          <w:szCs w:val="20"/>
        </w:rPr>
      </w:pPr>
    </w:p>
    <w:p w:rsidR="004B237C" w:rsidRDefault="0049228C">
      <w:pPr>
        <w:spacing w:before="240" w:after="240" w:line="240" w:lineRule="auto"/>
        <w:rPr>
          <w:b/>
          <w:sz w:val="22"/>
          <w:szCs w:val="22"/>
        </w:rPr>
      </w:pPr>
      <w:r>
        <w:rPr>
          <w:i/>
          <w:sz w:val="20"/>
          <w:szCs w:val="20"/>
        </w:rPr>
        <w:t>Keywords: descriptive, financial, literacy, quantitative</w:t>
      </w:r>
    </w:p>
    <w:p w:rsidR="004B237C" w:rsidRDefault="0049228C">
      <w:pPr>
        <w:spacing w:before="240" w:after="240" w:line="240" w:lineRule="auto"/>
        <w:rPr>
          <w:sz w:val="20"/>
          <w:szCs w:val="20"/>
        </w:rPr>
      </w:pPr>
      <w:r>
        <w:rPr>
          <w:b/>
          <w:sz w:val="22"/>
          <w:szCs w:val="22"/>
        </w:rPr>
        <w:t>1. INTRODUCTION</w:t>
      </w:r>
    </w:p>
    <w:p w:rsidR="004B237C" w:rsidRDefault="0049228C">
      <w:pPr>
        <w:spacing w:before="240" w:after="240" w:line="240" w:lineRule="auto"/>
        <w:rPr>
          <w:sz w:val="20"/>
          <w:szCs w:val="20"/>
        </w:rPr>
      </w:pPr>
      <w:r>
        <w:rPr>
          <w:sz w:val="20"/>
          <w:szCs w:val="20"/>
        </w:rPr>
        <w:t xml:space="preserve">      Poverty remains one of Philippines’ most persistent challenges, restricting progress in areas such as education, health, and economic growth (Canlas et al., 2022). To help address this, the government launched the Pantawid Pamilyang Pilipino Program (4Ps) in 2007 and formally implemented it in 2008 with a Php 1.2 billion budget (Bagaipo &amp; Napiere, 2024; Navarro et al., 2021). As a conditional cash transfer initiative, it provides financial support to low-income households to improve living conditions (Catubig et al., 2017; Canlas et al., 2022). The program now enjoys strong public approval and international recognition, yet its long-term impact remains uncertain (Quetulio-Navarra et al., 2023; Acosta et al., 2019; Orbeta &amp; Paqueo, 2016).</w:t>
      </w:r>
    </w:p>
    <w:p w:rsidR="004B237C" w:rsidRDefault="0049228C">
      <w:pPr>
        <w:spacing w:before="240" w:after="240" w:line="240" w:lineRule="auto"/>
        <w:rPr>
          <w:sz w:val="20"/>
          <w:szCs w:val="20"/>
        </w:rPr>
      </w:pPr>
      <w:r>
        <w:rPr>
          <w:sz w:val="20"/>
          <w:szCs w:val="20"/>
        </w:rPr>
        <w:t xml:space="preserve">        A major limitation is the lack of financial literacy among beneficiaries, which leads to poor money management and reduced program effectiveness (Ribeiro et al., 2022; Mohammed &amp; Uraguchi, 2017). Financial knowledge on budgeting, saving, and debt management is essential, yet many beneficiaries—particularly in rural areas—lack access to financial education programs (Andriesse, 2018; Melad et al., 2020). This gap results in impulsive spending, weak saving habits, and financial insecurity (Costan et al., 2021; Graña-Alvarez et al., 2024). Studies show that about 70% of Filipinos struggle with basic financial concepts, further worsening economic vulnerability (Andrews et al., 2021; Banagan et al., 2021).</w:t>
      </w:r>
    </w:p>
    <w:p w:rsidR="004B237C" w:rsidRDefault="0049228C">
      <w:pPr>
        <w:spacing w:before="240" w:after="240" w:line="240" w:lineRule="auto"/>
        <w:rPr>
          <w:sz w:val="20"/>
          <w:szCs w:val="20"/>
        </w:rPr>
      </w:pPr>
      <w:r>
        <w:rPr>
          <w:sz w:val="20"/>
          <w:szCs w:val="20"/>
        </w:rPr>
        <w:t xml:space="preserve">        To strengthen 4Ps, scholars recommend integrating tailored financial education into the program, focusing on practical skills such as budgeting and savings (MONSURA, 2020; Andriesse, 2018). Additional measures like behavioral nudges, regular subsidy disbursements, and accessible tools for low-income households could help maximize the program’s benefits and ensure long-term financial stability for beneficiaries (Necor &amp; Turpias, 2024; Villareal, 2023; Koomson et al., 2023).</w:t>
      </w:r>
    </w:p>
    <w:p w:rsidR="004B237C" w:rsidRDefault="004B237C">
      <w:pPr>
        <w:spacing w:before="240" w:after="240" w:line="240" w:lineRule="auto"/>
        <w:rPr>
          <w:sz w:val="20"/>
          <w:szCs w:val="20"/>
        </w:rPr>
      </w:pPr>
    </w:p>
    <w:p w:rsidR="004B237C" w:rsidRDefault="0049228C">
      <w:pPr>
        <w:spacing w:before="240" w:after="240" w:line="240" w:lineRule="auto"/>
        <w:rPr>
          <w:b/>
          <w:sz w:val="22"/>
          <w:szCs w:val="22"/>
        </w:rPr>
      </w:pPr>
      <w:r>
        <w:rPr>
          <w:b/>
          <w:sz w:val="22"/>
          <w:szCs w:val="22"/>
        </w:rPr>
        <w:t xml:space="preserve">2. OBJECTIVES </w:t>
      </w:r>
    </w:p>
    <w:p w:rsidR="004B237C" w:rsidRDefault="0049228C">
      <w:pPr>
        <w:spacing w:before="240" w:after="240" w:line="360" w:lineRule="auto"/>
        <w:ind w:right="280"/>
        <w:jc w:val="left"/>
        <w:rPr>
          <w:sz w:val="20"/>
          <w:szCs w:val="20"/>
        </w:rPr>
      </w:pPr>
      <w:r>
        <w:rPr>
          <w:sz w:val="20"/>
          <w:szCs w:val="20"/>
        </w:rPr>
        <w:t xml:space="preserve">1.) To determine the profile of the respondent in terms of: </w:t>
      </w:r>
    </w:p>
    <w:p w:rsidR="004B237C" w:rsidRDefault="0049228C">
      <w:pPr>
        <w:numPr>
          <w:ilvl w:val="0"/>
          <w:numId w:val="1"/>
        </w:numPr>
        <w:spacing w:before="240" w:line="360" w:lineRule="auto"/>
        <w:ind w:right="280"/>
        <w:jc w:val="left"/>
        <w:rPr>
          <w:sz w:val="20"/>
          <w:szCs w:val="20"/>
        </w:rPr>
      </w:pPr>
      <w:r>
        <w:rPr>
          <w:sz w:val="20"/>
          <w:szCs w:val="20"/>
        </w:rPr>
        <w:t xml:space="preserve">Educational Attainment </w:t>
      </w:r>
    </w:p>
    <w:p w:rsidR="004B237C" w:rsidRDefault="0049228C">
      <w:pPr>
        <w:numPr>
          <w:ilvl w:val="0"/>
          <w:numId w:val="1"/>
        </w:numPr>
        <w:spacing w:line="360" w:lineRule="auto"/>
        <w:ind w:right="280"/>
        <w:jc w:val="left"/>
        <w:rPr>
          <w:sz w:val="20"/>
          <w:szCs w:val="20"/>
        </w:rPr>
      </w:pPr>
      <w:r>
        <w:rPr>
          <w:sz w:val="20"/>
          <w:szCs w:val="20"/>
        </w:rPr>
        <w:t xml:space="preserve">Occupation </w:t>
      </w:r>
    </w:p>
    <w:p w:rsidR="004B237C" w:rsidRDefault="0049228C">
      <w:pPr>
        <w:numPr>
          <w:ilvl w:val="0"/>
          <w:numId w:val="1"/>
        </w:numPr>
        <w:spacing w:line="360" w:lineRule="auto"/>
        <w:ind w:right="280"/>
        <w:jc w:val="left"/>
        <w:rPr>
          <w:sz w:val="20"/>
          <w:szCs w:val="20"/>
        </w:rPr>
      </w:pPr>
      <w:r>
        <w:rPr>
          <w:sz w:val="20"/>
          <w:szCs w:val="20"/>
        </w:rPr>
        <w:t xml:space="preserve">Income </w:t>
      </w:r>
    </w:p>
    <w:p w:rsidR="004B237C" w:rsidRDefault="0049228C">
      <w:pPr>
        <w:numPr>
          <w:ilvl w:val="0"/>
          <w:numId w:val="1"/>
        </w:numPr>
        <w:spacing w:line="360" w:lineRule="auto"/>
        <w:ind w:right="280"/>
        <w:jc w:val="left"/>
        <w:rPr>
          <w:sz w:val="20"/>
          <w:szCs w:val="20"/>
        </w:rPr>
      </w:pPr>
      <w:r>
        <w:rPr>
          <w:sz w:val="20"/>
          <w:szCs w:val="20"/>
        </w:rPr>
        <w:t xml:space="preserve">Family living; and </w:t>
      </w:r>
    </w:p>
    <w:p w:rsidR="004B237C" w:rsidRDefault="0049228C">
      <w:pPr>
        <w:numPr>
          <w:ilvl w:val="0"/>
          <w:numId w:val="1"/>
        </w:numPr>
        <w:spacing w:after="200" w:line="360" w:lineRule="auto"/>
        <w:ind w:right="280"/>
        <w:jc w:val="left"/>
        <w:rPr>
          <w:sz w:val="20"/>
          <w:szCs w:val="20"/>
        </w:rPr>
      </w:pPr>
      <w:r>
        <w:rPr>
          <w:sz w:val="20"/>
          <w:szCs w:val="20"/>
        </w:rPr>
        <w:t>Number of children.</w:t>
      </w:r>
    </w:p>
    <w:p w:rsidR="004B237C" w:rsidRDefault="0049228C">
      <w:pPr>
        <w:spacing w:before="240" w:after="240" w:line="360" w:lineRule="auto"/>
        <w:ind w:right="280"/>
        <w:jc w:val="left"/>
        <w:rPr>
          <w:sz w:val="20"/>
          <w:szCs w:val="20"/>
        </w:rPr>
      </w:pPr>
      <w:r>
        <w:rPr>
          <w:sz w:val="20"/>
          <w:szCs w:val="20"/>
        </w:rPr>
        <w:t xml:space="preserve">2.) To identify the level of financial literacy among respondent in terms of: </w:t>
      </w:r>
    </w:p>
    <w:p w:rsidR="004B237C" w:rsidRDefault="0049228C">
      <w:pPr>
        <w:numPr>
          <w:ilvl w:val="0"/>
          <w:numId w:val="4"/>
        </w:numPr>
        <w:spacing w:before="240" w:line="360" w:lineRule="auto"/>
        <w:ind w:right="280"/>
        <w:jc w:val="left"/>
        <w:rPr>
          <w:sz w:val="20"/>
          <w:szCs w:val="20"/>
        </w:rPr>
      </w:pPr>
      <w:r>
        <w:rPr>
          <w:sz w:val="20"/>
          <w:szCs w:val="20"/>
        </w:rPr>
        <w:t xml:space="preserve">Financial skills </w:t>
      </w:r>
    </w:p>
    <w:p w:rsidR="004B237C" w:rsidRDefault="0049228C">
      <w:pPr>
        <w:numPr>
          <w:ilvl w:val="0"/>
          <w:numId w:val="4"/>
        </w:numPr>
        <w:spacing w:line="360" w:lineRule="auto"/>
        <w:ind w:right="280"/>
        <w:jc w:val="left"/>
        <w:rPr>
          <w:sz w:val="20"/>
          <w:szCs w:val="20"/>
        </w:rPr>
      </w:pPr>
      <w:r>
        <w:rPr>
          <w:sz w:val="20"/>
          <w:szCs w:val="20"/>
        </w:rPr>
        <w:t xml:space="preserve">Financial knowledge </w:t>
      </w:r>
    </w:p>
    <w:p w:rsidR="004B237C" w:rsidRDefault="0049228C">
      <w:pPr>
        <w:numPr>
          <w:ilvl w:val="0"/>
          <w:numId w:val="4"/>
        </w:numPr>
        <w:spacing w:line="360" w:lineRule="auto"/>
        <w:ind w:right="280"/>
        <w:jc w:val="left"/>
        <w:rPr>
          <w:sz w:val="20"/>
          <w:szCs w:val="20"/>
        </w:rPr>
      </w:pPr>
      <w:r>
        <w:rPr>
          <w:sz w:val="20"/>
          <w:szCs w:val="20"/>
        </w:rPr>
        <w:t xml:space="preserve">Financial value </w:t>
      </w:r>
    </w:p>
    <w:p w:rsidR="004B237C" w:rsidRDefault="0049228C">
      <w:pPr>
        <w:numPr>
          <w:ilvl w:val="0"/>
          <w:numId w:val="4"/>
        </w:numPr>
        <w:spacing w:line="360" w:lineRule="auto"/>
        <w:ind w:right="280"/>
        <w:jc w:val="left"/>
        <w:rPr>
          <w:sz w:val="20"/>
          <w:szCs w:val="20"/>
        </w:rPr>
      </w:pPr>
      <w:r>
        <w:rPr>
          <w:sz w:val="20"/>
          <w:szCs w:val="20"/>
        </w:rPr>
        <w:t xml:space="preserve">Financial attitude </w:t>
      </w:r>
    </w:p>
    <w:p w:rsidR="004B237C" w:rsidRDefault="0049228C">
      <w:pPr>
        <w:numPr>
          <w:ilvl w:val="0"/>
          <w:numId w:val="4"/>
        </w:numPr>
        <w:spacing w:line="360" w:lineRule="auto"/>
        <w:ind w:right="280"/>
        <w:jc w:val="left"/>
        <w:rPr>
          <w:sz w:val="20"/>
          <w:szCs w:val="20"/>
        </w:rPr>
      </w:pPr>
      <w:r>
        <w:rPr>
          <w:sz w:val="20"/>
          <w:szCs w:val="20"/>
        </w:rPr>
        <w:t xml:space="preserve">Financial behavior </w:t>
      </w:r>
    </w:p>
    <w:p w:rsidR="004B237C" w:rsidRDefault="0049228C">
      <w:pPr>
        <w:numPr>
          <w:ilvl w:val="0"/>
          <w:numId w:val="4"/>
        </w:numPr>
        <w:spacing w:after="200" w:line="360" w:lineRule="auto"/>
        <w:ind w:right="280"/>
        <w:jc w:val="left"/>
        <w:rPr>
          <w:sz w:val="20"/>
          <w:szCs w:val="20"/>
        </w:rPr>
      </w:pPr>
      <w:r>
        <w:rPr>
          <w:sz w:val="20"/>
          <w:szCs w:val="20"/>
        </w:rPr>
        <w:t>Financial awareness.</w:t>
      </w:r>
    </w:p>
    <w:p w:rsidR="004B237C" w:rsidRDefault="0049228C">
      <w:pPr>
        <w:spacing w:before="240" w:after="240" w:line="360" w:lineRule="auto"/>
        <w:ind w:right="280"/>
        <w:jc w:val="left"/>
        <w:rPr>
          <w:sz w:val="20"/>
          <w:szCs w:val="20"/>
        </w:rPr>
      </w:pPr>
      <w:r>
        <w:rPr>
          <w:sz w:val="20"/>
          <w:szCs w:val="20"/>
        </w:rPr>
        <w:t xml:space="preserve">3.) To determine the significant difference on the level of financial literacy when respondents are grouped according to: </w:t>
      </w:r>
    </w:p>
    <w:p w:rsidR="004B237C" w:rsidRDefault="0049228C">
      <w:pPr>
        <w:numPr>
          <w:ilvl w:val="0"/>
          <w:numId w:val="5"/>
        </w:numPr>
        <w:spacing w:before="240" w:line="360" w:lineRule="auto"/>
        <w:ind w:right="280"/>
        <w:jc w:val="left"/>
        <w:rPr>
          <w:sz w:val="20"/>
          <w:szCs w:val="20"/>
        </w:rPr>
      </w:pPr>
      <w:r>
        <w:rPr>
          <w:sz w:val="20"/>
          <w:szCs w:val="20"/>
        </w:rPr>
        <w:t xml:space="preserve">Educational Attainment </w:t>
      </w:r>
    </w:p>
    <w:p w:rsidR="004B237C" w:rsidRDefault="0049228C">
      <w:pPr>
        <w:numPr>
          <w:ilvl w:val="0"/>
          <w:numId w:val="5"/>
        </w:numPr>
        <w:spacing w:line="360" w:lineRule="auto"/>
        <w:ind w:right="280"/>
        <w:jc w:val="left"/>
        <w:rPr>
          <w:sz w:val="20"/>
          <w:szCs w:val="20"/>
        </w:rPr>
      </w:pPr>
      <w:r>
        <w:rPr>
          <w:sz w:val="20"/>
          <w:szCs w:val="20"/>
        </w:rPr>
        <w:t xml:space="preserve">Occupation </w:t>
      </w:r>
    </w:p>
    <w:p w:rsidR="004B237C" w:rsidRDefault="0049228C">
      <w:pPr>
        <w:numPr>
          <w:ilvl w:val="0"/>
          <w:numId w:val="5"/>
        </w:numPr>
        <w:spacing w:line="360" w:lineRule="auto"/>
        <w:ind w:right="280"/>
        <w:jc w:val="left"/>
        <w:rPr>
          <w:sz w:val="20"/>
          <w:szCs w:val="20"/>
        </w:rPr>
      </w:pPr>
      <w:r>
        <w:rPr>
          <w:sz w:val="20"/>
          <w:szCs w:val="20"/>
        </w:rPr>
        <w:t xml:space="preserve">Income </w:t>
      </w:r>
    </w:p>
    <w:p w:rsidR="004B237C" w:rsidRDefault="0049228C">
      <w:pPr>
        <w:numPr>
          <w:ilvl w:val="0"/>
          <w:numId w:val="5"/>
        </w:numPr>
        <w:spacing w:line="360" w:lineRule="auto"/>
        <w:ind w:right="280"/>
        <w:jc w:val="left"/>
        <w:rPr>
          <w:sz w:val="20"/>
          <w:szCs w:val="20"/>
        </w:rPr>
      </w:pPr>
      <w:r>
        <w:rPr>
          <w:sz w:val="20"/>
          <w:szCs w:val="20"/>
        </w:rPr>
        <w:t xml:space="preserve">Family living; and  </w:t>
      </w:r>
    </w:p>
    <w:p w:rsidR="004B237C" w:rsidRDefault="0049228C">
      <w:pPr>
        <w:numPr>
          <w:ilvl w:val="0"/>
          <w:numId w:val="5"/>
        </w:numPr>
        <w:spacing w:after="200" w:line="360" w:lineRule="auto"/>
        <w:ind w:right="280"/>
        <w:jc w:val="left"/>
        <w:rPr>
          <w:sz w:val="20"/>
          <w:szCs w:val="20"/>
        </w:rPr>
      </w:pPr>
      <w:r>
        <w:rPr>
          <w:sz w:val="20"/>
          <w:szCs w:val="20"/>
        </w:rPr>
        <w:t>Number of children.</w:t>
      </w:r>
    </w:p>
    <w:p w:rsidR="004B237C" w:rsidRDefault="0049228C">
      <w:pPr>
        <w:spacing w:before="240" w:after="240" w:line="240" w:lineRule="auto"/>
        <w:rPr>
          <w:b/>
          <w:sz w:val="22"/>
          <w:szCs w:val="22"/>
        </w:rPr>
        <w:sectPr w:rsidR="004B237C">
          <w:headerReference w:type="even" r:id="rId7"/>
          <w:headerReference w:type="default" r:id="rId8"/>
          <w:footerReference w:type="even" r:id="rId9"/>
          <w:footerReference w:type="default" r:id="rId10"/>
          <w:headerReference w:type="first" r:id="rId11"/>
          <w:type w:val="continuous"/>
          <w:pgSz w:w="11906" w:h="16838"/>
          <w:pgMar w:top="1440" w:right="1440" w:bottom="1440" w:left="1440" w:header="720" w:footer="720" w:gutter="0"/>
          <w:cols w:space="720"/>
        </w:sectPr>
      </w:pPr>
      <w:r>
        <w:rPr>
          <w:b/>
          <w:sz w:val="22"/>
          <w:szCs w:val="22"/>
        </w:rPr>
        <w:t xml:space="preserve">3. METHODOLOGY </w:t>
      </w:r>
    </w:p>
    <w:p w:rsidR="004B237C" w:rsidRDefault="0049228C">
      <w:pPr>
        <w:spacing w:line="240" w:lineRule="auto"/>
        <w:rPr>
          <w:sz w:val="20"/>
          <w:szCs w:val="20"/>
        </w:rPr>
      </w:pPr>
      <w:r>
        <w:rPr>
          <w:b/>
          <w:sz w:val="20"/>
          <w:szCs w:val="20"/>
        </w:rPr>
        <w:t>3.1 Research Design</w:t>
      </w:r>
    </w:p>
    <w:p w:rsidR="004B237C" w:rsidRDefault="0049228C">
      <w:pPr>
        <w:spacing w:line="240" w:lineRule="auto"/>
        <w:ind w:firstLine="720"/>
        <w:rPr>
          <w:sz w:val="20"/>
          <w:szCs w:val="20"/>
        </w:rPr>
      </w:pPr>
      <w:r>
        <w:rPr>
          <w:sz w:val="20"/>
          <w:szCs w:val="20"/>
        </w:rPr>
        <w:t>This study employed a quantitative research method, specifically a descriptive design. Unlike qualitative research, which focuses on non-numerical data, quantitative research deals with information that can be expressed in numbers (Sheard, 2022). Statistical tools are then applied to organize, analyze, interpret, and present these numerical data. Descriptive research, as a non-experimental design, seeks to explain individuals, events, or conditions as they naturally occur (Lutzenberger et al., 2024).</w:t>
      </w:r>
    </w:p>
    <w:p w:rsidR="004B237C" w:rsidRDefault="004B237C">
      <w:pPr>
        <w:spacing w:line="240" w:lineRule="auto"/>
        <w:ind w:firstLine="720"/>
        <w:rPr>
          <w:sz w:val="20"/>
          <w:szCs w:val="20"/>
        </w:rPr>
      </w:pPr>
    </w:p>
    <w:p w:rsidR="004B237C" w:rsidRDefault="0049228C">
      <w:pPr>
        <w:spacing w:line="240" w:lineRule="auto"/>
        <w:ind w:firstLine="720"/>
        <w:rPr>
          <w:sz w:val="20"/>
          <w:szCs w:val="20"/>
        </w:rPr>
      </w:pPr>
      <w:r>
        <w:rPr>
          <w:sz w:val="20"/>
          <w:szCs w:val="20"/>
        </w:rPr>
        <w:t>This method was selected because it allows for assessing the level of financial literacy among 4Ps beneficiaries by describing the existing conditions. It also provides researchers with a systematic approach to data collection, using questionnaires to gather responses from participants (Okello et al., 2020).</w:t>
      </w:r>
    </w:p>
    <w:p w:rsidR="004B237C" w:rsidRDefault="004B237C">
      <w:pPr>
        <w:spacing w:line="240" w:lineRule="auto"/>
        <w:ind w:firstLine="720"/>
        <w:rPr>
          <w:sz w:val="20"/>
          <w:szCs w:val="20"/>
        </w:rPr>
      </w:pPr>
    </w:p>
    <w:p w:rsidR="004B237C" w:rsidRDefault="0049228C">
      <w:pPr>
        <w:spacing w:line="240" w:lineRule="auto"/>
        <w:rPr>
          <w:sz w:val="20"/>
          <w:szCs w:val="20"/>
        </w:rPr>
      </w:pPr>
      <w:r>
        <w:rPr>
          <w:b/>
          <w:sz w:val="20"/>
          <w:szCs w:val="20"/>
        </w:rPr>
        <w:t>3.2 Research Locale</w:t>
      </w:r>
    </w:p>
    <w:p w:rsidR="004B237C" w:rsidRDefault="0049228C">
      <w:pPr>
        <w:spacing w:line="240" w:lineRule="auto"/>
        <w:rPr>
          <w:sz w:val="20"/>
          <w:szCs w:val="20"/>
        </w:rPr>
      </w:pPr>
      <w:r>
        <w:rPr>
          <w:sz w:val="20"/>
          <w:szCs w:val="20"/>
        </w:rPr>
        <w:t xml:space="preserve">           The study took place at Cateel, Davao Oriental, between October to December of 2024. The study will be conducted in barangay San Antonio, Taytayan, San Alfonso, and Poblacion. These barangays were selected for the study due to their diverse communities and would serve as the primary area of study to ensure a representative sampling of the community. The three months allow for </w:t>
      </w:r>
      <w:r>
        <w:rPr>
          <w:sz w:val="20"/>
          <w:szCs w:val="20"/>
        </w:rPr>
        <w:lastRenderedPageBreak/>
        <w:t xml:space="preserve">complete data collection and analysis, ensuring that the study captures important outlines and visions that align with the research's goals.  </w:t>
      </w:r>
    </w:p>
    <w:p w:rsidR="004B237C" w:rsidRDefault="004B237C">
      <w:pPr>
        <w:spacing w:line="240" w:lineRule="auto"/>
        <w:rPr>
          <w:b/>
          <w:sz w:val="20"/>
          <w:szCs w:val="20"/>
        </w:rPr>
      </w:pPr>
    </w:p>
    <w:p w:rsidR="004B237C" w:rsidRDefault="0049228C">
      <w:pPr>
        <w:spacing w:line="240" w:lineRule="auto"/>
        <w:rPr>
          <w:b/>
          <w:sz w:val="20"/>
          <w:szCs w:val="20"/>
        </w:rPr>
      </w:pPr>
      <w:r>
        <w:rPr>
          <w:b/>
          <w:sz w:val="20"/>
          <w:szCs w:val="20"/>
        </w:rPr>
        <w:t>3.3 Research Participants</w:t>
      </w:r>
    </w:p>
    <w:p w:rsidR="004B237C" w:rsidRDefault="0049228C">
      <w:pPr>
        <w:spacing w:line="240" w:lineRule="auto"/>
        <w:rPr>
          <w:sz w:val="20"/>
          <w:szCs w:val="20"/>
        </w:rPr>
      </w:pPr>
      <w:r>
        <w:rPr>
          <w:b/>
          <w:sz w:val="20"/>
          <w:szCs w:val="20"/>
        </w:rPr>
        <w:t xml:space="preserve">         </w:t>
      </w:r>
      <w:r>
        <w:rPr>
          <w:sz w:val="20"/>
          <w:szCs w:val="20"/>
        </w:rPr>
        <w:t xml:space="preserve">The target respondents of this study are equivalent of 333 respondents as computed through Slovin’s are households who are beneficiaries of 4ps from Cateel, Davao Oriental, as a household represents an entire family rather than just one individual. This approach allows for assistance with basic needs, such as food, health, and education, to reach everyone in the family.   </w:t>
      </w:r>
    </w:p>
    <w:p w:rsidR="004B237C" w:rsidRDefault="0049228C">
      <w:pPr>
        <w:spacing w:line="240" w:lineRule="auto"/>
        <w:rPr>
          <w:sz w:val="20"/>
          <w:szCs w:val="20"/>
        </w:rPr>
      </w:pPr>
      <w:r>
        <w:rPr>
          <w:sz w:val="20"/>
          <w:szCs w:val="20"/>
        </w:rPr>
        <w:t xml:space="preserve">            Stratified random sampling will be used to ensure that different subgroups within the population are adequately represented in the sample. </w:t>
      </w:r>
    </w:p>
    <w:p w:rsidR="004B237C" w:rsidRDefault="004B237C">
      <w:pPr>
        <w:spacing w:line="240" w:lineRule="auto"/>
        <w:rPr>
          <w:sz w:val="20"/>
          <w:szCs w:val="20"/>
        </w:rPr>
      </w:pPr>
    </w:p>
    <w:p w:rsidR="004B237C" w:rsidRDefault="0049228C">
      <w:pPr>
        <w:spacing w:line="240" w:lineRule="auto"/>
        <w:rPr>
          <w:sz w:val="20"/>
          <w:szCs w:val="20"/>
        </w:rPr>
        <w:sectPr w:rsidR="004B237C">
          <w:type w:val="continuous"/>
          <w:pgSz w:w="11906" w:h="16838"/>
          <w:pgMar w:top="1440" w:right="1440" w:bottom="1440" w:left="1440" w:header="720" w:footer="720" w:gutter="0"/>
          <w:cols w:space="720"/>
        </w:sectPr>
      </w:pPr>
      <w:r>
        <w:rPr>
          <w:sz w:val="20"/>
          <w:szCs w:val="20"/>
        </w:rPr>
        <w:t>TABLE 1.  Population and Sample Distribution with percentage by Barangay</w:t>
      </w:r>
    </w:p>
    <w:p w:rsidR="004B237C" w:rsidRDefault="004B237C">
      <w:pPr>
        <w:widowControl w:val="0"/>
        <w:pBdr>
          <w:top w:val="nil"/>
          <w:left w:val="nil"/>
          <w:bottom w:val="nil"/>
          <w:right w:val="nil"/>
          <w:between w:val="nil"/>
        </w:pBdr>
        <w:jc w:val="left"/>
        <w:rPr>
          <w:sz w:val="20"/>
          <w:szCs w:val="20"/>
        </w:rPr>
      </w:pPr>
    </w:p>
    <w:tbl>
      <w:tblPr>
        <w:tblStyle w:val="a"/>
        <w:tblW w:w="9300" w:type="dxa"/>
        <w:tblInd w:w="0"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190"/>
        <w:gridCol w:w="2340"/>
        <w:gridCol w:w="2340"/>
        <w:gridCol w:w="2430"/>
      </w:tblGrid>
      <w:tr w:rsidR="004B237C">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BARANGAY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POPULATION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PERCENTAGE</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SAMPLE SIZE</w:t>
            </w:r>
          </w:p>
        </w:tc>
      </w:tr>
      <w:tr w:rsidR="004B237C">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San Alfonso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380</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19%</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64</w:t>
            </w:r>
          </w:p>
        </w:tc>
      </w:tr>
      <w:tr w:rsidR="004B237C">
        <w:trPr>
          <w:trHeight w:val="400"/>
        </w:trPr>
        <w:tc>
          <w:tcPr>
            <w:tcW w:w="2190" w:type="dxa"/>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San Antonio  </w:t>
            </w:r>
          </w:p>
        </w:tc>
        <w:tc>
          <w:tcPr>
            <w:tcW w:w="2340" w:type="dxa"/>
            <w:tcMar>
              <w:top w:w="100" w:type="dxa"/>
              <w:left w:w="100" w:type="dxa"/>
              <w:bottom w:w="100" w:type="dxa"/>
              <w:right w:w="100" w:type="dxa"/>
            </w:tcMar>
          </w:tcPr>
          <w:p w:rsidR="004B237C" w:rsidRDefault="0049228C">
            <w:pPr>
              <w:widowControl w:val="0"/>
              <w:pBdr>
                <w:top w:val="nil"/>
                <w:left w:val="nil"/>
                <w:bottom w:val="nil"/>
                <w:right w:val="nil"/>
                <w:between w:val="nil"/>
              </w:pBdr>
              <w:jc w:val="center"/>
              <w:rPr>
                <w:sz w:val="20"/>
                <w:szCs w:val="20"/>
              </w:rPr>
            </w:pPr>
            <w:r>
              <w:rPr>
                <w:sz w:val="20"/>
                <w:szCs w:val="20"/>
              </w:rPr>
              <w:t>397</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66</w:t>
            </w:r>
          </w:p>
        </w:tc>
      </w:tr>
      <w:tr w:rsidR="004B237C">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Poblacion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633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106</w:t>
            </w:r>
          </w:p>
        </w:tc>
      </w:tr>
      <w:tr w:rsidR="004B237C">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Taytayan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583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29%</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97</w:t>
            </w:r>
          </w:p>
        </w:tc>
      </w:tr>
      <w:tr w:rsidR="004B237C">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TOTAL</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1993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r>
    </w:tbl>
    <w:p w:rsidR="004B237C" w:rsidRDefault="004B237C">
      <w:pPr>
        <w:spacing w:line="240" w:lineRule="auto"/>
        <w:rPr>
          <w:sz w:val="20"/>
          <w:szCs w:val="20"/>
        </w:rPr>
        <w:sectPr w:rsidR="004B237C">
          <w:type w:val="continuous"/>
          <w:pgSz w:w="11906" w:h="16838"/>
          <w:pgMar w:top="1440" w:right="1440" w:bottom="1440" w:left="1440" w:header="720" w:footer="720" w:gutter="0"/>
          <w:cols w:space="720"/>
        </w:sectPr>
      </w:pPr>
    </w:p>
    <w:p w:rsidR="004B237C" w:rsidRDefault="0049228C">
      <w:pPr>
        <w:spacing w:line="240" w:lineRule="auto"/>
        <w:rPr>
          <w:b/>
          <w:sz w:val="20"/>
          <w:szCs w:val="20"/>
        </w:rPr>
      </w:pPr>
      <w:r>
        <w:rPr>
          <w:b/>
          <w:sz w:val="20"/>
          <w:szCs w:val="20"/>
        </w:rPr>
        <w:t>3.4 Research Instrument</w:t>
      </w:r>
    </w:p>
    <w:p w:rsidR="004B237C" w:rsidRDefault="0049228C">
      <w:pPr>
        <w:spacing w:line="240" w:lineRule="auto"/>
        <w:ind w:firstLine="720"/>
        <w:rPr>
          <w:sz w:val="20"/>
          <w:szCs w:val="20"/>
        </w:rPr>
      </w:pPr>
      <w:r>
        <w:rPr>
          <w:sz w:val="20"/>
          <w:szCs w:val="20"/>
        </w:rPr>
        <w:t>The questionnaire was adapted from Pecson (2019), which examined factors such as financial attitudes, skills, knowledge, and values, and from Plaza (2023), which focused on financial behaviors and awareness. It aimed to gather data on the financial literacy of 4Ps beneficiaries in Cateel, Davao Oriental. The tool had two sections: the first on respondents’ demographic profile (education, occupation, income, number of children, and living conditions), and the second on financial literacy levels, including skills, attitudes, behaviors, awareness, values, and knowledge.</w:t>
      </w:r>
    </w:p>
    <w:p w:rsidR="004B237C" w:rsidRDefault="004B237C">
      <w:pPr>
        <w:spacing w:line="240" w:lineRule="auto"/>
        <w:rPr>
          <w:sz w:val="20"/>
          <w:szCs w:val="20"/>
        </w:rPr>
      </w:pPr>
    </w:p>
    <w:p w:rsidR="004B237C" w:rsidRDefault="0049228C">
      <w:pPr>
        <w:spacing w:line="240" w:lineRule="auto"/>
        <w:rPr>
          <w:b/>
          <w:sz w:val="22"/>
          <w:szCs w:val="22"/>
        </w:rPr>
      </w:pPr>
      <w:r>
        <w:rPr>
          <w:b/>
          <w:sz w:val="20"/>
          <w:szCs w:val="20"/>
        </w:rPr>
        <w:t>3.5 Data Gathering Procedure</w:t>
      </w:r>
      <w:r>
        <w:rPr>
          <w:b/>
          <w:sz w:val="22"/>
          <w:szCs w:val="22"/>
        </w:rPr>
        <w:t xml:space="preserve"> </w:t>
      </w:r>
    </w:p>
    <w:p w:rsidR="004B237C" w:rsidRDefault="0049228C">
      <w:pPr>
        <w:spacing w:line="240" w:lineRule="auto"/>
        <w:ind w:firstLine="720"/>
        <w:rPr>
          <w:sz w:val="20"/>
          <w:szCs w:val="20"/>
        </w:rPr>
      </w:pPr>
      <w:r>
        <w:rPr>
          <w:sz w:val="20"/>
          <w:szCs w:val="20"/>
        </w:rPr>
        <w:t>Data collection followed these steps: securing ethical clearance from Davao Oriental State University and permission from barangay captains; distributing questionnaires with informed consent to ensure voluntary participation; retrieving completed forms while safeguarding privacy; and tabulating responses for organization. A statistician assisted in analyzing the data using statistical methods, after which findings were interpreted to identify patterns, trends, and relationships relevant to the study.</w:t>
      </w:r>
    </w:p>
    <w:p w:rsidR="004B237C" w:rsidRDefault="004B237C">
      <w:pPr>
        <w:spacing w:line="240" w:lineRule="auto"/>
        <w:rPr>
          <w:sz w:val="20"/>
          <w:szCs w:val="20"/>
        </w:rPr>
      </w:pPr>
    </w:p>
    <w:p w:rsidR="004B237C" w:rsidRDefault="0049228C">
      <w:pPr>
        <w:spacing w:line="240" w:lineRule="auto"/>
        <w:rPr>
          <w:b/>
          <w:sz w:val="22"/>
          <w:szCs w:val="22"/>
        </w:rPr>
      </w:pPr>
      <w:r>
        <w:rPr>
          <w:b/>
          <w:sz w:val="20"/>
          <w:szCs w:val="20"/>
        </w:rPr>
        <w:t>3.6 Data Analysis</w:t>
      </w:r>
      <w:r>
        <w:rPr>
          <w:b/>
          <w:sz w:val="22"/>
          <w:szCs w:val="22"/>
        </w:rPr>
        <w:t xml:space="preserve"> </w:t>
      </w:r>
    </w:p>
    <w:p w:rsidR="004B237C" w:rsidRDefault="0049228C">
      <w:pPr>
        <w:spacing w:line="240" w:lineRule="auto"/>
        <w:rPr>
          <w:sz w:val="20"/>
          <w:szCs w:val="20"/>
        </w:rPr>
      </w:pPr>
      <w:r>
        <w:rPr>
          <w:sz w:val="20"/>
          <w:szCs w:val="20"/>
        </w:rPr>
        <w:t xml:space="preserve">            This study used descriptive statistics to organize, summarize, and present data (Prasad &amp; Vaidya, 2016; Abdali &amp; Hakimi, 2023; Triola, 2018; Keller, 2015; Mendenhall et al., 2017). Data were tabulated in Microsoft Excel (Wickham, 2016) and analyzed by a statistician (Vaidya, 2019). </w:t>
      </w:r>
    </w:p>
    <w:p w:rsidR="004B237C" w:rsidRDefault="004B237C">
      <w:pPr>
        <w:spacing w:line="240" w:lineRule="auto"/>
        <w:rPr>
          <w:sz w:val="20"/>
          <w:szCs w:val="20"/>
        </w:rPr>
      </w:pPr>
    </w:p>
    <w:p w:rsidR="004B237C" w:rsidRDefault="0049228C">
      <w:pPr>
        <w:numPr>
          <w:ilvl w:val="0"/>
          <w:numId w:val="3"/>
        </w:numPr>
        <w:spacing w:line="240" w:lineRule="auto"/>
        <w:rPr>
          <w:sz w:val="20"/>
          <w:szCs w:val="20"/>
        </w:rPr>
      </w:pPr>
      <w:r>
        <w:rPr>
          <w:sz w:val="20"/>
          <w:szCs w:val="20"/>
        </w:rPr>
        <w:t xml:space="preserve">Frequency counts and percentages were applied to examine response distribution across demographic categories such as education, occupation, income, number of children, and family living (Pallant et al., 2016; Statistics, 2024; Gravetter &amp; Wallnau, 2017). </w:t>
      </w:r>
    </w:p>
    <w:p w:rsidR="004B237C" w:rsidRDefault="004B237C">
      <w:pPr>
        <w:spacing w:line="240" w:lineRule="auto"/>
        <w:ind w:left="720"/>
        <w:rPr>
          <w:sz w:val="20"/>
          <w:szCs w:val="20"/>
        </w:rPr>
      </w:pPr>
    </w:p>
    <w:p w:rsidR="004B237C" w:rsidRDefault="0049228C">
      <w:pPr>
        <w:numPr>
          <w:ilvl w:val="0"/>
          <w:numId w:val="3"/>
        </w:numPr>
        <w:spacing w:line="240" w:lineRule="auto"/>
        <w:rPr>
          <w:sz w:val="20"/>
          <w:szCs w:val="20"/>
        </w:rPr>
      </w:pPr>
      <w:r>
        <w:rPr>
          <w:sz w:val="20"/>
          <w:szCs w:val="20"/>
        </w:rPr>
        <w:t>The mean was computed for financial literacy indicators—awareness, knowledge, values, attitudes, skills, and behavior—to provide an overall view of respondents’ financial literacy (Rai et al., 2019).</w:t>
      </w:r>
    </w:p>
    <w:p w:rsidR="004B237C" w:rsidRDefault="004B237C">
      <w:pPr>
        <w:spacing w:line="240" w:lineRule="auto"/>
        <w:rPr>
          <w:sz w:val="20"/>
          <w:szCs w:val="20"/>
        </w:rPr>
      </w:pPr>
    </w:p>
    <w:p w:rsidR="004B237C" w:rsidRDefault="0049228C">
      <w:pPr>
        <w:numPr>
          <w:ilvl w:val="0"/>
          <w:numId w:val="2"/>
        </w:numPr>
        <w:spacing w:line="240" w:lineRule="auto"/>
        <w:rPr>
          <w:sz w:val="20"/>
          <w:szCs w:val="20"/>
        </w:rPr>
        <w:sectPr w:rsidR="004B237C">
          <w:type w:val="continuous"/>
          <w:pgSz w:w="11906" w:h="16838"/>
          <w:pgMar w:top="1440" w:right="1440" w:bottom="1440" w:left="1440" w:header="720" w:footer="720" w:gutter="0"/>
          <w:cols w:space="720"/>
        </w:sectPr>
      </w:pPr>
      <w:r>
        <w:rPr>
          <w:sz w:val="20"/>
          <w:szCs w:val="20"/>
        </w:rPr>
        <w:t>ANOVA was used to assess differences in financial literacy among demographic groups of 4Ps beneficiaries. This method compares means across three or more groups to identify significant differences (Pallant, 2020). Results, however, must be interpreted with caution as sample size and demographics may affect outcomes.</w:t>
      </w:r>
    </w:p>
    <w:p w:rsidR="004B237C" w:rsidRDefault="0049228C">
      <w:pPr>
        <w:spacing w:before="240" w:after="240" w:line="240" w:lineRule="auto"/>
        <w:jc w:val="left"/>
        <w:rPr>
          <w:sz w:val="20"/>
          <w:szCs w:val="20"/>
        </w:rPr>
      </w:pPr>
      <w:r>
        <w:rPr>
          <w:b/>
          <w:sz w:val="20"/>
          <w:szCs w:val="20"/>
        </w:rPr>
        <w:t>Table 2.</w:t>
      </w:r>
      <w:r>
        <w:rPr>
          <w:sz w:val="20"/>
          <w:szCs w:val="20"/>
        </w:rPr>
        <w:t xml:space="preserve"> Interpretation of financial literacy level</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4B237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Interval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Response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Interpretation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Description</w:t>
            </w:r>
          </w:p>
        </w:tc>
      </w:tr>
      <w:tr w:rsidR="004B237C">
        <w:tc>
          <w:tcPr>
            <w:tcW w:w="234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1.00 - 1.80</w:t>
            </w:r>
          </w:p>
        </w:tc>
        <w:tc>
          <w:tcPr>
            <w:tcW w:w="234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Strongly Disagree </w:t>
            </w:r>
          </w:p>
        </w:tc>
        <w:tc>
          <w:tcPr>
            <w:tcW w:w="234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Low </w:t>
            </w:r>
          </w:p>
        </w:tc>
        <w:tc>
          <w:tcPr>
            <w:tcW w:w="234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Have very limited understanding of financial concepts and struggle with basic financial decisions</w:t>
            </w:r>
          </w:p>
        </w:tc>
      </w:tr>
      <w:tr w:rsidR="004B237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1.81 - 2.60</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Disagree </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Low </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Understand basic financial concepts such as budgeting and simple interest but have difficulty more complex financial decision</w:t>
            </w:r>
          </w:p>
        </w:tc>
      </w:tr>
      <w:tr w:rsidR="004B237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2.61 - 3.40</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Neither Agree or Disagree </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c>
          <w:tcPr>
            <w:tcW w:w="234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Reasonably confident in managing personal finances, including credit, insurance and investments, though sometimes seek advice for complex decisions</w:t>
            </w:r>
          </w:p>
        </w:tc>
      </w:tr>
      <w:tr w:rsidR="004B237C">
        <w:tc>
          <w:tcPr>
            <w:tcW w:w="234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3.41 - 4.20</w:t>
            </w:r>
          </w:p>
        </w:tc>
        <w:tc>
          <w:tcPr>
            <w:tcW w:w="234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Agree </w:t>
            </w:r>
          </w:p>
        </w:tc>
        <w:tc>
          <w:tcPr>
            <w:tcW w:w="234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c>
          <w:tcPr>
            <w:tcW w:w="234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Competent in managing diverse financial aspects, including taxes, investment portfolios, and retirement planning, with little to no assistance.</w:t>
            </w:r>
          </w:p>
        </w:tc>
      </w:tr>
      <w:tr w:rsidR="004B237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4.21 - 5.00</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Strongly Agree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Excel in financial management, understanding advanced investment strategies, market analysis, and financial planning, and can make sophisticated financial decisions independently.  </w:t>
            </w:r>
          </w:p>
        </w:tc>
      </w:tr>
    </w:tbl>
    <w:p w:rsidR="004B237C" w:rsidRDefault="004B237C">
      <w:pPr>
        <w:spacing w:before="240" w:after="240" w:line="240" w:lineRule="auto"/>
        <w:rPr>
          <w:sz w:val="20"/>
          <w:szCs w:val="20"/>
        </w:rPr>
      </w:pPr>
    </w:p>
    <w:p w:rsidR="004B237C" w:rsidRDefault="0049228C">
      <w:pPr>
        <w:spacing w:before="240" w:after="240" w:line="240" w:lineRule="auto"/>
        <w:rPr>
          <w:b/>
          <w:sz w:val="22"/>
          <w:szCs w:val="22"/>
        </w:rPr>
      </w:pPr>
      <w:r>
        <w:rPr>
          <w:b/>
          <w:sz w:val="22"/>
          <w:szCs w:val="22"/>
        </w:rPr>
        <w:t xml:space="preserve">4. RESULTS AND DISCUSSION </w:t>
      </w:r>
    </w:p>
    <w:p w:rsidR="004B237C" w:rsidRDefault="0049228C">
      <w:pPr>
        <w:spacing w:before="240" w:after="240" w:line="240" w:lineRule="auto"/>
        <w:rPr>
          <w:b/>
          <w:sz w:val="20"/>
          <w:szCs w:val="20"/>
        </w:rPr>
      </w:pPr>
      <w:r>
        <w:rPr>
          <w:b/>
          <w:sz w:val="20"/>
          <w:szCs w:val="20"/>
        </w:rPr>
        <w:t xml:space="preserve">4.1 Profile of the Respondents  </w:t>
      </w:r>
    </w:p>
    <w:p w:rsidR="004B237C" w:rsidRDefault="0049228C">
      <w:pPr>
        <w:spacing w:before="240" w:after="240" w:line="240" w:lineRule="auto"/>
        <w:jc w:val="left"/>
        <w:rPr>
          <w:sz w:val="20"/>
          <w:szCs w:val="20"/>
        </w:rPr>
      </w:pPr>
      <w:r>
        <w:rPr>
          <w:b/>
          <w:sz w:val="20"/>
          <w:szCs w:val="20"/>
        </w:rPr>
        <w:t>Table 3.</w:t>
      </w:r>
      <w:r>
        <w:rPr>
          <w:sz w:val="20"/>
          <w:szCs w:val="20"/>
        </w:rPr>
        <w:t xml:space="preserve"> Presents the educational attainment of the demographic profile of the respondents. </w:t>
      </w:r>
    </w:p>
    <w:tbl>
      <w:tblPr>
        <w:tblStyle w:val="a1"/>
        <w:tblW w:w="9360" w:type="dxa"/>
        <w:tblInd w:w="0" w:type="dxa"/>
        <w:tblBorders>
          <w:top w:val="nil"/>
          <w:left w:val="nil"/>
          <w:bottom w:val="single" w:sz="12" w:space="0" w:color="000000"/>
          <w:right w:val="nil"/>
          <w:insideH w:val="nil"/>
          <w:insideV w:val="nil"/>
        </w:tblBorders>
        <w:tblLayout w:type="fixed"/>
        <w:tblLook w:val="0000" w:firstRow="0" w:lastRow="0" w:firstColumn="0" w:lastColumn="0" w:noHBand="0" w:noVBand="0"/>
      </w:tblPr>
      <w:tblGrid>
        <w:gridCol w:w="3120"/>
        <w:gridCol w:w="3120"/>
        <w:gridCol w:w="3120"/>
      </w:tblGrid>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Educational Attainment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Elementary Level</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0.9</w:t>
            </w:r>
          </w:p>
        </w:tc>
      </w:tr>
      <w:tr w:rsidR="004B237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Elementary Graduate </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6.01</w:t>
            </w:r>
          </w:p>
        </w:tc>
      </w:tr>
      <w:tr w:rsidR="004B237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Highschool Level</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101</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30.33</w:t>
            </w:r>
          </w:p>
        </w:tc>
      </w:tr>
      <w:tr w:rsidR="004B237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lastRenderedPageBreak/>
              <w:t xml:space="preserve">Highschool Graduate </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146</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43.84</w:t>
            </w:r>
          </w:p>
        </w:tc>
      </w:tr>
      <w:tr w:rsidR="004B237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College Level</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59</w:t>
            </w:r>
          </w:p>
        </w:tc>
        <w:tc>
          <w:tcPr>
            <w:tcW w:w="3120" w:type="dxa"/>
            <w:tcBorders>
              <w:top w:val="nil"/>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17.72</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College Graduate</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1.20</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Total</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100.00</w:t>
            </w:r>
          </w:p>
        </w:tc>
      </w:tr>
    </w:tbl>
    <w:p w:rsidR="004B237C" w:rsidRDefault="0049228C">
      <w:pPr>
        <w:spacing w:before="240" w:after="240" w:line="240" w:lineRule="auto"/>
        <w:rPr>
          <w:sz w:val="20"/>
          <w:szCs w:val="20"/>
        </w:rPr>
      </w:pPr>
      <w:r>
        <w:rPr>
          <w:sz w:val="20"/>
          <w:szCs w:val="20"/>
        </w:rPr>
        <w:t>The educational attainment of 4Ps beneficiaries shows that most have reached at least high school, with 43.84% graduating and 30.33% attending high school, while only 17.72% reached college and 1.20% completed it (Jornadal, 2023). This highlights a strong foundation for further learning, though tertiary education remains limited. Targeted skill-based training—such as digital literacy, entrepreneurship, and technical-vocational education—can build on this base and align with local economic needs (Buddhadev, 2025; Katire, 2024).</w:t>
      </w:r>
    </w:p>
    <w:p w:rsidR="004B237C" w:rsidRDefault="0049228C">
      <w:pPr>
        <w:spacing w:before="240" w:after="240" w:line="240" w:lineRule="auto"/>
        <w:rPr>
          <w:sz w:val="20"/>
          <w:szCs w:val="20"/>
        </w:rPr>
      </w:pPr>
      <w:r>
        <w:rPr>
          <w:sz w:val="20"/>
          <w:szCs w:val="20"/>
        </w:rPr>
        <w:t>It is recommended that the DSWD integrate vocational training, livelihood initiatives, and skills development workshops into the 4Ps to improve employability, income generation, and long-term self-sufficiency (Cabual et al., 2024; Ballesteros et al., 2017). Such interventions reinforce the program’s objectives while contributing to sustainable poverty reduction (Cabual et al., 2024).</w:t>
      </w:r>
    </w:p>
    <w:p w:rsidR="004B237C" w:rsidRDefault="0049228C">
      <w:pPr>
        <w:spacing w:before="240" w:after="240" w:line="240" w:lineRule="auto"/>
        <w:rPr>
          <w:sz w:val="20"/>
          <w:szCs w:val="20"/>
        </w:rPr>
      </w:pPr>
      <w:r>
        <w:rPr>
          <w:b/>
          <w:sz w:val="20"/>
          <w:szCs w:val="20"/>
        </w:rPr>
        <w:t xml:space="preserve">Table 4 </w:t>
      </w:r>
      <w:r>
        <w:rPr>
          <w:sz w:val="20"/>
          <w:szCs w:val="20"/>
        </w:rPr>
        <w:t xml:space="preserve">Present the occupation of demographic profile of respondents </w:t>
      </w:r>
    </w:p>
    <w:tbl>
      <w:tblPr>
        <w:tblStyle w:val="a2"/>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3120"/>
        <w:gridCol w:w="3120"/>
        <w:gridCol w:w="3120"/>
      </w:tblGrid>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Occupation</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Self-employed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Farmer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6.0</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Construction Worker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Housekeeper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89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26.7</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Laborer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35</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10.5</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Tricycle Driver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8</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Housewife/Husband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70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21.0</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Unemployed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5.7</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Other Occupation</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Total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100.0</w:t>
            </w:r>
          </w:p>
        </w:tc>
      </w:tr>
    </w:tbl>
    <w:p w:rsidR="004B237C" w:rsidRDefault="0049228C">
      <w:pPr>
        <w:spacing w:before="240" w:after="240" w:line="240" w:lineRule="auto"/>
        <w:rPr>
          <w:sz w:val="20"/>
          <w:szCs w:val="20"/>
        </w:rPr>
      </w:pPr>
      <w:r>
        <w:rPr>
          <w:sz w:val="20"/>
          <w:szCs w:val="20"/>
        </w:rPr>
        <w:t xml:space="preserve">           The occupational profile of 4Ps beneficiaries shows many engaged in low-income or informal work, with 26.7% as housekeepers, 24.0% self-employed, and 21.0% as housewives/househusbands, reflecting reliance on unstable income and unpaid labor (Tabuga et al., 2021). This underscores the need for stable employment opportunities and livelihood support, especially for women and those in unpaid domestic work (Dinkelman &amp; Ngai, 2021; Hamidi et al., 2021).</w:t>
      </w:r>
    </w:p>
    <w:p w:rsidR="004B237C" w:rsidRDefault="0049228C">
      <w:pPr>
        <w:spacing w:before="240" w:after="240" w:line="240" w:lineRule="auto"/>
        <w:rPr>
          <w:sz w:val="20"/>
          <w:szCs w:val="20"/>
        </w:rPr>
      </w:pPr>
      <w:r>
        <w:rPr>
          <w:sz w:val="20"/>
          <w:szCs w:val="20"/>
        </w:rPr>
        <w:t xml:space="preserve">      To address this, DSWD should align its programs with beneficiaries’ occupational realities by promoting micro-enterprise, capital access, skills training, and partnerships with employers (Cabual et al., 2024; Mustapa et al., 2018). Providing flexible and home-based opportunities can further empower marginalized groups and foster long-term economic security (Dadheech &amp; Sharma, 2023).</w:t>
      </w:r>
    </w:p>
    <w:p w:rsidR="004B237C" w:rsidRDefault="0049228C">
      <w:pPr>
        <w:spacing w:before="240" w:after="240" w:line="240" w:lineRule="auto"/>
        <w:jc w:val="left"/>
        <w:rPr>
          <w:sz w:val="20"/>
          <w:szCs w:val="20"/>
        </w:rPr>
      </w:pPr>
      <w:r>
        <w:rPr>
          <w:b/>
          <w:sz w:val="20"/>
          <w:szCs w:val="20"/>
        </w:rPr>
        <w:t>Table 5</w:t>
      </w:r>
      <w:r>
        <w:rPr>
          <w:sz w:val="20"/>
          <w:szCs w:val="20"/>
        </w:rPr>
        <w:t xml:space="preserve"> Present the monthly income of demographic profile </w:t>
      </w:r>
    </w:p>
    <w:tbl>
      <w:tblPr>
        <w:tblStyle w:val="a3"/>
        <w:tblW w:w="936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120"/>
        <w:gridCol w:w="3120"/>
        <w:gridCol w:w="3120"/>
      </w:tblGrid>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Monthly Income</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4B237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Php 5,000 and below</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197</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59.16</w:t>
            </w:r>
          </w:p>
        </w:tc>
      </w:tr>
      <w:tr w:rsidR="004B237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Php 5,001 to Php 10,000 </w:t>
            </w:r>
          </w:p>
        </w:t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128</w:t>
            </w:r>
          </w:p>
        </w:t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38.44</w:t>
            </w:r>
          </w:p>
        </w:tc>
      </w:tr>
      <w:tr w:rsidR="004B237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Php 10,001 to Php 20,000 </w:t>
            </w:r>
          </w:p>
        </w:t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w:t>
            </w:r>
          </w:p>
        </w:tc>
        <w:tc>
          <w:tcPr>
            <w:tcW w:w="3120" w:type="dxa"/>
            <w:tcBorders>
              <w:top w:val="nil"/>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r>
      <w:tr w:rsidR="004B237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TOTAL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100.00</w:t>
            </w:r>
          </w:p>
        </w:tc>
      </w:tr>
    </w:tbl>
    <w:p w:rsidR="004B237C" w:rsidRDefault="0049228C">
      <w:pPr>
        <w:spacing w:before="240" w:after="240" w:line="240" w:lineRule="auto"/>
        <w:rPr>
          <w:sz w:val="22"/>
          <w:szCs w:val="22"/>
        </w:rPr>
      </w:pPr>
      <w:r>
        <w:rPr>
          <w:sz w:val="22"/>
          <w:szCs w:val="22"/>
        </w:rPr>
        <w:t xml:space="preserve">         The monthly income profile of 4Ps beneficiaries shows that 59.16% earn Php 5,000 and below, 38.44% earn Php 5,001–10,000, and only 2.40% earn Php 10,001–20,000, placing nearly all households at or near the poverty threshold. This limits their ability to meet basic needs and leaves them highly vulnerable to economic shocks.</w:t>
      </w:r>
    </w:p>
    <w:p w:rsidR="004B237C" w:rsidRDefault="0049228C">
      <w:pPr>
        <w:spacing w:before="240" w:after="240" w:line="240" w:lineRule="auto"/>
        <w:rPr>
          <w:sz w:val="22"/>
          <w:szCs w:val="22"/>
        </w:rPr>
      </w:pPr>
      <w:r>
        <w:rPr>
          <w:sz w:val="22"/>
          <w:szCs w:val="22"/>
        </w:rPr>
        <w:t xml:space="preserve">     To address this, DSWD should expand income-generating initiatives such as microenterprise development, vocational training, microfinance access, and market linkages, complemented by financial literacy programs. These strategies can improve financial stability, reduce long-term dependence on aid, and promote economic self-sufficiency among beneficiaries.</w:t>
      </w:r>
    </w:p>
    <w:p w:rsidR="004B237C" w:rsidRDefault="0049228C">
      <w:pPr>
        <w:spacing w:before="240" w:after="240" w:line="240" w:lineRule="auto"/>
        <w:jc w:val="left"/>
        <w:rPr>
          <w:sz w:val="20"/>
          <w:szCs w:val="20"/>
        </w:rPr>
      </w:pPr>
      <w:r>
        <w:rPr>
          <w:b/>
          <w:sz w:val="20"/>
          <w:szCs w:val="20"/>
        </w:rPr>
        <w:t xml:space="preserve">Table 6 </w:t>
      </w:r>
      <w:r>
        <w:rPr>
          <w:sz w:val="20"/>
          <w:szCs w:val="20"/>
        </w:rPr>
        <w:t>Present the family living of demographic profile of respondents</w:t>
      </w:r>
    </w:p>
    <w:tbl>
      <w:tblPr>
        <w:tblStyle w:val="a4"/>
        <w:tblW w:w="9270" w:type="dxa"/>
        <w:tblInd w:w="0"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3075"/>
        <w:gridCol w:w="3120"/>
        <w:gridCol w:w="3075"/>
      </w:tblGrid>
      <w:tr w:rsidR="004B237C">
        <w:tc>
          <w:tcPr>
            <w:tcW w:w="30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Family Living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Frequency</w:t>
            </w:r>
          </w:p>
        </w:tc>
        <w:tc>
          <w:tcPr>
            <w:tcW w:w="30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4B237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Extended Family </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90</w:t>
            </w:r>
          </w:p>
        </w:t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27.03</w:t>
            </w:r>
          </w:p>
        </w:tc>
      </w:tr>
      <w:tr w:rsidR="004B237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Sole Family </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72.07 </w:t>
            </w:r>
          </w:p>
        </w:tc>
      </w:tr>
      <w:tr w:rsidR="004B237C">
        <w:trPr>
          <w:trHeight w:val="504"/>
        </w:trPr>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Nuclear Family</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 xml:space="preserve">0.90 </w:t>
            </w:r>
          </w:p>
        </w:tc>
      </w:tr>
      <w:tr w:rsidR="004B237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Total</w:t>
            </w:r>
          </w:p>
        </w:tc>
        <w:tc>
          <w:tcPr>
            <w:tcW w:w="312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07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100.00</w:t>
            </w:r>
          </w:p>
        </w:tc>
      </w:tr>
    </w:tbl>
    <w:p w:rsidR="004B237C" w:rsidRDefault="0049228C">
      <w:pPr>
        <w:spacing w:before="240" w:after="240" w:line="240" w:lineRule="auto"/>
        <w:rPr>
          <w:sz w:val="20"/>
          <w:szCs w:val="20"/>
        </w:rPr>
      </w:pPr>
      <w:r>
        <w:rPr>
          <w:sz w:val="20"/>
          <w:szCs w:val="20"/>
        </w:rPr>
        <w:t xml:space="preserve">         The family living data of 4Ps beneficiaries shows that 72.07% live in sole family households, 27.03% in extended families, and only 0.90% in nuclear setups. Sole family living suggests independent household management but with greater financial pressure, while extended arrangements may ease costs through shared resources yet risk overcrowding and strain.</w:t>
      </w:r>
    </w:p>
    <w:p w:rsidR="004B237C" w:rsidRDefault="0049228C">
      <w:pPr>
        <w:spacing w:before="240" w:after="240" w:line="240" w:lineRule="auto"/>
        <w:rPr>
          <w:sz w:val="20"/>
          <w:szCs w:val="20"/>
        </w:rPr>
      </w:pPr>
      <w:r>
        <w:rPr>
          <w:sz w:val="20"/>
          <w:szCs w:val="20"/>
        </w:rPr>
        <w:t xml:space="preserve">        To address these dynamics, DSWD should tailor programs to household structures—providing parenting support, childcare aid, and livelihood opportunities for sole families, while offering housing, health, and intergenerational support for extended households. Recognizing these variations ensures more inclusive and effective social protection.</w:t>
      </w:r>
    </w:p>
    <w:p w:rsidR="004B237C" w:rsidRDefault="0049228C">
      <w:pPr>
        <w:spacing w:before="240" w:after="240" w:line="240" w:lineRule="auto"/>
        <w:rPr>
          <w:sz w:val="20"/>
          <w:szCs w:val="20"/>
        </w:rPr>
      </w:pPr>
      <w:r>
        <w:rPr>
          <w:b/>
          <w:sz w:val="20"/>
          <w:szCs w:val="20"/>
        </w:rPr>
        <w:t xml:space="preserve">Table 7 </w:t>
      </w:r>
      <w:r>
        <w:rPr>
          <w:sz w:val="20"/>
          <w:szCs w:val="20"/>
        </w:rPr>
        <w:t>Present the number of children of demographic of respondents</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05"/>
        <w:gridCol w:w="3225"/>
        <w:gridCol w:w="3030"/>
      </w:tblGrid>
      <w:tr w:rsidR="004B237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No. of Children</w:t>
            </w:r>
          </w:p>
        </w:tc>
        <w:tc>
          <w:tcPr>
            <w:tcW w:w="32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Frequency</w:t>
            </w:r>
          </w:p>
        </w:tc>
        <w:tc>
          <w:tcPr>
            <w:tcW w:w="30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Percent</w:t>
            </w:r>
          </w:p>
        </w:tc>
      </w:tr>
      <w:tr w:rsidR="004B237C">
        <w:tc>
          <w:tcPr>
            <w:tcW w:w="310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spacing w:line="240" w:lineRule="auto"/>
              <w:jc w:val="left"/>
              <w:rPr>
                <w:sz w:val="20"/>
                <w:szCs w:val="20"/>
              </w:rPr>
            </w:pPr>
            <w:r>
              <w:rPr>
                <w:sz w:val="20"/>
                <w:szCs w:val="20"/>
              </w:rPr>
              <w:t>Only Child</w:t>
            </w:r>
          </w:p>
        </w:tc>
        <w:tc>
          <w:tcPr>
            <w:tcW w:w="3225"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179</w:t>
            </w:r>
          </w:p>
        </w:tc>
        <w:tc>
          <w:tcPr>
            <w:tcW w:w="3030" w:type="dxa"/>
            <w:tcBorders>
              <w:top w:val="single" w:sz="12" w:space="0" w:color="000000"/>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53.75</w:t>
            </w:r>
          </w:p>
        </w:tc>
      </w:tr>
      <w:tr w:rsidR="004B237C">
        <w:tc>
          <w:tcPr>
            <w:tcW w:w="3105"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left"/>
              <w:rPr>
                <w:sz w:val="20"/>
                <w:szCs w:val="20"/>
              </w:rPr>
            </w:pPr>
            <w:r>
              <w:rPr>
                <w:sz w:val="20"/>
                <w:szCs w:val="20"/>
              </w:rPr>
              <w:t>Two children</w:t>
            </w:r>
          </w:p>
        </w:tc>
        <w:tc>
          <w:tcPr>
            <w:tcW w:w="3225"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135</w:t>
            </w:r>
          </w:p>
        </w:tc>
        <w:tc>
          <w:tcPr>
            <w:tcW w:w="3030"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40.54</w:t>
            </w:r>
          </w:p>
        </w:tc>
      </w:tr>
      <w:tr w:rsidR="004B237C">
        <w:tc>
          <w:tcPr>
            <w:tcW w:w="3105"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left"/>
              <w:rPr>
                <w:sz w:val="20"/>
                <w:szCs w:val="20"/>
              </w:rPr>
            </w:pPr>
            <w:r>
              <w:rPr>
                <w:sz w:val="20"/>
                <w:szCs w:val="20"/>
              </w:rPr>
              <w:t>Three or more children</w:t>
            </w:r>
          </w:p>
        </w:tc>
        <w:tc>
          <w:tcPr>
            <w:tcW w:w="3225"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19</w:t>
            </w:r>
          </w:p>
        </w:tc>
        <w:tc>
          <w:tcPr>
            <w:tcW w:w="3030" w:type="dxa"/>
            <w:tcBorders>
              <w:top w:val="nil"/>
              <w:left w:val="nil"/>
              <w:bottom w:val="nil"/>
              <w:right w:val="nil"/>
            </w:tcBorders>
            <w:tcMar>
              <w:top w:w="100" w:type="dxa"/>
              <w:left w:w="100" w:type="dxa"/>
              <w:bottom w:w="100" w:type="dxa"/>
              <w:right w:w="100" w:type="dxa"/>
            </w:tcMar>
          </w:tcPr>
          <w:p w:rsidR="004B237C" w:rsidRDefault="0049228C">
            <w:pPr>
              <w:widowControl w:val="0"/>
              <w:spacing w:line="240" w:lineRule="auto"/>
              <w:jc w:val="center"/>
              <w:rPr>
                <w:sz w:val="20"/>
                <w:szCs w:val="20"/>
              </w:rPr>
            </w:pPr>
            <w:r>
              <w:rPr>
                <w:sz w:val="20"/>
                <w:szCs w:val="20"/>
              </w:rPr>
              <w:t>5.71</w:t>
            </w:r>
          </w:p>
        </w:tc>
      </w:tr>
      <w:tr w:rsidR="004B237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Total</w:t>
            </w:r>
          </w:p>
        </w:tc>
        <w:tc>
          <w:tcPr>
            <w:tcW w:w="32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b/>
                <w:sz w:val="20"/>
                <w:szCs w:val="20"/>
              </w:rPr>
              <w:t>333</w:t>
            </w:r>
          </w:p>
        </w:tc>
        <w:tc>
          <w:tcPr>
            <w:tcW w:w="30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spacing w:line="240" w:lineRule="auto"/>
              <w:jc w:val="center"/>
              <w:rPr>
                <w:b/>
                <w:sz w:val="20"/>
                <w:szCs w:val="20"/>
              </w:rPr>
            </w:pPr>
            <w:r>
              <w:rPr>
                <w:sz w:val="20"/>
                <w:szCs w:val="20"/>
              </w:rPr>
              <w:t>100.00</w:t>
            </w:r>
          </w:p>
        </w:tc>
      </w:tr>
    </w:tbl>
    <w:p w:rsidR="004B237C" w:rsidRDefault="0049228C">
      <w:pPr>
        <w:spacing w:before="240" w:after="240" w:line="240" w:lineRule="auto"/>
        <w:rPr>
          <w:sz w:val="22"/>
          <w:szCs w:val="22"/>
        </w:rPr>
      </w:pPr>
      <w:r>
        <w:rPr>
          <w:sz w:val="22"/>
          <w:szCs w:val="22"/>
        </w:rPr>
        <w:lastRenderedPageBreak/>
        <w:t xml:space="preserve">            The data shows that most 4Ps beneficiaries have small families, with 53.75% having one child, 40.54% two children, and only 5.71% three or more. This may reflect family planning efforts or economic constraints. Smaller family sizes can help allocate resources more effectively, though low income still limits access to education, healthcare, and nutrition (Berger &amp; Font, 2015; Hodgkinson et al., 2017).</w:t>
      </w:r>
    </w:p>
    <w:p w:rsidR="004B237C" w:rsidRDefault="0049228C">
      <w:pPr>
        <w:spacing w:before="240" w:after="240" w:line="240" w:lineRule="auto"/>
        <w:rPr>
          <w:sz w:val="22"/>
          <w:szCs w:val="22"/>
        </w:rPr>
      </w:pPr>
      <w:r>
        <w:rPr>
          <w:sz w:val="22"/>
          <w:szCs w:val="22"/>
        </w:rPr>
        <w:t xml:space="preserve">          It is recommended that DSWD strengthen family planning education and provide targeted support for larger households, which face greater financial strain (Dy, 2018; Taylor et al., 2017). Programs such as child nutrition, educational subsidies, and parenting support can ensure equal opportunities for all children in 4Ps families (Javier, 2021).</w:t>
      </w:r>
    </w:p>
    <w:p w:rsidR="004B237C" w:rsidRDefault="0049228C">
      <w:pPr>
        <w:spacing w:before="240" w:after="240" w:line="240" w:lineRule="auto"/>
        <w:rPr>
          <w:b/>
          <w:sz w:val="20"/>
          <w:szCs w:val="20"/>
        </w:rPr>
      </w:pPr>
      <w:r>
        <w:rPr>
          <w:b/>
          <w:sz w:val="20"/>
          <w:szCs w:val="20"/>
        </w:rPr>
        <w:t xml:space="preserve">4.2 </w:t>
      </w:r>
      <w:r>
        <w:rPr>
          <w:b/>
          <w:sz w:val="22"/>
          <w:szCs w:val="22"/>
        </w:rPr>
        <w:t xml:space="preserve">Level of Financial Literacy Among 4ps Beneficiaries </w:t>
      </w:r>
    </w:p>
    <w:p w:rsidR="004B237C" w:rsidRDefault="0049228C">
      <w:pPr>
        <w:spacing w:before="240" w:after="240" w:line="240" w:lineRule="auto"/>
        <w:rPr>
          <w:sz w:val="20"/>
          <w:szCs w:val="20"/>
        </w:rPr>
      </w:pPr>
      <w:r>
        <w:rPr>
          <w:b/>
          <w:sz w:val="20"/>
          <w:szCs w:val="20"/>
        </w:rPr>
        <w:t xml:space="preserve">          </w:t>
      </w:r>
      <w:r>
        <w:rPr>
          <w:sz w:val="20"/>
          <w:szCs w:val="20"/>
        </w:rPr>
        <w:t>Presented in Table 8 shows the level of financial literacy in terms of financial skills among the respondents.</w:t>
      </w:r>
    </w:p>
    <w:p w:rsidR="004B237C" w:rsidRDefault="0049228C">
      <w:pPr>
        <w:spacing w:before="240" w:after="240" w:line="480" w:lineRule="auto"/>
        <w:rPr>
          <w:sz w:val="20"/>
          <w:szCs w:val="20"/>
        </w:rPr>
      </w:pPr>
      <w:r>
        <w:rPr>
          <w:b/>
          <w:sz w:val="20"/>
          <w:szCs w:val="20"/>
        </w:rPr>
        <w:t xml:space="preserve">Table 8 </w:t>
      </w:r>
      <w:r>
        <w:rPr>
          <w:sz w:val="20"/>
          <w:szCs w:val="20"/>
        </w:rPr>
        <w:t xml:space="preserve">Level of financial literacy in terms of financial skills </w:t>
      </w:r>
    </w:p>
    <w:p w:rsidR="004B237C" w:rsidRDefault="004B237C">
      <w:pPr>
        <w:spacing w:before="240" w:after="240" w:line="240" w:lineRule="auto"/>
        <w:rPr>
          <w:b/>
          <w:sz w:val="20"/>
          <w:szCs w:val="20"/>
        </w:rPr>
      </w:pPr>
    </w:p>
    <w:tbl>
      <w:tblPr>
        <w:tblStyle w:val="a6"/>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125"/>
        <w:gridCol w:w="3105"/>
        <w:gridCol w:w="1785"/>
        <w:gridCol w:w="1785"/>
        <w:gridCol w:w="1575"/>
      </w:tblGrid>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Expenses are reduced to allow for savings that can be used for future or unexpected needs.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1.06</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3.95</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Spending on events such as birthdays of relatives, fiestas, and similar occasions is minimized or avoided, with a focus on living within one’s means.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0.70</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Monthly income is allocated primarily to essential needs, ensuring that spending remains equal to or less than the set budget, while avoiding unnecessary expenses on wants.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Additional sources of income are sought when existing earnings are insufficient to meet financial needs.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Efforts are made to compare options and find the best price before making a purchase.</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0.39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4.23</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i/>
          <w:sz w:val="20"/>
          <w:szCs w:val="20"/>
        </w:rPr>
        <w:t xml:space="preserve">            </w:t>
      </w:r>
      <w:r>
        <w:rPr>
          <w:sz w:val="20"/>
          <w:szCs w:val="20"/>
        </w:rPr>
        <w:t xml:space="preserve">Table 8 presents the level of financial literacy among 4Ps beneficiaries in terms of financial skills. Results show a very high category mean score of 4.23, reflecting strong abilities in budgeting, spending within one’s means, and seeking additional income when needed. The highest-rated skill was prioritizing essential needs over wants (M = 4.47), indicating strong discipline in financial management, </w:t>
      </w:r>
      <w:r>
        <w:rPr>
          <w:sz w:val="20"/>
          <w:szCs w:val="20"/>
        </w:rPr>
        <w:lastRenderedPageBreak/>
        <w:t>while reducing expenses for savings received the lowest score (M = 3.95), though it still reflects commendable literacy.</w:t>
      </w:r>
    </w:p>
    <w:p w:rsidR="004B237C" w:rsidRDefault="0049228C">
      <w:pPr>
        <w:spacing w:before="240" w:after="240" w:line="240" w:lineRule="auto"/>
        <w:rPr>
          <w:sz w:val="20"/>
          <w:szCs w:val="20"/>
        </w:rPr>
      </w:pPr>
      <w:r>
        <w:rPr>
          <w:sz w:val="20"/>
          <w:szCs w:val="20"/>
        </w:rPr>
        <w:t>These findings highlight that 4Ps beneficiaries demonstrate financial discipline, particularly in budgeting and prioritizing essential needs such as food, education, and healthcare, while minimizing non-essential expenses (Ali et al., 2018; Supeno &amp; Jamil, 2024). Financial skills—such as budgeting, saving, and planning for short- and long-term goals—are essential for financial inclusion and resilience (Kumar et al., 2023; Yoganandham, 2025; Vovchenko et al., 2018; Hertel et al., 2021; Bisht &amp; Mishra, 2016).</w:t>
      </w:r>
    </w:p>
    <w:p w:rsidR="004B237C" w:rsidRDefault="0049228C">
      <w:pPr>
        <w:spacing w:before="240" w:after="240" w:line="240" w:lineRule="auto"/>
        <w:rPr>
          <w:sz w:val="20"/>
          <w:szCs w:val="20"/>
        </w:rPr>
      </w:pPr>
      <w:r>
        <w:rPr>
          <w:sz w:val="20"/>
          <w:szCs w:val="20"/>
        </w:rPr>
        <w:t>Beneficiaries also show resourcefulness by seeking alternative income sources, such as part-time jobs or small businesses, to supplement household needs and reduce vulnerability to economic shocks (Necor &amp; Turpias, 2024; Hallegatte et al., 2016; Collins, 2015; Munar, 2024; Estepa-Maestre &amp; Roca, 2018; Kathuria et al., 2017; Sherraden et al., 2018; Bayrakçeken, 2024). This reflects their proactive mindset and commitment to improving financial security beyond government support.</w:t>
      </w:r>
    </w:p>
    <w:p w:rsidR="004B237C" w:rsidRDefault="0049228C">
      <w:pPr>
        <w:spacing w:before="240" w:after="240" w:line="240" w:lineRule="auto"/>
        <w:rPr>
          <w:b/>
          <w:sz w:val="20"/>
          <w:szCs w:val="20"/>
        </w:rPr>
      </w:pPr>
      <w:r>
        <w:rPr>
          <w:b/>
          <w:sz w:val="20"/>
          <w:szCs w:val="20"/>
        </w:rPr>
        <w:t xml:space="preserve">Table 9. </w:t>
      </w:r>
      <w:r>
        <w:rPr>
          <w:sz w:val="20"/>
          <w:szCs w:val="20"/>
        </w:rPr>
        <w:t>Level of financial literacy in terms of financial values</w:t>
      </w:r>
    </w:p>
    <w:tbl>
      <w:tblPr>
        <w:tblStyle w:val="a7"/>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425"/>
        <w:gridCol w:w="2760"/>
        <w:gridCol w:w="1695"/>
        <w:gridCol w:w="1785"/>
        <w:gridCol w:w="1710"/>
      </w:tblGrid>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list is prepared before making purchases to ensure organized and intentional spending.</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Every peso is maximized to ensure the best value when purchasing products.</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0.63</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4.46</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importance of having a clear savings goal is recognized to avoid the temptation of overspending.</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Monthly financial plan is maintained for managing expenses, with savings used as an effective tool for achieving financial stability</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0.85</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Moderate</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4.24</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sz w:val="20"/>
          <w:szCs w:val="20"/>
        </w:rPr>
        <w:t xml:space="preserve">          Table 9 reveals that 4Ps beneficiaries show a generally high level of financial literacy (overall mean = 3.90), with the strongest practice being the preparation of purchase lists (mean = 4.47) and the weakest in maintaining monthly financial plans (mean = 3.99). This indicates effective planning habits but a need for improved budgeting and savings strategies. Financial values—principles that guide money management—are especially critical in low-income settings, as they influence how limited resources are allocated for necessities, savings, and long-term stability (Tang, 2016; Hussain et al., 2023; Sano et al., 2021; Asari, 2024; Munar, 2024; Kyeyune &amp; Ntayi, 2025; Tuominen et al., 2025; Yoganandham, 2025; Elsayed, 2024).</w:t>
      </w:r>
    </w:p>
    <w:p w:rsidR="004B237C" w:rsidRDefault="0049228C">
      <w:pPr>
        <w:spacing w:before="240" w:after="240" w:line="240" w:lineRule="auto"/>
        <w:rPr>
          <w:b/>
          <w:sz w:val="20"/>
          <w:szCs w:val="20"/>
        </w:rPr>
      </w:pPr>
      <w:r>
        <w:rPr>
          <w:b/>
          <w:sz w:val="20"/>
          <w:szCs w:val="20"/>
        </w:rPr>
        <w:t xml:space="preserve">Table 10 </w:t>
      </w:r>
      <w:r>
        <w:rPr>
          <w:sz w:val="20"/>
          <w:szCs w:val="20"/>
        </w:rPr>
        <w:t>Level of financial literacy in terms of financial knowledge</w:t>
      </w:r>
    </w:p>
    <w:tbl>
      <w:tblPr>
        <w:tblStyle w:val="a8"/>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35"/>
        <w:gridCol w:w="2970"/>
        <w:gridCol w:w="1710"/>
        <w:gridCol w:w="1695"/>
        <w:gridCol w:w="1665"/>
      </w:tblGrid>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Keeping records of family income and expenses is a valuable financial practice that helps monitor and manage </w:t>
            </w:r>
            <w:r>
              <w:rPr>
                <w:sz w:val="20"/>
                <w:szCs w:val="20"/>
              </w:rPr>
              <w:lastRenderedPageBreak/>
              <w:t>household finances effectively.</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lastRenderedPageBreak/>
              <w:t>1.06</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3.95</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Saving money for emergencies is prioritized over spending on non-essential items to ensure financial preparedness during unexpected situations.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0.70</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Very High</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Prioritizing needs and foregoing non-essential purchases is a key approach in effective budgeting and responsible financial management.</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0.62</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Budgeting monthly income in advance helps prevent last-minute financial stress and ensures proper allocation of funds.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Wise decision-making is applied to manage limited financial resources effectively.</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0.71</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0.40</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4.23</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sz w:val="20"/>
          <w:szCs w:val="20"/>
        </w:rPr>
        <w:t xml:space="preserve">      Table 10 shows the financial knowledge of 4Ps beneficiaries, highlighting practices such as budgeting, prioritizing needs, saving for emergencies, and tracking income and expenses. The highest-rated skill was prioritizing needs over non-essential purchases (mean = 4.47), reflecting strong budgeting discipline, while the lowest was keeping income and expense records (mean = 3.95), suggesting a need for better tracking tools. Globally, financial knowledge is recognized as essential for household stability and informed decision-making in budgeting, saving, borrowing, and investing (Nivrutti, 2024; Dela Cruz et al., 2023; Gennetian &amp; Shafir, 2015; Danns &amp; Danns, 2017; Yoganandham, 2025). In low-income settings, accurate recordkeeping and prioritizing emergency savings are critical for avoiding overspending, building resilience, and ensuring long-term financial security (Ihsan &amp; Nurlaila, 2024; Ang, 2024; Sinnewe &amp; Nicholson, 2023; Despard et al., 2020; Hallegatte et al., 2016; McKnight &amp; Rucci, 2020; Moffatt &amp; Heaven, 2017).</w:t>
      </w:r>
    </w:p>
    <w:p w:rsidR="004B237C" w:rsidRDefault="0049228C">
      <w:pPr>
        <w:spacing w:before="240" w:after="240" w:line="240" w:lineRule="auto"/>
        <w:rPr>
          <w:b/>
          <w:sz w:val="20"/>
          <w:szCs w:val="20"/>
        </w:rPr>
      </w:pPr>
      <w:r>
        <w:rPr>
          <w:b/>
          <w:sz w:val="20"/>
          <w:szCs w:val="20"/>
        </w:rPr>
        <w:t xml:space="preserve">Table 11 </w:t>
      </w:r>
      <w:r>
        <w:rPr>
          <w:sz w:val="20"/>
          <w:szCs w:val="20"/>
        </w:rPr>
        <w:t>Level of financial literacy in terms of financial awareness</w:t>
      </w:r>
    </w:p>
    <w:tbl>
      <w:tblPr>
        <w:tblStyle w:val="a9"/>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20"/>
        <w:gridCol w:w="2910"/>
        <w:gridCol w:w="1770"/>
        <w:gridCol w:w="1740"/>
        <w:gridCol w:w="1635"/>
      </w:tblGrid>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Making a list before buying helps manage spending wisely</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0.96</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4.13</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Spending below income supports financial stability.</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0.75</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4.14</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High</w:t>
            </w:r>
          </w:p>
        </w:tc>
      </w:tr>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Discussing finances with a spouse promotes joint decision-making</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0.78</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Recognizing the importance of financial education for every family member fosters better money management.</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0.78</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4.14</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0.50</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4.15</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sz w:val="20"/>
          <w:szCs w:val="20"/>
        </w:rPr>
        <w:t xml:space="preserve">        Table 11 presents the financial awareness of 4Ps beneficiaries, with an overall mean score of 4.15—a very high level. The highest-rated skill was discussing finances with a spouse (mean = 4.21), reflecting proactive decision-making, while the lowest was making a list before buying (mean = 4.12), which still indicates commendable awareness. Overall, beneficiaries show strong money management through budgeting, planning, and informed decisions.</w:t>
      </w:r>
    </w:p>
    <w:p w:rsidR="004B237C" w:rsidRDefault="0049228C">
      <w:pPr>
        <w:spacing w:before="240" w:after="240" w:line="240" w:lineRule="auto"/>
        <w:rPr>
          <w:sz w:val="20"/>
          <w:szCs w:val="20"/>
        </w:rPr>
      </w:pPr>
      <w:r>
        <w:rPr>
          <w:sz w:val="20"/>
          <w:szCs w:val="20"/>
        </w:rPr>
        <w:t xml:space="preserve">          Financial awareness—understanding one’s financial situation and making responsible choices—is essential for managing resources, avoiding debt, and achieving goals (Dwiastanti, 2015; Stolper &amp; Walter, 2017; Jumady et al., 2024; Tanggamani et al., 2021). It involves knowing income, expenses, savings, and debts (Sussman &amp; O’Brien, 2016; Ghimire &amp; Dahal, 2024), as well as habits like budgeting, expense tracking, and planning for the future (Abdullah et al., 2019; Agyekum, 2024; Wijayanti et al., 2024). Globally, financial awareness is seen as a lifelong skill that reduces stress, prevents unnecessary debt, and builds long-term stability (Deevy et al., 2021; Odhiambo, 2023; Glover, 2022; Hammond et al., 2015).</w:t>
      </w:r>
    </w:p>
    <w:p w:rsidR="004B237C" w:rsidRDefault="0049228C">
      <w:pPr>
        <w:spacing w:before="240" w:after="240" w:line="240" w:lineRule="auto"/>
        <w:rPr>
          <w:b/>
          <w:sz w:val="20"/>
          <w:szCs w:val="20"/>
        </w:rPr>
      </w:pPr>
      <w:r>
        <w:rPr>
          <w:b/>
          <w:sz w:val="20"/>
          <w:szCs w:val="20"/>
        </w:rPr>
        <w:t xml:space="preserve">Table 12 </w:t>
      </w:r>
      <w:r>
        <w:rPr>
          <w:sz w:val="20"/>
          <w:szCs w:val="20"/>
        </w:rPr>
        <w:t>Level of financial literacy in terms of financial behavior</w:t>
      </w:r>
    </w:p>
    <w:tbl>
      <w:tblPr>
        <w:tblStyle w:val="aa"/>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425"/>
        <w:gridCol w:w="2835"/>
        <w:gridCol w:w="1680"/>
        <w:gridCol w:w="1830"/>
        <w:gridCol w:w="1605"/>
      </w:tblGrid>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Comparing prices helps make smarter spending choices.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0.72</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Long-term goals guide smart money choices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0.82</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4.05</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High</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Consider affordability before buying</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0.68</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4.24</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Pay bills on time</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0.68</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4.18</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4B237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0.43</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4.17</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sz w:val="20"/>
          <w:szCs w:val="20"/>
        </w:rPr>
        <w:t xml:space="preserve">          Table 12 presents the level of financial literacy among 4Ps beneficiaries in terms of financial behavior, with an overall mean score of 4.17, indicating a high level of positive money habits. The highest-rated item, “Comparing prices helps make smarter spending choices” (M=4.40), reflects strong financial discipline, while the lowest, “Long-term goals guide smart money choices” (M=4.05), highlights the need for targeted education on goal-setting and savings.</w:t>
      </w:r>
    </w:p>
    <w:p w:rsidR="004B237C" w:rsidRDefault="0049228C">
      <w:pPr>
        <w:spacing w:before="240" w:after="240" w:line="240" w:lineRule="auto"/>
        <w:rPr>
          <w:sz w:val="20"/>
          <w:szCs w:val="20"/>
        </w:rPr>
      </w:pPr>
      <w:r>
        <w:rPr>
          <w:sz w:val="20"/>
          <w:szCs w:val="20"/>
        </w:rPr>
        <w:t xml:space="preserve">         Financial behavior, defined as the way individuals manage money through spending, saving, budgeting, and planning (Dwiastanti, 2015; Garcia-Santillan et al., 2019; Apriansah et al., 2022), supports both short-term stability and long-term well-being (Melnichuk, 2015; Vosylis &amp; Klimstra, 2022; Yoganandham, 2025). Good practices include considering affordability before purchases (Stolper &amp; Walter, 2017; Snow et al., 2017), avoiding unnecessary debt (Dickerson, 2016; Fan, 2021), and intentional spending for better discipline (Middlemiss &amp; Gillard, 2015; Hira, 2016; Mazlan, 2024).</w:t>
      </w:r>
    </w:p>
    <w:p w:rsidR="004B237C" w:rsidRDefault="0049228C">
      <w:pPr>
        <w:spacing w:before="240" w:after="240" w:line="240" w:lineRule="auto"/>
        <w:rPr>
          <w:sz w:val="20"/>
          <w:szCs w:val="20"/>
        </w:rPr>
      </w:pPr>
      <w:r>
        <w:rPr>
          <w:sz w:val="20"/>
          <w:szCs w:val="20"/>
        </w:rPr>
        <w:t xml:space="preserve">         Globally, financial behavior varies due to economic conditions, norms, and policies (Sikka &amp; Bhayana, 2024). High-income countries often engage in advanced practices like retirement planning (Vivel-Búamnb et al., 2019), while low- and middle-income regions focus more on daily survival and informal saving systems (Kamran &amp; Uusitalo, 2024).</w:t>
      </w:r>
    </w:p>
    <w:p w:rsidR="004B237C" w:rsidRDefault="0049228C">
      <w:pPr>
        <w:spacing w:before="240" w:after="240" w:line="240" w:lineRule="auto"/>
        <w:rPr>
          <w:sz w:val="20"/>
          <w:szCs w:val="20"/>
        </w:rPr>
      </w:pPr>
      <w:r>
        <w:rPr>
          <w:b/>
          <w:sz w:val="20"/>
          <w:szCs w:val="20"/>
        </w:rPr>
        <w:t xml:space="preserve">Table 13 </w:t>
      </w:r>
      <w:r>
        <w:rPr>
          <w:sz w:val="20"/>
          <w:szCs w:val="20"/>
        </w:rPr>
        <w:t>Level of financial literacy in terms of financial attitude</w:t>
      </w:r>
    </w:p>
    <w:p w:rsidR="004B237C" w:rsidRDefault="004B237C">
      <w:pPr>
        <w:spacing w:before="240" w:after="240" w:line="240" w:lineRule="auto"/>
        <w:rPr>
          <w:b/>
          <w:sz w:val="20"/>
          <w:szCs w:val="20"/>
        </w:rPr>
      </w:pPr>
    </w:p>
    <w:tbl>
      <w:tblPr>
        <w:tblStyle w:val="ab"/>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65"/>
        <w:gridCol w:w="2955"/>
        <w:gridCol w:w="1800"/>
        <w:gridCol w:w="1710"/>
        <w:gridCol w:w="1545"/>
      </w:tblGrid>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No.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Following a financial plan or budget helps manage family finances effectively.</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4.35</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A united family approach helps overcome money difficulties</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Very High</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Take responsibility for managing the monthly budget</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Seeking advice from others can improve financial management</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1.03</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3.65</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Collaborating with government supports family financial stability</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1.21</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3.51</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4B237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0.50</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4.00</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rsidR="004B237C" w:rsidRDefault="0049228C">
      <w:pPr>
        <w:spacing w:before="240" w:after="240" w:line="240" w:lineRule="auto"/>
        <w:rPr>
          <w:sz w:val="20"/>
          <w:szCs w:val="20"/>
        </w:rPr>
      </w:pPr>
      <w:r>
        <w:rPr>
          <w:sz w:val="20"/>
          <w:szCs w:val="20"/>
        </w:rPr>
        <w:t xml:space="preserve">          Table 13 shows the level of financial literacy among 4Ps beneficiaries in terms of financial attitude. It highlights practices such as following a financial plan, shared family responsibility, managing monthly budgets, seeking advice, and collaborating with the government. The overall mean score of 4.00 indicates a very high level of financial attitude, reflecting resilience and a positive orientation toward economic self-sufficiency.</w:t>
      </w:r>
    </w:p>
    <w:p w:rsidR="004B237C" w:rsidRDefault="0049228C">
      <w:pPr>
        <w:spacing w:before="240" w:after="240" w:line="240" w:lineRule="auto"/>
        <w:rPr>
          <w:sz w:val="20"/>
          <w:szCs w:val="20"/>
        </w:rPr>
      </w:pPr>
      <w:r>
        <w:rPr>
          <w:sz w:val="20"/>
          <w:szCs w:val="20"/>
        </w:rPr>
        <w:t xml:space="preserve">        “Following a financial plan” received the highest mean score (4.35), showing strong budgeting practices, while “Collaborating with government” had the lowest (3.51), still reflecting a high but less emphasized area for improvement.</w:t>
      </w:r>
    </w:p>
    <w:p w:rsidR="004B237C" w:rsidRDefault="0049228C">
      <w:pPr>
        <w:spacing w:before="240" w:after="240" w:line="240" w:lineRule="auto"/>
        <w:rPr>
          <w:sz w:val="20"/>
          <w:szCs w:val="20"/>
        </w:rPr>
      </w:pPr>
      <w:r>
        <w:rPr>
          <w:sz w:val="20"/>
          <w:szCs w:val="20"/>
        </w:rPr>
        <w:t xml:space="preserve">         Financial literacy is the ability to make informed decisions on budgeting, saving, and financial planning,  enabling stability and long-term security (Zait &amp; Bertea, 2015; Tyson, 2023; Sawatzki, 2017; Yoganandham, 2025; Katnic et al., 2024; Kyeyune &amp; Ntayi, 2025). Financial attitude, meanwhile, reflects one’s values and behaviors in managing resources, marked by discipline, openness to learning, and collaboration (Siswanti &amp; Halida, 2020; Shaheen, 2023; Németh &amp; Zsótér, 2017; Bailey, 2019).</w:t>
      </w:r>
    </w:p>
    <w:p w:rsidR="004B237C" w:rsidRDefault="0049228C">
      <w:pPr>
        <w:spacing w:before="240" w:after="240" w:line="240" w:lineRule="auto"/>
        <w:rPr>
          <w:sz w:val="20"/>
          <w:szCs w:val="20"/>
        </w:rPr>
      </w:pPr>
      <w:r>
        <w:rPr>
          <w:b/>
          <w:sz w:val="20"/>
          <w:szCs w:val="20"/>
        </w:rPr>
        <w:t xml:space="preserve">Table </w:t>
      </w:r>
      <w:proofErr w:type="gramStart"/>
      <w:r>
        <w:rPr>
          <w:b/>
          <w:sz w:val="20"/>
          <w:szCs w:val="20"/>
        </w:rPr>
        <w:t>14</w:t>
      </w:r>
      <w:r>
        <w:rPr>
          <w:sz w:val="20"/>
          <w:szCs w:val="20"/>
        </w:rPr>
        <w:t xml:space="preserve">  </w:t>
      </w:r>
      <w:r w:rsidR="009652E2">
        <w:rPr>
          <w:sz w:val="20"/>
          <w:szCs w:val="20"/>
        </w:rPr>
        <w:t>F</w:t>
      </w:r>
      <w:r w:rsidR="009652E2" w:rsidRPr="009652E2">
        <w:rPr>
          <w:sz w:val="20"/>
          <w:szCs w:val="20"/>
        </w:rPr>
        <w:t>inancial</w:t>
      </w:r>
      <w:proofErr w:type="gramEnd"/>
      <w:r w:rsidR="009652E2" w:rsidRPr="009652E2">
        <w:rPr>
          <w:sz w:val="20"/>
          <w:szCs w:val="20"/>
        </w:rPr>
        <w:t xml:space="preserve"> literacy</w:t>
      </w:r>
      <w:r w:rsidR="009652E2">
        <w:rPr>
          <w:sz w:val="20"/>
          <w:szCs w:val="20"/>
        </w:rPr>
        <w:t xml:space="preserve"> in terms of</w:t>
      </w:r>
      <w:r w:rsidR="009652E2" w:rsidRPr="009652E2">
        <w:rPr>
          <w:sz w:val="20"/>
          <w:szCs w:val="20"/>
        </w:rPr>
        <w:t xml:space="preserve"> </w:t>
      </w:r>
      <w:r>
        <w:rPr>
          <w:sz w:val="20"/>
          <w:szCs w:val="20"/>
        </w:rPr>
        <w:t>Educational attainment</w:t>
      </w:r>
    </w:p>
    <w:p w:rsidR="004B237C" w:rsidRDefault="0049228C">
      <w:pPr>
        <w:spacing w:before="240" w:after="240" w:line="240" w:lineRule="auto"/>
        <w:jc w:val="center"/>
        <w:rPr>
          <w:b/>
          <w:sz w:val="20"/>
          <w:szCs w:val="20"/>
        </w:rPr>
      </w:pPr>
      <w:r>
        <w:rPr>
          <w:b/>
          <w:sz w:val="20"/>
          <w:szCs w:val="20"/>
        </w:rPr>
        <w:t>ANOVA</w:t>
      </w:r>
    </w:p>
    <w:p w:rsidR="004B237C" w:rsidRDefault="0049228C">
      <w:pPr>
        <w:spacing w:before="240" w:after="240" w:line="240" w:lineRule="auto"/>
        <w:jc w:val="center"/>
        <w:rPr>
          <w:b/>
          <w:sz w:val="20"/>
          <w:szCs w:val="20"/>
        </w:rPr>
      </w:pPr>
      <w:r>
        <w:rPr>
          <w:b/>
          <w:sz w:val="20"/>
          <w:szCs w:val="20"/>
        </w:rPr>
        <w:t>Overall Financial Literacy</w:t>
      </w:r>
    </w:p>
    <w:tbl>
      <w:tblPr>
        <w:tblStyle w:val="ac"/>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710"/>
        <w:gridCol w:w="1650"/>
        <w:gridCol w:w="1320"/>
        <w:gridCol w:w="1560"/>
        <w:gridCol w:w="1560"/>
        <w:gridCol w:w="1560"/>
      </w:tblGrid>
      <w:tr w:rsidR="004B237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4B237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0.732 </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0.146</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1.764</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0.120</w:t>
            </w:r>
          </w:p>
        </w:tc>
      </w:tr>
      <w:tr w:rsidR="004B237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27.145</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327</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4B237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rsidR="004B237C" w:rsidRDefault="0049228C">
      <w:pPr>
        <w:spacing w:before="240" w:after="240" w:line="240" w:lineRule="auto"/>
        <w:rPr>
          <w:sz w:val="20"/>
          <w:szCs w:val="20"/>
        </w:rPr>
      </w:pPr>
      <w:r>
        <w:rPr>
          <w:sz w:val="20"/>
          <w:szCs w:val="20"/>
        </w:rPr>
        <w:t>Interpretation: There is no significant difference in financial literacy across different educational levels (p = 0.120 &gt; 0.05). Education explains only 2.6% of the variance, which is a very small effect size. This suggests that financial literacy is not strongly influenced by formal education levels among 4Ps beneficiaries.</w:t>
      </w:r>
    </w:p>
    <w:p w:rsidR="004B237C" w:rsidRDefault="0049228C">
      <w:pPr>
        <w:spacing w:before="240" w:after="240" w:line="240" w:lineRule="auto"/>
        <w:jc w:val="left"/>
        <w:rPr>
          <w:sz w:val="20"/>
          <w:szCs w:val="20"/>
        </w:rPr>
      </w:pPr>
      <w:r>
        <w:rPr>
          <w:b/>
          <w:sz w:val="20"/>
          <w:szCs w:val="20"/>
        </w:rPr>
        <w:t xml:space="preserve">Table 15. </w:t>
      </w:r>
      <w:r w:rsidR="009652E2">
        <w:rPr>
          <w:sz w:val="20"/>
          <w:szCs w:val="20"/>
        </w:rPr>
        <w:t>F</w:t>
      </w:r>
      <w:r w:rsidR="009652E2" w:rsidRPr="009652E2">
        <w:rPr>
          <w:sz w:val="20"/>
          <w:szCs w:val="20"/>
        </w:rPr>
        <w:t xml:space="preserve">inancial literacy </w:t>
      </w:r>
      <w:r w:rsidR="009652E2">
        <w:rPr>
          <w:sz w:val="20"/>
          <w:szCs w:val="20"/>
        </w:rPr>
        <w:t>in terms of</w:t>
      </w:r>
      <w:r w:rsidR="009652E2" w:rsidRPr="009652E2">
        <w:rPr>
          <w:sz w:val="20"/>
          <w:szCs w:val="20"/>
        </w:rPr>
        <w:t xml:space="preserve"> occupation</w:t>
      </w:r>
    </w:p>
    <w:p w:rsidR="004B237C" w:rsidRDefault="0049228C">
      <w:pPr>
        <w:spacing w:before="240" w:after="240" w:line="240" w:lineRule="auto"/>
        <w:jc w:val="center"/>
        <w:rPr>
          <w:sz w:val="20"/>
          <w:szCs w:val="20"/>
        </w:rPr>
      </w:pPr>
      <w:r>
        <w:rPr>
          <w:sz w:val="20"/>
          <w:szCs w:val="20"/>
        </w:rPr>
        <w:lastRenderedPageBreak/>
        <w:t>ANOVA</w:t>
      </w:r>
    </w:p>
    <w:p w:rsidR="004B237C" w:rsidRDefault="0049228C">
      <w:pPr>
        <w:spacing w:before="240" w:after="240" w:line="240" w:lineRule="auto"/>
        <w:jc w:val="center"/>
        <w:rPr>
          <w:sz w:val="20"/>
          <w:szCs w:val="20"/>
        </w:rPr>
      </w:pPr>
      <w:r>
        <w:rPr>
          <w:sz w:val="20"/>
          <w:szCs w:val="20"/>
        </w:rPr>
        <w:t xml:space="preserve">Overall Financial Literacy </w:t>
      </w:r>
    </w:p>
    <w:tbl>
      <w:tblPr>
        <w:tblStyle w:val="ad"/>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950"/>
        <w:gridCol w:w="1425"/>
        <w:gridCol w:w="1485"/>
        <w:gridCol w:w="1590"/>
        <w:gridCol w:w="1485"/>
        <w:gridCol w:w="1425"/>
      </w:tblGrid>
      <w:tr w:rsidR="004B237C">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4B237C">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0.862</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0.108</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1.292</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0.247</w:t>
            </w:r>
          </w:p>
        </w:tc>
      </w:tr>
      <w:tr w:rsidR="004B237C">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27.016</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324</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4B237C">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rsidR="004B237C" w:rsidRDefault="0049228C">
      <w:pPr>
        <w:spacing w:before="240" w:after="240" w:line="240" w:lineRule="auto"/>
        <w:rPr>
          <w:sz w:val="20"/>
          <w:szCs w:val="20"/>
        </w:rPr>
      </w:pPr>
      <w:r>
        <w:rPr>
          <w:sz w:val="20"/>
          <w:szCs w:val="20"/>
        </w:rPr>
        <w:t>Interpretation: No significant difference in financial literacy by occupation (p = 0.247). Occupation accounts for 3.1% of the variance, again very small. This implies that regardless of work type (employed, unemployed, self-employed, etc.), beneficiaries share a similar level of financial literacy.</w:t>
      </w:r>
    </w:p>
    <w:p w:rsidR="004B237C" w:rsidRDefault="0049228C">
      <w:pPr>
        <w:spacing w:before="240" w:after="240" w:line="240" w:lineRule="auto"/>
        <w:rPr>
          <w:sz w:val="20"/>
          <w:szCs w:val="20"/>
        </w:rPr>
      </w:pPr>
      <w:r>
        <w:rPr>
          <w:b/>
          <w:sz w:val="20"/>
          <w:szCs w:val="20"/>
        </w:rPr>
        <w:t>Table 16</w:t>
      </w:r>
      <w:r>
        <w:rPr>
          <w:sz w:val="20"/>
          <w:szCs w:val="20"/>
        </w:rPr>
        <w:t xml:space="preserve">. </w:t>
      </w:r>
      <w:r w:rsidR="009652E2">
        <w:rPr>
          <w:sz w:val="20"/>
          <w:szCs w:val="20"/>
        </w:rPr>
        <w:t>F</w:t>
      </w:r>
      <w:r w:rsidR="009652E2" w:rsidRPr="009652E2">
        <w:rPr>
          <w:sz w:val="20"/>
          <w:szCs w:val="20"/>
        </w:rPr>
        <w:t xml:space="preserve">inancial literacy </w:t>
      </w:r>
      <w:r w:rsidR="009652E2">
        <w:rPr>
          <w:sz w:val="20"/>
          <w:szCs w:val="20"/>
        </w:rPr>
        <w:t xml:space="preserve">in terms of </w:t>
      </w:r>
      <w:r>
        <w:rPr>
          <w:sz w:val="20"/>
          <w:szCs w:val="20"/>
        </w:rPr>
        <w:t>Income</w:t>
      </w:r>
    </w:p>
    <w:p w:rsidR="004B237C" w:rsidRDefault="0049228C">
      <w:pPr>
        <w:spacing w:before="240" w:after="240" w:line="240" w:lineRule="auto"/>
        <w:jc w:val="center"/>
        <w:rPr>
          <w:sz w:val="20"/>
          <w:szCs w:val="20"/>
        </w:rPr>
      </w:pPr>
      <w:r>
        <w:rPr>
          <w:sz w:val="20"/>
          <w:szCs w:val="20"/>
        </w:rPr>
        <w:t>ANOVA</w:t>
      </w:r>
    </w:p>
    <w:p w:rsidR="004B237C" w:rsidRDefault="0049228C">
      <w:pPr>
        <w:spacing w:before="240" w:after="240" w:line="240" w:lineRule="auto"/>
        <w:jc w:val="center"/>
        <w:rPr>
          <w:sz w:val="20"/>
          <w:szCs w:val="20"/>
        </w:rPr>
      </w:pPr>
      <w:r>
        <w:rPr>
          <w:sz w:val="20"/>
          <w:szCs w:val="20"/>
        </w:rPr>
        <w:t xml:space="preserve">Overall Financial Literacy </w:t>
      </w:r>
    </w:p>
    <w:tbl>
      <w:tblPr>
        <w:tblStyle w:val="ae"/>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800"/>
        <w:gridCol w:w="1740"/>
        <w:gridCol w:w="1395"/>
        <w:gridCol w:w="1545"/>
        <w:gridCol w:w="1515"/>
        <w:gridCol w:w="1365"/>
      </w:tblGrid>
      <w:tr w:rsidR="004B237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4B237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0.216</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0.108</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1.291</w:t>
            </w: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0.247</w:t>
            </w:r>
          </w:p>
        </w:tc>
      </w:tr>
      <w:tr w:rsidR="004B237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27.661</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0.084</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4B237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rsidR="004B237C" w:rsidRDefault="0049228C">
      <w:pPr>
        <w:spacing w:before="240" w:after="240" w:line="240" w:lineRule="auto"/>
        <w:rPr>
          <w:sz w:val="20"/>
          <w:szCs w:val="20"/>
        </w:rPr>
      </w:pPr>
      <w:r>
        <w:rPr>
          <w:sz w:val="20"/>
          <w:szCs w:val="20"/>
        </w:rPr>
        <w:t>Interpretation: No significant difference in financial literacy when grouped by income (p = 0.247). Income explains less than 1% of the variance, showing that higher or lower income does not strongly affect literacy levels.</w:t>
      </w:r>
    </w:p>
    <w:p w:rsidR="004B237C" w:rsidRDefault="0049228C">
      <w:pPr>
        <w:spacing w:before="240" w:after="240" w:line="240" w:lineRule="auto"/>
        <w:jc w:val="left"/>
        <w:rPr>
          <w:sz w:val="20"/>
          <w:szCs w:val="20"/>
        </w:rPr>
      </w:pPr>
      <w:r>
        <w:rPr>
          <w:b/>
          <w:sz w:val="20"/>
          <w:szCs w:val="20"/>
        </w:rPr>
        <w:t>Table 17.</w:t>
      </w:r>
      <w:r>
        <w:rPr>
          <w:sz w:val="20"/>
          <w:szCs w:val="20"/>
        </w:rPr>
        <w:t xml:space="preserve"> </w:t>
      </w:r>
      <w:r w:rsidR="009652E2">
        <w:rPr>
          <w:sz w:val="20"/>
          <w:szCs w:val="20"/>
        </w:rPr>
        <w:t>F</w:t>
      </w:r>
      <w:r w:rsidR="009652E2" w:rsidRPr="009652E2">
        <w:rPr>
          <w:sz w:val="20"/>
          <w:szCs w:val="20"/>
        </w:rPr>
        <w:t xml:space="preserve">inancial literacy across different </w:t>
      </w:r>
      <w:r>
        <w:rPr>
          <w:sz w:val="20"/>
          <w:szCs w:val="20"/>
        </w:rPr>
        <w:t>Family Living</w:t>
      </w:r>
    </w:p>
    <w:p w:rsidR="004B237C" w:rsidRDefault="0049228C">
      <w:pPr>
        <w:spacing w:before="240" w:after="240" w:line="240" w:lineRule="auto"/>
        <w:jc w:val="center"/>
        <w:rPr>
          <w:sz w:val="20"/>
          <w:szCs w:val="20"/>
        </w:rPr>
      </w:pPr>
      <w:r>
        <w:rPr>
          <w:sz w:val="20"/>
          <w:szCs w:val="20"/>
        </w:rPr>
        <w:t>ANOVA</w:t>
      </w:r>
    </w:p>
    <w:p w:rsidR="004B237C" w:rsidRDefault="0049228C">
      <w:pPr>
        <w:spacing w:before="240" w:after="240" w:line="240" w:lineRule="auto"/>
        <w:jc w:val="center"/>
        <w:rPr>
          <w:sz w:val="20"/>
          <w:szCs w:val="20"/>
        </w:rPr>
      </w:pPr>
      <w:r>
        <w:rPr>
          <w:sz w:val="20"/>
          <w:szCs w:val="20"/>
        </w:rPr>
        <w:t xml:space="preserve">Overall Financial Literacy </w:t>
      </w:r>
    </w:p>
    <w:tbl>
      <w:tblPr>
        <w:tblStyle w:val="af"/>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920"/>
        <w:gridCol w:w="1785"/>
        <w:gridCol w:w="1155"/>
        <w:gridCol w:w="1755"/>
        <w:gridCol w:w="1470"/>
        <w:gridCol w:w="1275"/>
      </w:tblGrid>
      <w:tr w:rsidR="004B237C">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4B237C">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0.035</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0.018</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0.209</w:t>
            </w:r>
          </w:p>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0.812</w:t>
            </w:r>
          </w:p>
        </w:tc>
      </w:tr>
      <w:tr w:rsidR="004B237C">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27.842</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0.084</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4B237C">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rsidR="004B237C" w:rsidRDefault="0049228C">
      <w:pPr>
        <w:spacing w:before="240" w:after="240" w:line="240" w:lineRule="auto"/>
        <w:rPr>
          <w:sz w:val="20"/>
          <w:szCs w:val="20"/>
        </w:rPr>
      </w:pPr>
      <w:r>
        <w:rPr>
          <w:b/>
          <w:sz w:val="20"/>
          <w:szCs w:val="20"/>
        </w:rPr>
        <w:t xml:space="preserve">Interpretation: </w:t>
      </w:r>
      <w:r>
        <w:rPr>
          <w:sz w:val="20"/>
          <w:szCs w:val="20"/>
        </w:rPr>
        <w:t>No significant difference in financial literacy across different family living arrangements (p = 0.812). Effect size is nearly zero, meaning family living setup (extended, nuclear, etc.) has no influence.</w:t>
      </w:r>
    </w:p>
    <w:p w:rsidR="004B237C" w:rsidRDefault="0049228C">
      <w:pPr>
        <w:spacing w:before="240" w:after="240" w:line="240" w:lineRule="auto"/>
        <w:rPr>
          <w:sz w:val="20"/>
          <w:szCs w:val="20"/>
        </w:rPr>
      </w:pPr>
      <w:r>
        <w:rPr>
          <w:b/>
          <w:sz w:val="20"/>
          <w:szCs w:val="20"/>
        </w:rPr>
        <w:t>Table 18.</w:t>
      </w:r>
      <w:r>
        <w:rPr>
          <w:sz w:val="20"/>
          <w:szCs w:val="20"/>
        </w:rPr>
        <w:t xml:space="preserve"> </w:t>
      </w:r>
      <w:r w:rsidR="009652E2">
        <w:rPr>
          <w:sz w:val="20"/>
          <w:szCs w:val="20"/>
        </w:rPr>
        <w:t>F</w:t>
      </w:r>
      <w:r w:rsidR="009652E2" w:rsidRPr="009652E2">
        <w:rPr>
          <w:sz w:val="20"/>
          <w:szCs w:val="20"/>
        </w:rPr>
        <w:t xml:space="preserve">inancial literacy based on </w:t>
      </w:r>
      <w:r>
        <w:rPr>
          <w:sz w:val="20"/>
          <w:szCs w:val="20"/>
        </w:rPr>
        <w:t>Number of Children</w:t>
      </w:r>
    </w:p>
    <w:p w:rsidR="004B237C" w:rsidRDefault="0049228C">
      <w:pPr>
        <w:spacing w:before="240" w:after="240" w:line="240" w:lineRule="auto"/>
        <w:jc w:val="center"/>
        <w:rPr>
          <w:sz w:val="20"/>
          <w:szCs w:val="20"/>
        </w:rPr>
      </w:pPr>
      <w:r>
        <w:rPr>
          <w:sz w:val="20"/>
          <w:szCs w:val="20"/>
        </w:rPr>
        <w:lastRenderedPageBreak/>
        <w:t>ANOVA</w:t>
      </w:r>
    </w:p>
    <w:p w:rsidR="004B237C" w:rsidRDefault="0049228C">
      <w:pPr>
        <w:spacing w:before="240" w:after="240" w:line="240" w:lineRule="auto"/>
        <w:jc w:val="center"/>
        <w:rPr>
          <w:sz w:val="20"/>
          <w:szCs w:val="20"/>
        </w:rPr>
      </w:pPr>
      <w:r>
        <w:rPr>
          <w:sz w:val="20"/>
          <w:szCs w:val="20"/>
        </w:rPr>
        <w:t xml:space="preserve">Overall Financial Literacy </w:t>
      </w:r>
    </w:p>
    <w:tbl>
      <w:tblPr>
        <w:tblStyle w:val="af0"/>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845"/>
        <w:gridCol w:w="1815"/>
        <w:gridCol w:w="1410"/>
        <w:gridCol w:w="1590"/>
        <w:gridCol w:w="1560"/>
        <w:gridCol w:w="1140"/>
      </w:tblGrid>
      <w:tr w:rsidR="004B237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4B237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0.340</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0.170</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2.039</w:t>
            </w:r>
          </w:p>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0.132</w:t>
            </w:r>
          </w:p>
        </w:tc>
      </w:tr>
      <w:tr w:rsidR="004B237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27.537</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4B237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9228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rsidR="004B237C" w:rsidRDefault="004B237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rsidR="004B237C" w:rsidRDefault="0049228C">
      <w:pPr>
        <w:spacing w:before="240" w:after="240" w:line="240" w:lineRule="auto"/>
        <w:rPr>
          <w:sz w:val="20"/>
          <w:szCs w:val="20"/>
        </w:rPr>
      </w:pPr>
      <w:r>
        <w:rPr>
          <w:b/>
          <w:bCs/>
          <w:sz w:val="20"/>
          <w:szCs w:val="20"/>
        </w:rPr>
        <w:t>Interpretation</w:t>
      </w:r>
      <w:r>
        <w:rPr>
          <w:sz w:val="20"/>
          <w:szCs w:val="20"/>
        </w:rPr>
        <w:t>: No significant difference in financial literacy based on number of children (p = 0.132). Effect size is 1.2%, very small. Family size does not substantially impact financial literacy.</w:t>
      </w:r>
    </w:p>
    <w:p w:rsidR="004B237C" w:rsidRDefault="0049228C">
      <w:pPr>
        <w:spacing w:before="240" w:after="240" w:line="240" w:lineRule="auto"/>
        <w:rPr>
          <w:b/>
          <w:sz w:val="22"/>
          <w:szCs w:val="22"/>
        </w:rPr>
      </w:pPr>
      <w:r>
        <w:rPr>
          <w:b/>
          <w:sz w:val="22"/>
          <w:szCs w:val="22"/>
        </w:rPr>
        <w:t>5.  CONCLUSION AND RECOMMENDATIONS</w:t>
      </w:r>
    </w:p>
    <w:p w:rsidR="004B237C" w:rsidRDefault="0049228C">
      <w:pPr>
        <w:spacing w:before="240" w:after="240" w:line="240" w:lineRule="auto"/>
        <w:rPr>
          <w:b/>
          <w:sz w:val="22"/>
          <w:szCs w:val="22"/>
        </w:rPr>
      </w:pPr>
      <w:r>
        <w:rPr>
          <w:b/>
          <w:sz w:val="22"/>
          <w:szCs w:val="22"/>
        </w:rPr>
        <w:t>Conclusion</w:t>
      </w:r>
    </w:p>
    <w:p w:rsidR="004B237C" w:rsidRDefault="0049228C">
      <w:pPr>
        <w:spacing w:before="240" w:after="240" w:line="240" w:lineRule="auto"/>
        <w:rPr>
          <w:sz w:val="20"/>
          <w:szCs w:val="20"/>
        </w:rPr>
      </w:pPr>
      <w:r>
        <w:rPr>
          <w:sz w:val="20"/>
          <w:szCs w:val="20"/>
        </w:rPr>
        <w:t xml:space="preserve">           The main purpose of this study was to determine the financial literacy level of 4Ps beneficiaries. Specifically, it examined: (1) respondents’ profiles, which showed varied education, employment, income, family arrangements, and number of children; (2) their overall high level of financial literacy, including skills, knowledge, attitude, behavior, and awareness, indicating strong financial control; and (3) the absence of significant differences in financial literacy when grouped by education, income, occupation, family living, or number of children, suggesting uniformity across demographics. The analysis revealed that there are no significant differences in the financial literacy levels of 4Ps beneficiaries when grouped according to educational attainment, occupation, income, family living arrangements, or number of children. This suggests that financial literacy among 4Ps beneficiaries is relatively uniform regardless of their socioeconomic and demographic backgrounds. The findings highlight that factors such as education, income, or family conditions do not substantially influence beneficiaries’ financial literacy, pointing instead to a common experience shaped by shared economic realities and program participation.</w:t>
      </w:r>
    </w:p>
    <w:p w:rsidR="004B237C" w:rsidRDefault="0049228C">
      <w:pPr>
        <w:spacing w:before="240" w:after="240" w:line="240" w:lineRule="auto"/>
        <w:rPr>
          <w:b/>
          <w:sz w:val="22"/>
          <w:szCs w:val="22"/>
        </w:rPr>
      </w:pPr>
      <w:r>
        <w:rPr>
          <w:b/>
          <w:sz w:val="22"/>
          <w:szCs w:val="22"/>
        </w:rPr>
        <w:t>Recommendations</w:t>
      </w:r>
    </w:p>
    <w:p w:rsidR="004B237C" w:rsidRDefault="0049228C">
      <w:pPr>
        <w:spacing w:before="240" w:after="240" w:line="240" w:lineRule="auto"/>
        <w:rPr>
          <w:sz w:val="20"/>
          <w:szCs w:val="20"/>
        </w:rPr>
      </w:pPr>
      <w:r>
        <w:rPr>
          <w:sz w:val="20"/>
          <w:szCs w:val="20"/>
        </w:rPr>
        <w:t>Based on the study’s conclusions, the following are recommended: (1) Develop tailored financial literacy programs that consider 4Ps beneficiaries’ education, employment, income, and family conditions to promote budgeting, responsible spending, and long-term planning; (2) Conduct regular workshops and seminars on personal finance, saving, and money management to address identified gaps; and (3) Provide access to barangay-based financial counseling services to guide beneficiaries in developing sound financial habits, making informed decisions, and improving overall financial literacy (Zait &amp; Bertea, 2015; Tyson, 2023; Shaheen, 2023).</w:t>
      </w:r>
    </w:p>
    <w:p w:rsidR="001431FA" w:rsidRPr="001431FA" w:rsidRDefault="001431FA" w:rsidP="001431FA">
      <w:pPr>
        <w:spacing w:after="240" w:line="240" w:lineRule="auto"/>
        <w:rPr>
          <w:b/>
          <w:sz w:val="22"/>
          <w:szCs w:val="22"/>
        </w:rPr>
      </w:pPr>
      <w:r w:rsidRPr="001431FA">
        <w:rPr>
          <w:b/>
          <w:sz w:val="22"/>
          <w:szCs w:val="22"/>
        </w:rPr>
        <w:t>Ethical Approval:</w:t>
      </w:r>
    </w:p>
    <w:p w:rsidR="001431FA" w:rsidRPr="001431FA" w:rsidRDefault="001431FA" w:rsidP="001431FA">
      <w:pPr>
        <w:spacing w:after="240" w:line="240" w:lineRule="auto"/>
        <w:rPr>
          <w:b/>
          <w:sz w:val="22"/>
          <w:szCs w:val="22"/>
        </w:rPr>
      </w:pPr>
    </w:p>
    <w:p w:rsidR="001431FA" w:rsidRPr="001431FA" w:rsidRDefault="001431FA" w:rsidP="001431FA">
      <w:pPr>
        <w:spacing w:after="240" w:line="240" w:lineRule="auto"/>
        <w:rPr>
          <w:sz w:val="22"/>
          <w:szCs w:val="22"/>
        </w:rPr>
      </w:pPr>
      <w:r w:rsidRPr="001431FA">
        <w:rPr>
          <w:sz w:val="22"/>
          <w:szCs w:val="22"/>
        </w:rPr>
        <w:t>As per international standards or university standards written ethical approval has been collected and preserved by the author(s).</w:t>
      </w:r>
    </w:p>
    <w:p w:rsidR="001431FA" w:rsidRPr="001431FA" w:rsidRDefault="001431FA" w:rsidP="001431FA">
      <w:pPr>
        <w:spacing w:after="240" w:line="240" w:lineRule="auto"/>
        <w:rPr>
          <w:b/>
          <w:sz w:val="22"/>
          <w:szCs w:val="22"/>
        </w:rPr>
      </w:pPr>
      <w:r w:rsidRPr="001431FA">
        <w:rPr>
          <w:b/>
          <w:sz w:val="22"/>
          <w:szCs w:val="22"/>
        </w:rPr>
        <w:t xml:space="preserve">Consent </w:t>
      </w:r>
    </w:p>
    <w:p w:rsidR="001431FA" w:rsidRPr="001431FA" w:rsidRDefault="001431FA" w:rsidP="001431FA">
      <w:pPr>
        <w:spacing w:after="240" w:line="240" w:lineRule="auto"/>
        <w:rPr>
          <w:sz w:val="22"/>
          <w:szCs w:val="22"/>
        </w:rPr>
      </w:pPr>
      <w:r w:rsidRPr="001431FA">
        <w:rPr>
          <w:sz w:val="22"/>
          <w:szCs w:val="22"/>
        </w:rPr>
        <w:t>As per international standards or university standards, Participants’ written consent has been collected and preserved by the author(s).</w:t>
      </w:r>
    </w:p>
    <w:p w:rsidR="004B237C" w:rsidRDefault="0049228C">
      <w:pPr>
        <w:spacing w:before="240" w:after="240" w:line="240" w:lineRule="auto"/>
        <w:rPr>
          <w:b/>
          <w:bCs/>
          <w:sz w:val="20"/>
          <w:szCs w:val="20"/>
        </w:rPr>
      </w:pPr>
      <w:r>
        <w:rPr>
          <w:b/>
          <w:bCs/>
          <w:sz w:val="20"/>
          <w:szCs w:val="20"/>
        </w:rPr>
        <w:t xml:space="preserve">Disclaimer (Artificial intelligence) </w:t>
      </w:r>
    </w:p>
    <w:p w:rsidR="004B237C" w:rsidRDefault="0049228C">
      <w:pPr>
        <w:spacing w:before="240" w:after="240" w:line="240" w:lineRule="auto"/>
        <w:rPr>
          <w:sz w:val="20"/>
          <w:szCs w:val="20"/>
        </w:rPr>
      </w:pPr>
      <w:r>
        <w:rPr>
          <w:sz w:val="20"/>
          <w:szCs w:val="20"/>
        </w:rPr>
        <w:lastRenderedPageBreak/>
        <w:t xml:space="preserve">          The authors hereby declare that generative Al technologies, specifically Large Language Models, were used during the writing and editing of this manuscript. Details of the Al usage are as follows: </w:t>
      </w:r>
    </w:p>
    <w:p w:rsidR="004B237C" w:rsidRDefault="0049228C">
      <w:pPr>
        <w:pStyle w:val="ListParagraph"/>
        <w:numPr>
          <w:ilvl w:val="0"/>
          <w:numId w:val="7"/>
        </w:numPr>
        <w:spacing w:before="240" w:after="240" w:line="240" w:lineRule="auto"/>
        <w:rPr>
          <w:sz w:val="20"/>
          <w:szCs w:val="20"/>
        </w:rPr>
      </w:pPr>
      <w:r>
        <w:rPr>
          <w:sz w:val="20"/>
          <w:szCs w:val="20"/>
        </w:rPr>
        <w:t xml:space="preserve">Name of the Al Tool: ChatGPT </w:t>
      </w:r>
    </w:p>
    <w:p w:rsidR="004B237C" w:rsidRDefault="0049228C">
      <w:pPr>
        <w:pStyle w:val="ListParagraph"/>
        <w:numPr>
          <w:ilvl w:val="0"/>
          <w:numId w:val="7"/>
        </w:numPr>
        <w:spacing w:before="240" w:after="240" w:line="240" w:lineRule="auto"/>
        <w:rPr>
          <w:sz w:val="20"/>
          <w:szCs w:val="20"/>
        </w:rPr>
      </w:pPr>
      <w:r>
        <w:rPr>
          <w:sz w:val="20"/>
          <w:szCs w:val="20"/>
        </w:rPr>
        <w:t xml:space="preserve">Version/Model: GPT-4 </w:t>
      </w:r>
    </w:p>
    <w:p w:rsidR="004B237C" w:rsidRDefault="0049228C">
      <w:pPr>
        <w:pStyle w:val="ListParagraph"/>
        <w:numPr>
          <w:ilvl w:val="0"/>
          <w:numId w:val="7"/>
        </w:numPr>
        <w:spacing w:before="240" w:after="240" w:line="240" w:lineRule="auto"/>
        <w:rPr>
          <w:sz w:val="20"/>
          <w:szCs w:val="20"/>
        </w:rPr>
      </w:pPr>
      <w:r>
        <w:rPr>
          <w:sz w:val="20"/>
          <w:szCs w:val="20"/>
        </w:rPr>
        <w:t>Source/Provider: OpenAl (https://chat.openai.com)</w:t>
      </w:r>
    </w:p>
    <w:p w:rsidR="004B237C" w:rsidRDefault="0049228C">
      <w:pPr>
        <w:spacing w:before="240" w:after="240" w:line="240" w:lineRule="auto"/>
        <w:rPr>
          <w:sz w:val="20"/>
          <w:szCs w:val="20"/>
        </w:rPr>
      </w:pPr>
      <w:r>
        <w:rPr>
          <w:sz w:val="20"/>
          <w:szCs w:val="20"/>
        </w:rPr>
        <w:t xml:space="preserve">          Purpose of Use: Generative Al was primarily employed to enhance the clarity and coherence of the discussion, improve the overall language and grammar, and refine the abstract for better readability and adherence to academic standards. </w:t>
      </w:r>
    </w:p>
    <w:p w:rsidR="004B237C" w:rsidRDefault="004B237C">
      <w:pPr>
        <w:spacing w:before="240" w:after="240" w:line="240" w:lineRule="auto"/>
        <w:rPr>
          <w:b/>
          <w:sz w:val="22"/>
          <w:szCs w:val="22"/>
        </w:rPr>
      </w:pPr>
      <w:bookmarkStart w:id="1" w:name="_GoBack"/>
      <w:bookmarkEnd w:id="1"/>
    </w:p>
    <w:p w:rsidR="004B237C" w:rsidRDefault="0049228C">
      <w:pPr>
        <w:spacing w:before="240" w:after="240" w:line="240" w:lineRule="auto"/>
        <w:rPr>
          <w:sz w:val="22"/>
          <w:szCs w:val="22"/>
        </w:rPr>
      </w:pPr>
      <w:r>
        <w:rPr>
          <w:b/>
          <w:sz w:val="22"/>
          <w:szCs w:val="22"/>
        </w:rPr>
        <w:t>REFERENCES</w:t>
      </w:r>
      <w:r>
        <w:rPr>
          <w:sz w:val="22"/>
          <w:szCs w:val="22"/>
        </w:rPr>
        <w:t xml:space="preserve"> </w:t>
      </w:r>
    </w:p>
    <w:p w:rsidR="004B237C" w:rsidRDefault="0049228C">
      <w:pPr>
        <w:spacing w:before="240" w:after="240" w:line="240" w:lineRule="auto"/>
        <w:rPr>
          <w:sz w:val="22"/>
          <w:szCs w:val="22"/>
        </w:rPr>
      </w:pPr>
      <w:r>
        <w:rPr>
          <w:sz w:val="22"/>
          <w:szCs w:val="22"/>
        </w:rPr>
        <w:t>Abdali, S. M. Z., &amp; Hakimi, H. (2023). Factors of job satisfaction and its effects on employee performance: A Case Study of Ghazni University employees. Journal of HRM, 26(2).</w:t>
      </w:r>
    </w:p>
    <w:p w:rsidR="004B237C" w:rsidRDefault="0049228C">
      <w:pPr>
        <w:spacing w:before="240" w:after="240" w:line="240" w:lineRule="auto"/>
        <w:rPr>
          <w:sz w:val="22"/>
          <w:szCs w:val="22"/>
        </w:rPr>
      </w:pPr>
      <w:r>
        <w:rPr>
          <w:sz w:val="22"/>
          <w:szCs w:val="22"/>
        </w:rPr>
        <w:t>Abdullah, N., Fazli, S. M., &amp; Arif, A. M. (2019). The relationship between attitude towards money, financial literacy and debt management with young worker’s financial well-being. Pertanika Journal of Social Sciences and Humanities, 27(1), 361-387.</w:t>
      </w:r>
    </w:p>
    <w:p w:rsidR="004B237C" w:rsidRDefault="0049228C">
      <w:pPr>
        <w:spacing w:before="240" w:after="240" w:line="240" w:lineRule="auto"/>
        <w:rPr>
          <w:sz w:val="22"/>
          <w:szCs w:val="22"/>
        </w:rPr>
      </w:pPr>
      <w:r>
        <w:rPr>
          <w:sz w:val="22"/>
          <w:szCs w:val="22"/>
        </w:rPr>
        <w:t>Acosta, P., Igarashi, T., Rodriguez, R., Schmillen, A., &amp; Zapanta, A. (2019). Investing in Skills to Promote Inclusive Growth in Mindanao. World Bank.</w:t>
      </w:r>
    </w:p>
    <w:p w:rsidR="004B237C" w:rsidRDefault="0049228C">
      <w:pPr>
        <w:spacing w:before="240" w:after="240" w:line="240" w:lineRule="auto"/>
        <w:rPr>
          <w:sz w:val="22"/>
          <w:szCs w:val="22"/>
        </w:rPr>
      </w:pPr>
      <w:r>
        <w:rPr>
          <w:sz w:val="22"/>
          <w:szCs w:val="22"/>
        </w:rPr>
        <w:t>Ali, A. F. M., Ibrahim, M. F., &amp; Aziz, M. R. A. (2018). Food and non-food expenditure trends among the poor and needy in kelantan, Malaysia. Journal of Entrepreneurship and Business, 6(1), 59-78.4.</w:t>
      </w:r>
    </w:p>
    <w:p w:rsidR="004B237C" w:rsidRDefault="0049228C">
      <w:pPr>
        <w:spacing w:before="240" w:after="240" w:line="240" w:lineRule="auto"/>
        <w:rPr>
          <w:sz w:val="22"/>
          <w:szCs w:val="22"/>
        </w:rPr>
      </w:pPr>
      <w:r>
        <w:rPr>
          <w:sz w:val="22"/>
          <w:szCs w:val="22"/>
        </w:rPr>
        <w:t>Andrews, N., Bennett, N. J., Le Billon, P., Green, S. J., Cisneros-Montemayor, A. M., Amongin, S., ... &amp; Sumaila, U. R. (2021). Oil, fisheries and coastal communities: A review of impacts on the environment, livelihoods, space and governance. Energy Research &amp; Social Science, 75, 102009.</w:t>
      </w:r>
    </w:p>
    <w:p w:rsidR="004B237C" w:rsidRDefault="0049228C">
      <w:pPr>
        <w:spacing w:before="240" w:after="240" w:line="240" w:lineRule="auto"/>
        <w:rPr>
          <w:sz w:val="22"/>
          <w:szCs w:val="22"/>
        </w:rPr>
      </w:pPr>
      <w:r>
        <w:rPr>
          <w:sz w:val="22"/>
          <w:szCs w:val="22"/>
        </w:rPr>
        <w:t>Andriesse, E. (2018). Primary sector value chains, poverty reduction, and rural development challenges in the Philippines. Geographical Review, 108(3), 345-366.</w:t>
      </w:r>
    </w:p>
    <w:p w:rsidR="004B237C" w:rsidRDefault="0049228C">
      <w:pPr>
        <w:spacing w:before="240" w:after="240" w:line="240" w:lineRule="auto"/>
        <w:rPr>
          <w:sz w:val="22"/>
          <w:szCs w:val="22"/>
        </w:rPr>
      </w:pPr>
      <w:r>
        <w:rPr>
          <w:sz w:val="22"/>
          <w:szCs w:val="22"/>
        </w:rPr>
        <w:t>Ang, K. G. (2024). The Study of Achieving Personal Investment Success Through Financial Goal Setting. Available at SSRN 4844636.</w:t>
      </w:r>
    </w:p>
    <w:p w:rsidR="004B237C" w:rsidRDefault="0049228C">
      <w:pPr>
        <w:spacing w:before="240" w:after="240" w:line="240" w:lineRule="auto"/>
        <w:rPr>
          <w:sz w:val="22"/>
          <w:szCs w:val="22"/>
        </w:rPr>
      </w:pPr>
      <w:r>
        <w:rPr>
          <w:sz w:val="22"/>
          <w:szCs w:val="22"/>
        </w:rPr>
        <w:t>Ballesteros, M. M., Orbeta Jr, A., Ancheta, J., &amp; Corpus, J. P. (2017). Assessment of livelihood success and implementation issues on the Sustainable Livelihood Program of the DSWD. No. DP, 54, 2017.</w:t>
      </w:r>
    </w:p>
    <w:p w:rsidR="004B237C" w:rsidRDefault="0049228C">
      <w:pPr>
        <w:spacing w:before="240" w:after="240" w:line="240" w:lineRule="auto"/>
        <w:rPr>
          <w:sz w:val="22"/>
          <w:szCs w:val="22"/>
        </w:rPr>
      </w:pPr>
      <w:r>
        <w:rPr>
          <w:sz w:val="22"/>
          <w:szCs w:val="22"/>
        </w:rPr>
        <w:t>Banagan, E. J., Vergara, T. M. B., &amp; Bueno, D. C. (2021). Financial management literacy: A cross-sectional factor analysis among graduate students and professionals. Institutional Multidisciplinary Research and Development Journal, 4, 1-21.</w:t>
      </w:r>
    </w:p>
    <w:p w:rsidR="004B237C" w:rsidRDefault="0049228C">
      <w:pPr>
        <w:spacing w:before="240" w:after="240" w:line="240" w:lineRule="auto"/>
        <w:rPr>
          <w:sz w:val="22"/>
          <w:szCs w:val="22"/>
        </w:rPr>
      </w:pPr>
      <w:r>
        <w:rPr>
          <w:sz w:val="22"/>
          <w:szCs w:val="22"/>
        </w:rPr>
        <w:t>Bayrakçeken, A. (2024). Economic Security in Times of Crisis: A Legal Framework for Sustainable Financial Resilience. Mayo Communication Journal, 1(2), 65-74.</w:t>
      </w:r>
    </w:p>
    <w:p w:rsidR="004B237C" w:rsidRDefault="0049228C">
      <w:pPr>
        <w:spacing w:before="240" w:after="240" w:line="240" w:lineRule="auto"/>
        <w:rPr>
          <w:sz w:val="22"/>
          <w:szCs w:val="22"/>
        </w:rPr>
      </w:pPr>
      <w:r>
        <w:rPr>
          <w:sz w:val="22"/>
          <w:szCs w:val="22"/>
        </w:rPr>
        <w:t>Berger, L. M., &amp; Font, S. A. (2015). The role of the family and family-centered programs and policies. The future of children, 25(1), 155.</w:t>
      </w:r>
    </w:p>
    <w:p w:rsidR="004B237C" w:rsidRDefault="0049228C">
      <w:pPr>
        <w:spacing w:before="240" w:after="240" w:line="240" w:lineRule="auto"/>
        <w:rPr>
          <w:sz w:val="22"/>
          <w:szCs w:val="22"/>
        </w:rPr>
      </w:pPr>
      <w:r>
        <w:rPr>
          <w:sz w:val="22"/>
          <w:szCs w:val="22"/>
        </w:rPr>
        <w:lastRenderedPageBreak/>
        <w:t xml:space="preserve">Bisht, S. S., &amp; Mishra, V. (2016). ICT-driven financial inclusion initiatives for urban poor in a developing economy: Implications for public policy. Behaviour &amp; Information Technology, 35(10), 817-832 </w:t>
      </w:r>
    </w:p>
    <w:p w:rsidR="004B237C" w:rsidRDefault="0049228C">
      <w:pPr>
        <w:spacing w:before="240" w:after="240" w:line="240" w:lineRule="auto"/>
        <w:rPr>
          <w:sz w:val="22"/>
          <w:szCs w:val="22"/>
        </w:rPr>
      </w:pPr>
      <w:r>
        <w:rPr>
          <w:sz w:val="22"/>
          <w:szCs w:val="22"/>
        </w:rPr>
        <w:t>Buddhadev, S. S. (2025). Skill-Based Learning in the 21st Century: The Future of Education. TMP Universal Journal of Law, Business, and Management, 1(1).</w:t>
      </w:r>
    </w:p>
    <w:p w:rsidR="004B237C" w:rsidRDefault="0049228C">
      <w:pPr>
        <w:spacing w:before="240" w:after="240" w:line="240" w:lineRule="auto"/>
        <w:rPr>
          <w:sz w:val="22"/>
          <w:szCs w:val="22"/>
        </w:rPr>
      </w:pPr>
      <w:r>
        <w:rPr>
          <w:sz w:val="22"/>
          <w:szCs w:val="22"/>
        </w:rPr>
        <w:t>Cabual, R. A., Agapito, M. B. H., Jose, L. S., &amp; Resueño Jr, C. P. (2024). Needs Assessment of the 4Ps Beneficiaries: Basis for a Livelihood Project for Dingalan, Aurora. Open Access Library Journal, 11(3), 1-23.</w:t>
      </w:r>
    </w:p>
    <w:p w:rsidR="004B237C" w:rsidRDefault="0049228C">
      <w:pPr>
        <w:spacing w:before="240" w:after="240" w:line="240" w:lineRule="auto"/>
        <w:rPr>
          <w:sz w:val="22"/>
          <w:szCs w:val="22"/>
        </w:rPr>
      </w:pPr>
      <w:r>
        <w:rPr>
          <w:sz w:val="22"/>
          <w:szCs w:val="22"/>
        </w:rPr>
        <w:t>Canlas, C. S., Castillo, S. R. A., Estrella, J. P. D., &amp; Rosete, M. A. L. (2022). Effectiveness of social assistance expansion: Pantawid Pamilyang Pilipino Program (4Ps) as a Social Development Strategy in Quezon City. International Journal of Research in Engineering, Science and Management, 5(11), 68-80.</w:t>
      </w:r>
    </w:p>
    <w:p w:rsidR="004B237C" w:rsidRDefault="0049228C">
      <w:pPr>
        <w:spacing w:before="240" w:after="240" w:line="240" w:lineRule="auto"/>
        <w:rPr>
          <w:sz w:val="22"/>
          <w:szCs w:val="22"/>
        </w:rPr>
      </w:pPr>
      <w:r>
        <w:rPr>
          <w:sz w:val="22"/>
          <w:szCs w:val="22"/>
        </w:rPr>
        <w:t>Catubig, M. C. L., &amp; Villano, R. A. (2017). Conditional cash transfer and school outcomes: an evaluation of the Pantawid Pamilyang Pilipino Program in Davao Oriental, Philippines. Asian Economic Journal, 31(4), 403-421.</w:t>
      </w:r>
    </w:p>
    <w:p w:rsidR="004B237C" w:rsidRDefault="0049228C">
      <w:pPr>
        <w:spacing w:before="240" w:after="240" w:line="240" w:lineRule="auto"/>
        <w:rPr>
          <w:sz w:val="22"/>
          <w:szCs w:val="22"/>
        </w:rPr>
      </w:pPr>
      <w:r>
        <w:rPr>
          <w:sz w:val="22"/>
          <w:szCs w:val="22"/>
        </w:rPr>
        <w:t>Collins, J. M. (2015). Paying for the unexpected: Making the case for a new generation of strategies to boost emergency savings, affording contingencies, and liquid resources for low-income families. In A fragile balance: Emergency savings and liquid resources for low-income consumers (pp. 1-15). New York: Palgrave Macmillan US.</w:t>
      </w:r>
    </w:p>
    <w:p w:rsidR="004B237C" w:rsidRDefault="0049228C">
      <w:pPr>
        <w:spacing w:before="240" w:after="240" w:line="240" w:lineRule="auto"/>
        <w:rPr>
          <w:sz w:val="22"/>
          <w:szCs w:val="22"/>
        </w:rPr>
      </w:pPr>
      <w:r>
        <w:rPr>
          <w:sz w:val="22"/>
          <w:szCs w:val="22"/>
        </w:rPr>
        <w:t>Costan, E., Gonzales, G., Gonzales, R., Enriquez, L., Costan, F., Suladay, D., ... &amp; Ocampo, L. (2021). Education 4.0 in developing economies: a systematic literature review of implementation barriers and future research agenda. Sustainability, 13(22), 12763.</w:t>
      </w:r>
    </w:p>
    <w:p w:rsidR="004B237C" w:rsidRDefault="0049228C">
      <w:pPr>
        <w:spacing w:before="240" w:after="240" w:line="240" w:lineRule="auto"/>
        <w:rPr>
          <w:sz w:val="22"/>
          <w:szCs w:val="22"/>
        </w:rPr>
      </w:pPr>
      <w:r>
        <w:rPr>
          <w:sz w:val="22"/>
          <w:szCs w:val="22"/>
        </w:rPr>
        <w:t>Dadheech, R., &amp; Sharma, D. (2023). Home-based work or non-home-based work? Factors influencing work choices of women in the informal sector. International Journal of Sociology and Social Policy, 43(1/2), 89-106.</w:t>
      </w:r>
    </w:p>
    <w:p w:rsidR="004B237C" w:rsidRDefault="0049228C">
      <w:pPr>
        <w:spacing w:before="240" w:after="240" w:line="240" w:lineRule="auto"/>
        <w:rPr>
          <w:sz w:val="22"/>
          <w:szCs w:val="22"/>
        </w:rPr>
      </w:pPr>
      <w:r>
        <w:rPr>
          <w:sz w:val="22"/>
          <w:szCs w:val="22"/>
        </w:rPr>
        <w:t>Danns, D. E., &amp; Danns, G. K. (2017). THE CREATION OF FINANCIAL LITERACY PROGRAMS IN SMALL DEVELOPING COUNTRIES: AN INSTITUTIONAL MODEL APPROACH. Journal of International Business Disciplines, 12(2).</w:t>
      </w:r>
    </w:p>
    <w:p w:rsidR="004B237C" w:rsidRDefault="0049228C">
      <w:pPr>
        <w:spacing w:before="240" w:after="240" w:line="240" w:lineRule="auto"/>
        <w:rPr>
          <w:sz w:val="22"/>
          <w:szCs w:val="22"/>
        </w:rPr>
      </w:pPr>
      <w:r>
        <w:rPr>
          <w:sz w:val="22"/>
          <w:szCs w:val="22"/>
        </w:rPr>
        <w:t>Deevy, M., Streeter, J. L., Hasler, A., &amp; Lusardi, A. (2021). Financial resilience in America. Stanford Center on Longevity, 20, 14.</w:t>
      </w:r>
    </w:p>
    <w:p w:rsidR="004B237C" w:rsidRDefault="0049228C">
      <w:pPr>
        <w:spacing w:before="240" w:after="240" w:line="240" w:lineRule="auto"/>
        <w:rPr>
          <w:sz w:val="22"/>
          <w:szCs w:val="22"/>
        </w:rPr>
      </w:pPr>
      <w:r>
        <w:rPr>
          <w:sz w:val="22"/>
          <w:szCs w:val="22"/>
        </w:rPr>
        <w:t>Dela Cruz, N. A., Villanueva, A. C. B., Tolin, L. A., Disse, S., Lensink, R., &amp; White, H. (2023). PROTOCOL: Effects of interventions to improve access to financial services for micro‐, small‐and medium‐sized enterprises in low‐and middle‐income countries: An evidence and gap map. Campbell Systematic Reviews, 19(3), e1341.</w:t>
      </w:r>
    </w:p>
    <w:p w:rsidR="004B237C" w:rsidRDefault="0049228C">
      <w:pPr>
        <w:spacing w:before="240" w:after="240" w:line="240" w:lineRule="auto"/>
        <w:rPr>
          <w:sz w:val="22"/>
          <w:szCs w:val="22"/>
        </w:rPr>
      </w:pPr>
      <w:r>
        <w:rPr>
          <w:sz w:val="22"/>
          <w:szCs w:val="22"/>
        </w:rPr>
        <w:t>Despard, M. R., Friedline, T., &amp; Martin-West, S. (2020). Why do households lack emergency savings? The role of financial capability. Journal of Family and Economic Issues, 41, 542-557.</w:t>
      </w:r>
    </w:p>
    <w:p w:rsidR="004B237C" w:rsidRDefault="0049228C">
      <w:pPr>
        <w:spacing w:before="240" w:after="240" w:line="240" w:lineRule="auto"/>
        <w:rPr>
          <w:sz w:val="22"/>
          <w:szCs w:val="22"/>
        </w:rPr>
      </w:pPr>
      <w:r>
        <w:rPr>
          <w:sz w:val="22"/>
          <w:szCs w:val="22"/>
        </w:rPr>
        <w:t>Dickerson, A. M. (2016). Financial scarcity and financial decision-making. Ariz. L. Rev., 58, 137.</w:t>
      </w:r>
    </w:p>
    <w:p w:rsidR="004B237C" w:rsidRDefault="0049228C">
      <w:pPr>
        <w:spacing w:before="240" w:after="240" w:line="240" w:lineRule="auto"/>
        <w:rPr>
          <w:sz w:val="22"/>
          <w:szCs w:val="22"/>
        </w:rPr>
      </w:pPr>
      <w:r>
        <w:rPr>
          <w:sz w:val="22"/>
          <w:szCs w:val="22"/>
        </w:rPr>
        <w:t>Dinkelman, T., &amp; Ngai, L. R. (2021). Home production, women’s market work, and structural transformation. STEG Pathfinding Paper, 57-80.</w:t>
      </w:r>
    </w:p>
    <w:p w:rsidR="004B237C" w:rsidRDefault="0049228C">
      <w:pPr>
        <w:spacing w:before="240" w:after="240" w:line="240" w:lineRule="auto"/>
        <w:rPr>
          <w:sz w:val="22"/>
          <w:szCs w:val="22"/>
        </w:rPr>
      </w:pPr>
      <w:r>
        <w:rPr>
          <w:sz w:val="22"/>
          <w:szCs w:val="22"/>
        </w:rPr>
        <w:lastRenderedPageBreak/>
        <w:t>Dwiastanti, A. (2015). Financial Literacy as the Foundation for IndividuaL Financial Behavior. Journal of Education and Practice, 6(33), 99-105.</w:t>
      </w:r>
    </w:p>
    <w:p w:rsidR="004B237C" w:rsidRDefault="0049228C">
      <w:pPr>
        <w:spacing w:before="240" w:after="240" w:line="240" w:lineRule="auto"/>
        <w:rPr>
          <w:sz w:val="22"/>
          <w:szCs w:val="22"/>
        </w:rPr>
      </w:pPr>
      <w:r>
        <w:rPr>
          <w:sz w:val="22"/>
          <w:szCs w:val="22"/>
        </w:rPr>
        <w:t>Dy, S. (2018). Knowledge and Practices on Family Development of 4Ps Beneficiaries in Camarines Sur, Philippines. Journal of Public Affairs and Development, 5, 115-131.</w:t>
      </w:r>
    </w:p>
    <w:p w:rsidR="004B237C" w:rsidRDefault="0049228C">
      <w:pPr>
        <w:spacing w:before="240" w:after="240" w:line="240" w:lineRule="auto"/>
        <w:rPr>
          <w:sz w:val="22"/>
          <w:szCs w:val="22"/>
        </w:rPr>
      </w:pPr>
      <w:r>
        <w:rPr>
          <w:sz w:val="22"/>
          <w:szCs w:val="22"/>
        </w:rPr>
        <w:t>Elsayed, W. (2024). Building a better society: The Vital role of Family's social values in creating a culture of giving in young Children's minds. Heliyon, 10(7).</w:t>
      </w:r>
    </w:p>
    <w:p w:rsidR="004B237C" w:rsidRDefault="0049228C">
      <w:pPr>
        <w:spacing w:before="240" w:after="240" w:line="240" w:lineRule="auto"/>
        <w:rPr>
          <w:sz w:val="22"/>
          <w:szCs w:val="22"/>
        </w:rPr>
      </w:pPr>
      <w:r>
        <w:rPr>
          <w:sz w:val="22"/>
          <w:szCs w:val="22"/>
        </w:rPr>
        <w:t>Estepa-Maestre, F., &amp; Roca, B. (2018). Individual and family strategies of beneficiaries of minimum income schemes. A qualitative inquiry. Sherraden, M., Birkenmaier, J., &amp; Collins, J. M. (2018). Financial capability and asset building in vulnerable households: Theory and practice. Oxford University Press. Journal of Social Service Research, 44(3), 414-424.</w:t>
      </w:r>
    </w:p>
    <w:p w:rsidR="004B237C" w:rsidRDefault="0049228C">
      <w:pPr>
        <w:spacing w:before="240" w:after="240" w:line="240" w:lineRule="auto"/>
        <w:rPr>
          <w:sz w:val="22"/>
          <w:szCs w:val="22"/>
        </w:rPr>
      </w:pPr>
      <w:r>
        <w:rPr>
          <w:sz w:val="22"/>
          <w:szCs w:val="22"/>
        </w:rPr>
        <w:t>Fan, L. (2021). A conceptual framework of financial advice-seeking and short-and long-term financial behaviors: An age comparison. Journal of Family and Economic Issues, 42(1), 90-112.</w:t>
      </w:r>
    </w:p>
    <w:p w:rsidR="004B237C" w:rsidRDefault="0049228C">
      <w:pPr>
        <w:spacing w:before="240" w:after="240" w:line="240" w:lineRule="auto"/>
        <w:rPr>
          <w:sz w:val="22"/>
          <w:szCs w:val="22"/>
        </w:rPr>
      </w:pPr>
      <w:r>
        <w:rPr>
          <w:sz w:val="22"/>
          <w:szCs w:val="22"/>
        </w:rPr>
        <w:t>French, D., &amp; McKillop, D. (2016). Financial literacy and over-indebtedness in low-income households. International Review of Financial Analysis, 48, 1-11.</w:t>
      </w:r>
    </w:p>
    <w:p w:rsidR="004B237C" w:rsidRDefault="0049228C">
      <w:pPr>
        <w:spacing w:before="240" w:after="240" w:line="240" w:lineRule="auto"/>
        <w:rPr>
          <w:sz w:val="22"/>
          <w:szCs w:val="22"/>
        </w:rPr>
      </w:pPr>
      <w:r>
        <w:rPr>
          <w:sz w:val="22"/>
          <w:szCs w:val="22"/>
        </w:rPr>
        <w:t>Gennetian, L. A., &amp; Shafir, E. (2015). The persistence of poverty in the context of financial instability: A behavioral perspective. Journal of Policy Analysis and Management, 34(4), 904-936.</w:t>
      </w:r>
    </w:p>
    <w:p w:rsidR="004B237C" w:rsidRDefault="0049228C">
      <w:pPr>
        <w:spacing w:before="240" w:after="240" w:line="240" w:lineRule="auto"/>
        <w:rPr>
          <w:sz w:val="22"/>
          <w:szCs w:val="22"/>
        </w:rPr>
      </w:pPr>
      <w:r>
        <w:rPr>
          <w:sz w:val="22"/>
          <w:szCs w:val="22"/>
        </w:rPr>
        <w:t>Ghimire, B., &amp; Dahal, R. (2024). Examining the Role of Financial Awareness, Attitude, and Knowledge in Personal Financial Planning: A Study in the Kathmandu Valley. The International Research Journal of Management Science, 9(1), 85-102.</w:t>
      </w:r>
    </w:p>
    <w:p w:rsidR="004B237C" w:rsidRDefault="0049228C">
      <w:pPr>
        <w:spacing w:before="240" w:after="240" w:line="240" w:lineRule="auto"/>
        <w:rPr>
          <w:sz w:val="22"/>
          <w:szCs w:val="22"/>
        </w:rPr>
      </w:pPr>
      <w:r>
        <w:rPr>
          <w:sz w:val="22"/>
          <w:szCs w:val="22"/>
        </w:rPr>
        <w:t>Graña-Alvarez, R., Lopez-Valeiras, E., Gonzalez-Loureiro, M., &amp; Coronado, F. (2024). Financial literacy in SMEs: A systematic literature review and a framework for further inquiry. Journal of Small Business Management, 62(1), 331-380.</w:t>
      </w:r>
    </w:p>
    <w:p w:rsidR="004B237C" w:rsidRDefault="0049228C">
      <w:pPr>
        <w:spacing w:before="240" w:after="240" w:line="240" w:lineRule="auto"/>
        <w:rPr>
          <w:sz w:val="22"/>
          <w:szCs w:val="22"/>
        </w:rPr>
      </w:pPr>
      <w:r>
        <w:rPr>
          <w:sz w:val="22"/>
          <w:szCs w:val="22"/>
        </w:rPr>
        <w:t>Grohmann, A., &amp; Menkhoff, L. (2021). The relationship between financial literacy and financial inclusion. In The Routledge Handbook of Financial Literacy (pp. 517-530). Routledge.</w:t>
      </w:r>
    </w:p>
    <w:p w:rsidR="004B237C" w:rsidRDefault="0049228C">
      <w:pPr>
        <w:spacing w:before="240" w:after="240" w:line="240" w:lineRule="auto"/>
        <w:rPr>
          <w:sz w:val="22"/>
          <w:szCs w:val="22"/>
        </w:rPr>
      </w:pPr>
      <w:r>
        <w:rPr>
          <w:sz w:val="22"/>
          <w:szCs w:val="22"/>
        </w:rPr>
        <w:t>Hallegatte, S., Vogt-Schilb, A., Bangalore, M., &amp; Rozenberg, J. (2016). Unbreakable: building the resilience of the poor in the face of natural disasters. World Bank Publications.</w:t>
      </w:r>
    </w:p>
    <w:p w:rsidR="004B237C" w:rsidRDefault="0049228C">
      <w:pPr>
        <w:spacing w:before="240" w:after="240" w:line="240" w:lineRule="auto"/>
        <w:rPr>
          <w:sz w:val="22"/>
          <w:szCs w:val="22"/>
        </w:rPr>
      </w:pPr>
      <w:r>
        <w:rPr>
          <w:sz w:val="22"/>
          <w:szCs w:val="22"/>
        </w:rPr>
        <w:t>Hamidi, S. N. M., Mukhtar, D., Adjril, Y., &amp; Damayanti, E. (2021, November). Housewives Thrive in Informal Economy: Opportunities, Challenges, and Prospects. In International Conference on Business and Technology (pp. 499-509). Cham: Springer International Publishing.</w:t>
      </w:r>
    </w:p>
    <w:p w:rsidR="004B237C" w:rsidRDefault="0049228C">
      <w:pPr>
        <w:spacing w:before="240" w:after="240" w:line="240" w:lineRule="auto"/>
        <w:rPr>
          <w:sz w:val="22"/>
          <w:szCs w:val="22"/>
        </w:rPr>
      </w:pPr>
      <w:r>
        <w:rPr>
          <w:sz w:val="22"/>
          <w:szCs w:val="22"/>
        </w:rPr>
        <w:t>Hammond, J. S., Keeney, R. L., &amp; Raiffa, H. (2015). Smart choices: A practical guide to making better decisions. Harvard Business Review Press.</w:t>
      </w:r>
    </w:p>
    <w:p w:rsidR="004B237C" w:rsidRDefault="0049228C">
      <w:pPr>
        <w:spacing w:before="240" w:after="240" w:line="240" w:lineRule="auto"/>
        <w:rPr>
          <w:sz w:val="22"/>
          <w:szCs w:val="22"/>
        </w:rPr>
      </w:pPr>
      <w:r>
        <w:rPr>
          <w:sz w:val="22"/>
          <w:szCs w:val="22"/>
        </w:rPr>
        <w:t>Hertel, T. W., Elouafi, I., Ewert, F., &amp; Tanticharoen, M. (2021). Building Resilience to Vulnerabilities, Shocks and Stresses.</w:t>
      </w:r>
    </w:p>
    <w:p w:rsidR="004B237C" w:rsidRDefault="0049228C">
      <w:pPr>
        <w:spacing w:before="240" w:after="240" w:line="240" w:lineRule="auto"/>
        <w:rPr>
          <w:sz w:val="22"/>
          <w:szCs w:val="22"/>
        </w:rPr>
      </w:pPr>
      <w:r>
        <w:rPr>
          <w:sz w:val="22"/>
          <w:szCs w:val="22"/>
        </w:rPr>
        <w:t>Hira, T. K. (2016). Financial sustainability and personal finance education. Handbook of consumer finance research, 357-366.</w:t>
      </w:r>
    </w:p>
    <w:p w:rsidR="004B237C" w:rsidRDefault="0049228C">
      <w:pPr>
        <w:spacing w:before="240" w:after="240" w:line="240" w:lineRule="auto"/>
        <w:rPr>
          <w:sz w:val="22"/>
          <w:szCs w:val="22"/>
        </w:rPr>
      </w:pPr>
      <w:r>
        <w:rPr>
          <w:sz w:val="22"/>
          <w:szCs w:val="22"/>
        </w:rPr>
        <w:t>Hodgkinson, S., Godoy, L., Beers, L. S., &amp; Lewin, A. (2017). Improving mental health access for low-income children and families in the primary care setting. Pediatrics, 139(1).</w:t>
      </w:r>
    </w:p>
    <w:p w:rsidR="004B237C" w:rsidRDefault="0049228C">
      <w:pPr>
        <w:spacing w:before="240" w:after="240" w:line="240" w:lineRule="auto"/>
        <w:rPr>
          <w:sz w:val="22"/>
          <w:szCs w:val="22"/>
        </w:rPr>
      </w:pPr>
      <w:r>
        <w:rPr>
          <w:sz w:val="22"/>
          <w:szCs w:val="22"/>
        </w:rPr>
        <w:lastRenderedPageBreak/>
        <w:t>Hussain, M., Bashir, A., Wang, C., &amp; Wang, Y. (2023). World uncertainty, natural resources, consumer prices, and financial development in high-income countries. Resources Policy, 81, 103302.</w:t>
      </w:r>
    </w:p>
    <w:p w:rsidR="004B237C" w:rsidRDefault="0049228C">
      <w:pPr>
        <w:spacing w:before="240" w:after="240" w:line="240" w:lineRule="auto"/>
        <w:rPr>
          <w:sz w:val="22"/>
          <w:szCs w:val="22"/>
        </w:rPr>
      </w:pPr>
      <w:r>
        <w:rPr>
          <w:sz w:val="22"/>
          <w:szCs w:val="22"/>
        </w:rPr>
        <w:t>Ihsan, K., &amp; Nurlaila, N. (2024). Analysis of Expense Recording Reports in MSMEs in the Pangkalan Mahsyur Subdistrict. International Journal Of Education, Social Studies, And Management (IJESSM), 4(3), 1111-1119.</w:t>
      </w:r>
    </w:p>
    <w:p w:rsidR="004B237C" w:rsidRDefault="0049228C">
      <w:pPr>
        <w:spacing w:before="240" w:after="240" w:line="240" w:lineRule="auto"/>
        <w:rPr>
          <w:sz w:val="22"/>
          <w:szCs w:val="22"/>
        </w:rPr>
      </w:pPr>
      <w:r>
        <w:rPr>
          <w:sz w:val="22"/>
          <w:szCs w:val="22"/>
        </w:rPr>
        <w:t>Javier, A. G. (2021). Program Implementation of Conditional Cash Transfer (4ps) as Support to Health and Education of High School Students Beneficiaries in Alaminos Integrated National High School.</w:t>
      </w:r>
    </w:p>
    <w:p w:rsidR="004B237C" w:rsidRDefault="0049228C">
      <w:pPr>
        <w:spacing w:before="240" w:after="240" w:line="240" w:lineRule="auto"/>
        <w:rPr>
          <w:sz w:val="22"/>
          <w:szCs w:val="22"/>
        </w:rPr>
      </w:pPr>
      <w:r>
        <w:rPr>
          <w:sz w:val="22"/>
          <w:szCs w:val="22"/>
        </w:rPr>
        <w:t>Jornadal, J. (2023). the EFFECTS OF LIVELIHOOD PROGRAMS AND PROJECTS AVAILED BY THE PANTAWID PAMILYANG PILIPINO PROGRAM (4PS) BENEFICIARIES TO THEIR SOCIO-ECONOMIC STATUS: INPUT TO PROGRAM SUSTAINABILITY: EFFECTS OF LIVELIHOOD PROGRAMS AND PROJECTS AVAILED BY THE PANTAWID PAMILYANG PILIPINO PROGRAM (4PS) BENEFICIARIES TO THEIR SOCIO-ECONOMIC STATUS: INPUT TO PROGRAM SUSTAINABILITY. International Journal of Arts, Sciences and Education, 4(1), 229-253.</w:t>
      </w:r>
    </w:p>
    <w:p w:rsidR="004B237C" w:rsidRDefault="0049228C">
      <w:pPr>
        <w:spacing w:before="240" w:after="240" w:line="240" w:lineRule="auto"/>
        <w:rPr>
          <w:sz w:val="22"/>
          <w:szCs w:val="22"/>
        </w:rPr>
      </w:pPr>
      <w:r>
        <w:rPr>
          <w:sz w:val="22"/>
          <w:szCs w:val="22"/>
        </w:rPr>
        <w:t>Jumady, E., Alam, S., Hasbiyadi, H., Fajriah, Y., &amp; Anggraini, Y. (2024). The Effect of Financial Planning on Consumer Debt Management: The Role of Financial Literacy, Self-Efficacy, and Financial Motivation. Atestasi: Jurnal Ilmiah Akuntansi, 7(1), 340-368.</w:t>
      </w:r>
    </w:p>
    <w:p w:rsidR="004B237C" w:rsidRDefault="0049228C">
      <w:pPr>
        <w:spacing w:before="240" w:after="240" w:line="240" w:lineRule="auto"/>
        <w:rPr>
          <w:sz w:val="22"/>
          <w:szCs w:val="22"/>
        </w:rPr>
      </w:pPr>
      <w:r>
        <w:rPr>
          <w:sz w:val="22"/>
          <w:szCs w:val="22"/>
        </w:rPr>
        <w:t>Kamran, S., &amp; Uusitalo, O. (2024). How informal financial service institutes facilitate the financial inclusion of low-income, unbanked consumers. International Journal of Bank Marketing, 42(6), 1232-1263.</w:t>
      </w:r>
    </w:p>
    <w:p w:rsidR="004B237C" w:rsidRDefault="0049228C">
      <w:pPr>
        <w:spacing w:before="240" w:after="240" w:line="240" w:lineRule="auto"/>
        <w:rPr>
          <w:sz w:val="22"/>
          <w:szCs w:val="22"/>
        </w:rPr>
      </w:pPr>
      <w:r>
        <w:rPr>
          <w:sz w:val="22"/>
          <w:szCs w:val="22"/>
        </w:rPr>
        <w:t>Kathuria, R., Kedia, M., Varma, G., Bagchi, K., &amp; Khullar, S. (2017). Future of work in a digital era: The potential and challenges for online freelancing and microwork in India.</w:t>
      </w:r>
    </w:p>
    <w:p w:rsidR="004B237C" w:rsidRDefault="0049228C">
      <w:pPr>
        <w:spacing w:before="240" w:after="240" w:line="240" w:lineRule="auto"/>
        <w:rPr>
          <w:sz w:val="22"/>
          <w:szCs w:val="22"/>
        </w:rPr>
      </w:pPr>
      <w:r>
        <w:rPr>
          <w:sz w:val="22"/>
          <w:szCs w:val="22"/>
        </w:rPr>
        <w:t>Katire, F. (2024). The role of Technical and Vocational Education and Training Institutions in the Namibian National System of Innovation: A Case Study of Community Skills Development Centres in the Hospitality and Tourism Sectors (Doctoral dissertation, Stellenbosch University).</w:t>
      </w:r>
    </w:p>
    <w:p w:rsidR="004B237C" w:rsidRDefault="0049228C">
      <w:pPr>
        <w:spacing w:before="240" w:after="240" w:line="240" w:lineRule="auto"/>
        <w:rPr>
          <w:sz w:val="22"/>
          <w:szCs w:val="22"/>
        </w:rPr>
      </w:pPr>
      <w:r>
        <w:rPr>
          <w:sz w:val="22"/>
          <w:szCs w:val="22"/>
        </w:rPr>
        <w:t>Katnic, I., Katnic, M., Orlandic, M., Radunovic, M., &amp; Mugosa, I. (2024). Understanding the Role of Financial Literacy in Enhancing Economic Stability and Resilience in Montenegro: A Data-Driven Approach. Sustainability, 16(24), 11065.</w:t>
      </w:r>
    </w:p>
    <w:p w:rsidR="004B237C" w:rsidRDefault="0049228C">
      <w:pPr>
        <w:spacing w:before="240" w:after="240" w:line="240" w:lineRule="auto"/>
        <w:rPr>
          <w:sz w:val="22"/>
          <w:szCs w:val="22"/>
        </w:rPr>
      </w:pPr>
      <w:r>
        <w:rPr>
          <w:sz w:val="22"/>
          <w:szCs w:val="22"/>
        </w:rPr>
        <w:t>Keller, D. K. (2015). The tao of statistics: A path to understanding (with no math). Sage Publications.</w:t>
      </w:r>
    </w:p>
    <w:p w:rsidR="004B237C" w:rsidRDefault="0049228C">
      <w:pPr>
        <w:spacing w:before="240" w:after="240" w:line="240" w:lineRule="auto"/>
        <w:rPr>
          <w:sz w:val="22"/>
          <w:szCs w:val="22"/>
        </w:rPr>
      </w:pPr>
      <w:r>
        <w:rPr>
          <w:sz w:val="22"/>
          <w:szCs w:val="22"/>
        </w:rPr>
        <w:t>Khan, F., &amp; Surisetti, S. (2023). Unpacking Financial Literacy: A Critical Conceptual Model for the Global South. In Political Economy of Development in the Global South Post-COVID-19 Pandemic (pp. 205-237). Singapore: Springer Nature Singapore.</w:t>
      </w:r>
    </w:p>
    <w:p w:rsidR="004B237C" w:rsidRDefault="0049228C">
      <w:pPr>
        <w:spacing w:before="240" w:after="240" w:line="240" w:lineRule="auto"/>
        <w:rPr>
          <w:sz w:val="22"/>
          <w:szCs w:val="22"/>
        </w:rPr>
      </w:pPr>
      <w:r>
        <w:rPr>
          <w:sz w:val="22"/>
          <w:szCs w:val="22"/>
        </w:rPr>
        <w:t>Khan, F., Siddiqui, M. A., &amp; Imtiaz, S. (2022). Role of financial literacy in achieving financial inclusion: A review, synthesis and research agenda. Cogent Business &amp; Management, 9(1), 2034236.</w:t>
      </w:r>
    </w:p>
    <w:p w:rsidR="004B237C" w:rsidRDefault="0049228C">
      <w:pPr>
        <w:spacing w:before="240" w:after="240" w:line="240" w:lineRule="auto"/>
        <w:rPr>
          <w:sz w:val="22"/>
          <w:szCs w:val="22"/>
        </w:rPr>
      </w:pPr>
      <w:r>
        <w:rPr>
          <w:sz w:val="22"/>
          <w:szCs w:val="22"/>
        </w:rPr>
        <w:t>Kim, K. T., Xiao, J. J., &amp; Porto, N. (2024). Financial inclusion, financial capability and financial fragility during COVID-19 pandemic. International Journal of Bank Marketing, 42(3), 414-436.</w:t>
      </w:r>
    </w:p>
    <w:p w:rsidR="004B237C" w:rsidRDefault="0049228C">
      <w:pPr>
        <w:spacing w:before="240" w:after="240" w:line="240" w:lineRule="auto"/>
        <w:rPr>
          <w:sz w:val="22"/>
          <w:szCs w:val="22"/>
        </w:rPr>
      </w:pPr>
      <w:r>
        <w:rPr>
          <w:sz w:val="22"/>
          <w:szCs w:val="22"/>
        </w:rPr>
        <w:lastRenderedPageBreak/>
        <w:t>Klapper, L., &amp; Lusardi, A. (2020). Financial literacy and financial resilience: Evidence from around the world. Financial Management, 49(3), 589-614.</w:t>
      </w:r>
    </w:p>
    <w:p w:rsidR="004B237C" w:rsidRDefault="0049228C">
      <w:pPr>
        <w:spacing w:before="240" w:after="240" w:line="240" w:lineRule="auto"/>
        <w:rPr>
          <w:sz w:val="22"/>
          <w:szCs w:val="22"/>
        </w:rPr>
      </w:pPr>
      <w:r>
        <w:rPr>
          <w:sz w:val="22"/>
          <w:szCs w:val="22"/>
        </w:rPr>
        <w:t>Koesoemasari, D. S. P., Surveyandini, M., Putri, J. A., &amp; Janah, A. A. (2023). Revealing the Investment Interests of Part-Time Working Students: Implications for Financial Literacy and Behavior. JASF: Journal of Accounting and Strategic Finance, 6(2), 364-382.</w:t>
      </w:r>
    </w:p>
    <w:p w:rsidR="004B237C" w:rsidRDefault="0049228C">
      <w:pPr>
        <w:spacing w:before="240" w:after="240" w:line="240" w:lineRule="auto"/>
        <w:rPr>
          <w:sz w:val="22"/>
          <w:szCs w:val="22"/>
        </w:rPr>
      </w:pPr>
      <w:r>
        <w:rPr>
          <w:sz w:val="22"/>
          <w:szCs w:val="22"/>
        </w:rPr>
        <w:t>Komarudin, M. N., Arraniri, I., &amp; Agyan, D. F. (2024). The Impact of Financial Proficiency, Financial Attitudes, and Income on Financial Behavior in Using PayLater on E-Commerce. International Journal Administration, Business &amp; Organization, 5(2), 26-36.</w:t>
      </w:r>
    </w:p>
    <w:p w:rsidR="004B237C" w:rsidRDefault="0049228C">
      <w:pPr>
        <w:spacing w:before="240" w:after="240" w:line="240" w:lineRule="auto"/>
        <w:rPr>
          <w:sz w:val="22"/>
          <w:szCs w:val="22"/>
        </w:rPr>
      </w:pPr>
      <w:r>
        <w:rPr>
          <w:sz w:val="22"/>
          <w:szCs w:val="22"/>
        </w:rPr>
        <w:t>Koomson, I., Ansong, D., Okumu, M., &amp; Achulo, S. (2023). Effect of financial literacy on poverty reduction across Kenya, Tanzania, and Uganda. Global Social Welfare, 10(1), 93-103.</w:t>
      </w:r>
    </w:p>
    <w:p w:rsidR="004B237C" w:rsidRDefault="0049228C">
      <w:pPr>
        <w:spacing w:before="240" w:after="240" w:line="240" w:lineRule="auto"/>
        <w:rPr>
          <w:sz w:val="22"/>
          <w:szCs w:val="22"/>
        </w:rPr>
      </w:pPr>
      <w:r>
        <w:rPr>
          <w:sz w:val="22"/>
          <w:szCs w:val="22"/>
        </w:rPr>
        <w:t>Koskelainen, T., Kalmi, P., Scornavacca, E., &amp; Vartiainen, T. (2023). Financial literacy in the digital age—A research agenda. Journal of Consumer Affairs, 57(1), 507-528.</w:t>
      </w:r>
    </w:p>
    <w:p w:rsidR="004B237C" w:rsidRDefault="0049228C">
      <w:pPr>
        <w:spacing w:before="240" w:after="240" w:line="240" w:lineRule="auto"/>
        <w:rPr>
          <w:sz w:val="22"/>
          <w:szCs w:val="22"/>
        </w:rPr>
      </w:pPr>
      <w:r>
        <w:rPr>
          <w:sz w:val="22"/>
          <w:szCs w:val="22"/>
        </w:rPr>
        <w:t>Kramer, M. M. (2016). Financial literacy, confidence and financial advice seeking. Journal of Economic Behavior &amp; Organization, 131, 198-217.</w:t>
      </w:r>
    </w:p>
    <w:p w:rsidR="004B237C" w:rsidRDefault="0049228C">
      <w:pPr>
        <w:spacing w:before="240" w:after="240" w:line="240" w:lineRule="auto"/>
        <w:rPr>
          <w:sz w:val="22"/>
          <w:szCs w:val="22"/>
        </w:rPr>
      </w:pPr>
      <w:r>
        <w:rPr>
          <w:sz w:val="22"/>
          <w:szCs w:val="22"/>
        </w:rPr>
        <w:t>Kubińska, E., Adamczyk-Kowalczuk, M., &amp; Macko, A. (2023). Behavioral Finance in the Digital Era: Saving and Investment Decisions. Taylor &amp; Francis.</w:t>
      </w:r>
    </w:p>
    <w:p w:rsidR="004B237C" w:rsidRDefault="0049228C">
      <w:pPr>
        <w:spacing w:before="240" w:after="240" w:line="240" w:lineRule="auto"/>
        <w:rPr>
          <w:sz w:val="22"/>
          <w:szCs w:val="22"/>
        </w:rPr>
      </w:pPr>
      <w:r>
        <w:rPr>
          <w:sz w:val="22"/>
          <w:szCs w:val="22"/>
        </w:rPr>
        <w:t>Kusmantari, A. A. (2024). Enhancing Financial Stability through Islamic Financial Planning: Literacy, Trust, and Investment Strategies in Indonesia. Social and Economic Bulletin, 1(3), 192-207.</w:t>
      </w:r>
    </w:p>
    <w:p w:rsidR="004B237C" w:rsidRDefault="0049228C">
      <w:pPr>
        <w:spacing w:before="240" w:after="240" w:line="240" w:lineRule="auto"/>
        <w:rPr>
          <w:sz w:val="22"/>
          <w:szCs w:val="22"/>
        </w:rPr>
      </w:pPr>
      <w:r>
        <w:rPr>
          <w:sz w:val="22"/>
          <w:szCs w:val="22"/>
        </w:rPr>
        <w:t>Kyeyune, G. N., &amp; Ntayi, J. M. (2025). Empowering rural communities: the role of financial literacy and management in sustainable development. Frontiers in Human Dynamics, 6, 1424126.</w:t>
      </w:r>
    </w:p>
    <w:p w:rsidR="004B237C" w:rsidRDefault="0049228C">
      <w:pPr>
        <w:spacing w:before="240" w:after="240" w:line="240" w:lineRule="auto"/>
        <w:rPr>
          <w:sz w:val="22"/>
          <w:szCs w:val="22"/>
        </w:rPr>
      </w:pPr>
      <w:r>
        <w:rPr>
          <w:sz w:val="22"/>
          <w:szCs w:val="22"/>
        </w:rPr>
        <w:t>Lučić, A., &amp; Uzelac, M. (2024). Investigating alternative avenues for financial behaviour change: moving beyond the traditional approach. Young Consumers, 25(3), 349-367.</w:t>
      </w:r>
    </w:p>
    <w:p w:rsidR="004B237C" w:rsidRDefault="0049228C">
      <w:pPr>
        <w:spacing w:before="240" w:after="240" w:line="240" w:lineRule="auto"/>
        <w:rPr>
          <w:sz w:val="22"/>
          <w:szCs w:val="22"/>
        </w:rPr>
      </w:pPr>
      <w:r>
        <w:rPr>
          <w:sz w:val="22"/>
          <w:szCs w:val="22"/>
        </w:rPr>
        <w:t>Lučić, A., Erceg, N., &amp; Barbić, D. (2024). Knowledge and Skills Are Not Enough—Exploring the Determinants of Financial Behavior Formation. International Journal of Consumer Studies, 48(6), e13100.</w:t>
      </w:r>
    </w:p>
    <w:p w:rsidR="004B237C" w:rsidRDefault="0049228C">
      <w:pPr>
        <w:spacing w:before="240" w:after="240" w:line="240" w:lineRule="auto"/>
        <w:rPr>
          <w:sz w:val="22"/>
          <w:szCs w:val="22"/>
        </w:rPr>
      </w:pPr>
      <w:r>
        <w:rPr>
          <w:sz w:val="22"/>
          <w:szCs w:val="22"/>
        </w:rPr>
        <w:t>Lutzenberger, H., Casillas, M., Fikkert, P., Crasborn, O., &amp; De Vos, C. (2024). More than looks: Exploring methods to test phonological discrimination in the sign language Kata Kolok. Language Learning and Development, 1-27.</w:t>
      </w:r>
    </w:p>
    <w:p w:rsidR="004B237C" w:rsidRDefault="0049228C">
      <w:pPr>
        <w:spacing w:before="240" w:after="240" w:line="240" w:lineRule="auto"/>
        <w:rPr>
          <w:sz w:val="22"/>
          <w:szCs w:val="22"/>
        </w:rPr>
      </w:pPr>
      <w:r>
        <w:rPr>
          <w:sz w:val="22"/>
          <w:szCs w:val="22"/>
        </w:rPr>
        <w:t>Mancone, S., Tosti, B., Corrado, S., Spica, G., Zanon, A., &amp; Diotaiuti, P. (2024, October). Youth, money, and behavior: the impact of financial literacy programs. In Frontiers in Education (Vol. 9, p. 1397060). Frontiers Media SA.</w:t>
      </w:r>
    </w:p>
    <w:p w:rsidR="004B237C" w:rsidRDefault="0049228C">
      <w:pPr>
        <w:spacing w:before="240" w:after="240" w:line="240" w:lineRule="auto"/>
        <w:rPr>
          <w:sz w:val="22"/>
          <w:szCs w:val="22"/>
        </w:rPr>
      </w:pPr>
      <w:r>
        <w:rPr>
          <w:sz w:val="22"/>
          <w:szCs w:val="22"/>
        </w:rPr>
        <w:t>Mazlan, A. M. (2024). Mindful Consumption: Smart Spending for Financial Wellness. Available at SSRN 4844933.</w:t>
      </w:r>
    </w:p>
    <w:p w:rsidR="004B237C" w:rsidRDefault="0049228C">
      <w:pPr>
        <w:spacing w:before="240" w:after="240" w:line="240" w:lineRule="auto"/>
        <w:rPr>
          <w:sz w:val="22"/>
          <w:szCs w:val="22"/>
        </w:rPr>
      </w:pPr>
      <w:r>
        <w:rPr>
          <w:sz w:val="22"/>
          <w:szCs w:val="22"/>
        </w:rPr>
        <w:t>McKnight, A., &amp; Rucci, M. (2020). The financial resilience of households: 22 country study with new estimates, breakdowns by household characteristics and a review of policy options.</w:t>
      </w:r>
    </w:p>
    <w:p w:rsidR="004B237C" w:rsidRDefault="0049228C">
      <w:pPr>
        <w:spacing w:before="240" w:after="240" w:line="240" w:lineRule="auto"/>
        <w:rPr>
          <w:sz w:val="22"/>
          <w:szCs w:val="22"/>
        </w:rPr>
      </w:pPr>
      <w:r>
        <w:rPr>
          <w:sz w:val="22"/>
          <w:szCs w:val="22"/>
        </w:rPr>
        <w:lastRenderedPageBreak/>
        <w:t>Melad, K. A. M., Araos, N. V. V., &amp; Orbeta, A. C. (2020). Giving cash to the poor: A study of Pantawid Pamilya cash grants generosity, frequency, and modality (No. 2020-59). PIDS Discussion Paper Series.</w:t>
      </w:r>
    </w:p>
    <w:p w:rsidR="004B237C" w:rsidRDefault="0049228C">
      <w:pPr>
        <w:spacing w:before="240" w:after="240" w:line="240" w:lineRule="auto"/>
        <w:rPr>
          <w:sz w:val="22"/>
          <w:szCs w:val="22"/>
        </w:rPr>
      </w:pPr>
      <w:r>
        <w:rPr>
          <w:sz w:val="22"/>
          <w:szCs w:val="22"/>
        </w:rPr>
        <w:t>Melnichuk, N. (2015). Budget planning in financial management. Baltic Journal of Economic Studies, 1(2), 95-100.</w:t>
      </w:r>
    </w:p>
    <w:p w:rsidR="004B237C" w:rsidRDefault="0049228C">
      <w:pPr>
        <w:spacing w:before="240" w:after="240" w:line="240" w:lineRule="auto"/>
        <w:rPr>
          <w:sz w:val="22"/>
          <w:szCs w:val="22"/>
        </w:rPr>
      </w:pPr>
      <w:r>
        <w:rPr>
          <w:sz w:val="22"/>
          <w:szCs w:val="22"/>
        </w:rPr>
        <w:t>Méndez Prado, S. M., Zambrano Franco, M. J., Zambrano Zapata, S. G., Chiluiza Garcia, K. M., Everaert, P., &amp; Valcke, M. (2022). A Systematic Review of Financial Literacy Research in Latin America and The Caribbean. Sustainability, 14(7), 3814.</w:t>
      </w:r>
    </w:p>
    <w:p w:rsidR="004B237C" w:rsidRDefault="0049228C">
      <w:pPr>
        <w:spacing w:before="240" w:after="240" w:line="240" w:lineRule="auto"/>
        <w:rPr>
          <w:sz w:val="22"/>
          <w:szCs w:val="22"/>
        </w:rPr>
      </w:pPr>
      <w:r>
        <w:rPr>
          <w:sz w:val="22"/>
          <w:szCs w:val="22"/>
        </w:rPr>
        <w:t>Middlemiss, L., &amp; Gillard, R. (2015). Fuel poverty from the bottom-up: Characterising household energy vulnerability through the lived experience of the fuel poor. Energy Research &amp; Social Science, 6, 146-154.</w:t>
      </w:r>
    </w:p>
    <w:p w:rsidR="004B237C" w:rsidRDefault="0049228C">
      <w:pPr>
        <w:spacing w:before="240" w:after="240" w:line="240" w:lineRule="auto"/>
        <w:rPr>
          <w:sz w:val="22"/>
          <w:szCs w:val="22"/>
        </w:rPr>
      </w:pPr>
      <w:r>
        <w:rPr>
          <w:sz w:val="22"/>
          <w:szCs w:val="22"/>
        </w:rPr>
        <w:t>Moffatt, S., &amp; Heaven, B. E. N. (2017). ‘Planning for uncertainty’: narratives on retirement transition experiences. Ageing &amp; Society, 37(5), 879-898.</w:t>
      </w:r>
    </w:p>
    <w:p w:rsidR="004B237C" w:rsidRDefault="0049228C">
      <w:pPr>
        <w:spacing w:before="240" w:after="240" w:line="240" w:lineRule="auto"/>
        <w:rPr>
          <w:sz w:val="22"/>
          <w:szCs w:val="22"/>
        </w:rPr>
      </w:pPr>
      <w:r>
        <w:rPr>
          <w:sz w:val="22"/>
          <w:szCs w:val="22"/>
        </w:rPr>
        <w:t>MONSURA, M. P. (2020). The importance of financial literacy: Household's income mobility measurement and decomposition approach. The Journal of Asian Finance, Economics and Business, 7(12), 647-655.</w:t>
      </w:r>
    </w:p>
    <w:p w:rsidR="004B237C" w:rsidRDefault="0049228C">
      <w:pPr>
        <w:spacing w:before="240" w:after="240" w:line="240" w:lineRule="auto"/>
        <w:rPr>
          <w:sz w:val="22"/>
          <w:szCs w:val="22"/>
        </w:rPr>
      </w:pPr>
      <w:r>
        <w:rPr>
          <w:sz w:val="22"/>
          <w:szCs w:val="22"/>
        </w:rPr>
        <w:t>Munar, M. (2024). Enhancing financial literacy among Pantawid Pamilyang Pilipino Program beneficiaries. International Journal of Academe and Industry Research, 5(3), 98-124.</w:t>
      </w:r>
    </w:p>
    <w:p w:rsidR="004B237C" w:rsidRDefault="0049228C">
      <w:pPr>
        <w:spacing w:before="240" w:after="240" w:line="240" w:lineRule="auto"/>
        <w:rPr>
          <w:sz w:val="22"/>
          <w:szCs w:val="22"/>
        </w:rPr>
      </w:pPr>
      <w:r>
        <w:rPr>
          <w:sz w:val="22"/>
          <w:szCs w:val="22"/>
        </w:rPr>
        <w:t>Munar, M. (2024). Enhancing financial literacy among Pantawid Pamilyang Pilipino Program beneficiaries. International Journal of Academe and Industry Research, 5(3), 98-124.</w:t>
      </w:r>
    </w:p>
    <w:p w:rsidR="004B237C" w:rsidRDefault="0049228C">
      <w:pPr>
        <w:spacing w:before="240" w:after="240" w:line="240" w:lineRule="auto"/>
        <w:rPr>
          <w:sz w:val="22"/>
          <w:szCs w:val="22"/>
        </w:rPr>
      </w:pPr>
      <w:r>
        <w:rPr>
          <w:sz w:val="22"/>
          <w:szCs w:val="22"/>
        </w:rPr>
        <w:t>Muzikante, I., &amp; Škuškovnika, D. (2018, May). Human values and attitudes towards money. in society. integration. education. Proceedings of the International Scientific Conference (Vol. 7, pp. 153-162).</w:t>
      </w:r>
    </w:p>
    <w:p w:rsidR="004B237C" w:rsidRDefault="0049228C">
      <w:pPr>
        <w:spacing w:before="240" w:after="240" w:line="240" w:lineRule="auto"/>
        <w:rPr>
          <w:sz w:val="22"/>
          <w:szCs w:val="22"/>
        </w:rPr>
      </w:pPr>
      <w:r>
        <w:rPr>
          <w:sz w:val="22"/>
          <w:szCs w:val="22"/>
        </w:rPr>
        <w:t>Navarro, A. M., Reyes, C. M., &amp; Francisco, K. A. (2021). UN common country assessment update for the Philippines (No. 2021-06). PIDS Discussion Paper Series.</w:t>
      </w:r>
    </w:p>
    <w:p w:rsidR="004B237C" w:rsidRDefault="0049228C">
      <w:pPr>
        <w:spacing w:before="240" w:after="240" w:line="240" w:lineRule="auto"/>
        <w:rPr>
          <w:sz w:val="22"/>
          <w:szCs w:val="22"/>
        </w:rPr>
      </w:pPr>
      <w:r>
        <w:rPr>
          <w:sz w:val="22"/>
          <w:szCs w:val="22"/>
        </w:rPr>
        <w:t>Necor, N., &amp; Turpias, L. (2024, November). A Case Study on Financial Management Among Indigenous Beneficiaries of The Pantawid Pamilyang Pilipino Program. In 11th International Scholars Conference (Vol. 11, No. 3, pp. 965-976).</w:t>
      </w:r>
    </w:p>
    <w:p w:rsidR="004B237C" w:rsidRDefault="0049228C">
      <w:pPr>
        <w:spacing w:before="240" w:after="240" w:line="240" w:lineRule="auto"/>
        <w:rPr>
          <w:sz w:val="22"/>
          <w:szCs w:val="22"/>
        </w:rPr>
      </w:pPr>
      <w:r>
        <w:rPr>
          <w:sz w:val="22"/>
          <w:szCs w:val="22"/>
        </w:rPr>
        <w:t>Németh, E., &amp; Deák-Zsótér, B. (2022). The Anxious, Unwary, Prudent Risk-averse, and consciously confident–financial goals, competencies and strategies of young people studying in higher education. Services Marketing Quarterly, 43(4), 425-444.</w:t>
      </w:r>
    </w:p>
    <w:p w:rsidR="004B237C" w:rsidRDefault="0049228C">
      <w:pPr>
        <w:spacing w:before="240" w:after="240" w:line="240" w:lineRule="auto"/>
        <w:rPr>
          <w:sz w:val="22"/>
          <w:szCs w:val="22"/>
        </w:rPr>
      </w:pPr>
      <w:r>
        <w:rPr>
          <w:sz w:val="22"/>
          <w:szCs w:val="22"/>
        </w:rPr>
        <w:t>Németh, E., &amp; Zsótér, B. (2017). Personality, attitude and behavioural components of financial literacy: A comparative analysis. Journal of Economics and Behavioral Studies, 9(2), 46-57.</w:t>
      </w:r>
    </w:p>
    <w:p w:rsidR="004B237C" w:rsidRDefault="0049228C">
      <w:pPr>
        <w:spacing w:before="240" w:after="240" w:line="240" w:lineRule="auto"/>
        <w:rPr>
          <w:sz w:val="22"/>
          <w:szCs w:val="22"/>
        </w:rPr>
      </w:pPr>
      <w:r>
        <w:rPr>
          <w:sz w:val="22"/>
          <w:szCs w:val="22"/>
        </w:rPr>
        <w:t>Nivrutti, K. N. (2024). Financial Literacy In Education: Building A Foundation Of Economic Empowerment. Multidisciplinary Aspects of Education.</w:t>
      </w:r>
    </w:p>
    <w:p w:rsidR="004B237C" w:rsidRDefault="0049228C">
      <w:pPr>
        <w:spacing w:before="240" w:after="240" w:line="240" w:lineRule="auto"/>
        <w:rPr>
          <w:sz w:val="22"/>
          <w:szCs w:val="22"/>
        </w:rPr>
      </w:pPr>
      <w:r>
        <w:rPr>
          <w:sz w:val="22"/>
          <w:szCs w:val="22"/>
        </w:rPr>
        <w:t>Odhiambo, A. O. (2023). The Power of Money Mindset. Christian Faith Publishing, Inc..</w:t>
      </w:r>
    </w:p>
    <w:p w:rsidR="004B237C" w:rsidRDefault="0049228C">
      <w:pPr>
        <w:spacing w:before="240" w:after="240" w:line="240" w:lineRule="auto"/>
        <w:rPr>
          <w:sz w:val="22"/>
          <w:szCs w:val="22"/>
        </w:rPr>
      </w:pPr>
      <w:r>
        <w:rPr>
          <w:sz w:val="22"/>
          <w:szCs w:val="22"/>
        </w:rPr>
        <w:t>Quetulio-Navarra, M., Canuday, J. J., &amp; Claudio, J. (2023). Aid, Work, and Resilience: Social Protection as Viewed by the Metropolitan Poor in the Philippines.</w:t>
      </w:r>
    </w:p>
    <w:p w:rsidR="004B237C" w:rsidRDefault="0049228C">
      <w:pPr>
        <w:spacing w:before="240" w:after="240" w:line="240" w:lineRule="auto"/>
        <w:rPr>
          <w:sz w:val="22"/>
          <w:szCs w:val="22"/>
        </w:rPr>
      </w:pPr>
      <w:r>
        <w:rPr>
          <w:sz w:val="22"/>
          <w:szCs w:val="22"/>
        </w:rPr>
        <w:lastRenderedPageBreak/>
        <w:t>Ribeiro, J. P. C., Duarte, F., &amp; Gama, A. P. M. (2022). Does microfinance foster the development of its clients? A bibliometric analysis and systematic literature review. Financial Innovation, 8(1), 34.</w:t>
      </w:r>
    </w:p>
    <w:p w:rsidR="004B237C" w:rsidRDefault="0049228C">
      <w:pPr>
        <w:spacing w:before="240" w:after="240" w:line="240" w:lineRule="auto"/>
        <w:rPr>
          <w:sz w:val="22"/>
          <w:szCs w:val="22"/>
        </w:rPr>
      </w:pPr>
      <w:r>
        <w:rPr>
          <w:sz w:val="22"/>
          <w:szCs w:val="22"/>
        </w:rPr>
        <w:t>Sano, Y., Mammen, S., &amp; Houghten, M. (2021). Well-being and stability among low-income families: A 10-year review of research. Journal of Family and Economic Issues, 42(Suppl 1), 107-117.</w:t>
      </w:r>
    </w:p>
    <w:p w:rsidR="004B237C" w:rsidRDefault="0049228C">
      <w:pPr>
        <w:spacing w:before="240" w:after="240" w:line="240" w:lineRule="auto"/>
        <w:rPr>
          <w:sz w:val="22"/>
          <w:szCs w:val="22"/>
        </w:rPr>
      </w:pPr>
      <w:r>
        <w:rPr>
          <w:sz w:val="22"/>
          <w:szCs w:val="22"/>
        </w:rPr>
        <w:t>Sawatzki, C. (2017). Lessons in financial literacy task design: Authentic, imaginable, useful. Mathematics Education Research Journal, 29(1), 25-43.</w:t>
      </w:r>
    </w:p>
    <w:p w:rsidR="004B237C" w:rsidRDefault="0049228C">
      <w:pPr>
        <w:spacing w:before="240" w:after="240" w:line="240" w:lineRule="auto"/>
        <w:rPr>
          <w:sz w:val="22"/>
          <w:szCs w:val="22"/>
        </w:rPr>
      </w:pPr>
      <w:r>
        <w:rPr>
          <w:sz w:val="22"/>
          <w:szCs w:val="22"/>
        </w:rPr>
        <w:t>Shaheen, R. (2023). A Critical Analysis of Financial Management: An Interconnected</w:t>
      </w:r>
      <w:r>
        <w:rPr>
          <w:b/>
          <w:sz w:val="22"/>
          <w:szCs w:val="22"/>
        </w:rPr>
        <w:t xml:space="preserve"> </w:t>
      </w:r>
      <w:r>
        <w:rPr>
          <w:sz w:val="22"/>
          <w:szCs w:val="22"/>
        </w:rPr>
        <w:t>Framework for Maximizing Corporate Finances. Saudi J Bus Manag Stud, 8(10), 243-249.</w:t>
      </w:r>
    </w:p>
    <w:p w:rsidR="004B237C" w:rsidRDefault="0049228C">
      <w:pPr>
        <w:spacing w:before="240" w:after="240" w:line="240" w:lineRule="auto"/>
        <w:rPr>
          <w:sz w:val="22"/>
          <w:szCs w:val="22"/>
        </w:rPr>
      </w:pPr>
      <w:r>
        <w:rPr>
          <w:sz w:val="22"/>
          <w:szCs w:val="22"/>
        </w:rPr>
        <w:t>Sharma, H., &amp; Díaz Andrade, A. (2023). Digital financial services and human development: current landscape and research prospects. Information Technology for Development, 29(4), 582-606.</w:t>
      </w:r>
    </w:p>
    <w:p w:rsidR="004B237C" w:rsidRDefault="0049228C">
      <w:pPr>
        <w:spacing w:before="240" w:after="240" w:line="240" w:lineRule="auto"/>
        <w:rPr>
          <w:sz w:val="22"/>
          <w:szCs w:val="22"/>
        </w:rPr>
      </w:pPr>
      <w:r>
        <w:rPr>
          <w:sz w:val="22"/>
          <w:szCs w:val="22"/>
        </w:rPr>
        <w:t>She, L., Rasiah, R., Turner, J. J., Guptan, V., &amp; Sharif Nia, H. (2022). Psychological beliefs and financial well-being among working adults: the mediating role of financial behaviour. International Journal of Social Economics, 49(2), 190-209.</w:t>
      </w:r>
    </w:p>
    <w:p w:rsidR="004B237C" w:rsidRDefault="0049228C">
      <w:pPr>
        <w:spacing w:before="240" w:after="240" w:line="240" w:lineRule="auto"/>
        <w:rPr>
          <w:sz w:val="22"/>
          <w:szCs w:val="22"/>
        </w:rPr>
      </w:pPr>
      <w:r>
        <w:rPr>
          <w:sz w:val="22"/>
          <w:szCs w:val="22"/>
        </w:rPr>
        <w:t>Sheard, L. (2022). Telling a story or reporting the facts? Interpretation and description in the qualitative analysis of applied health research data: A documentary analysis of peer review reports. SSM-Qualitative Research in Health, 2, 100166.</w:t>
      </w:r>
    </w:p>
    <w:p w:rsidR="004B237C" w:rsidRDefault="0049228C">
      <w:pPr>
        <w:spacing w:before="240" w:after="240" w:line="240" w:lineRule="auto"/>
        <w:rPr>
          <w:sz w:val="22"/>
          <w:szCs w:val="22"/>
        </w:rPr>
      </w:pPr>
      <w:r>
        <w:rPr>
          <w:sz w:val="22"/>
          <w:szCs w:val="22"/>
        </w:rPr>
        <w:t>Sherraden, M., Birkenmaier, J., &amp; Collins, J. M. (2018). Financial capability and asset building in vulnerable households: Theory and practice. Oxford University Press.</w:t>
      </w:r>
    </w:p>
    <w:p w:rsidR="004B237C" w:rsidRDefault="0049228C">
      <w:pPr>
        <w:spacing w:before="240" w:after="240" w:line="240" w:lineRule="auto"/>
        <w:rPr>
          <w:sz w:val="22"/>
          <w:szCs w:val="22"/>
        </w:rPr>
      </w:pPr>
      <w:r>
        <w:rPr>
          <w:sz w:val="22"/>
          <w:szCs w:val="22"/>
        </w:rPr>
        <w:t>Sibani, A., &amp; Salim, W. Z. (2021). The Importance Of Islamic Finance Principles In Modulating SME Growth Factors: A Case Study Of The Sultanate Of Oman (Doctoral dissertation, Staffordshire University).</w:t>
      </w:r>
    </w:p>
    <w:p w:rsidR="004B237C" w:rsidRDefault="0049228C">
      <w:pPr>
        <w:spacing w:before="240" w:after="240" w:line="240" w:lineRule="auto"/>
        <w:rPr>
          <w:sz w:val="22"/>
          <w:szCs w:val="22"/>
        </w:rPr>
      </w:pPr>
      <w:r>
        <w:rPr>
          <w:sz w:val="22"/>
          <w:szCs w:val="22"/>
        </w:rPr>
        <w:t>Sikka, V., &amp; Bhayana, P. (2024). Barriers to Comprehensive Financial Inclusion Across the Globe: From Sociocultural Norms to Systemic Challenges. In E-Financial Strategies for Advancing Sustainable Development: Fostering Financial Inclusion and Alleviating Poverty (pp. 89-126). Cham: Springer Nature Switzerland.</w:t>
      </w:r>
    </w:p>
    <w:p w:rsidR="004B237C" w:rsidRDefault="0049228C">
      <w:pPr>
        <w:spacing w:before="240" w:after="240" w:line="240" w:lineRule="auto"/>
        <w:rPr>
          <w:sz w:val="22"/>
          <w:szCs w:val="22"/>
        </w:rPr>
      </w:pPr>
      <w:r>
        <w:rPr>
          <w:sz w:val="22"/>
          <w:szCs w:val="22"/>
        </w:rPr>
        <w:t>Sikka, V., &amp; Bhayana, P. (2024). Barriers to Comprehensive Financial Inclusion Across the Globe: From Sociocultural Norms to Systemic Challenges. In E-Financial Strategies for Advancing Sustainable Development: Fostering Financial Inclusion and Alleviating Poverty (pp. 89-126). Cham: Springer Nature Switzerland.</w:t>
      </w:r>
    </w:p>
    <w:p w:rsidR="004B237C" w:rsidRDefault="0049228C">
      <w:pPr>
        <w:spacing w:before="240" w:after="240" w:line="240" w:lineRule="auto"/>
        <w:rPr>
          <w:sz w:val="22"/>
          <w:szCs w:val="22"/>
        </w:rPr>
      </w:pPr>
      <w:r>
        <w:rPr>
          <w:sz w:val="22"/>
          <w:szCs w:val="22"/>
        </w:rPr>
        <w:t>Sinnewe, E., &amp; Nicholson, G. (2023). Healthy financial habits in young adults: An exploratory study of the relationship between subjective financial literacy, engagement with finances, and financial decision‐making. Journal of Consumer Affairs, 57(1), 564-592.</w:t>
      </w:r>
    </w:p>
    <w:p w:rsidR="004B237C" w:rsidRDefault="0049228C">
      <w:pPr>
        <w:spacing w:before="240" w:after="240" w:line="240" w:lineRule="auto"/>
        <w:rPr>
          <w:sz w:val="22"/>
          <w:szCs w:val="22"/>
        </w:rPr>
      </w:pPr>
      <w:r>
        <w:rPr>
          <w:sz w:val="22"/>
          <w:szCs w:val="22"/>
        </w:rPr>
        <w:t>Siswanti, I., &amp; Halida, A. M. (2020). Financial knowledge, financial attitude, and financial management behavior: Self–control as mediating. The International Journal of Accounting and Business Society, 28(1), 105-132.</w:t>
      </w:r>
    </w:p>
    <w:p w:rsidR="004B237C" w:rsidRDefault="0049228C">
      <w:pPr>
        <w:spacing w:before="240" w:after="240" w:line="240" w:lineRule="auto"/>
        <w:rPr>
          <w:sz w:val="22"/>
          <w:szCs w:val="22"/>
        </w:rPr>
      </w:pPr>
      <w:r>
        <w:rPr>
          <w:sz w:val="22"/>
          <w:szCs w:val="22"/>
        </w:rPr>
        <w:t>Snow, S., Vyas, D., &amp; Brereton, M. (2017). Sharing, saving, and living well on less: supporting social connectedness to mitigate financial hardship. International Journal of Human–Computer Interaction, 33(5), 345-356.</w:t>
      </w:r>
    </w:p>
    <w:p w:rsidR="004B237C" w:rsidRDefault="0049228C">
      <w:pPr>
        <w:spacing w:before="240" w:after="240" w:line="240" w:lineRule="auto"/>
        <w:rPr>
          <w:sz w:val="22"/>
          <w:szCs w:val="22"/>
        </w:rPr>
      </w:pPr>
      <w:r>
        <w:rPr>
          <w:sz w:val="22"/>
          <w:szCs w:val="22"/>
        </w:rPr>
        <w:lastRenderedPageBreak/>
        <w:t>Stolper, O. A., &amp; Walter, A. (2017). Financial literacy, financial advice, and financial behavior. Journal of business economics, 87, 581-643.</w:t>
      </w:r>
    </w:p>
    <w:p w:rsidR="004B237C" w:rsidRDefault="0049228C">
      <w:pPr>
        <w:spacing w:before="240" w:after="240" w:line="240" w:lineRule="auto"/>
        <w:rPr>
          <w:sz w:val="22"/>
          <w:szCs w:val="22"/>
        </w:rPr>
      </w:pPr>
      <w:r>
        <w:rPr>
          <w:sz w:val="22"/>
          <w:szCs w:val="22"/>
        </w:rPr>
        <w:t>Supeno, B., &amp; Jamil, P. C. (2024).FINANCIAL FITNESS: A GUIDE TO BOOSTING YOUR MONEY MANAGEMENT SKILLS. PENANOMICS: International Journal of Economics, 3(1).</w:t>
      </w:r>
    </w:p>
    <w:p w:rsidR="004B237C" w:rsidRDefault="0049228C">
      <w:pPr>
        <w:spacing w:before="240" w:after="240" w:line="240" w:lineRule="auto"/>
        <w:rPr>
          <w:sz w:val="22"/>
          <w:szCs w:val="22"/>
        </w:rPr>
      </w:pPr>
      <w:r>
        <w:rPr>
          <w:sz w:val="22"/>
          <w:szCs w:val="22"/>
        </w:rPr>
        <w:t>Świecka, B., Grzesiuk, A., Korczak, D., &amp; Wyszkowska-Kaniewska, O. (2019). Financial literacy and financial education: Theory and survey. Walter de Gruyter GmbH &amp; Co KG.</w:t>
      </w:r>
    </w:p>
    <w:p w:rsidR="004B237C" w:rsidRDefault="0049228C">
      <w:pPr>
        <w:spacing w:before="240" w:after="240" w:line="240" w:lineRule="auto"/>
        <w:rPr>
          <w:sz w:val="22"/>
          <w:szCs w:val="22"/>
        </w:rPr>
      </w:pPr>
      <w:r>
        <w:rPr>
          <w:sz w:val="22"/>
          <w:szCs w:val="22"/>
        </w:rPr>
        <w:t>Tabuga, A. D., Arboneda, A. A., &amp; Vargas, A. R. P. (2021). A descriptive analysis of the dynamics of labor market outcomes of 4Ps beneficiaries (No. 2021-34). PIDS Discussion Paper Series.</w:t>
      </w:r>
    </w:p>
    <w:p w:rsidR="004B237C" w:rsidRDefault="0049228C">
      <w:pPr>
        <w:spacing w:before="240" w:after="240" w:line="240" w:lineRule="auto"/>
        <w:rPr>
          <w:sz w:val="22"/>
          <w:szCs w:val="22"/>
        </w:rPr>
      </w:pPr>
      <w:r>
        <w:rPr>
          <w:sz w:val="22"/>
          <w:szCs w:val="22"/>
        </w:rPr>
        <w:t>Tang, T. L. P. (2016). Theory of monetary intelligence: Money attitudes—religious values, making money, making ethical decisions, and making the grade. Journal of business Ethics, 133, 583-603.</w:t>
      </w:r>
    </w:p>
    <w:p w:rsidR="004B237C" w:rsidRDefault="0049228C">
      <w:pPr>
        <w:spacing w:before="240" w:after="240" w:line="240" w:lineRule="auto"/>
        <w:rPr>
          <w:sz w:val="22"/>
          <w:szCs w:val="22"/>
        </w:rPr>
      </w:pPr>
      <w:r>
        <w:rPr>
          <w:sz w:val="22"/>
          <w:szCs w:val="22"/>
        </w:rPr>
        <w:t>Tanggamani, V., Bani, H., Rahim, A., &amp; Alias, N. (2021). Elevating financial literacy among non-governmental organizations (ngos) rulers: cognitive understanding of financial knowledge, skills and responsibility. International Journal of Academic Research in Business and Social Sciences, 11, 12.</w:t>
      </w:r>
    </w:p>
    <w:p w:rsidR="004B237C" w:rsidRDefault="0049228C">
      <w:pPr>
        <w:spacing w:before="240" w:after="240" w:line="240" w:lineRule="auto"/>
        <w:rPr>
          <w:sz w:val="22"/>
          <w:szCs w:val="22"/>
        </w:rPr>
      </w:pPr>
      <w:r>
        <w:rPr>
          <w:sz w:val="22"/>
          <w:szCs w:val="22"/>
        </w:rPr>
        <w:t>Tuominen, J., Nyrhinen, J., Rantala, E., &amp; Wilska, T. A. (2025). Stimulation values and life satisfaction among young people: the role of impulsive buying and financial problems. Young Consumers, 26(7), 92-110.</w:t>
      </w:r>
    </w:p>
    <w:p w:rsidR="004B237C" w:rsidRDefault="0049228C">
      <w:pPr>
        <w:spacing w:before="240" w:after="240" w:line="240" w:lineRule="auto"/>
        <w:rPr>
          <w:sz w:val="22"/>
          <w:szCs w:val="22"/>
        </w:rPr>
      </w:pPr>
      <w:r>
        <w:rPr>
          <w:sz w:val="22"/>
          <w:szCs w:val="22"/>
        </w:rPr>
        <w:t>Tyson, E. (2023). Personal finance for dummies. John Wiley &amp; Sons.Personal finance for dummies. John Wiley &amp; Sons.</w:t>
      </w:r>
    </w:p>
    <w:p w:rsidR="004B237C" w:rsidRDefault="0049228C">
      <w:pPr>
        <w:spacing w:before="240" w:after="240" w:line="240" w:lineRule="auto"/>
        <w:rPr>
          <w:sz w:val="22"/>
          <w:szCs w:val="22"/>
        </w:rPr>
      </w:pPr>
      <w:r>
        <w:rPr>
          <w:sz w:val="22"/>
          <w:szCs w:val="22"/>
        </w:rPr>
        <w:t>Vayadande, K., Sarade, T., Pimple, T., Tejwani, D., Sahu, V., &amp; Vartak, K. (2023, November). Enhancing Financial Literacy and Goal Achievement with WebFin. In International Conference on Machine Vision and Augmented Intelligence (pp. 767-790). Singapore: Springer Nature Singapore.</w:t>
      </w:r>
    </w:p>
    <w:p w:rsidR="004B237C" w:rsidRDefault="0049228C">
      <w:pPr>
        <w:spacing w:before="240" w:after="240" w:line="240" w:lineRule="auto"/>
        <w:rPr>
          <w:sz w:val="22"/>
          <w:szCs w:val="22"/>
        </w:rPr>
      </w:pPr>
      <w:r>
        <w:rPr>
          <w:sz w:val="22"/>
          <w:szCs w:val="22"/>
        </w:rPr>
        <w:t>Villareal, M. (2023). Financial Literacy of Income-Generating Project Coordinators and Implementation of Income-Generating Programs in the Department of Education–Division of Quezon Province. Psychology and Education: A Multidisciplinary Journal, 14(3), 269-288.</w:t>
      </w:r>
    </w:p>
    <w:p w:rsidR="004B237C" w:rsidRDefault="0049228C">
      <w:pPr>
        <w:spacing w:before="240" w:after="240" w:line="240" w:lineRule="auto"/>
        <w:rPr>
          <w:sz w:val="22"/>
          <w:szCs w:val="22"/>
        </w:rPr>
      </w:pPr>
      <w:r>
        <w:rPr>
          <w:sz w:val="22"/>
          <w:szCs w:val="22"/>
        </w:rPr>
        <w:t>Vivel-Búa, M., Rey-Ares, L., Lado-Sestayo, R., &amp; Fernández-López, S. (2019). Financial planning for retirement: the role of income. International Journal of Bank Marketing, 37(6), 1419-1440.</w:t>
      </w:r>
    </w:p>
    <w:p w:rsidR="004B237C" w:rsidRDefault="0049228C">
      <w:pPr>
        <w:spacing w:before="240" w:after="240" w:line="240" w:lineRule="auto"/>
        <w:rPr>
          <w:sz w:val="22"/>
          <w:szCs w:val="22"/>
        </w:rPr>
      </w:pPr>
      <w:r>
        <w:rPr>
          <w:sz w:val="22"/>
          <w:szCs w:val="22"/>
        </w:rPr>
        <w:t>Vosylis, R., &amp; Klimstra, T. (2022). How does financial life shape emerging adulthood? Short-term longitudinal associations between perceived features of emerging adulthood, financial behaviors, and financial well-being. Emerging Adulthood, 10(1), 90-108.</w:t>
      </w:r>
    </w:p>
    <w:p w:rsidR="004B237C" w:rsidRDefault="0049228C">
      <w:pPr>
        <w:spacing w:before="240" w:after="240" w:line="240" w:lineRule="auto"/>
        <w:rPr>
          <w:sz w:val="22"/>
          <w:szCs w:val="22"/>
        </w:rPr>
      </w:pPr>
      <w:r>
        <w:rPr>
          <w:sz w:val="22"/>
          <w:szCs w:val="22"/>
        </w:rPr>
        <w:t>Vovchenko, N. G., Galazova, S. S., Danchenko, E. A., Ivanova, O. B., &amp; Kostoglodova, E. D. (2018). Improvement of financial literacy as a crucial factor of economic development.</w:t>
      </w:r>
    </w:p>
    <w:p w:rsidR="004B237C" w:rsidRDefault="0049228C">
      <w:pPr>
        <w:spacing w:before="240" w:after="240" w:line="240" w:lineRule="auto"/>
        <w:rPr>
          <w:sz w:val="22"/>
          <w:szCs w:val="22"/>
        </w:rPr>
      </w:pPr>
      <w:r>
        <w:rPr>
          <w:sz w:val="22"/>
          <w:szCs w:val="22"/>
        </w:rPr>
        <w:t>Wijaya, J. H., Dwiputeri, F. R., Avliliani, D., &amp; Putra, I. G. S. (2024). Cointegration of Financial Literacy and Financial Behavior of Student Investment Decision Making. Innovation Business Management and Accounting Journal, 3(3), 302-310.</w:t>
      </w:r>
    </w:p>
    <w:p w:rsidR="004B237C" w:rsidRDefault="0049228C">
      <w:pPr>
        <w:spacing w:before="240" w:after="240" w:line="240" w:lineRule="auto"/>
        <w:rPr>
          <w:sz w:val="22"/>
          <w:szCs w:val="22"/>
        </w:rPr>
      </w:pPr>
      <w:r>
        <w:rPr>
          <w:sz w:val="22"/>
          <w:szCs w:val="22"/>
        </w:rPr>
        <w:lastRenderedPageBreak/>
        <w:t>Wijayanti, T. C., Naim, S., Hendayani, N., Alfiana, A., &amp; Hanum, F. (2024). Identify the use of economics for family financial management in digital days. Indonesian Interdisciplinary Journal of Sharia Economics (IIJSE), 7(1), 325-345.</w:t>
      </w:r>
    </w:p>
    <w:p w:rsidR="004B237C" w:rsidRDefault="0049228C">
      <w:pPr>
        <w:spacing w:before="240" w:after="240" w:line="240" w:lineRule="auto"/>
        <w:rPr>
          <w:sz w:val="22"/>
          <w:szCs w:val="22"/>
        </w:rPr>
      </w:pPr>
      <w:r>
        <w:rPr>
          <w:sz w:val="22"/>
          <w:szCs w:val="22"/>
        </w:rPr>
        <w:t>Yeo, K. H. K., Lim, W. M., &amp; Yii, K. J. (2024). Financial planning behaviour: a systematic literature review and new theory development. Journal of Financial Services Marketing, 29(3), 979-1001.</w:t>
      </w:r>
    </w:p>
    <w:p w:rsidR="004B237C" w:rsidRDefault="0049228C">
      <w:pPr>
        <w:spacing w:before="240" w:after="240" w:line="240" w:lineRule="auto"/>
        <w:rPr>
          <w:sz w:val="22"/>
          <w:szCs w:val="22"/>
        </w:rPr>
      </w:pPr>
      <w:r>
        <w:rPr>
          <w:sz w:val="22"/>
          <w:szCs w:val="22"/>
        </w:rPr>
        <w:t>Yoganandham, G. (2025). Mastering Economic and Financial Sources with Reference to Budgeting, Savings, Early Investing, Debt Management and the Power of Financial Planning-A Comprehensive Analysis. Degrees Journal, 10(1), 19-33.</w:t>
      </w:r>
    </w:p>
    <w:p w:rsidR="004B237C" w:rsidRDefault="0049228C">
      <w:pPr>
        <w:spacing w:before="240" w:after="240" w:line="240" w:lineRule="auto"/>
        <w:rPr>
          <w:sz w:val="22"/>
          <w:szCs w:val="22"/>
        </w:rPr>
      </w:pPr>
      <w:r>
        <w:rPr>
          <w:sz w:val="22"/>
          <w:szCs w:val="22"/>
        </w:rPr>
        <w:t>Yuesti, A., Rustiarini, N.W., &amp; Suryandari, N.A. (2020). Financial literacy in the COVID-pandemic: Pressure conditions in Indonesia. Entrepreneurship and Sustainability Issues, 8(1), pp. 884-898. http://doi.org/10.9770/jesi.2020.8.1(59).</w:t>
      </w:r>
    </w:p>
    <w:p w:rsidR="004B237C" w:rsidRDefault="0049228C">
      <w:pPr>
        <w:spacing w:before="240" w:after="240" w:line="240" w:lineRule="auto"/>
        <w:rPr>
          <w:sz w:val="22"/>
          <w:szCs w:val="22"/>
        </w:rPr>
      </w:pPr>
      <w:r>
        <w:rPr>
          <w:sz w:val="22"/>
          <w:szCs w:val="22"/>
        </w:rPr>
        <w:t>Zait, A., &amp; Bertea, P. E. (2015). Financial literacy–Conceptual definition and proposed approach for a measurement instrument. the Journal Of accounting and management, 4(3).</w:t>
      </w:r>
    </w:p>
    <w:p w:rsidR="004B237C" w:rsidRDefault="0049228C">
      <w:pPr>
        <w:spacing w:before="240" w:after="240" w:line="240" w:lineRule="auto"/>
        <w:rPr>
          <w:sz w:val="22"/>
          <w:szCs w:val="22"/>
        </w:rPr>
      </w:pPr>
      <w:r>
        <w:rPr>
          <w:sz w:val="22"/>
          <w:szCs w:val="22"/>
        </w:rPr>
        <w:t>Zaleskiewicz, T., &amp; Traczyk, J. (2020). Emotions and financial decision making. In Psychological perspectives on financial decision making (pp. 107-133). Springer, Cham.</w:t>
      </w:r>
    </w:p>
    <w:sectPr w:rsidR="004B237C">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FB1" w:rsidRDefault="007A5FB1">
      <w:pPr>
        <w:spacing w:line="240" w:lineRule="auto"/>
      </w:pPr>
      <w:r>
        <w:separator/>
      </w:r>
    </w:p>
  </w:endnote>
  <w:endnote w:type="continuationSeparator" w:id="0">
    <w:p w:rsidR="007A5FB1" w:rsidRDefault="007A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2" w:rsidRDefault="0096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2" w:rsidRDefault="009652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FB1" w:rsidRDefault="007A5FB1">
      <w:pPr>
        <w:spacing w:line="240" w:lineRule="auto"/>
      </w:pPr>
      <w:r>
        <w:separator/>
      </w:r>
    </w:p>
  </w:footnote>
  <w:footnote w:type="continuationSeparator" w:id="0">
    <w:p w:rsidR="007A5FB1" w:rsidRDefault="007A5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2" w:rsidRDefault="009652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72.65pt;height:63.6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2" w:rsidRDefault="009652E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72.65pt;height:63.6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2" w:rsidRDefault="009652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72.65pt;height:63.6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000000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0000003"/>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00000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2FF224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7C"/>
    <w:rsid w:val="001431FA"/>
    <w:rsid w:val="001C760D"/>
    <w:rsid w:val="0049228C"/>
    <w:rsid w:val="004B237C"/>
    <w:rsid w:val="007A5FB1"/>
    <w:rsid w:val="009652E2"/>
    <w:rsid w:val="00EC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FBAD0D"/>
  <w15:docId w15:val="{F00ED3CA-9D5C-4B32-BD26-ACF5E2A3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400" w:after="120"/>
      <w:jc w:val="left"/>
      <w:outlineLvl w:val="0"/>
    </w:pPr>
    <w:rPr>
      <w:color w:val="000000"/>
      <w:sz w:val="40"/>
      <w:szCs w:val="40"/>
    </w:rPr>
  </w:style>
  <w:style w:type="paragraph" w:styleId="Heading2">
    <w:name w:val="heading 2"/>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120"/>
      <w:jc w:val="left"/>
      <w:outlineLvl w:val="1"/>
    </w:pPr>
    <w:rPr>
      <w:color w:val="000000"/>
      <w:sz w:val="32"/>
      <w:szCs w:val="32"/>
    </w:rPr>
  </w:style>
  <w:style w:type="paragraph" w:styleId="Heading3">
    <w:name w:val="heading 3"/>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80"/>
      <w:jc w:val="left"/>
      <w:outlineLvl w:val="2"/>
    </w:pPr>
    <w:rPr>
      <w:color w:val="434343"/>
      <w:sz w:val="28"/>
      <w:szCs w:val="28"/>
    </w:rPr>
  </w:style>
  <w:style w:type="paragraph" w:styleId="Heading4">
    <w:name w:val="heading 4"/>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80" w:after="80"/>
      <w:jc w:val="left"/>
      <w:outlineLvl w:val="3"/>
    </w:pPr>
    <w:rPr>
      <w:color w:val="666666"/>
      <w:sz w:val="24"/>
      <w:szCs w:val="24"/>
    </w:rPr>
  </w:style>
  <w:style w:type="paragraph" w:styleId="Heading5">
    <w:name w:val="heading 5"/>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4"/>
    </w:pPr>
    <w:rPr>
      <w:color w:val="666666"/>
      <w:sz w:val="22"/>
      <w:szCs w:val="22"/>
    </w:rPr>
  </w:style>
  <w:style w:type="paragraph" w:styleId="Heading6">
    <w:name w:val="heading 6"/>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customStyle="1" w:styleId="Normal1">
    <w:name w:val="Normal1"/>
  </w:style>
  <w:style w:type="paragraph" w:styleId="Title">
    <w:name w:val="Title"/>
    <w:basedOn w:val="Normal1"/>
    <w:next w:val="Normal1"/>
    <w:uiPriority w:val="10"/>
    <w:qFormat/>
    <w:pPr>
      <w:keepNext/>
      <w:keepLines/>
      <w:pBdr>
        <w:top w:val="none" w:sz="0" w:space="0" w:color="000000"/>
        <w:left w:val="none" w:sz="0" w:space="0" w:color="000000"/>
        <w:bottom w:val="none" w:sz="0" w:space="0" w:color="000000"/>
        <w:right w:val="none" w:sz="0" w:space="0" w:color="000000"/>
        <w:between w:val="none" w:sz="0" w:space="0" w:color="000000"/>
      </w:pBdr>
      <w:spacing w:after="60"/>
      <w:jc w:val="left"/>
    </w:pPr>
    <w:rPr>
      <w:color w:val="000000"/>
      <w:sz w:val="52"/>
      <w:szCs w:val="52"/>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ubtitle">
    <w:name w:val="Subtitle"/>
    <w:basedOn w:val="Normal1"/>
    <w:next w:val="Normal1"/>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after="320"/>
      <w:jc w:val="left"/>
    </w:pPr>
    <w:rPr>
      <w:color w:val="666666"/>
      <w:sz w:val="30"/>
      <w:szCs w:val="30"/>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1183</cp:lastModifiedBy>
  <cp:revision>20</cp:revision>
  <dcterms:created xsi:type="dcterms:W3CDTF">2025-09-03T06:30:00Z</dcterms:created>
  <dcterms:modified xsi:type="dcterms:W3CDTF">2025-09-08T09:07:00Z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838308ee2c9e4d8ca4e599edbe5f0d9f</vt:lpwstr>
  </property>
  <property fmtid="{D5CDD505-2E9C-101B-9397-08002B2CF9AE}" pid="3" name="GrammarlyDocumentId">
    <vt:lpwstr>e3028984-7433-4afd-bc06-4c82277f1d5f</vt:lpwstr>
  </property>
</Properties>
</file>