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3DFDC" w14:textId="77777777" w:rsidR="008E45DA" w:rsidRDefault="008E45DA" w:rsidP="00D311B2">
      <w:pPr>
        <w:jc w:val="center"/>
        <w:rPr>
          <w:rFonts w:ascii="Arial" w:hAnsi="Arial" w:cs="Arial"/>
          <w:b/>
          <w:bCs/>
          <w:sz w:val="24"/>
          <w:szCs w:val="24"/>
        </w:rPr>
      </w:pPr>
    </w:p>
    <w:p w14:paraId="2713ACC5" w14:textId="77777777" w:rsidR="008E45DA" w:rsidRDefault="008E45DA" w:rsidP="00D311B2">
      <w:pPr>
        <w:jc w:val="center"/>
        <w:rPr>
          <w:rFonts w:ascii="Arial" w:hAnsi="Arial" w:cs="Arial"/>
          <w:b/>
          <w:bCs/>
          <w:sz w:val="24"/>
          <w:szCs w:val="24"/>
        </w:rPr>
      </w:pPr>
    </w:p>
    <w:p w14:paraId="75EA1038" w14:textId="7CA1EAAA" w:rsidR="008E45DA" w:rsidRPr="00562995" w:rsidRDefault="008E45DA" w:rsidP="00D311B2">
      <w:pPr>
        <w:jc w:val="center"/>
        <w:rPr>
          <w:rFonts w:ascii="Arial" w:hAnsi="Arial" w:cs="Arial"/>
          <w:b/>
          <w:bCs/>
          <w:sz w:val="28"/>
          <w:szCs w:val="28"/>
        </w:rPr>
      </w:pPr>
      <w:r w:rsidRPr="00562995">
        <w:rPr>
          <w:rFonts w:ascii="Arial" w:hAnsi="Arial" w:cs="Arial"/>
          <w:b/>
          <w:bCs/>
          <w:sz w:val="28"/>
          <w:szCs w:val="28"/>
          <w:highlight w:val="yellow"/>
        </w:rPr>
        <w:t>Educational Leadership in Practice: Insights from a Principal’s Work Immersion</w:t>
      </w:r>
    </w:p>
    <w:p w14:paraId="0ECD8E57" w14:textId="77777777" w:rsidR="0090549A" w:rsidRDefault="0090549A" w:rsidP="00D311B2">
      <w:pPr>
        <w:jc w:val="center"/>
        <w:rPr>
          <w:rFonts w:ascii="Arial" w:hAnsi="Arial" w:cs="Arial"/>
          <w:sz w:val="24"/>
          <w:szCs w:val="24"/>
        </w:rPr>
      </w:pPr>
    </w:p>
    <w:p w14:paraId="271D3927" w14:textId="71403CC8" w:rsidR="0090549A" w:rsidRDefault="0090549A" w:rsidP="00D311B2">
      <w:pPr>
        <w:jc w:val="center"/>
        <w:rPr>
          <w:rFonts w:ascii="Arial" w:hAnsi="Arial" w:cs="Arial"/>
          <w:sz w:val="24"/>
          <w:szCs w:val="24"/>
        </w:rPr>
      </w:pPr>
    </w:p>
    <w:p w14:paraId="058F7EE2"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Abstract</w:t>
      </w:r>
    </w:p>
    <w:p w14:paraId="6D036729" w14:textId="774A94B5" w:rsidR="00A82744" w:rsidRDefault="00A82744" w:rsidP="00D728D2">
      <w:pPr>
        <w:jc w:val="both"/>
        <w:rPr>
          <w:rFonts w:ascii="Arial" w:hAnsi="Arial" w:cs="Arial"/>
          <w:sz w:val="24"/>
          <w:szCs w:val="24"/>
        </w:rPr>
      </w:pPr>
      <w:r w:rsidRPr="00A11428">
        <w:rPr>
          <w:rFonts w:ascii="Arial" w:hAnsi="Arial" w:cs="Arial"/>
          <w:sz w:val="24"/>
          <w:szCs w:val="24"/>
        </w:rPr>
        <w:t>The transition from classroom teacher to school principal presents unique challenges that test leadership, management, and interpersonal skills. This short communication demonstrates proof of principle through a work immersion experience of a school principal at Holy Child Central Colleges-Basic Education</w:t>
      </w:r>
      <w:r w:rsidR="000D0DEC">
        <w:rPr>
          <w:rFonts w:ascii="Arial" w:hAnsi="Arial" w:cs="Arial"/>
          <w:sz w:val="24"/>
          <w:szCs w:val="24"/>
        </w:rPr>
        <w:t xml:space="preserve">, </w:t>
      </w:r>
      <w:r w:rsidR="000D0DEC" w:rsidRPr="000D0DEC">
        <w:rPr>
          <w:rFonts w:ascii="Arial" w:hAnsi="Arial" w:cs="Arial"/>
          <w:sz w:val="24"/>
          <w:szCs w:val="24"/>
          <w:highlight w:val="yellow"/>
        </w:rPr>
        <w:t>Philippines</w:t>
      </w:r>
      <w:r w:rsidRPr="000D0DEC">
        <w:rPr>
          <w:rFonts w:ascii="Arial" w:hAnsi="Arial" w:cs="Arial"/>
          <w:sz w:val="24"/>
          <w:szCs w:val="24"/>
          <w:highlight w:val="yellow"/>
        </w:rPr>
        <w:t xml:space="preserve">. </w:t>
      </w:r>
      <w:r w:rsidR="008E45DA" w:rsidRPr="000D0DEC">
        <w:rPr>
          <w:rFonts w:ascii="Arial" w:hAnsi="Arial" w:cs="Arial"/>
          <w:sz w:val="24"/>
          <w:szCs w:val="24"/>
          <w:highlight w:val="yellow"/>
        </w:rPr>
        <w:t xml:space="preserve">This study employed </w:t>
      </w:r>
      <w:r w:rsidR="008E45DA" w:rsidRPr="00562995">
        <w:rPr>
          <w:rFonts w:ascii="Arial" w:hAnsi="Arial" w:cs="Arial"/>
          <w:sz w:val="24"/>
          <w:szCs w:val="24"/>
          <w:highlight w:val="yellow"/>
        </w:rPr>
        <w:t>a multi-method approach. The first component of data collection was a systematic review of accreditation instruments and standards. The second component involved direct observation of administrative processes, faculty management, and student services. The third data collection method was the use of interviews and informal discussions with stakeholders</w:t>
      </w:r>
      <w:r w:rsidR="008E45DA" w:rsidRPr="00562995">
        <w:rPr>
          <w:highlight w:val="yellow"/>
        </w:rPr>
        <w:t xml:space="preserve">. </w:t>
      </w:r>
      <w:r w:rsidR="008E45DA" w:rsidRPr="00562995">
        <w:rPr>
          <w:rFonts w:ascii="Arial" w:hAnsi="Arial" w:cs="Arial"/>
          <w:sz w:val="24"/>
          <w:szCs w:val="24"/>
          <w:highlight w:val="yellow"/>
        </w:rPr>
        <w:t>The fourth method was reflective journaling. The analysis integrated both quantitative and qualitative perspectives.</w:t>
      </w:r>
      <w:r w:rsidR="008E45DA">
        <w:rPr>
          <w:rFonts w:ascii="Arial" w:hAnsi="Arial" w:cs="Arial"/>
          <w:sz w:val="24"/>
          <w:szCs w:val="24"/>
        </w:rPr>
        <w:t xml:space="preserve"> </w:t>
      </w:r>
      <w:r w:rsidRPr="00A11428">
        <w:rPr>
          <w:rFonts w:ascii="Arial" w:hAnsi="Arial" w:cs="Arial"/>
          <w:sz w:val="24"/>
          <w:szCs w:val="24"/>
        </w:rPr>
        <w:t>Key findings highlight the principal’s crucial role in fostering instructional quality, managing school operations, developing partnerships with stakeholders, and mitigating stress and burnout. Evidence suggests that effective leadership directly influences teacher retention, school compliance, and student outcomes. Additionally, the study emphasizes the value of reflective practice and strategic communication as essential tools for sustaining leadership effectiveness. These findings provide preliminary insights into the transformative impact of school leadership on educational quality and operational excellence.</w:t>
      </w:r>
    </w:p>
    <w:p w14:paraId="438A839B" w14:textId="784DF2B6" w:rsidR="00D728D2" w:rsidRPr="00562995" w:rsidRDefault="00D728D2" w:rsidP="00D728D2">
      <w:pPr>
        <w:jc w:val="both"/>
        <w:rPr>
          <w:i/>
          <w:iCs/>
        </w:rPr>
      </w:pPr>
      <w:r w:rsidRPr="00562995">
        <w:rPr>
          <w:rFonts w:ascii="Arial" w:hAnsi="Arial" w:cs="Arial"/>
          <w:b/>
          <w:bCs/>
          <w:sz w:val="24"/>
          <w:szCs w:val="24"/>
          <w:highlight w:val="yellow"/>
        </w:rPr>
        <w:t>Keywords</w:t>
      </w:r>
      <w:r w:rsidRPr="00562995">
        <w:rPr>
          <w:rFonts w:ascii="Arial" w:hAnsi="Arial" w:cs="Arial"/>
          <w:sz w:val="24"/>
          <w:szCs w:val="24"/>
          <w:highlight w:val="yellow"/>
        </w:rPr>
        <w:t xml:space="preserve">: </w:t>
      </w:r>
      <w:r w:rsidR="002F475F" w:rsidRPr="002F475F">
        <w:rPr>
          <w:rFonts w:ascii="Arial" w:hAnsi="Arial" w:cs="Arial"/>
          <w:i/>
          <w:iCs/>
          <w:sz w:val="24"/>
          <w:szCs w:val="24"/>
          <w:highlight w:val="yellow"/>
        </w:rPr>
        <w:t>work immersion, educational leadership, school principal, reflective practice, educational quality</w:t>
      </w:r>
      <w:r w:rsidR="002F475F" w:rsidRPr="00AB0587">
        <w:rPr>
          <w:rFonts w:ascii="Arial" w:hAnsi="Arial" w:cs="Arial"/>
          <w:i/>
          <w:iCs/>
          <w:sz w:val="24"/>
          <w:szCs w:val="24"/>
        </w:rPr>
        <w:t xml:space="preserve">   </w:t>
      </w:r>
      <w:r w:rsidR="002F475F" w:rsidRPr="002F475F">
        <w:rPr>
          <w:rFonts w:ascii="Arial" w:hAnsi="Arial" w:cs="Arial"/>
          <w:i/>
          <w:iCs/>
          <w:sz w:val="24"/>
          <w:szCs w:val="24"/>
        </w:rPr>
        <w:t xml:space="preserve"> </w:t>
      </w:r>
    </w:p>
    <w:p w14:paraId="36997F8A" w14:textId="4FCDA74D" w:rsidR="00A82744" w:rsidRPr="00A11428" w:rsidRDefault="00A82744" w:rsidP="00A11428">
      <w:pPr>
        <w:jc w:val="both"/>
        <w:rPr>
          <w:rFonts w:ascii="Arial" w:hAnsi="Arial" w:cs="Arial"/>
          <w:sz w:val="24"/>
          <w:szCs w:val="24"/>
        </w:rPr>
      </w:pPr>
    </w:p>
    <w:p w14:paraId="39BE9D7C"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Introduction</w:t>
      </w:r>
    </w:p>
    <w:p w14:paraId="60AC7B68" w14:textId="67FC6C02" w:rsidR="00A82744" w:rsidRPr="00A11428" w:rsidRDefault="00A82744" w:rsidP="00A11428">
      <w:pPr>
        <w:jc w:val="both"/>
        <w:rPr>
          <w:rFonts w:ascii="Arial" w:hAnsi="Arial" w:cs="Arial"/>
          <w:sz w:val="24"/>
          <w:szCs w:val="24"/>
        </w:rPr>
      </w:pPr>
      <w:r w:rsidRPr="00A11428">
        <w:rPr>
          <w:rFonts w:ascii="Arial" w:hAnsi="Arial" w:cs="Arial"/>
          <w:sz w:val="24"/>
          <w:szCs w:val="24"/>
        </w:rPr>
        <w:t xml:space="preserve">Effective leadership in schools is widely recognized as a cornerstone of educational quality and student achievement. </w:t>
      </w:r>
      <w:r w:rsidR="00552A80" w:rsidRPr="00562995">
        <w:rPr>
          <w:rFonts w:ascii="Arial" w:hAnsi="Arial" w:cs="Arial"/>
          <w:sz w:val="24"/>
          <w:szCs w:val="24"/>
          <w:highlight w:val="yellow"/>
          <w:lang w:val="en-US"/>
        </w:rPr>
        <w:t xml:space="preserve">Effective school leadership is closely linked to improved student outcomes, particularly in schools serving diverse populations. This is especially important in the context of </w:t>
      </w:r>
      <w:proofErr w:type="spellStart"/>
      <w:r w:rsidR="00393CE7">
        <w:rPr>
          <w:rFonts w:ascii="Arial" w:hAnsi="Arial" w:cs="Arial"/>
          <w:sz w:val="24"/>
          <w:szCs w:val="24"/>
          <w:highlight w:val="yellow"/>
          <w:lang w:val="en-US"/>
        </w:rPr>
        <w:t>globalisation</w:t>
      </w:r>
      <w:proofErr w:type="spellEnd"/>
      <w:r w:rsidR="00552A80" w:rsidRPr="00562995">
        <w:rPr>
          <w:rFonts w:ascii="Arial" w:hAnsi="Arial" w:cs="Arial"/>
          <w:sz w:val="24"/>
          <w:szCs w:val="24"/>
          <w:highlight w:val="yellow"/>
          <w:lang w:val="en-US"/>
        </w:rPr>
        <w:t>, where educational leaders must navigate complex cultural and socio-economic landscapes to create inclusive learning environments</w:t>
      </w:r>
      <w:r w:rsidR="00552A80">
        <w:rPr>
          <w:rFonts w:ascii="Arial" w:hAnsi="Arial" w:cs="Arial"/>
          <w:sz w:val="24"/>
          <w:szCs w:val="24"/>
          <w:highlight w:val="yellow"/>
          <w:lang w:val="en-US"/>
        </w:rPr>
        <w:t xml:space="preserve"> (</w:t>
      </w:r>
      <w:proofErr w:type="spellStart"/>
      <w:r w:rsidR="00393CE7" w:rsidRPr="00CB14CC">
        <w:rPr>
          <w:rFonts w:ascii="Arial" w:hAnsi="Arial" w:cs="Arial"/>
          <w:sz w:val="24"/>
          <w:szCs w:val="24"/>
          <w:highlight w:val="yellow"/>
        </w:rPr>
        <w:t>Mustoip</w:t>
      </w:r>
      <w:proofErr w:type="spellEnd"/>
      <w:r w:rsidR="00393CE7">
        <w:rPr>
          <w:rFonts w:ascii="Arial" w:hAnsi="Arial" w:cs="Arial"/>
          <w:sz w:val="24"/>
          <w:szCs w:val="24"/>
          <w:highlight w:val="yellow"/>
        </w:rPr>
        <w:t xml:space="preserve"> et al., 2023</w:t>
      </w:r>
      <w:r w:rsidR="00552A80">
        <w:rPr>
          <w:rFonts w:ascii="Arial" w:hAnsi="Arial" w:cs="Arial"/>
          <w:sz w:val="24"/>
          <w:szCs w:val="24"/>
          <w:highlight w:val="yellow"/>
          <w:lang w:val="en-US"/>
        </w:rPr>
        <w:t>).</w:t>
      </w:r>
      <w:r w:rsidR="00552A80" w:rsidRPr="00552A80">
        <w:rPr>
          <w:rFonts w:ascii="Arial" w:hAnsi="Arial" w:cs="Arial"/>
          <w:sz w:val="24"/>
          <w:szCs w:val="24"/>
          <w:lang w:val="en-US"/>
        </w:rPr>
        <w:t xml:space="preserve"> </w:t>
      </w:r>
      <w:r w:rsidRPr="00A11428">
        <w:rPr>
          <w:rFonts w:ascii="Arial" w:hAnsi="Arial" w:cs="Arial"/>
          <w:sz w:val="24"/>
          <w:szCs w:val="24"/>
        </w:rPr>
        <w:t xml:space="preserve">Teachers who transition to principalship encounter expanded responsibilities, including curriculum oversight, staff management, and stakeholder engagement. This role shift introduces emotional and interpersonal pressures, potentially leading to burnout if not adequately managed (Maslach, 2003). </w:t>
      </w:r>
      <w:r w:rsidRPr="00A11428">
        <w:rPr>
          <w:rFonts w:ascii="Arial" w:hAnsi="Arial" w:cs="Arial"/>
          <w:sz w:val="24"/>
          <w:szCs w:val="24"/>
        </w:rPr>
        <w:lastRenderedPageBreak/>
        <w:t>Conversely, competent leadership is associated with improved teacher retention, enhanced student performance, and overall school success (</w:t>
      </w:r>
      <w:proofErr w:type="spellStart"/>
      <w:r w:rsidRPr="00A11428">
        <w:rPr>
          <w:rFonts w:ascii="Arial" w:hAnsi="Arial" w:cs="Arial"/>
          <w:sz w:val="24"/>
          <w:szCs w:val="24"/>
        </w:rPr>
        <w:t>DeVita</w:t>
      </w:r>
      <w:proofErr w:type="spellEnd"/>
      <w:r w:rsidRPr="00A11428">
        <w:rPr>
          <w:rFonts w:ascii="Arial" w:hAnsi="Arial" w:cs="Arial"/>
          <w:sz w:val="24"/>
          <w:szCs w:val="24"/>
        </w:rPr>
        <w:t>, Davis, Darling-Hammond, LaPointe, &amp; Meyerson, 2005).</w:t>
      </w:r>
      <w:r w:rsidR="0098197D">
        <w:rPr>
          <w:rFonts w:ascii="Arial" w:hAnsi="Arial" w:cs="Arial"/>
          <w:sz w:val="24"/>
          <w:szCs w:val="24"/>
        </w:rPr>
        <w:t xml:space="preserve"> </w:t>
      </w:r>
      <w:r w:rsidR="0098197D" w:rsidRPr="00562995">
        <w:rPr>
          <w:rFonts w:ascii="Arial" w:hAnsi="Arial" w:cs="Arial"/>
          <w:sz w:val="24"/>
          <w:szCs w:val="24"/>
          <w:highlight w:val="yellow"/>
        </w:rPr>
        <w:t xml:space="preserve">Headteachers’ leadership styles are particularly important in education, as they are closely linked to teachers' performance.  </w:t>
      </w:r>
      <w:r w:rsidR="0098197D">
        <w:rPr>
          <w:rFonts w:ascii="Arial" w:hAnsi="Arial" w:cs="Arial"/>
          <w:sz w:val="24"/>
          <w:szCs w:val="24"/>
          <w:highlight w:val="yellow"/>
        </w:rPr>
        <w:t>I</w:t>
      </w:r>
      <w:r w:rsidR="0098197D" w:rsidRPr="00562995">
        <w:rPr>
          <w:rFonts w:ascii="Arial" w:hAnsi="Arial" w:cs="Arial"/>
          <w:sz w:val="24"/>
          <w:szCs w:val="24"/>
          <w:highlight w:val="yellow"/>
        </w:rPr>
        <w:t>nadequate management and insufficient supervision from headteachers can contribute to low teacher performance, which is often reflected in students</w:t>
      </w:r>
      <w:proofErr w:type="gramStart"/>
      <w:r w:rsidR="0098197D" w:rsidRPr="00562995">
        <w:rPr>
          <w:rFonts w:ascii="Arial" w:hAnsi="Arial" w:cs="Arial"/>
          <w:sz w:val="24"/>
          <w:szCs w:val="24"/>
          <w:highlight w:val="yellow"/>
        </w:rPr>
        <w:t>’  academic</w:t>
      </w:r>
      <w:proofErr w:type="gramEnd"/>
      <w:r w:rsidR="0098197D" w:rsidRPr="00562995">
        <w:rPr>
          <w:rFonts w:ascii="Arial" w:hAnsi="Arial" w:cs="Arial"/>
          <w:sz w:val="24"/>
          <w:szCs w:val="24"/>
          <w:highlight w:val="yellow"/>
        </w:rPr>
        <w:t xml:space="preserve"> results</w:t>
      </w:r>
      <w:r w:rsidR="0098197D">
        <w:rPr>
          <w:rFonts w:ascii="Arial" w:hAnsi="Arial" w:cs="Arial"/>
          <w:sz w:val="24"/>
          <w:szCs w:val="24"/>
          <w:highlight w:val="yellow"/>
        </w:rPr>
        <w:t xml:space="preserve"> (</w:t>
      </w:r>
      <w:proofErr w:type="spellStart"/>
      <w:r w:rsidR="0002394F" w:rsidRPr="00562995">
        <w:rPr>
          <w:rFonts w:ascii="Arial" w:hAnsi="Arial" w:cs="Arial"/>
          <w:sz w:val="24"/>
          <w:szCs w:val="24"/>
          <w:highlight w:val="yellow"/>
          <w:lang w:val="en-US"/>
        </w:rPr>
        <w:t>Uwamahoro</w:t>
      </w:r>
      <w:proofErr w:type="spellEnd"/>
      <w:r w:rsidR="0002394F" w:rsidRPr="00562995">
        <w:rPr>
          <w:rFonts w:ascii="Arial" w:hAnsi="Arial" w:cs="Arial"/>
          <w:sz w:val="24"/>
          <w:szCs w:val="24"/>
          <w:highlight w:val="yellow"/>
          <w:lang w:val="en-US"/>
        </w:rPr>
        <w:t xml:space="preserve"> et al., 2024</w:t>
      </w:r>
      <w:r w:rsidR="0098197D">
        <w:rPr>
          <w:rFonts w:ascii="Arial" w:hAnsi="Arial" w:cs="Arial"/>
          <w:sz w:val="24"/>
          <w:szCs w:val="24"/>
          <w:highlight w:val="yellow"/>
        </w:rPr>
        <w:t>)</w:t>
      </w:r>
      <w:r w:rsidR="0098197D" w:rsidRPr="00562995">
        <w:rPr>
          <w:rFonts w:ascii="Arial" w:hAnsi="Arial" w:cs="Arial"/>
          <w:sz w:val="24"/>
          <w:szCs w:val="24"/>
          <w:highlight w:val="yellow"/>
        </w:rPr>
        <w:t>.</w:t>
      </w:r>
    </w:p>
    <w:p w14:paraId="7925695D" w14:textId="7FCCAE73" w:rsidR="003B6FB6" w:rsidRDefault="00A82744" w:rsidP="00A11428">
      <w:pPr>
        <w:jc w:val="both"/>
        <w:rPr>
          <w:rFonts w:ascii="Arial" w:hAnsi="Arial" w:cs="Arial"/>
          <w:sz w:val="24"/>
          <w:szCs w:val="24"/>
        </w:rPr>
      </w:pPr>
      <w:r w:rsidRPr="00A11428">
        <w:rPr>
          <w:rFonts w:ascii="Arial" w:hAnsi="Arial" w:cs="Arial"/>
          <w:sz w:val="24"/>
          <w:szCs w:val="24"/>
        </w:rPr>
        <w:t>Short communications are designed to present urgent or highly original findings as proof of principle (Author Guidelines, 2022). In this context, examining the immersion experience of a school principal offers preliminary but actionable evidence of how leadership strategies affect school outcomes. This study bridges the gap between theoretical frameworks of educational leadership and the practical realities faced by school leaders, emphasizing both operational management and instructional oversight.</w:t>
      </w:r>
    </w:p>
    <w:p w14:paraId="075736CB" w14:textId="77777777" w:rsidR="003B6FB6" w:rsidRPr="00A11428" w:rsidRDefault="003B6FB6" w:rsidP="00A11428">
      <w:pPr>
        <w:jc w:val="both"/>
        <w:rPr>
          <w:rFonts w:ascii="Arial" w:hAnsi="Arial" w:cs="Arial"/>
          <w:sz w:val="24"/>
          <w:szCs w:val="24"/>
        </w:rPr>
      </w:pPr>
    </w:p>
    <w:p w14:paraId="0650A491"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Objectives</w:t>
      </w:r>
    </w:p>
    <w:p w14:paraId="5EC60E5D"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This study aims to:</w:t>
      </w:r>
    </w:p>
    <w:p w14:paraId="6F21EEC2"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Examine the challenges encountered by teachers transitioning to principalship.</w:t>
      </w:r>
    </w:p>
    <w:p w14:paraId="03D174AD"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Highlight the principal’s role in instructional leadership and school operations.</w:t>
      </w:r>
    </w:p>
    <w:p w14:paraId="1575CF6A"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Evaluate strategies for managing constituencies, ensuring instructional quality, and fostering partnerships.</w:t>
      </w:r>
    </w:p>
    <w:p w14:paraId="63A2E2AF"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Investigate the influence of professional development, strategic communication, and stress management on leadership effectiveness.</w:t>
      </w:r>
    </w:p>
    <w:p w14:paraId="7ADF30DB"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Offer preliminary evidence supporting the principle that school leadership can transform educational outcomes.</w:t>
      </w:r>
    </w:p>
    <w:p w14:paraId="5F62473B" w14:textId="31FFD79F" w:rsidR="00A82744" w:rsidRPr="00A11428" w:rsidRDefault="00A82744" w:rsidP="00A11428">
      <w:pPr>
        <w:jc w:val="both"/>
        <w:rPr>
          <w:rFonts w:ascii="Arial" w:hAnsi="Arial" w:cs="Arial"/>
          <w:sz w:val="24"/>
          <w:szCs w:val="24"/>
        </w:rPr>
      </w:pPr>
    </w:p>
    <w:p w14:paraId="58537E12"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Materials and Methods</w:t>
      </w:r>
    </w:p>
    <w:p w14:paraId="16185800"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Context and Setting</w:t>
      </w:r>
    </w:p>
    <w:p w14:paraId="3EF4BB36" w14:textId="45D8D851" w:rsidR="00A82744" w:rsidRPr="00A11428" w:rsidRDefault="00A82744" w:rsidP="00A11428">
      <w:pPr>
        <w:jc w:val="both"/>
        <w:rPr>
          <w:rFonts w:ascii="Arial" w:hAnsi="Arial" w:cs="Arial"/>
          <w:sz w:val="24"/>
          <w:szCs w:val="24"/>
        </w:rPr>
      </w:pPr>
      <w:r w:rsidRPr="00A11428">
        <w:rPr>
          <w:rFonts w:ascii="Arial" w:hAnsi="Arial" w:cs="Arial"/>
          <w:sz w:val="24"/>
          <w:szCs w:val="24"/>
        </w:rPr>
        <w:t>The study was conducted at Holy Child Central Colleges-Basic Education</w:t>
      </w:r>
      <w:r w:rsidR="000D0DEC">
        <w:rPr>
          <w:rFonts w:ascii="Arial" w:hAnsi="Arial" w:cs="Arial"/>
          <w:sz w:val="24"/>
          <w:szCs w:val="24"/>
        </w:rPr>
        <w:t xml:space="preserve">, </w:t>
      </w:r>
      <w:r w:rsidR="000D0DEC" w:rsidRPr="000D0DEC">
        <w:rPr>
          <w:rFonts w:ascii="Arial" w:hAnsi="Arial" w:cs="Arial"/>
          <w:sz w:val="24"/>
          <w:szCs w:val="24"/>
          <w:highlight w:val="yellow"/>
        </w:rPr>
        <w:t>Philippines</w:t>
      </w:r>
      <w:r w:rsidR="000D0DEC">
        <w:rPr>
          <w:rFonts w:ascii="Arial" w:hAnsi="Arial" w:cs="Arial"/>
          <w:sz w:val="24"/>
          <w:szCs w:val="24"/>
        </w:rPr>
        <w:t xml:space="preserve">, </w:t>
      </w:r>
      <w:r w:rsidRPr="00A11428">
        <w:rPr>
          <w:rFonts w:ascii="Arial" w:hAnsi="Arial" w:cs="Arial"/>
          <w:sz w:val="24"/>
          <w:szCs w:val="24"/>
        </w:rPr>
        <w:t>a private school undergoing re-accreditation by the Private Education Assistance Committee (PEAC). The principal’s immersion focused on evaluating core operational areas, including Philosophy, Vision, Mission, Goals, Curriculum, Instructional Leadership, Faculty, and Administration, as well as support areas, such as Student Services, Facilities, Finance, and Planning.</w:t>
      </w:r>
    </w:p>
    <w:p w14:paraId="33EA53AE"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Approach</w:t>
      </w:r>
    </w:p>
    <w:p w14:paraId="3F990464"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lastRenderedPageBreak/>
        <w:t>This study employed a multi-method approach to generate triangulated evidence on the lived experiences of a principal immersed in the operational and instructional realities of school leadership. Triangulation, a concept widely endorsed in educational research (Creswell &amp; Plano Clark, 2018; Cohen, Manion, &amp; Morrison, 2018), enhances the credibility of findings by combining multiple data sources and perspectives. In the context of this immersion, the multi-method strategy allowed the researcher to capture both the structural and human aspects of principalship, ranging from policy compliance and accreditation requirements to the nuanced interpersonal dynamics of leadership.</w:t>
      </w:r>
    </w:p>
    <w:p w14:paraId="6C4A436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first component of data collection was a systematic review of accreditation instruments and standards. Documents aligned with the K to 12 curriculum and the Philippine Professional Standards for Teachers (PPST) were examined. This review created a baseline understanding of the regulatory and professional expectations placed upon principals. Accreditation, as observed in both local and international contexts, serves not only as an evaluative tool but also as a driver of continuous school improvement (Harvey &amp; Newton, 2007). By aligning observed practices with these standards, the study measured the extent to which immersion-based leadership practices fulfilled institutional, curricular, and professional obligations.</w:t>
      </w:r>
    </w:p>
    <w:p w14:paraId="780970EE"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second component involved direct observation of administrative processes, faculty management, and student services. Observations included structured classroom walkthroughs and participation in faculty meetings. Observational data made it possible to document leadership practices in action, including the decision-making processes of the principal, the responses of faculty members, and the engagement of students within the learning environment. Observation is widely regarded as an effective method for uncovering discrepancies between stated policy and lived practice (McMillan &amp; Schumacher, 2010). In this study, it highlighted the complexities of balancing administrative tasks with instructional leadership responsibilities.</w:t>
      </w:r>
    </w:p>
    <w:p w14:paraId="1D3E4D7A"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third data collection method was the use of interviews and informal discussions with stakeholders. Conversations were conducted with teachers, parents, and community members to evaluate school-community partnerships and their impact on student outcomes. Stakeholder interviews offered crucial insights into how the principal’s leadership was perceived externally. Epstein’s (2011) framework on school, family, and community partnerships emphasizes the importance of fostering reciprocal communication channels that create shared responsibility for student learning. In this immersion, the interviews validated or challenged the principal’s reflective accounts, thereby strengthening the reliability of the findings.</w:t>
      </w:r>
    </w:p>
    <w:p w14:paraId="7A2F144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The fourth method was reflective journaling. The principal documented daily experiences, challenges, emotions, and leadership strategies. Reflective practice is a well-established component of professional growth (Schön, 1983). Through journaling, the principal analyzed leadership behaviors, questioned underlying assumptions, and identified adaptive strategies. The reflective journal functioned as both a personal narrative and a </w:t>
      </w:r>
      <w:r w:rsidRPr="00D73E49">
        <w:rPr>
          <w:rFonts w:ascii="Arial" w:hAnsi="Arial" w:cs="Arial"/>
          <w:sz w:val="24"/>
          <w:szCs w:val="24"/>
        </w:rPr>
        <w:lastRenderedPageBreak/>
        <w:t>primary data source, allowing the study to capture the affective and cognitive dimensions of principalship.</w:t>
      </w:r>
    </w:p>
    <w:p w14:paraId="7B29517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By combining documentary analysis, observations, stakeholder interviews, and reflective journaling, the study produced a comprehensive dataset. This holistic approach reflects the growing recognition in educational leadership research that both quantitative performance measures and qualitative lived experiences are necessary to understand complex roles like the principalship (</w:t>
      </w:r>
      <w:proofErr w:type="spellStart"/>
      <w:r w:rsidRPr="00D73E49">
        <w:rPr>
          <w:rFonts w:ascii="Arial" w:hAnsi="Arial" w:cs="Arial"/>
          <w:sz w:val="24"/>
          <w:szCs w:val="24"/>
        </w:rPr>
        <w:t>Leithwood</w:t>
      </w:r>
      <w:proofErr w:type="spellEnd"/>
      <w:r w:rsidRPr="00D73E49">
        <w:rPr>
          <w:rFonts w:ascii="Arial" w:hAnsi="Arial" w:cs="Arial"/>
          <w:sz w:val="24"/>
          <w:szCs w:val="24"/>
        </w:rPr>
        <w:t xml:space="preserve"> et al., 2020).</w:t>
      </w:r>
    </w:p>
    <w:p w14:paraId="7B271745" w14:textId="400FD23D" w:rsidR="00D73E49" w:rsidRPr="00D73E49" w:rsidRDefault="00D73E49" w:rsidP="00D73E49">
      <w:pPr>
        <w:jc w:val="both"/>
        <w:rPr>
          <w:rFonts w:ascii="Arial" w:hAnsi="Arial" w:cs="Arial"/>
          <w:b/>
          <w:bCs/>
          <w:sz w:val="24"/>
          <w:szCs w:val="24"/>
        </w:rPr>
      </w:pPr>
    </w:p>
    <w:p w14:paraId="25B4B89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Analysis</w:t>
      </w:r>
    </w:p>
    <w:p w14:paraId="211947F4"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analysis integrated both quantitative and qualitative perspectives, ensuring that operational performance metrics were complemented by narrative insights. Evidence from each operational area, which included curriculum implementation, faculty development, administrative processes, and community engagement, was rated according to compliance, efficiency, and effectiveness. These ratings were aligned with accreditation rubrics, thereby producing measurable benchmarks against which practices could be evaluated.</w:t>
      </w:r>
    </w:p>
    <w:p w14:paraId="61EA14B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Comparisons were drawn between teacher-focused roles and principal-focused roles to illuminate the challenges of role transition. Teachers primarily concentrate on classroom instruction and direct student learning, whereas principals must simultaneously oversee administrative accountability, resource allocation, faculty management, and external partnerships. This analytical lens made visible the tensions between instructional and managerial responsibilities while also identifying areas of synergy that supported school improvement.</w:t>
      </w:r>
    </w:p>
    <w:p w14:paraId="6C2A59DE"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following key indicators were used in the analysis:</w:t>
      </w:r>
    </w:p>
    <w:p w14:paraId="2FC6973B"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Instructional quality – gauged through classroom walkthroughs and faculty feedback on lesson delivery and student participation.</w:t>
      </w:r>
    </w:p>
    <w:p w14:paraId="70A47664"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Teacher development – evaluated through the availability and effectiveness of professional development initiatives and mentorship practices.</w:t>
      </w:r>
    </w:p>
    <w:p w14:paraId="705ED0DD"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Student engagement – assessed during classroom observations and triangulated with stakeholder interviews that reflected parental and teacher perceptions.</w:t>
      </w:r>
    </w:p>
    <w:p w14:paraId="007F95EA"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Faculty retention and morale – considered through informal conversations, attendance records, and feedback sessions.</w:t>
      </w:r>
    </w:p>
    <w:p w14:paraId="39A6ED94"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Accreditation results and compliance – measured through alignment with institutional standards, documentation practices, and observed administrative systems.</w:t>
      </w:r>
    </w:p>
    <w:p w14:paraId="53F509C0"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Qualitative data from reflective journaling and stakeholder interviews were analyzed thematically. Braun and Clarke’s (2006) six-phase process of thematic analysis was </w:t>
      </w:r>
      <w:r w:rsidRPr="00D73E49">
        <w:rPr>
          <w:rFonts w:ascii="Arial" w:hAnsi="Arial" w:cs="Arial"/>
          <w:sz w:val="24"/>
          <w:szCs w:val="24"/>
        </w:rPr>
        <w:lastRenderedPageBreak/>
        <w:t>employed to identify recurring themes across narratives. Codes were generated inductively from the principal’s journal entries and deductively from existing literature on school leadership. Themes such as stress management, stakeholder partnership, delegation practices, and instructional leadership emerged prominently. These themes were then cross-referenced with quantitative compliance ratings to provide a multi-layered understanding of the immersion experience.</w:t>
      </w:r>
    </w:p>
    <w:p w14:paraId="7A83FEE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This mixed analytical strategy ensured that the study did not simply measure compliance with accreditation requirements but also explored the lived realities of principalship. By interweaving numerical ratings with thematic insights, the analysis captured both the measurable impact of leadership strategies and the personal, relational, and organizational dimensions that shaped those outcomes.</w:t>
      </w:r>
    </w:p>
    <w:p w14:paraId="40AD8E6A" w14:textId="77777777" w:rsidR="001660A8" w:rsidRDefault="001660A8" w:rsidP="00D73E49">
      <w:pPr>
        <w:jc w:val="both"/>
        <w:rPr>
          <w:rFonts w:ascii="Arial" w:hAnsi="Arial" w:cs="Arial"/>
          <w:b/>
          <w:bCs/>
          <w:sz w:val="24"/>
          <w:szCs w:val="24"/>
        </w:rPr>
      </w:pPr>
    </w:p>
    <w:p w14:paraId="00E7344D" w14:textId="61F2F4FE"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Results</w:t>
      </w:r>
    </w:p>
    <w:p w14:paraId="40CE309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findings of this immersion provide a multidimensional picture of the role of a school principal. Results are organized into four major domains: instructional leadership, faculty development, administrative management, and community engagement. Each domain is supported by both observational evidence and reflective insights, triangulated with accreditation standards and stakeholder perspectives.</w:t>
      </w:r>
    </w:p>
    <w:p w14:paraId="412AB054"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Instructional Leadership</w:t>
      </w:r>
    </w:p>
    <w:p w14:paraId="1DBB508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Observation of classroom walkthroughs revealed that the principal consistently emphasized learner-centered instruction and alignment with the K to 12 </w:t>
      </w:r>
      <w:proofErr w:type="gramStart"/>
      <w:r w:rsidRPr="00D73E49">
        <w:rPr>
          <w:rFonts w:ascii="Arial" w:hAnsi="Arial" w:cs="Arial"/>
          <w:sz w:val="24"/>
          <w:szCs w:val="24"/>
        </w:rPr>
        <w:t>curriculum</w:t>
      </w:r>
      <w:proofErr w:type="gramEnd"/>
      <w:r w:rsidRPr="00D73E49">
        <w:rPr>
          <w:rFonts w:ascii="Arial" w:hAnsi="Arial" w:cs="Arial"/>
          <w:sz w:val="24"/>
          <w:szCs w:val="24"/>
        </w:rPr>
        <w:t xml:space="preserve">. Teachers reported that the presence of the principal during observations served as both a motivating and evaluative factor. Lesson plans demonstrated compliance with curriculum guides, although variations in instructional delivery were noted. Reflective journal entries confirmed that balancing supportive supervision with accountability was one of the most challenging aspects of the immersion. The principal expressed the tension between encouraging teacher autonomy and ensuring curriculum fidelity, a finding consistent with </w:t>
      </w:r>
      <w:proofErr w:type="spellStart"/>
      <w:r w:rsidRPr="00D73E49">
        <w:rPr>
          <w:rFonts w:ascii="Arial" w:hAnsi="Arial" w:cs="Arial"/>
          <w:sz w:val="24"/>
          <w:szCs w:val="24"/>
        </w:rPr>
        <w:t>Leithwood</w:t>
      </w:r>
      <w:proofErr w:type="spellEnd"/>
      <w:r w:rsidRPr="00D73E49">
        <w:rPr>
          <w:rFonts w:ascii="Arial" w:hAnsi="Arial" w:cs="Arial"/>
          <w:sz w:val="24"/>
          <w:szCs w:val="24"/>
        </w:rPr>
        <w:t xml:space="preserve"> et al. (2020) who highlight this duality in instructional leadership.</w:t>
      </w:r>
    </w:p>
    <w:p w14:paraId="360DD005"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Faculty Development</w:t>
      </w:r>
    </w:p>
    <w:p w14:paraId="4AF21C65"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Faculty members expressed appreciation for professional development programs but identified limited opportunities for differentiated training. Mentorship between senior and novice teachers was observed, but its structure varied significantly across subject areas. The reflective journal indicated that sustaining motivation among teachers required not only workshops but also consistent follow-up and recognition of individual growth. Faculty morale was found to be moderately high, but retention data suggested a need for more targeted strategies to reduce teacher attrition. This echoes Ingersoll and Strong (2011), who emphasize that structured induction and mentoring significantly affect teacher retention and satisfaction.</w:t>
      </w:r>
    </w:p>
    <w:p w14:paraId="45381A9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lastRenderedPageBreak/>
        <w:t>Administrative Management</w:t>
      </w:r>
    </w:p>
    <w:p w14:paraId="1461132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Administrative processes were largely compliant with accreditation requirements, including documentation of policies, financial accountability, and student services. Observations showed that the principal delegated tasks efficiently, though the workload remained heavy. The reflective journal captured the stress of balancing administrative responsibilities with instructional leadership. The challenge of paperwork and compliance was repeatedly cited, particularly in relation to accreditation demands. The findings suggest that while compliance was achieved, the administrative burden risked overshadowing the more human-centered aspects of leadership. Harvey and Newton (2007) similarly caution that accreditation systems may unintentionally shift leadership focus toward documentation rather than innovation.</w:t>
      </w:r>
    </w:p>
    <w:p w14:paraId="6B27D7FD"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Community Engagement</w:t>
      </w:r>
    </w:p>
    <w:p w14:paraId="7296008A"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Stakeholder interviews revealed that parents valued the principal’s efforts to build open communication channels. Community partnerships were evident in school events, though some parents noted limitations in sustained collaboration beyond major activities. The reflective journal emphasized the need for principals to navigate community expectations while maintaining professional boundaries. Epstein’s (2011) framework on school, family, and community partnerships was evident in the immersion, as shared responsibility for learning emerged as both a strength and an area requiring deeper commitment.</w:t>
      </w:r>
    </w:p>
    <w:p w14:paraId="7F9FA33E" w14:textId="3A014B39" w:rsidR="00D73E49" w:rsidRPr="00D73E49" w:rsidRDefault="00D73E49" w:rsidP="00D73E49">
      <w:pPr>
        <w:jc w:val="both"/>
        <w:rPr>
          <w:rFonts w:ascii="Arial" w:hAnsi="Arial" w:cs="Arial"/>
          <w:sz w:val="24"/>
          <w:szCs w:val="24"/>
        </w:rPr>
      </w:pPr>
    </w:p>
    <w:p w14:paraId="2A467E2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Discussion</w:t>
      </w:r>
    </w:p>
    <w:p w14:paraId="6D61948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immersion highlighted the complexity of principalship as a role that requires simultaneous mastery of instructional, managerial, and relational competencies. Each finding is discussed in light of existing literature and the implications for professional practice.</w:t>
      </w:r>
    </w:p>
    <w:p w14:paraId="538BBF0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Balancing Instructional and Administrative Demands</w:t>
      </w:r>
    </w:p>
    <w:p w14:paraId="332C748B"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A recurring theme was the difficulty of balancing instructional supervision with administrative accountability. The principal’s reflective journal described moments of exhaustion when compliance deadlines conflicted with classroom observation schedules. This finding aligns with Fullan (2014), who describes school leadership as a balancing act between managerial tasks and instructional priorities. The implication is that principals must develop time management strategies and foster distributive leadership structures to prevent burnout.</w:t>
      </w:r>
    </w:p>
    <w:p w14:paraId="4B7FBBC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Faculty Motivation and Retention</w:t>
      </w:r>
    </w:p>
    <w:p w14:paraId="7E53C5D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Faculty development emerged as both a strength and a challenge. While professional development initiatives existed, their sustainability was questioned. Teachers expressed a desire for more contextualized and subject-specific training. The literature emphasizes that effective faculty development programs contribute not only to instructional quality but </w:t>
      </w:r>
      <w:r w:rsidRPr="00D73E49">
        <w:rPr>
          <w:rFonts w:ascii="Arial" w:hAnsi="Arial" w:cs="Arial"/>
          <w:sz w:val="24"/>
          <w:szCs w:val="24"/>
        </w:rPr>
        <w:lastRenderedPageBreak/>
        <w:t>also to teacher retention (Ingersoll &amp; Strong, 2011). Thus, the immersion confirmed the need for principals to act as instructional leaders who personalize support for their faculty while also advocating for systemic resources.</w:t>
      </w:r>
    </w:p>
    <w:p w14:paraId="6ED9AF4E"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Accreditation as a Double-Edged Sword</w:t>
      </w:r>
    </w:p>
    <w:p w14:paraId="30273A40"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Accreditation was found to provide structure and accountability but also introduced an administrative burden that risked displacing innovative leadership practices. This supports Harvey and Newton’s (2007) observation that accreditation may foster compliance rather than creativity. The findings underscore the importance of principals engaging in reflective practice to ensure that accreditation processes remain aligned with genuine school improvement rather than becoming an exercise in paperwork.</w:t>
      </w:r>
    </w:p>
    <w:p w14:paraId="6BF266EA"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Community Partnerships as a Resource</w:t>
      </w:r>
    </w:p>
    <w:p w14:paraId="4D630BA7"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Community engagement was recognized as a vital resource for student learning. Stakeholder interviews demonstrated the value of transparent communication between schools and families. However, sustained partnerships required deliberate effort beyond periodic activities. Epstein’s (2011) model was affirmed in the findings, particularly the need for schools to create structures that make family involvement a continuous and integrated practice. For principals, this means moving beyond event-based collaboration toward systemic partnership building.</w:t>
      </w:r>
    </w:p>
    <w:p w14:paraId="6BC2EE3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The Value of Reflective Leadership</w:t>
      </w:r>
    </w:p>
    <w:p w14:paraId="3038B68D"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reflective journal provided an intimate view of the principal’s emotional and cognitive processes. Reflection was not only a tool for self-analysis but also a catalyst for adaptive strategies in leadership. Schön’s (1983) notion of the reflective practitioner was evident, as the principal used journaling to identify areas for growth and to reconsider assumptions. This finding emphasizes that effective leadership requires not only technical competence but also emotional intelligence and reflective awareness.</w:t>
      </w:r>
    </w:p>
    <w:p w14:paraId="0AC016AB" w14:textId="5EAF941C" w:rsidR="00D73E49" w:rsidRPr="00D73E49" w:rsidRDefault="00D73E49" w:rsidP="00D73E49">
      <w:pPr>
        <w:jc w:val="both"/>
        <w:rPr>
          <w:rFonts w:ascii="Arial" w:hAnsi="Arial" w:cs="Arial"/>
          <w:sz w:val="24"/>
          <w:szCs w:val="24"/>
        </w:rPr>
      </w:pPr>
    </w:p>
    <w:p w14:paraId="063250A0"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Conclusion</w:t>
      </w:r>
    </w:p>
    <w:p w14:paraId="534BCDEF" w14:textId="156A81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This immersion study </w:t>
      </w:r>
      <w:r w:rsidR="006640D4">
        <w:rPr>
          <w:rFonts w:ascii="Arial" w:hAnsi="Arial" w:cs="Arial"/>
          <w:sz w:val="24"/>
          <w:szCs w:val="24"/>
        </w:rPr>
        <w:t xml:space="preserve">showcased and </w:t>
      </w:r>
      <w:r w:rsidRPr="00D73E49">
        <w:rPr>
          <w:rFonts w:ascii="Arial" w:hAnsi="Arial" w:cs="Arial"/>
          <w:sz w:val="24"/>
          <w:szCs w:val="24"/>
        </w:rPr>
        <w:t>demonstrated that principalship is a multidimensional role that demands instructional leadership, administrative expertise, faculty support, and community engagement. The triangulated findings revealed that while accreditation frameworks provide necessary accountability, they also create pressures that can overshadow the relational aspects of leadership. Faculty development emerged as a critical factor in sustaining teacher motivation and retention, while community partnerships were affirmed as essential for holistic student outcomes.</w:t>
      </w:r>
    </w:p>
    <w:p w14:paraId="1E28326D"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The integration of observation, document review, stakeholder interviews, and reflective journaling created a comprehensive picture of principalship in action. The study confirmed the value of reflective practice in navigating the challenges of school leadership. It also </w:t>
      </w:r>
      <w:r w:rsidRPr="00D73E49">
        <w:rPr>
          <w:rFonts w:ascii="Arial" w:hAnsi="Arial" w:cs="Arial"/>
          <w:sz w:val="24"/>
          <w:szCs w:val="24"/>
        </w:rPr>
        <w:lastRenderedPageBreak/>
        <w:t>highlighted the need for systemic supports to enable principals to balance compliance with innovation, administration with instruction, and accountability with compassion.</w:t>
      </w:r>
    </w:p>
    <w:p w14:paraId="072348F5"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In sum, the immersion experience provided not only professional insights but also personal growth for the principal. It illustrated that leadership is not a static function but a dynamic process of learning, reflection, and adaptation. The findings contribute to the growing body of literature that positions principals as central agents of educational transformation, responsible for guiding their schools through both structural demands and human-centered challenges.</w:t>
      </w:r>
    </w:p>
    <w:p w14:paraId="4978D062" w14:textId="56B400B6" w:rsidR="00A82744" w:rsidRDefault="00A82744" w:rsidP="00A11428">
      <w:pPr>
        <w:jc w:val="both"/>
        <w:rPr>
          <w:rFonts w:ascii="Arial" w:hAnsi="Arial" w:cs="Arial"/>
          <w:sz w:val="24"/>
          <w:szCs w:val="24"/>
        </w:rPr>
      </w:pPr>
    </w:p>
    <w:p w14:paraId="05BDD728" w14:textId="5EF3C729" w:rsidR="00970C83" w:rsidRDefault="00970C83" w:rsidP="00774B90">
      <w:pPr>
        <w:spacing w:after="200" w:line="276" w:lineRule="auto"/>
        <w:rPr>
          <w:rFonts w:ascii="Calibri" w:eastAsia="Times New Roman" w:hAnsi="Calibri" w:cs="Times New Roman"/>
          <w:kern w:val="0"/>
          <w:lang w:val="en-GB" w:eastAsia="en-GB"/>
          <w14:ligatures w14:val="none"/>
        </w:rPr>
      </w:pPr>
    </w:p>
    <w:p w14:paraId="46A4B9F9" w14:textId="77777777" w:rsidR="00970C83" w:rsidRPr="0033150C" w:rsidRDefault="00970C83" w:rsidP="00970C83">
      <w:pPr>
        <w:rPr>
          <w:rFonts w:ascii="Calibri" w:eastAsia="Calibri" w:hAnsi="Calibri" w:cs="Times New Roman"/>
          <w:b/>
          <w:highlight w:val="yellow"/>
          <w:lang w:val="en-US"/>
        </w:rPr>
      </w:pPr>
      <w:bookmarkStart w:id="0" w:name="_Hlk197682619"/>
      <w:bookmarkStart w:id="1" w:name="_Hlk180402183"/>
      <w:bookmarkStart w:id="2" w:name="_Hlk183680988"/>
      <w:r w:rsidRPr="0033150C">
        <w:rPr>
          <w:rFonts w:ascii="Calibri" w:eastAsia="Calibri" w:hAnsi="Calibri" w:cs="Times New Roman"/>
          <w:b/>
          <w:highlight w:val="yellow"/>
          <w:lang w:val="en-US"/>
        </w:rPr>
        <w:t>Disclaimer (Artificial intelligence)</w:t>
      </w:r>
    </w:p>
    <w:p w14:paraId="387F5CD3"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918DC8D"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9D1D528"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1EB2165"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6CEC91"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1BC5E73"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2805192" w14:textId="77777777" w:rsidR="00970C83" w:rsidRPr="009C5487" w:rsidRDefault="00970C83" w:rsidP="00970C83">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FC6282D" w14:textId="77777777" w:rsidR="00970C83" w:rsidRPr="009C5487" w:rsidRDefault="00970C83" w:rsidP="00970C83">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492C617C" w14:textId="77777777" w:rsidR="00970C83" w:rsidRPr="00774B90" w:rsidRDefault="00970C83" w:rsidP="00774B90">
      <w:pPr>
        <w:spacing w:after="200" w:line="276" w:lineRule="auto"/>
        <w:rPr>
          <w:rFonts w:ascii="Calibri" w:eastAsia="Times New Roman" w:hAnsi="Calibri" w:cs="Times New Roman"/>
          <w:kern w:val="0"/>
          <w:lang w:val="en-GB" w:eastAsia="en-GB"/>
          <w14:ligatures w14:val="none"/>
        </w:rPr>
      </w:pPr>
    </w:p>
    <w:p w14:paraId="6370DA29" w14:textId="77777777" w:rsidR="00DB7107" w:rsidRDefault="00DB7107" w:rsidP="00A11428">
      <w:pPr>
        <w:jc w:val="both"/>
        <w:rPr>
          <w:rFonts w:ascii="Arial" w:hAnsi="Arial" w:cs="Arial"/>
          <w:sz w:val="24"/>
          <w:szCs w:val="24"/>
        </w:rPr>
      </w:pPr>
    </w:p>
    <w:p w14:paraId="587FFC5B" w14:textId="77777777" w:rsidR="00DB7107" w:rsidRPr="00A11428" w:rsidRDefault="00DB7107" w:rsidP="00A11428">
      <w:pPr>
        <w:jc w:val="both"/>
        <w:rPr>
          <w:rFonts w:ascii="Arial" w:hAnsi="Arial" w:cs="Arial"/>
          <w:sz w:val="24"/>
          <w:szCs w:val="24"/>
        </w:rPr>
      </w:pPr>
    </w:p>
    <w:p w14:paraId="3ADF207C"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References</w:t>
      </w:r>
    </w:p>
    <w:p w14:paraId="67749474"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Bagin, D. (2001). </w:t>
      </w:r>
      <w:r w:rsidRPr="005E5ADE">
        <w:rPr>
          <w:rFonts w:ascii="Arial" w:hAnsi="Arial" w:cs="Arial"/>
          <w:i/>
          <w:iCs/>
          <w:sz w:val="24"/>
          <w:szCs w:val="24"/>
        </w:rPr>
        <w:t>The school and community relations</w:t>
      </w:r>
      <w:r w:rsidRPr="005E5ADE">
        <w:rPr>
          <w:rFonts w:ascii="Arial" w:hAnsi="Arial" w:cs="Arial"/>
          <w:sz w:val="24"/>
          <w:szCs w:val="24"/>
        </w:rPr>
        <w:t>. Boston: Allyn and Bacon.</w:t>
      </w:r>
    </w:p>
    <w:p w14:paraId="7E70184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Braun, V., &amp; Clarke, V. (2006). Using thematic analysis in psychology. </w:t>
      </w:r>
      <w:r w:rsidRPr="005E5ADE">
        <w:rPr>
          <w:rFonts w:ascii="Arial" w:hAnsi="Arial" w:cs="Arial"/>
          <w:i/>
          <w:iCs/>
          <w:sz w:val="24"/>
          <w:szCs w:val="24"/>
        </w:rPr>
        <w:t>Qualitative Research in Psychology, 3</w:t>
      </w:r>
      <w:r w:rsidRPr="005E5ADE">
        <w:rPr>
          <w:rFonts w:ascii="Arial" w:hAnsi="Arial" w:cs="Arial"/>
          <w:sz w:val="24"/>
          <w:szCs w:val="24"/>
        </w:rPr>
        <w:t xml:space="preserve">(2), 77–101. </w:t>
      </w:r>
      <w:hyperlink r:id="rId7" w:tgtFrame="_new" w:history="1">
        <w:r w:rsidRPr="005E5ADE">
          <w:rPr>
            <w:rStyle w:val="Hyperlink"/>
            <w:rFonts w:ascii="Arial" w:hAnsi="Arial" w:cs="Arial"/>
            <w:sz w:val="24"/>
            <w:szCs w:val="24"/>
          </w:rPr>
          <w:t>https://doi.org/10.1191/1478088706qp063oa</w:t>
        </w:r>
      </w:hyperlink>
    </w:p>
    <w:p w14:paraId="2D5F67F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Cohen, L., Manion, L., &amp; Morrison, K. (2018). </w:t>
      </w:r>
      <w:r w:rsidRPr="005E5ADE">
        <w:rPr>
          <w:rFonts w:ascii="Arial" w:hAnsi="Arial" w:cs="Arial"/>
          <w:i/>
          <w:iCs/>
          <w:sz w:val="24"/>
          <w:szCs w:val="24"/>
        </w:rPr>
        <w:t>Research methods in education</w:t>
      </w:r>
      <w:r w:rsidRPr="005E5ADE">
        <w:rPr>
          <w:rFonts w:ascii="Arial" w:hAnsi="Arial" w:cs="Arial"/>
          <w:sz w:val="24"/>
          <w:szCs w:val="24"/>
        </w:rPr>
        <w:t xml:space="preserve"> (8th ed.). London: Routledge. https://doi.org/10.4324/9781315456539</w:t>
      </w:r>
    </w:p>
    <w:p w14:paraId="4023DCAC"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lastRenderedPageBreak/>
        <w:t xml:space="preserve">Creswell, J. W., &amp; Plano Clark, V. L. (2018). </w:t>
      </w:r>
      <w:r w:rsidRPr="005E5ADE">
        <w:rPr>
          <w:rFonts w:ascii="Arial" w:hAnsi="Arial" w:cs="Arial"/>
          <w:i/>
          <w:iCs/>
          <w:sz w:val="24"/>
          <w:szCs w:val="24"/>
        </w:rPr>
        <w:t>Designing and conducting mixed methods research</w:t>
      </w:r>
      <w:r w:rsidRPr="005E5ADE">
        <w:rPr>
          <w:rFonts w:ascii="Arial" w:hAnsi="Arial" w:cs="Arial"/>
          <w:sz w:val="24"/>
          <w:szCs w:val="24"/>
        </w:rPr>
        <w:t xml:space="preserve"> (3rd ed.). Thousand Oaks, CA: Sage Publications.</w:t>
      </w:r>
    </w:p>
    <w:p w14:paraId="3AD594F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DeVita, C., Davis, J., Darling-Hammond, L., LaPointe, M., &amp; Meyerson, D. (2005). </w:t>
      </w:r>
      <w:r w:rsidRPr="005E5ADE">
        <w:rPr>
          <w:rFonts w:ascii="Arial" w:hAnsi="Arial" w:cs="Arial"/>
          <w:i/>
          <w:iCs/>
          <w:sz w:val="24"/>
          <w:szCs w:val="24"/>
        </w:rPr>
        <w:t>School leadership: Improving state systems for leader development</w:t>
      </w:r>
      <w:r w:rsidRPr="005E5ADE">
        <w:rPr>
          <w:rFonts w:ascii="Arial" w:hAnsi="Arial" w:cs="Arial"/>
          <w:sz w:val="24"/>
          <w:szCs w:val="24"/>
        </w:rPr>
        <w:t>. Washington, DC: The Wallace Foundation.</w:t>
      </w:r>
    </w:p>
    <w:p w14:paraId="2EBFAEF4"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Epstein, J. L. (2011). </w:t>
      </w:r>
      <w:r w:rsidRPr="005E5ADE">
        <w:rPr>
          <w:rFonts w:ascii="Arial" w:hAnsi="Arial" w:cs="Arial"/>
          <w:i/>
          <w:iCs/>
          <w:sz w:val="24"/>
          <w:szCs w:val="24"/>
        </w:rPr>
        <w:t>School, family, and community partnerships: Preparing educators and improving schools</w:t>
      </w:r>
      <w:r w:rsidRPr="005E5ADE">
        <w:rPr>
          <w:rFonts w:ascii="Arial" w:hAnsi="Arial" w:cs="Arial"/>
          <w:sz w:val="24"/>
          <w:szCs w:val="24"/>
        </w:rPr>
        <w:t xml:space="preserve"> (2nd ed.). Boulder, CO: Westview Press.</w:t>
      </w:r>
    </w:p>
    <w:p w14:paraId="0AA79279"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Fullan, M. (2014). </w:t>
      </w:r>
      <w:r w:rsidRPr="005E5ADE">
        <w:rPr>
          <w:rFonts w:ascii="Arial" w:hAnsi="Arial" w:cs="Arial"/>
          <w:i/>
          <w:iCs/>
          <w:sz w:val="24"/>
          <w:szCs w:val="24"/>
        </w:rPr>
        <w:t>The principal: Three keys to maximizing impact</w:t>
      </w:r>
      <w:r w:rsidRPr="005E5ADE">
        <w:rPr>
          <w:rFonts w:ascii="Arial" w:hAnsi="Arial" w:cs="Arial"/>
          <w:sz w:val="24"/>
          <w:szCs w:val="24"/>
        </w:rPr>
        <w:t>. San Francisco: Jossey-Bass.</w:t>
      </w:r>
    </w:p>
    <w:p w14:paraId="59AAD88A"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Harvey, L., &amp; Newton, J. (2007). Transforming quality evaluation: Moving on. In D. </w:t>
      </w:r>
      <w:proofErr w:type="spellStart"/>
      <w:r w:rsidRPr="005E5ADE">
        <w:rPr>
          <w:rFonts w:ascii="Arial" w:hAnsi="Arial" w:cs="Arial"/>
          <w:sz w:val="24"/>
          <w:szCs w:val="24"/>
        </w:rPr>
        <w:t>Westerheijden</w:t>
      </w:r>
      <w:proofErr w:type="spellEnd"/>
      <w:r w:rsidRPr="005E5ADE">
        <w:rPr>
          <w:rFonts w:ascii="Arial" w:hAnsi="Arial" w:cs="Arial"/>
          <w:sz w:val="24"/>
          <w:szCs w:val="24"/>
        </w:rPr>
        <w:t xml:space="preserve">, B. </w:t>
      </w:r>
      <w:proofErr w:type="spellStart"/>
      <w:r w:rsidRPr="005E5ADE">
        <w:rPr>
          <w:rFonts w:ascii="Arial" w:hAnsi="Arial" w:cs="Arial"/>
          <w:sz w:val="24"/>
          <w:szCs w:val="24"/>
        </w:rPr>
        <w:t>Stensaker</w:t>
      </w:r>
      <w:proofErr w:type="spellEnd"/>
      <w:r w:rsidRPr="005E5ADE">
        <w:rPr>
          <w:rFonts w:ascii="Arial" w:hAnsi="Arial" w:cs="Arial"/>
          <w:sz w:val="24"/>
          <w:szCs w:val="24"/>
        </w:rPr>
        <w:t xml:space="preserve">, &amp; M. Rosa (Eds.), </w:t>
      </w:r>
      <w:r w:rsidRPr="005E5ADE">
        <w:rPr>
          <w:rFonts w:ascii="Arial" w:hAnsi="Arial" w:cs="Arial"/>
          <w:i/>
          <w:iCs/>
          <w:sz w:val="24"/>
          <w:szCs w:val="24"/>
        </w:rPr>
        <w:t>Quality assurance in higher education: Trends in regulation, translation and transformation</w:t>
      </w:r>
      <w:r w:rsidRPr="005E5ADE">
        <w:rPr>
          <w:rFonts w:ascii="Arial" w:hAnsi="Arial" w:cs="Arial"/>
          <w:sz w:val="24"/>
          <w:szCs w:val="24"/>
        </w:rPr>
        <w:t xml:space="preserve"> (pp. 225–245). Dordrecht: Springer.</w:t>
      </w:r>
    </w:p>
    <w:p w14:paraId="0A4202E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Heifetz, R. A., </w:t>
      </w:r>
      <w:proofErr w:type="spellStart"/>
      <w:r w:rsidRPr="005E5ADE">
        <w:rPr>
          <w:rFonts w:ascii="Arial" w:hAnsi="Arial" w:cs="Arial"/>
          <w:sz w:val="24"/>
          <w:szCs w:val="24"/>
        </w:rPr>
        <w:t>Grashow</w:t>
      </w:r>
      <w:proofErr w:type="spellEnd"/>
      <w:r w:rsidRPr="005E5ADE">
        <w:rPr>
          <w:rFonts w:ascii="Arial" w:hAnsi="Arial" w:cs="Arial"/>
          <w:sz w:val="24"/>
          <w:szCs w:val="24"/>
        </w:rPr>
        <w:t xml:space="preserve">, A., &amp; Linsky, M. (2009). </w:t>
      </w:r>
      <w:r w:rsidRPr="005E5ADE">
        <w:rPr>
          <w:rFonts w:ascii="Arial" w:hAnsi="Arial" w:cs="Arial"/>
          <w:i/>
          <w:iCs/>
          <w:sz w:val="24"/>
          <w:szCs w:val="24"/>
        </w:rPr>
        <w:t>The practice of adaptive leadership: Tools and tactics for changing your organization and the world</w:t>
      </w:r>
      <w:r w:rsidRPr="005E5ADE">
        <w:rPr>
          <w:rFonts w:ascii="Arial" w:hAnsi="Arial" w:cs="Arial"/>
          <w:sz w:val="24"/>
          <w:szCs w:val="24"/>
        </w:rPr>
        <w:t>. Boston: Harvard Business Press.</w:t>
      </w:r>
    </w:p>
    <w:p w14:paraId="2175E01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Ingersoll, R., &amp; Strong, M. (2011). The impact of induction and mentoring programs for beginning teachers: A critical review of the research. </w:t>
      </w:r>
      <w:r w:rsidRPr="005E5ADE">
        <w:rPr>
          <w:rFonts w:ascii="Arial" w:hAnsi="Arial" w:cs="Arial"/>
          <w:i/>
          <w:iCs/>
          <w:sz w:val="24"/>
          <w:szCs w:val="24"/>
        </w:rPr>
        <w:t>Review of Educational Research, 81</w:t>
      </w:r>
      <w:r w:rsidRPr="005E5ADE">
        <w:rPr>
          <w:rFonts w:ascii="Arial" w:hAnsi="Arial" w:cs="Arial"/>
          <w:sz w:val="24"/>
          <w:szCs w:val="24"/>
        </w:rPr>
        <w:t>(2), 201–233. https://doi.org/10.3102/0034654311403323</w:t>
      </w:r>
    </w:p>
    <w:p w14:paraId="42227E1D" w14:textId="77777777" w:rsidR="005E5ADE" w:rsidRPr="005E5ADE" w:rsidRDefault="005E5ADE" w:rsidP="005E5ADE">
      <w:pPr>
        <w:jc w:val="both"/>
        <w:rPr>
          <w:rFonts w:ascii="Arial" w:hAnsi="Arial" w:cs="Arial"/>
          <w:sz w:val="24"/>
          <w:szCs w:val="24"/>
        </w:rPr>
      </w:pPr>
      <w:proofErr w:type="spellStart"/>
      <w:r w:rsidRPr="005E5ADE">
        <w:rPr>
          <w:rFonts w:ascii="Arial" w:hAnsi="Arial" w:cs="Arial"/>
          <w:sz w:val="24"/>
          <w:szCs w:val="24"/>
        </w:rPr>
        <w:t>Leithwood</w:t>
      </w:r>
      <w:proofErr w:type="spellEnd"/>
      <w:r w:rsidRPr="005E5ADE">
        <w:rPr>
          <w:rFonts w:ascii="Arial" w:hAnsi="Arial" w:cs="Arial"/>
          <w:sz w:val="24"/>
          <w:szCs w:val="24"/>
        </w:rPr>
        <w:t xml:space="preserve">, K., Harris, A., &amp; Hopkins, D. (2020). Seven strong claims about successful school leadership revisited. </w:t>
      </w:r>
      <w:r w:rsidRPr="005E5ADE">
        <w:rPr>
          <w:rFonts w:ascii="Arial" w:hAnsi="Arial" w:cs="Arial"/>
          <w:i/>
          <w:iCs/>
          <w:sz w:val="24"/>
          <w:szCs w:val="24"/>
        </w:rPr>
        <w:t>School Leadership &amp; Management, 40</w:t>
      </w:r>
      <w:r w:rsidRPr="005E5ADE">
        <w:rPr>
          <w:rFonts w:ascii="Arial" w:hAnsi="Arial" w:cs="Arial"/>
          <w:sz w:val="24"/>
          <w:szCs w:val="24"/>
        </w:rPr>
        <w:t>(1), 5–22. https://doi.org/10.1080/13632434.2019.1596077</w:t>
      </w:r>
    </w:p>
    <w:p w14:paraId="6454475F"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Maslach, C. (2003). Job burnout: New directions in research and intervention. </w:t>
      </w:r>
      <w:r w:rsidRPr="005E5ADE">
        <w:rPr>
          <w:rFonts w:ascii="Arial" w:hAnsi="Arial" w:cs="Arial"/>
          <w:i/>
          <w:iCs/>
          <w:sz w:val="24"/>
          <w:szCs w:val="24"/>
        </w:rPr>
        <w:t>Current Directions in Psychological Science, 12</w:t>
      </w:r>
      <w:r w:rsidRPr="005E5ADE">
        <w:rPr>
          <w:rFonts w:ascii="Arial" w:hAnsi="Arial" w:cs="Arial"/>
          <w:sz w:val="24"/>
          <w:szCs w:val="24"/>
        </w:rPr>
        <w:t>(5), 189–192. https://doi.org/10.1111/1467-8721.01258</w:t>
      </w:r>
    </w:p>
    <w:p w14:paraId="1042FBE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McMillan, J. H., &amp; Schumacher, S. (2010). </w:t>
      </w:r>
      <w:r w:rsidRPr="005E5ADE">
        <w:rPr>
          <w:rFonts w:ascii="Arial" w:hAnsi="Arial" w:cs="Arial"/>
          <w:i/>
          <w:iCs/>
          <w:sz w:val="24"/>
          <w:szCs w:val="24"/>
        </w:rPr>
        <w:t>Research in education: Evidence-based inquiry</w:t>
      </w:r>
      <w:r w:rsidRPr="005E5ADE">
        <w:rPr>
          <w:rFonts w:ascii="Arial" w:hAnsi="Arial" w:cs="Arial"/>
          <w:sz w:val="24"/>
          <w:szCs w:val="24"/>
        </w:rPr>
        <w:t xml:space="preserve"> (7th ed.). Boston: Pearson.</w:t>
      </w:r>
    </w:p>
    <w:p w14:paraId="6C3EDA3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Schön, D. A. (1983). </w:t>
      </w:r>
      <w:r w:rsidRPr="005E5ADE">
        <w:rPr>
          <w:rFonts w:ascii="Arial" w:hAnsi="Arial" w:cs="Arial"/>
          <w:i/>
          <w:iCs/>
          <w:sz w:val="24"/>
          <w:szCs w:val="24"/>
        </w:rPr>
        <w:t>The reflective practitioner: How professionals think in action</w:t>
      </w:r>
      <w:r w:rsidRPr="005E5ADE">
        <w:rPr>
          <w:rFonts w:ascii="Arial" w:hAnsi="Arial" w:cs="Arial"/>
          <w:sz w:val="24"/>
          <w:szCs w:val="24"/>
        </w:rPr>
        <w:t>. New York: Basic Books.</w:t>
      </w:r>
    </w:p>
    <w:p w14:paraId="42462FAB"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Schmidt-Davis, J., &amp; Bottoms, G. (2011). </w:t>
      </w:r>
      <w:r w:rsidRPr="005E5ADE">
        <w:rPr>
          <w:rFonts w:ascii="Arial" w:hAnsi="Arial" w:cs="Arial"/>
          <w:i/>
          <w:iCs/>
          <w:sz w:val="24"/>
          <w:szCs w:val="24"/>
        </w:rPr>
        <w:t>Who’s next? Let’s stop gambling on school performance and invest in professional standards for principals</w:t>
      </w:r>
      <w:r w:rsidRPr="005E5ADE">
        <w:rPr>
          <w:rFonts w:ascii="Arial" w:hAnsi="Arial" w:cs="Arial"/>
          <w:sz w:val="24"/>
          <w:szCs w:val="24"/>
        </w:rPr>
        <w:t>. Atlanta, GA: Southern Regional Education Board.</w:t>
      </w:r>
    </w:p>
    <w:p w14:paraId="03B372B4" w14:textId="370ED2F7" w:rsidR="00393CE7" w:rsidRDefault="00393CE7" w:rsidP="005E5ADE">
      <w:pPr>
        <w:jc w:val="both"/>
        <w:rPr>
          <w:rFonts w:ascii="Arial" w:hAnsi="Arial" w:cs="Arial"/>
          <w:sz w:val="24"/>
          <w:szCs w:val="24"/>
        </w:rPr>
      </w:pPr>
      <w:bookmarkStart w:id="4" w:name="_GoBack"/>
      <w:bookmarkEnd w:id="4"/>
      <w:proofErr w:type="spellStart"/>
      <w:r w:rsidRPr="00562995">
        <w:rPr>
          <w:rFonts w:ascii="Arial" w:hAnsi="Arial" w:cs="Arial"/>
          <w:sz w:val="24"/>
          <w:szCs w:val="24"/>
          <w:highlight w:val="yellow"/>
        </w:rPr>
        <w:t>Mustoip</w:t>
      </w:r>
      <w:proofErr w:type="spellEnd"/>
      <w:r w:rsidRPr="00562995">
        <w:rPr>
          <w:rFonts w:ascii="Arial" w:hAnsi="Arial" w:cs="Arial"/>
          <w:sz w:val="24"/>
          <w:szCs w:val="24"/>
          <w:highlight w:val="yellow"/>
        </w:rPr>
        <w:t xml:space="preserve">, S., </w:t>
      </w:r>
      <w:proofErr w:type="spellStart"/>
      <w:r w:rsidRPr="00562995">
        <w:rPr>
          <w:rFonts w:ascii="Arial" w:hAnsi="Arial" w:cs="Arial"/>
          <w:sz w:val="24"/>
          <w:szCs w:val="24"/>
          <w:highlight w:val="yellow"/>
        </w:rPr>
        <w:t>Tabroni</w:t>
      </w:r>
      <w:proofErr w:type="spellEnd"/>
      <w:r w:rsidRPr="00562995">
        <w:rPr>
          <w:rFonts w:ascii="Arial" w:hAnsi="Arial" w:cs="Arial"/>
          <w:sz w:val="24"/>
          <w:szCs w:val="24"/>
          <w:highlight w:val="yellow"/>
        </w:rPr>
        <w:t xml:space="preserve">, I., Sulaiman, S., &amp; </w:t>
      </w:r>
      <w:proofErr w:type="spellStart"/>
      <w:r w:rsidRPr="00562995">
        <w:rPr>
          <w:rFonts w:ascii="Arial" w:hAnsi="Arial" w:cs="Arial"/>
          <w:sz w:val="24"/>
          <w:szCs w:val="24"/>
          <w:highlight w:val="yellow"/>
        </w:rPr>
        <w:t>Marliani</w:t>
      </w:r>
      <w:proofErr w:type="spellEnd"/>
      <w:r w:rsidRPr="00562995">
        <w:rPr>
          <w:rFonts w:ascii="Arial" w:hAnsi="Arial" w:cs="Arial"/>
          <w:sz w:val="24"/>
          <w:szCs w:val="24"/>
          <w:highlight w:val="yellow"/>
        </w:rPr>
        <w:t>, L. (2023). Promoting equity and excellence in elementary education: A global approach to school management and leadership. </w:t>
      </w:r>
      <w:r w:rsidRPr="00562995">
        <w:rPr>
          <w:rFonts w:ascii="Arial" w:hAnsi="Arial" w:cs="Arial"/>
          <w:i/>
          <w:iCs/>
          <w:sz w:val="24"/>
          <w:szCs w:val="24"/>
          <w:highlight w:val="yellow"/>
        </w:rPr>
        <w:t xml:space="preserve">IJOBBA: International Journal of </w:t>
      </w:r>
      <w:proofErr w:type="spellStart"/>
      <w:r w:rsidRPr="00562995">
        <w:rPr>
          <w:rFonts w:ascii="Arial" w:hAnsi="Arial" w:cs="Arial"/>
          <w:i/>
          <w:iCs/>
          <w:sz w:val="24"/>
          <w:szCs w:val="24"/>
          <w:highlight w:val="yellow"/>
        </w:rPr>
        <w:t>Bunga</w:t>
      </w:r>
      <w:proofErr w:type="spellEnd"/>
      <w:r w:rsidRPr="00562995">
        <w:rPr>
          <w:rFonts w:ascii="Arial" w:hAnsi="Arial" w:cs="Arial"/>
          <w:i/>
          <w:iCs/>
          <w:sz w:val="24"/>
          <w:szCs w:val="24"/>
          <w:highlight w:val="yellow"/>
        </w:rPr>
        <w:t xml:space="preserve"> </w:t>
      </w:r>
      <w:proofErr w:type="spellStart"/>
      <w:r w:rsidRPr="00562995">
        <w:rPr>
          <w:rFonts w:ascii="Arial" w:hAnsi="Arial" w:cs="Arial"/>
          <w:i/>
          <w:iCs/>
          <w:sz w:val="24"/>
          <w:szCs w:val="24"/>
          <w:highlight w:val="yellow"/>
        </w:rPr>
        <w:t>Bangsa</w:t>
      </w:r>
      <w:proofErr w:type="spellEnd"/>
      <w:r w:rsidRPr="00562995">
        <w:rPr>
          <w:rFonts w:ascii="Arial" w:hAnsi="Arial" w:cs="Arial"/>
          <w:i/>
          <w:iCs/>
          <w:sz w:val="24"/>
          <w:szCs w:val="24"/>
          <w:highlight w:val="yellow"/>
        </w:rPr>
        <w:t xml:space="preserve"> Cirebon</w:t>
      </w:r>
      <w:r w:rsidRPr="00562995">
        <w:rPr>
          <w:rFonts w:ascii="Arial" w:hAnsi="Arial" w:cs="Arial"/>
          <w:sz w:val="24"/>
          <w:szCs w:val="24"/>
          <w:highlight w:val="yellow"/>
        </w:rPr>
        <w:t>, </w:t>
      </w:r>
      <w:r w:rsidRPr="00562995">
        <w:rPr>
          <w:rFonts w:ascii="Arial" w:hAnsi="Arial" w:cs="Arial"/>
          <w:i/>
          <w:iCs/>
          <w:sz w:val="24"/>
          <w:szCs w:val="24"/>
          <w:highlight w:val="yellow"/>
        </w:rPr>
        <w:t>2</w:t>
      </w:r>
      <w:r w:rsidRPr="00562995">
        <w:rPr>
          <w:rFonts w:ascii="Arial" w:hAnsi="Arial" w:cs="Arial"/>
          <w:sz w:val="24"/>
          <w:szCs w:val="24"/>
          <w:highlight w:val="yellow"/>
        </w:rPr>
        <w:t>(2), 210-217.</w:t>
      </w:r>
    </w:p>
    <w:p w14:paraId="62DFD1D5" w14:textId="5894ECA4" w:rsidR="0002394F" w:rsidRDefault="0002394F" w:rsidP="005E5ADE">
      <w:pPr>
        <w:jc w:val="both"/>
        <w:rPr>
          <w:rFonts w:ascii="Arial" w:hAnsi="Arial" w:cs="Arial"/>
          <w:sz w:val="24"/>
          <w:szCs w:val="24"/>
        </w:rPr>
      </w:pPr>
      <w:proofErr w:type="spellStart"/>
      <w:r w:rsidRPr="000D0DEC">
        <w:rPr>
          <w:rFonts w:ascii="Arial" w:hAnsi="Arial" w:cs="Arial"/>
          <w:sz w:val="24"/>
          <w:szCs w:val="24"/>
          <w:highlight w:val="yellow"/>
          <w:lang w:val="en-US"/>
        </w:rPr>
        <w:t>Uwamahoro</w:t>
      </w:r>
      <w:proofErr w:type="spellEnd"/>
      <w:r w:rsidRPr="000D0DEC">
        <w:rPr>
          <w:rFonts w:ascii="Arial" w:hAnsi="Arial" w:cs="Arial"/>
          <w:sz w:val="24"/>
          <w:szCs w:val="24"/>
          <w:highlight w:val="yellow"/>
          <w:lang w:val="en-US"/>
        </w:rPr>
        <w:t xml:space="preserve">, B., </w:t>
      </w:r>
      <w:proofErr w:type="spellStart"/>
      <w:r w:rsidRPr="000D0DEC">
        <w:rPr>
          <w:rFonts w:ascii="Arial" w:hAnsi="Arial" w:cs="Arial"/>
          <w:sz w:val="24"/>
          <w:szCs w:val="24"/>
          <w:highlight w:val="yellow"/>
          <w:lang w:val="en-US"/>
        </w:rPr>
        <w:t>Shavega</w:t>
      </w:r>
      <w:proofErr w:type="spellEnd"/>
      <w:r w:rsidRPr="000D0DEC">
        <w:rPr>
          <w:rFonts w:ascii="Arial" w:hAnsi="Arial" w:cs="Arial"/>
          <w:sz w:val="24"/>
          <w:szCs w:val="24"/>
          <w:highlight w:val="yellow"/>
          <w:lang w:val="en-US"/>
        </w:rPr>
        <w:t xml:space="preserve">, T. J., &amp; Maulid, M. J. (2024). </w:t>
      </w:r>
      <w:r w:rsidRPr="00562995">
        <w:rPr>
          <w:rFonts w:ascii="Arial" w:hAnsi="Arial" w:cs="Arial"/>
          <w:sz w:val="24"/>
          <w:szCs w:val="24"/>
          <w:highlight w:val="yellow"/>
        </w:rPr>
        <w:t xml:space="preserve">Examining the influence of transformational leadership style on teachers’ performance in 12 year-basic education in </w:t>
      </w:r>
      <w:proofErr w:type="spellStart"/>
      <w:r w:rsidRPr="00562995">
        <w:rPr>
          <w:rFonts w:ascii="Arial" w:hAnsi="Arial" w:cs="Arial"/>
          <w:sz w:val="24"/>
          <w:szCs w:val="24"/>
          <w:highlight w:val="yellow"/>
        </w:rPr>
        <w:lastRenderedPageBreak/>
        <w:t>Nyaruguru</w:t>
      </w:r>
      <w:proofErr w:type="spellEnd"/>
      <w:r w:rsidRPr="00562995">
        <w:rPr>
          <w:rFonts w:ascii="Arial" w:hAnsi="Arial" w:cs="Arial"/>
          <w:sz w:val="24"/>
          <w:szCs w:val="24"/>
          <w:highlight w:val="yellow"/>
        </w:rPr>
        <w:t xml:space="preserve"> District, Rwanda. </w:t>
      </w:r>
      <w:r w:rsidRPr="00562995">
        <w:rPr>
          <w:rFonts w:ascii="Arial" w:hAnsi="Arial" w:cs="Arial"/>
          <w:i/>
          <w:iCs/>
          <w:sz w:val="24"/>
          <w:szCs w:val="24"/>
          <w:highlight w:val="yellow"/>
        </w:rPr>
        <w:t>Asian Research Journal of Arts &amp; Social Sciences, 22</w:t>
      </w:r>
      <w:r w:rsidRPr="00562995">
        <w:rPr>
          <w:rFonts w:ascii="Arial" w:hAnsi="Arial" w:cs="Arial"/>
          <w:sz w:val="24"/>
          <w:szCs w:val="24"/>
          <w:highlight w:val="yellow"/>
        </w:rPr>
        <w:t>(12), 1–12.</w:t>
      </w:r>
    </w:p>
    <w:p w14:paraId="50DAF9C8" w14:textId="77777777" w:rsidR="0002394F" w:rsidRDefault="0002394F" w:rsidP="005E5ADE">
      <w:pPr>
        <w:jc w:val="both"/>
        <w:rPr>
          <w:rFonts w:ascii="Arial" w:hAnsi="Arial" w:cs="Arial"/>
          <w:sz w:val="24"/>
          <w:szCs w:val="24"/>
        </w:rPr>
      </w:pPr>
    </w:p>
    <w:p w14:paraId="611EFC28" w14:textId="77777777" w:rsidR="00393CE7" w:rsidRPr="005E5ADE" w:rsidRDefault="00393CE7" w:rsidP="005E5ADE">
      <w:pPr>
        <w:jc w:val="both"/>
        <w:rPr>
          <w:rFonts w:ascii="Arial" w:hAnsi="Arial" w:cs="Arial"/>
          <w:sz w:val="24"/>
          <w:szCs w:val="24"/>
        </w:rPr>
      </w:pPr>
    </w:p>
    <w:p w14:paraId="25044C6A" w14:textId="77777777" w:rsidR="00D352E4" w:rsidRPr="00A11428" w:rsidRDefault="00D352E4" w:rsidP="005E5ADE">
      <w:pPr>
        <w:jc w:val="both"/>
        <w:rPr>
          <w:rFonts w:ascii="Arial" w:hAnsi="Arial" w:cs="Arial"/>
          <w:sz w:val="24"/>
          <w:szCs w:val="24"/>
        </w:rPr>
      </w:pPr>
    </w:p>
    <w:sectPr w:rsidR="00D352E4" w:rsidRPr="00A114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D7FF" w14:textId="77777777" w:rsidR="007851D4" w:rsidRDefault="007851D4" w:rsidP="00D923B2">
      <w:pPr>
        <w:spacing w:after="0" w:line="240" w:lineRule="auto"/>
      </w:pPr>
      <w:r>
        <w:separator/>
      </w:r>
    </w:p>
  </w:endnote>
  <w:endnote w:type="continuationSeparator" w:id="0">
    <w:p w14:paraId="56EA4D1C" w14:textId="77777777" w:rsidR="007851D4" w:rsidRDefault="007851D4" w:rsidP="00D9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4ED5" w14:textId="77777777" w:rsidR="00D923B2" w:rsidRDefault="00D9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3AD1" w14:textId="77777777" w:rsidR="00D923B2" w:rsidRDefault="00D92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8EC5" w14:textId="77777777" w:rsidR="00D923B2" w:rsidRDefault="00D9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5E9FB" w14:textId="77777777" w:rsidR="007851D4" w:rsidRDefault="007851D4" w:rsidP="00D923B2">
      <w:pPr>
        <w:spacing w:after="0" w:line="240" w:lineRule="auto"/>
      </w:pPr>
      <w:r>
        <w:separator/>
      </w:r>
    </w:p>
  </w:footnote>
  <w:footnote w:type="continuationSeparator" w:id="0">
    <w:p w14:paraId="51160B1C" w14:textId="77777777" w:rsidR="007851D4" w:rsidRDefault="007851D4" w:rsidP="00D9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2414" w14:textId="027D1ABD" w:rsidR="00D923B2" w:rsidRDefault="00FD7C56">
    <w:pPr>
      <w:pStyle w:val="Header"/>
    </w:pPr>
    <w:r>
      <w:rPr>
        <w:noProof/>
      </w:rPr>
      <w:pict w14:anchorId="20B60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DFEC" w14:textId="4EE74A2A" w:rsidR="00D923B2" w:rsidRDefault="00FD7C56">
    <w:pPr>
      <w:pStyle w:val="Header"/>
    </w:pPr>
    <w:r>
      <w:rPr>
        <w:noProof/>
      </w:rPr>
      <w:pict w14:anchorId="24E0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2F57" w14:textId="43507D2A" w:rsidR="00D923B2" w:rsidRDefault="00FD7C56">
    <w:pPr>
      <w:pStyle w:val="Header"/>
    </w:pPr>
    <w:r>
      <w:rPr>
        <w:noProof/>
      </w:rPr>
      <w:pict w14:anchorId="11960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9B1"/>
    <w:multiLevelType w:val="multilevel"/>
    <w:tmpl w:val="FDA6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A5343"/>
    <w:multiLevelType w:val="multilevel"/>
    <w:tmpl w:val="00AC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81BCC"/>
    <w:multiLevelType w:val="multilevel"/>
    <w:tmpl w:val="302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wMDM1MzY3MzU2MDRQ0lEKTi0uzszPAykwrAUAeR0oTSwAAAA="/>
  </w:docVars>
  <w:rsids>
    <w:rsidRoot w:val="00A82744"/>
    <w:rsid w:val="0002394F"/>
    <w:rsid w:val="00094B15"/>
    <w:rsid w:val="000D0DEC"/>
    <w:rsid w:val="001660A8"/>
    <w:rsid w:val="001B64BC"/>
    <w:rsid w:val="002401CE"/>
    <w:rsid w:val="00244320"/>
    <w:rsid w:val="00287B2F"/>
    <w:rsid w:val="002F475F"/>
    <w:rsid w:val="00316708"/>
    <w:rsid w:val="0033150C"/>
    <w:rsid w:val="0037140D"/>
    <w:rsid w:val="00393CE7"/>
    <w:rsid w:val="003B6FB6"/>
    <w:rsid w:val="004007E3"/>
    <w:rsid w:val="00542DC4"/>
    <w:rsid w:val="00543830"/>
    <w:rsid w:val="0054572B"/>
    <w:rsid w:val="00552A80"/>
    <w:rsid w:val="00562995"/>
    <w:rsid w:val="00565FDF"/>
    <w:rsid w:val="0059092E"/>
    <w:rsid w:val="0059110F"/>
    <w:rsid w:val="005E5ADE"/>
    <w:rsid w:val="006640D4"/>
    <w:rsid w:val="006B020C"/>
    <w:rsid w:val="006B1C1F"/>
    <w:rsid w:val="006D20D0"/>
    <w:rsid w:val="00774B90"/>
    <w:rsid w:val="007851D4"/>
    <w:rsid w:val="007A27C8"/>
    <w:rsid w:val="00824AE3"/>
    <w:rsid w:val="008E45DA"/>
    <w:rsid w:val="0090549A"/>
    <w:rsid w:val="00970C83"/>
    <w:rsid w:val="0098197D"/>
    <w:rsid w:val="009B4376"/>
    <w:rsid w:val="00A11428"/>
    <w:rsid w:val="00A41A22"/>
    <w:rsid w:val="00A45DEF"/>
    <w:rsid w:val="00A82744"/>
    <w:rsid w:val="00AB0587"/>
    <w:rsid w:val="00B01DD9"/>
    <w:rsid w:val="00BB6C0A"/>
    <w:rsid w:val="00C33FA9"/>
    <w:rsid w:val="00D25024"/>
    <w:rsid w:val="00D311B2"/>
    <w:rsid w:val="00D352E4"/>
    <w:rsid w:val="00D37A33"/>
    <w:rsid w:val="00D728D2"/>
    <w:rsid w:val="00D7339A"/>
    <w:rsid w:val="00D73E49"/>
    <w:rsid w:val="00D91ECF"/>
    <w:rsid w:val="00D923B2"/>
    <w:rsid w:val="00DB7107"/>
    <w:rsid w:val="00E81FF9"/>
    <w:rsid w:val="00F123D3"/>
    <w:rsid w:val="00FD7C5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E0A289"/>
  <w15:chartTrackingRefBased/>
  <w15:docId w15:val="{5F222ACE-2A6D-46B1-AEFD-A133919B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744"/>
    <w:rPr>
      <w:rFonts w:eastAsiaTheme="majorEastAsia" w:cstheme="majorBidi"/>
      <w:color w:val="272727" w:themeColor="text1" w:themeTint="D8"/>
    </w:rPr>
  </w:style>
  <w:style w:type="paragraph" w:styleId="Title">
    <w:name w:val="Title"/>
    <w:basedOn w:val="Normal"/>
    <w:next w:val="Normal"/>
    <w:link w:val="TitleChar"/>
    <w:uiPriority w:val="10"/>
    <w:qFormat/>
    <w:rsid w:val="00A82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744"/>
    <w:pPr>
      <w:spacing w:before="160"/>
      <w:jc w:val="center"/>
    </w:pPr>
    <w:rPr>
      <w:i/>
      <w:iCs/>
      <w:color w:val="404040" w:themeColor="text1" w:themeTint="BF"/>
    </w:rPr>
  </w:style>
  <w:style w:type="character" w:customStyle="1" w:styleId="QuoteChar">
    <w:name w:val="Quote Char"/>
    <w:basedOn w:val="DefaultParagraphFont"/>
    <w:link w:val="Quote"/>
    <w:uiPriority w:val="29"/>
    <w:rsid w:val="00A82744"/>
    <w:rPr>
      <w:i/>
      <w:iCs/>
      <w:color w:val="404040" w:themeColor="text1" w:themeTint="BF"/>
    </w:rPr>
  </w:style>
  <w:style w:type="paragraph" w:styleId="ListParagraph">
    <w:name w:val="List Paragraph"/>
    <w:basedOn w:val="Normal"/>
    <w:uiPriority w:val="34"/>
    <w:qFormat/>
    <w:rsid w:val="00A82744"/>
    <w:pPr>
      <w:ind w:left="720"/>
      <w:contextualSpacing/>
    </w:pPr>
  </w:style>
  <w:style w:type="character" w:styleId="IntenseEmphasis">
    <w:name w:val="Intense Emphasis"/>
    <w:basedOn w:val="DefaultParagraphFont"/>
    <w:uiPriority w:val="21"/>
    <w:qFormat/>
    <w:rsid w:val="00A82744"/>
    <w:rPr>
      <w:i/>
      <w:iCs/>
      <w:color w:val="2F5496" w:themeColor="accent1" w:themeShade="BF"/>
    </w:rPr>
  </w:style>
  <w:style w:type="paragraph" w:styleId="IntenseQuote">
    <w:name w:val="Intense Quote"/>
    <w:basedOn w:val="Normal"/>
    <w:next w:val="Normal"/>
    <w:link w:val="IntenseQuoteChar"/>
    <w:uiPriority w:val="30"/>
    <w:qFormat/>
    <w:rsid w:val="00A82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744"/>
    <w:rPr>
      <w:i/>
      <w:iCs/>
      <w:color w:val="2F5496" w:themeColor="accent1" w:themeShade="BF"/>
    </w:rPr>
  </w:style>
  <w:style w:type="character" w:styleId="IntenseReference">
    <w:name w:val="Intense Reference"/>
    <w:basedOn w:val="DefaultParagraphFont"/>
    <w:uiPriority w:val="32"/>
    <w:qFormat/>
    <w:rsid w:val="00A82744"/>
    <w:rPr>
      <w:b/>
      <w:bCs/>
      <w:smallCaps/>
      <w:color w:val="2F5496" w:themeColor="accent1" w:themeShade="BF"/>
      <w:spacing w:val="5"/>
    </w:rPr>
  </w:style>
  <w:style w:type="character" w:styleId="Hyperlink">
    <w:name w:val="Hyperlink"/>
    <w:basedOn w:val="DefaultParagraphFont"/>
    <w:uiPriority w:val="99"/>
    <w:unhideWhenUsed/>
    <w:rsid w:val="005E5ADE"/>
    <w:rPr>
      <w:color w:val="0563C1" w:themeColor="hyperlink"/>
      <w:u w:val="single"/>
    </w:rPr>
  </w:style>
  <w:style w:type="character" w:styleId="UnresolvedMention">
    <w:name w:val="Unresolved Mention"/>
    <w:basedOn w:val="DefaultParagraphFont"/>
    <w:uiPriority w:val="99"/>
    <w:semiHidden/>
    <w:unhideWhenUsed/>
    <w:rsid w:val="005E5ADE"/>
    <w:rPr>
      <w:color w:val="605E5C"/>
      <w:shd w:val="clear" w:color="auto" w:fill="E1DFDD"/>
    </w:rPr>
  </w:style>
  <w:style w:type="paragraph" w:styleId="Header">
    <w:name w:val="header"/>
    <w:basedOn w:val="Normal"/>
    <w:link w:val="HeaderChar"/>
    <w:uiPriority w:val="99"/>
    <w:unhideWhenUsed/>
    <w:rsid w:val="00D9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B2"/>
  </w:style>
  <w:style w:type="paragraph" w:styleId="Footer">
    <w:name w:val="footer"/>
    <w:basedOn w:val="Normal"/>
    <w:link w:val="FooterChar"/>
    <w:uiPriority w:val="99"/>
    <w:unhideWhenUsed/>
    <w:rsid w:val="00D9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B2"/>
  </w:style>
  <w:style w:type="paragraph" w:styleId="Revision">
    <w:name w:val="Revision"/>
    <w:hidden/>
    <w:uiPriority w:val="99"/>
    <w:semiHidden/>
    <w:rsid w:val="008E4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2916</Words>
  <Characters>19996</Characters>
  <Application>Microsoft Office Word</Application>
  <DocSecurity>0</DocSecurity>
  <Lines>166</Lines>
  <Paragraphs>45</Paragraphs>
  <ScaleCrop>false</ScaleCrop>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Joy Saligumba</dc:creator>
  <cp:keywords/>
  <dc:description/>
  <cp:lastModifiedBy>SDI PC New 16</cp:lastModifiedBy>
  <cp:revision>42</cp:revision>
  <dcterms:created xsi:type="dcterms:W3CDTF">2025-09-02T03:43:00Z</dcterms:created>
  <dcterms:modified xsi:type="dcterms:W3CDTF">2025-09-23T07:09:00Z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0d5904e5-6fca-45f5-ae52-4d39b880b794</vt:lpwstr>
  </property>
</Properties>
</file>