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E307F" w14:textId="77777777" w:rsidR="006202A3" w:rsidRDefault="006202A3">
      <w:pPr>
        <w:pStyle w:val="Title"/>
        <w:spacing w:after="0"/>
        <w:jc w:val="both"/>
        <w:rPr>
          <w:rFonts w:ascii="Arial" w:eastAsia="Arial" w:hAnsi="Arial" w:cs="Arial"/>
        </w:rPr>
      </w:pPr>
    </w:p>
    <w:p w14:paraId="355D33E2" w14:textId="25E7BF15" w:rsidR="006202A3" w:rsidRDefault="00DF3D8E">
      <w:pPr>
        <w:pBdr>
          <w:top w:val="nil"/>
          <w:left w:val="nil"/>
          <w:bottom w:val="nil"/>
          <w:right w:val="nil"/>
          <w:between w:val="nil"/>
        </w:pBdr>
        <w:jc w:val="right"/>
        <w:rPr>
          <w:rFonts w:ascii="Arial" w:eastAsia="Arial" w:hAnsi="Arial" w:cs="Arial"/>
          <w:b/>
          <w:color w:val="000000"/>
          <w:sz w:val="36"/>
          <w:szCs w:val="36"/>
        </w:rPr>
      </w:pPr>
      <w:r w:rsidRPr="008A5A3A">
        <w:rPr>
          <w:rFonts w:ascii="Arial" w:eastAsia="Arial" w:hAnsi="Arial" w:cs="Arial"/>
          <w:b/>
          <w:sz w:val="36"/>
          <w:szCs w:val="36"/>
          <w:highlight w:val="yellow"/>
        </w:rPr>
        <w:t xml:space="preserve">Knowledge Level </w:t>
      </w:r>
      <w:r>
        <w:rPr>
          <w:rFonts w:ascii="Arial" w:eastAsia="Arial" w:hAnsi="Arial" w:cs="Arial"/>
          <w:b/>
          <w:sz w:val="36"/>
          <w:szCs w:val="36"/>
          <w:highlight w:val="yellow"/>
        </w:rPr>
        <w:t>o</w:t>
      </w:r>
      <w:r w:rsidRPr="008A5A3A">
        <w:rPr>
          <w:rFonts w:ascii="Arial" w:eastAsia="Arial" w:hAnsi="Arial" w:cs="Arial"/>
          <w:b/>
          <w:sz w:val="36"/>
          <w:szCs w:val="36"/>
          <w:highlight w:val="yellow"/>
        </w:rPr>
        <w:t xml:space="preserve">f Sexual Health </w:t>
      </w:r>
      <w:r>
        <w:rPr>
          <w:rFonts w:ascii="Arial" w:eastAsia="Arial" w:hAnsi="Arial" w:cs="Arial"/>
          <w:b/>
          <w:sz w:val="36"/>
          <w:szCs w:val="36"/>
          <w:highlight w:val="yellow"/>
        </w:rPr>
        <w:t>a</w:t>
      </w:r>
      <w:r w:rsidRPr="008A5A3A">
        <w:rPr>
          <w:rFonts w:ascii="Arial" w:eastAsia="Arial" w:hAnsi="Arial" w:cs="Arial"/>
          <w:b/>
          <w:sz w:val="36"/>
          <w:szCs w:val="36"/>
          <w:highlight w:val="yellow"/>
        </w:rPr>
        <w:t xml:space="preserve">mong Students </w:t>
      </w:r>
      <w:r>
        <w:rPr>
          <w:rFonts w:ascii="Arial" w:eastAsia="Arial" w:hAnsi="Arial" w:cs="Arial"/>
          <w:b/>
          <w:sz w:val="36"/>
          <w:szCs w:val="36"/>
          <w:highlight w:val="yellow"/>
        </w:rPr>
        <w:t>i</w:t>
      </w:r>
      <w:r w:rsidRPr="008A5A3A">
        <w:rPr>
          <w:rFonts w:ascii="Arial" w:eastAsia="Arial" w:hAnsi="Arial" w:cs="Arial"/>
          <w:b/>
          <w:sz w:val="36"/>
          <w:szCs w:val="36"/>
          <w:highlight w:val="yellow"/>
        </w:rPr>
        <w:t>n Feira De Santana</w:t>
      </w:r>
      <w:r>
        <w:rPr>
          <w:rFonts w:ascii="Arial" w:eastAsia="Arial" w:hAnsi="Arial" w:cs="Arial"/>
          <w:b/>
          <w:color w:val="000000"/>
          <w:sz w:val="36"/>
          <w:szCs w:val="36"/>
        </w:rPr>
        <w:t xml:space="preserve"> </w:t>
      </w:r>
    </w:p>
    <w:p w14:paraId="539C47DB" w14:textId="77777777" w:rsidR="006202A3" w:rsidRDefault="006202A3">
      <w:pPr>
        <w:pBdr>
          <w:top w:val="nil"/>
          <w:left w:val="nil"/>
          <w:bottom w:val="nil"/>
          <w:right w:val="nil"/>
          <w:between w:val="nil"/>
        </w:pBdr>
        <w:jc w:val="both"/>
        <w:rPr>
          <w:rFonts w:ascii="Arial" w:eastAsia="Arial" w:hAnsi="Arial" w:cs="Arial"/>
          <w:b/>
          <w:color w:val="000000"/>
          <w:sz w:val="36"/>
          <w:szCs w:val="36"/>
        </w:rPr>
      </w:pPr>
    </w:p>
    <w:p w14:paraId="23924FFD" w14:textId="77777777" w:rsidR="006202A3" w:rsidRDefault="006202A3">
      <w:pPr>
        <w:pBdr>
          <w:top w:val="nil"/>
          <w:left w:val="nil"/>
          <w:bottom w:val="nil"/>
          <w:right w:val="nil"/>
          <w:between w:val="nil"/>
        </w:pBdr>
        <w:jc w:val="right"/>
        <w:rPr>
          <w:rFonts w:ascii="Arial" w:eastAsia="Arial" w:hAnsi="Arial" w:cs="Arial"/>
          <w:b/>
          <w:sz w:val="24"/>
          <w:szCs w:val="24"/>
        </w:rPr>
      </w:pPr>
    </w:p>
    <w:p w14:paraId="3F135029" w14:textId="77777777" w:rsidR="006202A3" w:rsidRDefault="006202A3">
      <w:pPr>
        <w:pBdr>
          <w:top w:val="nil"/>
          <w:left w:val="nil"/>
          <w:bottom w:val="nil"/>
          <w:right w:val="nil"/>
          <w:between w:val="nil"/>
        </w:pBdr>
        <w:jc w:val="right"/>
        <w:rPr>
          <w:rFonts w:ascii="Arial" w:eastAsia="Arial" w:hAnsi="Arial" w:cs="Arial"/>
          <w:b/>
          <w:sz w:val="24"/>
          <w:szCs w:val="24"/>
        </w:rPr>
      </w:pPr>
    </w:p>
    <w:p w14:paraId="62F71806" w14:textId="77777777" w:rsidR="006202A3" w:rsidRDefault="006202A3">
      <w:pPr>
        <w:pBdr>
          <w:top w:val="nil"/>
          <w:left w:val="nil"/>
          <w:bottom w:val="nil"/>
          <w:right w:val="nil"/>
          <w:between w:val="nil"/>
        </w:pBdr>
        <w:jc w:val="both"/>
        <w:rPr>
          <w:rFonts w:ascii="Arial" w:eastAsia="Arial" w:hAnsi="Arial" w:cs="Arial"/>
          <w:color w:val="000000"/>
        </w:rPr>
      </w:pPr>
    </w:p>
    <w:p w14:paraId="3C6183EF" w14:textId="77777777" w:rsidR="006202A3" w:rsidRDefault="006202A3">
      <w:pPr>
        <w:pBdr>
          <w:top w:val="nil"/>
          <w:left w:val="nil"/>
          <w:bottom w:val="nil"/>
          <w:right w:val="nil"/>
          <w:between w:val="nil"/>
        </w:pBdr>
        <w:jc w:val="both"/>
        <w:rPr>
          <w:rFonts w:ascii="Arial" w:eastAsia="Arial" w:hAnsi="Arial" w:cs="Arial"/>
          <w:color w:val="000000"/>
        </w:rPr>
      </w:pPr>
    </w:p>
    <w:p w14:paraId="040F34EE" w14:textId="77777777" w:rsidR="006202A3" w:rsidRDefault="009953D1">
      <w:pPr>
        <w:pBdr>
          <w:top w:val="nil"/>
          <w:left w:val="nil"/>
          <w:bottom w:val="nil"/>
          <w:right w:val="nil"/>
          <w:between w:val="nil"/>
        </w:pBdr>
        <w:jc w:val="both"/>
        <w:rPr>
          <w:rFonts w:ascii="Arial" w:eastAsia="Arial" w:hAnsi="Arial" w:cs="Arial"/>
          <w:color w:val="000000"/>
          <w:sz w:val="16"/>
          <w:szCs w:val="16"/>
        </w:rPr>
        <w:sectPr w:rsidR="006202A3" w:rsidSect="00745185">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63C76B2" wp14:editId="38A26780">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66E3E6A" w14:textId="2577FD44" w:rsidR="006202A3" w:rsidRDefault="009953D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E5D4BF0"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202A3" w14:paraId="5034F797" w14:textId="77777777">
        <w:tc>
          <w:tcPr>
            <w:tcW w:w="8424" w:type="dxa"/>
            <w:shd w:val="clear" w:color="auto" w:fill="F2F2F2"/>
          </w:tcPr>
          <w:p w14:paraId="3C371173" w14:textId="77777777" w:rsidR="006202A3" w:rsidRDefault="009953D1">
            <w:pPr>
              <w:spacing w:line="360" w:lineRule="auto"/>
              <w:jc w:val="both"/>
              <w:rPr>
                <w:rFonts w:ascii="Arial" w:eastAsia="Arial" w:hAnsi="Arial" w:cs="Arial"/>
                <w:sz w:val="24"/>
                <w:szCs w:val="24"/>
              </w:rPr>
            </w:pPr>
            <w:r>
              <w:rPr>
                <w:rFonts w:ascii="Arial" w:eastAsia="Arial" w:hAnsi="Arial" w:cs="Arial"/>
                <w:b/>
                <w:sz w:val="24"/>
                <w:szCs w:val="24"/>
              </w:rPr>
              <w:t>ABSTRACT</w:t>
            </w:r>
          </w:p>
          <w:p w14:paraId="27A54BC2" w14:textId="4AD0431B" w:rsidR="006202A3" w:rsidRDefault="009953D1">
            <w:pPr>
              <w:spacing w:before="240" w:after="240"/>
              <w:jc w:val="both"/>
              <w:rPr>
                <w:rFonts w:ascii="Arial" w:eastAsia="Arial" w:hAnsi="Arial" w:cs="Arial"/>
                <w:sz w:val="24"/>
                <w:szCs w:val="24"/>
              </w:rPr>
            </w:pPr>
            <w:r>
              <w:rPr>
                <w:rFonts w:ascii="Arial" w:eastAsia="Arial" w:hAnsi="Arial" w:cs="Arial"/>
                <w:b/>
                <w:sz w:val="24"/>
                <w:szCs w:val="24"/>
              </w:rPr>
              <w:t xml:space="preserve">Introduction: </w:t>
            </w:r>
            <w:r>
              <w:rPr>
                <w:rFonts w:ascii="Arial" w:eastAsia="Arial" w:hAnsi="Arial" w:cs="Arial"/>
                <w:sz w:val="24"/>
                <w:szCs w:val="24"/>
              </w:rPr>
              <w:t xml:space="preserve"> Sex education is an essential component in promoting health among adolescents, contributing to the prevention of STIs, early pregnancy, and sexual violence. </w:t>
            </w:r>
            <w:r w:rsidR="00824886" w:rsidRPr="008A5A3A">
              <w:rPr>
                <w:rFonts w:ascii="Arial" w:eastAsia="Arial" w:hAnsi="Arial" w:cs="Arial"/>
                <w:sz w:val="24"/>
                <w:szCs w:val="24"/>
                <w:highlight w:val="yellow"/>
              </w:rPr>
              <w:t>Sex education is understood as the teaching that raises individuals' awareness about their bodies, established boundaries, and the pursuit of safe development in sexual activity.</w:t>
            </w:r>
            <w:r w:rsidR="00824886" w:rsidRPr="00824886">
              <w:rPr>
                <w:rFonts w:ascii="Arial" w:eastAsia="Arial" w:hAnsi="Arial" w:cs="Arial"/>
                <w:sz w:val="24"/>
                <w:szCs w:val="24"/>
              </w:rPr>
              <w:t xml:space="preserve"> </w:t>
            </w:r>
            <w:r>
              <w:rPr>
                <w:rFonts w:ascii="Arial" w:eastAsia="Arial" w:hAnsi="Arial" w:cs="Arial"/>
                <w:sz w:val="24"/>
                <w:szCs w:val="24"/>
              </w:rPr>
              <w:t xml:space="preserve">However, its inclusion in schools still faces resistance due to cultural, religious, and political influences, leading to misinformation and increased vulnerability among young people. </w:t>
            </w:r>
            <w:r>
              <w:rPr>
                <w:rFonts w:ascii="Arial" w:eastAsia="Arial" w:hAnsi="Arial" w:cs="Arial"/>
                <w:b/>
                <w:sz w:val="24"/>
                <w:szCs w:val="24"/>
              </w:rPr>
              <w:t xml:space="preserve">Objective: </w:t>
            </w:r>
            <w:r>
              <w:rPr>
                <w:rFonts w:ascii="Arial" w:eastAsia="Arial" w:hAnsi="Arial" w:cs="Arial"/>
                <w:sz w:val="24"/>
                <w:szCs w:val="24"/>
              </w:rPr>
              <w:t xml:space="preserve"> To assess the level of knowledge about sexual health among high school students in public schools in Feira de Santana, focusing on STIs, contraceptive methods, menstrual cycle, teenage pregnancy, mental health, and family planning. </w:t>
            </w:r>
            <w:r>
              <w:rPr>
                <w:rFonts w:ascii="Arial" w:eastAsia="Arial" w:hAnsi="Arial" w:cs="Arial"/>
                <w:b/>
                <w:sz w:val="24"/>
                <w:szCs w:val="24"/>
              </w:rPr>
              <w:t xml:space="preserve">Methodology: </w:t>
            </w:r>
            <w:r>
              <w:rPr>
                <w:rFonts w:ascii="Arial" w:eastAsia="Arial" w:hAnsi="Arial" w:cs="Arial"/>
                <w:sz w:val="24"/>
                <w:szCs w:val="24"/>
              </w:rPr>
              <w:t xml:space="preserve"> Descriptive bibliographic </w:t>
            </w:r>
            <w:proofErr w:type="gramStart"/>
            <w:r>
              <w:rPr>
                <w:rFonts w:ascii="Arial" w:eastAsia="Arial" w:hAnsi="Arial" w:cs="Arial"/>
                <w:sz w:val="24"/>
                <w:szCs w:val="24"/>
              </w:rPr>
              <w:t>study ,</w:t>
            </w:r>
            <w:proofErr w:type="gramEnd"/>
            <w:r>
              <w:rPr>
                <w:rFonts w:ascii="Arial" w:eastAsia="Arial" w:hAnsi="Arial" w:cs="Arial"/>
                <w:sz w:val="24"/>
                <w:szCs w:val="24"/>
              </w:rPr>
              <w:t xml:space="preserve"> based on a literature review of scientific publications from 2020 to 2025. Searches were conducted on the PubMed database using </w:t>
            </w:r>
            <w:proofErr w:type="spellStart"/>
            <w:r>
              <w:rPr>
                <w:rFonts w:ascii="Arial" w:eastAsia="Arial" w:hAnsi="Arial" w:cs="Arial"/>
                <w:sz w:val="24"/>
                <w:szCs w:val="24"/>
              </w:rPr>
              <w:t>DeCS</w:t>
            </w:r>
            <w:proofErr w:type="spellEnd"/>
            <w:r>
              <w:rPr>
                <w:rFonts w:ascii="Arial" w:eastAsia="Arial" w:hAnsi="Arial" w:cs="Arial"/>
                <w:sz w:val="24"/>
                <w:szCs w:val="24"/>
              </w:rPr>
              <w:t xml:space="preserve"> descriptors such as “Sex Education,” “Adolescent,” and “Schools.” Nine thematic axes were defined to guide the critical analysis of the articles. </w:t>
            </w:r>
            <w:r>
              <w:rPr>
                <w:rFonts w:ascii="Arial" w:eastAsia="Arial" w:hAnsi="Arial" w:cs="Arial"/>
                <w:b/>
                <w:sz w:val="24"/>
                <w:szCs w:val="24"/>
              </w:rPr>
              <w:t xml:space="preserve">Results and Discussion: </w:t>
            </w:r>
            <w:r>
              <w:rPr>
                <w:rFonts w:ascii="Arial" w:eastAsia="Arial" w:hAnsi="Arial" w:cs="Arial"/>
                <w:sz w:val="24"/>
                <w:szCs w:val="24"/>
              </w:rPr>
              <w:t xml:space="preserve"> The data reveal significant gaps in formal sex education, </w:t>
            </w:r>
            <w:r w:rsidR="00650C2A" w:rsidRPr="008A5A3A">
              <w:rPr>
                <w:rFonts w:ascii="Arial" w:eastAsia="Arial" w:hAnsi="Arial" w:cs="Arial"/>
                <w:sz w:val="24"/>
                <w:szCs w:val="24"/>
                <w:highlight w:val="yellow"/>
              </w:rPr>
              <w:t>a</w:t>
            </w:r>
            <w:r w:rsidR="00650C2A">
              <w:rPr>
                <w:rFonts w:ascii="Arial" w:eastAsia="Arial" w:hAnsi="Arial" w:cs="Arial"/>
                <w:sz w:val="24"/>
                <w:szCs w:val="24"/>
              </w:rPr>
              <w:t xml:space="preserve"> </w:t>
            </w:r>
            <w:r>
              <w:rPr>
                <w:rFonts w:ascii="Arial" w:eastAsia="Arial" w:hAnsi="Arial" w:cs="Arial"/>
                <w:sz w:val="24"/>
                <w:szCs w:val="24"/>
              </w:rPr>
              <w:t xml:space="preserve">lack of adequate teacher training, and difficulties in accessing clear information about contraception. A direct correlation was also identified between the lack of sex education and the increase in STIs, early pregnancy, and mental health issues among adolescents. Effective sex education was shown to be associated with reduced school dropout rates, improved academic performance, and strengthened family planning. </w:t>
            </w:r>
            <w:r>
              <w:rPr>
                <w:rFonts w:ascii="Arial" w:eastAsia="Arial" w:hAnsi="Arial" w:cs="Arial"/>
                <w:b/>
                <w:sz w:val="24"/>
                <w:szCs w:val="24"/>
              </w:rPr>
              <w:t xml:space="preserve">Conclusion: </w:t>
            </w:r>
            <w:r>
              <w:rPr>
                <w:rFonts w:ascii="Arial" w:eastAsia="Arial" w:hAnsi="Arial" w:cs="Arial"/>
                <w:sz w:val="24"/>
                <w:szCs w:val="24"/>
              </w:rPr>
              <w:t xml:space="preserve"> The absence of a systematic approach to sexual health in</w:t>
            </w:r>
            <w:r w:rsidR="00650C2A">
              <w:rPr>
                <w:rFonts w:ascii="Arial" w:eastAsia="Arial" w:hAnsi="Arial" w:cs="Arial"/>
                <w:sz w:val="24"/>
                <w:szCs w:val="24"/>
              </w:rPr>
              <w:t xml:space="preserve"> </w:t>
            </w:r>
            <w:proofErr w:type="gramStart"/>
            <w:r>
              <w:rPr>
                <w:rFonts w:ascii="Arial" w:eastAsia="Arial" w:hAnsi="Arial" w:cs="Arial"/>
                <w:sz w:val="24"/>
                <w:szCs w:val="24"/>
              </w:rPr>
              <w:t>schools</w:t>
            </w:r>
            <w:proofErr w:type="gramEnd"/>
            <w:r>
              <w:rPr>
                <w:rFonts w:ascii="Arial" w:eastAsia="Arial" w:hAnsi="Arial" w:cs="Arial"/>
                <w:sz w:val="24"/>
                <w:szCs w:val="24"/>
              </w:rPr>
              <w:t xml:space="preserve"> compromises students' physical and mental well-being. Investing in comprehensive educational programs, teacher training, and inclusive strategies is essential for promoting sexual health and building a safe, informative, and welcoming school environment for adolescents.</w:t>
            </w:r>
            <w:r w:rsidR="00824886">
              <w:rPr>
                <w:rFonts w:ascii="Arial" w:eastAsia="Arial" w:hAnsi="Arial" w:cs="Arial"/>
                <w:sz w:val="24"/>
                <w:szCs w:val="24"/>
              </w:rPr>
              <w:t xml:space="preserve"> </w:t>
            </w:r>
            <w:r w:rsidR="00824886" w:rsidRPr="008A5A3A">
              <w:rPr>
                <w:rFonts w:ascii="Arial" w:eastAsia="Arial" w:hAnsi="Arial" w:cs="Arial"/>
                <w:sz w:val="24"/>
                <w:szCs w:val="24"/>
                <w:highlight w:val="yellow"/>
              </w:rPr>
              <w:t xml:space="preserve">Therefore, it is concluded that sex education is an essential tool for promoting the overall health of adolescents, and that investment in teacher </w:t>
            </w:r>
            <w:r w:rsidR="00824886" w:rsidRPr="008A5A3A">
              <w:rPr>
                <w:rFonts w:ascii="Arial" w:eastAsia="Arial" w:hAnsi="Arial" w:cs="Arial"/>
                <w:sz w:val="24"/>
                <w:szCs w:val="24"/>
                <w:highlight w:val="yellow"/>
              </w:rPr>
              <w:lastRenderedPageBreak/>
              <w:t>training, public policies, and social awareness is crucial for advancing this educational agenda.</w:t>
            </w:r>
          </w:p>
          <w:p w14:paraId="0B58294C" w14:textId="77777777" w:rsidR="006202A3" w:rsidRDefault="006202A3">
            <w:pPr>
              <w:pBdr>
                <w:top w:val="nil"/>
                <w:left w:val="nil"/>
                <w:bottom w:val="nil"/>
                <w:right w:val="nil"/>
                <w:between w:val="nil"/>
              </w:pBdr>
              <w:jc w:val="both"/>
              <w:rPr>
                <w:rFonts w:ascii="Arial" w:eastAsia="Arial" w:hAnsi="Arial" w:cs="Arial"/>
              </w:rPr>
            </w:pPr>
          </w:p>
        </w:tc>
      </w:tr>
    </w:tbl>
    <w:p w14:paraId="1B0B316D" w14:textId="77777777" w:rsidR="006202A3" w:rsidRDefault="006202A3">
      <w:pPr>
        <w:pBdr>
          <w:top w:val="nil"/>
          <w:left w:val="nil"/>
          <w:bottom w:val="nil"/>
          <w:right w:val="nil"/>
          <w:between w:val="nil"/>
        </w:pBdr>
        <w:jc w:val="both"/>
        <w:rPr>
          <w:rFonts w:ascii="Arial" w:eastAsia="Arial" w:hAnsi="Arial" w:cs="Arial"/>
          <w:i/>
          <w:color w:val="000000"/>
        </w:rPr>
      </w:pPr>
    </w:p>
    <w:p w14:paraId="1773E6B6" w14:textId="77777777" w:rsidR="006202A3" w:rsidRDefault="009953D1">
      <w:pPr>
        <w:pBdr>
          <w:top w:val="nil"/>
          <w:left w:val="nil"/>
          <w:bottom w:val="nil"/>
          <w:right w:val="nil"/>
          <w:between w:val="nil"/>
        </w:pBdr>
        <w:jc w:val="both"/>
        <w:rPr>
          <w:rFonts w:ascii="Arial" w:eastAsia="Arial" w:hAnsi="Arial" w:cs="Arial"/>
          <w:i/>
          <w:color w:val="000000"/>
        </w:rPr>
      </w:pPr>
      <w:r>
        <w:rPr>
          <w:rFonts w:ascii="Arial" w:eastAsia="Arial" w:hAnsi="Arial" w:cs="Arial"/>
          <w:i/>
        </w:rPr>
        <w:t>Keywords: Sex Education, adolescents, schools, knowledge, Sexual Health.</w:t>
      </w:r>
    </w:p>
    <w:p w14:paraId="54668BDD" w14:textId="77777777" w:rsidR="006202A3" w:rsidRDefault="006202A3">
      <w:pPr>
        <w:pBdr>
          <w:top w:val="nil"/>
          <w:left w:val="nil"/>
          <w:bottom w:val="nil"/>
          <w:right w:val="nil"/>
          <w:between w:val="nil"/>
        </w:pBdr>
        <w:jc w:val="both"/>
        <w:rPr>
          <w:rFonts w:ascii="Arial" w:eastAsia="Arial" w:hAnsi="Arial" w:cs="Arial"/>
          <w:i/>
          <w:color w:val="000000"/>
        </w:rPr>
      </w:pPr>
    </w:p>
    <w:p w14:paraId="7D107C84" w14:textId="77777777" w:rsidR="006202A3" w:rsidRDefault="006202A3">
      <w:pPr>
        <w:pBdr>
          <w:top w:val="nil"/>
          <w:left w:val="nil"/>
          <w:bottom w:val="nil"/>
          <w:right w:val="nil"/>
          <w:between w:val="nil"/>
        </w:pBdr>
        <w:jc w:val="both"/>
        <w:rPr>
          <w:rFonts w:ascii="Arial" w:eastAsia="Arial" w:hAnsi="Arial" w:cs="Arial"/>
          <w:i/>
          <w:color w:val="000000"/>
          <w:sz w:val="18"/>
          <w:szCs w:val="18"/>
        </w:rPr>
      </w:pPr>
    </w:p>
    <w:p w14:paraId="7C85CEFB" w14:textId="77777777" w:rsidR="006202A3" w:rsidRDefault="006202A3">
      <w:pPr>
        <w:pBdr>
          <w:top w:val="nil"/>
          <w:left w:val="nil"/>
          <w:bottom w:val="nil"/>
          <w:right w:val="nil"/>
          <w:between w:val="nil"/>
        </w:pBdr>
        <w:jc w:val="both"/>
        <w:rPr>
          <w:rFonts w:ascii="Arial" w:eastAsia="Arial" w:hAnsi="Arial" w:cs="Arial"/>
          <w:i/>
          <w:color w:val="000000"/>
        </w:rPr>
      </w:pPr>
    </w:p>
    <w:p w14:paraId="34627D47" w14:textId="75356B8B" w:rsidR="006202A3" w:rsidRDefault="009953D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16CDDA4"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p w14:paraId="087FB60C" w14:textId="624F6EB6" w:rsidR="006202A3" w:rsidRDefault="001A1B17">
      <w:pPr>
        <w:pBdr>
          <w:top w:val="nil"/>
          <w:left w:val="nil"/>
          <w:bottom w:val="nil"/>
          <w:right w:val="nil"/>
          <w:between w:val="nil"/>
        </w:pBdr>
        <w:jc w:val="both"/>
        <w:rPr>
          <w:rFonts w:ascii="Arial" w:eastAsia="Arial" w:hAnsi="Arial" w:cs="Arial"/>
        </w:rPr>
      </w:pPr>
      <w:r w:rsidRPr="008A5A3A">
        <w:rPr>
          <w:rFonts w:ascii="Arial" w:eastAsia="Arial" w:hAnsi="Arial" w:cs="Arial"/>
          <w:highlight w:val="yellow"/>
        </w:rPr>
        <w:t>Sex education is called the age-appropriate teaching of sex and intimate human relations, that is culturally relevant and provides scientifically correct and realistic information</w:t>
      </w:r>
      <w:r>
        <w:rPr>
          <w:rFonts w:ascii="Arial" w:eastAsia="Arial" w:hAnsi="Arial" w:cs="Arial"/>
          <w:highlight w:val="yellow"/>
        </w:rPr>
        <w:t xml:space="preserve"> </w:t>
      </w:r>
      <w:r w:rsidRPr="008A5A3A">
        <w:rPr>
          <w:rFonts w:ascii="Arial" w:eastAsia="Arial" w:hAnsi="Arial" w:cs="Arial"/>
          <w:highlight w:val="yellow"/>
        </w:rPr>
        <w:t>(Almeida et al., 2019).</w:t>
      </w:r>
      <w:r>
        <w:rPr>
          <w:rFonts w:ascii="Arial" w:eastAsia="Arial" w:hAnsi="Arial" w:cs="Arial"/>
        </w:rPr>
        <w:t xml:space="preserve"> It </w:t>
      </w:r>
      <w:r w:rsidR="009953D1">
        <w:rPr>
          <w:rFonts w:ascii="Arial" w:eastAsia="Arial" w:hAnsi="Arial" w:cs="Arial"/>
        </w:rPr>
        <w:t xml:space="preserve">is understood as the teaching that raises individuals' awareness about their bodies, established boundaries, and the pursuit of safe development in sexual activity. Sex education is of great importance for young people and adolescents, as this knowledge is essential to help reduce teenage pregnancy rates, bodily violations, and the incidence of sexually transmitted infections (STIs), in addition to promoting the use of contraceptives. </w:t>
      </w:r>
      <w:r w:rsidR="00C42798" w:rsidRPr="008A5A3A">
        <w:rPr>
          <w:rFonts w:ascii="Arial" w:eastAsia="Arial" w:hAnsi="Arial" w:cs="Arial"/>
          <w:highlight w:val="yellow"/>
        </w:rPr>
        <w:t>Adolescents are key stakeholders in sexual health education, yet they are rarely consulted when developing sexual health programs. Their voices are integral to improving the delivery of relevant and appropriate school-based sexual health education to promote safer adolescent sexual behaviors (Corcoran et al., 2020).</w:t>
      </w:r>
      <w:r w:rsidR="00C42798">
        <w:rPr>
          <w:rFonts w:ascii="Arial" w:eastAsia="Arial" w:hAnsi="Arial" w:cs="Arial"/>
        </w:rPr>
        <w:t xml:space="preserve"> </w:t>
      </w:r>
      <w:r w:rsidR="009953D1">
        <w:rPr>
          <w:rFonts w:ascii="Arial" w:eastAsia="Arial" w:hAnsi="Arial" w:cs="Arial"/>
        </w:rPr>
        <w:t xml:space="preserve">Therefore, adolescent knowledge on this subject is crucial, as it prepares them for a stable sexual life, avoiding risks to their physical and psychological health, such as the issues mentioned. </w:t>
      </w:r>
      <w:r w:rsidR="00824886" w:rsidRPr="008A5A3A">
        <w:rPr>
          <w:rFonts w:ascii="Arial" w:eastAsia="Arial" w:hAnsi="Arial" w:cs="Arial"/>
          <w:highlight w:val="yellow"/>
        </w:rPr>
        <w:t xml:space="preserve">Sexuality education is a lifelong process of acquiring information and forming attitudes, beliefs and values about gender towards building a strong foundation for sexual health.  All theories of adolescent development give sexuality a central role in negotiating the transition from child to adult. Sexuality education takes place daily in homes, schools, faith-based </w:t>
      </w:r>
      <w:proofErr w:type="gramStart"/>
      <w:r w:rsidR="00824886" w:rsidRPr="008A5A3A">
        <w:rPr>
          <w:rFonts w:ascii="Arial" w:eastAsia="Arial" w:hAnsi="Arial" w:cs="Arial"/>
          <w:highlight w:val="yellow"/>
        </w:rPr>
        <w:t>institutions,  and</w:t>
      </w:r>
      <w:proofErr w:type="gramEnd"/>
      <w:r w:rsidR="00824886" w:rsidRPr="008A5A3A">
        <w:rPr>
          <w:rFonts w:ascii="Arial" w:eastAsia="Arial" w:hAnsi="Arial" w:cs="Arial"/>
          <w:highlight w:val="yellow"/>
        </w:rPr>
        <w:t xml:space="preserve"> through the media</w:t>
      </w:r>
      <w:r w:rsidR="00824886" w:rsidRPr="00824886">
        <w:rPr>
          <w:rFonts w:ascii="Arial" w:eastAsia="Arial" w:hAnsi="Arial" w:cs="Arial"/>
          <w:highlight w:val="yellow"/>
        </w:rPr>
        <w:t xml:space="preserve"> </w:t>
      </w:r>
      <w:r w:rsidR="00824886" w:rsidRPr="008A5A3A">
        <w:rPr>
          <w:rFonts w:ascii="Arial" w:eastAsia="Arial" w:hAnsi="Arial" w:cs="Arial"/>
          <w:highlight w:val="yellow"/>
        </w:rPr>
        <w:t>(</w:t>
      </w:r>
      <w:proofErr w:type="spellStart"/>
      <w:r w:rsidR="00824886" w:rsidRPr="008A5A3A">
        <w:rPr>
          <w:rFonts w:ascii="Arial" w:eastAsia="Arial" w:hAnsi="Arial" w:cs="Arial"/>
          <w:highlight w:val="yellow"/>
        </w:rPr>
        <w:t>Obiunu</w:t>
      </w:r>
      <w:proofErr w:type="spellEnd"/>
      <w:r w:rsidR="00824886" w:rsidRPr="008A5A3A">
        <w:rPr>
          <w:rFonts w:ascii="Arial" w:eastAsia="Arial" w:hAnsi="Arial" w:cs="Arial"/>
          <w:highlight w:val="yellow"/>
        </w:rPr>
        <w:t>, 2014;  Nazrul, 2024).</w:t>
      </w:r>
      <w:r w:rsidR="00824886" w:rsidRPr="00824886">
        <w:rPr>
          <w:rFonts w:ascii="Arial" w:eastAsia="Arial" w:hAnsi="Arial" w:cs="Arial"/>
        </w:rPr>
        <w:t xml:space="preserve"> </w:t>
      </w:r>
      <w:r w:rsidR="009953D1">
        <w:rPr>
          <w:rFonts w:ascii="Arial" w:eastAsia="Arial" w:hAnsi="Arial" w:cs="Arial"/>
        </w:rPr>
        <w:t xml:space="preserve">In this context, while part of the youth population </w:t>
      </w:r>
      <w:proofErr w:type="spellStart"/>
      <w:r w:rsidR="00650C2A" w:rsidRPr="008A5A3A">
        <w:rPr>
          <w:rFonts w:ascii="Arial" w:eastAsia="Arial" w:hAnsi="Arial" w:cs="Arial"/>
          <w:highlight w:val="yellow"/>
        </w:rPr>
        <w:t>prioritises</w:t>
      </w:r>
      <w:proofErr w:type="spellEnd"/>
      <w:r w:rsidR="00650C2A">
        <w:rPr>
          <w:rFonts w:ascii="Arial" w:eastAsia="Arial" w:hAnsi="Arial" w:cs="Arial"/>
        </w:rPr>
        <w:t xml:space="preserve"> </w:t>
      </w:r>
      <w:r w:rsidR="009953D1">
        <w:rPr>
          <w:rFonts w:ascii="Arial" w:eastAsia="Arial" w:hAnsi="Arial" w:cs="Arial"/>
        </w:rPr>
        <w:t>confidentiality and accessibility concerns, interventions are essential to promote better sexual health for this age group. Thus, advancing research on this topic is fundamental to addressing the impact caused by society’s lack of information regarding sex education. (Aguilar-Quesada et al., 2024)</w:t>
      </w:r>
    </w:p>
    <w:p w14:paraId="76CF65FE" w14:textId="77777777" w:rsidR="00824886" w:rsidRDefault="00824886">
      <w:pPr>
        <w:pBdr>
          <w:top w:val="nil"/>
          <w:left w:val="nil"/>
          <w:bottom w:val="nil"/>
          <w:right w:val="nil"/>
          <w:between w:val="nil"/>
        </w:pBdr>
        <w:jc w:val="both"/>
        <w:rPr>
          <w:rFonts w:ascii="Arial" w:eastAsia="Arial" w:hAnsi="Arial" w:cs="Arial"/>
        </w:rPr>
      </w:pPr>
    </w:p>
    <w:p w14:paraId="26779931" w14:textId="579B3F84"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With the perspective that sex education is the family's responsibility, schools have for many years refrained from taking on the role of providing essential information on the subject. This topic is often misinterpreted as "a union of ultraliberal ideologies, religious fundamentalism, and anti-communism, resurrected in the last decade as an enemy of patriotism" (Albrecht, 2023 apud Miguel, 2016). Within this scenario, the implementation of projects encouraging young people to obtain accurate sex education is often met with opposition and limitations, leading to a knowledge gap, with unprepared teachers lacking support to carry out such initiatives. The lack of proper guidance on sexuality increases adolescents’ vulnerability, making them more susceptible to abuse without proper awareness. This aligns with (Douglas, 2020): “Many times, a person who is abused since childhood does not know they are being violated. This happens because the child lacks knowledge about their body, which makes them even more vulnerable to this type of abuse.” Additionally, the absence of </w:t>
      </w:r>
      <w:proofErr w:type="spellStart"/>
      <w:r w:rsidR="00650C2A" w:rsidRPr="008A5A3A">
        <w:rPr>
          <w:rFonts w:ascii="Arial" w:eastAsia="Arial" w:hAnsi="Arial" w:cs="Arial"/>
          <w:highlight w:val="yellow"/>
        </w:rPr>
        <w:t>specialised</w:t>
      </w:r>
      <w:proofErr w:type="spellEnd"/>
      <w:r w:rsidR="00650C2A">
        <w:rPr>
          <w:rFonts w:ascii="Arial" w:eastAsia="Arial" w:hAnsi="Arial" w:cs="Arial"/>
        </w:rPr>
        <w:t xml:space="preserve"> </w:t>
      </w:r>
      <w:r>
        <w:rPr>
          <w:rFonts w:ascii="Arial" w:eastAsia="Arial" w:hAnsi="Arial" w:cs="Arial"/>
        </w:rPr>
        <w:t>educational guidance can lead to serious physical, emotional, and psychological consequences, as well as facilitate the spread of sexually transmitted infections.</w:t>
      </w:r>
    </w:p>
    <w:p w14:paraId="553CB46E" w14:textId="79E0839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Illustratively, the teenage pregnancy rate in Brazil is above the global average according to the WHO: 44 babies are born every hour to adolescent mothers in Brazil, and according to data from the Ministry of Education, 75% of teenage mothers are out of school. In contrast, sex education aims to change the lives of young Brazilians by disseminating crucial information about preventing unwanted pregnancies and correctly using contraceptives to </w:t>
      </w:r>
      <w:r>
        <w:rPr>
          <w:rFonts w:ascii="Arial" w:eastAsia="Arial" w:hAnsi="Arial" w:cs="Arial"/>
        </w:rPr>
        <w:lastRenderedPageBreak/>
        <w:t xml:space="preserve">avoid infections and, consequently, school dropout. However, “There is an influence of conservatism in Brazil’s basic education schools, as what had been built as a framework for effective sex education was dismantled.” (Silva et al., 2023). With this in mind, it becomes clear that sex education in schools and the qualification of teachers to handle students’ perspectives in these discussions </w:t>
      </w:r>
      <w:r w:rsidR="00650C2A" w:rsidRPr="008A5A3A">
        <w:rPr>
          <w:rFonts w:ascii="Arial" w:eastAsia="Arial" w:hAnsi="Arial" w:cs="Arial"/>
          <w:highlight w:val="yellow"/>
        </w:rPr>
        <w:t>are</w:t>
      </w:r>
      <w:r w:rsidR="00650C2A">
        <w:rPr>
          <w:rFonts w:ascii="Arial" w:eastAsia="Arial" w:hAnsi="Arial" w:cs="Arial"/>
        </w:rPr>
        <w:t xml:space="preserve"> </w:t>
      </w:r>
      <w:r>
        <w:rPr>
          <w:rFonts w:ascii="Arial" w:eastAsia="Arial" w:hAnsi="Arial" w:cs="Arial"/>
        </w:rPr>
        <w:t>of utmost importance. Schools should be seen as safe environments where children and adolescents can report abuse, fears, and discomfort, as well as places that foster bonds to help dismantle long-standing stigmas affecting their health. Moreover, it is important to consider that adolescence is marked by risk-taking and learning, making comprehensive sexual health education a highly effective prevention strategy against sexually transmitted infections. (</w:t>
      </w:r>
      <w:proofErr w:type="spellStart"/>
      <w:r>
        <w:rPr>
          <w:rFonts w:ascii="Arial" w:eastAsia="Arial" w:hAnsi="Arial" w:cs="Arial"/>
        </w:rPr>
        <w:t>Budhwani</w:t>
      </w:r>
      <w:proofErr w:type="spellEnd"/>
      <w:r>
        <w:rPr>
          <w:rFonts w:ascii="Arial" w:eastAsia="Arial" w:hAnsi="Arial" w:cs="Arial"/>
        </w:rPr>
        <w:t>, 2025)</w:t>
      </w:r>
    </w:p>
    <w:p w14:paraId="14E2D2AE" w14:textId="3525337D"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Therefore, the aim of this study is to assess the level of knowledge about sexually transmitted infections (STIs), physiological aspects, and social relationships among public school students, as well as the impacts resulting from a lack of this information. Using a questioning system—i.e., based on human perception as “interpretative, experiential, situational, and personalistic” (Stake, 2011)—the research seeks to evaluate the level of awareness and recognition of sex education topics among third-year high school students. In this sense, the goal is to collect relevant data to support the project's critical analysis and contribute scientifically and socially to reducing negative </w:t>
      </w:r>
      <w:proofErr w:type="spellStart"/>
      <w:r w:rsidR="00650C2A" w:rsidRPr="008A5A3A">
        <w:rPr>
          <w:rFonts w:ascii="Arial" w:eastAsia="Arial" w:hAnsi="Arial" w:cs="Arial"/>
          <w:highlight w:val="yellow"/>
        </w:rPr>
        <w:t>behaviours</w:t>
      </w:r>
      <w:proofErr w:type="spellEnd"/>
      <w:r w:rsidR="00650C2A">
        <w:rPr>
          <w:rFonts w:ascii="Arial" w:eastAsia="Arial" w:hAnsi="Arial" w:cs="Arial"/>
        </w:rPr>
        <w:t xml:space="preserve"> </w:t>
      </w:r>
      <w:r>
        <w:rPr>
          <w:rFonts w:ascii="Arial" w:eastAsia="Arial" w:hAnsi="Arial" w:cs="Arial"/>
        </w:rPr>
        <w:t>related to sexuality in schools. Through this data collection and management, the project aims to encourage open dialogue and discussions on sex education, potentially generating positive effects in young people’s lives and helping to deconstruct misconceptions rooted in society.</w:t>
      </w:r>
    </w:p>
    <w:p w14:paraId="5CB9143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In this context, the project will address how this study can contribute to a better understanding of sex education among the interviewed students aged 15 to 17, especially regarding the recurrence of sexually transmitted diseases, teenage pregnancy, and family planning, with the ultimate goal of improving the quality of life for this target audience. Additionally, it will seek to discuss and ease the paradigms introduced by society and propose greater public attention to the current issue.</w:t>
      </w:r>
    </w:p>
    <w:p w14:paraId="43491B88" w14:textId="77777777" w:rsidR="006202A3" w:rsidRDefault="006202A3">
      <w:pPr>
        <w:pBdr>
          <w:top w:val="nil"/>
          <w:left w:val="nil"/>
          <w:bottom w:val="nil"/>
          <w:right w:val="nil"/>
          <w:between w:val="nil"/>
        </w:pBdr>
        <w:jc w:val="both"/>
        <w:rPr>
          <w:rFonts w:ascii="Arial" w:eastAsia="Arial" w:hAnsi="Arial" w:cs="Arial"/>
        </w:rPr>
      </w:pPr>
    </w:p>
    <w:p w14:paraId="66B207EC" w14:textId="77777777" w:rsidR="006202A3" w:rsidRDefault="009953D1">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Methodology</w:t>
      </w:r>
    </w:p>
    <w:p w14:paraId="56E6C891" w14:textId="61E0280F"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This was a descriptive bibliographic </w:t>
      </w:r>
      <w:proofErr w:type="gramStart"/>
      <w:r>
        <w:rPr>
          <w:rFonts w:ascii="Arial" w:eastAsia="Arial" w:hAnsi="Arial" w:cs="Arial"/>
        </w:rPr>
        <w:t>study ,</w:t>
      </w:r>
      <w:proofErr w:type="gramEnd"/>
      <w:r>
        <w:rPr>
          <w:rFonts w:ascii="Arial" w:eastAsia="Arial" w:hAnsi="Arial" w:cs="Arial"/>
        </w:rPr>
        <w:t xml:space="preserve"> and the data were used for the development of the scientific article. Data collection was based on a bibliographic survey conducted through research on scientific publications related to the proposed topic, covering the period from 2020 to 2025. The inclusion criteria for content selection were: full-text publications aligned with the topic of assessing knowledge about sexual health among students in Feira de Santana, including documents, regulations, health authority guidelines, scientific articles, and institutional directives, all published in English. The literature search was conducted in the PubMed database. Searches were performed using the Health Sciences Descriptors (</w:t>
      </w:r>
      <w:proofErr w:type="spellStart"/>
      <w:r>
        <w:rPr>
          <w:rFonts w:ascii="Arial" w:eastAsia="Arial" w:hAnsi="Arial" w:cs="Arial"/>
        </w:rPr>
        <w:t>DeCS</w:t>
      </w:r>
      <w:proofErr w:type="spellEnd"/>
      <w:r>
        <w:rPr>
          <w:rFonts w:ascii="Arial" w:eastAsia="Arial" w:hAnsi="Arial" w:cs="Arial"/>
        </w:rPr>
        <w:t>) from the Regional Library of Medicine (BIREME), namely: “Sex Education” / “Adolescent” / “Schools,” using the Boolean operators “AND” and “OR.”</w:t>
      </w:r>
    </w:p>
    <w:p w14:paraId="6EA948B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The methodology applied in this study began with the careful selection of descriptors in </w:t>
      </w:r>
      <w:proofErr w:type="spellStart"/>
      <w:r>
        <w:rPr>
          <w:rFonts w:ascii="Arial" w:eastAsia="Arial" w:hAnsi="Arial" w:cs="Arial"/>
        </w:rPr>
        <w:t>DeCS</w:t>
      </w:r>
      <w:proofErr w:type="spellEnd"/>
      <w:r>
        <w:rPr>
          <w:rFonts w:ascii="Arial" w:eastAsia="Arial" w:hAnsi="Arial" w:cs="Arial"/>
        </w:rPr>
        <w:t>, followed by searches in indexed databases. Using the main terms and their equivalents, tables were created listing the articles found in each database. Duplicate articles were eliminated, and a screening was carried out based on the relevance of titles. After this stage, abstracts were read, followed by a full reading of the articles that met the established criteria. For data analysis, nine thematic axes were defined, constructed from the specific objectives and formulated as guiding questions. These questions directed the reading and critical analysis of the selected articles, forming the conceptual basis for the discussion and interpretation of the data. The answers obtained provided the theoretical foundation for building the results and reflections proposed in this study.</w:t>
      </w:r>
    </w:p>
    <w:p w14:paraId="6F57F08B" w14:textId="77777777" w:rsidR="006202A3" w:rsidRDefault="009953D1">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1BB3F0C5" w14:textId="77777777" w:rsidR="006202A3" w:rsidRDefault="006202A3">
      <w:pPr>
        <w:pBdr>
          <w:top w:val="nil"/>
          <w:left w:val="nil"/>
          <w:bottom w:val="nil"/>
          <w:right w:val="nil"/>
          <w:between w:val="nil"/>
        </w:pBdr>
        <w:jc w:val="both"/>
        <w:rPr>
          <w:rFonts w:ascii="Arial" w:eastAsia="Arial" w:hAnsi="Arial" w:cs="Arial"/>
          <w:color w:val="000000"/>
        </w:rPr>
      </w:pPr>
    </w:p>
    <w:p w14:paraId="61287B2C" w14:textId="469A5A60" w:rsidR="006202A3" w:rsidRDefault="009953D1">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Discussion</w:t>
      </w:r>
    </w:p>
    <w:p w14:paraId="690A3D5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Sex Education</w:t>
      </w:r>
    </w:p>
    <w:p w14:paraId="48E13F0D" w14:textId="60F02A95"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Sexual and reproductive education is considered essential for informing and preventing negative health outcomes among young people, such as unwanted pregnancies and sexually transmitted infections (STIs). Its implementation enables the strengthening of well-being, awareness of one's own body, and </w:t>
      </w:r>
      <w:proofErr w:type="spellStart"/>
      <w:r w:rsidR="00650C2A" w:rsidRPr="008A5A3A">
        <w:rPr>
          <w:rFonts w:ascii="Arial" w:eastAsia="Arial" w:hAnsi="Arial" w:cs="Arial"/>
          <w:highlight w:val="yellow"/>
        </w:rPr>
        <w:t>defence</w:t>
      </w:r>
      <w:proofErr w:type="spellEnd"/>
      <w:r w:rsidR="00650C2A" w:rsidRPr="008A5A3A">
        <w:rPr>
          <w:rFonts w:ascii="Arial" w:eastAsia="Arial" w:hAnsi="Arial" w:cs="Arial"/>
          <w:highlight w:val="yellow"/>
        </w:rPr>
        <w:t xml:space="preserve"> </w:t>
      </w:r>
      <w:r>
        <w:rPr>
          <w:rFonts w:ascii="Arial" w:eastAsia="Arial" w:hAnsi="Arial" w:cs="Arial"/>
        </w:rPr>
        <w:t xml:space="preserve">against abuse. It serves as a tool for youth protection and empowerment, promoting healthy and responsible </w:t>
      </w:r>
      <w:proofErr w:type="spellStart"/>
      <w:r w:rsidR="00650C2A" w:rsidRPr="008A5A3A">
        <w:rPr>
          <w:rFonts w:ascii="Arial" w:eastAsia="Arial" w:hAnsi="Arial" w:cs="Arial"/>
          <w:highlight w:val="yellow"/>
        </w:rPr>
        <w:t>behaviours</w:t>
      </w:r>
      <w:proofErr w:type="spellEnd"/>
      <w:r w:rsidR="00650C2A" w:rsidRPr="008A5A3A">
        <w:rPr>
          <w:rFonts w:ascii="Arial" w:eastAsia="Arial" w:hAnsi="Arial" w:cs="Arial"/>
          <w:highlight w:val="yellow"/>
        </w:rPr>
        <w:t xml:space="preserve"> </w:t>
      </w:r>
      <w:r>
        <w:rPr>
          <w:rFonts w:ascii="Arial" w:eastAsia="Arial" w:hAnsi="Arial" w:cs="Arial"/>
        </w:rPr>
        <w:t>(ACHEN et al., 2023; G. ALEKHYA et al., 2023).</w:t>
      </w:r>
    </w:p>
    <w:p w14:paraId="043CB1E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In addition to being a universal right, sex education must be adapted to the adolescents' social contexts, offering safety and strategies that take their experiences into account. The precariousness of this type of education undermines the students' comprehensive development, increasing health risks and placing a burden on public health systems with the rise in preventable STI cases (MBIZVO et al., 2023; SAWALMA et al., 2023).</w:t>
      </w:r>
    </w:p>
    <w:p w14:paraId="278114F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effective presence of educational programs in schools is seen as a solid foundation for family planning, STI reduction, and prevention of early pregnancy. However, there are significant barriers, such as the exclusion of boys from campaigns and the resistance among part of the male population to access this kind of information (SAWALMA et al., 2023; MASON-JONES et al., 2023).</w:t>
      </w:r>
    </w:p>
    <w:p w14:paraId="1E0E878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Factors such as social inequality, lack of intersectional support, and absence of public policies compromise the effectiveness of sex education. The school-based approach should also incorporate themes of citizenship, rights, and comprehensive health, challenging social stigmas, promoting equity, and enabling young people to exercise their sexuality safely (LÓPEZ et al., 2023; HEGDAHL et al., 2022).</w:t>
      </w:r>
    </w:p>
    <w:p w14:paraId="2E72DFB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Youth awareness of sexual health is crucial to curbing epidemics like AIDS and fostering social change by reducing stigma and isolation. Well-structured informational programs have a positive impact on both individual and collective health and are also essential for the development of clinical data and the strengthening of evidence-based public policies (NEWMAN et al., 2022; SCULL et al., 2022; JENNER et al., 2023).</w:t>
      </w:r>
    </w:p>
    <w:p w14:paraId="07FCA7B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Adolescent STI Rates </w:t>
      </w:r>
    </w:p>
    <w:p w14:paraId="02BA576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lack of sex education, biological factors, stigma and discrimination associated with STIs, as well as low vaccination coverage, are significant contributors to the increase in sexually transmitted infections among adolescents. These issues are further exacerbated by barriers to accessing healthcare services and feelings of shame, which hinder early care-seeking and effective prevention (SHANNON &amp; KLAUSNER, 2019). To address the growing STI epidemic in this population, it is essential to ensure culturally accessible interventions that are respectful of young people’s realities (SHANNON &amp; KLAUSNER, 2019).</w:t>
      </w:r>
    </w:p>
    <w:p w14:paraId="41B8721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Social determinants such as poor housing conditions, household overcrowding, low educational levels, and early initiation of sexual activity increase adolescents' vulnerability to STIs. A lack of knowledge about STIs beyond HIV is also common, influenced by sociodemographic factors and inadequate self-assessment of sexual health knowledge. Comprehensive sex education programs and equitable access to information are crucial to reducing these disparities (VON ROSEN et al., 2018).</w:t>
      </w:r>
    </w:p>
    <w:p w14:paraId="5BFDF4D6" w14:textId="789E7044"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The inconsistent use of condoms, the use of psychoactive substances, psychological factors, and low socioeconomic status are important causes of the increase in STIs among adolescents. Furthermore, many young people face difficulties in accessing comprehensive health services, mainly due to shame and stigma associated with </w:t>
      </w:r>
      <w:r w:rsidR="00650C2A" w:rsidRPr="008A5A3A">
        <w:rPr>
          <w:rFonts w:ascii="Arial" w:eastAsia="Arial" w:hAnsi="Arial" w:cs="Arial"/>
          <w:highlight w:val="yellow"/>
        </w:rPr>
        <w:t xml:space="preserve">sexually transmitted </w:t>
      </w:r>
      <w:r>
        <w:rPr>
          <w:rFonts w:ascii="Arial" w:eastAsia="Arial" w:hAnsi="Arial" w:cs="Arial"/>
        </w:rPr>
        <w:t>infections. Therefore, it is vital to provide adequate information and culturally sensitive support for this population (LYS et al., 2022).</w:t>
      </w:r>
    </w:p>
    <w:p w14:paraId="38A698B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high prevalence of STIs among adolescents is directly linked to unprotected sexual practices and the need for effective sexual prevention strategies, highlighting the urgency of improving sex education and access to preventive resources (CANNOVO et al., 2024). In addition, factors such as early sexual initiation, gaps in sex education, and socioeconomic issues further increase adolescents’ vulnerability to STIs (TAFLAN et al., 2023).</w:t>
      </w:r>
    </w:p>
    <w:p w14:paraId="6A3DC90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Issues related to gender inequality, sexual abuse, peer influence, and socioeconomic conditions are determining factors in the rise of STIs among adolescents. Moreover, low STI </w:t>
      </w:r>
      <w:r>
        <w:rPr>
          <w:rFonts w:ascii="Arial" w:eastAsia="Arial" w:hAnsi="Arial" w:cs="Arial"/>
        </w:rPr>
        <w:lastRenderedPageBreak/>
        <w:t>testing rates—shaped by gender norms and social pressures—reinforce the urgent need for inclusive public policies that consider the cultural and social diversity of young people, ensuring greater equity in access to sexual and reproductive health (BANCALARI et al., 2021; LIDDON et al., 2022; LOWE et al., 2021).</w:t>
      </w:r>
    </w:p>
    <w:p w14:paraId="5F55C08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Lack of Information on Contraceptive Methods </w:t>
      </w:r>
    </w:p>
    <w:p w14:paraId="77C7AA3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female condom has a relatively high failure rate in typical use (21–26%), which drops to about 5% with perfect use. In contrast, hormonal methods such as the Depo-Provera injection—which blocks ovulation for three months—have an efficacy rate above 94%. The Norplant subdermal implant, which releases hormones for up to five years, shows over 99% efficacy. Similarly, surgical methods such as vasectomy and tubal ligation also have efficacy rates above 99%, while oral contraceptives (OCs) are over 99% effective with perfect use, but around 93% in typical use (J. ANTHONY, 1994).</w:t>
      </w:r>
    </w:p>
    <w:p w14:paraId="41DB1D5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high school program in Little Rock aimed to support adolescents in choosing appropriate contraceptive methods, although evaluations indicated that there was no significant decline in overall teen pregnancy rates. This suggests that merely providing access to methods is not enough to ensure their practical effectiveness (GC GRINFFIN, 1993). Furthermore, condoms have a failure rate of 18% among youth, highlighting that their use may not be ideal for this group due to lower consistency or frequent incorrect usage (GC GRINFFIN, 1993).</w:t>
      </w:r>
    </w:p>
    <w:p w14:paraId="0E02309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Studies reinforce that most failures of oral contraceptives occur due to human error, such as forgetting to take the pill or not following usage instructions properly. A successful example can be seen in the Netherlands, where 80% of women of childbearing age use oral contraceptives and only 2% of pregnancies are unintended, demonstrating high effectiveness when used correctly (H DAVID, 1992).</w:t>
      </w:r>
    </w:p>
    <w:p w14:paraId="050F908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Although some people informally adopt dual protection (simultaneous use of two condoms), studies show that this practice does not significantly increase effectiveness compared to using a single condom. Therefore, the recommendation remains the correct and consistent use of just one condom, as using two increases the risk of breakage without significantly improving protection (D SOKAL et al., 1997).</w:t>
      </w:r>
    </w:p>
    <w:p w14:paraId="4127C22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Additionally, emergency contraception is effective in preventing pregnancy when used after unprotected sex or contraceptive failure. However, its effectiveness heavily depends on correct and timely use. Improper or delayed use significantly reduces its preventive capacity, reinforcing that clear and accurate information about the method is essential to ensure its practical effectiveness (EMERGENCY CONTRACEPTION CONSORTIUM, 1998).</w:t>
      </w:r>
    </w:p>
    <w:p w14:paraId="2D4F9CA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Menstrual Cycle</w:t>
      </w:r>
    </w:p>
    <w:p w14:paraId="623A31C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menstrual cycle is described as a cyclical physiological process that occurs in individuals with a uterus, regulated by hormonal interactions between the hypothalamic-pituitary-ovarian axis and hormones such as estrogen and progesterone. These hormones influence not only the reproductive system but also the brain, immune, cardiovascular, and metabolic systems, reflecting the complex integration of female physiology (SCHMALENBERGER et al., 2021; D’SOUZA et al., 2023; CAMPBELL et al., 2021).</w:t>
      </w:r>
    </w:p>
    <w:p w14:paraId="6D954B9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average duration of the menstrual cycle is approximately 28 days, with variations between 21 and 35 days being common in adults, and between 21 and 45 days in adolescents due to hormonal immaturity in the first years following menarche. This duration can be influenced by factors such as stress, overall health, and dietary habits. The cycle is divided into four main phases: menstrual, follicular, ovulatory, and luteal, each with specific physiological and hormonal characteristics (ALZUETA; BAKER, 2023; ZEHRAVI; MAQBOOL; ARA, 2022; CAO et al., 2024).</w:t>
      </w:r>
    </w:p>
    <w:p w14:paraId="138253C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During menstruation, the endometrium sheds, causing menstrual bleeding, marking the beginning of the cycle. Estrogen and progesterone levels are low at this time, which can trigger physiological and emotional changes such as pain, cramps, fatigue, mood swings, fragmented sleep, irritability, and general well-being disturbances (MEERS et al., 2024; NAPPI et al., 2022; CIOŁEK et al., 2023).</w:t>
      </w:r>
    </w:p>
    <w:p w14:paraId="09D3A98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Beyond physical and reproductive symptoms, the menstrual cycle affects various body functions. Hormonal changes impact resting metabolism, physical performance, cognition, sleep, and can influence pain perception and athletic performance. Factors such as anxiety and rumination may intensify emotional effects of the cycle, especially during the menstrual phase (WELZ et al., 2015; BENTON; HUTCHINS; DAWES, 2020; ROMANS et al., 2015).</w:t>
      </w:r>
    </w:p>
    <w:p w14:paraId="181B12B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Knowledge of the menstrual cycle is essential for both reproductive and general health. Understanding its phases allows for the identification of signs of hormonal disorders and conditions such as polycystic ovary syndrome. However, the study highlights that many women still have limited knowledge about this process, which can hinder effective management of menstrual symptoms and self-care (CIOŁEK et al., 2023; SCHMALENBERGER et al., 2021; CAMPBELL et al., 2021).</w:t>
      </w:r>
    </w:p>
    <w:p w14:paraId="61A976D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Teen Pregnancy</w:t>
      </w:r>
    </w:p>
    <w:p w14:paraId="3D4185E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 Teen pregnancy is strongly associated with increased risks of depression, anxiety, psychological stress, and feelings of social isolation—especially in the absence of social support, a history of adverse childhood experiences, and economic hardship (TEBB &amp; BRINDIS, 2022). Many young mothers experience intense emotions and emotional overload as they are forced to balance early motherhood with the development of their own identity. While some report positive feelings such as maturity and a greater sense of responsibility, many report deep sadness and anxiety (TEBB &amp; BRINDIS, 2022).</w:t>
      </w:r>
    </w:p>
    <w:p w14:paraId="15B9C5CF" w14:textId="7145CE3F"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These emotional challenges are intensified when pregnancy occurs in traumatic contexts, such as abusive relationships or previous experiences of childhood violence. In such cases, postpartum depression, anxiety, and social isolation may be even more pronounced. Nonetheless, some teenagers find in motherhood a motivation for positive change, drawing strength from adversity. In this context, emotional support becomes a decisive factor in fostering a more positive experience (MANN</w:t>
      </w:r>
      <w:r w:rsidR="00650C2A">
        <w:rPr>
          <w:rFonts w:ascii="Arial" w:eastAsia="Arial" w:hAnsi="Arial" w:cs="Arial"/>
        </w:rPr>
        <w:t xml:space="preserve">, </w:t>
      </w:r>
      <w:r>
        <w:rPr>
          <w:rFonts w:ascii="Arial" w:eastAsia="Arial" w:hAnsi="Arial" w:cs="Arial"/>
        </w:rPr>
        <w:t>BATESON; BLACK, 2020).</w:t>
      </w:r>
    </w:p>
    <w:p w14:paraId="12E64B1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Emotional immaturity among adolescents also impairs their full understanding of the consequences of pregnancy, often leading to distress, fear, and school dropout. The psychological impact is worsened in contexts of violence and abuse, resulting in low self-esteem and hindering the emotional independence of these young women. Early motherhood frequently interrupts their healthy development, damages their future outlook, and increases psychological vulnerability (DIABELKOVÁ et al., 2023).</w:t>
      </w:r>
    </w:p>
    <w:p w14:paraId="27DBE11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negative psychological effects are even more evident in settings of poverty, family abandonment, and sexual abuse, where the adolescent faces low self-esteem, social stigma, and a sense of isolation. In some cases, early pregnancy appears as an attempt to escape adverse realities, but ends up leading to emotional overload. These challenges highlight the need for psychological and social support to mitigate the negative effects on the mental health of pregnant adolescents (ALUGA &amp; OKOLIE, 2021).</w:t>
      </w:r>
    </w:p>
    <w:p w14:paraId="3955FAA1" w14:textId="2765556A"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Emotional suffering among pregnant teenagers is often linked to </w:t>
      </w:r>
      <w:r w:rsidR="00650C2A" w:rsidRPr="008A5A3A">
        <w:rPr>
          <w:rFonts w:ascii="Arial" w:eastAsia="Arial" w:hAnsi="Arial" w:cs="Arial"/>
          <w:highlight w:val="yellow"/>
        </w:rPr>
        <w:t xml:space="preserve">a </w:t>
      </w:r>
      <w:r>
        <w:rPr>
          <w:rFonts w:ascii="Arial" w:eastAsia="Arial" w:hAnsi="Arial" w:cs="Arial"/>
        </w:rPr>
        <w:t>lack of planning, absence of a partner, low educational level, and inadequate prenatal care. Feelings of abandonment, insecurity, fear, and social withdrawal are aggravated in the absence of family, school, and healthcare support. In these circumstances, the risk of psychological distress, low self-esteem, and long-term emotional difficulties increases significantly, underscoring the importance of comprehensive support for these young mothers (LOPES et al., 2020).</w:t>
      </w:r>
    </w:p>
    <w:p w14:paraId="327CC7D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Sexual Health Tied to Mental Health</w:t>
      </w:r>
    </w:p>
    <w:p w14:paraId="780B0BF2" w14:textId="1E06364F"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 Adolescents' exposure to sexual exploitation scenarios can cause significant emotional distress, often expressed as deep sadness, suicidal thoughts, self-harming </w:t>
      </w:r>
      <w:proofErr w:type="spellStart"/>
      <w:r w:rsidR="00650C2A" w:rsidRPr="008A5A3A">
        <w:rPr>
          <w:rFonts w:ascii="Arial" w:eastAsia="Arial" w:hAnsi="Arial" w:cs="Arial"/>
          <w:highlight w:val="yellow"/>
        </w:rPr>
        <w:t>behaviours</w:t>
      </w:r>
      <w:proofErr w:type="spellEnd"/>
      <w:r>
        <w:rPr>
          <w:rFonts w:ascii="Arial" w:eastAsia="Arial" w:hAnsi="Arial" w:cs="Arial"/>
        </w:rPr>
        <w:t>, and negative impacts on school performance. These contexts directly contribute to the worsening or onset of mental disorders, severely compromising the individual's social well-being (Lima et al., 2022). In addition, individual and biological factors, as well as family, school, and social environments, socioeconomic and cultural conditions, and the improper use of technology and digital media, are also determinants of youth mental health.</w:t>
      </w:r>
    </w:p>
    <w:p w14:paraId="5AD62D63" w14:textId="0ACD914C"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Sexual activity during adolescence can carry different meanings and motivations that directly influence young people’s mental health. Often, this activity arises as a way to relieve emotional </w:t>
      </w:r>
      <w:r>
        <w:rPr>
          <w:rFonts w:ascii="Arial" w:eastAsia="Arial" w:hAnsi="Arial" w:cs="Arial"/>
        </w:rPr>
        <w:lastRenderedPageBreak/>
        <w:t xml:space="preserve">distress, gain social acceptance from partners or peer groups, </w:t>
      </w:r>
      <w:r w:rsidR="00650C2A" w:rsidRPr="008A5A3A">
        <w:rPr>
          <w:rFonts w:ascii="Arial" w:eastAsia="Arial" w:hAnsi="Arial" w:cs="Arial"/>
          <w:highlight w:val="yellow"/>
        </w:rPr>
        <w:t xml:space="preserve">fulfil </w:t>
      </w:r>
      <w:r>
        <w:rPr>
          <w:rFonts w:ascii="Arial" w:eastAsia="Arial" w:hAnsi="Arial" w:cs="Arial"/>
        </w:rPr>
        <w:t xml:space="preserve">emotional needs, seek self-affirmation, express rebellion, or assert independence. These motivations reveal deep emotional vulnerabilities that can </w:t>
      </w:r>
      <w:proofErr w:type="spellStart"/>
      <w:r w:rsidR="00650C2A" w:rsidRPr="008A5A3A">
        <w:rPr>
          <w:rFonts w:ascii="Arial" w:eastAsia="Arial" w:hAnsi="Arial" w:cs="Arial"/>
          <w:highlight w:val="yellow"/>
        </w:rPr>
        <w:t>jeopardise</w:t>
      </w:r>
      <w:proofErr w:type="spellEnd"/>
      <w:r w:rsidR="00650C2A" w:rsidRPr="008A5A3A">
        <w:rPr>
          <w:rFonts w:ascii="Arial" w:eastAsia="Arial" w:hAnsi="Arial" w:cs="Arial"/>
          <w:highlight w:val="yellow"/>
        </w:rPr>
        <w:t xml:space="preserve"> </w:t>
      </w:r>
      <w:r>
        <w:rPr>
          <w:rFonts w:ascii="Arial" w:eastAsia="Arial" w:hAnsi="Arial" w:cs="Arial"/>
        </w:rPr>
        <w:t>psychological health if not supported by appropriate emotional care (CAPUTO &amp; BORDIN, 2007).</w:t>
      </w:r>
    </w:p>
    <w:p w14:paraId="65980D2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In Brazil, the prevalence of mental disorders among pregnant adolescents is concerning. Studies conducted with pregnant teens in Piracicaba (SP) revealed high rates of anxiety (23.3%), depression (20.8%), and suicidal ideation (16.7%). These numbers clearly show the strong connection between early pregnancy and mental health issues, highlighting the need for targeted psychological and social attention for this specific group (CAPUTO &amp; BORDIN, 2007).</w:t>
      </w:r>
    </w:p>
    <w:p w14:paraId="153D5103" w14:textId="0B4BD3AC"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Sex education plays an essential role in promoting adolescents’ mental health by encouraging responsible attitudes and </w:t>
      </w:r>
      <w:proofErr w:type="spellStart"/>
      <w:r w:rsidR="00650C2A" w:rsidRPr="008A5A3A">
        <w:rPr>
          <w:rFonts w:ascii="Arial" w:eastAsia="Arial" w:hAnsi="Arial" w:cs="Arial"/>
          <w:highlight w:val="yellow"/>
        </w:rPr>
        <w:t>behaviours</w:t>
      </w:r>
      <w:proofErr w:type="spellEnd"/>
      <w:r w:rsidR="00650C2A" w:rsidRPr="008A5A3A">
        <w:rPr>
          <w:rFonts w:ascii="Arial" w:eastAsia="Arial" w:hAnsi="Arial" w:cs="Arial"/>
          <w:highlight w:val="yellow"/>
        </w:rPr>
        <w:t xml:space="preserve"> </w:t>
      </w:r>
      <w:r>
        <w:rPr>
          <w:rFonts w:ascii="Arial" w:eastAsia="Arial" w:hAnsi="Arial" w:cs="Arial"/>
        </w:rPr>
        <w:t>related to sexuality, contributing to a healthy and harmonious sexual life. Through sex education, young people can develop greater moral awareness and self-respect, which strengthens their self-esteem and reduces emotional vulnerability in matters related to sexuality (ADEMUYIWA et al., 2022).</w:t>
      </w:r>
    </w:p>
    <w:p w14:paraId="6C598A46" w14:textId="770436C3"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Furthermore, sexual violence during adolescence is a determining factor in the high prevalence of mental health problems among youth. Effectively addressing this type of violence has the potential to significantly reduce emotional suffering and greatly improve adolescents' mental health, </w:t>
      </w:r>
      <w:proofErr w:type="spellStart"/>
      <w:r w:rsidR="00650C2A" w:rsidRPr="008A5A3A">
        <w:rPr>
          <w:rFonts w:ascii="Arial" w:eastAsia="Arial" w:hAnsi="Arial" w:cs="Arial"/>
          <w:highlight w:val="yellow"/>
        </w:rPr>
        <w:t>emphasising</w:t>
      </w:r>
      <w:proofErr w:type="spellEnd"/>
      <w:r w:rsidR="00650C2A">
        <w:rPr>
          <w:rFonts w:ascii="Arial" w:eastAsia="Arial" w:hAnsi="Arial" w:cs="Arial"/>
        </w:rPr>
        <w:t xml:space="preserve"> </w:t>
      </w:r>
      <w:r>
        <w:rPr>
          <w:rFonts w:ascii="Arial" w:eastAsia="Arial" w:hAnsi="Arial" w:cs="Arial"/>
        </w:rPr>
        <w:t>the urgent need for integrated actions that promote safe and supportive environments (ADEMUYIWA et al., 2022).</w:t>
      </w:r>
    </w:p>
    <w:p w14:paraId="421A836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Lack of Teacher Preparedness on Sexual Consent </w:t>
      </w:r>
    </w:p>
    <w:p w14:paraId="0E2F2C6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Research shows that many teachers are not adequately prepared to address sex education in the classroom, which undermines the effectiveness of such initiatives. The main barriers reported include the lack of specific training, limited class time, scarce financial resources, lack of support from school management, and fear of parental backlash. These challenges make program implementation unstable and of low quality (Sieben et al., 2017).</w:t>
      </w:r>
    </w:p>
    <w:p w14:paraId="42C84C08"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Cultural and religious factors also negatively influence teachers’ willingness to address sexuality with students. Many educators feel insecure discussing the topic, especially in conservative settings where social pressure is high. These sociocultural limitations reinforce the need for a school curriculum that promotes the inclusion of sexual content with a clear, respectful, and rights-based approach (</w:t>
      </w:r>
      <w:proofErr w:type="spellStart"/>
      <w:r>
        <w:rPr>
          <w:rFonts w:ascii="Arial" w:eastAsia="Arial" w:hAnsi="Arial" w:cs="Arial"/>
        </w:rPr>
        <w:t>Albalawi</w:t>
      </w:r>
      <w:proofErr w:type="spellEnd"/>
      <w:r>
        <w:rPr>
          <w:rFonts w:ascii="Arial" w:eastAsia="Arial" w:hAnsi="Arial" w:cs="Arial"/>
        </w:rPr>
        <w:t xml:space="preserve"> et al., 2023).</w:t>
      </w:r>
    </w:p>
    <w:p w14:paraId="1919A11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Continuous education programs and specific training have been identified as effective solutions for better preparing teachers. Initiatives such as online coaching, for example, have proven successful in helping educators implement programs more accurately and systematically. Investing in teacher training and curriculum adaptation is essential to ensure comprehensive and high-quality sex education (Cowan, McGowan &amp; Ghosh, 2018).</w:t>
      </w:r>
    </w:p>
    <w:p w14:paraId="0746464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Despite the relevance of the subject, few states explicitly address education on sexual consent. When they do, it is often indirectly, which limits students’ understanding of their rights and boundaries. Experts recommend that education policymakers promote the clear and systematic inclusion of the topic of consent in school curricula to strengthen the prevention of sexual violence (Smith et al., 2024).</w:t>
      </w:r>
    </w:p>
    <w:p w14:paraId="2E01DCFE" w14:textId="77B5C96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Finally, studies </w:t>
      </w:r>
      <w:proofErr w:type="spellStart"/>
      <w:r w:rsidR="00650C2A" w:rsidRPr="008A5A3A">
        <w:rPr>
          <w:rFonts w:ascii="Arial" w:eastAsia="Arial" w:hAnsi="Arial" w:cs="Arial"/>
          <w:highlight w:val="yellow"/>
        </w:rPr>
        <w:t>emphasise</w:t>
      </w:r>
      <w:proofErr w:type="spellEnd"/>
      <w:r w:rsidR="00650C2A">
        <w:rPr>
          <w:rFonts w:ascii="Arial" w:eastAsia="Arial" w:hAnsi="Arial" w:cs="Arial"/>
        </w:rPr>
        <w:t xml:space="preserve"> </w:t>
      </w:r>
      <w:r>
        <w:rPr>
          <w:rFonts w:ascii="Arial" w:eastAsia="Arial" w:hAnsi="Arial" w:cs="Arial"/>
        </w:rPr>
        <w:t>that teachers are essential agents in sexual health education, and that involving young people as active participants in the development, implementation, and evaluation of these programs can increase their relevance and impact. To achieve this, it is crucial to provide specific training for educators and include students as central actors in this educational process (</w:t>
      </w:r>
      <w:proofErr w:type="spellStart"/>
      <w:r>
        <w:rPr>
          <w:rFonts w:ascii="Arial" w:eastAsia="Arial" w:hAnsi="Arial" w:cs="Arial"/>
        </w:rPr>
        <w:t>Echavarría</w:t>
      </w:r>
      <w:proofErr w:type="spellEnd"/>
      <w:r>
        <w:rPr>
          <w:rFonts w:ascii="Arial" w:eastAsia="Arial" w:hAnsi="Arial" w:cs="Arial"/>
        </w:rPr>
        <w:t xml:space="preserve">, 2023; </w:t>
      </w:r>
      <w:proofErr w:type="spellStart"/>
      <w:r>
        <w:rPr>
          <w:rFonts w:ascii="Arial" w:eastAsia="Arial" w:hAnsi="Arial" w:cs="Arial"/>
        </w:rPr>
        <w:t>Herbenick</w:t>
      </w:r>
      <w:proofErr w:type="spellEnd"/>
      <w:r>
        <w:rPr>
          <w:rFonts w:ascii="Arial" w:eastAsia="Arial" w:hAnsi="Arial" w:cs="Arial"/>
        </w:rPr>
        <w:t xml:space="preserve"> et al., 2021).</w:t>
      </w:r>
    </w:p>
    <w:p w14:paraId="1887CAA7"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School Attendance </w:t>
      </w:r>
    </w:p>
    <w:p w14:paraId="2C761BFF" w14:textId="13FC6A48"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article identified that educational interventions in Brazilian schools—often focused on the prevention of STIs and unplanned pregnancy—offer information on sexual biology, condom use, and care related to sexual and reproductive health. However, these actions still do not fully meet national guidelines, highlighting the importance of training teachers to foster a culture of prevention within the school environment (</w:t>
      </w:r>
      <w:proofErr w:type="spellStart"/>
      <w:r>
        <w:rPr>
          <w:rFonts w:ascii="Arial" w:eastAsia="Arial" w:hAnsi="Arial" w:cs="Arial"/>
        </w:rPr>
        <w:t>Furlanetto</w:t>
      </w:r>
      <w:proofErr w:type="spellEnd"/>
      <w:r>
        <w:rPr>
          <w:rFonts w:ascii="Arial" w:eastAsia="Arial" w:hAnsi="Arial" w:cs="Arial"/>
        </w:rPr>
        <w:t xml:space="preserve"> et al., 2018). Well-structured and effective school-based sex education programs are associated not only with a reduction </w:t>
      </w:r>
      <w:r>
        <w:rPr>
          <w:rFonts w:ascii="Arial" w:eastAsia="Arial" w:hAnsi="Arial" w:cs="Arial"/>
        </w:rPr>
        <w:lastRenderedPageBreak/>
        <w:t xml:space="preserve">in risky </w:t>
      </w:r>
      <w:proofErr w:type="spellStart"/>
      <w:r w:rsidR="00650C2A" w:rsidRPr="008A5A3A">
        <w:rPr>
          <w:rFonts w:ascii="Arial" w:eastAsia="Arial" w:hAnsi="Arial" w:cs="Arial"/>
          <w:highlight w:val="yellow"/>
        </w:rPr>
        <w:t>behaviours</w:t>
      </w:r>
      <w:proofErr w:type="spellEnd"/>
      <w:r w:rsidR="00650C2A" w:rsidRPr="008A5A3A">
        <w:rPr>
          <w:rFonts w:ascii="Arial" w:eastAsia="Arial" w:hAnsi="Arial" w:cs="Arial"/>
          <w:highlight w:val="yellow"/>
        </w:rPr>
        <w:t xml:space="preserve"> </w:t>
      </w:r>
      <w:r>
        <w:rPr>
          <w:rFonts w:ascii="Arial" w:eastAsia="Arial" w:hAnsi="Arial" w:cs="Arial"/>
        </w:rPr>
        <w:t>but also with improved academic performance and the creation of safer and more supportive learning environments (Wilkins et al., 2021).</w:t>
      </w:r>
    </w:p>
    <w:p w14:paraId="4A1CC95F" w14:textId="55861B5B"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Comprehensive sex education provides adolescents with accurate information and essential skills to avoid risky </w:t>
      </w:r>
      <w:proofErr w:type="spellStart"/>
      <w:r w:rsidR="00650C2A" w:rsidRPr="008A5A3A">
        <w:rPr>
          <w:rFonts w:ascii="Arial" w:eastAsia="Arial" w:hAnsi="Arial" w:cs="Arial"/>
          <w:highlight w:val="yellow"/>
        </w:rPr>
        <w:t>behaviours</w:t>
      </w:r>
      <w:proofErr w:type="spellEnd"/>
      <w:r w:rsidR="00650C2A" w:rsidRPr="008A5A3A">
        <w:rPr>
          <w:rFonts w:ascii="Arial" w:eastAsia="Arial" w:hAnsi="Arial" w:cs="Arial"/>
          <w:highlight w:val="yellow"/>
        </w:rPr>
        <w:t xml:space="preserve"> </w:t>
      </w:r>
      <w:r>
        <w:rPr>
          <w:rFonts w:ascii="Arial" w:eastAsia="Arial" w:hAnsi="Arial" w:cs="Arial"/>
        </w:rPr>
        <w:t>such as early sexual initiation, having multiple sexual partners, and improper condom use. These programs have shown significant effectiveness in reducing sexually transmitted infections and unplanned pregnancies, directly impacting the reduction of school absences related to sexual and reproductive health issues (Wilkins et al., 2021; Zhou et al., 2024). Furthermore, by promoting safety and support within the school context, sex education improves both academic performance and school attendance among adolescents (Zhou et al., 2024).</w:t>
      </w:r>
    </w:p>
    <w:p w14:paraId="4D66232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However, the effectiveness of these programs directly depends on teacher preparedness. Many educators lack the necessary training to address sex education effectively. Programs that provide ongoing training, adequate resources, and institutional support are essential for the success of sex education in schools, ensuring that teachers are confident and well-prepared to handle sensitive and important topics (Wilkins et al., 2021; Zhou et al., 2024).</w:t>
      </w:r>
    </w:p>
    <w:p w14:paraId="625F0FEA" w14:textId="14D44BAD"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The study highlights that the implementation of school-based sex education programs is directly associated with a reduction in risky sexual </w:t>
      </w:r>
      <w:proofErr w:type="spellStart"/>
      <w:r w:rsidR="00650C2A" w:rsidRPr="008A5A3A">
        <w:rPr>
          <w:rFonts w:ascii="Arial" w:eastAsia="Arial" w:hAnsi="Arial" w:cs="Arial"/>
          <w:highlight w:val="yellow"/>
        </w:rPr>
        <w:t>behaviours</w:t>
      </w:r>
      <w:proofErr w:type="spellEnd"/>
      <w:r w:rsidR="00650C2A">
        <w:rPr>
          <w:rFonts w:ascii="Arial" w:eastAsia="Arial" w:hAnsi="Arial" w:cs="Arial"/>
        </w:rPr>
        <w:t xml:space="preserve"> </w:t>
      </w:r>
      <w:r>
        <w:rPr>
          <w:rFonts w:ascii="Arial" w:eastAsia="Arial" w:hAnsi="Arial" w:cs="Arial"/>
        </w:rPr>
        <w:t>among adolescents. Additionally, there is a correlation between sex education in schools and a significant decrease in STI prevalence in young adulthood. These early interventions provide young people with essential knowledge about contraceptive methods and correct condom use, empowering them to make informed and responsible decisions (</w:t>
      </w:r>
      <w:proofErr w:type="spellStart"/>
      <w:r>
        <w:rPr>
          <w:rFonts w:ascii="Arial" w:eastAsia="Arial" w:hAnsi="Arial" w:cs="Arial"/>
        </w:rPr>
        <w:t>Vaidakis</w:t>
      </w:r>
      <w:proofErr w:type="spellEnd"/>
      <w:r>
        <w:rPr>
          <w:rFonts w:ascii="Arial" w:eastAsia="Arial" w:hAnsi="Arial" w:cs="Arial"/>
        </w:rPr>
        <w:t xml:space="preserve"> et al., 2017; Woo et al., 2011).</w:t>
      </w:r>
    </w:p>
    <w:p w14:paraId="73F27D2A" w14:textId="2F67E89E"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Moreover, adolescents who initiate sexual activity very early (ages 14–15) tend to show lower academic performance (lower average grades) compared to their peers who have not yet become sexually active. This data reinforces the importance of effective preventive interventions through sex education, which can directly contribute to academic success by reducing </w:t>
      </w:r>
      <w:proofErr w:type="spellStart"/>
      <w:r w:rsidR="00650C2A" w:rsidRPr="008A5A3A">
        <w:rPr>
          <w:rFonts w:ascii="Arial" w:eastAsia="Arial" w:hAnsi="Arial" w:cs="Arial"/>
          <w:highlight w:val="yellow"/>
        </w:rPr>
        <w:t>behaviours</w:t>
      </w:r>
      <w:proofErr w:type="spellEnd"/>
      <w:r w:rsidR="00650C2A" w:rsidRPr="008A5A3A">
        <w:rPr>
          <w:rFonts w:ascii="Arial" w:eastAsia="Arial" w:hAnsi="Arial" w:cs="Arial"/>
          <w:highlight w:val="yellow"/>
        </w:rPr>
        <w:t xml:space="preserve"> </w:t>
      </w:r>
      <w:r>
        <w:rPr>
          <w:rFonts w:ascii="Arial" w:eastAsia="Arial" w:hAnsi="Arial" w:cs="Arial"/>
        </w:rPr>
        <w:t>that negatively impact students’ educational outcomes (Whitworth et al., 2019).</w:t>
      </w:r>
    </w:p>
    <w:p w14:paraId="38B8A97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Family Planning</w:t>
      </w:r>
    </w:p>
    <w:p w14:paraId="1F49578D" w14:textId="780D495C"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Communication and emotional support within the family environment shape adolescents' emotional and social </w:t>
      </w:r>
      <w:proofErr w:type="spellStart"/>
      <w:r w:rsidR="00650C2A" w:rsidRPr="008A5A3A">
        <w:rPr>
          <w:rFonts w:ascii="Arial" w:eastAsia="Arial" w:hAnsi="Arial" w:cs="Arial"/>
          <w:highlight w:val="yellow"/>
        </w:rPr>
        <w:t>behaviour</w:t>
      </w:r>
      <w:proofErr w:type="spellEnd"/>
      <w:r>
        <w:rPr>
          <w:rFonts w:ascii="Arial" w:eastAsia="Arial" w:hAnsi="Arial" w:cs="Arial"/>
        </w:rPr>
        <w:t xml:space="preserve">, directly influencing how they understand and experience sexuality. Families that provide support and consistent discipline promote the development of healthy </w:t>
      </w:r>
      <w:proofErr w:type="spellStart"/>
      <w:r w:rsidR="00650C2A" w:rsidRPr="008A5A3A">
        <w:rPr>
          <w:rFonts w:ascii="Arial" w:eastAsia="Arial" w:hAnsi="Arial" w:cs="Arial"/>
          <w:highlight w:val="yellow"/>
        </w:rPr>
        <w:t>behaviours</w:t>
      </w:r>
      <w:proofErr w:type="spellEnd"/>
      <w:r>
        <w:rPr>
          <w:rFonts w:ascii="Arial" w:eastAsia="Arial" w:hAnsi="Arial" w:cs="Arial"/>
        </w:rPr>
        <w:t xml:space="preserve">, while structured environments </w:t>
      </w:r>
      <w:proofErr w:type="spellStart"/>
      <w:r w:rsidR="00650C2A" w:rsidRPr="008A5A3A">
        <w:rPr>
          <w:rFonts w:ascii="Arial" w:eastAsia="Arial" w:hAnsi="Arial" w:cs="Arial"/>
          <w:highlight w:val="yellow"/>
        </w:rPr>
        <w:t>favour</w:t>
      </w:r>
      <w:proofErr w:type="spellEnd"/>
      <w:r w:rsidR="00650C2A" w:rsidRPr="008A5A3A">
        <w:rPr>
          <w:rFonts w:ascii="Arial" w:eastAsia="Arial" w:hAnsi="Arial" w:cs="Arial"/>
          <w:highlight w:val="yellow"/>
        </w:rPr>
        <w:t xml:space="preserve"> </w:t>
      </w:r>
      <w:r>
        <w:rPr>
          <w:rFonts w:ascii="Arial" w:eastAsia="Arial" w:hAnsi="Arial" w:cs="Arial"/>
        </w:rPr>
        <w:t>emotional well-being and help adolescents navigate sensitive topics such as sexuality (</w:t>
      </w:r>
      <w:proofErr w:type="spellStart"/>
      <w:r>
        <w:rPr>
          <w:rFonts w:ascii="Arial" w:eastAsia="Arial" w:hAnsi="Arial" w:cs="Arial"/>
        </w:rPr>
        <w:t>Savell</w:t>
      </w:r>
      <w:proofErr w:type="spellEnd"/>
      <w:r>
        <w:rPr>
          <w:rFonts w:ascii="Arial" w:eastAsia="Arial" w:hAnsi="Arial" w:cs="Arial"/>
        </w:rPr>
        <w:t xml:space="preserve"> et al., 2023).</w:t>
      </w:r>
    </w:p>
    <w:p w14:paraId="5BB08D98" w14:textId="30C4583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The way a family </w:t>
      </w:r>
      <w:proofErr w:type="spellStart"/>
      <w:r w:rsidR="00650C2A" w:rsidRPr="008A5A3A">
        <w:rPr>
          <w:rFonts w:ascii="Arial" w:eastAsia="Arial" w:hAnsi="Arial" w:cs="Arial"/>
          <w:highlight w:val="yellow"/>
        </w:rPr>
        <w:t>organises</w:t>
      </w:r>
      <w:proofErr w:type="spellEnd"/>
      <w:r w:rsidR="00650C2A" w:rsidRPr="008A5A3A">
        <w:rPr>
          <w:rFonts w:ascii="Arial" w:eastAsia="Arial" w:hAnsi="Arial" w:cs="Arial"/>
          <w:highlight w:val="yellow"/>
        </w:rPr>
        <w:t xml:space="preserve"> </w:t>
      </w:r>
      <w:r>
        <w:rPr>
          <w:rFonts w:ascii="Arial" w:eastAsia="Arial" w:hAnsi="Arial" w:cs="Arial"/>
        </w:rPr>
        <w:t>routines and habits impacts adolescents’ physical and emotional health. Unstable family structures negatively affect self-care and hinder understanding of the body and sexuality. In these conditions, young people exhibit reduced self-regulation and have difficulties making healthy decisions, especially regarding their sexual and emotional lives (</w:t>
      </w:r>
      <w:proofErr w:type="spellStart"/>
      <w:r>
        <w:rPr>
          <w:rFonts w:ascii="Arial" w:eastAsia="Arial" w:hAnsi="Arial" w:cs="Arial"/>
        </w:rPr>
        <w:t>Fismen</w:t>
      </w:r>
      <w:proofErr w:type="spellEnd"/>
      <w:r>
        <w:rPr>
          <w:rFonts w:ascii="Arial" w:eastAsia="Arial" w:hAnsi="Arial" w:cs="Arial"/>
        </w:rPr>
        <w:t xml:space="preserve"> et al., 2020).</w:t>
      </w:r>
    </w:p>
    <w:p w14:paraId="1F34E41A" w14:textId="7A9A3A5F"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Unstructured families, marked by a lack of supervision, are associated with greater exposure to risk </w:t>
      </w:r>
      <w:proofErr w:type="spellStart"/>
      <w:r w:rsidR="00650C2A" w:rsidRPr="008A5A3A">
        <w:rPr>
          <w:rFonts w:ascii="Arial" w:eastAsia="Arial" w:hAnsi="Arial" w:cs="Arial"/>
          <w:highlight w:val="yellow"/>
        </w:rPr>
        <w:t>behaviours</w:t>
      </w:r>
      <w:proofErr w:type="spellEnd"/>
      <w:r w:rsidR="00650C2A" w:rsidRPr="008A5A3A">
        <w:rPr>
          <w:rFonts w:ascii="Arial" w:eastAsia="Arial" w:hAnsi="Arial" w:cs="Arial"/>
          <w:highlight w:val="yellow"/>
        </w:rPr>
        <w:t xml:space="preserve"> </w:t>
      </w:r>
      <w:r>
        <w:rPr>
          <w:rFonts w:ascii="Arial" w:eastAsia="Arial" w:hAnsi="Arial" w:cs="Arial"/>
        </w:rPr>
        <w:t xml:space="preserve">such as psychoactive substance use and unprotected sexual activity. On the other hand, families that offer consistent support and effective supervision reduce these </w:t>
      </w:r>
      <w:proofErr w:type="spellStart"/>
      <w:r w:rsidR="00650C2A" w:rsidRPr="008A5A3A">
        <w:rPr>
          <w:rFonts w:ascii="Arial" w:eastAsia="Arial" w:hAnsi="Arial" w:cs="Arial"/>
          <w:highlight w:val="yellow"/>
        </w:rPr>
        <w:t>behaviours</w:t>
      </w:r>
      <w:proofErr w:type="spellEnd"/>
      <w:r>
        <w:rPr>
          <w:rFonts w:ascii="Arial" w:eastAsia="Arial" w:hAnsi="Arial" w:cs="Arial"/>
        </w:rPr>
        <w:t>, fostering a safer experience of sexuality and greater emotional well-being (Hoffmann, 2022).</w:t>
      </w:r>
    </w:p>
    <w:p w14:paraId="4B1F71CB" w14:textId="09BE48B9"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Physical and emotional issues reported by adolescents from single-parent or unstructured families—such as pain, stress, and suffering—reveal a lack of emotional support. These experiences affect social </w:t>
      </w:r>
      <w:proofErr w:type="spellStart"/>
      <w:r w:rsidR="00650C2A" w:rsidRPr="008A5A3A">
        <w:rPr>
          <w:rFonts w:ascii="Arial" w:eastAsia="Arial" w:hAnsi="Arial" w:cs="Arial"/>
          <w:highlight w:val="yellow"/>
        </w:rPr>
        <w:t>behaviour</w:t>
      </w:r>
      <w:proofErr w:type="spellEnd"/>
      <w:r w:rsidR="00650C2A" w:rsidRPr="008A5A3A">
        <w:rPr>
          <w:rFonts w:ascii="Arial" w:eastAsia="Arial" w:hAnsi="Arial" w:cs="Arial"/>
          <w:highlight w:val="yellow"/>
        </w:rPr>
        <w:t xml:space="preserve"> </w:t>
      </w:r>
      <w:r>
        <w:rPr>
          <w:rFonts w:ascii="Arial" w:eastAsia="Arial" w:hAnsi="Arial" w:cs="Arial"/>
        </w:rPr>
        <w:t>and the way young people express their sexuality, showing that family care is a central factor for healthy development (</w:t>
      </w:r>
      <w:proofErr w:type="spellStart"/>
      <w:r>
        <w:rPr>
          <w:rFonts w:ascii="Arial" w:eastAsia="Arial" w:hAnsi="Arial" w:cs="Arial"/>
        </w:rPr>
        <w:t>Heikkala</w:t>
      </w:r>
      <w:proofErr w:type="spellEnd"/>
      <w:r>
        <w:rPr>
          <w:rFonts w:ascii="Arial" w:eastAsia="Arial" w:hAnsi="Arial" w:cs="Arial"/>
        </w:rPr>
        <w:t xml:space="preserve"> et al., 2023).</w:t>
      </w:r>
    </w:p>
    <w:p w14:paraId="105D430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Cohesive families with a positive emotional climate protect against depressive symptoms and facilitate the development of a healthy understanding of sexuality throughout life. Structural diversity in families influences emotional bonds and the perception of social roles, demonstrating that the emotional support received during childhood and adolescence can shape emotional and sexual health well into adulthood (Alonso-Perez et al., 2022; Dong et al., 2022; </w:t>
      </w:r>
      <w:proofErr w:type="spellStart"/>
      <w:r>
        <w:rPr>
          <w:rFonts w:ascii="Arial" w:eastAsia="Arial" w:hAnsi="Arial" w:cs="Arial"/>
        </w:rPr>
        <w:t>Juteau</w:t>
      </w:r>
      <w:proofErr w:type="spellEnd"/>
      <w:r>
        <w:rPr>
          <w:rFonts w:ascii="Arial" w:eastAsia="Arial" w:hAnsi="Arial" w:cs="Arial"/>
        </w:rPr>
        <w:t xml:space="preserve"> et al., 2023).</w:t>
      </w:r>
    </w:p>
    <w:p w14:paraId="64E03110" w14:textId="77777777" w:rsidR="006202A3" w:rsidRDefault="006202A3">
      <w:pPr>
        <w:keepNext/>
        <w:pBdr>
          <w:top w:val="nil"/>
          <w:left w:val="nil"/>
          <w:bottom w:val="nil"/>
          <w:right w:val="nil"/>
          <w:between w:val="nil"/>
        </w:pBdr>
        <w:jc w:val="both"/>
        <w:rPr>
          <w:rFonts w:ascii="Arial" w:eastAsia="Arial" w:hAnsi="Arial" w:cs="Arial"/>
          <w:b/>
          <w:smallCaps/>
          <w:sz w:val="22"/>
          <w:szCs w:val="22"/>
        </w:rPr>
      </w:pPr>
    </w:p>
    <w:p w14:paraId="07C71965" w14:textId="77777777" w:rsidR="006202A3" w:rsidRDefault="006202A3">
      <w:pPr>
        <w:pBdr>
          <w:top w:val="nil"/>
          <w:left w:val="nil"/>
          <w:bottom w:val="nil"/>
          <w:right w:val="nil"/>
          <w:between w:val="nil"/>
        </w:pBdr>
        <w:jc w:val="both"/>
        <w:rPr>
          <w:rFonts w:ascii="Arial" w:eastAsia="Arial" w:hAnsi="Arial" w:cs="Arial"/>
          <w:color w:val="000000"/>
        </w:rPr>
      </w:pPr>
    </w:p>
    <w:p w14:paraId="7C25DE5A" w14:textId="77777777" w:rsidR="006202A3" w:rsidRDefault="006202A3">
      <w:pPr>
        <w:pBdr>
          <w:top w:val="nil"/>
          <w:left w:val="nil"/>
          <w:bottom w:val="nil"/>
          <w:right w:val="nil"/>
          <w:between w:val="nil"/>
        </w:pBdr>
        <w:jc w:val="both"/>
        <w:rPr>
          <w:rFonts w:ascii="Arial" w:eastAsia="Arial" w:hAnsi="Arial" w:cs="Arial"/>
          <w:color w:val="000000"/>
        </w:rPr>
      </w:pPr>
    </w:p>
    <w:p w14:paraId="53D01868" w14:textId="77777777" w:rsidR="006202A3" w:rsidRDefault="009953D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71453568"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p w14:paraId="071EB8A4" w14:textId="63F89E92"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This study aimed to understand the relevance of sexual and reproductive health education among young people and adolescents, highlighting its contribution to the prevention of social and public health issues. The literature review conducted allowed for a critical and evidence-based analysis of the positive impacts of sex education, </w:t>
      </w:r>
      <w:proofErr w:type="spellStart"/>
      <w:r w:rsidR="00650C2A" w:rsidRPr="008A5A3A">
        <w:rPr>
          <w:rFonts w:ascii="Arial" w:eastAsia="Arial" w:hAnsi="Arial" w:cs="Arial"/>
          <w:highlight w:val="yellow"/>
        </w:rPr>
        <w:t>emphasising</w:t>
      </w:r>
      <w:proofErr w:type="spellEnd"/>
      <w:r w:rsidR="00650C2A">
        <w:rPr>
          <w:rFonts w:ascii="Arial" w:eastAsia="Arial" w:hAnsi="Arial" w:cs="Arial"/>
        </w:rPr>
        <w:t xml:space="preserve"> </w:t>
      </w:r>
      <w:r>
        <w:rPr>
          <w:rFonts w:ascii="Arial" w:eastAsia="Arial" w:hAnsi="Arial" w:cs="Arial"/>
        </w:rPr>
        <w:t>its importance in reducing sexually transmitted infections (STIs), teenage pregnancy, and mental health disorders.</w:t>
      </w:r>
    </w:p>
    <w:p w14:paraId="409E27B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In the school setting, the urgent need for teacher training was identified to ensure an effective and safe approach to the topic in the classroom. Well-implemented sex education directly influences students’ academic performance and school attendance. Furthermore, at the social level, sex education proved to be essential in promoting knowledge about family planning, the menstrual cycle, contraceptive methods, and emotional self-care, thus supporting healthy adolescent development.</w:t>
      </w:r>
    </w:p>
    <w:p w14:paraId="0E679EC2" w14:textId="0FA616D9"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Despite its significant contributions, the study presented limitations, particularly due to the persistence of taboos and sociocultural resistance that hinder the effective implementation of educational policies focused on sexual health. These challenges reinforce the need to broaden the debate and scientific research on the topic, especially in school contexts, </w:t>
      </w:r>
      <w:r w:rsidR="00650C2A" w:rsidRPr="008A5A3A">
        <w:rPr>
          <w:rFonts w:ascii="Arial" w:eastAsia="Arial" w:hAnsi="Arial" w:cs="Arial"/>
          <w:highlight w:val="yellow"/>
        </w:rPr>
        <w:t>to</w:t>
      </w:r>
      <w:r>
        <w:rPr>
          <w:rFonts w:ascii="Arial" w:eastAsia="Arial" w:hAnsi="Arial" w:cs="Arial"/>
        </w:rPr>
        <w:t xml:space="preserve"> develop more inclusive, informative, and evidence-based educational strategies.</w:t>
      </w:r>
    </w:p>
    <w:p w14:paraId="3842402F" w14:textId="258D1CFC"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Therefore, it is concluded that sex education is an essential tool for promoting the overall health of adolescents, and that investment in teacher training, public policies, and social awareness is crucial for advancing this educational agenda.</w:t>
      </w:r>
    </w:p>
    <w:p w14:paraId="319DB502" w14:textId="0A35CFD1" w:rsidR="00521815" w:rsidRDefault="00521815">
      <w:pPr>
        <w:pBdr>
          <w:top w:val="nil"/>
          <w:left w:val="nil"/>
          <w:bottom w:val="nil"/>
          <w:right w:val="nil"/>
          <w:between w:val="nil"/>
        </w:pBdr>
        <w:jc w:val="both"/>
        <w:rPr>
          <w:rFonts w:ascii="Arial" w:eastAsia="Arial" w:hAnsi="Arial" w:cs="Arial"/>
        </w:rPr>
      </w:pPr>
    </w:p>
    <w:p w14:paraId="331B4B62" w14:textId="77777777" w:rsidR="00521815" w:rsidRPr="00DF3D8E" w:rsidRDefault="00521815" w:rsidP="00521815">
      <w:pPr>
        <w:rPr>
          <w:rFonts w:ascii="Calibri" w:eastAsia="Calibri" w:hAnsi="Calibri" w:cs="Times New Roman"/>
          <w:b/>
          <w:kern w:val="2"/>
          <w:highlight w:val="yellow"/>
        </w:rPr>
      </w:pPr>
      <w:bookmarkStart w:id="0" w:name="_Hlk197682619"/>
      <w:bookmarkStart w:id="1" w:name="_Hlk180402183"/>
      <w:bookmarkStart w:id="2" w:name="_Hlk183680988"/>
      <w:bookmarkStart w:id="3" w:name="_GoBack"/>
      <w:r w:rsidRPr="00DF3D8E">
        <w:rPr>
          <w:rFonts w:ascii="Calibri" w:eastAsia="Calibri" w:hAnsi="Calibri" w:cs="Times New Roman"/>
          <w:b/>
          <w:kern w:val="2"/>
          <w:highlight w:val="yellow"/>
        </w:rPr>
        <w:t>Disclaimer (Artificial intelligence)</w:t>
      </w:r>
    </w:p>
    <w:bookmarkEnd w:id="3"/>
    <w:p w14:paraId="3927B928" w14:textId="77777777" w:rsidR="00521815" w:rsidRPr="009C5487" w:rsidRDefault="00521815" w:rsidP="0052181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3F7031B" w14:textId="77777777" w:rsidR="00521815" w:rsidRPr="009C5487" w:rsidRDefault="00521815" w:rsidP="00521815">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763EF8E6" w14:textId="77777777" w:rsidR="00521815" w:rsidRPr="009C5487" w:rsidRDefault="00521815" w:rsidP="0052181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8DF8471" w14:textId="77777777" w:rsidR="00521815" w:rsidRPr="009C5487" w:rsidRDefault="00521815" w:rsidP="00521815">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1E8CAAD" w14:textId="77777777" w:rsidR="00521815" w:rsidRPr="009C5487" w:rsidRDefault="00521815" w:rsidP="00521815">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3AB430B4" w14:textId="77777777" w:rsidR="00521815" w:rsidRPr="009C5487" w:rsidRDefault="00521815" w:rsidP="00521815">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2DBD4BC6" w14:textId="77777777" w:rsidR="00521815" w:rsidRPr="009C5487" w:rsidRDefault="00521815" w:rsidP="00521815">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5210B15D" w14:textId="77777777" w:rsidR="00521815" w:rsidRPr="009C5487" w:rsidRDefault="00521815" w:rsidP="00521815">
      <w:pPr>
        <w:rPr>
          <w:rFonts w:ascii="Calibri" w:eastAsia="Calibri" w:hAnsi="Calibri" w:cs="Times New Roman"/>
          <w:kern w:val="2"/>
        </w:rPr>
      </w:pPr>
      <w:bookmarkStart w:id="4" w:name="_Hlk197682629"/>
      <w:bookmarkEnd w:id="0"/>
      <w:r w:rsidRPr="009C5487">
        <w:rPr>
          <w:rFonts w:ascii="Calibri" w:eastAsia="Calibri" w:hAnsi="Calibri" w:cs="Times New Roman"/>
          <w:kern w:val="2"/>
          <w:highlight w:val="yellow"/>
        </w:rPr>
        <w:t>3.</w:t>
      </w:r>
    </w:p>
    <w:bookmarkEnd w:id="1"/>
    <w:bookmarkEnd w:id="2"/>
    <w:bookmarkEnd w:id="4"/>
    <w:p w14:paraId="4D724058" w14:textId="77777777" w:rsidR="00521815" w:rsidRDefault="00521815">
      <w:pPr>
        <w:pBdr>
          <w:top w:val="nil"/>
          <w:left w:val="nil"/>
          <w:bottom w:val="nil"/>
          <w:right w:val="nil"/>
          <w:between w:val="nil"/>
        </w:pBdr>
        <w:jc w:val="both"/>
        <w:rPr>
          <w:rFonts w:ascii="Arial" w:eastAsia="Arial" w:hAnsi="Arial" w:cs="Arial"/>
        </w:rPr>
      </w:pPr>
    </w:p>
    <w:p w14:paraId="60A51E65" w14:textId="77777777" w:rsidR="006202A3" w:rsidRDefault="006202A3">
      <w:pPr>
        <w:pBdr>
          <w:top w:val="nil"/>
          <w:left w:val="nil"/>
          <w:bottom w:val="nil"/>
          <w:right w:val="nil"/>
          <w:between w:val="nil"/>
        </w:pBdr>
        <w:jc w:val="both"/>
        <w:rPr>
          <w:rFonts w:ascii="Arial" w:eastAsia="Arial" w:hAnsi="Arial" w:cs="Arial"/>
        </w:rPr>
      </w:pPr>
    </w:p>
    <w:p w14:paraId="3E326471"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p w14:paraId="2E44085C" w14:textId="77777777" w:rsidR="006202A3" w:rsidRDefault="009953D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03018BF0"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p w14:paraId="6D6239D8"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ACHEN, D. et al. Trends and challenges in comprehensive sex education (CSE) research in </w:t>
      </w:r>
      <w:proofErr w:type="spellStart"/>
      <w:r>
        <w:rPr>
          <w:rFonts w:ascii="Arial" w:eastAsia="Arial" w:hAnsi="Arial" w:cs="Arial"/>
        </w:rPr>
        <w:t>sub-saharan</w:t>
      </w:r>
      <w:proofErr w:type="spellEnd"/>
      <w:r>
        <w:rPr>
          <w:rFonts w:ascii="Arial" w:eastAsia="Arial" w:hAnsi="Arial" w:cs="Arial"/>
        </w:rPr>
        <w:t xml:space="preserve"> Africa: A narrative review. Current Sexual Health Reports, 6 </w:t>
      </w:r>
      <w:proofErr w:type="spellStart"/>
      <w:r>
        <w:rPr>
          <w:rFonts w:ascii="Arial" w:eastAsia="Arial" w:hAnsi="Arial" w:cs="Arial"/>
        </w:rPr>
        <w:t>maio</w:t>
      </w:r>
      <w:proofErr w:type="spellEnd"/>
      <w:r>
        <w:rPr>
          <w:rFonts w:ascii="Arial" w:eastAsia="Arial" w:hAnsi="Arial" w:cs="Arial"/>
        </w:rPr>
        <w:t xml:space="preserve"> 2023.</w:t>
      </w:r>
    </w:p>
    <w:p w14:paraId="6C52147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ADEMUYIWA, I. Y. et al. Knowledge and attitude of sex education among secondary school students in south-western Nigeria: A cross-sectional study. Dialogues in Health, v. 2, p. 100085, </w:t>
      </w:r>
      <w:proofErr w:type="spellStart"/>
      <w:r>
        <w:rPr>
          <w:rFonts w:ascii="Arial" w:eastAsia="Arial" w:hAnsi="Arial" w:cs="Arial"/>
        </w:rPr>
        <w:t>dez</w:t>
      </w:r>
      <w:proofErr w:type="spellEnd"/>
      <w:r>
        <w:rPr>
          <w:rFonts w:ascii="Arial" w:eastAsia="Arial" w:hAnsi="Arial" w:cs="Arial"/>
        </w:rPr>
        <w:t>. 2023.</w:t>
      </w:r>
    </w:p>
    <w:p w14:paraId="23E934D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ADEMUYIWA, I. Y. et al. Knowledge and attitude of sex education among secondary school students in south-western Nigeria: A cross-sectional study, 2022.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https://pubmed.ncbi.nlm.nih.gov/38515483/</w:t>
      </w:r>
    </w:p>
    <w:p w14:paraId="449BDFF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ALUGA, David; OKOLIE, Elvis </w:t>
      </w:r>
      <w:proofErr w:type="spellStart"/>
      <w:r>
        <w:rPr>
          <w:rFonts w:ascii="Arial" w:eastAsia="Arial" w:hAnsi="Arial" w:cs="Arial"/>
        </w:rPr>
        <w:t>Anyaehiechukwu</w:t>
      </w:r>
      <w:proofErr w:type="spellEnd"/>
      <w:r>
        <w:rPr>
          <w:rFonts w:ascii="Arial" w:eastAsia="Arial" w:hAnsi="Arial" w:cs="Arial"/>
        </w:rPr>
        <w:t xml:space="preserve">. Socioeconomic determinants of teenage pregnancy and early motherhood in the United Kingdom: A perspective. Health Promotion Perspectives, v. 11, n. 4, p. 426–429, 2021.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https://www.ncbi.nlm.nih.gov/pmc/articles/PMC8767081/.</w:t>
      </w:r>
    </w:p>
    <w:p w14:paraId="2AEBB66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ALZUETA, E.; BAKER, F. C. The Menstrual Cycle and Sleep. Sleep Medicine Clinics, v. 18, n. 4, p. 399–413, 1 </w:t>
      </w:r>
      <w:proofErr w:type="spellStart"/>
      <w:r>
        <w:rPr>
          <w:rFonts w:ascii="Arial" w:eastAsia="Arial" w:hAnsi="Arial" w:cs="Arial"/>
        </w:rPr>
        <w:t>dez</w:t>
      </w:r>
      <w:proofErr w:type="spellEnd"/>
      <w:r>
        <w:rPr>
          <w:rFonts w:ascii="Arial" w:eastAsia="Arial" w:hAnsi="Arial" w:cs="Arial"/>
        </w:rPr>
        <w:t>. 2023.</w:t>
      </w:r>
    </w:p>
    <w:p w14:paraId="2FC0BB8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ANTHONY, J. Choosing a Contraceptive. What’s Best for You? American Health, vol. 13, no. 3, Apr. 1994, pp. 68–71, pubmed.ncbi.nlm.nih.gov/12290558/.</w:t>
      </w:r>
    </w:p>
    <w:p w14:paraId="0FE6C91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BANCALARI, P. et al. High prevalence of rectal chlamydia among pregnant adolescents in La Romana, Dominican Republic warrants extragenital STI testing. International Journal of STD &amp; AIDS, p. 095646242110430, 25 set. 2021.</w:t>
      </w:r>
    </w:p>
    <w:p w14:paraId="23BC4C4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BARR, Elissa M., et al. Improving Sexuality Education: The Development of Teacher-Preparation Standards. Journal of School Health, vol. 84, no. 6, 21 Apr. 2014, pp. 396–415.</w:t>
      </w:r>
    </w:p>
    <w:p w14:paraId="09C7BF27"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BEEBE, Sarah, et al. The Lack of Sexual Health Education in Medical Training Leaves Students and Residents Feeling Unprepared. The Journal of Sexual Medicine, vol. 18, no. 12, 1 Dec. 2021, pp. 1998–2004, pubmed.ncbi.nlm.nih.gov/34711518/, https://doi.org/10.1016/j.jsxm.2021.09.011. Accessed 24 Apr. 2022.</w:t>
      </w:r>
    </w:p>
    <w:p w14:paraId="4EFCEFD8"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BENTIVEGNA, F.; PATALAY, P. The impact of sexual violence in mid-adolescence on mental health: a UK population-based longitudinal study. The Lancet Psychiatry, v. 9, n. 11, p. 874–883, </w:t>
      </w:r>
      <w:proofErr w:type="spellStart"/>
      <w:r>
        <w:rPr>
          <w:rFonts w:ascii="Arial" w:eastAsia="Arial" w:hAnsi="Arial" w:cs="Arial"/>
        </w:rPr>
        <w:t>nov.</w:t>
      </w:r>
      <w:proofErr w:type="spellEnd"/>
      <w:r>
        <w:rPr>
          <w:rFonts w:ascii="Arial" w:eastAsia="Arial" w:hAnsi="Arial" w:cs="Arial"/>
        </w:rPr>
        <w:t xml:space="preserve"> 2022.</w:t>
      </w:r>
    </w:p>
    <w:p w14:paraId="5889FF8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BENTON, M. J.; HUTCHINS, A. M.; DAWES, J. J. Effect of menstrual cycle on resting metabolism: A systematic review and meta-analysis. PLOS ONE, v. 15, n. 7, p. e0236025, 13 </w:t>
      </w:r>
      <w:proofErr w:type="spellStart"/>
      <w:r>
        <w:rPr>
          <w:rFonts w:ascii="Arial" w:eastAsia="Arial" w:hAnsi="Arial" w:cs="Arial"/>
        </w:rPr>
        <w:t>jul.</w:t>
      </w:r>
      <w:proofErr w:type="spellEnd"/>
      <w:r>
        <w:rPr>
          <w:rFonts w:ascii="Arial" w:eastAsia="Arial" w:hAnsi="Arial" w:cs="Arial"/>
        </w:rPr>
        <w:t xml:space="preserve"> 2020.</w:t>
      </w:r>
    </w:p>
    <w:p w14:paraId="411D5BA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BRUINVELS, G.; HACKNEY, A. C.; PEDLAR, C. R. Menstrual Cycle: </w:t>
      </w:r>
      <w:proofErr w:type="gramStart"/>
      <w:r>
        <w:rPr>
          <w:rFonts w:ascii="Arial" w:eastAsia="Arial" w:hAnsi="Arial" w:cs="Arial"/>
        </w:rPr>
        <w:t>the</w:t>
      </w:r>
      <w:proofErr w:type="gramEnd"/>
      <w:r>
        <w:rPr>
          <w:rFonts w:ascii="Arial" w:eastAsia="Arial" w:hAnsi="Arial" w:cs="Arial"/>
        </w:rPr>
        <w:t xml:space="preserve"> Importance of Both the Phases and the Transitions between Phases on Training and Performance. Sports Medicine, v. 52, n. 7, 29 abr. 2022.</w:t>
      </w:r>
    </w:p>
    <w:p w14:paraId="1E52D01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BUDHWANI et al. JMIR Res </w:t>
      </w:r>
      <w:proofErr w:type="spellStart"/>
      <w:r>
        <w:rPr>
          <w:rFonts w:ascii="Arial" w:eastAsia="Arial" w:hAnsi="Arial" w:cs="Arial"/>
        </w:rPr>
        <w:t>Protoc</w:t>
      </w:r>
      <w:proofErr w:type="spellEnd"/>
      <w:r>
        <w:rPr>
          <w:rFonts w:ascii="Arial" w:eastAsia="Arial" w:hAnsi="Arial" w:cs="Arial"/>
        </w:rPr>
        <w:t xml:space="preserve">: Adolescent Youth Survey on HIV Prevention and Sexual Health Education in Alabama: Protocol for a Web-Based Survey </w:t>
      </w:r>
      <w:proofErr w:type="gramStart"/>
      <w:r>
        <w:rPr>
          <w:rFonts w:ascii="Arial" w:eastAsia="Arial" w:hAnsi="Arial" w:cs="Arial"/>
        </w:rPr>
        <w:t>With</w:t>
      </w:r>
      <w:proofErr w:type="gramEnd"/>
      <w:r>
        <w:rPr>
          <w:rFonts w:ascii="Arial" w:eastAsia="Arial" w:hAnsi="Arial" w:cs="Arial"/>
        </w:rPr>
        <w:t xml:space="preserve"> Fraud Protection Study, 2025.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https://www.researchprotocols.org/2025/1/e63114</w:t>
      </w:r>
    </w:p>
    <w:p w14:paraId="6A04FC4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CAMPBELL, L. R. et al. Menstrual cycle length and modern living: a review. Current Opinion in Endocrinology, Diabetes, and Obesity, v. 28, n. 6, p. 566–573, 1 </w:t>
      </w:r>
      <w:proofErr w:type="spellStart"/>
      <w:r>
        <w:rPr>
          <w:rFonts w:ascii="Arial" w:eastAsia="Arial" w:hAnsi="Arial" w:cs="Arial"/>
        </w:rPr>
        <w:t>dez</w:t>
      </w:r>
      <w:proofErr w:type="spellEnd"/>
      <w:r>
        <w:rPr>
          <w:rFonts w:ascii="Arial" w:eastAsia="Arial" w:hAnsi="Arial" w:cs="Arial"/>
        </w:rPr>
        <w:t>. 2021.</w:t>
      </w:r>
    </w:p>
    <w:p w14:paraId="5C503E4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CANNOVO, N. et al. Sexually Transmitted Infections in Adolescents and Young Adults: A Cross Section of Public Health. International Journal of Environmental Research and Public Health, v. 21, n. 4, p. 501, 1 abr. 2024.</w:t>
      </w:r>
    </w:p>
    <w:p w14:paraId="0D7168D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CAO, Y. et al. The correlation between menstrual characteristics and fertility in women of reproductive age: a systematic review and meta-analysis. Fertility and Sterility, v. 122, n. 5, p. 918–927, </w:t>
      </w:r>
      <w:proofErr w:type="spellStart"/>
      <w:r>
        <w:rPr>
          <w:rFonts w:ascii="Arial" w:eastAsia="Arial" w:hAnsi="Arial" w:cs="Arial"/>
        </w:rPr>
        <w:t>nov.</w:t>
      </w:r>
      <w:proofErr w:type="spellEnd"/>
      <w:r>
        <w:rPr>
          <w:rFonts w:ascii="Arial" w:eastAsia="Arial" w:hAnsi="Arial" w:cs="Arial"/>
        </w:rPr>
        <w:t xml:space="preserve"> 2024.</w:t>
      </w:r>
    </w:p>
    <w:p w14:paraId="52CF7AB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CAPUTO, V. G.; BORDIN, I. A. </w:t>
      </w:r>
      <w:proofErr w:type="spellStart"/>
      <w:r>
        <w:rPr>
          <w:rFonts w:ascii="Arial" w:eastAsia="Arial" w:hAnsi="Arial" w:cs="Arial"/>
        </w:rPr>
        <w:t>Problemas</w:t>
      </w:r>
      <w:proofErr w:type="spellEnd"/>
      <w:r>
        <w:rPr>
          <w:rFonts w:ascii="Arial" w:eastAsia="Arial" w:hAnsi="Arial" w:cs="Arial"/>
        </w:rPr>
        <w:t xml:space="preserve"> de </w:t>
      </w:r>
      <w:proofErr w:type="spellStart"/>
      <w:r>
        <w:rPr>
          <w:rFonts w:ascii="Arial" w:eastAsia="Arial" w:hAnsi="Arial" w:cs="Arial"/>
        </w:rPr>
        <w:t>saúde</w:t>
      </w:r>
      <w:proofErr w:type="spellEnd"/>
      <w:r>
        <w:rPr>
          <w:rFonts w:ascii="Arial" w:eastAsia="Arial" w:hAnsi="Arial" w:cs="Arial"/>
        </w:rPr>
        <w:t xml:space="preserve"> mental entre </w:t>
      </w:r>
      <w:proofErr w:type="spellStart"/>
      <w:r>
        <w:rPr>
          <w:rFonts w:ascii="Arial" w:eastAsia="Arial" w:hAnsi="Arial" w:cs="Arial"/>
        </w:rPr>
        <w:t>jovens</w:t>
      </w:r>
      <w:proofErr w:type="spellEnd"/>
      <w:r>
        <w:rPr>
          <w:rFonts w:ascii="Arial" w:eastAsia="Arial" w:hAnsi="Arial" w:cs="Arial"/>
        </w:rPr>
        <w:t xml:space="preserve"> </w:t>
      </w:r>
      <w:proofErr w:type="spellStart"/>
      <w:r>
        <w:rPr>
          <w:rFonts w:ascii="Arial" w:eastAsia="Arial" w:hAnsi="Arial" w:cs="Arial"/>
        </w:rPr>
        <w:t>grávidas</w:t>
      </w:r>
      <w:proofErr w:type="spellEnd"/>
      <w:r>
        <w:rPr>
          <w:rFonts w:ascii="Arial" w:eastAsia="Arial" w:hAnsi="Arial" w:cs="Arial"/>
        </w:rPr>
        <w:t xml:space="preserve"> e </w:t>
      </w:r>
      <w:proofErr w:type="spellStart"/>
      <w:r>
        <w:rPr>
          <w:rFonts w:ascii="Arial" w:eastAsia="Arial" w:hAnsi="Arial" w:cs="Arial"/>
        </w:rPr>
        <w:t>não-grávidas</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de </w:t>
      </w:r>
      <w:proofErr w:type="spellStart"/>
      <w:r>
        <w:rPr>
          <w:rFonts w:ascii="Arial" w:eastAsia="Arial" w:hAnsi="Arial" w:cs="Arial"/>
        </w:rPr>
        <w:t>Saúde</w:t>
      </w:r>
      <w:proofErr w:type="spellEnd"/>
      <w:r>
        <w:rPr>
          <w:rFonts w:ascii="Arial" w:eastAsia="Arial" w:hAnsi="Arial" w:cs="Arial"/>
        </w:rPr>
        <w:t xml:space="preserve"> </w:t>
      </w:r>
      <w:proofErr w:type="spellStart"/>
      <w:r>
        <w:rPr>
          <w:rFonts w:ascii="Arial" w:eastAsia="Arial" w:hAnsi="Arial" w:cs="Arial"/>
        </w:rPr>
        <w:t>Pública</w:t>
      </w:r>
      <w:proofErr w:type="spellEnd"/>
      <w:r>
        <w:rPr>
          <w:rFonts w:ascii="Arial" w:eastAsia="Arial" w:hAnsi="Arial" w:cs="Arial"/>
        </w:rPr>
        <w:t>, v. 41, n. 4, p. 573–581, ago. 2007.</w:t>
      </w:r>
    </w:p>
    <w:p w14:paraId="7CA36EF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CASSIAVILLANI; ALBRECHT; </w:t>
      </w:r>
      <w:proofErr w:type="spellStart"/>
      <w:r>
        <w:rPr>
          <w:rFonts w:ascii="Arial" w:eastAsia="Arial" w:hAnsi="Arial" w:cs="Arial"/>
        </w:rPr>
        <w:t>Educação</w:t>
      </w:r>
      <w:proofErr w:type="spellEnd"/>
      <w:r>
        <w:rPr>
          <w:rFonts w:ascii="Arial" w:eastAsia="Arial" w:hAnsi="Arial" w:cs="Arial"/>
        </w:rPr>
        <w:t xml:space="preserve"> sexual: </w:t>
      </w:r>
      <w:proofErr w:type="spellStart"/>
      <w:r>
        <w:rPr>
          <w:rFonts w:ascii="Arial" w:eastAsia="Arial" w:hAnsi="Arial" w:cs="Arial"/>
        </w:rPr>
        <w:t>uma</w:t>
      </w:r>
      <w:proofErr w:type="spellEnd"/>
      <w:r>
        <w:rPr>
          <w:rFonts w:ascii="Arial" w:eastAsia="Arial" w:hAnsi="Arial" w:cs="Arial"/>
        </w:rPr>
        <w:t xml:space="preserve"> </w:t>
      </w:r>
      <w:proofErr w:type="spellStart"/>
      <w:r>
        <w:rPr>
          <w:rFonts w:ascii="Arial" w:eastAsia="Arial" w:hAnsi="Arial" w:cs="Arial"/>
        </w:rPr>
        <w:t>análise</w:t>
      </w:r>
      <w:proofErr w:type="spellEnd"/>
      <w:r>
        <w:rPr>
          <w:rFonts w:ascii="Arial" w:eastAsia="Arial" w:hAnsi="Arial" w:cs="Arial"/>
        </w:rPr>
        <w:t xml:space="preserve"> </w:t>
      </w:r>
      <w:proofErr w:type="spellStart"/>
      <w:r>
        <w:rPr>
          <w:rFonts w:ascii="Arial" w:eastAsia="Arial" w:hAnsi="Arial" w:cs="Arial"/>
        </w:rPr>
        <w:t>sobre</w:t>
      </w:r>
      <w:proofErr w:type="spellEnd"/>
      <w:r>
        <w:rPr>
          <w:rFonts w:ascii="Arial" w:eastAsia="Arial" w:hAnsi="Arial" w:cs="Arial"/>
        </w:rPr>
        <w:t xml:space="preserve"> </w:t>
      </w:r>
      <w:proofErr w:type="spellStart"/>
      <w:r>
        <w:rPr>
          <w:rFonts w:ascii="Arial" w:eastAsia="Arial" w:hAnsi="Arial" w:cs="Arial"/>
        </w:rPr>
        <w:t>legislação</w:t>
      </w:r>
      <w:proofErr w:type="spellEnd"/>
      <w:r>
        <w:rPr>
          <w:rFonts w:ascii="Arial" w:eastAsia="Arial" w:hAnsi="Arial" w:cs="Arial"/>
        </w:rPr>
        <w:t xml:space="preserve"> e </w:t>
      </w:r>
      <w:proofErr w:type="spellStart"/>
      <w:r>
        <w:rPr>
          <w:rFonts w:ascii="Arial" w:eastAsia="Arial" w:hAnsi="Arial" w:cs="Arial"/>
        </w:rPr>
        <w:t>documentos</w:t>
      </w:r>
      <w:proofErr w:type="spellEnd"/>
      <w:r>
        <w:rPr>
          <w:rFonts w:ascii="Arial" w:eastAsia="Arial" w:hAnsi="Arial" w:cs="Arial"/>
        </w:rPr>
        <w:t xml:space="preserve"> </w:t>
      </w:r>
      <w:proofErr w:type="spellStart"/>
      <w:r>
        <w:rPr>
          <w:rFonts w:ascii="Arial" w:eastAsia="Arial" w:hAnsi="Arial" w:cs="Arial"/>
        </w:rPr>
        <w:t>oficiais</w:t>
      </w:r>
      <w:proofErr w:type="spellEnd"/>
      <w:r>
        <w:rPr>
          <w:rFonts w:ascii="Arial" w:eastAsia="Arial" w:hAnsi="Arial" w:cs="Arial"/>
        </w:rPr>
        <w:t xml:space="preserve"> </w:t>
      </w:r>
      <w:proofErr w:type="spellStart"/>
      <w:r>
        <w:rPr>
          <w:rFonts w:ascii="Arial" w:eastAsia="Arial" w:hAnsi="Arial" w:cs="Arial"/>
        </w:rPr>
        <w:t>brasileiros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diferentes</w:t>
      </w:r>
      <w:proofErr w:type="spellEnd"/>
      <w:r>
        <w:rPr>
          <w:rFonts w:ascii="Arial" w:eastAsia="Arial" w:hAnsi="Arial" w:cs="Arial"/>
        </w:rPr>
        <w:t xml:space="preserve"> </w:t>
      </w:r>
      <w:proofErr w:type="spellStart"/>
      <w:r>
        <w:rPr>
          <w:rFonts w:ascii="Arial" w:eastAsia="Arial" w:hAnsi="Arial" w:cs="Arial"/>
        </w:rPr>
        <w:t>contextos</w:t>
      </w:r>
      <w:proofErr w:type="spellEnd"/>
      <w:r>
        <w:rPr>
          <w:rFonts w:ascii="Arial" w:eastAsia="Arial" w:hAnsi="Arial" w:cs="Arial"/>
        </w:rPr>
        <w:t xml:space="preserve"> </w:t>
      </w:r>
      <w:proofErr w:type="spellStart"/>
      <w:r>
        <w:rPr>
          <w:rFonts w:ascii="Arial" w:eastAsia="Arial" w:hAnsi="Arial" w:cs="Arial"/>
        </w:rPr>
        <w:t>políticos</w:t>
      </w:r>
      <w:proofErr w:type="spellEnd"/>
      <w:r>
        <w:rPr>
          <w:rFonts w:ascii="Arial" w:eastAsia="Arial" w:hAnsi="Arial" w:cs="Arial"/>
        </w:rPr>
        <w:t xml:space="preserve">, 2023.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https://www.scielo.br/j/edur/a/ZbGGgt6VvqkKxjLGgcZRScv/</w:t>
      </w:r>
    </w:p>
    <w:p w14:paraId="24E49AD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CHAVULA, </w:t>
      </w:r>
      <w:proofErr w:type="spellStart"/>
      <w:r>
        <w:rPr>
          <w:rFonts w:ascii="Arial" w:eastAsia="Arial" w:hAnsi="Arial" w:cs="Arial"/>
        </w:rPr>
        <w:t>Malizgani</w:t>
      </w:r>
      <w:proofErr w:type="spellEnd"/>
      <w:r>
        <w:rPr>
          <w:rFonts w:ascii="Arial" w:eastAsia="Arial" w:hAnsi="Arial" w:cs="Arial"/>
        </w:rPr>
        <w:t xml:space="preserve"> Paul, et al. Factors Influencing the Integration of Comprehensive Sexuality Education into Educational Systems in Low- and Middle-Income Countries: A Systematic Review. Reproductive Health, vol. 19, no. 1, 29 Sept. 2022, reproductive-health-journal.biomedcentral.com/articles/10.1186/s12978-022-01504-9.</w:t>
      </w:r>
    </w:p>
    <w:p w14:paraId="71155BC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CIOŁEK, A. et al. An Assessment of Women’s Knowledge of the Menstrual Cycle and the Influence of Diet and Adherence to Dietary Patterns on the Alleviation or Exacerbation of Menstrual Distress. Nutrients, v. 16, n. 1, p. 69–69, 25 </w:t>
      </w:r>
      <w:proofErr w:type="spellStart"/>
      <w:r>
        <w:rPr>
          <w:rFonts w:ascii="Arial" w:eastAsia="Arial" w:hAnsi="Arial" w:cs="Arial"/>
        </w:rPr>
        <w:t>dez</w:t>
      </w:r>
      <w:proofErr w:type="spellEnd"/>
      <w:r>
        <w:rPr>
          <w:rFonts w:ascii="Arial" w:eastAsia="Arial" w:hAnsi="Arial" w:cs="Arial"/>
        </w:rPr>
        <w:t>. 2023.</w:t>
      </w:r>
    </w:p>
    <w:p w14:paraId="5B6E150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CLAYTON, Heather B., et al. Professional Development on Sexual Health Education Is Associated with Coverage of Sexual Health Topics. Pedagogy in Health Promotion, vol. 4, no. 2, 11 July 2017, pp. 115–124, https://doi.org/10.1177/2373379917718562.</w:t>
      </w:r>
    </w:p>
    <w:p w14:paraId="292917E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CONSORTIUM FOR EMERGENCY CONTRACEPTION. Emergency Contraceptive Pills: What You Need to Know. Brochure for Programs Providing Combined ECPs. Entre Nous (Copenhagen, Denmark), vol. 12222303, no. 39, 1998, p. 8, pubmed.ncbi.nlm.nih.gov/12222303/.</w:t>
      </w:r>
    </w:p>
    <w:p w14:paraId="28864CB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DAVID, H. The Pill Is Good for You. Entre Nous (Copenhagen, Denmark), vol. 12222225, no. 20, May 1992, p. 11, pubmed.ncbi.nlm.nih.gov/12222225/.</w:t>
      </w:r>
    </w:p>
    <w:p w14:paraId="4339B58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DECKER; ZÁRATE; ATYAM; SAPHIR; Improving Adolescent Perceptions of Barriers and Facilitators to Sexual and Reproductive Health Services Through Sexual Health Education, 2022.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https://pubmed.ncbi.nlm.nih.gov/36289042/</w:t>
      </w:r>
    </w:p>
    <w:p w14:paraId="17F542C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DIABELKOVÁ, Jana; RIMÁROVÁ, </w:t>
      </w:r>
      <w:proofErr w:type="spellStart"/>
      <w:r>
        <w:rPr>
          <w:rFonts w:ascii="Arial" w:eastAsia="Arial" w:hAnsi="Arial" w:cs="Arial"/>
        </w:rPr>
        <w:t>Kvetoslava</w:t>
      </w:r>
      <w:proofErr w:type="spellEnd"/>
      <w:r>
        <w:rPr>
          <w:rFonts w:ascii="Arial" w:eastAsia="Arial" w:hAnsi="Arial" w:cs="Arial"/>
        </w:rPr>
        <w:t xml:space="preserve">; DORKO, Erik; et al. Adolescent Pregnancy Outcomes and Risk Factors. International Journal of Environmental Research and Public Health, v. 20, n. 5, p. 4113, 2023.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https://pmc.ncbi.nlm.nih.gov/articles/PMC10002018/.</w:t>
      </w:r>
    </w:p>
    <w:p w14:paraId="37106EA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DICKSON, Elizabeth, et al. Classroom Voices: Youth Perspectives to Direct School-Based Sexual Health Education. Sex Education, vol. 24, no. 4, 20 June 2023, pp. 1–18, https://doi.org/10.1080/14681811.2023.2218267.</w:t>
      </w:r>
    </w:p>
    <w:p w14:paraId="0C715DF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D’SOUZA, A. C. et al. Menstrual cycle hormones and oral contraceptives: A multi-method systems physiology-based review of their impact on key aspects of female physiology. Journal of Applied Physiology (Bethesda, Md.: 1985), v. 135, n. 6, 12 out. 2023.</w:t>
      </w:r>
    </w:p>
    <w:p w14:paraId="742DFAF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FURLANETTO, </w:t>
      </w:r>
      <w:proofErr w:type="spellStart"/>
      <w:r>
        <w:rPr>
          <w:rFonts w:ascii="Arial" w:eastAsia="Arial" w:hAnsi="Arial" w:cs="Arial"/>
        </w:rPr>
        <w:t>Milene</w:t>
      </w:r>
      <w:proofErr w:type="spellEnd"/>
      <w:r>
        <w:rPr>
          <w:rFonts w:ascii="Arial" w:eastAsia="Arial" w:hAnsi="Arial" w:cs="Arial"/>
        </w:rPr>
        <w:t xml:space="preserve"> Fontana, et al. </w:t>
      </w:r>
      <w:proofErr w:type="spellStart"/>
      <w:r>
        <w:rPr>
          <w:rFonts w:ascii="Arial" w:eastAsia="Arial" w:hAnsi="Arial" w:cs="Arial"/>
        </w:rPr>
        <w:t>Educação</w:t>
      </w:r>
      <w:proofErr w:type="spellEnd"/>
      <w:r>
        <w:rPr>
          <w:rFonts w:ascii="Arial" w:eastAsia="Arial" w:hAnsi="Arial" w:cs="Arial"/>
        </w:rPr>
        <w:t xml:space="preserve"> Sexual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Escolas</w:t>
      </w:r>
      <w:proofErr w:type="spellEnd"/>
      <w:r>
        <w:rPr>
          <w:rFonts w:ascii="Arial" w:eastAsia="Arial" w:hAnsi="Arial" w:cs="Arial"/>
        </w:rPr>
        <w:t xml:space="preserve"> </w:t>
      </w:r>
      <w:proofErr w:type="spellStart"/>
      <w:r>
        <w:rPr>
          <w:rFonts w:ascii="Arial" w:eastAsia="Arial" w:hAnsi="Arial" w:cs="Arial"/>
        </w:rPr>
        <w:t>Brasileiras</w:t>
      </w:r>
      <w:proofErr w:type="spellEnd"/>
      <w:r>
        <w:rPr>
          <w:rFonts w:ascii="Arial" w:eastAsia="Arial" w:hAnsi="Arial" w:cs="Arial"/>
        </w:rPr>
        <w:t xml:space="preserve">: </w:t>
      </w:r>
      <w:proofErr w:type="spellStart"/>
      <w:r>
        <w:rPr>
          <w:rFonts w:ascii="Arial" w:eastAsia="Arial" w:hAnsi="Arial" w:cs="Arial"/>
        </w:rPr>
        <w:t>Revisão</w:t>
      </w:r>
      <w:proofErr w:type="spellEnd"/>
      <w:r>
        <w:rPr>
          <w:rFonts w:ascii="Arial" w:eastAsia="Arial" w:hAnsi="Arial" w:cs="Arial"/>
        </w:rPr>
        <w:t xml:space="preserve"> </w:t>
      </w:r>
      <w:proofErr w:type="spellStart"/>
      <w:r>
        <w:rPr>
          <w:rFonts w:ascii="Arial" w:eastAsia="Arial" w:hAnsi="Arial" w:cs="Arial"/>
        </w:rPr>
        <w:t>Sistemática</w:t>
      </w:r>
      <w:proofErr w:type="spellEnd"/>
      <w:r>
        <w:rPr>
          <w:rFonts w:ascii="Arial" w:eastAsia="Arial" w:hAnsi="Arial" w:cs="Arial"/>
        </w:rPr>
        <w:t xml:space="preserve"> </w:t>
      </w:r>
      <w:proofErr w:type="gramStart"/>
      <w:r>
        <w:rPr>
          <w:rFonts w:ascii="Arial" w:eastAsia="Arial" w:hAnsi="Arial" w:cs="Arial"/>
        </w:rPr>
        <w:t>Da</w:t>
      </w:r>
      <w:proofErr w:type="gramEnd"/>
      <w:r>
        <w:rPr>
          <w:rFonts w:ascii="Arial" w:eastAsia="Arial" w:hAnsi="Arial" w:cs="Arial"/>
        </w:rPr>
        <w:t xml:space="preserve"> </w:t>
      </w:r>
      <w:proofErr w:type="spellStart"/>
      <w:r>
        <w:rPr>
          <w:rFonts w:ascii="Arial" w:eastAsia="Arial" w:hAnsi="Arial" w:cs="Arial"/>
        </w:rPr>
        <w:t>Literatura</w:t>
      </w:r>
      <w:proofErr w:type="spellEnd"/>
      <w:r>
        <w:rPr>
          <w:rFonts w:ascii="Arial" w:eastAsia="Arial" w:hAnsi="Arial" w:cs="Arial"/>
        </w:rPr>
        <w:t xml:space="preserve">. </w:t>
      </w:r>
      <w:proofErr w:type="spellStart"/>
      <w:r>
        <w:rPr>
          <w:rFonts w:ascii="Arial" w:eastAsia="Arial" w:hAnsi="Arial" w:cs="Arial"/>
        </w:rPr>
        <w:t>Cadernos</w:t>
      </w:r>
      <w:proofErr w:type="spellEnd"/>
      <w:r>
        <w:rPr>
          <w:rFonts w:ascii="Arial" w:eastAsia="Arial" w:hAnsi="Arial" w:cs="Arial"/>
        </w:rPr>
        <w:t xml:space="preserve"> de </w:t>
      </w:r>
      <w:proofErr w:type="spellStart"/>
      <w:r>
        <w:rPr>
          <w:rFonts w:ascii="Arial" w:eastAsia="Arial" w:hAnsi="Arial" w:cs="Arial"/>
        </w:rPr>
        <w:t>Pesquisa</w:t>
      </w:r>
      <w:proofErr w:type="spellEnd"/>
      <w:r>
        <w:rPr>
          <w:rFonts w:ascii="Arial" w:eastAsia="Arial" w:hAnsi="Arial" w:cs="Arial"/>
        </w:rPr>
        <w:t>, vol. 48, no. 168, 1 June 2018, pp. 550–571, www.scielo.br/scielo.php?pid=S0100-15742018000200550&amp;script=sci_arttext.</w:t>
      </w:r>
    </w:p>
    <w:p w14:paraId="230268D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G. ALEKHYA et al. Correction: Effectiveness of school-based sexual and reproductive health education among adolescent girls in Urban areas of Odisha, India: a cluster randomized trial. Reproductive Health, v. 20, n. 1, 13 set. 2023.</w:t>
      </w:r>
    </w:p>
    <w:p w14:paraId="2E7DE5E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GRIFFIN, Glen C. Condoms and Contraceptives in Junior High and High School Clinics. Postgraduate Medicine, vol. 93, no. 5, Apr. 1993, pp. 21–38, https://doi.org/10.1080/00325481.1993.11701657. Accessed 18 June 2021.</w:t>
      </w:r>
    </w:p>
    <w:p w14:paraId="2EE91C1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HEGDAHL, H. K. et al. Effects of economic support, comprehensive sexuality education and community dialogue on sexual </w:t>
      </w:r>
      <w:proofErr w:type="spellStart"/>
      <w:r>
        <w:rPr>
          <w:rFonts w:ascii="Arial" w:eastAsia="Arial" w:hAnsi="Arial" w:cs="Arial"/>
        </w:rPr>
        <w:t>behaviour</w:t>
      </w:r>
      <w:proofErr w:type="spellEnd"/>
      <w:r>
        <w:rPr>
          <w:rFonts w:ascii="Arial" w:eastAsia="Arial" w:hAnsi="Arial" w:cs="Arial"/>
        </w:rPr>
        <w:t>: Findings from a cluster-RCT among adolescent girls in rural Zambia. Social Science &amp; Medicine, v. 306, p. 115125, 1 ago. 2022.</w:t>
      </w:r>
    </w:p>
    <w:p w14:paraId="3FE87EE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JENNER, E. et al. Randomized Trial of a Sexual Health Video Intervention for Black and Hispanic Adolescent Females. Prevention Science, 3 </w:t>
      </w:r>
      <w:proofErr w:type="spellStart"/>
      <w:r>
        <w:rPr>
          <w:rFonts w:ascii="Arial" w:eastAsia="Arial" w:hAnsi="Arial" w:cs="Arial"/>
        </w:rPr>
        <w:t>fev</w:t>
      </w:r>
      <w:proofErr w:type="spellEnd"/>
      <w:r>
        <w:rPr>
          <w:rFonts w:ascii="Arial" w:eastAsia="Arial" w:hAnsi="Arial" w:cs="Arial"/>
        </w:rPr>
        <w:t>. 2023.</w:t>
      </w:r>
    </w:p>
    <w:p w14:paraId="5558E26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LI, Hao; PU, </w:t>
      </w:r>
      <w:proofErr w:type="spellStart"/>
      <w:r>
        <w:rPr>
          <w:rFonts w:ascii="Arial" w:eastAsia="Arial" w:hAnsi="Arial" w:cs="Arial"/>
        </w:rPr>
        <w:t>Yiran</w:t>
      </w:r>
      <w:proofErr w:type="spellEnd"/>
      <w:r>
        <w:rPr>
          <w:rFonts w:ascii="Arial" w:eastAsia="Arial" w:hAnsi="Arial" w:cs="Arial"/>
        </w:rPr>
        <w:t>; LI, Zhen; et al. Socioeconomic inequality in teenage pregnancy in Papua New Guinea: a decomposition analysis. BMC Public Health, v. 23, n. 1, 2023.</w:t>
      </w:r>
    </w:p>
    <w:p w14:paraId="4DF30AC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LIDDON, N. et al. Annual STI Testing Among Sexually Active Adolescents. Pediatrics, v. 149, n. 5, 11 abr. 2022.</w:t>
      </w:r>
    </w:p>
    <w:p w14:paraId="7FF20B7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LIMA, C. C. O. DE J. et al. </w:t>
      </w:r>
      <w:proofErr w:type="spellStart"/>
      <w:r>
        <w:rPr>
          <w:rFonts w:ascii="Arial" w:eastAsia="Arial" w:hAnsi="Arial" w:cs="Arial"/>
        </w:rPr>
        <w:t>Associação</w:t>
      </w:r>
      <w:proofErr w:type="spellEnd"/>
      <w:r>
        <w:rPr>
          <w:rFonts w:ascii="Arial" w:eastAsia="Arial" w:hAnsi="Arial" w:cs="Arial"/>
        </w:rPr>
        <w:t xml:space="preserve"> entre a </w:t>
      </w:r>
      <w:proofErr w:type="spellStart"/>
      <w:r>
        <w:rPr>
          <w:rFonts w:ascii="Arial" w:eastAsia="Arial" w:hAnsi="Arial" w:cs="Arial"/>
        </w:rPr>
        <w:t>violência</w:t>
      </w:r>
      <w:proofErr w:type="spellEnd"/>
      <w:r>
        <w:rPr>
          <w:rFonts w:ascii="Arial" w:eastAsia="Arial" w:hAnsi="Arial" w:cs="Arial"/>
        </w:rPr>
        <w:t xml:space="preserve"> </w:t>
      </w:r>
      <w:proofErr w:type="spellStart"/>
      <w:r>
        <w:rPr>
          <w:rFonts w:ascii="Arial" w:eastAsia="Arial" w:hAnsi="Arial" w:cs="Arial"/>
        </w:rPr>
        <w:t>intrafamiliar</w:t>
      </w:r>
      <w:proofErr w:type="spellEnd"/>
      <w:r>
        <w:rPr>
          <w:rFonts w:ascii="Arial" w:eastAsia="Arial" w:hAnsi="Arial" w:cs="Arial"/>
        </w:rPr>
        <w:t xml:space="preserve"> </w:t>
      </w:r>
      <w:proofErr w:type="spellStart"/>
      <w:r>
        <w:rPr>
          <w:rFonts w:ascii="Arial" w:eastAsia="Arial" w:hAnsi="Arial" w:cs="Arial"/>
        </w:rPr>
        <w:t>experienciada</w:t>
      </w:r>
      <w:proofErr w:type="spellEnd"/>
      <w:r>
        <w:rPr>
          <w:rFonts w:ascii="Arial" w:eastAsia="Arial" w:hAnsi="Arial" w:cs="Arial"/>
        </w:rPr>
        <w:t xml:space="preserve"> e </w:t>
      </w:r>
      <w:proofErr w:type="spellStart"/>
      <w:r>
        <w:rPr>
          <w:rFonts w:ascii="Arial" w:eastAsia="Arial" w:hAnsi="Arial" w:cs="Arial"/>
        </w:rPr>
        <w:t>transtorno</w:t>
      </w:r>
      <w:proofErr w:type="spellEnd"/>
      <w:r>
        <w:rPr>
          <w:rFonts w:ascii="Arial" w:eastAsia="Arial" w:hAnsi="Arial" w:cs="Arial"/>
        </w:rPr>
        <w:t xml:space="preserve"> mental </w:t>
      </w:r>
      <w:proofErr w:type="spellStart"/>
      <w:r>
        <w:rPr>
          <w:rFonts w:ascii="Arial" w:eastAsia="Arial" w:hAnsi="Arial" w:cs="Arial"/>
        </w:rPr>
        <w:t>comum</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adolescentes</w:t>
      </w:r>
      <w:proofErr w:type="spellEnd"/>
      <w:r>
        <w:rPr>
          <w:rFonts w:ascii="Arial" w:eastAsia="Arial" w:hAnsi="Arial" w:cs="Arial"/>
        </w:rPr>
        <w:t xml:space="preserve">. Acta </w:t>
      </w:r>
      <w:proofErr w:type="spellStart"/>
      <w:r>
        <w:rPr>
          <w:rFonts w:ascii="Arial" w:eastAsia="Arial" w:hAnsi="Arial" w:cs="Arial"/>
        </w:rPr>
        <w:t>Paulista</w:t>
      </w:r>
      <w:proofErr w:type="spellEnd"/>
      <w:r>
        <w:rPr>
          <w:rFonts w:ascii="Arial" w:eastAsia="Arial" w:hAnsi="Arial" w:cs="Arial"/>
        </w:rPr>
        <w:t xml:space="preserve"> de </w:t>
      </w:r>
      <w:proofErr w:type="spellStart"/>
      <w:r>
        <w:rPr>
          <w:rFonts w:ascii="Arial" w:eastAsia="Arial" w:hAnsi="Arial" w:cs="Arial"/>
        </w:rPr>
        <w:t>Enfermagem</w:t>
      </w:r>
      <w:proofErr w:type="spellEnd"/>
      <w:r>
        <w:rPr>
          <w:rFonts w:ascii="Arial" w:eastAsia="Arial" w:hAnsi="Arial" w:cs="Arial"/>
        </w:rPr>
        <w:t>, v. 36, 2023.</w:t>
      </w:r>
    </w:p>
    <w:p w14:paraId="03AF193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LÓPEZ, A. et al. </w:t>
      </w:r>
      <w:proofErr w:type="spellStart"/>
      <w:r>
        <w:rPr>
          <w:rFonts w:ascii="Arial" w:eastAsia="Arial" w:hAnsi="Arial" w:cs="Arial"/>
        </w:rPr>
        <w:t>Estudio</w:t>
      </w:r>
      <w:proofErr w:type="spellEnd"/>
      <w:r>
        <w:rPr>
          <w:rFonts w:ascii="Arial" w:eastAsia="Arial" w:hAnsi="Arial" w:cs="Arial"/>
        </w:rPr>
        <w:t xml:space="preserve"> </w:t>
      </w:r>
      <w:proofErr w:type="spellStart"/>
      <w:r>
        <w:rPr>
          <w:rFonts w:ascii="Arial" w:eastAsia="Arial" w:hAnsi="Arial" w:cs="Arial"/>
        </w:rPr>
        <w:t>descriptivo</w:t>
      </w:r>
      <w:proofErr w:type="spellEnd"/>
      <w:r>
        <w:rPr>
          <w:rFonts w:ascii="Arial" w:eastAsia="Arial" w:hAnsi="Arial" w:cs="Arial"/>
        </w:rPr>
        <w:t xml:space="preserve"> de los </w:t>
      </w:r>
      <w:proofErr w:type="spellStart"/>
      <w:r>
        <w:rPr>
          <w:rFonts w:ascii="Arial" w:eastAsia="Arial" w:hAnsi="Arial" w:cs="Arial"/>
        </w:rPr>
        <w:t>recursos</w:t>
      </w:r>
      <w:proofErr w:type="spellEnd"/>
      <w:r>
        <w:rPr>
          <w:rFonts w:ascii="Arial" w:eastAsia="Arial" w:hAnsi="Arial" w:cs="Arial"/>
        </w:rPr>
        <w:t xml:space="preserve"> </w:t>
      </w:r>
      <w:proofErr w:type="spellStart"/>
      <w:r>
        <w:rPr>
          <w:rFonts w:ascii="Arial" w:eastAsia="Arial" w:hAnsi="Arial" w:cs="Arial"/>
        </w:rPr>
        <w:t>sobre</w:t>
      </w:r>
      <w:proofErr w:type="spellEnd"/>
      <w:r>
        <w:rPr>
          <w:rFonts w:ascii="Arial" w:eastAsia="Arial" w:hAnsi="Arial" w:cs="Arial"/>
        </w:rPr>
        <w:t xml:space="preserve"> </w:t>
      </w:r>
      <w:proofErr w:type="spellStart"/>
      <w:r>
        <w:rPr>
          <w:rFonts w:ascii="Arial" w:eastAsia="Arial" w:hAnsi="Arial" w:cs="Arial"/>
        </w:rPr>
        <w:t>Educación</w:t>
      </w:r>
      <w:proofErr w:type="spellEnd"/>
      <w:r>
        <w:rPr>
          <w:rFonts w:ascii="Arial" w:eastAsia="Arial" w:hAnsi="Arial" w:cs="Arial"/>
        </w:rPr>
        <w:t xml:space="preserve"> Sexual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ámbito</w:t>
      </w:r>
      <w:proofErr w:type="spellEnd"/>
      <w:r>
        <w:rPr>
          <w:rFonts w:ascii="Arial" w:eastAsia="Arial" w:hAnsi="Arial" w:cs="Arial"/>
        </w:rPr>
        <w:t xml:space="preserve"> no-formal </w:t>
      </w:r>
      <w:proofErr w:type="spellStart"/>
      <w:r>
        <w:rPr>
          <w:rFonts w:ascii="Arial" w:eastAsia="Arial" w:hAnsi="Arial" w:cs="Arial"/>
        </w:rPr>
        <w:t>disponibles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España</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Española de </w:t>
      </w:r>
      <w:proofErr w:type="spellStart"/>
      <w:r>
        <w:rPr>
          <w:rFonts w:ascii="Arial" w:eastAsia="Arial" w:hAnsi="Arial" w:cs="Arial"/>
        </w:rPr>
        <w:t>salud</w:t>
      </w:r>
      <w:proofErr w:type="spellEnd"/>
      <w:r>
        <w:rPr>
          <w:rFonts w:ascii="Arial" w:eastAsia="Arial" w:hAnsi="Arial" w:cs="Arial"/>
        </w:rPr>
        <w:t xml:space="preserve"> </w:t>
      </w:r>
      <w:proofErr w:type="spellStart"/>
      <w:r>
        <w:rPr>
          <w:rFonts w:ascii="Arial" w:eastAsia="Arial" w:hAnsi="Arial" w:cs="Arial"/>
        </w:rPr>
        <w:t>pública</w:t>
      </w:r>
      <w:proofErr w:type="spellEnd"/>
      <w:r>
        <w:rPr>
          <w:rFonts w:ascii="Arial" w:eastAsia="Arial" w:hAnsi="Arial" w:cs="Arial"/>
        </w:rPr>
        <w:t xml:space="preserve">, v. 97, p. e202302014, 22 </w:t>
      </w:r>
      <w:proofErr w:type="spellStart"/>
      <w:r>
        <w:rPr>
          <w:rFonts w:ascii="Arial" w:eastAsia="Arial" w:hAnsi="Arial" w:cs="Arial"/>
        </w:rPr>
        <w:t>fev</w:t>
      </w:r>
      <w:proofErr w:type="spellEnd"/>
      <w:r>
        <w:rPr>
          <w:rFonts w:ascii="Arial" w:eastAsia="Arial" w:hAnsi="Arial" w:cs="Arial"/>
        </w:rPr>
        <w:t>. 2023.</w:t>
      </w:r>
    </w:p>
    <w:p w14:paraId="6F67415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LOPES, </w:t>
      </w:r>
      <w:proofErr w:type="spellStart"/>
      <w:r>
        <w:rPr>
          <w:rFonts w:ascii="Arial" w:eastAsia="Arial" w:hAnsi="Arial" w:cs="Arial"/>
        </w:rPr>
        <w:t>Mislaine</w:t>
      </w:r>
      <w:proofErr w:type="spellEnd"/>
      <w:r>
        <w:rPr>
          <w:rFonts w:ascii="Arial" w:eastAsia="Arial" w:hAnsi="Arial" w:cs="Arial"/>
        </w:rPr>
        <w:t xml:space="preserve"> Casagrande de Lima; OLIVEIRA, Rosana </w:t>
      </w:r>
      <w:proofErr w:type="spellStart"/>
      <w:r>
        <w:rPr>
          <w:rFonts w:ascii="Arial" w:eastAsia="Arial" w:hAnsi="Arial" w:cs="Arial"/>
        </w:rPr>
        <w:t>Rosseto</w:t>
      </w:r>
      <w:proofErr w:type="spellEnd"/>
      <w:r>
        <w:rPr>
          <w:rFonts w:ascii="Arial" w:eastAsia="Arial" w:hAnsi="Arial" w:cs="Arial"/>
        </w:rPr>
        <w:t xml:space="preserve"> de; SILVA, Marcela de Andrade Pereira da; et al. </w:t>
      </w:r>
      <w:proofErr w:type="spellStart"/>
      <w:r>
        <w:rPr>
          <w:rFonts w:ascii="Arial" w:eastAsia="Arial" w:hAnsi="Arial" w:cs="Arial"/>
        </w:rPr>
        <w:t>Tendência</w:t>
      </w:r>
      <w:proofErr w:type="spellEnd"/>
      <w:r>
        <w:rPr>
          <w:rFonts w:ascii="Arial" w:eastAsia="Arial" w:hAnsi="Arial" w:cs="Arial"/>
        </w:rPr>
        <w:t xml:space="preserve"> temporal e </w:t>
      </w:r>
      <w:proofErr w:type="spellStart"/>
      <w:r>
        <w:rPr>
          <w:rFonts w:ascii="Arial" w:eastAsia="Arial" w:hAnsi="Arial" w:cs="Arial"/>
        </w:rPr>
        <w:t>fatores</w:t>
      </w:r>
      <w:proofErr w:type="spellEnd"/>
      <w:r>
        <w:rPr>
          <w:rFonts w:ascii="Arial" w:eastAsia="Arial" w:hAnsi="Arial" w:cs="Arial"/>
        </w:rPr>
        <w:t xml:space="preserve"> </w:t>
      </w:r>
      <w:proofErr w:type="spellStart"/>
      <w:r>
        <w:rPr>
          <w:rFonts w:ascii="Arial" w:eastAsia="Arial" w:hAnsi="Arial" w:cs="Arial"/>
        </w:rPr>
        <w:t>associados</w:t>
      </w:r>
      <w:proofErr w:type="spellEnd"/>
      <w:r>
        <w:rPr>
          <w:rFonts w:ascii="Arial" w:eastAsia="Arial" w:hAnsi="Arial" w:cs="Arial"/>
        </w:rPr>
        <w:t xml:space="preserve"> à </w:t>
      </w:r>
      <w:proofErr w:type="spellStart"/>
      <w:r>
        <w:rPr>
          <w:rFonts w:ascii="Arial" w:eastAsia="Arial" w:hAnsi="Arial" w:cs="Arial"/>
        </w:rPr>
        <w:t>gravidez</w:t>
      </w:r>
      <w:proofErr w:type="spellEnd"/>
      <w:r>
        <w:rPr>
          <w:rFonts w:ascii="Arial" w:eastAsia="Arial" w:hAnsi="Arial" w:cs="Arial"/>
        </w:rPr>
        <w:t xml:space="preserve"> </w:t>
      </w:r>
      <w:proofErr w:type="spellStart"/>
      <w:r>
        <w:rPr>
          <w:rFonts w:ascii="Arial" w:eastAsia="Arial" w:hAnsi="Arial" w:cs="Arial"/>
        </w:rPr>
        <w:t>na</w:t>
      </w:r>
      <w:proofErr w:type="spellEnd"/>
      <w:r>
        <w:rPr>
          <w:rFonts w:ascii="Arial" w:eastAsia="Arial" w:hAnsi="Arial" w:cs="Arial"/>
        </w:rPr>
        <w:t xml:space="preserve"> </w:t>
      </w:r>
      <w:proofErr w:type="spellStart"/>
      <w:r>
        <w:rPr>
          <w:rFonts w:ascii="Arial" w:eastAsia="Arial" w:hAnsi="Arial" w:cs="Arial"/>
        </w:rPr>
        <w:t>adolescência</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da Escola de </w:t>
      </w:r>
      <w:proofErr w:type="spellStart"/>
      <w:r>
        <w:rPr>
          <w:rFonts w:ascii="Arial" w:eastAsia="Arial" w:hAnsi="Arial" w:cs="Arial"/>
        </w:rPr>
        <w:t>Enfermagem</w:t>
      </w:r>
      <w:proofErr w:type="spellEnd"/>
      <w:r>
        <w:rPr>
          <w:rFonts w:ascii="Arial" w:eastAsia="Arial" w:hAnsi="Arial" w:cs="Arial"/>
        </w:rPr>
        <w:t xml:space="preserve"> da USP, v. 54, 2020.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https://www.scielo.br/pdf/reeusp/v54/1980-220X-reeusp-54-e03639.pdf. </w:t>
      </w:r>
      <w:proofErr w:type="spellStart"/>
      <w:r>
        <w:rPr>
          <w:rFonts w:ascii="Arial" w:eastAsia="Arial" w:hAnsi="Arial" w:cs="Arial"/>
        </w:rPr>
        <w:t>Acesso</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23 abr. 2021.</w:t>
      </w:r>
    </w:p>
    <w:p w14:paraId="6742E28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LOWE, M. et al. Sexual and reproductive health of adolescents and young people in the Gambia: a systematic review. The Pan African Medical Journal, v. 40, p. 221, 13 </w:t>
      </w:r>
      <w:proofErr w:type="spellStart"/>
      <w:r>
        <w:rPr>
          <w:rFonts w:ascii="Arial" w:eastAsia="Arial" w:hAnsi="Arial" w:cs="Arial"/>
        </w:rPr>
        <w:t>dez</w:t>
      </w:r>
      <w:proofErr w:type="spellEnd"/>
      <w:r>
        <w:rPr>
          <w:rFonts w:ascii="Arial" w:eastAsia="Arial" w:hAnsi="Arial" w:cs="Arial"/>
        </w:rPr>
        <w:t>. 2021.</w:t>
      </w:r>
    </w:p>
    <w:p w14:paraId="0BF91DC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LYS, C. et al. Exploring uptake of HIV/STI knowledge and safer sex-efficacy in an arts-based sexual health workshop among Northern and Indigenous adolescents in the Northwest Territories, Canada. AIDS Care, p. 1–6, 19 jun. 2022.</w:t>
      </w:r>
    </w:p>
    <w:p w14:paraId="6EF9034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MANN, Linda; BATESON, Deborah; BLACK, Kirsten I. Teenage Pregnancy. Australian Journal of General Practice, v. 49, n. 6, p. 310–316, 2020.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https://www1.racgp.org.au/ajgp/2020/june/teenage-pregnancy.</w:t>
      </w:r>
    </w:p>
    <w:p w14:paraId="61FEE73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MASON-JONES, A. J. et al. Can Peer-based Interventions Improve Adolescent Sexual and Reproductive Health Outcomes? An Overview of Reviews. Journal of Adolescent Health, v. 73, n. 6, p. 975–982, 1 </w:t>
      </w:r>
      <w:proofErr w:type="spellStart"/>
      <w:r>
        <w:rPr>
          <w:rFonts w:ascii="Arial" w:eastAsia="Arial" w:hAnsi="Arial" w:cs="Arial"/>
        </w:rPr>
        <w:t>dez</w:t>
      </w:r>
      <w:proofErr w:type="spellEnd"/>
      <w:r>
        <w:rPr>
          <w:rFonts w:ascii="Arial" w:eastAsia="Arial" w:hAnsi="Arial" w:cs="Arial"/>
        </w:rPr>
        <w:t>. 2023.</w:t>
      </w:r>
    </w:p>
    <w:p w14:paraId="0AFA47D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MBIZVO, M. T. et al. Comprehensive sexuality education linked to sexual and reproductive health services reduces early and unintended pregnancies among in-school adolescent girls in Zambia. BMC Public Health, v. 23, n. 1, 16 </w:t>
      </w:r>
      <w:proofErr w:type="spellStart"/>
      <w:r>
        <w:rPr>
          <w:rFonts w:ascii="Arial" w:eastAsia="Arial" w:hAnsi="Arial" w:cs="Arial"/>
        </w:rPr>
        <w:t>fev</w:t>
      </w:r>
      <w:proofErr w:type="spellEnd"/>
      <w:r>
        <w:rPr>
          <w:rFonts w:ascii="Arial" w:eastAsia="Arial" w:hAnsi="Arial" w:cs="Arial"/>
        </w:rPr>
        <w:t>. 2023.</w:t>
      </w:r>
    </w:p>
    <w:p w14:paraId="3EA392F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MEERS, J. M. et al. Interaction of sleep and emotion across the menstrual cycle. Journal of Sleep Research, 21 </w:t>
      </w:r>
      <w:proofErr w:type="gramStart"/>
      <w:r>
        <w:rPr>
          <w:rFonts w:ascii="Arial" w:eastAsia="Arial" w:hAnsi="Arial" w:cs="Arial"/>
        </w:rPr>
        <w:t>mar</w:t>
      </w:r>
      <w:proofErr w:type="gramEnd"/>
      <w:r>
        <w:rPr>
          <w:rFonts w:ascii="Arial" w:eastAsia="Arial" w:hAnsi="Arial" w:cs="Arial"/>
        </w:rPr>
        <w:t>. 2024.</w:t>
      </w:r>
    </w:p>
    <w:p w14:paraId="2449277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NAPPI, R. E. et al. Role of Estrogens in Menstrual Migraine. Cells, v. 11, n. 8, p. 1355, 15 abr. 2022.</w:t>
      </w:r>
    </w:p>
    <w:p w14:paraId="257B694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NEWMAN, P. A. et al. Peer education interventions for HIV prevention and sexual health with young people in Mekong Region countries: a scoping review and conceptual framework. Sexual and Reproductive Health Matters, v. 30, n. 1, 28 out. 2022.</w:t>
      </w:r>
    </w:p>
    <w:p w14:paraId="0A8398D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OKOLI, </w:t>
      </w:r>
      <w:proofErr w:type="spellStart"/>
      <w:r>
        <w:rPr>
          <w:rFonts w:ascii="Arial" w:eastAsia="Arial" w:hAnsi="Arial" w:cs="Arial"/>
        </w:rPr>
        <w:t>Chijioke</w:t>
      </w:r>
      <w:proofErr w:type="spellEnd"/>
      <w:r>
        <w:rPr>
          <w:rFonts w:ascii="Arial" w:eastAsia="Arial" w:hAnsi="Arial" w:cs="Arial"/>
        </w:rPr>
        <w:t xml:space="preserve"> Ifeanyi; HAJIZADEH, Mohammad; RAHMAN, Mohammad </w:t>
      </w:r>
      <w:proofErr w:type="spellStart"/>
      <w:r>
        <w:rPr>
          <w:rFonts w:ascii="Arial" w:eastAsia="Arial" w:hAnsi="Arial" w:cs="Arial"/>
        </w:rPr>
        <w:t>Mafizur</w:t>
      </w:r>
      <w:proofErr w:type="spellEnd"/>
      <w:r>
        <w:rPr>
          <w:rFonts w:ascii="Arial" w:eastAsia="Arial" w:hAnsi="Arial" w:cs="Arial"/>
        </w:rPr>
        <w:t>; et al. Socioeconomic inequalities in teenage pregnancy in Nigeria: evidence from Demographic Health Survey. BMC Public Health, v. 22, n. 1, 2022.</w:t>
      </w:r>
    </w:p>
    <w:p w14:paraId="758B898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OPAS. </w:t>
      </w:r>
      <w:proofErr w:type="spellStart"/>
      <w:r>
        <w:rPr>
          <w:rFonts w:ascii="Arial" w:eastAsia="Arial" w:hAnsi="Arial" w:cs="Arial"/>
        </w:rPr>
        <w:t>Saúde</w:t>
      </w:r>
      <w:proofErr w:type="spellEnd"/>
      <w:r>
        <w:rPr>
          <w:rFonts w:ascii="Arial" w:eastAsia="Arial" w:hAnsi="Arial" w:cs="Arial"/>
        </w:rPr>
        <w:t xml:space="preserve"> mental dos </w:t>
      </w:r>
      <w:proofErr w:type="spellStart"/>
      <w:r>
        <w:rPr>
          <w:rFonts w:ascii="Arial" w:eastAsia="Arial" w:hAnsi="Arial" w:cs="Arial"/>
        </w:rPr>
        <w:t>adolescentes</w:t>
      </w:r>
      <w:proofErr w:type="spellEnd"/>
      <w:r>
        <w:rPr>
          <w:rFonts w:ascii="Arial" w:eastAsia="Arial" w:hAnsi="Arial" w:cs="Arial"/>
        </w:rPr>
        <w:t xml:space="preserve"> - OPAS/OMS | </w:t>
      </w:r>
      <w:proofErr w:type="spellStart"/>
      <w:r>
        <w:rPr>
          <w:rFonts w:ascii="Arial" w:eastAsia="Arial" w:hAnsi="Arial" w:cs="Arial"/>
        </w:rPr>
        <w:t>Organização</w:t>
      </w:r>
      <w:proofErr w:type="spellEnd"/>
      <w:r>
        <w:rPr>
          <w:rFonts w:ascii="Arial" w:eastAsia="Arial" w:hAnsi="Arial" w:cs="Arial"/>
        </w:rPr>
        <w:t xml:space="preserve"> Pan-Americana da </w:t>
      </w:r>
      <w:proofErr w:type="spellStart"/>
      <w:r>
        <w:rPr>
          <w:rFonts w:ascii="Arial" w:eastAsia="Arial" w:hAnsi="Arial" w:cs="Arial"/>
        </w:rPr>
        <w:t>Saúde</w:t>
      </w:r>
      <w:proofErr w:type="spellEnd"/>
      <w:r>
        <w:rPr>
          <w:rFonts w:ascii="Arial" w:eastAsia="Arial" w:hAnsi="Arial" w:cs="Arial"/>
        </w:rPr>
        <w:t xml:space="preserve">.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https://www.paho.org/pt/topicos/saude-mental-dos-adolescentes.</w:t>
      </w:r>
    </w:p>
    <w:p w14:paraId="05290CC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QUESADA et al. </w:t>
      </w:r>
      <w:proofErr w:type="spellStart"/>
      <w:r>
        <w:rPr>
          <w:rFonts w:ascii="Arial" w:eastAsia="Arial" w:hAnsi="Arial" w:cs="Arial"/>
        </w:rPr>
        <w:t>Scholarsh</w:t>
      </w:r>
      <w:proofErr w:type="spellEnd"/>
      <w:r>
        <w:rPr>
          <w:rFonts w:ascii="Arial" w:eastAsia="Arial" w:hAnsi="Arial" w:cs="Arial"/>
        </w:rPr>
        <w:t xml:space="preserve">: “Effectiveness of digital interventions to reduce school-age adolescent sexual risks: A systematic review, 2025 Mar.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https://pubmed.ncbi.nlm.nih.gov/39118266/</w:t>
      </w:r>
    </w:p>
    <w:p w14:paraId="12DC732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ROMANS, S. E. et al. Sleep quality and the menstrual cycle. Sleep Medicine, v. 16, n. 4, p. 489–495, abr. 2015.</w:t>
      </w:r>
    </w:p>
    <w:p w14:paraId="2E39995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SAWALMA, M. et al. Sexual and reproductive health interventions geared toward adolescent males: A scoping review. Journal of Pediatric Nursing, v. 73, 18 </w:t>
      </w:r>
      <w:proofErr w:type="spellStart"/>
      <w:r>
        <w:rPr>
          <w:rFonts w:ascii="Arial" w:eastAsia="Arial" w:hAnsi="Arial" w:cs="Arial"/>
        </w:rPr>
        <w:t>jul.</w:t>
      </w:r>
      <w:proofErr w:type="spellEnd"/>
      <w:r>
        <w:rPr>
          <w:rFonts w:ascii="Arial" w:eastAsia="Arial" w:hAnsi="Arial" w:cs="Arial"/>
        </w:rPr>
        <w:t xml:space="preserve"> 2023.</w:t>
      </w:r>
    </w:p>
    <w:p w14:paraId="72BCB56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SCHMALENBERGER, K. M. et al. How to study the menstrual cycle: Practical tools and recommendations. </w:t>
      </w:r>
      <w:proofErr w:type="spellStart"/>
      <w:r>
        <w:rPr>
          <w:rFonts w:ascii="Arial" w:eastAsia="Arial" w:hAnsi="Arial" w:cs="Arial"/>
        </w:rPr>
        <w:t>Psychoneuroendocrinology</w:t>
      </w:r>
      <w:proofErr w:type="spellEnd"/>
      <w:r>
        <w:rPr>
          <w:rFonts w:ascii="Arial" w:eastAsia="Arial" w:hAnsi="Arial" w:cs="Arial"/>
        </w:rPr>
        <w:t xml:space="preserve">, v. 123, n. 104895, p. 104895, </w:t>
      </w:r>
      <w:proofErr w:type="spellStart"/>
      <w:r>
        <w:rPr>
          <w:rFonts w:ascii="Arial" w:eastAsia="Arial" w:hAnsi="Arial" w:cs="Arial"/>
        </w:rPr>
        <w:t>jan.</w:t>
      </w:r>
      <w:proofErr w:type="spellEnd"/>
      <w:r>
        <w:rPr>
          <w:rFonts w:ascii="Arial" w:eastAsia="Arial" w:hAnsi="Arial" w:cs="Arial"/>
        </w:rPr>
        <w:t xml:space="preserve"> 2021.</w:t>
      </w:r>
    </w:p>
    <w:p w14:paraId="4C8955D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SCHUTTE, Lisette, et al. Innovatively Supporting Teachers’ Implementation of School-Based Sex Education: Developing a Web-Based Coaching Intervention from Problem to Solution. Journal of Medical Internet Research, vol. 18, no. 7, 12 July 2016, p. e136, https://doi.org/10.2196/jmir.5058.</w:t>
      </w:r>
    </w:p>
    <w:p w14:paraId="4BADFB6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SCULL, T. M. et al. A Media Literacy Education Approach to High School Sexual Health Education: Immediate Effects of Media Aware on Adolescents’ Media, Sexual Health, and Communication Outcomes. Journal of Youth and Adolescence, v. 51, 3 </w:t>
      </w:r>
      <w:proofErr w:type="spellStart"/>
      <w:r>
        <w:rPr>
          <w:rFonts w:ascii="Arial" w:eastAsia="Arial" w:hAnsi="Arial" w:cs="Arial"/>
        </w:rPr>
        <w:t>fev</w:t>
      </w:r>
      <w:proofErr w:type="spellEnd"/>
      <w:r>
        <w:rPr>
          <w:rFonts w:ascii="Arial" w:eastAsia="Arial" w:hAnsi="Arial" w:cs="Arial"/>
        </w:rPr>
        <w:t>. 2022.</w:t>
      </w:r>
    </w:p>
    <w:p w14:paraId="6C91AAE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SEGAL, Kate, et al. Equipping Providers to Offer Novel MPTs: Developing Counseling Messages for the Dual Prevention Pill in Clinical Studies and Beyond. Frontiers in Reproductive Health, vol. 5, no. PMC10239831, 22 May 2023, https://doi.org/10.3389/frph.2023.1155948. Accessed 2 Mar. 2024.</w:t>
      </w:r>
    </w:p>
    <w:p w14:paraId="2B55502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SHANNON, C. L.; KLAUSNER, J. D. The growing epidemic of sexually transmitted infections in adolescents. Current Opinion in Pediatrics, v. 30, n. 1, p. 137–143, 1 </w:t>
      </w:r>
      <w:proofErr w:type="spellStart"/>
      <w:r>
        <w:rPr>
          <w:rFonts w:ascii="Arial" w:eastAsia="Arial" w:hAnsi="Arial" w:cs="Arial"/>
        </w:rPr>
        <w:t>fev</w:t>
      </w:r>
      <w:proofErr w:type="spellEnd"/>
      <w:r>
        <w:rPr>
          <w:rFonts w:ascii="Arial" w:eastAsia="Arial" w:hAnsi="Arial" w:cs="Arial"/>
        </w:rPr>
        <w:t>. 2019.</w:t>
      </w:r>
    </w:p>
    <w:p w14:paraId="02EFEC77"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SHIBUYA, Fumiko, et al. Teachers’ Conflicts in Implementing Comprehensive Sexuality Education: A Qualitative Systematic Review and Meta-Synthesis. Tropical Medicine and Health, vol. 51, no. 1, 28 Mar. 2023, https://doi.org/10.1186/s41182-023-00508-w.</w:t>
      </w:r>
    </w:p>
    <w:p w14:paraId="494F48F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SILVA; DA SILVA; RIBEIRO; PAULINI; </w:t>
      </w:r>
      <w:proofErr w:type="spellStart"/>
      <w:r>
        <w:rPr>
          <w:rFonts w:ascii="Arial" w:eastAsia="Arial" w:hAnsi="Arial" w:cs="Arial"/>
        </w:rPr>
        <w:t>Sociedade</w:t>
      </w:r>
      <w:proofErr w:type="spellEnd"/>
      <w:r>
        <w:rPr>
          <w:rFonts w:ascii="Arial" w:eastAsia="Arial" w:hAnsi="Arial" w:cs="Arial"/>
        </w:rPr>
        <w:t xml:space="preserve"> e </w:t>
      </w:r>
      <w:proofErr w:type="spellStart"/>
      <w:r>
        <w:rPr>
          <w:rFonts w:ascii="Arial" w:eastAsia="Arial" w:hAnsi="Arial" w:cs="Arial"/>
        </w:rPr>
        <w:t>educação</w:t>
      </w:r>
      <w:proofErr w:type="spellEnd"/>
      <w:r>
        <w:rPr>
          <w:rFonts w:ascii="Arial" w:eastAsia="Arial" w:hAnsi="Arial" w:cs="Arial"/>
        </w:rPr>
        <w:t xml:space="preserve"> sexual: </w:t>
      </w:r>
      <w:proofErr w:type="spellStart"/>
      <w:r>
        <w:rPr>
          <w:rFonts w:ascii="Arial" w:eastAsia="Arial" w:hAnsi="Arial" w:cs="Arial"/>
        </w:rPr>
        <w:t>influência</w:t>
      </w:r>
      <w:proofErr w:type="spellEnd"/>
      <w:r>
        <w:rPr>
          <w:rFonts w:ascii="Arial" w:eastAsia="Arial" w:hAnsi="Arial" w:cs="Arial"/>
        </w:rPr>
        <w:t xml:space="preserve"> do </w:t>
      </w:r>
      <w:proofErr w:type="spellStart"/>
      <w:r>
        <w:rPr>
          <w:rFonts w:ascii="Arial" w:eastAsia="Arial" w:hAnsi="Arial" w:cs="Arial"/>
        </w:rPr>
        <w:t>conservadorismo</w:t>
      </w:r>
      <w:proofErr w:type="spellEnd"/>
      <w:r>
        <w:rPr>
          <w:rFonts w:ascii="Arial" w:eastAsia="Arial" w:hAnsi="Arial" w:cs="Arial"/>
        </w:rPr>
        <w:t xml:space="preserve"> </w:t>
      </w:r>
      <w:proofErr w:type="spellStart"/>
      <w:r>
        <w:rPr>
          <w:rFonts w:ascii="Arial" w:eastAsia="Arial" w:hAnsi="Arial" w:cs="Arial"/>
        </w:rPr>
        <w:t>político</w:t>
      </w:r>
      <w:proofErr w:type="spellEnd"/>
      <w:r>
        <w:rPr>
          <w:rFonts w:ascii="Arial" w:eastAsia="Arial" w:hAnsi="Arial" w:cs="Arial"/>
        </w:rPr>
        <w:t xml:space="preserve">-religioso </w:t>
      </w:r>
      <w:proofErr w:type="spellStart"/>
      <w:r>
        <w:rPr>
          <w:rFonts w:ascii="Arial" w:eastAsia="Arial" w:hAnsi="Arial" w:cs="Arial"/>
        </w:rPr>
        <w:t>nos</w:t>
      </w:r>
      <w:proofErr w:type="spellEnd"/>
      <w:r>
        <w:rPr>
          <w:rFonts w:ascii="Arial" w:eastAsia="Arial" w:hAnsi="Arial" w:cs="Arial"/>
        </w:rPr>
        <w:t xml:space="preserve"> </w:t>
      </w:r>
      <w:proofErr w:type="spellStart"/>
      <w:r>
        <w:rPr>
          <w:rFonts w:ascii="Arial" w:eastAsia="Arial" w:hAnsi="Arial" w:cs="Arial"/>
        </w:rPr>
        <w:t>documentos</w:t>
      </w:r>
      <w:proofErr w:type="spellEnd"/>
      <w:r>
        <w:rPr>
          <w:rFonts w:ascii="Arial" w:eastAsia="Arial" w:hAnsi="Arial" w:cs="Arial"/>
        </w:rPr>
        <w:t xml:space="preserve"> </w:t>
      </w:r>
      <w:proofErr w:type="spellStart"/>
      <w:r>
        <w:rPr>
          <w:rFonts w:ascii="Arial" w:eastAsia="Arial" w:hAnsi="Arial" w:cs="Arial"/>
        </w:rPr>
        <w:t>norteadores</w:t>
      </w:r>
      <w:proofErr w:type="spellEnd"/>
      <w:r>
        <w:rPr>
          <w:rFonts w:ascii="Arial" w:eastAsia="Arial" w:hAnsi="Arial" w:cs="Arial"/>
        </w:rPr>
        <w:t xml:space="preserve"> do </w:t>
      </w:r>
      <w:proofErr w:type="spellStart"/>
      <w:r>
        <w:rPr>
          <w:rFonts w:ascii="Arial" w:eastAsia="Arial" w:hAnsi="Arial" w:cs="Arial"/>
        </w:rPr>
        <w:t>ensino</w:t>
      </w:r>
      <w:proofErr w:type="spellEnd"/>
      <w:r>
        <w:rPr>
          <w:rFonts w:ascii="Arial" w:eastAsia="Arial" w:hAnsi="Arial" w:cs="Arial"/>
        </w:rPr>
        <w:t xml:space="preserve"> </w:t>
      </w:r>
      <w:proofErr w:type="spellStart"/>
      <w:r>
        <w:rPr>
          <w:rFonts w:ascii="Arial" w:eastAsia="Arial" w:hAnsi="Arial" w:cs="Arial"/>
        </w:rPr>
        <w:t>básico</w:t>
      </w:r>
      <w:proofErr w:type="spellEnd"/>
      <w:r>
        <w:rPr>
          <w:rFonts w:ascii="Arial" w:eastAsia="Arial" w:hAnsi="Arial" w:cs="Arial"/>
        </w:rPr>
        <w:t xml:space="preserve">, 2023.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https://preprints.scielo.org/index.php/scielo/preprint/download/5803/11229/11784.</w:t>
      </w:r>
    </w:p>
    <w:p w14:paraId="01AF7E1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SOKAL, DAVID, and MAXINE E. ANKRAH. Would You like to Use One Condom or Two? Sexually Transmitted Diseases, vol. 24, no. 9, Oct. 1997, pp. 550–551, https://doi.org/10.1097/00007435-199710000-00011. Accessed 4 May 2020.</w:t>
      </w:r>
    </w:p>
    <w:p w14:paraId="4483CAC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SU MON MYAT, et al. School-Based Comprehensive Sexuality Education for Prevention of Adolescent Pregnancy: A Scoping Review. BMC Women’s Health, vol. 24, no. 1, 21 Feb. 2024.</w:t>
      </w:r>
    </w:p>
    <w:p w14:paraId="0F064EF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TAFLAN, P. et al. Sexually transmissible infections (STI) and HIV testing and diagnosis among Aboriginal and non-Aboriginal adolescents in contact with the Australian justice system: a cross-sectional study. Sexual Health, v. 20, n. 4, p. 303–314, 22 jun. 2023.</w:t>
      </w:r>
    </w:p>
    <w:p w14:paraId="001140F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TEBB, Kathleen P.; BRINDIS, Claire D. Understanding the Psychological Impacts of Teenage Pregnancy through a Socio-ecological Framework and Life Course Approach. Seminars in Reproductive Medicine, v. 40, n. 40, 2022.</w:t>
      </w:r>
    </w:p>
    <w:p w14:paraId="30F508C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VIVANCOS, R., et al. School-Based Sex Education Is Associated with Reduced Risky Sexual </w:t>
      </w:r>
      <w:proofErr w:type="spellStart"/>
      <w:r>
        <w:rPr>
          <w:rFonts w:ascii="Arial" w:eastAsia="Arial" w:hAnsi="Arial" w:cs="Arial"/>
        </w:rPr>
        <w:t>Behaviour</w:t>
      </w:r>
      <w:proofErr w:type="spellEnd"/>
      <w:r>
        <w:rPr>
          <w:rFonts w:ascii="Arial" w:eastAsia="Arial" w:hAnsi="Arial" w:cs="Arial"/>
        </w:rPr>
        <w:t xml:space="preserve"> and Sexually Transmitted Infections in Young Adults. Public Health, vol. 127, no. 1, Jan. 2013, pp. 53–57.</w:t>
      </w:r>
    </w:p>
    <w:p w14:paraId="435ED97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VON ROSEN, F. T. et al. STI Knowledge in Berlin Adolescents. International journal of environmental research and public health, v. 15, n. 1, p. 110, 2018.</w:t>
      </w:r>
    </w:p>
    <w:p w14:paraId="28C8A40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WEIR, S </w:t>
      </w:r>
      <w:proofErr w:type="spellStart"/>
      <w:r>
        <w:rPr>
          <w:rFonts w:ascii="Arial" w:eastAsia="Arial" w:hAnsi="Arial" w:cs="Arial"/>
        </w:rPr>
        <w:t>S</w:t>
      </w:r>
      <w:proofErr w:type="spellEnd"/>
      <w:r>
        <w:rPr>
          <w:rFonts w:ascii="Arial" w:eastAsia="Arial" w:hAnsi="Arial" w:cs="Arial"/>
        </w:rPr>
        <w:t xml:space="preserve">, et al. Measuring Condom Use: Asking “Do You or Don’t You” Isn’t Enough. AIDS Education and </w:t>
      </w:r>
      <w:proofErr w:type="gramStart"/>
      <w:r>
        <w:rPr>
          <w:rFonts w:ascii="Arial" w:eastAsia="Arial" w:hAnsi="Arial" w:cs="Arial"/>
        </w:rPr>
        <w:t>Prevention :</w:t>
      </w:r>
      <w:proofErr w:type="gramEnd"/>
      <w:r>
        <w:rPr>
          <w:rFonts w:ascii="Arial" w:eastAsia="Arial" w:hAnsi="Arial" w:cs="Arial"/>
        </w:rPr>
        <w:t xml:space="preserve"> Official Publication of the International Society for AIDS Education, vol. 10, no. 4, Aug. 1998, pp. 293–302, pubmed.ncbi.nlm.nih.gov/9721382/.</w:t>
      </w:r>
    </w:p>
    <w:p w14:paraId="3449BAE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WELZ, A. et al. Anxiety and rumination moderate menstrual cycle effects on mood in daily life. Women &amp; Health, v. 56, n. 5, p. 540–560, 23 out. 2015.</w:t>
      </w:r>
    </w:p>
    <w:p w14:paraId="0B93C3E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WHITWORTH, Tanya Rouleau, and Anthony Paik. Sex and Education: Does Sexual Debut during Adolescence Lead to Poor Grades? Perspectives on Sexual and Reproductive Health, vol. 51, no. 2, 20 May 2019, pp. 81–89.</w:t>
      </w:r>
    </w:p>
    <w:p w14:paraId="3ED021A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WILKINS, Natalie J., et al. Addressing HIV/Sexually Transmitted Diseases and Pregnancy Prevention through Schools: An Approach for Strengthening Education, Health Services, and School Environments That Promote Adolescent Sexual Health and Well-Being. Journal of Adolescent Health, vol. 70, no. 4, Apr. 2022, pp. 540–549.</w:t>
      </w:r>
    </w:p>
    <w:p w14:paraId="51A8EE18"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ZEHRAVI, M.; MAQBOOL, M.; ARA, I. Teenage menstrual dysfunction: an overview. International Journal of Adolescent Medicine and Health, v. 0, n. 0, 19 set. 2022.</w:t>
      </w:r>
    </w:p>
    <w:p w14:paraId="58C2FF6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ALONSO-PEREZ, E. et al. Family Structure and Family Climate in Relation to Health and Socioeconomic Status for Older Adults: A Longitudinal Moderated Mediation Analysis. International Journal of Environmental Research and Public Health, v. 19, n. 18, p. 11840, 19 set. 2022. </w:t>
      </w:r>
    </w:p>
    <w:p w14:paraId="4BCD402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DONG, X.; NG, N.; AILIANA SANTOSA. Family structure and depressive symptoms among older adults in China: A marginal structural model analysis. Journal of Affective Disorders, v. 324, p. 364–369, 1 mar. 2023. </w:t>
      </w:r>
    </w:p>
    <w:p w14:paraId="1C23E0C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FISMEN, A.-S. et al. Associations between family structure and adolescents’ food habits. Public Health Nutrition, p. 1–8, 28 out. 2020. </w:t>
      </w:r>
    </w:p>
    <w:p w14:paraId="27740C3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HEIKKALA, E. et al. Family structure and multisite musculoskeletal pain in adolescence: </w:t>
      </w:r>
      <w:proofErr w:type="gramStart"/>
      <w:r>
        <w:rPr>
          <w:rFonts w:ascii="Arial" w:eastAsia="Arial" w:hAnsi="Arial" w:cs="Arial"/>
        </w:rPr>
        <w:t>a</w:t>
      </w:r>
      <w:proofErr w:type="gramEnd"/>
      <w:r>
        <w:rPr>
          <w:rFonts w:ascii="Arial" w:eastAsia="Arial" w:hAnsi="Arial" w:cs="Arial"/>
        </w:rPr>
        <w:t xml:space="preserve"> Northern Finland Birth Cohort 1986 study. BMC Musculoskeletal Disorders, v. 24, n. 1, 11 </w:t>
      </w:r>
      <w:proofErr w:type="gramStart"/>
      <w:r>
        <w:rPr>
          <w:rFonts w:ascii="Arial" w:eastAsia="Arial" w:hAnsi="Arial" w:cs="Arial"/>
        </w:rPr>
        <w:t>mar</w:t>
      </w:r>
      <w:proofErr w:type="gramEnd"/>
      <w:r>
        <w:rPr>
          <w:rFonts w:ascii="Arial" w:eastAsia="Arial" w:hAnsi="Arial" w:cs="Arial"/>
        </w:rPr>
        <w:t xml:space="preserve">. 2023. </w:t>
      </w:r>
    </w:p>
    <w:p w14:paraId="2A064BF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HOFFMANN, J. P. Family Structure, Unstructured Socializing, and Heavy Substance Use among Adolescents. International Journal of Environmental Research and Public Health, v. 19, n. 14, p. 8818, 20 </w:t>
      </w:r>
      <w:proofErr w:type="spellStart"/>
      <w:r>
        <w:rPr>
          <w:rFonts w:ascii="Arial" w:eastAsia="Arial" w:hAnsi="Arial" w:cs="Arial"/>
        </w:rPr>
        <w:t>jul.</w:t>
      </w:r>
      <w:proofErr w:type="spellEnd"/>
      <w:r>
        <w:rPr>
          <w:rFonts w:ascii="Arial" w:eastAsia="Arial" w:hAnsi="Arial" w:cs="Arial"/>
        </w:rPr>
        <w:t xml:space="preserve"> 2022. </w:t>
      </w:r>
    </w:p>
    <w:p w14:paraId="4E9DFBD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JUTEAU, G. et al. Visualizing Children’s Family Structure. Socius Sociological Research for a Dynamic World, v. 9, 1 </w:t>
      </w:r>
      <w:proofErr w:type="spellStart"/>
      <w:r>
        <w:rPr>
          <w:rFonts w:ascii="Arial" w:eastAsia="Arial" w:hAnsi="Arial" w:cs="Arial"/>
        </w:rPr>
        <w:t>jan.</w:t>
      </w:r>
      <w:proofErr w:type="spellEnd"/>
      <w:r>
        <w:rPr>
          <w:rFonts w:ascii="Arial" w:eastAsia="Arial" w:hAnsi="Arial" w:cs="Arial"/>
        </w:rPr>
        <w:t xml:space="preserve"> 2023. </w:t>
      </w:r>
    </w:p>
    <w:p w14:paraId="7972937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SAVELL, S. M. et al. Family processes and structure: Longitudinal influences on adolescent disruptive and internalizing behaviors. Family Relations, v. 72, n. 1, p. 361–382, 6 </w:t>
      </w:r>
      <w:proofErr w:type="spellStart"/>
      <w:r>
        <w:rPr>
          <w:rFonts w:ascii="Arial" w:eastAsia="Arial" w:hAnsi="Arial" w:cs="Arial"/>
        </w:rPr>
        <w:t>jul.</w:t>
      </w:r>
      <w:proofErr w:type="spellEnd"/>
      <w:r>
        <w:rPr>
          <w:rFonts w:ascii="Arial" w:eastAsia="Arial" w:hAnsi="Arial" w:cs="Arial"/>
        </w:rPr>
        <w:t xml:space="preserve"> 2022.</w:t>
      </w:r>
    </w:p>
    <w:p w14:paraId="3EC4DDA3" w14:textId="77777777" w:rsidR="00C42798" w:rsidRDefault="00C42798">
      <w:pPr>
        <w:pBdr>
          <w:top w:val="nil"/>
          <w:left w:val="nil"/>
          <w:bottom w:val="nil"/>
          <w:right w:val="nil"/>
          <w:between w:val="nil"/>
        </w:pBdr>
        <w:jc w:val="both"/>
        <w:rPr>
          <w:rFonts w:ascii="Arial" w:eastAsia="Arial" w:hAnsi="Arial" w:cs="Arial"/>
        </w:rPr>
      </w:pPr>
    </w:p>
    <w:p w14:paraId="40D49935" w14:textId="77777777" w:rsidR="00C42798" w:rsidRDefault="00C42798">
      <w:pPr>
        <w:pBdr>
          <w:top w:val="nil"/>
          <w:left w:val="nil"/>
          <w:bottom w:val="nil"/>
          <w:right w:val="nil"/>
          <w:between w:val="nil"/>
        </w:pBdr>
        <w:jc w:val="both"/>
        <w:rPr>
          <w:rFonts w:ascii="Arial" w:eastAsia="Arial" w:hAnsi="Arial" w:cs="Arial"/>
        </w:rPr>
      </w:pPr>
    </w:p>
    <w:p w14:paraId="4AE9964D" w14:textId="77777777" w:rsidR="00C42798" w:rsidRDefault="00C42798" w:rsidP="00C42798">
      <w:r w:rsidRPr="008A5A3A">
        <w:rPr>
          <w:highlight w:val="yellow"/>
        </w:rPr>
        <w:lastRenderedPageBreak/>
        <w:t xml:space="preserve">Corcoran, J. L., Davies, S. L., Knight, C. C., </w:t>
      </w:r>
      <w:proofErr w:type="spellStart"/>
      <w:r w:rsidRPr="008A5A3A">
        <w:rPr>
          <w:highlight w:val="yellow"/>
        </w:rPr>
        <w:t>Lanzi</w:t>
      </w:r>
      <w:proofErr w:type="spellEnd"/>
      <w:r w:rsidRPr="008A5A3A">
        <w:rPr>
          <w:highlight w:val="yellow"/>
        </w:rPr>
        <w:t xml:space="preserve">, R. G., Li, P., &amp; </w:t>
      </w:r>
      <w:proofErr w:type="spellStart"/>
      <w:r w:rsidRPr="008A5A3A">
        <w:rPr>
          <w:highlight w:val="yellow"/>
        </w:rPr>
        <w:t>Ladores</w:t>
      </w:r>
      <w:proofErr w:type="spellEnd"/>
      <w:r w:rsidRPr="008A5A3A">
        <w:rPr>
          <w:highlight w:val="yellow"/>
        </w:rPr>
        <w:t>, S. L. (2020). Adolescents’ perceptions of sexual health education programs: An integrative review. Journal of Adolescence, 84, 96-112.</w:t>
      </w:r>
      <w:r>
        <w:t xml:space="preserve">  </w:t>
      </w:r>
    </w:p>
    <w:p w14:paraId="74668F3D" w14:textId="77777777" w:rsidR="001A1B17" w:rsidRDefault="001A1B17" w:rsidP="00C42798"/>
    <w:p w14:paraId="5F4C0D0C" w14:textId="77777777" w:rsidR="001A1B17" w:rsidRDefault="001A1B17" w:rsidP="00C42798"/>
    <w:p w14:paraId="19AFAB35" w14:textId="77777777" w:rsidR="00824886" w:rsidRDefault="001A1B17" w:rsidP="00C42798">
      <w:r w:rsidRPr="008A5A3A">
        <w:rPr>
          <w:highlight w:val="yellow"/>
        </w:rPr>
        <w:t xml:space="preserve">Almeida, N., Teixeira, A., Garcia, J., Martins, N., &amp; </w:t>
      </w:r>
      <w:proofErr w:type="spellStart"/>
      <w:r w:rsidRPr="008A5A3A">
        <w:rPr>
          <w:highlight w:val="yellow"/>
        </w:rPr>
        <w:t>Ramalho</w:t>
      </w:r>
      <w:proofErr w:type="spellEnd"/>
      <w:r w:rsidRPr="008A5A3A">
        <w:rPr>
          <w:highlight w:val="yellow"/>
        </w:rPr>
        <w:t>, C. (2019). Effects of an educational intervention on Angolan adolescents’ knowledge of human reproduction: a quasi-experimental study. International Journal of Environmental Research and Public Health, 16(24), 5155.</w:t>
      </w:r>
      <w:r>
        <w:t xml:space="preserve"> </w:t>
      </w:r>
    </w:p>
    <w:p w14:paraId="7DA575C3" w14:textId="77777777" w:rsidR="00824886" w:rsidRDefault="00824886" w:rsidP="00C42798"/>
    <w:p w14:paraId="6118463A" w14:textId="64F0B471" w:rsidR="00824886" w:rsidRPr="008A5A3A" w:rsidRDefault="00824886" w:rsidP="00C42798">
      <w:pPr>
        <w:rPr>
          <w:highlight w:val="yellow"/>
        </w:rPr>
      </w:pPr>
      <w:proofErr w:type="spellStart"/>
      <w:r w:rsidRPr="008A5A3A">
        <w:rPr>
          <w:highlight w:val="yellow"/>
        </w:rPr>
        <w:t>Obiunu</w:t>
      </w:r>
      <w:proofErr w:type="spellEnd"/>
      <w:r w:rsidRPr="008A5A3A">
        <w:rPr>
          <w:highlight w:val="yellow"/>
        </w:rPr>
        <w:t xml:space="preserve">, J. J. (2014). The influence of sexuality education on inappropriate sexual </w:t>
      </w:r>
      <w:proofErr w:type="spellStart"/>
      <w:r w:rsidRPr="008A5A3A">
        <w:rPr>
          <w:highlight w:val="yellow"/>
        </w:rPr>
        <w:t>behaviours</w:t>
      </w:r>
      <w:proofErr w:type="spellEnd"/>
      <w:r w:rsidRPr="008A5A3A">
        <w:rPr>
          <w:highlight w:val="yellow"/>
        </w:rPr>
        <w:t xml:space="preserve"> among secondary school students. Adv Res, 2(12), 869-878.</w:t>
      </w:r>
    </w:p>
    <w:p w14:paraId="125E174A" w14:textId="77777777" w:rsidR="00824886" w:rsidRPr="008A5A3A" w:rsidRDefault="00824886" w:rsidP="00C42798">
      <w:pPr>
        <w:rPr>
          <w:highlight w:val="yellow"/>
        </w:rPr>
      </w:pPr>
    </w:p>
    <w:p w14:paraId="26166EB9" w14:textId="77777777" w:rsidR="00824886" w:rsidRDefault="00824886" w:rsidP="00C42798">
      <w:r w:rsidRPr="008A5A3A">
        <w:rPr>
          <w:highlight w:val="yellow"/>
        </w:rPr>
        <w:t>Nazrul, N. (2024). Quantitative Approaches to Sex Education in South Asia: The Cases of Bangladesh and India. International Social Sciences and Education Journal, 2(1), 46-52.</w:t>
      </w:r>
    </w:p>
    <w:p w14:paraId="6482EC9A" w14:textId="77777777" w:rsidR="00824886" w:rsidRDefault="00824886" w:rsidP="00C42798"/>
    <w:p w14:paraId="5A2A28FC" w14:textId="77777777" w:rsidR="00824886" w:rsidRDefault="00824886" w:rsidP="00C42798"/>
    <w:p w14:paraId="1DD3DD52" w14:textId="2155E568" w:rsidR="001A1B17" w:rsidRDefault="001A1B17" w:rsidP="008A5A3A">
      <w:pPr>
        <w:sectPr w:rsidR="001A1B17" w:rsidSect="00745185">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r>
        <w:t xml:space="preserve"> </w:t>
      </w:r>
    </w:p>
    <w:p w14:paraId="63DE67AE" w14:textId="77777777" w:rsidR="006202A3" w:rsidRDefault="006202A3" w:rsidP="008A5A3A">
      <w:pPr>
        <w:rPr>
          <w:color w:val="000000"/>
        </w:rPr>
      </w:pPr>
    </w:p>
    <w:sectPr w:rsidR="006202A3" w:rsidSect="00745185">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9FFF3" w14:textId="77777777" w:rsidR="00045C7E" w:rsidRDefault="00045C7E">
      <w:r>
        <w:separator/>
      </w:r>
    </w:p>
  </w:endnote>
  <w:endnote w:type="continuationSeparator" w:id="0">
    <w:p w14:paraId="544F6B38" w14:textId="77777777" w:rsidR="00045C7E" w:rsidRDefault="00045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5846682F-3F5D-4C51-B88C-A9895C53F79B}"/>
    <w:embedBold r:id="rId2" w:fontKey="{0C982231-F58A-46FF-9598-2028C6C6D368}"/>
  </w:font>
  <w:font w:name="Helvetica">
    <w:panose1 w:val="020B0604020202020204"/>
    <w:charset w:val="00"/>
    <w:family w:val="swiss"/>
    <w:pitch w:val="variable"/>
    <w:sig w:usb0="E0002EFF" w:usb1="C000785B" w:usb2="00000009" w:usb3="00000000" w:csb0="000001FF" w:csb1="00000000"/>
    <w:embedRegular r:id="rId3" w:fontKey="{64BEA392-19FE-4882-9E85-F813191A2A8E}"/>
    <w:embedBold r:id="rId4" w:fontKey="{E62B29BB-F0DF-4A40-AADA-3B06B8613F2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8C7932D8-4AA4-4394-BEDD-DF0AFA075DD9}"/>
    <w:embedBold r:id="rId6" w:fontKey="{336CF8B4-C7DD-4366-B1FD-86D0F9B7353D}"/>
  </w:font>
  <w:font w:name="Tahoma">
    <w:panose1 w:val="020B0604030504040204"/>
    <w:charset w:val="00"/>
    <w:family w:val="swiss"/>
    <w:pitch w:val="variable"/>
    <w:sig w:usb0="E1002EFF" w:usb1="C000605B" w:usb2="00000029" w:usb3="00000000" w:csb0="000101FF" w:csb1="00000000"/>
    <w:embedRegular r:id="rId7" w:fontKey="{CA54093E-DBE2-46DF-AB9C-4BF02EB9D7CB}"/>
  </w:font>
  <w:font w:name="Georgia">
    <w:panose1 w:val="02040502050405020303"/>
    <w:charset w:val="00"/>
    <w:family w:val="roman"/>
    <w:pitch w:val="variable"/>
    <w:sig w:usb0="00000287" w:usb1="00000000" w:usb2="00000000" w:usb3="00000000" w:csb0="0000009F" w:csb1="00000000"/>
    <w:embedRegular r:id="rId8" w:fontKey="{AE8A4B55-51CC-4D61-9625-6BFCF39E0128}"/>
    <w:embedItalic r:id="rId9" w:fontKey="{41A99119-DACF-497D-BBD4-1E4D984F1B89}"/>
  </w:font>
  <w:font w:name="Cambria">
    <w:panose1 w:val="02040503050406030204"/>
    <w:charset w:val="00"/>
    <w:family w:val="roman"/>
    <w:pitch w:val="variable"/>
    <w:sig w:usb0="E00006FF" w:usb1="420024FF" w:usb2="02000000" w:usb3="00000000" w:csb0="0000019F" w:csb1="00000000"/>
    <w:embedRegular r:id="rId10" w:fontKey="{CBD03D23-2B05-4653-8526-F8A8039989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5CCB8" w14:textId="77777777" w:rsidR="006202A3" w:rsidRDefault="006202A3">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97440" w14:textId="09F86F6F" w:rsidR="006202A3" w:rsidRDefault="006202A3">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DED6B" w14:textId="77777777" w:rsidR="006202A3" w:rsidRDefault="006202A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31A0ED1" w14:textId="77777777" w:rsidR="006202A3" w:rsidRDefault="009953D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9B745CF" w14:textId="77777777" w:rsidR="006202A3" w:rsidRDefault="006202A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6FE06E5" w14:textId="77777777" w:rsidR="006202A3" w:rsidRDefault="009953D1">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78F60" w14:textId="77777777" w:rsidR="006202A3" w:rsidRDefault="006202A3">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055A2" w14:textId="77777777" w:rsidR="00045C7E" w:rsidRDefault="00045C7E">
      <w:r>
        <w:separator/>
      </w:r>
    </w:p>
  </w:footnote>
  <w:footnote w:type="continuationSeparator" w:id="0">
    <w:p w14:paraId="6CABCFD0" w14:textId="77777777" w:rsidR="00045C7E" w:rsidRDefault="00045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F2F45" w14:textId="70008A88" w:rsidR="006202A3" w:rsidRDefault="00045C7E">
    <w:pPr>
      <w:pBdr>
        <w:top w:val="nil"/>
        <w:left w:val="nil"/>
        <w:bottom w:val="nil"/>
        <w:right w:val="nil"/>
        <w:between w:val="nil"/>
      </w:pBdr>
      <w:tabs>
        <w:tab w:val="center" w:pos="4320"/>
        <w:tab w:val="right" w:pos="8640"/>
      </w:tabs>
      <w:rPr>
        <w:rFonts w:ascii="Helvetica Neue" w:hAnsi="Helvetica Neue"/>
        <w:color w:val="000000"/>
      </w:rPr>
    </w:pPr>
    <w:r>
      <w:rPr>
        <w:noProof/>
      </w:rPr>
      <w:pict w14:anchorId="7F90C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B844A" w14:textId="3DD43C52" w:rsidR="006202A3" w:rsidRDefault="00045C7E">
    <w:pPr>
      <w:pBdr>
        <w:top w:val="nil"/>
        <w:left w:val="nil"/>
        <w:bottom w:val="nil"/>
        <w:right w:val="nil"/>
        <w:between w:val="nil"/>
      </w:pBdr>
      <w:tabs>
        <w:tab w:val="center" w:pos="4320"/>
        <w:tab w:val="right" w:pos="8640"/>
      </w:tabs>
      <w:rPr>
        <w:rFonts w:ascii="Helvetica Neue" w:hAnsi="Helvetica Neue"/>
        <w:color w:val="000000"/>
      </w:rPr>
    </w:pPr>
    <w:r>
      <w:rPr>
        <w:noProof/>
      </w:rPr>
      <w:pict w14:anchorId="38C02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E5DC9" w14:textId="718156D0" w:rsidR="006202A3" w:rsidRDefault="00045C7E">
    <w:pPr>
      <w:ind w:left="2160"/>
      <w:jc w:val="center"/>
      <w:rPr>
        <w:rFonts w:ascii="Times New Roman" w:eastAsia="Times New Roman" w:hAnsi="Times New Roman" w:cs="Times New Roman"/>
        <w:i/>
        <w:sz w:val="18"/>
        <w:szCs w:val="18"/>
      </w:rPr>
    </w:pPr>
    <w:r>
      <w:rPr>
        <w:noProof/>
      </w:rPr>
      <w:pict w14:anchorId="265A4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750C0D0" w14:textId="77777777" w:rsidR="006202A3" w:rsidRDefault="009953D1">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001A868" w14:textId="77777777" w:rsidR="006202A3" w:rsidRDefault="009953D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AA66424" w14:textId="77777777" w:rsidR="006202A3" w:rsidRDefault="009953D1">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C5C820E" w14:textId="77777777" w:rsidR="006202A3" w:rsidRDefault="009953D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3F65025" w14:textId="77777777" w:rsidR="006202A3" w:rsidRDefault="009953D1">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B6D5510" w14:textId="77777777" w:rsidR="006202A3" w:rsidRDefault="009953D1">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A6922" w14:textId="26C06FBD" w:rsidR="00F633DC" w:rsidRDefault="00045C7E">
    <w:pPr>
      <w:pStyle w:val="Header"/>
    </w:pPr>
    <w:r>
      <w:rPr>
        <w:noProof/>
      </w:rPr>
      <w:pict w14:anchorId="67CFB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DEC39" w14:textId="718A5DD6" w:rsidR="00F633DC" w:rsidRDefault="00045C7E">
    <w:pPr>
      <w:pStyle w:val="Header"/>
    </w:pPr>
    <w:r>
      <w:rPr>
        <w:noProof/>
      </w:rPr>
      <w:pict w14:anchorId="442C4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8F3D5" w14:textId="2644F5FF" w:rsidR="00F633DC" w:rsidRDefault="00045C7E">
    <w:pPr>
      <w:pStyle w:val="Header"/>
    </w:pPr>
    <w:r>
      <w:rPr>
        <w:noProof/>
      </w:rPr>
      <w:pict w14:anchorId="19C49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60615"/>
    <w:multiLevelType w:val="multilevel"/>
    <w:tmpl w:val="E89680C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3sTQ3NjY1MzQ1MzdQ0lEKTi0uzszPAykwrAUAy+pRQiwAAAA="/>
  </w:docVars>
  <w:rsids>
    <w:rsidRoot w:val="006202A3"/>
    <w:rsid w:val="00045C7E"/>
    <w:rsid w:val="00131114"/>
    <w:rsid w:val="001A1B17"/>
    <w:rsid w:val="00334541"/>
    <w:rsid w:val="00521815"/>
    <w:rsid w:val="00522762"/>
    <w:rsid w:val="006202A3"/>
    <w:rsid w:val="00650C2A"/>
    <w:rsid w:val="00670A07"/>
    <w:rsid w:val="006C5338"/>
    <w:rsid w:val="006F2BD6"/>
    <w:rsid w:val="00745185"/>
    <w:rsid w:val="007D205E"/>
    <w:rsid w:val="00824886"/>
    <w:rsid w:val="008A5A3A"/>
    <w:rsid w:val="009953D1"/>
    <w:rsid w:val="00AE3483"/>
    <w:rsid w:val="00B47E6D"/>
    <w:rsid w:val="00C42798"/>
    <w:rsid w:val="00C712A6"/>
    <w:rsid w:val="00D27FAF"/>
    <w:rsid w:val="00DF3D8E"/>
    <w:rsid w:val="00DF41E7"/>
    <w:rsid w:val="00F22706"/>
    <w:rsid w:val="00F612B5"/>
    <w:rsid w:val="00F63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CD8F238"/>
  <w15:docId w15:val="{E79C92DC-6801-4164-9E1F-6729A234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650C2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B1BMOkQNb4FVgupPPoddcmvr5g==">CgMxLjA4AHIhMVl4VlNHTml5VExRaTluRU9hWmhfRVVhVk5nYjhVdHJ1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7554</Words>
  <Characters>43063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19</cp:revision>
  <dcterms:created xsi:type="dcterms:W3CDTF">2014-10-25T14:34:00Z</dcterms:created>
  <dcterms:modified xsi:type="dcterms:W3CDTF">2025-07-01T08:20:00Z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721d1bfe-0483-4b09-93a0-24a304826112</vt:lpwstr>
  </property>
</Properties>
</file>