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CE244" w14:textId="2F6109A0" w:rsidR="00690E1D" w:rsidRPr="0081347A" w:rsidRDefault="0081347A" w:rsidP="00690E1D">
      <w:pPr>
        <w:jc w:val="center"/>
        <w:rPr>
          <w:rFonts w:ascii="Century" w:hAnsi="Century"/>
          <w:b/>
          <w:bCs/>
          <w:sz w:val="28"/>
          <w:szCs w:val="28"/>
        </w:rPr>
      </w:pPr>
      <w:r w:rsidRPr="0081347A">
        <w:rPr>
          <w:rFonts w:ascii="Century" w:hAnsi="Century"/>
          <w:b/>
          <w:bCs/>
          <w:sz w:val="28"/>
          <w:szCs w:val="28"/>
        </w:rPr>
        <w:t>Artificial Intelligence and Its Implications for Banking and Finance in Indonesia</w:t>
      </w:r>
    </w:p>
    <w:p w14:paraId="2E9143CA" w14:textId="77777777" w:rsidR="00690E1D" w:rsidRDefault="00690E1D" w:rsidP="00690E1D">
      <w:pPr>
        <w:contextualSpacing/>
        <w:rPr>
          <w:b/>
          <w:bCs/>
        </w:rPr>
      </w:pPr>
    </w:p>
    <w:p w14:paraId="5A35FCF1" w14:textId="77777777" w:rsidR="00484827" w:rsidRDefault="00484827" w:rsidP="0054152C">
      <w:pPr>
        <w:jc w:val="center"/>
        <w:rPr>
          <w:rFonts w:ascii="Cormorant Garamond" w:hAnsi="Cormorant Garamond" w:cs="Cormorant Garamond"/>
          <w:b/>
          <w:bCs/>
          <w:sz w:val="28"/>
          <w:szCs w:val="28"/>
        </w:rPr>
      </w:pPr>
    </w:p>
    <w:p w14:paraId="62250BC5" w14:textId="77777777" w:rsidR="00F67660" w:rsidRPr="00435425" w:rsidRDefault="00F67660" w:rsidP="00F67660">
      <w:pPr>
        <w:jc w:val="center"/>
        <w:rPr>
          <w:rFonts w:ascii="Cormorant Garamond" w:hAnsi="Cormorant Garamond"/>
          <w:b/>
          <w:bCs/>
        </w:rPr>
      </w:pPr>
      <w:r w:rsidRPr="00435425">
        <w:rPr>
          <w:rFonts w:ascii="Cormorant Garamond" w:hAnsi="Cormorant Garamond"/>
          <w:b/>
          <w:bCs/>
        </w:rPr>
        <w:t>ABSTRACT</w:t>
      </w:r>
    </w:p>
    <w:p w14:paraId="5F38D2F4" w14:textId="16802C2E" w:rsidR="0081347A" w:rsidRPr="0081347A" w:rsidRDefault="0081347A" w:rsidP="0081347A">
      <w:pPr>
        <w:pStyle w:val="NormalWeb"/>
        <w:jc w:val="both"/>
      </w:pPr>
      <w:r>
        <w:t>The present</w:t>
      </w:r>
      <w:r w:rsidRPr="0081347A">
        <w:t xml:space="preserve"> study examines the impact of Artificial Intelligence (AI) adoption on the performance of Indonesia's banking and financial sectors. By comparing data from the World Bank, CEIC, BIS, and Otoritas Jasa Keuangan (OJK) during the pre-AI (2002–2018) and post-AI (2019–2023) periods, the research identifies key trends. The study shows that, after AI implementation, non-banking financial institutions (NBFIs), mutual funds, and insurance companies experienced growth, while the number of commercial banks declined. The growth rate of banks dropped from 15.17% to 7.24%, despite an increase in total assets. The analysis reveals that the top five banks showed higher asset concentration, lower cost-to-income ratios, reduced administrative expenses, improved lending-deposit spreads, and fewer non-performing loans. AI contributed to slight improvements in </w:t>
      </w:r>
      <w:r w:rsidRPr="0081347A">
        <w:rPr>
          <w:rStyle w:val="Strong"/>
          <w:rFonts w:eastAsiaTheme="majorEastAsia"/>
          <w:b w:val="0"/>
        </w:rPr>
        <w:t>financial inclusion</w:t>
      </w:r>
      <w:r w:rsidRPr="0081347A">
        <w:t xml:space="preserve"> and increased </w:t>
      </w:r>
      <w:r w:rsidRPr="0081347A">
        <w:rPr>
          <w:rStyle w:val="Strong"/>
          <w:rFonts w:eastAsiaTheme="majorEastAsia"/>
          <w:b w:val="0"/>
        </w:rPr>
        <w:t>operational efficiency</w:t>
      </w:r>
      <w:r w:rsidRPr="0081347A">
        <w:t xml:space="preserve">, leading to a greater enhancement in </w:t>
      </w:r>
      <w:r w:rsidRPr="0081347A">
        <w:rPr>
          <w:rStyle w:val="Strong"/>
          <w:rFonts w:eastAsiaTheme="majorEastAsia"/>
          <w:b w:val="0"/>
        </w:rPr>
        <w:t>Return on Equity (ROE)</w:t>
      </w:r>
      <w:r w:rsidRPr="0081347A">
        <w:rPr>
          <w:b/>
        </w:rPr>
        <w:t xml:space="preserve"> </w:t>
      </w:r>
      <w:r w:rsidRPr="0081347A">
        <w:t xml:space="preserve">compared to </w:t>
      </w:r>
      <w:r w:rsidRPr="0081347A">
        <w:rPr>
          <w:rStyle w:val="Strong"/>
          <w:rFonts w:eastAsiaTheme="majorEastAsia"/>
          <w:b w:val="0"/>
        </w:rPr>
        <w:t>Return on Assets (ROA)</w:t>
      </w:r>
      <w:r w:rsidRPr="0081347A">
        <w:rPr>
          <w:b/>
        </w:rPr>
        <w:t>.</w:t>
      </w:r>
      <w:r w:rsidRPr="0081347A">
        <w:t xml:space="preserve"> These findings suggest that AI promotes stability and efficiency but also increases market concentration. This outcome underscores the need for strategic AI investments to ensure balanced growth in the sector.</w:t>
      </w:r>
    </w:p>
    <w:p w14:paraId="63F4693D" w14:textId="77777777" w:rsidR="00F67660" w:rsidRPr="00555DBC" w:rsidRDefault="00F67660" w:rsidP="00F67660">
      <w:pPr>
        <w:jc w:val="both"/>
        <w:rPr>
          <w:rFonts w:ascii="Cormorant Garamond" w:eastAsia="Times New Roman" w:hAnsi="Cormorant Garamond"/>
          <w:kern w:val="0"/>
          <w:sz w:val="20"/>
          <w:szCs w:val="20"/>
          <w14:ligatures w14:val="none"/>
        </w:rPr>
      </w:pPr>
      <w:r w:rsidRPr="0081347A">
        <w:rPr>
          <w:rFonts w:eastAsia="Times New Roman"/>
          <w:b/>
          <w:kern w:val="0"/>
          <w14:ligatures w14:val="none"/>
        </w:rPr>
        <w:t>Keywords:</w:t>
      </w:r>
      <w:r w:rsidRPr="00435425">
        <w:rPr>
          <w:rFonts w:ascii="Cormorant Garamond" w:eastAsia="Times New Roman" w:hAnsi="Cormorant Garamond"/>
          <w:kern w:val="0"/>
          <w:sz w:val="20"/>
          <w:szCs w:val="20"/>
          <w14:ligatures w14:val="none"/>
        </w:rPr>
        <w:t xml:space="preserve"> </w:t>
      </w:r>
      <w:r w:rsidRPr="0081347A">
        <w:rPr>
          <w:rFonts w:eastAsia="Times New Roman"/>
          <w:iCs/>
          <w:kern w:val="0"/>
          <w14:ligatures w14:val="none"/>
        </w:rPr>
        <w:t>Artificial Intelligence; Banking Sector; Operational Efficiency and Financial Inclusion</w:t>
      </w:r>
    </w:p>
    <w:p w14:paraId="327645EB" w14:textId="77777777" w:rsidR="00F67660" w:rsidRPr="00435425" w:rsidRDefault="00F67660" w:rsidP="00456FED">
      <w:pPr>
        <w:spacing w:line="240" w:lineRule="auto"/>
        <w:jc w:val="both"/>
        <w:rPr>
          <w:rFonts w:ascii="Cormorant Garamond" w:hAnsi="Cormorant Garamond"/>
          <w:b/>
          <w:bCs/>
          <w:sz w:val="28"/>
          <w:szCs w:val="28"/>
        </w:rPr>
      </w:pPr>
      <w:r w:rsidRPr="00435425">
        <w:rPr>
          <w:rFonts w:ascii="Cormorant Garamond" w:hAnsi="Cormorant Garamond"/>
          <w:b/>
          <w:bCs/>
          <w:sz w:val="28"/>
          <w:szCs w:val="28"/>
        </w:rPr>
        <w:t>I. INTRODUCTION</w:t>
      </w:r>
    </w:p>
    <w:p w14:paraId="7E650C67" w14:textId="77777777" w:rsidR="00F67660" w:rsidRPr="00435425" w:rsidRDefault="00F67660" w:rsidP="00456FED">
      <w:pPr>
        <w:spacing w:line="240" w:lineRule="auto"/>
        <w:jc w:val="both"/>
        <w:rPr>
          <w:rFonts w:ascii="Cormorant Garamond" w:eastAsia="Times New Roman" w:hAnsi="Cormorant Garamond"/>
          <w:kern w:val="0"/>
          <w:lang w:eastAsia="en-IN"/>
          <w14:ligatures w14:val="none"/>
        </w:rPr>
      </w:pPr>
      <w:r w:rsidRPr="00435425">
        <w:rPr>
          <w:rFonts w:ascii="Cormorant Garamond" w:eastAsia="Times New Roman" w:hAnsi="Cormorant Garamond"/>
          <w:kern w:val="0"/>
          <w:lang w:eastAsia="en-IN"/>
          <w14:ligatures w14:val="none"/>
        </w:rPr>
        <w:t>Indonesia has the largest economy in Southeast Asia, with a GDP of over $1.37 trillion.</w:t>
      </w:r>
      <w:r w:rsidRPr="00435425">
        <w:rPr>
          <w:rStyle w:val="FootnoteReference"/>
          <w:rFonts w:ascii="Cormorant Garamond" w:eastAsia="Times New Roman" w:hAnsi="Cormorant Garamond"/>
          <w:kern w:val="0"/>
          <w:lang w:eastAsia="en-IN"/>
          <w14:ligatures w14:val="none"/>
        </w:rPr>
        <w:footnoteReference w:id="1"/>
      </w:r>
      <w:r w:rsidRPr="00435425">
        <w:rPr>
          <w:rFonts w:ascii="Cormorant Garamond" w:eastAsia="Times New Roman" w:hAnsi="Cormorant Garamond"/>
          <w:kern w:val="0"/>
          <w:vertAlign w:val="superscript"/>
          <w:lang w:eastAsia="en-IN"/>
          <w14:ligatures w14:val="none"/>
        </w:rPr>
        <w:t xml:space="preserve"> </w:t>
      </w:r>
      <w:r w:rsidRPr="00435425">
        <w:rPr>
          <w:rFonts w:ascii="Cormorant Garamond" w:eastAsia="Times New Roman" w:hAnsi="Cormorant Garamond"/>
          <w:kern w:val="0"/>
          <w:lang w:eastAsia="en-IN"/>
          <w14:ligatures w14:val="none"/>
        </w:rPr>
        <w:t>The largest 10 banks (including 4 public sector banks) hold 66 percent of banking assets.</w:t>
      </w:r>
      <w:r w:rsidRPr="00435425">
        <w:rPr>
          <w:rStyle w:val="FootnoteReference"/>
          <w:rFonts w:ascii="Cormorant Garamond" w:eastAsia="Times New Roman" w:hAnsi="Cormorant Garamond"/>
          <w:kern w:val="0"/>
          <w:lang w:eastAsia="en-IN"/>
          <w14:ligatures w14:val="none"/>
        </w:rPr>
        <w:footnoteReference w:id="2"/>
      </w:r>
      <w:r w:rsidRPr="00435425">
        <w:rPr>
          <w:rFonts w:ascii="Cormorant Garamond" w:eastAsia="Times New Roman" w:hAnsi="Cormorant Garamond"/>
          <w:kern w:val="0"/>
          <w:lang w:eastAsia="en-IN"/>
          <w14:ligatures w14:val="none"/>
        </w:rPr>
        <w:t xml:space="preserve"> Indonesia has made significant progress in financial inclusion, with over 70% of adults having a bank account and digital payments are growing rapidly in Indonesia, with e-wallets and mobile banking apps becoming increasingly popular.</w:t>
      </w:r>
      <w:r w:rsidRPr="00435425">
        <w:rPr>
          <w:rStyle w:val="FootnoteReference"/>
          <w:rFonts w:ascii="Cormorant Garamond" w:eastAsia="Times New Roman" w:hAnsi="Cormorant Garamond"/>
          <w:kern w:val="0"/>
          <w:lang w:eastAsia="en-IN"/>
          <w14:ligatures w14:val="none"/>
        </w:rPr>
        <w:footnoteReference w:id="3"/>
      </w:r>
      <w:r w:rsidRPr="00435425">
        <w:rPr>
          <w:rFonts w:ascii="Cormorant Garamond" w:eastAsia="Times New Roman" w:hAnsi="Cormorant Garamond"/>
          <w:kern w:val="0"/>
          <w:lang w:eastAsia="en-IN"/>
          <w14:ligatures w14:val="none"/>
        </w:rPr>
        <w:t xml:space="preserve"> The financial sector of the country is further expected to grow after the adoption of AI from 2022 to 2025.</w:t>
      </w:r>
      <w:r w:rsidRPr="00435425">
        <w:rPr>
          <w:rStyle w:val="FootnoteReference"/>
          <w:rFonts w:ascii="Cormorant Garamond" w:eastAsia="Times New Roman" w:hAnsi="Cormorant Garamond"/>
          <w:kern w:val="0"/>
          <w:lang w:eastAsia="en-IN"/>
          <w14:ligatures w14:val="none"/>
        </w:rPr>
        <w:footnoteReference w:id="4"/>
      </w:r>
      <w:r w:rsidRPr="00435425">
        <w:rPr>
          <w:rFonts w:ascii="Cormorant Garamond" w:eastAsia="Times New Roman" w:hAnsi="Cormorant Garamond"/>
          <w:kern w:val="0"/>
          <w:vertAlign w:val="superscript"/>
          <w:lang w:eastAsia="en-IN"/>
          <w14:ligatures w14:val="none"/>
        </w:rPr>
        <w:t xml:space="preserve"> </w:t>
      </w:r>
      <w:r w:rsidRPr="00435425">
        <w:rPr>
          <w:rFonts w:ascii="Cormorant Garamond" w:eastAsia="Times New Roman" w:hAnsi="Cormorant Garamond"/>
          <w:kern w:val="0"/>
          <w:lang w:eastAsia="en-IN"/>
          <w14:ligatures w14:val="none"/>
        </w:rPr>
        <w:t>The use of Artificial Intelligence (AI) in Indonesia can bring an overall change in the working environment of the banking and financial sector of the country.</w:t>
      </w:r>
    </w:p>
    <w:p w14:paraId="0599C8ED" w14:textId="77777777" w:rsidR="00F67660" w:rsidRPr="00435425" w:rsidRDefault="00F67660" w:rsidP="00456FED">
      <w:pPr>
        <w:spacing w:line="240" w:lineRule="auto"/>
        <w:jc w:val="both"/>
        <w:rPr>
          <w:rFonts w:ascii="Cormorant Garamond" w:eastAsia="Times New Roman" w:hAnsi="Cormorant Garamond"/>
          <w:kern w:val="0"/>
          <w:lang w:eastAsia="en-IN"/>
          <w14:ligatures w14:val="none"/>
        </w:rPr>
      </w:pPr>
      <w:r w:rsidRPr="00435425">
        <w:rPr>
          <w:rFonts w:ascii="Cormorant Garamond" w:eastAsia="Times New Roman" w:hAnsi="Cormorant Garamond"/>
          <w:kern w:val="0"/>
          <w:lang w:eastAsia="en-IN"/>
          <w14:ligatures w14:val="none"/>
        </w:rPr>
        <w:lastRenderedPageBreak/>
        <w:t>The use of AI in banking and financial sectors is not new. It has become the part of this sector with emergence of Information and Communication Technology (ICT). But this was mainly predictive in nature and helping the sector in automating the everyday job; whether it is the processing of transactions or compliance check. Over the years, this predictive nature of AI has been supplemented by the generative AI, and has made the presence of AI in banking and financial sectors in a better and more aggressive way. Now the AI is being used to perform both the decision-making and optimization task based on algorithmic, rule-based interactions as well as content creation on demand based on qualitative reasoning and orchestration of other system. This capability not only saves time and energy but also broadens the use cases from very specific applications with predictive AI to a wider range of applications with GenAI.</w:t>
      </w:r>
      <w:r w:rsidRPr="00435425">
        <w:rPr>
          <w:rStyle w:val="FootnoteReference"/>
          <w:rFonts w:ascii="Cormorant Garamond" w:eastAsia="Times New Roman" w:hAnsi="Cormorant Garamond"/>
          <w:kern w:val="0"/>
          <w:lang w:eastAsia="en-IN"/>
          <w14:ligatures w14:val="none"/>
        </w:rPr>
        <w:footnoteReference w:id="5"/>
      </w:r>
    </w:p>
    <w:p w14:paraId="77BDE929" w14:textId="7BCC257B" w:rsidR="00F67660" w:rsidRPr="00435425" w:rsidRDefault="00F67660" w:rsidP="00456FED">
      <w:pPr>
        <w:spacing w:line="240" w:lineRule="auto"/>
        <w:jc w:val="both"/>
        <w:rPr>
          <w:rFonts w:ascii="Cormorant Garamond" w:eastAsia="Times New Roman" w:hAnsi="Cormorant Garamond"/>
          <w:kern w:val="0"/>
          <w:lang w:eastAsia="en-IN"/>
          <w14:ligatures w14:val="none"/>
        </w:rPr>
      </w:pPr>
      <w:r w:rsidRPr="00435425">
        <w:rPr>
          <w:rFonts w:ascii="Cormorant Garamond" w:eastAsia="Times New Roman" w:hAnsi="Cormorant Garamond"/>
          <w:kern w:val="0"/>
          <w:lang w:eastAsia="en-IN"/>
          <w14:ligatures w14:val="none"/>
        </w:rPr>
        <w:t xml:space="preserve">The adoption of AI by banking sector is assumed to have great potential for the change in the composition of banking sector. The application of chatbots and virtual assistance, digital onboarding, </w:t>
      </w:r>
      <w:r w:rsidR="0081347A" w:rsidRPr="00435425">
        <w:rPr>
          <w:rFonts w:ascii="Cormorant Garamond" w:eastAsia="Times New Roman" w:hAnsi="Cormorant Garamond"/>
          <w:kern w:val="0"/>
          <w:lang w:eastAsia="en-IN"/>
          <w14:ligatures w14:val="none"/>
        </w:rPr>
        <w:t>personalized</w:t>
      </w:r>
      <w:r w:rsidRPr="00435425">
        <w:rPr>
          <w:rFonts w:ascii="Cormorant Garamond" w:eastAsia="Times New Roman" w:hAnsi="Cormorant Garamond"/>
          <w:kern w:val="0"/>
          <w:lang w:eastAsia="en-IN"/>
          <w14:ligatures w14:val="none"/>
        </w:rPr>
        <w:t xml:space="preserve"> marketing etc. have power to cater larger number of customers by small number of staffs and institutions. Those banks who will be unable to adopt this emerging technology may exit from the market or can merge in existing larger one. This may lead to a fall in the number of banks operating in the economy. Further AI can potentially boost productivity growth and potential output, leading to an increase in demand for capital and, subsequently, an increase in bank total assets.</w:t>
      </w:r>
    </w:p>
    <w:p w14:paraId="4BA6CB85" w14:textId="25DE1555" w:rsidR="00F67660" w:rsidRPr="00435425" w:rsidRDefault="00F67660" w:rsidP="00456FED">
      <w:pPr>
        <w:spacing w:line="240" w:lineRule="auto"/>
        <w:jc w:val="both"/>
        <w:rPr>
          <w:rFonts w:ascii="Cormorant Garamond" w:eastAsia="Times New Roman" w:hAnsi="Cormorant Garamond"/>
          <w:kern w:val="0"/>
          <w:lang w:eastAsia="en-IN"/>
          <w14:ligatures w14:val="none"/>
        </w:rPr>
      </w:pPr>
      <w:r w:rsidRPr="00435425">
        <w:rPr>
          <w:rFonts w:ascii="Cormorant Garamond" w:eastAsia="Times New Roman" w:hAnsi="Cormorant Garamond"/>
          <w:kern w:val="0"/>
          <w:lang w:eastAsia="en-IN"/>
          <w14:ligatures w14:val="none"/>
        </w:rPr>
        <w:t xml:space="preserve">As far as the impact of AI on asset concentration is concerned, it is multifaceted. If AI is being adopted and implemented by all existing banks in the same way and with same efficiency, asset concentration will be low. But if AI is implemented by some banks with high degree efficiency and </w:t>
      </w:r>
      <w:r w:rsidR="0081347A" w:rsidRPr="00435425">
        <w:rPr>
          <w:rFonts w:ascii="Cormorant Garamond" w:eastAsia="Times New Roman" w:hAnsi="Cormorant Garamond"/>
          <w:kern w:val="0"/>
          <w:lang w:eastAsia="en-IN"/>
          <w14:ligatures w14:val="none"/>
        </w:rPr>
        <w:t>utilization</w:t>
      </w:r>
      <w:r w:rsidRPr="00435425">
        <w:rPr>
          <w:rFonts w:ascii="Cormorant Garamond" w:eastAsia="Times New Roman" w:hAnsi="Cormorant Garamond"/>
          <w:kern w:val="0"/>
          <w:lang w:eastAsia="en-IN"/>
          <w14:ligatures w14:val="none"/>
        </w:rPr>
        <w:t>, the concentration of assets with few banks will be more. The economies of scale led by AI can also be one of the reasons for high bank’s assets concentration.</w:t>
      </w:r>
    </w:p>
    <w:p w14:paraId="58DA9072" w14:textId="77777777" w:rsidR="00F67660" w:rsidRPr="00435425" w:rsidRDefault="00F67660" w:rsidP="00456FED">
      <w:pPr>
        <w:spacing w:line="240" w:lineRule="auto"/>
        <w:jc w:val="both"/>
        <w:rPr>
          <w:rFonts w:ascii="Cormorant Garamond" w:eastAsia="Times New Roman" w:hAnsi="Cormorant Garamond"/>
          <w:kern w:val="0"/>
          <w:lang w:eastAsia="en-IN"/>
          <w14:ligatures w14:val="none"/>
        </w:rPr>
      </w:pPr>
      <w:r w:rsidRPr="00435425">
        <w:rPr>
          <w:rFonts w:ascii="Cormorant Garamond" w:eastAsia="Times New Roman" w:hAnsi="Cormorant Garamond"/>
          <w:kern w:val="0"/>
          <w:lang w:eastAsia="en-IN"/>
          <w14:ligatures w14:val="none"/>
        </w:rPr>
        <w:t>Adoption of AI is one time investment and thereafter only maintenance and improvement are required. AI can perform many tasks automatically without use of any labour force and other resources. While anticipating the impact of AI in reducing the cost, the survey of business leaders in Indonesia observed a 41 percent reduction in the cost.</w:t>
      </w:r>
      <w:r w:rsidRPr="00435425">
        <w:rPr>
          <w:rStyle w:val="FootnoteReference"/>
          <w:rFonts w:ascii="Cormorant Garamond" w:eastAsia="Times New Roman" w:hAnsi="Cormorant Garamond"/>
          <w:kern w:val="0"/>
          <w:lang w:eastAsia="en-IN"/>
          <w14:ligatures w14:val="none"/>
        </w:rPr>
        <w:footnoteReference w:id="6"/>
      </w:r>
      <w:r w:rsidRPr="00435425">
        <w:rPr>
          <w:rFonts w:ascii="Cormorant Garamond" w:eastAsia="Times New Roman" w:hAnsi="Cormorant Garamond"/>
          <w:kern w:val="0"/>
          <w:lang w:eastAsia="en-IN"/>
          <w14:ligatures w14:val="none"/>
        </w:rPr>
        <w:t xml:space="preserve"> The same is also expected to happen in banking sector of Indonesia. In addition to this, the increased use of AI may improve the operational efficiency of the banking sector and thereby can lower down the bank cost to income ratio in the country.</w:t>
      </w:r>
    </w:p>
    <w:p w14:paraId="53E44B2A" w14:textId="77777777" w:rsidR="00F67660" w:rsidRPr="00435425" w:rsidRDefault="00F67660" w:rsidP="00456FED">
      <w:pPr>
        <w:spacing w:line="240" w:lineRule="auto"/>
        <w:jc w:val="both"/>
        <w:rPr>
          <w:rFonts w:ascii="Cormorant Garamond" w:eastAsia="Times New Roman" w:hAnsi="Cormorant Garamond"/>
          <w:kern w:val="0"/>
          <w:lang w:eastAsia="en-IN"/>
          <w14:ligatures w14:val="none"/>
        </w:rPr>
      </w:pPr>
      <w:r w:rsidRPr="00435425">
        <w:rPr>
          <w:rFonts w:ascii="Cormorant Garamond" w:eastAsia="Times New Roman" w:hAnsi="Cormorant Garamond"/>
          <w:kern w:val="0"/>
          <w:lang w:eastAsia="en-IN"/>
          <w14:ligatures w14:val="none"/>
        </w:rPr>
        <w:t>The above-mentioned survey outlined the 5 purposes for the use of AI by banks to facilitate the customers. Most of the business leaders used AI to provide 24/7 customer support, followed by higher quality customer services, reduced waiting period for customers, lower cost to serve customers and improved rates for debt collection. This improvement in services to customers through AI may result in bank lending-deposit spread and can reduce the size of bank non-performing loans to gross loans in Indonesia.</w:t>
      </w:r>
    </w:p>
    <w:p w14:paraId="78247DB8" w14:textId="1B49C303" w:rsidR="00F67660" w:rsidRPr="00435425" w:rsidRDefault="00F67660" w:rsidP="00456FED">
      <w:pPr>
        <w:spacing w:line="240" w:lineRule="auto"/>
        <w:jc w:val="both"/>
        <w:rPr>
          <w:rFonts w:ascii="Cormorant Garamond" w:eastAsia="Times New Roman" w:hAnsi="Cormorant Garamond"/>
          <w:kern w:val="0"/>
          <w:lang w:eastAsia="en-IN"/>
          <w14:ligatures w14:val="none"/>
        </w:rPr>
      </w:pPr>
      <w:r w:rsidRPr="00435425">
        <w:rPr>
          <w:rFonts w:ascii="Cormorant Garamond" w:eastAsia="Times New Roman" w:hAnsi="Cormorant Garamond"/>
          <w:kern w:val="0"/>
          <w:lang w:eastAsia="en-IN"/>
          <w14:ligatures w14:val="none"/>
        </w:rPr>
        <w:t xml:space="preserve">The financial sector of an economy is composed of banks, Non-Banking Financial Institutions (NBFIs), Insurance, Pension Funds &amp; Mutual Funds. Each of these institutions are specialised in </w:t>
      </w:r>
      <w:r w:rsidRPr="00435425">
        <w:rPr>
          <w:rFonts w:ascii="Cormorant Garamond" w:eastAsia="Times New Roman" w:hAnsi="Cormorant Garamond"/>
          <w:kern w:val="0"/>
          <w:lang w:eastAsia="en-IN"/>
          <w14:ligatures w14:val="none"/>
        </w:rPr>
        <w:lastRenderedPageBreak/>
        <w:t xml:space="preserve">discharging different kind of financial services. The application of AI by these institutions can make them more focussed and precise and creates space for each of them which was otherwise served by banks in traditional form. Under these circumstances, it is quite possible that the some of the space of traditional banks can be taken away by the other participants of the financial sector. Because of very specialised products by NBFIs for a selected group of people, the growth of funds with them is expected to rise faster than the banks. In addition to this AI can empower the other institutions like insurance companies, pensions funds, mutual funds etc. to create confidence and have better access to people to attract more savings as compared to non-institutional sources like saving clubs in Indonesia because they are part of an </w:t>
      </w:r>
      <w:r w:rsidR="0081347A" w:rsidRPr="00435425">
        <w:rPr>
          <w:rFonts w:ascii="Cormorant Garamond" w:eastAsia="Times New Roman" w:hAnsi="Cormorant Garamond"/>
          <w:kern w:val="0"/>
          <w:lang w:eastAsia="en-IN"/>
          <w14:ligatures w14:val="none"/>
        </w:rPr>
        <w:t>institutionalized</w:t>
      </w:r>
      <w:r w:rsidRPr="00435425">
        <w:rPr>
          <w:rFonts w:ascii="Cormorant Garamond" w:eastAsia="Times New Roman" w:hAnsi="Cormorant Garamond"/>
          <w:kern w:val="0"/>
          <w:lang w:eastAsia="en-IN"/>
          <w14:ligatures w14:val="none"/>
        </w:rPr>
        <w:t xml:space="preserve"> system.</w:t>
      </w:r>
    </w:p>
    <w:p w14:paraId="3C2824E9" w14:textId="77777777" w:rsidR="000F253F" w:rsidRPr="00435425" w:rsidRDefault="000F253F" w:rsidP="00456FED">
      <w:pPr>
        <w:spacing w:line="240" w:lineRule="auto"/>
        <w:jc w:val="both"/>
        <w:rPr>
          <w:rFonts w:ascii="Cormorant Garamond" w:eastAsia="Times New Roman" w:hAnsi="Cormorant Garamond"/>
          <w:kern w:val="0"/>
          <w:lang w:eastAsia="en-IN"/>
          <w14:ligatures w14:val="none"/>
        </w:rPr>
      </w:pPr>
      <w:r w:rsidRPr="00435425">
        <w:rPr>
          <w:rFonts w:ascii="Cormorant Garamond" w:eastAsia="Times New Roman" w:hAnsi="Cormorant Garamond"/>
          <w:kern w:val="0"/>
          <w:lang w:eastAsia="en-IN"/>
          <w14:ligatures w14:val="none"/>
        </w:rPr>
        <w:t>The most significant anticipated benefit of GenAI is the improvement of operational efficiency, such as the automation of basic tasks.</w:t>
      </w:r>
      <w:r w:rsidRPr="00435425">
        <w:rPr>
          <w:rStyle w:val="FootnoteReference"/>
          <w:rFonts w:ascii="Cormorant Garamond" w:eastAsia="Times New Roman" w:hAnsi="Cormorant Garamond"/>
          <w:kern w:val="0"/>
          <w:lang w:eastAsia="en-IN"/>
          <w14:ligatures w14:val="none"/>
        </w:rPr>
        <w:footnoteReference w:id="7"/>
      </w:r>
      <w:r w:rsidRPr="00435425">
        <w:rPr>
          <w:rFonts w:ascii="Cormorant Garamond" w:eastAsia="Times New Roman" w:hAnsi="Cormorant Garamond"/>
          <w:kern w:val="0"/>
          <w:lang w:eastAsia="en-IN"/>
          <w14:ligatures w14:val="none"/>
        </w:rPr>
        <w:t xml:space="preserve"> The other benefits of AI as marked by report on ‘Harnessing the Power of (Gen)AI in Indonesian Financial Services’</w:t>
      </w:r>
      <w:r w:rsidRPr="00435425">
        <w:rPr>
          <w:rStyle w:val="FootnoteReference"/>
          <w:rFonts w:ascii="Cormorant Garamond" w:eastAsia="Times New Roman" w:hAnsi="Cormorant Garamond"/>
          <w:kern w:val="0"/>
          <w:lang w:eastAsia="en-IN"/>
          <w14:ligatures w14:val="none"/>
        </w:rPr>
        <w:footnoteReference w:id="8"/>
      </w:r>
      <w:r w:rsidRPr="00435425">
        <w:rPr>
          <w:rFonts w:ascii="Cormorant Garamond" w:eastAsia="Times New Roman" w:hAnsi="Cormorant Garamond"/>
          <w:kern w:val="0"/>
          <w:lang w:eastAsia="en-IN"/>
          <w14:ligatures w14:val="none"/>
        </w:rPr>
        <w:t xml:space="preserve"> are enhanced customer experience, product innovation, improved employee productivity, cost reduction and advanced risk management. These all added benefits of AI can bring higher return on assets and equity of the financial sector. Similarly, by virtue of having greater access to public through different AI tools, Indonesia is expected to realise the goal of financial inclusion by registering improvement in having account at formal financial institution.</w:t>
      </w:r>
    </w:p>
    <w:p w14:paraId="6B1CE299" w14:textId="77777777" w:rsidR="000F253F" w:rsidRPr="00435425" w:rsidRDefault="000F253F" w:rsidP="00456FED">
      <w:pPr>
        <w:spacing w:line="240" w:lineRule="auto"/>
        <w:jc w:val="both"/>
        <w:rPr>
          <w:rFonts w:ascii="Cormorant Garamond" w:eastAsia="Times New Roman" w:hAnsi="Cormorant Garamond"/>
          <w:kern w:val="0"/>
          <w:lang w:eastAsia="en-IN"/>
          <w14:ligatures w14:val="none"/>
        </w:rPr>
      </w:pPr>
      <w:r w:rsidRPr="00435425">
        <w:rPr>
          <w:rFonts w:ascii="Cormorant Garamond" w:eastAsia="Times New Roman" w:hAnsi="Cormorant Garamond"/>
          <w:kern w:val="0"/>
          <w:lang w:eastAsia="en-IN"/>
          <w14:ligatures w14:val="none"/>
        </w:rPr>
        <w:t xml:space="preserve">In this paper, an attempt has been made to evaluate all these impacts of AI on the banking and financial sector of Indonesia. For this purpose, data has been collected for above mentioned variables from many sources like </w:t>
      </w:r>
      <w:r w:rsidRPr="00435425">
        <w:rPr>
          <w:rFonts w:ascii="Cormorant Garamond" w:hAnsi="Cormorant Garamond"/>
        </w:rPr>
        <w:t>the World Bank, CEIC Data (Centre for Economics and Business Research), Bank for International Settlements (BIS), Otoritas Jasa Keuangan (Financial Services Authority of Indonesia), Statistics Bank Indonesia (BI), and the International Monetary Fund (IMF)</w:t>
      </w:r>
      <w:r w:rsidRPr="00435425">
        <w:rPr>
          <w:rFonts w:ascii="Cormorant Garamond" w:eastAsia="Times New Roman" w:hAnsi="Cormorant Garamond"/>
          <w:kern w:val="0"/>
          <w:lang w:eastAsia="en-IN"/>
          <w14:ligatures w14:val="none"/>
        </w:rPr>
        <w:t>. For understanding the impact of AI on the performance of the banking and financial sector, the available data has been divided into two periods; one the period earlier to the introduction of AI in Indonesia and the other after the introduction of AI. In Indonesia, AI was introduced in 2019</w:t>
      </w:r>
      <w:r w:rsidRPr="00435425">
        <w:rPr>
          <w:rStyle w:val="FootnoteReference"/>
          <w:rFonts w:ascii="Cormorant Garamond" w:eastAsia="Times New Roman" w:hAnsi="Cormorant Garamond"/>
          <w:kern w:val="0"/>
          <w:lang w:eastAsia="en-IN"/>
          <w14:ligatures w14:val="none"/>
        </w:rPr>
        <w:footnoteReference w:id="9"/>
      </w:r>
      <w:r w:rsidRPr="00435425">
        <w:rPr>
          <w:rFonts w:ascii="Cormorant Garamond" w:eastAsia="Times New Roman" w:hAnsi="Cormorant Garamond"/>
          <w:kern w:val="0"/>
          <w:lang w:eastAsia="en-IN"/>
          <w14:ligatures w14:val="none"/>
        </w:rPr>
        <w:t xml:space="preserve"> and hence the period before 2019 is considered as pre-AI introduction period and the period since 2019 is considered as post AI period.</w:t>
      </w:r>
    </w:p>
    <w:p w14:paraId="4E2DED42" w14:textId="77777777" w:rsidR="000F253F" w:rsidRPr="00435425" w:rsidRDefault="000F253F" w:rsidP="00456FED">
      <w:pPr>
        <w:spacing w:line="240" w:lineRule="auto"/>
        <w:jc w:val="both"/>
        <w:rPr>
          <w:rFonts w:ascii="Cormorant Garamond" w:hAnsi="Cormorant Garamond"/>
          <w:b/>
          <w:bCs/>
        </w:rPr>
      </w:pPr>
      <w:r w:rsidRPr="00435425">
        <w:rPr>
          <w:rFonts w:ascii="Cormorant Garamond" w:hAnsi="Cormorant Garamond"/>
          <w:b/>
          <w:bCs/>
        </w:rPr>
        <w:t>II. LITERATURE REVIEW</w:t>
      </w:r>
      <w:r w:rsidRPr="00435425">
        <w:rPr>
          <w:rFonts w:ascii="Cormorant Garamond" w:hAnsi="Cormorant Garamond"/>
          <w:b/>
          <w:bCs/>
        </w:rPr>
        <w:tab/>
      </w:r>
    </w:p>
    <w:p w14:paraId="52F3E98C" w14:textId="77777777" w:rsidR="000F253F" w:rsidRPr="00435425" w:rsidRDefault="000F253F" w:rsidP="00456FED">
      <w:pPr>
        <w:spacing w:line="240" w:lineRule="auto"/>
        <w:jc w:val="both"/>
        <w:rPr>
          <w:rFonts w:ascii="Cormorant Garamond" w:hAnsi="Cormorant Garamond"/>
        </w:rPr>
      </w:pPr>
      <w:r w:rsidRPr="00435425">
        <w:rPr>
          <w:rFonts w:ascii="Cormorant Garamond" w:hAnsi="Cormorant Garamond"/>
        </w:rPr>
        <w:t>The adoption of Artificial Intelligence (AI) has transformed the financial sector, reshaping banking operations, risk management, and financial inclusion on a global scale.</w:t>
      </w:r>
      <w:r w:rsidRPr="00435425">
        <w:rPr>
          <w:rStyle w:val="FootnoteReference"/>
          <w:rFonts w:ascii="Cormorant Garamond" w:hAnsi="Cormorant Garamond"/>
        </w:rPr>
        <w:footnoteReference w:id="10"/>
      </w:r>
      <w:r w:rsidRPr="00435425">
        <w:rPr>
          <w:rFonts w:ascii="Cormorant Garamond" w:hAnsi="Cormorant Garamond"/>
        </w:rPr>
        <w:t xml:space="preserve"> In Indonesia, the implementation of AI mirrors international trends, with technologies such as machine learning and predictive analytics enhancing decision-making and operational efficiency.</w:t>
      </w:r>
    </w:p>
    <w:p w14:paraId="72538143" w14:textId="77777777" w:rsidR="000F253F" w:rsidRPr="00435425" w:rsidRDefault="000F253F" w:rsidP="00456FED">
      <w:pPr>
        <w:spacing w:line="240" w:lineRule="auto"/>
        <w:jc w:val="both"/>
        <w:rPr>
          <w:rFonts w:ascii="Cormorant Garamond" w:hAnsi="Cormorant Garamond"/>
        </w:rPr>
      </w:pPr>
      <w:r w:rsidRPr="00435425">
        <w:rPr>
          <w:rFonts w:ascii="Cormorant Garamond" w:hAnsi="Cormorant Garamond"/>
        </w:rPr>
        <w:t>AI has redefined how financial institutions operate, enabling streamlined processes and increased effectiveness.</w:t>
      </w:r>
      <w:r w:rsidRPr="00435425">
        <w:rPr>
          <w:rStyle w:val="FootnoteReference"/>
          <w:rFonts w:ascii="Cormorant Garamond" w:hAnsi="Cormorant Garamond"/>
        </w:rPr>
        <w:footnoteReference w:id="11"/>
      </w:r>
      <w:r w:rsidRPr="00435425">
        <w:rPr>
          <w:rFonts w:ascii="Cormorant Garamond" w:hAnsi="Cormorant Garamond"/>
        </w:rPr>
        <w:t xml:space="preserve"> Indonesian banks have embraced AI to improve customer experiences, manage </w:t>
      </w:r>
      <w:r w:rsidRPr="00435425">
        <w:rPr>
          <w:rFonts w:ascii="Cormorant Garamond" w:hAnsi="Cormorant Garamond"/>
        </w:rPr>
        <w:lastRenderedPageBreak/>
        <w:t>risks more effectively, and optimize operations.</w:t>
      </w:r>
      <w:r w:rsidRPr="00435425">
        <w:rPr>
          <w:rStyle w:val="FootnoteReference"/>
          <w:rFonts w:ascii="Cormorant Garamond" w:hAnsi="Cormorant Garamond"/>
        </w:rPr>
        <w:footnoteReference w:id="12"/>
      </w:r>
      <w:r w:rsidRPr="00435425">
        <w:rPr>
          <w:rFonts w:ascii="Cormorant Garamond" w:hAnsi="Cormorant Garamond"/>
        </w:rPr>
        <w:t xml:space="preserve"> For example, AI-driven systems have enhanced credit risk assessment, reduced default probabilities and boosting portfolio performance.</w:t>
      </w:r>
      <w:r w:rsidRPr="00435425">
        <w:rPr>
          <w:rStyle w:val="FootnoteReference"/>
          <w:rFonts w:ascii="Cormorant Garamond" w:hAnsi="Cormorant Garamond"/>
        </w:rPr>
        <w:footnoteReference w:id="13"/>
      </w:r>
      <w:r w:rsidRPr="00435425">
        <w:rPr>
          <w:rFonts w:ascii="Cormorant Garamond" w:hAnsi="Cormorant Garamond"/>
        </w:rPr>
        <w:t xml:space="preserve"> In</w:t>
      </w:r>
      <w:r>
        <w:rPr>
          <w:rFonts w:ascii="Cormorant Garamond" w:hAnsi="Cormorant Garamond"/>
        </w:rPr>
        <w:t xml:space="preserve"> </w:t>
      </w:r>
      <w:r w:rsidRPr="00435425">
        <w:rPr>
          <w:rFonts w:ascii="Cormorant Garamond" w:hAnsi="Cormorant Garamond"/>
        </w:rPr>
        <w:t>parallel, AI-powered chatbots have provided 24/7 customer service, increasing satisfaction by addressing queries promptly.</w:t>
      </w:r>
      <w:r w:rsidRPr="00435425">
        <w:rPr>
          <w:rStyle w:val="FootnoteReference"/>
          <w:rFonts w:ascii="Cormorant Garamond" w:hAnsi="Cormorant Garamond"/>
        </w:rPr>
        <w:footnoteReference w:id="14"/>
      </w:r>
      <w:r w:rsidRPr="00435425">
        <w:rPr>
          <w:rFonts w:ascii="Cormorant Garamond" w:hAnsi="Cormorant Garamond"/>
        </w:rPr>
        <w:t xml:space="preserve"> Beyond operational improvements, AI has enhanced the ability of financial institutions to identify and mitigate risks. AI-powered systems play a critical role in detecting and preventing financial crimes like money laundering and terrorism financing.</w:t>
      </w:r>
      <w:r w:rsidRPr="00435425">
        <w:rPr>
          <w:rStyle w:val="FootnoteReference"/>
          <w:rFonts w:ascii="Cormorant Garamond" w:hAnsi="Cormorant Garamond"/>
        </w:rPr>
        <w:footnoteReference w:id="15"/>
      </w:r>
      <w:r w:rsidRPr="00435425">
        <w:rPr>
          <w:rFonts w:ascii="Cormorant Garamond" w:hAnsi="Cormorant Garamond"/>
        </w:rPr>
        <w:t xml:space="preserve"> Additionally, AI supports regulatory compliance by identifying potential risks of noncompliance and ensuring adherence to complex legal frameworks.</w:t>
      </w:r>
      <w:r w:rsidRPr="00435425">
        <w:rPr>
          <w:rStyle w:val="FootnoteReference"/>
          <w:rFonts w:ascii="Cormorant Garamond" w:hAnsi="Cormorant Garamond"/>
        </w:rPr>
        <w:footnoteReference w:id="16"/>
      </w:r>
      <w:r w:rsidRPr="00435425">
        <w:rPr>
          <w:rFonts w:ascii="Cormorant Garamond" w:hAnsi="Cormorant Garamond"/>
        </w:rPr>
        <w:t xml:space="preserve"> These advancements not only safeguard institutions but also enhance their financial management capabilities, including accurate forecasting and reporting.</w:t>
      </w:r>
      <w:r w:rsidRPr="00435425">
        <w:rPr>
          <w:rStyle w:val="FootnoteReference"/>
          <w:rFonts w:ascii="Cormorant Garamond" w:hAnsi="Cormorant Garamond"/>
        </w:rPr>
        <w:footnoteReference w:id="17"/>
      </w:r>
      <w:r w:rsidRPr="00435425">
        <w:rPr>
          <w:rFonts w:ascii="Cormorant Garamond" w:hAnsi="Cormorant Garamond"/>
        </w:rPr>
        <w:t xml:space="preserve"> Moreover, the impact of AI in Indonesia is not limited to banking and insurance sector but it also improves risk assessment and policy pricing, offering a more precise evaluation of customer needs.</w:t>
      </w:r>
      <w:r w:rsidRPr="00435425">
        <w:rPr>
          <w:rStyle w:val="FootnoteReference"/>
          <w:rFonts w:ascii="Cormorant Garamond" w:hAnsi="Cormorant Garamond"/>
        </w:rPr>
        <w:footnoteReference w:id="18"/>
      </w:r>
      <w:r w:rsidRPr="00435425">
        <w:rPr>
          <w:rFonts w:ascii="Cormorant Garamond" w:hAnsi="Cormorant Garamond"/>
        </w:rPr>
        <w:t xml:space="preserve"> Similarly, AI adoption in financial markets increases trading efficiency while reducing operational costs, fostering a more competitive environment.</w:t>
      </w:r>
      <w:r w:rsidRPr="00435425">
        <w:rPr>
          <w:rStyle w:val="FootnoteReference"/>
          <w:rFonts w:ascii="Cormorant Garamond" w:hAnsi="Cormorant Garamond"/>
        </w:rPr>
        <w:footnoteReference w:id="19"/>
      </w:r>
    </w:p>
    <w:p w14:paraId="0892ECA4" w14:textId="77777777" w:rsidR="000F253F" w:rsidRPr="00435425" w:rsidRDefault="000F253F" w:rsidP="00456FED">
      <w:pPr>
        <w:spacing w:line="240" w:lineRule="auto"/>
        <w:jc w:val="both"/>
        <w:rPr>
          <w:rFonts w:ascii="Cormorant Garamond" w:hAnsi="Cormorant Garamond"/>
        </w:rPr>
      </w:pPr>
      <w:r w:rsidRPr="00435425">
        <w:rPr>
          <w:rFonts w:ascii="Cormorant Garamond" w:hAnsi="Cormorant Garamond"/>
        </w:rPr>
        <w:t>However, the adoption of AI comes with significant challenges. Concerns over data privacy and security have grown, as financial institutions must handle sensitive information with greater care.</w:t>
      </w:r>
      <w:r w:rsidRPr="00435425">
        <w:rPr>
          <w:rStyle w:val="FootnoteReference"/>
          <w:rFonts w:ascii="Cormorant Garamond" w:hAnsi="Cormorant Garamond"/>
        </w:rPr>
        <w:footnoteReference w:id="20"/>
      </w:r>
      <w:r w:rsidRPr="00435425">
        <w:rPr>
          <w:rFonts w:ascii="Cormorant Garamond" w:hAnsi="Cormorant Garamond"/>
        </w:rPr>
        <w:t xml:space="preserve"> Moreover, the automation facilitated by AI raises the risk of job displacement, particularly in roles traditionally reliant on manual tasks.</w:t>
      </w:r>
      <w:r w:rsidRPr="00435425">
        <w:rPr>
          <w:rStyle w:val="FootnoteReference"/>
          <w:rFonts w:ascii="Cormorant Garamond" w:hAnsi="Cormorant Garamond"/>
        </w:rPr>
        <w:footnoteReference w:id="21"/>
      </w:r>
      <w:r w:rsidRPr="00435425">
        <w:rPr>
          <w:rFonts w:ascii="Cormorant Garamond" w:hAnsi="Cormorant Garamond"/>
        </w:rPr>
        <w:t xml:space="preserve"> Despite these concerns, the advantages of AI—such as improved efficiency, cost reduction, and enhanced customer satisfaction are clear.</w:t>
      </w:r>
      <w:r w:rsidRPr="00435425">
        <w:rPr>
          <w:rStyle w:val="FootnoteReference"/>
          <w:rFonts w:ascii="Cormorant Garamond" w:hAnsi="Cormorant Garamond"/>
        </w:rPr>
        <w:footnoteReference w:id="22"/>
      </w:r>
      <w:r w:rsidRPr="00435425">
        <w:rPr>
          <w:rFonts w:ascii="Cormorant Garamond" w:hAnsi="Cormorant Garamond"/>
        </w:rPr>
        <w:t xml:space="preserve"> Customer engagement has also been revolutionized by AI in Indonesia. Financial institutions now use AI-driven chatbots to deliver round-the-clock customer service, significantly improving </w:t>
      </w:r>
      <w:r w:rsidRPr="00435425">
        <w:rPr>
          <w:rFonts w:ascii="Cormorant Garamond" w:hAnsi="Cormorant Garamond"/>
        </w:rPr>
        <w:lastRenderedPageBreak/>
        <w:t>client satisfaction.</w:t>
      </w:r>
      <w:r w:rsidRPr="00435425">
        <w:rPr>
          <w:rStyle w:val="FootnoteReference"/>
          <w:rFonts w:ascii="Cormorant Garamond" w:hAnsi="Cormorant Garamond"/>
        </w:rPr>
        <w:footnoteReference w:id="23"/>
      </w:r>
      <w:r w:rsidRPr="00435425">
        <w:rPr>
          <w:rFonts w:ascii="Cormorant Garamond" w:hAnsi="Cormorant Garamond"/>
        </w:rPr>
        <w:t xml:space="preserve"> These tools foster stronger relationships by building customer trust and enhancing loyalty.</w:t>
      </w:r>
      <w:r w:rsidRPr="00435425">
        <w:rPr>
          <w:rStyle w:val="FootnoteReference"/>
          <w:rFonts w:ascii="Cormorant Garamond" w:hAnsi="Cormorant Garamond"/>
        </w:rPr>
        <w:footnoteReference w:id="24"/>
      </w:r>
      <w:r w:rsidRPr="00435425">
        <w:rPr>
          <w:rFonts w:ascii="Cormorant Garamond" w:hAnsi="Cormorant Garamond"/>
        </w:rPr>
        <w:t xml:space="preserve"> As the demand for digital services continues to rise, AI-driven innovations will likely play an increasingly central role in shaping customer experiences. The future of AI in Indonesia’s financial sector looks bright. Its ability to enhance efficiency, lower costs, and improve client interactions presents substantial opportunities for growth and innovation. Despite existing challenges, Indonesian financial institutions are ready to harness AI, paving the way for long-term progress.</w:t>
      </w:r>
    </w:p>
    <w:p w14:paraId="078D0874" w14:textId="77777777" w:rsidR="000F253F" w:rsidRDefault="000F253F" w:rsidP="00456FED">
      <w:pPr>
        <w:spacing w:line="240" w:lineRule="auto"/>
        <w:jc w:val="both"/>
        <w:rPr>
          <w:rFonts w:ascii="Cormorant Garamond" w:hAnsi="Cormorant Garamond"/>
        </w:rPr>
      </w:pPr>
      <w:r w:rsidRPr="00435425">
        <w:rPr>
          <w:rFonts w:ascii="Cormorant Garamond" w:hAnsi="Cormorant Garamond"/>
        </w:rPr>
        <w:t>Overall, the literature highlighted the role of AI in improving efficiency, reducing costs, and enhancing customer experiences in finance. However, significant gaps exist in understanding the long-term economic effects of AI on Indonesia's financial and banking sectors and its impact on financial inclusion. Therefore, the present study aims to evaluate the impact and implications of AI on these sectors in Indonesia.</w:t>
      </w:r>
    </w:p>
    <w:p w14:paraId="47F3210C" w14:textId="31809F39" w:rsidR="007E4BCE" w:rsidRPr="00435425" w:rsidRDefault="007E4BCE" w:rsidP="007E4BCE">
      <w:pPr>
        <w:spacing w:line="240" w:lineRule="auto"/>
        <w:jc w:val="both"/>
        <w:rPr>
          <w:rFonts w:ascii="Cormorant Garamond" w:hAnsi="Cormorant Garamond"/>
          <w:b/>
          <w:bCs/>
          <w:sz w:val="28"/>
          <w:szCs w:val="28"/>
        </w:rPr>
      </w:pPr>
      <w:r w:rsidRPr="00435425">
        <w:rPr>
          <w:rFonts w:ascii="Cormorant Garamond" w:hAnsi="Cormorant Garamond"/>
          <w:b/>
          <w:bCs/>
          <w:sz w:val="28"/>
          <w:szCs w:val="28"/>
        </w:rPr>
        <w:t>I</w:t>
      </w:r>
      <w:r>
        <w:rPr>
          <w:rFonts w:ascii="Cormorant Garamond" w:hAnsi="Cormorant Garamond"/>
          <w:b/>
          <w:bCs/>
          <w:sz w:val="28"/>
          <w:szCs w:val="28"/>
        </w:rPr>
        <w:t>II</w:t>
      </w:r>
      <w:r w:rsidRPr="00435425">
        <w:rPr>
          <w:rFonts w:ascii="Cormorant Garamond" w:hAnsi="Cormorant Garamond"/>
          <w:b/>
          <w:bCs/>
          <w:sz w:val="28"/>
          <w:szCs w:val="28"/>
        </w:rPr>
        <w:t xml:space="preserve">. </w:t>
      </w:r>
      <w:r w:rsidRPr="007E4BCE">
        <w:rPr>
          <w:rFonts w:ascii="Cormorant Garamond" w:hAnsi="Cormorant Garamond"/>
          <w:b/>
          <w:bCs/>
          <w:sz w:val="28"/>
          <w:szCs w:val="28"/>
        </w:rPr>
        <w:t>DATA AND METHODOLOGY</w:t>
      </w:r>
    </w:p>
    <w:p w14:paraId="71987081" w14:textId="77CB1545" w:rsidR="007E4BCE" w:rsidRDefault="00A13FA2" w:rsidP="00A13FA2">
      <w:pPr>
        <w:spacing w:line="240" w:lineRule="auto"/>
        <w:jc w:val="both"/>
        <w:rPr>
          <w:rFonts w:ascii="Cormorant Garamond" w:hAnsi="Cormorant Garamond"/>
        </w:rPr>
      </w:pPr>
      <w:r w:rsidRPr="00A13FA2">
        <w:rPr>
          <w:rFonts w:ascii="Cormorant Garamond" w:hAnsi="Cormorant Garamond"/>
        </w:rPr>
        <w:t>This study employs a comparative empirical analysis to assess the impact of Artificial Intelligence (AI) on Indonesia's banking and financial sectors. The research is based on secondary data collected from authoritative sources including the World Bank Global Findex database, CEIC Data, Bank for International Settlements (BIS), Otoritas Jasa Keuangan (Financial Services Authority of Indonesia), and the International Monetary Fund (IMF).</w:t>
      </w:r>
      <w:r>
        <w:rPr>
          <w:rFonts w:ascii="Cormorant Garamond" w:hAnsi="Cormorant Garamond"/>
        </w:rPr>
        <w:t xml:space="preserve"> </w:t>
      </w:r>
    </w:p>
    <w:p w14:paraId="5467E312" w14:textId="77777777" w:rsidR="00A13FA2" w:rsidRPr="00A13FA2" w:rsidRDefault="00A13FA2" w:rsidP="00A13FA2">
      <w:pPr>
        <w:spacing w:line="240" w:lineRule="auto"/>
        <w:jc w:val="both"/>
        <w:rPr>
          <w:rFonts w:ascii="Cormorant Garamond" w:hAnsi="Cormorant Garamond"/>
          <w:lang w:val="en-IN"/>
        </w:rPr>
      </w:pPr>
      <w:r w:rsidRPr="00A13FA2">
        <w:rPr>
          <w:rFonts w:ascii="Cormorant Garamond" w:hAnsi="Cormorant Garamond"/>
          <w:lang w:val="en-IN"/>
        </w:rPr>
        <w:t>The pre-AI period (2002–2018) and the post-AI period (2019–2023) are the two separate time periods into which the data is divided in the analysis. Based on Wadipalapa et al. (2024), who identify 2019 as the start of the formal application of AI policy in Indonesia's financial sector, this year is chosen as the demarcation point. A clear comparison of sectoral performance prior to and following the broad deployment of AI technologies is made possible by this periodization.</w:t>
      </w:r>
    </w:p>
    <w:p w14:paraId="0CAF9BA8" w14:textId="4267B5B9" w:rsidR="007E4BCE" w:rsidRPr="00A13FA2" w:rsidRDefault="00A13FA2" w:rsidP="00A13FA2">
      <w:pPr>
        <w:spacing w:line="240" w:lineRule="auto"/>
        <w:jc w:val="both"/>
        <w:rPr>
          <w:rFonts w:ascii="Cormorant Garamond" w:hAnsi="Cormorant Garamond"/>
          <w:lang w:val="en-IN"/>
        </w:rPr>
      </w:pPr>
      <w:r w:rsidRPr="00A13FA2">
        <w:rPr>
          <w:rFonts w:ascii="Cormorant Garamond" w:hAnsi="Cormorant Garamond"/>
          <w:lang w:val="en-IN"/>
        </w:rPr>
        <w:t>The number of commercial banks, total assets and growth rates, 5-bank asset concentration, overhead costs to total assets, cost-to-income ratio, lending-deposit spread, non-performing loans to gross loans, return on equity (ROE), return on assets (ROA), and financial inclusion metrics are just a few of the performance indicators that are examined in this study. Although the analysis finds patterns and correlations between AI use and these metrics, it also admits that other factors, such the COVID-19 epidemic and world economic conditions, might have had an impact on these results at the same time.</w:t>
      </w:r>
    </w:p>
    <w:p w14:paraId="4889F872" w14:textId="200C6C7E" w:rsidR="000F253F" w:rsidRPr="00435425" w:rsidRDefault="000F253F" w:rsidP="00456FED">
      <w:pPr>
        <w:spacing w:line="240" w:lineRule="auto"/>
        <w:jc w:val="both"/>
        <w:rPr>
          <w:rFonts w:ascii="Cormorant Garamond" w:hAnsi="Cormorant Garamond"/>
          <w:b/>
          <w:bCs/>
          <w:sz w:val="28"/>
          <w:szCs w:val="28"/>
        </w:rPr>
      </w:pPr>
      <w:r w:rsidRPr="00435425">
        <w:rPr>
          <w:rFonts w:ascii="Cormorant Garamond" w:hAnsi="Cormorant Garamond"/>
          <w:b/>
          <w:bCs/>
          <w:sz w:val="28"/>
          <w:szCs w:val="28"/>
        </w:rPr>
        <w:t>I</w:t>
      </w:r>
      <w:r w:rsidR="007E4BCE">
        <w:rPr>
          <w:rFonts w:ascii="Cormorant Garamond" w:hAnsi="Cormorant Garamond"/>
          <w:b/>
          <w:bCs/>
          <w:sz w:val="28"/>
          <w:szCs w:val="28"/>
        </w:rPr>
        <w:t>V</w:t>
      </w:r>
      <w:r w:rsidRPr="00435425">
        <w:rPr>
          <w:rFonts w:ascii="Cormorant Garamond" w:hAnsi="Cormorant Garamond"/>
          <w:b/>
          <w:bCs/>
          <w:sz w:val="28"/>
          <w:szCs w:val="28"/>
        </w:rPr>
        <w:t>. HOW ARTIFICIAL INTELLIGENCE IS RESHAPING INDONESIA’S FINANCIAL AND BANKING LANDSCAPE</w:t>
      </w:r>
    </w:p>
    <w:p w14:paraId="700D10FE" w14:textId="77777777" w:rsidR="000F253F" w:rsidRPr="00435425" w:rsidRDefault="000F253F" w:rsidP="00456FED">
      <w:pPr>
        <w:spacing w:line="240" w:lineRule="auto"/>
        <w:jc w:val="both"/>
        <w:rPr>
          <w:rFonts w:ascii="Cormorant Garamond" w:hAnsi="Cormorant Garamond"/>
        </w:rPr>
      </w:pPr>
      <w:r w:rsidRPr="00435425">
        <w:rPr>
          <w:rFonts w:ascii="Cormorant Garamond" w:hAnsi="Cormorant Garamond"/>
        </w:rPr>
        <w:t>The findings of this study shed light on Artificial Intelligence's influence on Indonesia's banking and financial sectors during the last two decades. By studying data patterns, we can see how AI has impacted major parts of the industry, such as commercial bank composition, financial inclusion, asset concentration, and operational efficiency.</w:t>
      </w:r>
    </w:p>
    <w:p w14:paraId="4051C979" w14:textId="2FEB2BD8" w:rsidR="000F253F" w:rsidRPr="00435425" w:rsidRDefault="007E4BCE" w:rsidP="00456FED">
      <w:pPr>
        <w:spacing w:line="240" w:lineRule="auto"/>
        <w:jc w:val="both"/>
        <w:rPr>
          <w:rFonts w:ascii="Cormorant Garamond" w:hAnsi="Cormorant Garamond"/>
        </w:rPr>
      </w:pPr>
      <w:r w:rsidRPr="00435425">
        <w:rPr>
          <w:rFonts w:ascii="Cormorant Garamond" w:hAnsi="Cormorant Garamond"/>
          <w:b/>
          <w:bCs/>
          <w:sz w:val="28"/>
          <w:szCs w:val="28"/>
        </w:rPr>
        <w:lastRenderedPageBreak/>
        <w:t>I</w:t>
      </w:r>
      <w:r>
        <w:rPr>
          <w:rFonts w:ascii="Cormorant Garamond" w:hAnsi="Cormorant Garamond"/>
          <w:b/>
          <w:bCs/>
          <w:sz w:val="28"/>
          <w:szCs w:val="28"/>
        </w:rPr>
        <w:t>V</w:t>
      </w:r>
      <w:r w:rsidR="000F253F" w:rsidRPr="00435425">
        <w:rPr>
          <w:rFonts w:ascii="Cormorant Garamond" w:eastAsia="Times New Roman" w:hAnsi="Cormorant Garamond"/>
          <w:b/>
          <w:bCs/>
          <w:kern w:val="0"/>
          <w:sz w:val="28"/>
          <w:szCs w:val="28"/>
          <w14:ligatures w14:val="none"/>
        </w:rPr>
        <w:t xml:space="preserve">.A. IMPACT OF AI ON THE COMPOSITION OF COMMERCIAL BANKS </w:t>
      </w:r>
    </w:p>
    <w:p w14:paraId="1CAB01B3" w14:textId="77777777" w:rsidR="000F253F" w:rsidRPr="00435425" w:rsidRDefault="000F253F" w:rsidP="00456FED">
      <w:pPr>
        <w:spacing w:line="240" w:lineRule="auto"/>
        <w:jc w:val="both"/>
        <w:rPr>
          <w:rFonts w:ascii="Cormorant Garamond" w:eastAsia="Calibri" w:hAnsi="Cormorant Garamond"/>
        </w:rPr>
      </w:pPr>
      <w:r w:rsidRPr="00435425">
        <w:rPr>
          <w:rFonts w:ascii="Cormorant Garamond" w:eastAsia="Calibri" w:hAnsi="Cormorant Garamond"/>
        </w:rPr>
        <w:t>The data in Table 1 shows a steady decline in the number of commercial banks in Indonesia from 2001 to 2023, dropping from 145 to 105. This reflects how the banking industry became more consolidated over time. After the Asian financial crisis, more capital requirements ratio pushed smaller banks to either merge or close.</w:t>
      </w:r>
      <w:r w:rsidRPr="00435425">
        <w:rPr>
          <w:rStyle w:val="FootnoteReference"/>
          <w:rFonts w:ascii="Cormorant Garamond" w:eastAsia="Calibri" w:hAnsi="Cormorant Garamond"/>
        </w:rPr>
        <w:footnoteReference w:id="25"/>
      </w:r>
      <w:r w:rsidRPr="00435425">
        <w:rPr>
          <w:rFonts w:ascii="Cormorant Garamond" w:eastAsia="Calibri" w:hAnsi="Cormorant Garamond"/>
        </w:rPr>
        <w:t xml:space="preserve"> Limited competition and high entry barriers in the market also made it harder for smaller banks to survive.</w:t>
      </w:r>
      <w:r w:rsidRPr="00435425">
        <w:rPr>
          <w:rStyle w:val="FootnoteReference"/>
          <w:rFonts w:ascii="Cormorant Garamond" w:eastAsia="Calibri" w:hAnsi="Cormorant Garamond"/>
        </w:rPr>
        <w:footnoteReference w:id="26"/>
      </w:r>
      <w:r w:rsidRPr="00435425">
        <w:rPr>
          <w:rFonts w:ascii="Cormorant Garamond" w:eastAsia="Calibri" w:hAnsi="Cormorant Garamond"/>
        </w:rPr>
        <w:t xml:space="preserve"> The global financial crisis in 2008 and the COVID-19 pandemic sped up mergers and acquisitions, aimed at creating a stronger and more resilient banking sector.</w:t>
      </w:r>
    </w:p>
    <w:p w14:paraId="676CE23A" w14:textId="77777777" w:rsidR="000F253F" w:rsidRPr="00435425" w:rsidRDefault="000F253F" w:rsidP="008030CE">
      <w:pPr>
        <w:spacing w:line="240" w:lineRule="auto"/>
        <w:contextualSpacing/>
        <w:jc w:val="center"/>
        <w:rPr>
          <w:rFonts w:ascii="Cormorant Garamond" w:eastAsia="Calibri" w:hAnsi="Cormorant Garamond"/>
          <w:b/>
          <w:bCs/>
          <w:sz w:val="20"/>
          <w:szCs w:val="20"/>
        </w:rPr>
      </w:pPr>
      <w:r w:rsidRPr="00435425">
        <w:rPr>
          <w:rFonts w:ascii="Cormorant Garamond" w:eastAsia="Calibri" w:hAnsi="Cormorant Garamond"/>
          <w:b/>
          <w:bCs/>
          <w:sz w:val="20"/>
          <w:szCs w:val="20"/>
        </w:rPr>
        <w:t>Table 1: Composition of Commercial Banks</w:t>
      </w:r>
      <w:r w:rsidRPr="00435425">
        <w:rPr>
          <w:rStyle w:val="FootnoteReference"/>
          <w:rFonts w:ascii="Cormorant Garamond" w:eastAsia="Calibri" w:hAnsi="Cormorant Garamond"/>
          <w:b/>
          <w:bCs/>
          <w:sz w:val="20"/>
          <w:szCs w:val="20"/>
        </w:rPr>
        <w:footnoteReference w:id="27"/>
      </w:r>
    </w:p>
    <w:tbl>
      <w:tblPr>
        <w:tblStyle w:val="TableGrid1"/>
        <w:tblW w:w="4248" w:type="dxa"/>
        <w:jc w:val="center"/>
        <w:tblLayout w:type="fixed"/>
        <w:tblLook w:val="04A0" w:firstRow="1" w:lastRow="0" w:firstColumn="1" w:lastColumn="0" w:noHBand="0" w:noVBand="1"/>
      </w:tblPr>
      <w:tblGrid>
        <w:gridCol w:w="2007"/>
        <w:gridCol w:w="2241"/>
      </w:tblGrid>
      <w:tr w:rsidR="000F253F" w:rsidRPr="00435425" w14:paraId="444C21AC" w14:textId="77777777" w:rsidTr="006330EE">
        <w:trPr>
          <w:trHeight w:val="345"/>
          <w:jc w:val="center"/>
        </w:trPr>
        <w:tc>
          <w:tcPr>
            <w:tcW w:w="2007" w:type="dxa"/>
            <w:hideMark/>
          </w:tcPr>
          <w:p w14:paraId="572FBFBC" w14:textId="77777777" w:rsidR="000F253F" w:rsidRPr="00435425" w:rsidRDefault="000F253F"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Year</w:t>
            </w:r>
          </w:p>
        </w:tc>
        <w:tc>
          <w:tcPr>
            <w:tcW w:w="2241" w:type="dxa"/>
            <w:hideMark/>
          </w:tcPr>
          <w:p w14:paraId="5DDB6204" w14:textId="77777777" w:rsidR="000F253F" w:rsidRPr="00435425" w:rsidRDefault="000F253F"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No. of Commercial Banks</w:t>
            </w:r>
          </w:p>
        </w:tc>
      </w:tr>
      <w:tr w:rsidR="000F253F" w:rsidRPr="00435425" w14:paraId="0FF24D39" w14:textId="77777777" w:rsidTr="006330EE">
        <w:trPr>
          <w:trHeight w:val="264"/>
          <w:jc w:val="center"/>
        </w:trPr>
        <w:tc>
          <w:tcPr>
            <w:tcW w:w="2007" w:type="dxa"/>
            <w:hideMark/>
          </w:tcPr>
          <w:p w14:paraId="37B4A4BE" w14:textId="77777777" w:rsidR="000F253F" w:rsidRPr="00435425" w:rsidRDefault="000F253F"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2001</w:t>
            </w:r>
          </w:p>
        </w:tc>
        <w:tc>
          <w:tcPr>
            <w:tcW w:w="2241" w:type="dxa"/>
            <w:hideMark/>
          </w:tcPr>
          <w:p w14:paraId="2820DE06" w14:textId="77777777" w:rsidR="000F253F" w:rsidRPr="00435425" w:rsidRDefault="000F253F"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145</w:t>
            </w:r>
          </w:p>
        </w:tc>
      </w:tr>
      <w:tr w:rsidR="000F253F" w:rsidRPr="00435425" w14:paraId="14106E96" w14:textId="77777777" w:rsidTr="006330EE">
        <w:trPr>
          <w:trHeight w:val="283"/>
          <w:jc w:val="center"/>
        </w:trPr>
        <w:tc>
          <w:tcPr>
            <w:tcW w:w="2007" w:type="dxa"/>
            <w:hideMark/>
          </w:tcPr>
          <w:p w14:paraId="5D892A4B" w14:textId="77777777" w:rsidR="000F253F" w:rsidRPr="00435425" w:rsidRDefault="000F253F"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2003</w:t>
            </w:r>
          </w:p>
        </w:tc>
        <w:tc>
          <w:tcPr>
            <w:tcW w:w="2241" w:type="dxa"/>
            <w:hideMark/>
          </w:tcPr>
          <w:p w14:paraId="72286DFD" w14:textId="77777777" w:rsidR="000F253F" w:rsidRPr="00435425" w:rsidRDefault="000F253F"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138</w:t>
            </w:r>
          </w:p>
        </w:tc>
      </w:tr>
      <w:tr w:rsidR="000F253F" w:rsidRPr="00435425" w14:paraId="746E057F" w14:textId="77777777" w:rsidTr="006330EE">
        <w:trPr>
          <w:trHeight w:val="273"/>
          <w:jc w:val="center"/>
        </w:trPr>
        <w:tc>
          <w:tcPr>
            <w:tcW w:w="2007" w:type="dxa"/>
            <w:hideMark/>
          </w:tcPr>
          <w:p w14:paraId="556F24B7" w14:textId="77777777" w:rsidR="000F253F" w:rsidRPr="00435425" w:rsidRDefault="000F253F"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2015</w:t>
            </w:r>
          </w:p>
        </w:tc>
        <w:tc>
          <w:tcPr>
            <w:tcW w:w="2241" w:type="dxa"/>
            <w:hideMark/>
          </w:tcPr>
          <w:p w14:paraId="23E07179" w14:textId="77777777" w:rsidR="000F253F" w:rsidRPr="00435425" w:rsidRDefault="000F253F"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118</w:t>
            </w:r>
          </w:p>
        </w:tc>
      </w:tr>
      <w:tr w:rsidR="000F253F" w:rsidRPr="00435425" w14:paraId="523EBE67" w14:textId="77777777" w:rsidTr="006330EE">
        <w:trPr>
          <w:trHeight w:val="277"/>
          <w:jc w:val="center"/>
        </w:trPr>
        <w:tc>
          <w:tcPr>
            <w:tcW w:w="2007" w:type="dxa"/>
            <w:hideMark/>
          </w:tcPr>
          <w:p w14:paraId="3BD5D179" w14:textId="77777777" w:rsidR="000F253F" w:rsidRPr="00435425" w:rsidRDefault="000F253F"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2020</w:t>
            </w:r>
          </w:p>
        </w:tc>
        <w:tc>
          <w:tcPr>
            <w:tcW w:w="2241" w:type="dxa"/>
            <w:hideMark/>
          </w:tcPr>
          <w:p w14:paraId="14D1DE02" w14:textId="77777777" w:rsidR="000F253F" w:rsidRPr="00435425" w:rsidRDefault="000F253F"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109</w:t>
            </w:r>
          </w:p>
        </w:tc>
      </w:tr>
      <w:tr w:rsidR="000F253F" w:rsidRPr="00435425" w14:paraId="79644C1B" w14:textId="77777777" w:rsidTr="006330EE">
        <w:trPr>
          <w:trHeight w:val="144"/>
          <w:jc w:val="center"/>
        </w:trPr>
        <w:tc>
          <w:tcPr>
            <w:tcW w:w="2007" w:type="dxa"/>
            <w:hideMark/>
          </w:tcPr>
          <w:p w14:paraId="4C1B60CA" w14:textId="77777777" w:rsidR="000F253F" w:rsidRPr="00435425" w:rsidRDefault="000F253F" w:rsidP="00456FED">
            <w:pPr>
              <w:contextualSpacing/>
              <w:jc w:val="both"/>
              <w:rPr>
                <w:rFonts w:ascii="Cormorant Garamond" w:eastAsia="Calibri" w:hAnsi="Cormorant Garamond"/>
                <w:b/>
                <w:bCs/>
                <w:sz w:val="20"/>
                <w:szCs w:val="20"/>
              </w:rPr>
            </w:pPr>
            <w:r w:rsidRPr="00435425">
              <w:rPr>
                <w:rFonts w:ascii="Cormorant Garamond" w:eastAsia="Calibri" w:hAnsi="Cormorant Garamond"/>
                <w:b/>
                <w:bCs/>
                <w:sz w:val="20"/>
                <w:szCs w:val="20"/>
              </w:rPr>
              <w:t>2023</w:t>
            </w:r>
          </w:p>
        </w:tc>
        <w:tc>
          <w:tcPr>
            <w:tcW w:w="2241" w:type="dxa"/>
            <w:hideMark/>
          </w:tcPr>
          <w:p w14:paraId="515D0A63" w14:textId="77777777" w:rsidR="000F253F" w:rsidRPr="00435425" w:rsidRDefault="000F253F" w:rsidP="00456FED">
            <w:pPr>
              <w:contextualSpacing/>
              <w:jc w:val="both"/>
              <w:rPr>
                <w:rFonts w:ascii="Cormorant Garamond" w:eastAsia="Calibri" w:hAnsi="Cormorant Garamond"/>
                <w:sz w:val="20"/>
                <w:szCs w:val="20"/>
              </w:rPr>
            </w:pPr>
            <w:r w:rsidRPr="00435425">
              <w:rPr>
                <w:rFonts w:ascii="Cormorant Garamond" w:eastAsia="Calibri" w:hAnsi="Cormorant Garamond"/>
                <w:sz w:val="20"/>
                <w:szCs w:val="20"/>
              </w:rPr>
              <w:t>105</w:t>
            </w:r>
          </w:p>
        </w:tc>
      </w:tr>
    </w:tbl>
    <w:p w14:paraId="17C8A757" w14:textId="77777777" w:rsidR="000F253F" w:rsidRPr="00435425" w:rsidRDefault="000F253F" w:rsidP="00456FED">
      <w:pPr>
        <w:spacing w:line="240" w:lineRule="auto"/>
        <w:contextualSpacing/>
        <w:jc w:val="both"/>
        <w:rPr>
          <w:rFonts w:ascii="Cormorant Garamond" w:eastAsia="Calibri" w:hAnsi="Cormorant Garamond"/>
        </w:rPr>
      </w:pPr>
    </w:p>
    <w:p w14:paraId="07C86E14" w14:textId="77777777" w:rsidR="000F253F" w:rsidRPr="00435425" w:rsidRDefault="000F253F" w:rsidP="00456FED">
      <w:pPr>
        <w:spacing w:line="240" w:lineRule="auto"/>
        <w:jc w:val="both"/>
        <w:rPr>
          <w:rFonts w:ascii="Cormorant Garamond" w:eastAsia="Calibri" w:hAnsi="Cormorant Garamond"/>
        </w:rPr>
      </w:pPr>
      <w:r w:rsidRPr="00435425">
        <w:rPr>
          <w:rFonts w:ascii="Cormorant Garamond" w:eastAsia="Calibri" w:hAnsi="Cormorant Garamond"/>
        </w:rPr>
        <w:t>By 2015, advancements in digital banking gave larger banks an advantage, while smaller institutions struggled to keep up. The rise of AI added to this trend, as it helped bigger Indonesian banks to streamline operations, improve risk management, and expand financial inclusion.</w:t>
      </w:r>
      <w:r>
        <w:rPr>
          <w:rFonts w:ascii="Cormorant Garamond" w:eastAsia="Calibri" w:hAnsi="Cormorant Garamond"/>
        </w:rPr>
        <w:t xml:space="preserve"> </w:t>
      </w:r>
      <w:r w:rsidRPr="00435425">
        <w:rPr>
          <w:rFonts w:ascii="Cormorant Garamond" w:eastAsia="Calibri" w:hAnsi="Cormorant Garamond"/>
        </w:rPr>
        <w:t>Smaller banks that couldn’t adopt these technologies were forced to merge or shut down, leading to a banking sector that is now more focused on efficiency and technological innovation.</w:t>
      </w:r>
      <w:r w:rsidRPr="00435425">
        <w:rPr>
          <w:rStyle w:val="FootnoteReference"/>
          <w:rFonts w:ascii="Cormorant Garamond" w:eastAsia="Calibri" w:hAnsi="Cormorant Garamond"/>
        </w:rPr>
        <w:footnoteReference w:id="28"/>
      </w:r>
    </w:p>
    <w:p w14:paraId="2F33B4F5" w14:textId="0F117C0D" w:rsidR="000F253F" w:rsidRPr="00435425" w:rsidRDefault="007E4BCE" w:rsidP="00456FED">
      <w:pPr>
        <w:spacing w:line="240" w:lineRule="auto"/>
        <w:jc w:val="both"/>
        <w:rPr>
          <w:rFonts w:ascii="Cormorant Garamond" w:eastAsia="Calibri" w:hAnsi="Cormorant Garamond"/>
          <w:b/>
          <w:bCs/>
          <w:sz w:val="28"/>
          <w:szCs w:val="28"/>
        </w:rPr>
      </w:pPr>
      <w:bookmarkStart w:id="0" w:name="_Toc188377961"/>
      <w:r w:rsidRPr="00435425">
        <w:rPr>
          <w:rFonts w:ascii="Cormorant Garamond" w:hAnsi="Cormorant Garamond"/>
          <w:b/>
          <w:bCs/>
          <w:sz w:val="28"/>
          <w:szCs w:val="28"/>
        </w:rPr>
        <w:t>I</w:t>
      </w:r>
      <w:r>
        <w:rPr>
          <w:rFonts w:ascii="Cormorant Garamond" w:hAnsi="Cormorant Garamond"/>
          <w:b/>
          <w:bCs/>
          <w:sz w:val="28"/>
          <w:szCs w:val="28"/>
        </w:rPr>
        <w:t>V</w:t>
      </w:r>
      <w:r w:rsidR="000F253F" w:rsidRPr="00435425">
        <w:rPr>
          <w:rFonts w:ascii="Cormorant Garamond" w:eastAsia="Calibri" w:hAnsi="Cormorant Garamond"/>
          <w:b/>
          <w:bCs/>
          <w:sz w:val="28"/>
          <w:szCs w:val="28"/>
        </w:rPr>
        <w:t xml:space="preserve">.B. IMPACT OF AI ON BANKS' TOTAL ASSETS </w:t>
      </w:r>
      <w:bookmarkEnd w:id="0"/>
    </w:p>
    <w:p w14:paraId="6DB1DD9D" w14:textId="77777777" w:rsidR="000F253F" w:rsidRPr="00435425" w:rsidRDefault="000F253F" w:rsidP="00456FED">
      <w:pPr>
        <w:spacing w:line="240" w:lineRule="auto"/>
        <w:jc w:val="both"/>
        <w:rPr>
          <w:rFonts w:ascii="Cormorant Garamond" w:eastAsia="Calibri" w:hAnsi="Cormorant Garamond"/>
        </w:rPr>
      </w:pPr>
      <w:r w:rsidRPr="00435425">
        <w:rPr>
          <w:rFonts w:ascii="Cormorant Garamond" w:eastAsia="Calibri" w:hAnsi="Cormorant Garamond"/>
        </w:rPr>
        <w:t xml:space="preserve">Table 2.a and 2.b highlights the significant growth and challenges faced by Indonesia's banking sector during the pre-AI (2002–2018) and post-AI (2019–2023) periods. In the pre-AI period, assets rose from $72.4 billion in 2002 to $529.69 billion in 2018. The annual growth rates during these years averaged to 15.17%, with the highest growth in 2010 at 18.78% and the lowest in </w:t>
      </w:r>
      <w:r w:rsidRPr="00435425">
        <w:rPr>
          <w:rFonts w:ascii="Cormorant Garamond" w:eastAsia="Calibri" w:hAnsi="Cormorant Garamond"/>
        </w:rPr>
        <w:lastRenderedPageBreak/>
        <w:t>2015 at 8.64%. This remarkable expansion can be attributed to several factors, including the growth of bank branches, particularly in rural areas, which improved access to financial services. Increased consumer activity, such as the rising demand for loans for housing, education, and business purposes further supported asset growth.</w:t>
      </w:r>
      <w:r w:rsidRPr="00435425">
        <w:rPr>
          <w:rStyle w:val="FootnoteReference"/>
          <w:rFonts w:ascii="Cormorant Garamond" w:eastAsia="Calibri" w:hAnsi="Cormorant Garamond"/>
        </w:rPr>
        <w:footnoteReference w:id="29"/>
      </w:r>
      <w:r w:rsidRPr="00435425">
        <w:rPr>
          <w:rFonts w:ascii="Cormorant Garamond" w:eastAsia="Calibri" w:hAnsi="Cormorant Garamond"/>
        </w:rPr>
        <w:t xml:space="preserve"> This trend is driven by various factors, including economic conditions, interest rates, and the evolving consumer market.</w:t>
      </w:r>
      <w:r w:rsidRPr="00435425">
        <w:rPr>
          <w:rStyle w:val="FootnoteReference"/>
          <w:rFonts w:ascii="Cormorant Garamond" w:eastAsia="Calibri" w:hAnsi="Cormorant Garamond"/>
        </w:rPr>
        <w:footnoteReference w:id="30"/>
      </w:r>
      <w:r w:rsidRPr="00435425">
        <w:rPr>
          <w:rFonts w:ascii="Cormorant Garamond" w:eastAsia="Calibri" w:hAnsi="Cormorant Garamond"/>
        </w:rPr>
        <w:t xml:space="preserve"> </w:t>
      </w:r>
    </w:p>
    <w:p w14:paraId="5B8FBC3B" w14:textId="77777777" w:rsidR="000F253F" w:rsidRPr="00435425" w:rsidRDefault="000F253F" w:rsidP="00456FED">
      <w:pPr>
        <w:spacing w:line="240" w:lineRule="auto"/>
        <w:jc w:val="both"/>
        <w:rPr>
          <w:rFonts w:ascii="Cormorant Garamond" w:eastAsia="Calibri" w:hAnsi="Cormorant Garamond"/>
        </w:rPr>
      </w:pPr>
      <w:r w:rsidRPr="00435425">
        <w:rPr>
          <w:rFonts w:ascii="Cormorant Garamond" w:eastAsia="Calibri" w:hAnsi="Cormorant Garamond"/>
        </w:rPr>
        <w:t>Further, banks also enhanced their customer services and introduced a wider range of financial products, attracting more clients and increasing asset accumulation.</w:t>
      </w:r>
      <w:r w:rsidRPr="00435425">
        <w:rPr>
          <w:rStyle w:val="FootnoteReference"/>
          <w:rFonts w:ascii="Cormorant Garamond" w:eastAsia="Calibri" w:hAnsi="Cormorant Garamond"/>
        </w:rPr>
        <w:footnoteReference w:id="31"/>
      </w:r>
      <w:r w:rsidRPr="00435425">
        <w:rPr>
          <w:rFonts w:ascii="Cormorant Garamond" w:eastAsia="Calibri" w:hAnsi="Cormorant Garamond"/>
        </w:rPr>
        <w:t xml:space="preserve"> Furthermore, Indonesia's stable political environment, a growing middle class, and financial inclusion initiatives played a significant role in supporting this sustained growth.</w:t>
      </w:r>
      <w:r w:rsidRPr="00435425">
        <w:rPr>
          <w:rStyle w:val="FootnoteReference"/>
          <w:rFonts w:ascii="Cormorant Garamond" w:eastAsia="Calibri" w:hAnsi="Cormorant Garamond"/>
        </w:rPr>
        <w:footnoteReference w:id="32"/>
      </w:r>
    </w:p>
    <w:p w14:paraId="3435085D" w14:textId="77777777" w:rsidR="000F253F" w:rsidRPr="00435425" w:rsidRDefault="000F253F" w:rsidP="008030CE">
      <w:pPr>
        <w:spacing w:line="240" w:lineRule="auto"/>
        <w:contextualSpacing/>
        <w:jc w:val="center"/>
        <w:rPr>
          <w:rFonts w:ascii="Cormorant Garamond" w:eastAsia="Calibri" w:hAnsi="Cormorant Garamond"/>
          <w:b/>
          <w:bCs/>
        </w:rPr>
      </w:pPr>
      <w:r w:rsidRPr="00435425">
        <w:rPr>
          <w:rFonts w:ascii="Cormorant Garamond" w:eastAsia="Calibri" w:hAnsi="Cormorant Garamond"/>
          <w:b/>
          <w:bCs/>
        </w:rPr>
        <w:t xml:space="preserve">Table 2.a: </w:t>
      </w:r>
      <w:r w:rsidRPr="00435425">
        <w:rPr>
          <w:rFonts w:ascii="Cormorant Garamond" w:eastAsia="Times New Roman" w:hAnsi="Cormorant Garamond"/>
          <w:b/>
          <w:bCs/>
          <w:kern w:val="0"/>
          <w:lang w:eastAsia="en-IN"/>
          <w14:ligatures w14:val="none"/>
        </w:rPr>
        <w:t xml:space="preserve">Total Assets of Banks: </w:t>
      </w:r>
      <w:r w:rsidRPr="00435425">
        <w:rPr>
          <w:rFonts w:ascii="Cormorant Garamond" w:eastAsia="Calibri" w:hAnsi="Cormorant Garamond"/>
          <w:b/>
          <w:bCs/>
          <w:i/>
          <w:iCs/>
        </w:rPr>
        <w:t>Pre-AI Perio</w:t>
      </w:r>
      <w:r>
        <w:rPr>
          <w:rFonts w:ascii="Cormorant Garamond" w:eastAsia="Calibri" w:hAnsi="Cormorant Garamond"/>
          <w:b/>
          <w:bCs/>
          <w:i/>
          <w:iCs/>
        </w:rPr>
        <w:t>d</w:t>
      </w:r>
      <w:r w:rsidRPr="00435425">
        <w:rPr>
          <w:rStyle w:val="FootnoteReference"/>
          <w:rFonts w:ascii="Cormorant Garamond" w:eastAsia="Times New Roman" w:hAnsi="Cormorant Garamond"/>
          <w:b/>
          <w:bCs/>
          <w:kern w:val="0"/>
          <w:lang w:eastAsia="en-IN"/>
          <w14:ligatures w14:val="none"/>
        </w:rPr>
        <w:footnoteReference w:id="33"/>
      </w:r>
    </w:p>
    <w:tbl>
      <w:tblPr>
        <w:tblStyle w:val="TableGrid1"/>
        <w:tblW w:w="8926" w:type="dxa"/>
        <w:jc w:val="center"/>
        <w:tblLook w:val="04A0" w:firstRow="1" w:lastRow="0" w:firstColumn="1" w:lastColumn="0" w:noHBand="0" w:noVBand="1"/>
      </w:tblPr>
      <w:tblGrid>
        <w:gridCol w:w="1026"/>
        <w:gridCol w:w="1512"/>
        <w:gridCol w:w="1710"/>
        <w:gridCol w:w="1080"/>
        <w:gridCol w:w="1897"/>
        <w:gridCol w:w="1701"/>
      </w:tblGrid>
      <w:tr w:rsidR="000F253F" w:rsidRPr="00435425" w14:paraId="5E823A6E" w14:textId="77777777" w:rsidTr="006330EE">
        <w:trPr>
          <w:trHeight w:val="275"/>
          <w:jc w:val="center"/>
        </w:trPr>
        <w:tc>
          <w:tcPr>
            <w:tcW w:w="1026" w:type="dxa"/>
            <w:noWrap/>
            <w:hideMark/>
          </w:tcPr>
          <w:p w14:paraId="718EA4F5" w14:textId="77777777" w:rsidR="000F253F" w:rsidRPr="00435425" w:rsidRDefault="000F253F" w:rsidP="00456FED">
            <w:pPr>
              <w:contextualSpacing/>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Year</w:t>
            </w:r>
          </w:p>
        </w:tc>
        <w:tc>
          <w:tcPr>
            <w:tcW w:w="1512" w:type="dxa"/>
            <w:noWrap/>
            <w:hideMark/>
          </w:tcPr>
          <w:p w14:paraId="085B4EA8" w14:textId="77777777" w:rsidR="000F253F" w:rsidRPr="00435425" w:rsidRDefault="000F253F" w:rsidP="00456FED">
            <w:pPr>
              <w:contextualSpacing/>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Assets (Billion US$)</w:t>
            </w:r>
          </w:p>
          <w:p w14:paraId="31E53C0E" w14:textId="77777777" w:rsidR="000F253F" w:rsidRPr="00435425" w:rsidRDefault="000F253F" w:rsidP="00456FED">
            <w:pPr>
              <w:contextualSpacing/>
              <w:jc w:val="both"/>
              <w:rPr>
                <w:rFonts w:ascii="Cormorant Garamond" w:eastAsia="Times New Roman" w:hAnsi="Cormorant Garamond"/>
                <w:b/>
                <w:bCs/>
                <w:sz w:val="20"/>
                <w:szCs w:val="20"/>
                <w:lang w:eastAsia="en-IN"/>
              </w:rPr>
            </w:pPr>
          </w:p>
        </w:tc>
        <w:tc>
          <w:tcPr>
            <w:tcW w:w="1710" w:type="dxa"/>
            <w:noWrap/>
            <w:hideMark/>
          </w:tcPr>
          <w:p w14:paraId="423DA154" w14:textId="77777777" w:rsidR="000F253F" w:rsidRPr="00435425" w:rsidRDefault="000F253F" w:rsidP="00456FED">
            <w:pPr>
              <w:contextualSpacing/>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Annual Growth Rate (%)</w:t>
            </w:r>
          </w:p>
        </w:tc>
        <w:tc>
          <w:tcPr>
            <w:tcW w:w="1080" w:type="dxa"/>
          </w:tcPr>
          <w:p w14:paraId="5162EEDA" w14:textId="77777777" w:rsidR="000F253F" w:rsidRPr="00435425" w:rsidRDefault="000F253F" w:rsidP="00456FED">
            <w:pPr>
              <w:contextualSpacing/>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Year</w:t>
            </w:r>
          </w:p>
        </w:tc>
        <w:tc>
          <w:tcPr>
            <w:tcW w:w="1897" w:type="dxa"/>
          </w:tcPr>
          <w:p w14:paraId="5B720B24" w14:textId="77777777" w:rsidR="000F253F" w:rsidRPr="00435425" w:rsidRDefault="000F253F" w:rsidP="00456FED">
            <w:pPr>
              <w:contextualSpacing/>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Assets (Billion US$)</w:t>
            </w:r>
          </w:p>
        </w:tc>
        <w:tc>
          <w:tcPr>
            <w:tcW w:w="1701" w:type="dxa"/>
          </w:tcPr>
          <w:p w14:paraId="41225E23" w14:textId="77777777" w:rsidR="000F253F" w:rsidRPr="00435425" w:rsidRDefault="000F253F" w:rsidP="00456FED">
            <w:pPr>
              <w:contextualSpacing/>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Annual Growth Rate (%)</w:t>
            </w:r>
          </w:p>
        </w:tc>
      </w:tr>
      <w:tr w:rsidR="000F253F" w:rsidRPr="00435425" w14:paraId="2221B461" w14:textId="77777777" w:rsidTr="006330EE">
        <w:trPr>
          <w:trHeight w:val="253"/>
          <w:jc w:val="center"/>
        </w:trPr>
        <w:tc>
          <w:tcPr>
            <w:tcW w:w="1026" w:type="dxa"/>
            <w:noWrap/>
            <w:hideMark/>
          </w:tcPr>
          <w:p w14:paraId="4508865F"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2002</w:t>
            </w:r>
          </w:p>
        </w:tc>
        <w:tc>
          <w:tcPr>
            <w:tcW w:w="1512" w:type="dxa"/>
            <w:noWrap/>
            <w:hideMark/>
          </w:tcPr>
          <w:p w14:paraId="7317C060"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72.4</w:t>
            </w:r>
          </w:p>
        </w:tc>
        <w:tc>
          <w:tcPr>
            <w:tcW w:w="1710" w:type="dxa"/>
            <w:noWrap/>
            <w:hideMark/>
          </w:tcPr>
          <w:p w14:paraId="713C2938"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w:t>
            </w:r>
          </w:p>
        </w:tc>
        <w:tc>
          <w:tcPr>
            <w:tcW w:w="1080" w:type="dxa"/>
          </w:tcPr>
          <w:p w14:paraId="2C063D69"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2011</w:t>
            </w:r>
          </w:p>
        </w:tc>
        <w:tc>
          <w:tcPr>
            <w:tcW w:w="1897" w:type="dxa"/>
          </w:tcPr>
          <w:p w14:paraId="066EA690"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239.45</w:t>
            </w:r>
          </w:p>
        </w:tc>
        <w:tc>
          <w:tcPr>
            <w:tcW w:w="1701" w:type="dxa"/>
          </w:tcPr>
          <w:p w14:paraId="5DF88561"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21.41</w:t>
            </w:r>
          </w:p>
        </w:tc>
      </w:tr>
      <w:tr w:rsidR="000F253F" w:rsidRPr="00435425" w14:paraId="6F555130" w14:textId="77777777" w:rsidTr="006330EE">
        <w:trPr>
          <w:trHeight w:val="253"/>
          <w:jc w:val="center"/>
        </w:trPr>
        <w:tc>
          <w:tcPr>
            <w:tcW w:w="1026" w:type="dxa"/>
            <w:noWrap/>
            <w:hideMark/>
          </w:tcPr>
          <w:p w14:paraId="0211B46D"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2003</w:t>
            </w:r>
          </w:p>
        </w:tc>
        <w:tc>
          <w:tcPr>
            <w:tcW w:w="1512" w:type="dxa"/>
            <w:noWrap/>
            <w:hideMark/>
          </w:tcPr>
          <w:p w14:paraId="7C435C23"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79.17</w:t>
            </w:r>
          </w:p>
        </w:tc>
        <w:tc>
          <w:tcPr>
            <w:tcW w:w="1710" w:type="dxa"/>
            <w:noWrap/>
            <w:hideMark/>
          </w:tcPr>
          <w:p w14:paraId="3F32A0CE"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9.35</w:t>
            </w:r>
          </w:p>
        </w:tc>
        <w:tc>
          <w:tcPr>
            <w:tcW w:w="1080" w:type="dxa"/>
          </w:tcPr>
          <w:p w14:paraId="144FD395"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2012</w:t>
            </w:r>
          </w:p>
        </w:tc>
        <w:tc>
          <w:tcPr>
            <w:tcW w:w="1897" w:type="dxa"/>
          </w:tcPr>
          <w:p w14:paraId="5574BF50"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279.56</w:t>
            </w:r>
          </w:p>
        </w:tc>
        <w:tc>
          <w:tcPr>
            <w:tcW w:w="1701" w:type="dxa"/>
          </w:tcPr>
          <w:p w14:paraId="7ADC4523"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16.75</w:t>
            </w:r>
          </w:p>
        </w:tc>
      </w:tr>
      <w:tr w:rsidR="000F253F" w:rsidRPr="00435425" w14:paraId="2C89FF49" w14:textId="77777777" w:rsidTr="006330EE">
        <w:trPr>
          <w:trHeight w:val="253"/>
          <w:jc w:val="center"/>
        </w:trPr>
        <w:tc>
          <w:tcPr>
            <w:tcW w:w="1026" w:type="dxa"/>
            <w:noWrap/>
            <w:hideMark/>
          </w:tcPr>
          <w:p w14:paraId="371899D8"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2004</w:t>
            </w:r>
          </w:p>
        </w:tc>
        <w:tc>
          <w:tcPr>
            <w:tcW w:w="1512" w:type="dxa"/>
            <w:noWrap/>
            <w:hideMark/>
          </w:tcPr>
          <w:p w14:paraId="45D2D39A"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83.21</w:t>
            </w:r>
          </w:p>
        </w:tc>
        <w:tc>
          <w:tcPr>
            <w:tcW w:w="1710" w:type="dxa"/>
            <w:noWrap/>
            <w:hideMark/>
          </w:tcPr>
          <w:p w14:paraId="440C9682"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5.1</w:t>
            </w:r>
          </w:p>
        </w:tc>
        <w:tc>
          <w:tcPr>
            <w:tcW w:w="1080" w:type="dxa"/>
          </w:tcPr>
          <w:p w14:paraId="31F6D1B8"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2013</w:t>
            </w:r>
          </w:p>
        </w:tc>
        <w:tc>
          <w:tcPr>
            <w:tcW w:w="1897" w:type="dxa"/>
          </w:tcPr>
          <w:p w14:paraId="64D8472C"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324.88</w:t>
            </w:r>
          </w:p>
        </w:tc>
        <w:tc>
          <w:tcPr>
            <w:tcW w:w="1701" w:type="dxa"/>
          </w:tcPr>
          <w:p w14:paraId="582F6030"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16.21</w:t>
            </w:r>
          </w:p>
        </w:tc>
      </w:tr>
      <w:tr w:rsidR="000F253F" w:rsidRPr="00435425" w14:paraId="5CB4BDB2" w14:textId="77777777" w:rsidTr="006330EE">
        <w:trPr>
          <w:trHeight w:val="253"/>
          <w:jc w:val="center"/>
        </w:trPr>
        <w:tc>
          <w:tcPr>
            <w:tcW w:w="1026" w:type="dxa"/>
            <w:noWrap/>
            <w:hideMark/>
          </w:tcPr>
          <w:p w14:paraId="451351EF"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2005</w:t>
            </w:r>
          </w:p>
        </w:tc>
        <w:tc>
          <w:tcPr>
            <w:tcW w:w="1512" w:type="dxa"/>
            <w:noWrap/>
            <w:hideMark/>
          </w:tcPr>
          <w:p w14:paraId="113B236E"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96.22</w:t>
            </w:r>
          </w:p>
        </w:tc>
        <w:tc>
          <w:tcPr>
            <w:tcW w:w="1710" w:type="dxa"/>
            <w:noWrap/>
            <w:hideMark/>
          </w:tcPr>
          <w:p w14:paraId="24CAF221"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15.64</w:t>
            </w:r>
          </w:p>
        </w:tc>
        <w:tc>
          <w:tcPr>
            <w:tcW w:w="1080" w:type="dxa"/>
          </w:tcPr>
          <w:p w14:paraId="18B79430"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2014</w:t>
            </w:r>
          </w:p>
        </w:tc>
        <w:tc>
          <w:tcPr>
            <w:tcW w:w="1897" w:type="dxa"/>
          </w:tcPr>
          <w:p w14:paraId="55BCB1C1"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368.34</w:t>
            </w:r>
          </w:p>
        </w:tc>
        <w:tc>
          <w:tcPr>
            <w:tcW w:w="1701" w:type="dxa"/>
          </w:tcPr>
          <w:p w14:paraId="42FC1B6B"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13.38</w:t>
            </w:r>
          </w:p>
        </w:tc>
      </w:tr>
      <w:tr w:rsidR="000F253F" w:rsidRPr="00435425" w14:paraId="2265FF09" w14:textId="77777777" w:rsidTr="006330EE">
        <w:trPr>
          <w:trHeight w:val="253"/>
          <w:jc w:val="center"/>
        </w:trPr>
        <w:tc>
          <w:tcPr>
            <w:tcW w:w="1026" w:type="dxa"/>
            <w:noWrap/>
            <w:hideMark/>
          </w:tcPr>
          <w:p w14:paraId="1CDE5019"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2006</w:t>
            </w:r>
          </w:p>
        </w:tc>
        <w:tc>
          <w:tcPr>
            <w:tcW w:w="1512" w:type="dxa"/>
            <w:noWrap/>
            <w:hideMark/>
          </w:tcPr>
          <w:p w14:paraId="17B3A148"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110.85</w:t>
            </w:r>
          </w:p>
        </w:tc>
        <w:tc>
          <w:tcPr>
            <w:tcW w:w="1710" w:type="dxa"/>
            <w:noWrap/>
            <w:hideMark/>
          </w:tcPr>
          <w:p w14:paraId="613F0499"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15.2</w:t>
            </w:r>
          </w:p>
        </w:tc>
        <w:tc>
          <w:tcPr>
            <w:tcW w:w="1080" w:type="dxa"/>
          </w:tcPr>
          <w:p w14:paraId="49A03953"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2015</w:t>
            </w:r>
          </w:p>
        </w:tc>
        <w:tc>
          <w:tcPr>
            <w:tcW w:w="1897" w:type="dxa"/>
          </w:tcPr>
          <w:p w14:paraId="22C3F388"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400.15</w:t>
            </w:r>
          </w:p>
        </w:tc>
        <w:tc>
          <w:tcPr>
            <w:tcW w:w="1701" w:type="dxa"/>
          </w:tcPr>
          <w:p w14:paraId="52625BBB"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8.64</w:t>
            </w:r>
          </w:p>
        </w:tc>
      </w:tr>
      <w:tr w:rsidR="000F253F" w:rsidRPr="00435425" w14:paraId="5A4571F6" w14:textId="77777777" w:rsidTr="006330EE">
        <w:trPr>
          <w:trHeight w:val="253"/>
          <w:jc w:val="center"/>
        </w:trPr>
        <w:tc>
          <w:tcPr>
            <w:tcW w:w="1026" w:type="dxa"/>
            <w:noWrap/>
            <w:hideMark/>
          </w:tcPr>
          <w:p w14:paraId="3DF5B78A"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2007</w:t>
            </w:r>
          </w:p>
        </w:tc>
        <w:tc>
          <w:tcPr>
            <w:tcW w:w="1512" w:type="dxa"/>
            <w:noWrap/>
            <w:hideMark/>
          </w:tcPr>
          <w:p w14:paraId="168EF69D"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130.05</w:t>
            </w:r>
          </w:p>
        </w:tc>
        <w:tc>
          <w:tcPr>
            <w:tcW w:w="1710" w:type="dxa"/>
            <w:noWrap/>
            <w:hideMark/>
          </w:tcPr>
          <w:p w14:paraId="05979179"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17.32</w:t>
            </w:r>
          </w:p>
        </w:tc>
        <w:tc>
          <w:tcPr>
            <w:tcW w:w="1080" w:type="dxa"/>
          </w:tcPr>
          <w:p w14:paraId="22B4776C"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2016</w:t>
            </w:r>
          </w:p>
        </w:tc>
        <w:tc>
          <w:tcPr>
            <w:tcW w:w="1897" w:type="dxa"/>
          </w:tcPr>
          <w:p w14:paraId="00562103"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441.84</w:t>
            </w:r>
          </w:p>
        </w:tc>
        <w:tc>
          <w:tcPr>
            <w:tcW w:w="1701" w:type="dxa"/>
          </w:tcPr>
          <w:p w14:paraId="033D1B1A"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10.42</w:t>
            </w:r>
          </w:p>
        </w:tc>
      </w:tr>
      <w:tr w:rsidR="000F253F" w:rsidRPr="00435425" w14:paraId="6B4CFBBA" w14:textId="77777777" w:rsidTr="006330EE">
        <w:trPr>
          <w:trHeight w:val="253"/>
          <w:jc w:val="center"/>
        </w:trPr>
        <w:tc>
          <w:tcPr>
            <w:tcW w:w="1026" w:type="dxa"/>
            <w:noWrap/>
            <w:hideMark/>
          </w:tcPr>
          <w:p w14:paraId="3531D774"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2008</w:t>
            </w:r>
          </w:p>
        </w:tc>
        <w:tc>
          <w:tcPr>
            <w:tcW w:w="1512" w:type="dxa"/>
            <w:noWrap/>
            <w:hideMark/>
          </w:tcPr>
          <w:p w14:paraId="542342AC"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151.26</w:t>
            </w:r>
          </w:p>
        </w:tc>
        <w:tc>
          <w:tcPr>
            <w:tcW w:w="1710" w:type="dxa"/>
            <w:noWrap/>
            <w:hideMark/>
          </w:tcPr>
          <w:p w14:paraId="67C1AFE7"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16.31</w:t>
            </w:r>
          </w:p>
        </w:tc>
        <w:tc>
          <w:tcPr>
            <w:tcW w:w="1080" w:type="dxa"/>
          </w:tcPr>
          <w:p w14:paraId="0C860E95"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2017</w:t>
            </w:r>
          </w:p>
        </w:tc>
        <w:tc>
          <w:tcPr>
            <w:tcW w:w="1897" w:type="dxa"/>
          </w:tcPr>
          <w:p w14:paraId="0DEA1F8E"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485.11</w:t>
            </w:r>
          </w:p>
        </w:tc>
        <w:tc>
          <w:tcPr>
            <w:tcW w:w="1701" w:type="dxa"/>
          </w:tcPr>
          <w:p w14:paraId="69C9519E"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9.79</w:t>
            </w:r>
          </w:p>
        </w:tc>
      </w:tr>
      <w:tr w:rsidR="000F253F" w:rsidRPr="00435425" w14:paraId="2EC440B0" w14:textId="77777777" w:rsidTr="006330EE">
        <w:trPr>
          <w:trHeight w:val="253"/>
          <w:jc w:val="center"/>
        </w:trPr>
        <w:tc>
          <w:tcPr>
            <w:tcW w:w="1026" w:type="dxa"/>
            <w:noWrap/>
            <w:hideMark/>
          </w:tcPr>
          <w:p w14:paraId="03620CE7"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2009</w:t>
            </w:r>
          </w:p>
        </w:tc>
        <w:tc>
          <w:tcPr>
            <w:tcW w:w="1512" w:type="dxa"/>
            <w:noWrap/>
            <w:hideMark/>
          </w:tcPr>
          <w:p w14:paraId="6395B6FC"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166.04</w:t>
            </w:r>
          </w:p>
        </w:tc>
        <w:tc>
          <w:tcPr>
            <w:tcW w:w="1710" w:type="dxa"/>
            <w:noWrap/>
            <w:hideMark/>
          </w:tcPr>
          <w:p w14:paraId="0199BCD0"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9.77</w:t>
            </w:r>
          </w:p>
        </w:tc>
        <w:tc>
          <w:tcPr>
            <w:tcW w:w="1080" w:type="dxa"/>
          </w:tcPr>
          <w:p w14:paraId="01ED342F"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2018</w:t>
            </w:r>
          </w:p>
        </w:tc>
        <w:tc>
          <w:tcPr>
            <w:tcW w:w="1897" w:type="dxa"/>
          </w:tcPr>
          <w:p w14:paraId="03F7A088"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529.69</w:t>
            </w:r>
          </w:p>
        </w:tc>
        <w:tc>
          <w:tcPr>
            <w:tcW w:w="1701" w:type="dxa"/>
          </w:tcPr>
          <w:p w14:paraId="4DD63BE3"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9.19</w:t>
            </w:r>
          </w:p>
        </w:tc>
      </w:tr>
      <w:tr w:rsidR="000F253F" w:rsidRPr="00435425" w14:paraId="4BCA71EC" w14:textId="77777777" w:rsidTr="006330EE">
        <w:trPr>
          <w:trHeight w:val="253"/>
          <w:jc w:val="center"/>
        </w:trPr>
        <w:tc>
          <w:tcPr>
            <w:tcW w:w="1026" w:type="dxa"/>
            <w:noWrap/>
            <w:hideMark/>
          </w:tcPr>
          <w:p w14:paraId="39F27CC6"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2010</w:t>
            </w:r>
          </w:p>
        </w:tc>
        <w:tc>
          <w:tcPr>
            <w:tcW w:w="1512" w:type="dxa"/>
            <w:noWrap/>
            <w:hideMark/>
          </w:tcPr>
          <w:p w14:paraId="26A993CB"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197.22</w:t>
            </w:r>
          </w:p>
        </w:tc>
        <w:tc>
          <w:tcPr>
            <w:tcW w:w="1710" w:type="dxa"/>
            <w:noWrap/>
            <w:hideMark/>
          </w:tcPr>
          <w:p w14:paraId="5297A0BF"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18.78</w:t>
            </w:r>
          </w:p>
        </w:tc>
        <w:tc>
          <w:tcPr>
            <w:tcW w:w="4678" w:type="dxa"/>
            <w:gridSpan w:val="3"/>
          </w:tcPr>
          <w:p w14:paraId="1DFE9C9A" w14:textId="77777777" w:rsidR="000F253F" w:rsidRPr="00435425" w:rsidRDefault="000F253F" w:rsidP="00456FED">
            <w:pPr>
              <w:jc w:val="both"/>
              <w:rPr>
                <w:rFonts w:ascii="Cormorant Garamond" w:eastAsia="Times New Roman" w:hAnsi="Cormorant Garamond"/>
                <w:sz w:val="20"/>
                <w:szCs w:val="20"/>
                <w:lang w:eastAsia="en-IN"/>
              </w:rPr>
            </w:pPr>
          </w:p>
        </w:tc>
      </w:tr>
    </w:tbl>
    <w:p w14:paraId="30814A7E" w14:textId="77777777" w:rsidR="000F253F" w:rsidRDefault="000F253F" w:rsidP="00456FED">
      <w:pPr>
        <w:spacing w:line="240" w:lineRule="auto"/>
        <w:contextualSpacing/>
        <w:jc w:val="both"/>
        <w:rPr>
          <w:rFonts w:ascii="Cormorant Garamond" w:eastAsia="Calibri" w:hAnsi="Cormorant Garamond"/>
          <w:b/>
          <w:bCs/>
        </w:rPr>
      </w:pPr>
    </w:p>
    <w:p w14:paraId="6B13A2DB" w14:textId="77777777" w:rsidR="000F253F" w:rsidRPr="00435425" w:rsidRDefault="000F253F" w:rsidP="008030CE">
      <w:pPr>
        <w:spacing w:line="240" w:lineRule="auto"/>
        <w:contextualSpacing/>
        <w:jc w:val="center"/>
        <w:rPr>
          <w:rFonts w:ascii="Cormorant Garamond" w:eastAsia="Times New Roman" w:hAnsi="Cormorant Garamond"/>
          <w:b/>
          <w:bCs/>
          <w:i/>
          <w:iCs/>
          <w:sz w:val="20"/>
          <w:szCs w:val="20"/>
          <w:lang w:eastAsia="en-IN"/>
        </w:rPr>
      </w:pPr>
      <w:r w:rsidRPr="00435425">
        <w:rPr>
          <w:rFonts w:ascii="Cormorant Garamond" w:eastAsia="Calibri" w:hAnsi="Cormorant Garamond"/>
          <w:b/>
          <w:bCs/>
        </w:rPr>
        <w:t xml:space="preserve">Table 2.b: </w:t>
      </w:r>
      <w:r w:rsidRPr="00435425">
        <w:rPr>
          <w:rFonts w:ascii="Cormorant Garamond" w:eastAsia="Times New Roman" w:hAnsi="Cormorant Garamond"/>
          <w:b/>
          <w:bCs/>
          <w:kern w:val="0"/>
          <w:lang w:eastAsia="en-IN"/>
          <w14:ligatures w14:val="none"/>
        </w:rPr>
        <w:t xml:space="preserve">Total Assets of Banks: </w:t>
      </w:r>
      <w:r w:rsidRPr="00435425">
        <w:rPr>
          <w:rFonts w:ascii="Cormorant Garamond" w:eastAsia="Calibri" w:hAnsi="Cormorant Garamond"/>
          <w:b/>
          <w:bCs/>
          <w:i/>
          <w:iCs/>
        </w:rPr>
        <w:t>Post-AI Perio</w:t>
      </w:r>
      <w:r>
        <w:rPr>
          <w:rFonts w:ascii="Cormorant Garamond" w:eastAsia="Calibri" w:hAnsi="Cormorant Garamond"/>
          <w:b/>
          <w:bCs/>
          <w:i/>
          <w:iCs/>
        </w:rPr>
        <w:t>d</w:t>
      </w:r>
      <w:r w:rsidRPr="00435425">
        <w:rPr>
          <w:rStyle w:val="FootnoteReference"/>
          <w:rFonts w:ascii="Cormorant Garamond" w:eastAsia="Times New Roman" w:hAnsi="Cormorant Garamond"/>
          <w:b/>
          <w:bCs/>
          <w:i/>
          <w:iCs/>
          <w:lang w:eastAsia="en-IN"/>
        </w:rPr>
        <w:footnoteReference w:id="34"/>
      </w:r>
    </w:p>
    <w:tbl>
      <w:tblPr>
        <w:tblStyle w:val="TableGrid"/>
        <w:tblW w:w="0" w:type="auto"/>
        <w:jc w:val="center"/>
        <w:tblLook w:val="04A0" w:firstRow="1" w:lastRow="0" w:firstColumn="1" w:lastColumn="0" w:noHBand="0" w:noVBand="1"/>
      </w:tblPr>
      <w:tblGrid>
        <w:gridCol w:w="846"/>
        <w:gridCol w:w="1984"/>
        <w:gridCol w:w="2268"/>
      </w:tblGrid>
      <w:tr w:rsidR="000F253F" w:rsidRPr="00435425" w14:paraId="79DFEA92" w14:textId="77777777" w:rsidTr="006330EE">
        <w:trPr>
          <w:jc w:val="center"/>
        </w:trPr>
        <w:tc>
          <w:tcPr>
            <w:tcW w:w="846" w:type="dxa"/>
          </w:tcPr>
          <w:p w14:paraId="6B5B98A7" w14:textId="77777777" w:rsidR="000F253F" w:rsidRPr="00435425" w:rsidRDefault="000F253F" w:rsidP="00456FED">
            <w:pPr>
              <w:contextualSpacing/>
              <w:jc w:val="both"/>
              <w:rPr>
                <w:rFonts w:ascii="Cormorant Garamond" w:eastAsia="Times New Roman" w:hAnsi="Cormorant Garamond"/>
                <w:b/>
                <w:bCs/>
              </w:rPr>
            </w:pPr>
            <w:r w:rsidRPr="00435425">
              <w:rPr>
                <w:rFonts w:ascii="Cormorant Garamond" w:eastAsia="Times New Roman" w:hAnsi="Cormorant Garamond"/>
                <w:b/>
                <w:bCs/>
                <w:sz w:val="20"/>
                <w:szCs w:val="20"/>
                <w:lang w:eastAsia="en-IN"/>
              </w:rPr>
              <w:t>Year</w:t>
            </w:r>
          </w:p>
        </w:tc>
        <w:tc>
          <w:tcPr>
            <w:tcW w:w="1984" w:type="dxa"/>
          </w:tcPr>
          <w:p w14:paraId="33FC2A7E" w14:textId="77777777" w:rsidR="000F253F" w:rsidRPr="00435425" w:rsidRDefault="000F253F" w:rsidP="00456FED">
            <w:pPr>
              <w:contextualSpacing/>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Assets (Billion US$)</w:t>
            </w:r>
          </w:p>
        </w:tc>
        <w:tc>
          <w:tcPr>
            <w:tcW w:w="2268" w:type="dxa"/>
          </w:tcPr>
          <w:p w14:paraId="6BF6E5EF" w14:textId="77777777" w:rsidR="000F253F" w:rsidRPr="00435425" w:rsidRDefault="000F253F" w:rsidP="00456FED">
            <w:pPr>
              <w:contextualSpacing/>
              <w:jc w:val="both"/>
              <w:rPr>
                <w:rFonts w:ascii="Cormorant Garamond" w:eastAsia="Times New Roman" w:hAnsi="Cormorant Garamond"/>
                <w:b/>
                <w:bCs/>
              </w:rPr>
            </w:pPr>
            <w:r w:rsidRPr="00435425">
              <w:rPr>
                <w:rFonts w:ascii="Cormorant Garamond" w:eastAsia="Times New Roman" w:hAnsi="Cormorant Garamond"/>
                <w:b/>
                <w:bCs/>
                <w:sz w:val="20"/>
                <w:szCs w:val="20"/>
                <w:lang w:eastAsia="en-IN"/>
              </w:rPr>
              <w:t>Annual Growth Rate (%)</w:t>
            </w:r>
          </w:p>
        </w:tc>
      </w:tr>
      <w:tr w:rsidR="000F253F" w:rsidRPr="00435425" w14:paraId="079E7F38" w14:textId="77777777" w:rsidTr="006330EE">
        <w:trPr>
          <w:jc w:val="center"/>
        </w:trPr>
        <w:tc>
          <w:tcPr>
            <w:tcW w:w="846" w:type="dxa"/>
          </w:tcPr>
          <w:p w14:paraId="1E36E0D9" w14:textId="77777777" w:rsidR="000F253F" w:rsidRPr="00435425" w:rsidRDefault="000F253F" w:rsidP="00456FED">
            <w:pPr>
              <w:jc w:val="both"/>
              <w:rPr>
                <w:rFonts w:ascii="Cormorant Garamond" w:eastAsia="Times New Roman" w:hAnsi="Cormorant Garamond"/>
                <w:b/>
                <w:bCs/>
              </w:rPr>
            </w:pPr>
            <w:r w:rsidRPr="00435425">
              <w:rPr>
                <w:rFonts w:ascii="Cormorant Garamond" w:eastAsia="Times New Roman" w:hAnsi="Cormorant Garamond"/>
                <w:b/>
                <w:bCs/>
                <w:sz w:val="20"/>
                <w:szCs w:val="20"/>
                <w:lang w:eastAsia="en-IN"/>
              </w:rPr>
              <w:t>2019</w:t>
            </w:r>
          </w:p>
        </w:tc>
        <w:tc>
          <w:tcPr>
            <w:tcW w:w="1984" w:type="dxa"/>
          </w:tcPr>
          <w:p w14:paraId="3A5C9769" w14:textId="77777777" w:rsidR="000F253F" w:rsidRPr="00435425" w:rsidRDefault="000F253F" w:rsidP="00456FED">
            <w:pPr>
              <w:jc w:val="both"/>
              <w:rPr>
                <w:rFonts w:ascii="Cormorant Garamond" w:eastAsia="Times New Roman" w:hAnsi="Cormorant Garamond"/>
              </w:rPr>
            </w:pPr>
            <w:r w:rsidRPr="00435425">
              <w:rPr>
                <w:rFonts w:ascii="Cormorant Garamond" w:eastAsia="Times New Roman" w:hAnsi="Cormorant Garamond"/>
                <w:sz w:val="20"/>
                <w:szCs w:val="20"/>
                <w:lang w:eastAsia="en-IN"/>
              </w:rPr>
              <w:t>562.53</w:t>
            </w:r>
          </w:p>
        </w:tc>
        <w:tc>
          <w:tcPr>
            <w:tcW w:w="2268" w:type="dxa"/>
          </w:tcPr>
          <w:p w14:paraId="0D2961ED" w14:textId="77777777" w:rsidR="000F253F" w:rsidRPr="00435425" w:rsidRDefault="000F253F" w:rsidP="00456FED">
            <w:pPr>
              <w:jc w:val="both"/>
              <w:rPr>
                <w:rFonts w:ascii="Cormorant Garamond" w:eastAsia="Times New Roman" w:hAnsi="Cormorant Garamond"/>
              </w:rPr>
            </w:pPr>
            <w:r w:rsidRPr="00435425">
              <w:rPr>
                <w:rFonts w:ascii="Cormorant Garamond" w:eastAsia="Times New Roman" w:hAnsi="Cormorant Garamond"/>
                <w:sz w:val="20"/>
                <w:szCs w:val="20"/>
                <w:lang w:eastAsia="en-IN"/>
              </w:rPr>
              <w:t>6.2</w:t>
            </w:r>
          </w:p>
        </w:tc>
      </w:tr>
      <w:tr w:rsidR="000F253F" w:rsidRPr="00435425" w14:paraId="6AB0161B" w14:textId="77777777" w:rsidTr="006330EE">
        <w:trPr>
          <w:jc w:val="center"/>
        </w:trPr>
        <w:tc>
          <w:tcPr>
            <w:tcW w:w="846" w:type="dxa"/>
          </w:tcPr>
          <w:p w14:paraId="66832AB5" w14:textId="77777777" w:rsidR="000F253F" w:rsidRPr="00435425" w:rsidRDefault="000F253F" w:rsidP="00456FED">
            <w:pPr>
              <w:jc w:val="both"/>
              <w:rPr>
                <w:rFonts w:ascii="Cormorant Garamond" w:eastAsia="Times New Roman" w:hAnsi="Cormorant Garamond"/>
                <w:b/>
                <w:bCs/>
              </w:rPr>
            </w:pPr>
            <w:r w:rsidRPr="00435425">
              <w:rPr>
                <w:rFonts w:ascii="Cormorant Garamond" w:eastAsia="Times New Roman" w:hAnsi="Cormorant Garamond"/>
                <w:b/>
                <w:bCs/>
                <w:sz w:val="20"/>
                <w:szCs w:val="20"/>
                <w:lang w:eastAsia="en-IN"/>
              </w:rPr>
              <w:t>2020</w:t>
            </w:r>
          </w:p>
        </w:tc>
        <w:tc>
          <w:tcPr>
            <w:tcW w:w="1984" w:type="dxa"/>
          </w:tcPr>
          <w:p w14:paraId="510A57C4" w14:textId="77777777" w:rsidR="000F253F" w:rsidRPr="00435425" w:rsidRDefault="000F253F" w:rsidP="00456FED">
            <w:pPr>
              <w:jc w:val="both"/>
              <w:rPr>
                <w:rFonts w:ascii="Cormorant Garamond" w:eastAsia="Times New Roman" w:hAnsi="Cormorant Garamond"/>
              </w:rPr>
            </w:pPr>
            <w:r w:rsidRPr="00435425">
              <w:rPr>
                <w:rFonts w:ascii="Cormorant Garamond" w:eastAsia="Times New Roman" w:hAnsi="Cormorant Garamond"/>
                <w:sz w:val="20"/>
                <w:szCs w:val="20"/>
                <w:lang w:eastAsia="en-IN"/>
              </w:rPr>
              <w:t>602.58</w:t>
            </w:r>
          </w:p>
        </w:tc>
        <w:tc>
          <w:tcPr>
            <w:tcW w:w="2268" w:type="dxa"/>
          </w:tcPr>
          <w:p w14:paraId="14D5D744" w14:textId="77777777" w:rsidR="000F253F" w:rsidRPr="00435425" w:rsidRDefault="000F253F" w:rsidP="00456FED">
            <w:pPr>
              <w:jc w:val="both"/>
              <w:rPr>
                <w:rFonts w:ascii="Cormorant Garamond" w:eastAsia="Times New Roman" w:hAnsi="Cormorant Garamond"/>
              </w:rPr>
            </w:pPr>
            <w:r w:rsidRPr="00435425">
              <w:rPr>
                <w:rFonts w:ascii="Cormorant Garamond" w:eastAsia="Times New Roman" w:hAnsi="Cormorant Garamond"/>
                <w:sz w:val="20"/>
                <w:szCs w:val="20"/>
                <w:lang w:eastAsia="en-IN"/>
              </w:rPr>
              <w:t>7.12</w:t>
            </w:r>
          </w:p>
        </w:tc>
      </w:tr>
      <w:tr w:rsidR="000F253F" w:rsidRPr="00435425" w14:paraId="42B0A28D" w14:textId="77777777" w:rsidTr="006330EE">
        <w:trPr>
          <w:jc w:val="center"/>
        </w:trPr>
        <w:tc>
          <w:tcPr>
            <w:tcW w:w="846" w:type="dxa"/>
          </w:tcPr>
          <w:p w14:paraId="004CF1D0" w14:textId="77777777" w:rsidR="000F253F" w:rsidRPr="00435425" w:rsidRDefault="000F253F" w:rsidP="00456FED">
            <w:pPr>
              <w:jc w:val="both"/>
              <w:rPr>
                <w:rFonts w:ascii="Cormorant Garamond" w:eastAsia="Times New Roman" w:hAnsi="Cormorant Garamond"/>
                <w:b/>
                <w:bCs/>
              </w:rPr>
            </w:pPr>
            <w:r w:rsidRPr="00435425">
              <w:rPr>
                <w:rFonts w:ascii="Cormorant Garamond" w:eastAsia="Times New Roman" w:hAnsi="Cormorant Garamond"/>
                <w:b/>
                <w:bCs/>
                <w:sz w:val="20"/>
                <w:szCs w:val="20"/>
                <w:lang w:eastAsia="en-IN"/>
              </w:rPr>
              <w:t>2021</w:t>
            </w:r>
          </w:p>
        </w:tc>
        <w:tc>
          <w:tcPr>
            <w:tcW w:w="1984" w:type="dxa"/>
          </w:tcPr>
          <w:p w14:paraId="22E57089" w14:textId="77777777" w:rsidR="000F253F" w:rsidRPr="00435425" w:rsidRDefault="000F253F" w:rsidP="00456FED">
            <w:pPr>
              <w:jc w:val="both"/>
              <w:rPr>
                <w:rFonts w:ascii="Cormorant Garamond" w:eastAsia="Times New Roman" w:hAnsi="Cormorant Garamond"/>
              </w:rPr>
            </w:pPr>
            <w:r w:rsidRPr="00435425">
              <w:rPr>
                <w:rFonts w:ascii="Cormorant Garamond" w:eastAsia="Times New Roman" w:hAnsi="Cormorant Garamond"/>
                <w:sz w:val="20"/>
                <w:szCs w:val="20"/>
                <w:lang w:eastAsia="en-IN"/>
              </w:rPr>
              <w:t>663.78</w:t>
            </w:r>
          </w:p>
        </w:tc>
        <w:tc>
          <w:tcPr>
            <w:tcW w:w="2268" w:type="dxa"/>
          </w:tcPr>
          <w:p w14:paraId="571B058C" w14:textId="77777777" w:rsidR="000F253F" w:rsidRPr="00435425" w:rsidRDefault="000F253F" w:rsidP="00456FED">
            <w:pPr>
              <w:jc w:val="both"/>
              <w:rPr>
                <w:rFonts w:ascii="Cormorant Garamond" w:eastAsia="Times New Roman" w:hAnsi="Cormorant Garamond"/>
              </w:rPr>
            </w:pPr>
            <w:r w:rsidRPr="00435425">
              <w:rPr>
                <w:rFonts w:ascii="Cormorant Garamond" w:eastAsia="Times New Roman" w:hAnsi="Cormorant Garamond"/>
                <w:sz w:val="20"/>
                <w:szCs w:val="20"/>
                <w:lang w:eastAsia="en-IN"/>
              </w:rPr>
              <w:t>10.16</w:t>
            </w:r>
          </w:p>
        </w:tc>
      </w:tr>
      <w:tr w:rsidR="000F253F" w:rsidRPr="00435425" w14:paraId="66B34556" w14:textId="77777777" w:rsidTr="006330EE">
        <w:trPr>
          <w:jc w:val="center"/>
        </w:trPr>
        <w:tc>
          <w:tcPr>
            <w:tcW w:w="846" w:type="dxa"/>
          </w:tcPr>
          <w:p w14:paraId="0D58DB22" w14:textId="77777777" w:rsidR="000F253F" w:rsidRPr="00435425" w:rsidRDefault="000F253F" w:rsidP="00456FED">
            <w:pPr>
              <w:jc w:val="both"/>
              <w:rPr>
                <w:rFonts w:ascii="Cormorant Garamond" w:eastAsia="Times New Roman" w:hAnsi="Cormorant Garamond"/>
                <w:b/>
                <w:bCs/>
              </w:rPr>
            </w:pPr>
            <w:r w:rsidRPr="00435425">
              <w:rPr>
                <w:rFonts w:ascii="Cormorant Garamond" w:eastAsia="Times New Roman" w:hAnsi="Cormorant Garamond"/>
                <w:b/>
                <w:bCs/>
                <w:sz w:val="20"/>
                <w:szCs w:val="20"/>
                <w:lang w:eastAsia="en-IN"/>
              </w:rPr>
              <w:t>2022</w:t>
            </w:r>
          </w:p>
        </w:tc>
        <w:tc>
          <w:tcPr>
            <w:tcW w:w="1984" w:type="dxa"/>
          </w:tcPr>
          <w:p w14:paraId="24DB6E03" w14:textId="77777777" w:rsidR="000F253F" w:rsidRPr="00435425" w:rsidRDefault="000F253F" w:rsidP="00456FED">
            <w:pPr>
              <w:jc w:val="both"/>
              <w:rPr>
                <w:rFonts w:ascii="Cormorant Garamond" w:eastAsia="Times New Roman" w:hAnsi="Cormorant Garamond"/>
              </w:rPr>
            </w:pPr>
            <w:r w:rsidRPr="00435425">
              <w:rPr>
                <w:rFonts w:ascii="Cormorant Garamond" w:eastAsia="Times New Roman" w:hAnsi="Cormorant Garamond"/>
                <w:sz w:val="20"/>
                <w:szCs w:val="20"/>
                <w:lang w:eastAsia="en-IN"/>
              </w:rPr>
              <w:t>729.3</w:t>
            </w:r>
          </w:p>
        </w:tc>
        <w:tc>
          <w:tcPr>
            <w:tcW w:w="2268" w:type="dxa"/>
          </w:tcPr>
          <w:p w14:paraId="11182795" w14:textId="77777777" w:rsidR="000F253F" w:rsidRPr="00435425" w:rsidRDefault="000F253F" w:rsidP="00456FED">
            <w:pPr>
              <w:jc w:val="both"/>
              <w:rPr>
                <w:rFonts w:ascii="Cormorant Garamond" w:eastAsia="Times New Roman" w:hAnsi="Cormorant Garamond"/>
              </w:rPr>
            </w:pPr>
            <w:r w:rsidRPr="00435425">
              <w:rPr>
                <w:rFonts w:ascii="Cormorant Garamond" w:eastAsia="Times New Roman" w:hAnsi="Cormorant Garamond"/>
                <w:sz w:val="20"/>
                <w:szCs w:val="20"/>
                <w:lang w:eastAsia="en-IN"/>
              </w:rPr>
              <w:t>9.87</w:t>
            </w:r>
          </w:p>
        </w:tc>
      </w:tr>
      <w:tr w:rsidR="000F253F" w:rsidRPr="00435425" w14:paraId="33EF4E7E" w14:textId="77777777" w:rsidTr="006330EE">
        <w:trPr>
          <w:jc w:val="center"/>
        </w:trPr>
        <w:tc>
          <w:tcPr>
            <w:tcW w:w="846" w:type="dxa"/>
          </w:tcPr>
          <w:p w14:paraId="0677D5A7" w14:textId="77777777" w:rsidR="000F253F" w:rsidRPr="00435425" w:rsidRDefault="000F253F" w:rsidP="00456FED">
            <w:pPr>
              <w:contextualSpacing/>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2023</w:t>
            </w:r>
          </w:p>
        </w:tc>
        <w:tc>
          <w:tcPr>
            <w:tcW w:w="1984" w:type="dxa"/>
          </w:tcPr>
          <w:p w14:paraId="3E4C203D" w14:textId="77777777" w:rsidR="000F253F" w:rsidRPr="00435425" w:rsidRDefault="000F253F" w:rsidP="00456FED">
            <w:pPr>
              <w:contextualSpacing/>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767</w:t>
            </w:r>
          </w:p>
        </w:tc>
        <w:tc>
          <w:tcPr>
            <w:tcW w:w="2268" w:type="dxa"/>
          </w:tcPr>
          <w:p w14:paraId="097DA353" w14:textId="77777777" w:rsidR="000F253F" w:rsidRPr="00435425" w:rsidRDefault="000F253F" w:rsidP="00456FED">
            <w:pPr>
              <w:contextualSpacing/>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5.17</w:t>
            </w:r>
          </w:p>
        </w:tc>
      </w:tr>
    </w:tbl>
    <w:p w14:paraId="7EA2F91B" w14:textId="77777777" w:rsidR="000F253F" w:rsidRPr="00435425" w:rsidRDefault="000F253F" w:rsidP="00456FED">
      <w:pPr>
        <w:spacing w:line="240" w:lineRule="auto"/>
        <w:contextualSpacing/>
        <w:jc w:val="both"/>
        <w:rPr>
          <w:rFonts w:ascii="Cormorant Garamond" w:eastAsia="Times New Roman" w:hAnsi="Cormorant Garamond"/>
          <w:kern w:val="0"/>
          <w14:ligatures w14:val="none"/>
        </w:rPr>
      </w:pPr>
    </w:p>
    <w:p w14:paraId="4D3B8FFF" w14:textId="77777777" w:rsidR="000F253F" w:rsidRDefault="000F253F" w:rsidP="00456FED">
      <w:pPr>
        <w:spacing w:line="240" w:lineRule="auto"/>
        <w:contextualSpacing/>
        <w:jc w:val="both"/>
        <w:rPr>
          <w:rFonts w:ascii="Cormorant Garamond" w:eastAsia="Times New Roman" w:hAnsi="Cormorant Garamond"/>
          <w:kern w:val="0"/>
          <w14:ligatures w14:val="none"/>
        </w:rPr>
      </w:pPr>
      <w:r w:rsidRPr="00435425">
        <w:rPr>
          <w:rFonts w:ascii="Cormorant Garamond" w:eastAsia="Times New Roman" w:hAnsi="Cormorant Garamond"/>
          <w:kern w:val="0"/>
          <w14:ligatures w14:val="none"/>
        </w:rPr>
        <w:t xml:space="preserve">The post-AI period brought significant operational changes. Banks invested heavily in AI technologies for fraud detection, data analysis, and customer service, which increased operational costs and slowed immediate growth. Additionally, market saturation by 2019 limited </w:t>
      </w:r>
      <w:r w:rsidRPr="00435425">
        <w:rPr>
          <w:rFonts w:ascii="Cormorant Garamond" w:eastAsia="Times New Roman" w:hAnsi="Cormorant Garamond"/>
          <w:kern w:val="0"/>
          <w14:ligatures w14:val="none"/>
        </w:rPr>
        <w:lastRenderedPageBreak/>
        <w:t>the scope for acquiring new customers, while global economic challenges like the COVID-19 pandemic and trade uncertainties added to the slower pace of asset growth in Indonesia.</w:t>
      </w:r>
      <w:r w:rsidRPr="00435425">
        <w:rPr>
          <w:rStyle w:val="FootnoteReference"/>
          <w:rFonts w:ascii="Cormorant Garamond" w:eastAsia="Times New Roman" w:hAnsi="Cormorant Garamond"/>
          <w:kern w:val="0"/>
          <w14:ligatures w14:val="none"/>
        </w:rPr>
        <w:footnoteReference w:id="35"/>
      </w:r>
    </w:p>
    <w:p w14:paraId="011007FA" w14:textId="77777777" w:rsidR="000F253F" w:rsidRPr="00633517" w:rsidRDefault="000F253F" w:rsidP="00456FED">
      <w:pPr>
        <w:spacing w:line="240" w:lineRule="auto"/>
        <w:contextualSpacing/>
        <w:jc w:val="both"/>
        <w:rPr>
          <w:rFonts w:ascii="Cormorant Garamond" w:eastAsia="Times New Roman" w:hAnsi="Cormorant Garamond"/>
          <w:kern w:val="0"/>
          <w14:ligatures w14:val="none"/>
        </w:rPr>
      </w:pPr>
    </w:p>
    <w:p w14:paraId="5F0EA93B" w14:textId="77777777" w:rsidR="000F253F" w:rsidRPr="00435425" w:rsidRDefault="000F253F" w:rsidP="008030CE">
      <w:pPr>
        <w:spacing w:line="240" w:lineRule="auto"/>
        <w:jc w:val="center"/>
        <w:rPr>
          <w:rFonts w:ascii="Cormorant Garamond" w:eastAsia="Times New Roman" w:hAnsi="Cormorant Garamond"/>
          <w:b/>
          <w:bCs/>
          <w:kern w:val="0"/>
          <w14:ligatures w14:val="none"/>
        </w:rPr>
      </w:pPr>
      <w:r w:rsidRPr="00435425">
        <w:rPr>
          <w:rFonts w:ascii="Cormorant Garamond" w:eastAsia="Calibri" w:hAnsi="Cormorant Garamond"/>
          <w:b/>
          <w:bCs/>
        </w:rPr>
        <w:t>Table 3: Comparison of Total Asset between Pre-AI and Post-AI Periods</w:t>
      </w:r>
      <w:r w:rsidRPr="00435425">
        <w:rPr>
          <w:rStyle w:val="FootnoteReference"/>
          <w:rFonts w:ascii="Cormorant Garamond" w:eastAsia="Calibri" w:hAnsi="Cormorant Garamond"/>
          <w:b/>
          <w:bCs/>
        </w:rPr>
        <w:footnoteReference w:id="36"/>
      </w:r>
    </w:p>
    <w:tbl>
      <w:tblPr>
        <w:tblStyle w:val="TableGrid1"/>
        <w:tblW w:w="8359" w:type="dxa"/>
        <w:jc w:val="center"/>
        <w:tblLook w:val="04A0" w:firstRow="1" w:lastRow="0" w:firstColumn="1" w:lastColumn="0" w:noHBand="0" w:noVBand="1"/>
      </w:tblPr>
      <w:tblGrid>
        <w:gridCol w:w="2277"/>
        <w:gridCol w:w="3105"/>
        <w:gridCol w:w="2977"/>
      </w:tblGrid>
      <w:tr w:rsidR="000F253F" w:rsidRPr="00435425" w14:paraId="52B5BC9B" w14:textId="77777777" w:rsidTr="006330EE">
        <w:trPr>
          <w:trHeight w:val="409"/>
          <w:jc w:val="center"/>
        </w:trPr>
        <w:tc>
          <w:tcPr>
            <w:tcW w:w="2277" w:type="dxa"/>
            <w:hideMark/>
          </w:tcPr>
          <w:p w14:paraId="507F2B1A"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Period</w:t>
            </w:r>
          </w:p>
        </w:tc>
        <w:tc>
          <w:tcPr>
            <w:tcW w:w="3105" w:type="dxa"/>
            <w:hideMark/>
          </w:tcPr>
          <w:p w14:paraId="39A5749D"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Average Total Assets (Billion US$)</w:t>
            </w:r>
          </w:p>
        </w:tc>
        <w:tc>
          <w:tcPr>
            <w:tcW w:w="2977" w:type="dxa"/>
            <w:hideMark/>
          </w:tcPr>
          <w:p w14:paraId="1B7781A8"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Average Annual Growth Rate (%)</w:t>
            </w:r>
          </w:p>
        </w:tc>
      </w:tr>
      <w:tr w:rsidR="000F253F" w:rsidRPr="00435425" w14:paraId="17A93B68" w14:textId="77777777" w:rsidTr="006330EE">
        <w:trPr>
          <w:trHeight w:val="377"/>
          <w:jc w:val="center"/>
        </w:trPr>
        <w:tc>
          <w:tcPr>
            <w:tcW w:w="2277" w:type="dxa"/>
            <w:hideMark/>
          </w:tcPr>
          <w:p w14:paraId="21117774"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Pre-AI (2002-2018)</w:t>
            </w:r>
          </w:p>
        </w:tc>
        <w:tc>
          <w:tcPr>
            <w:tcW w:w="3105" w:type="dxa"/>
            <w:hideMark/>
          </w:tcPr>
          <w:p w14:paraId="36205B42"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529.69</w:t>
            </w:r>
          </w:p>
        </w:tc>
        <w:tc>
          <w:tcPr>
            <w:tcW w:w="2977" w:type="dxa"/>
            <w:hideMark/>
          </w:tcPr>
          <w:p w14:paraId="1259BCB6"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15.17%</w:t>
            </w:r>
          </w:p>
        </w:tc>
      </w:tr>
      <w:tr w:rsidR="000F253F" w:rsidRPr="00435425" w14:paraId="4613DD9C" w14:textId="77777777" w:rsidTr="006330EE">
        <w:trPr>
          <w:trHeight w:val="359"/>
          <w:jc w:val="center"/>
        </w:trPr>
        <w:tc>
          <w:tcPr>
            <w:tcW w:w="2277" w:type="dxa"/>
            <w:hideMark/>
          </w:tcPr>
          <w:p w14:paraId="5258BB7A"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Post-AI (2019-2023)</w:t>
            </w:r>
          </w:p>
        </w:tc>
        <w:tc>
          <w:tcPr>
            <w:tcW w:w="3105" w:type="dxa"/>
            <w:hideMark/>
          </w:tcPr>
          <w:p w14:paraId="311D2817"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767</w:t>
            </w:r>
          </w:p>
        </w:tc>
        <w:tc>
          <w:tcPr>
            <w:tcW w:w="2977" w:type="dxa"/>
            <w:hideMark/>
          </w:tcPr>
          <w:p w14:paraId="4697BBFE"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7.24%</w:t>
            </w:r>
          </w:p>
        </w:tc>
      </w:tr>
    </w:tbl>
    <w:p w14:paraId="03297774" w14:textId="77777777" w:rsidR="000F253F" w:rsidRPr="00435425" w:rsidRDefault="000F253F" w:rsidP="00456FED">
      <w:pPr>
        <w:spacing w:line="240" w:lineRule="auto"/>
        <w:jc w:val="both"/>
        <w:rPr>
          <w:rFonts w:ascii="Cormorant Garamond" w:eastAsia="Calibri" w:hAnsi="Cormorant Garamond"/>
        </w:rPr>
      </w:pPr>
    </w:p>
    <w:p w14:paraId="68D83F15" w14:textId="77777777" w:rsidR="000F253F" w:rsidRPr="00435425" w:rsidRDefault="000F253F" w:rsidP="00456FED">
      <w:pPr>
        <w:spacing w:line="240" w:lineRule="auto"/>
        <w:jc w:val="both"/>
        <w:rPr>
          <w:rFonts w:ascii="Cormorant Garamond" w:eastAsia="Calibri" w:hAnsi="Cormorant Garamond"/>
        </w:rPr>
      </w:pPr>
      <w:r w:rsidRPr="00435425">
        <w:rPr>
          <w:rFonts w:ascii="Cormorant Garamond" w:eastAsia="Calibri" w:hAnsi="Cormorant Garamond"/>
        </w:rPr>
        <w:t>Table 3 compares the average total assets and growth rates between the pre- and post-AI periods. The average total assets in the pre-AI period were $529.69 billion, with a robust annual growth rate of 15.17%. In contrast, the post-AI period recorded an increase in average total assets to $767 billion, but the annual growth rate fell sharply to 7.24%. This shift highlights the transition from rapid expansion driven by traditional banking methods to a more stabilized, technology-enhanced growth and AI based banking system. This fall in the rate of growth of assets is also contributed by fall in the number of banks in Indonesia, after AI adoption due to merger and acquisition.</w:t>
      </w:r>
      <w:r w:rsidRPr="00435425">
        <w:rPr>
          <w:rStyle w:val="FootnoteReference"/>
          <w:rFonts w:ascii="Cormorant Garamond" w:eastAsia="Calibri" w:hAnsi="Cormorant Garamond"/>
        </w:rPr>
        <w:footnoteReference w:id="37"/>
      </w:r>
    </w:p>
    <w:p w14:paraId="4AF8ED56" w14:textId="77777777" w:rsidR="000F253F" w:rsidRDefault="000F253F" w:rsidP="00456FED">
      <w:pPr>
        <w:spacing w:line="240" w:lineRule="auto"/>
        <w:jc w:val="both"/>
        <w:rPr>
          <w:rFonts w:ascii="Cormorant Garamond" w:eastAsia="Calibri" w:hAnsi="Cormorant Garamond"/>
        </w:rPr>
      </w:pPr>
      <w:r w:rsidRPr="00435425">
        <w:rPr>
          <w:rFonts w:ascii="Cormorant Garamond" w:eastAsia="Calibri" w:hAnsi="Cormorant Garamond"/>
        </w:rPr>
        <w:t>Figure 1 clearly shows the annual growth rates of total bank assets, with a noticeable distinction between the two periods. During the pre-AI period, the figure 1 illustrates a consistent upward trajectory in asset growth, peaking in 2010. In the post-AI period, the figure 1 depicts a slower but steady growth pattern. The highest growth rate of 10.16% occurred in 2021, partially driven by economic recovery efforts post-pandemic. By contrast, the growth rate dipped to its lowest point of 5.17% in 2023, reflecting the challenges of market saturation, increased competition due to AI adoption, and global economic uncertainties. The graph further emphasizes the stark difference in average annual growth rates, with the pre-AI period averaging 15.17% and the post-AI period declining to 7.24%. It is quite possible that the banking sector may have started depending more on AI for resource mobilization also that can have comparative lower pursuance power than the bank agents in the post-AI period.</w:t>
      </w:r>
    </w:p>
    <w:p w14:paraId="0080AB1B" w14:textId="77777777" w:rsidR="00A657DD" w:rsidRDefault="00A657DD" w:rsidP="00456FED">
      <w:pPr>
        <w:spacing w:line="240" w:lineRule="auto"/>
        <w:jc w:val="both"/>
        <w:rPr>
          <w:rFonts w:ascii="Cormorant Garamond" w:eastAsia="Calibri" w:hAnsi="Cormorant Garamond"/>
        </w:rPr>
      </w:pPr>
    </w:p>
    <w:p w14:paraId="7719B082" w14:textId="003B54DE" w:rsidR="007E1C84" w:rsidRDefault="007E1C84" w:rsidP="00456FED">
      <w:pPr>
        <w:spacing w:line="240" w:lineRule="auto"/>
        <w:jc w:val="both"/>
        <w:rPr>
          <w:rFonts w:ascii="Cormorant Garamond" w:eastAsia="Calibri" w:hAnsi="Cormorant Garamond"/>
        </w:rPr>
      </w:pPr>
      <w:r>
        <w:rPr>
          <w:rFonts w:ascii="Cormorant Garamond" w:eastAsia="Calibri" w:hAnsi="Cormorant Garamond"/>
          <w:noProof/>
          <w:lang w:bidi="ar-SA"/>
        </w:rPr>
        <w:lastRenderedPageBreak/>
        <w:drawing>
          <wp:inline distT="0" distB="0" distL="0" distR="0" wp14:anchorId="7F337155" wp14:editId="00C27246">
            <wp:extent cx="5730296" cy="2280480"/>
            <wp:effectExtent l="0" t="0" r="3810" b="5715"/>
            <wp:docPr id="913908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08226" name="Picture 91390822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0296" cy="2280480"/>
                    </a:xfrm>
                    <a:prstGeom prst="rect">
                      <a:avLst/>
                    </a:prstGeom>
                  </pic:spPr>
                </pic:pic>
              </a:graphicData>
            </a:graphic>
          </wp:inline>
        </w:drawing>
      </w:r>
    </w:p>
    <w:p w14:paraId="77BAAF94" w14:textId="77777777" w:rsidR="00A657DD" w:rsidRPr="001668F9" w:rsidRDefault="00A657DD" w:rsidP="00A657DD">
      <w:pPr>
        <w:spacing w:line="240" w:lineRule="auto"/>
        <w:jc w:val="center"/>
        <w:rPr>
          <w:rFonts w:ascii="Cormorant Garamond" w:eastAsia="Calibri" w:hAnsi="Cormorant Garamond"/>
        </w:rPr>
      </w:pPr>
      <w:r w:rsidRPr="00435425">
        <w:rPr>
          <w:rFonts w:ascii="Cormorant Garamond" w:eastAsia="Calibri" w:hAnsi="Cormorant Garamond"/>
          <w:b/>
          <w:bCs/>
        </w:rPr>
        <w:t>Figure 1: Annual Growth Rate of Bank’s Assets</w:t>
      </w:r>
      <w:r w:rsidRPr="00435425">
        <w:rPr>
          <w:rStyle w:val="FootnoteReference"/>
          <w:rFonts w:ascii="Cormorant Garamond" w:eastAsia="Calibri" w:hAnsi="Cormorant Garamond"/>
          <w:b/>
          <w:bCs/>
        </w:rPr>
        <w:footnoteReference w:id="38"/>
      </w:r>
    </w:p>
    <w:p w14:paraId="6330DD75" w14:textId="77777777" w:rsidR="00A657DD" w:rsidRDefault="00A657DD" w:rsidP="00456FED">
      <w:pPr>
        <w:spacing w:line="240" w:lineRule="auto"/>
        <w:jc w:val="both"/>
        <w:rPr>
          <w:rFonts w:ascii="Cormorant Garamond" w:eastAsia="Calibri" w:hAnsi="Cormorant Garamond"/>
        </w:rPr>
      </w:pPr>
    </w:p>
    <w:p w14:paraId="47CDE639" w14:textId="77777777" w:rsidR="005356F6" w:rsidRPr="00435425" w:rsidRDefault="005356F6" w:rsidP="00456FED">
      <w:pPr>
        <w:spacing w:line="240" w:lineRule="auto"/>
        <w:jc w:val="both"/>
        <w:rPr>
          <w:rFonts w:ascii="Cormorant Garamond" w:eastAsia="Calibri" w:hAnsi="Cormorant Garamond"/>
        </w:rPr>
      </w:pPr>
      <w:r w:rsidRPr="00435425">
        <w:rPr>
          <w:rFonts w:ascii="Cormorant Garamond" w:eastAsia="Calibri" w:hAnsi="Cormorant Garamond"/>
        </w:rPr>
        <w:t>Overall, the tables and graph together highlight the distinct growth patterns of Indonesia’s banking sector. The pre-AI period was marked by rapid expansion due to traditional banking strategies, while the post-AI period showed slower but transformative growth driven by technological advancements. Although the immediate growth rate declined, AI laid a strong foundation for future innovations and operational efficiency in the banking sector. Also, it is important to note that post ai period was a phase of recovery from the Covid-19 shock and it is too early to conclude on the impact of AI.</w:t>
      </w:r>
    </w:p>
    <w:p w14:paraId="4105EFA0" w14:textId="7C68CE13" w:rsidR="005356F6" w:rsidRPr="00435425" w:rsidRDefault="005356F6" w:rsidP="00456FED">
      <w:pPr>
        <w:spacing w:line="240" w:lineRule="auto"/>
        <w:jc w:val="both"/>
        <w:rPr>
          <w:rFonts w:ascii="Cormorant Garamond" w:eastAsia="Calibri" w:hAnsi="Cormorant Garamond"/>
          <w:b/>
          <w:bCs/>
          <w:sz w:val="28"/>
          <w:szCs w:val="28"/>
        </w:rPr>
      </w:pPr>
      <w:r w:rsidRPr="00435425">
        <w:rPr>
          <w:rFonts w:ascii="Cormorant Garamond" w:eastAsia="Calibri" w:hAnsi="Cormorant Garamond"/>
          <w:b/>
          <w:bCs/>
          <w:sz w:val="28"/>
          <w:szCs w:val="28"/>
        </w:rPr>
        <w:t>I</w:t>
      </w:r>
      <w:r w:rsidR="007E4BCE">
        <w:rPr>
          <w:rFonts w:ascii="Cormorant Garamond" w:eastAsia="Calibri" w:hAnsi="Cormorant Garamond"/>
          <w:b/>
          <w:bCs/>
          <w:sz w:val="28"/>
          <w:szCs w:val="28"/>
        </w:rPr>
        <w:t>V</w:t>
      </w:r>
      <w:r w:rsidRPr="00435425">
        <w:rPr>
          <w:rFonts w:ascii="Cormorant Garamond" w:eastAsia="Calibri" w:hAnsi="Cormorant Garamond"/>
          <w:b/>
          <w:bCs/>
          <w:sz w:val="28"/>
          <w:szCs w:val="28"/>
        </w:rPr>
        <w:t xml:space="preserve">.C </w:t>
      </w:r>
      <w:r w:rsidRPr="00435425">
        <w:rPr>
          <w:rFonts w:ascii="Cormorant Garamond" w:eastAsia="Times New Roman" w:hAnsi="Cormorant Garamond"/>
          <w:b/>
          <w:bCs/>
          <w:kern w:val="0"/>
          <w:sz w:val="28"/>
          <w:szCs w:val="28"/>
          <w14:ligatures w14:val="none"/>
        </w:rPr>
        <w:t>IMPACT OF AI ON 5-BANK ASSET CONCENTRATION IN INDONESIA</w:t>
      </w:r>
    </w:p>
    <w:p w14:paraId="1BC69B94" w14:textId="77777777" w:rsidR="005356F6" w:rsidRPr="00435425" w:rsidRDefault="005356F6" w:rsidP="00456FED">
      <w:pPr>
        <w:spacing w:line="240" w:lineRule="auto"/>
        <w:jc w:val="both"/>
        <w:rPr>
          <w:rFonts w:ascii="Cormorant Garamond" w:eastAsia="Times New Roman" w:hAnsi="Cormorant Garamond"/>
          <w:kern w:val="0"/>
          <w14:ligatures w14:val="none"/>
        </w:rPr>
      </w:pPr>
      <w:r w:rsidRPr="00435425">
        <w:rPr>
          <w:rFonts w:ascii="Cormorant Garamond" w:eastAsia="Times New Roman" w:hAnsi="Cormorant Garamond"/>
          <w:kern w:val="0"/>
          <w14:ligatures w14:val="none"/>
        </w:rPr>
        <w:t>The table 4 shows how the concentration of assets among Indonesia's five largest banks has changed over time. In 1999, these banks controlled 73.36% of total assets, which reflects the effects of the 1997 Asian financial crisis. Many smaller banks closed or merged, leaving the larger banks to dominate the market.</w:t>
      </w:r>
    </w:p>
    <w:p w14:paraId="2D4B3710" w14:textId="77777777" w:rsidR="005356F6" w:rsidRPr="00435425" w:rsidRDefault="005356F6" w:rsidP="00456FED">
      <w:pPr>
        <w:spacing w:line="240" w:lineRule="auto"/>
        <w:jc w:val="both"/>
        <w:rPr>
          <w:rFonts w:ascii="Cormorant Garamond" w:eastAsia="Times New Roman" w:hAnsi="Cormorant Garamond"/>
          <w:kern w:val="0"/>
          <w14:ligatures w14:val="none"/>
        </w:rPr>
      </w:pPr>
      <w:r w:rsidRPr="00435425">
        <w:rPr>
          <w:rFonts w:ascii="Cormorant Garamond" w:eastAsia="Times New Roman" w:hAnsi="Cormorant Garamond"/>
          <w:kern w:val="0"/>
          <w14:ligatures w14:val="none"/>
        </w:rPr>
        <w:t>By 2005, the concentration fell sharply to 58.46%, a drop of 14.90 percentage points. This suggests a phase where smaller banks gained more prominence due to policies that encouraged competition. The trend continued, and by 2013, the concentration dropped further to 51.23%, indicating a more diversified and competitive banking sector.</w:t>
      </w:r>
    </w:p>
    <w:p w14:paraId="398C206D" w14:textId="77777777" w:rsidR="005356F6" w:rsidRPr="00435425" w:rsidRDefault="005356F6" w:rsidP="00456FED">
      <w:pPr>
        <w:spacing w:line="240" w:lineRule="auto"/>
        <w:jc w:val="both"/>
        <w:rPr>
          <w:rFonts w:ascii="Cormorant Garamond" w:eastAsia="Calibri" w:hAnsi="Cormorant Garamond"/>
          <w:kern w:val="0"/>
          <w14:ligatures w14:val="none"/>
        </w:rPr>
      </w:pPr>
      <w:r w:rsidRPr="00435425">
        <w:rPr>
          <w:rFonts w:ascii="Cormorant Garamond" w:eastAsia="Calibri" w:hAnsi="Cormorant Garamond"/>
          <w:kern w:val="0"/>
          <w14:ligatures w14:val="none"/>
        </w:rPr>
        <w:t xml:space="preserve">However, the situation shifted in 2019 when concentration rose to 55.18%. This increase points to a period of consolidation, likely caused by economic challenges or mergers among larger banks. By 2021, the concentration had risen slightly to 57.05%, which shows that the largest banks were gaining strength, possibly due to technological advancements and increased efficiencies backed by adoption of AI in different fields of bank services. </w:t>
      </w:r>
    </w:p>
    <w:p w14:paraId="4FC4D79A" w14:textId="77777777" w:rsidR="005356F6" w:rsidRPr="00435425" w:rsidRDefault="005356F6" w:rsidP="008030CE">
      <w:pPr>
        <w:spacing w:line="240" w:lineRule="auto"/>
        <w:contextualSpacing/>
        <w:jc w:val="center"/>
        <w:rPr>
          <w:rFonts w:ascii="Cormorant Garamond" w:eastAsia="Times New Roman" w:hAnsi="Cormorant Garamond"/>
          <w:b/>
          <w:bCs/>
          <w:kern w:val="0"/>
          <w14:ligatures w14:val="none"/>
        </w:rPr>
      </w:pPr>
      <w:r w:rsidRPr="00435425">
        <w:rPr>
          <w:rFonts w:ascii="Cormorant Garamond" w:eastAsia="Times New Roman" w:hAnsi="Cormorant Garamond"/>
          <w:b/>
          <w:bCs/>
          <w:kern w:val="0"/>
          <w14:ligatures w14:val="none"/>
        </w:rPr>
        <w:t>Table 4: Bank Asset Concentration</w:t>
      </w:r>
      <w:r w:rsidRPr="00435425">
        <w:rPr>
          <w:rStyle w:val="FootnoteReference"/>
          <w:rFonts w:ascii="Cormorant Garamond" w:eastAsia="Times New Roman" w:hAnsi="Cormorant Garamond"/>
          <w:b/>
          <w:bCs/>
          <w:kern w:val="0"/>
          <w14:ligatures w14:val="none"/>
        </w:rPr>
        <w:footnoteReference w:id="39"/>
      </w:r>
    </w:p>
    <w:tbl>
      <w:tblPr>
        <w:tblStyle w:val="TableGrid1"/>
        <w:tblW w:w="0" w:type="auto"/>
        <w:jc w:val="center"/>
        <w:tblLook w:val="04A0" w:firstRow="1" w:lastRow="0" w:firstColumn="1" w:lastColumn="0" w:noHBand="0" w:noVBand="1"/>
      </w:tblPr>
      <w:tblGrid>
        <w:gridCol w:w="1129"/>
        <w:gridCol w:w="3119"/>
        <w:gridCol w:w="1417"/>
      </w:tblGrid>
      <w:tr w:rsidR="005356F6" w:rsidRPr="00435425" w14:paraId="67F36C5B" w14:textId="77777777" w:rsidTr="006330EE">
        <w:trPr>
          <w:jc w:val="center"/>
        </w:trPr>
        <w:tc>
          <w:tcPr>
            <w:tcW w:w="1129" w:type="dxa"/>
          </w:tcPr>
          <w:p w14:paraId="4D901F43"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lastRenderedPageBreak/>
              <w:t>Year</w:t>
            </w:r>
          </w:p>
        </w:tc>
        <w:tc>
          <w:tcPr>
            <w:tcW w:w="3119" w:type="dxa"/>
          </w:tcPr>
          <w:p w14:paraId="2D0C31E5"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Times New Roman" w:hAnsi="Cormorant Garamond"/>
                <w:b/>
                <w:bCs/>
                <w:kern w:val="0"/>
                <w:sz w:val="20"/>
                <w:szCs w:val="20"/>
                <w14:ligatures w14:val="none"/>
              </w:rPr>
              <w:t xml:space="preserve">Bank Asset </w:t>
            </w:r>
            <w:r w:rsidRPr="00435425">
              <w:rPr>
                <w:rFonts w:ascii="Cormorant Garamond" w:eastAsia="Calibri" w:hAnsi="Cormorant Garamond"/>
                <w:b/>
                <w:bCs/>
                <w:sz w:val="20"/>
                <w:szCs w:val="20"/>
              </w:rPr>
              <w:t>Concentration (%)</w:t>
            </w:r>
          </w:p>
        </w:tc>
        <w:tc>
          <w:tcPr>
            <w:tcW w:w="1417" w:type="dxa"/>
          </w:tcPr>
          <w:p w14:paraId="47E2EEE4"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Change (%)</w:t>
            </w:r>
          </w:p>
        </w:tc>
      </w:tr>
      <w:tr w:rsidR="005356F6" w:rsidRPr="00435425" w14:paraId="35559D4A" w14:textId="77777777" w:rsidTr="006330EE">
        <w:trPr>
          <w:jc w:val="center"/>
        </w:trPr>
        <w:tc>
          <w:tcPr>
            <w:tcW w:w="1129" w:type="dxa"/>
          </w:tcPr>
          <w:p w14:paraId="0090BC80"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1999</w:t>
            </w:r>
          </w:p>
        </w:tc>
        <w:tc>
          <w:tcPr>
            <w:tcW w:w="3119" w:type="dxa"/>
          </w:tcPr>
          <w:p w14:paraId="4B9C1B05"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73.36</w:t>
            </w:r>
          </w:p>
        </w:tc>
        <w:tc>
          <w:tcPr>
            <w:tcW w:w="1417" w:type="dxa"/>
          </w:tcPr>
          <w:p w14:paraId="3EC56237"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w:t>
            </w:r>
          </w:p>
        </w:tc>
      </w:tr>
      <w:tr w:rsidR="005356F6" w:rsidRPr="00435425" w14:paraId="60EF7609" w14:textId="77777777" w:rsidTr="006330EE">
        <w:trPr>
          <w:jc w:val="center"/>
        </w:trPr>
        <w:tc>
          <w:tcPr>
            <w:tcW w:w="1129" w:type="dxa"/>
          </w:tcPr>
          <w:p w14:paraId="307FFA66"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2005</w:t>
            </w:r>
          </w:p>
        </w:tc>
        <w:tc>
          <w:tcPr>
            <w:tcW w:w="3119" w:type="dxa"/>
          </w:tcPr>
          <w:p w14:paraId="38B5DEB7"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58.46</w:t>
            </w:r>
          </w:p>
        </w:tc>
        <w:tc>
          <w:tcPr>
            <w:tcW w:w="1417" w:type="dxa"/>
          </w:tcPr>
          <w:p w14:paraId="342DED25"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-14.90</w:t>
            </w:r>
          </w:p>
        </w:tc>
      </w:tr>
      <w:tr w:rsidR="005356F6" w:rsidRPr="00435425" w14:paraId="738CD509" w14:textId="77777777" w:rsidTr="006330EE">
        <w:trPr>
          <w:jc w:val="center"/>
        </w:trPr>
        <w:tc>
          <w:tcPr>
            <w:tcW w:w="1129" w:type="dxa"/>
          </w:tcPr>
          <w:p w14:paraId="5D90300D"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2013</w:t>
            </w:r>
          </w:p>
        </w:tc>
        <w:tc>
          <w:tcPr>
            <w:tcW w:w="3119" w:type="dxa"/>
          </w:tcPr>
          <w:p w14:paraId="7F905B6E"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51.23</w:t>
            </w:r>
          </w:p>
        </w:tc>
        <w:tc>
          <w:tcPr>
            <w:tcW w:w="1417" w:type="dxa"/>
          </w:tcPr>
          <w:p w14:paraId="60107CB3"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-7.23</w:t>
            </w:r>
          </w:p>
        </w:tc>
      </w:tr>
      <w:tr w:rsidR="005356F6" w:rsidRPr="00435425" w14:paraId="08249457" w14:textId="77777777" w:rsidTr="006330EE">
        <w:trPr>
          <w:jc w:val="center"/>
        </w:trPr>
        <w:tc>
          <w:tcPr>
            <w:tcW w:w="1129" w:type="dxa"/>
          </w:tcPr>
          <w:p w14:paraId="7CD5BDB1"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2019</w:t>
            </w:r>
          </w:p>
        </w:tc>
        <w:tc>
          <w:tcPr>
            <w:tcW w:w="3119" w:type="dxa"/>
          </w:tcPr>
          <w:p w14:paraId="2EDB2038"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55.18</w:t>
            </w:r>
          </w:p>
        </w:tc>
        <w:tc>
          <w:tcPr>
            <w:tcW w:w="1417" w:type="dxa"/>
          </w:tcPr>
          <w:p w14:paraId="276FD3FF"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3.95</w:t>
            </w:r>
          </w:p>
        </w:tc>
      </w:tr>
      <w:tr w:rsidR="005356F6" w:rsidRPr="00435425" w14:paraId="03B59F3F" w14:textId="77777777" w:rsidTr="006330EE">
        <w:trPr>
          <w:jc w:val="center"/>
        </w:trPr>
        <w:tc>
          <w:tcPr>
            <w:tcW w:w="1129" w:type="dxa"/>
          </w:tcPr>
          <w:p w14:paraId="7E5B71A4"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2021</w:t>
            </w:r>
          </w:p>
        </w:tc>
        <w:tc>
          <w:tcPr>
            <w:tcW w:w="3119" w:type="dxa"/>
          </w:tcPr>
          <w:p w14:paraId="1523AEF2"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57.05</w:t>
            </w:r>
          </w:p>
        </w:tc>
        <w:tc>
          <w:tcPr>
            <w:tcW w:w="1417" w:type="dxa"/>
          </w:tcPr>
          <w:p w14:paraId="14FB31E3"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1.87</w:t>
            </w:r>
          </w:p>
        </w:tc>
      </w:tr>
    </w:tbl>
    <w:p w14:paraId="69AAD5D4" w14:textId="77777777" w:rsidR="005356F6" w:rsidRPr="00435425" w:rsidRDefault="005356F6" w:rsidP="00456FED">
      <w:pPr>
        <w:spacing w:line="240" w:lineRule="auto"/>
        <w:jc w:val="both"/>
        <w:rPr>
          <w:rFonts w:ascii="Cormorant Garamond" w:eastAsia="Calibri" w:hAnsi="Cormorant Garamond"/>
          <w:kern w:val="0"/>
          <w14:ligatures w14:val="none"/>
        </w:rPr>
      </w:pPr>
    </w:p>
    <w:p w14:paraId="59DA0AB8" w14:textId="77777777" w:rsidR="005356F6" w:rsidRPr="00435425" w:rsidRDefault="005356F6" w:rsidP="008030CE">
      <w:pPr>
        <w:spacing w:line="240" w:lineRule="auto"/>
        <w:jc w:val="center"/>
        <w:rPr>
          <w:rFonts w:ascii="Cormorant Garamond" w:eastAsia="Calibri" w:hAnsi="Cormorant Garamond"/>
          <w:b/>
          <w:bCs/>
          <w:kern w:val="0"/>
          <w14:ligatures w14:val="none"/>
        </w:rPr>
      </w:pPr>
      <w:r w:rsidRPr="00435425">
        <w:rPr>
          <w:rFonts w:ascii="Cormorant Garamond" w:eastAsia="Calibri" w:hAnsi="Cormorant Garamond"/>
          <w:b/>
          <w:bCs/>
          <w:kern w:val="0"/>
          <w14:ligatures w14:val="none"/>
        </w:rPr>
        <w:t>Figure 2: Bank Asset concentration</w:t>
      </w:r>
      <w:r w:rsidRPr="00435425">
        <w:rPr>
          <w:rStyle w:val="FootnoteReference"/>
          <w:rFonts w:ascii="Cormorant Garamond" w:eastAsia="Calibri" w:hAnsi="Cormorant Garamond"/>
          <w:b/>
          <w:bCs/>
          <w:kern w:val="0"/>
          <w14:ligatures w14:val="none"/>
        </w:rPr>
        <w:footnoteReference w:id="40"/>
      </w:r>
    </w:p>
    <w:p w14:paraId="68D02EBB" w14:textId="6E1CFC70" w:rsidR="00794E3F" w:rsidRDefault="005356F6" w:rsidP="008030CE">
      <w:pPr>
        <w:spacing w:line="240" w:lineRule="auto"/>
        <w:jc w:val="center"/>
        <w:rPr>
          <w:rFonts w:ascii="Cormorant Garamond" w:hAnsi="Cormorant Garamond" w:cs="Cormorant Garamond"/>
          <w:lang w:val="en-IN"/>
        </w:rPr>
      </w:pPr>
      <w:r>
        <w:rPr>
          <w:rFonts w:ascii="Cormorant Garamond" w:hAnsi="Cormorant Garamond" w:cs="Cormorant Garamond"/>
          <w:noProof/>
          <w:lang w:bidi="ar-SA"/>
        </w:rPr>
        <w:drawing>
          <wp:inline distT="0" distB="0" distL="0" distR="0" wp14:anchorId="1388495B" wp14:editId="7544C83A">
            <wp:extent cx="2948276" cy="1964594"/>
            <wp:effectExtent l="0" t="0" r="5080" b="0"/>
            <wp:docPr id="15334892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489278" name="Picture 153348927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8276" cy="1964594"/>
                    </a:xfrm>
                    <a:prstGeom prst="rect">
                      <a:avLst/>
                    </a:prstGeom>
                  </pic:spPr>
                </pic:pic>
              </a:graphicData>
            </a:graphic>
          </wp:inline>
        </w:drawing>
      </w:r>
    </w:p>
    <w:p w14:paraId="0CD97D76" w14:textId="77777777" w:rsidR="005356F6" w:rsidRPr="00435425" w:rsidRDefault="005356F6" w:rsidP="00456FED">
      <w:pPr>
        <w:spacing w:line="240" w:lineRule="auto"/>
        <w:jc w:val="both"/>
        <w:rPr>
          <w:rFonts w:ascii="Cormorant Garamond" w:eastAsia="Calibri" w:hAnsi="Cormorant Garamond"/>
          <w:kern w:val="0"/>
          <w14:ligatures w14:val="none"/>
        </w:rPr>
      </w:pPr>
      <w:r w:rsidRPr="00435425">
        <w:rPr>
          <w:rFonts w:ascii="Cormorant Garamond" w:eastAsia="Calibri" w:hAnsi="Cormorant Garamond"/>
          <w:kern w:val="0"/>
          <w14:ligatures w14:val="none"/>
        </w:rPr>
        <w:t xml:space="preserve">Figure 2 also shows that before AI, market concentration decreased as digital banking allowed smaller banks to expand. After AI adoption, larger banks strengthened their position by leveraging advanced technologies, reducing the competitive space for smaller banks. Overall, the analysis shows a change in Indonesia’s banking sector from a concentrated market to a more competitive environment and then a shift back to dominance by major banks. </w:t>
      </w:r>
    </w:p>
    <w:p w14:paraId="0EAEC32E" w14:textId="7D2922E7" w:rsidR="005356F6" w:rsidRPr="00435425" w:rsidRDefault="005356F6" w:rsidP="00456FED">
      <w:pPr>
        <w:spacing w:line="240" w:lineRule="auto"/>
        <w:jc w:val="both"/>
        <w:rPr>
          <w:rFonts w:ascii="Cormorant Garamond" w:eastAsia="Calibri" w:hAnsi="Cormorant Garamond"/>
          <w:b/>
          <w:bCs/>
          <w:kern w:val="0"/>
          <w:sz w:val="28"/>
          <w:szCs w:val="28"/>
          <w14:ligatures w14:val="none"/>
        </w:rPr>
      </w:pPr>
      <w:r w:rsidRPr="00435425">
        <w:rPr>
          <w:rFonts w:ascii="Cormorant Garamond" w:eastAsia="Calibri" w:hAnsi="Cormorant Garamond"/>
          <w:b/>
          <w:bCs/>
          <w:kern w:val="0"/>
          <w:sz w:val="28"/>
          <w:szCs w:val="28"/>
          <w14:ligatures w14:val="none"/>
        </w:rPr>
        <w:t>I</w:t>
      </w:r>
      <w:r w:rsidR="007E4BCE">
        <w:rPr>
          <w:rFonts w:ascii="Cormorant Garamond" w:eastAsia="Calibri" w:hAnsi="Cormorant Garamond"/>
          <w:b/>
          <w:bCs/>
          <w:kern w:val="0"/>
          <w:sz w:val="28"/>
          <w:szCs w:val="28"/>
          <w14:ligatures w14:val="none"/>
        </w:rPr>
        <w:t>V</w:t>
      </w:r>
      <w:r w:rsidRPr="00435425">
        <w:rPr>
          <w:rFonts w:ascii="Cormorant Garamond" w:eastAsia="Calibri" w:hAnsi="Cormorant Garamond"/>
          <w:b/>
          <w:bCs/>
          <w:kern w:val="0"/>
          <w:sz w:val="28"/>
          <w:szCs w:val="28"/>
          <w14:ligatures w14:val="none"/>
        </w:rPr>
        <w:t xml:space="preserve">.D. TREANDS IN </w:t>
      </w:r>
      <w:r w:rsidRPr="00435425">
        <w:rPr>
          <w:rFonts w:ascii="Cormorant Garamond" w:eastAsia="Times New Roman" w:hAnsi="Cormorant Garamond"/>
          <w:b/>
          <w:bCs/>
          <w:kern w:val="0"/>
          <w:sz w:val="28"/>
          <w:szCs w:val="28"/>
          <w14:ligatures w14:val="none"/>
        </w:rPr>
        <w:t>BANK OVERHEAD COSTS TO TOTAL ASSETS</w:t>
      </w:r>
    </w:p>
    <w:p w14:paraId="61826EBC" w14:textId="77777777" w:rsidR="005356F6" w:rsidRPr="00435425" w:rsidRDefault="005356F6" w:rsidP="00456FED">
      <w:pPr>
        <w:spacing w:line="240" w:lineRule="auto"/>
        <w:jc w:val="both"/>
        <w:rPr>
          <w:rFonts w:ascii="Cormorant Garamond" w:eastAsia="Calibri" w:hAnsi="Cormorant Garamond"/>
        </w:rPr>
      </w:pPr>
      <w:r w:rsidRPr="00435425">
        <w:rPr>
          <w:rFonts w:ascii="Cormorant Garamond" w:eastAsia="Calibri" w:hAnsi="Cormorant Garamond"/>
        </w:rPr>
        <w:t>Table 5.a shows how bank overhead costs as a percentage of total assets changed over time. In 2000 the costs were 2.66% of the total assets and it reflects the recovery after the Asian financial crisis. However, the costs increased in 2008 to 3.29%, might be the cause of the global financial crisis, which caused banks to spend more on administration and operations. By 2010, costs peaked at 3.72% because banks faced higher compliance and operational demands.</w:t>
      </w:r>
      <w:r w:rsidRPr="00435425">
        <w:rPr>
          <w:rStyle w:val="FootnoteReference"/>
          <w:rFonts w:ascii="Cormorant Garamond" w:eastAsia="Calibri" w:hAnsi="Cormorant Garamond"/>
        </w:rPr>
        <w:footnoteReference w:id="41"/>
      </w:r>
      <w:r w:rsidRPr="00435425">
        <w:rPr>
          <w:rFonts w:ascii="Cormorant Garamond" w:eastAsia="Calibri" w:hAnsi="Cormorant Garamond"/>
        </w:rPr>
        <w:t xml:space="preserve"> Thereafter, the costs dropped to 3.17% by 2015, reflecting efforts to control expenses as economic conditions improved. By 2019, costs had reduced to 2.98%, after the use of digital tools. In 2020 and 2021, costs further decreased to 2.77% and slightly increased to 2.78% as banks increasingly adopted AI and digital systems to improve efficiency, especially in response to the pandemic-driven need for digital transformation.</w:t>
      </w:r>
    </w:p>
    <w:p w14:paraId="63DF16E2" w14:textId="77777777" w:rsidR="005356F6" w:rsidRPr="00435425" w:rsidRDefault="005356F6" w:rsidP="00456FED">
      <w:pPr>
        <w:spacing w:line="240" w:lineRule="auto"/>
        <w:jc w:val="both"/>
        <w:rPr>
          <w:rFonts w:ascii="Cormorant Garamond" w:eastAsia="Calibri" w:hAnsi="Cormorant Garamond"/>
        </w:rPr>
      </w:pPr>
      <w:r w:rsidRPr="00435425">
        <w:rPr>
          <w:rFonts w:ascii="Cormorant Garamond" w:eastAsia="Calibri" w:hAnsi="Cormorant Garamond"/>
        </w:rPr>
        <w:t xml:space="preserve">Moreover, as far as the comparison of overhead costs between the two periods is concerned, the average costs during the post-AI period are lower than those in the pre-AI period. As shown in Panel B of Table 1, this improvement might be due to the adoption of AI in the Indonesian </w:t>
      </w:r>
      <w:r w:rsidRPr="00435425">
        <w:rPr>
          <w:rFonts w:ascii="Cormorant Garamond" w:eastAsia="Calibri" w:hAnsi="Cormorant Garamond"/>
        </w:rPr>
        <w:lastRenderedPageBreak/>
        <w:t>banking sector, which has resulted in better efficiency, less manual work, and more digital banking.</w:t>
      </w:r>
      <w:r w:rsidRPr="00435425">
        <w:rPr>
          <w:rStyle w:val="FootnoteReference"/>
          <w:rFonts w:ascii="Cormorant Garamond" w:eastAsia="Calibri" w:hAnsi="Cormorant Garamond"/>
        </w:rPr>
        <w:footnoteReference w:id="42"/>
      </w:r>
    </w:p>
    <w:tbl>
      <w:tblPr>
        <w:tblStyle w:val="TableGrid1"/>
        <w:tblW w:w="0" w:type="auto"/>
        <w:tblLook w:val="04A0" w:firstRow="1" w:lastRow="0" w:firstColumn="1" w:lastColumn="0" w:noHBand="0" w:noVBand="1"/>
      </w:tblPr>
      <w:tblGrid>
        <w:gridCol w:w="1731"/>
        <w:gridCol w:w="1666"/>
      </w:tblGrid>
      <w:tr w:rsidR="005356F6" w:rsidRPr="00435425" w14:paraId="0CC858AD" w14:textId="77777777" w:rsidTr="006330EE">
        <w:tc>
          <w:tcPr>
            <w:tcW w:w="3397" w:type="dxa"/>
            <w:gridSpan w:val="2"/>
          </w:tcPr>
          <w:p w14:paraId="007DCE39" w14:textId="77777777" w:rsidR="005356F6" w:rsidRPr="00435425" w:rsidRDefault="005356F6" w:rsidP="00456FED">
            <w:pPr>
              <w:jc w:val="both"/>
              <w:rPr>
                <w:rFonts w:ascii="Cormorant Garamond" w:eastAsia="Calibri" w:hAnsi="Cormorant Garamond"/>
                <w:b/>
                <w:bCs/>
              </w:rPr>
            </w:pPr>
            <w:r w:rsidRPr="00435425">
              <w:rPr>
                <w:rFonts w:ascii="Cormorant Garamond" w:eastAsia="Calibri" w:hAnsi="Cormorant Garamond"/>
                <w:b/>
                <w:bCs/>
              </w:rPr>
              <w:t>Table 5.a: Bank Overhead Costs to Total Assets</w:t>
            </w:r>
            <w:r w:rsidRPr="00435425">
              <w:rPr>
                <w:rStyle w:val="FootnoteReference"/>
                <w:rFonts w:ascii="Cormorant Garamond" w:eastAsia="Calibri" w:hAnsi="Cormorant Garamond"/>
                <w:b/>
                <w:bCs/>
              </w:rPr>
              <w:footnoteReference w:id="43"/>
            </w:r>
          </w:p>
          <w:p w14:paraId="755D0651" w14:textId="77777777" w:rsidR="005356F6" w:rsidRPr="00435425" w:rsidRDefault="005356F6" w:rsidP="00456FED">
            <w:pPr>
              <w:jc w:val="both"/>
              <w:rPr>
                <w:rFonts w:ascii="Cormorant Garamond" w:eastAsia="Calibri" w:hAnsi="Cormorant Garamond"/>
                <w:b/>
                <w:bCs/>
                <w:sz w:val="20"/>
                <w:szCs w:val="20"/>
              </w:rPr>
            </w:pPr>
          </w:p>
        </w:tc>
      </w:tr>
      <w:tr w:rsidR="005356F6" w:rsidRPr="00435425" w14:paraId="64372C01" w14:textId="77777777" w:rsidTr="006330EE">
        <w:tc>
          <w:tcPr>
            <w:tcW w:w="1731" w:type="dxa"/>
            <w:hideMark/>
          </w:tcPr>
          <w:p w14:paraId="7CFE9E9D"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Year</w:t>
            </w:r>
          </w:p>
        </w:tc>
        <w:tc>
          <w:tcPr>
            <w:tcW w:w="1666" w:type="dxa"/>
            <w:hideMark/>
          </w:tcPr>
          <w:p w14:paraId="4F17EEF6"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Overhead Costs (%)</w:t>
            </w:r>
          </w:p>
        </w:tc>
      </w:tr>
      <w:tr w:rsidR="005356F6" w:rsidRPr="00435425" w14:paraId="707C8263" w14:textId="77777777" w:rsidTr="006330EE">
        <w:tc>
          <w:tcPr>
            <w:tcW w:w="1731" w:type="dxa"/>
            <w:hideMark/>
          </w:tcPr>
          <w:p w14:paraId="33A01DFF"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2000</w:t>
            </w:r>
          </w:p>
        </w:tc>
        <w:tc>
          <w:tcPr>
            <w:tcW w:w="1666" w:type="dxa"/>
            <w:tcBorders>
              <w:bottom w:val="single" w:sz="4" w:space="0" w:color="auto"/>
            </w:tcBorders>
            <w:hideMark/>
          </w:tcPr>
          <w:p w14:paraId="20AB8E3D"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2.66</w:t>
            </w:r>
          </w:p>
        </w:tc>
      </w:tr>
      <w:tr w:rsidR="005356F6" w:rsidRPr="00435425" w14:paraId="51315FE5" w14:textId="77777777" w:rsidTr="006330EE">
        <w:tc>
          <w:tcPr>
            <w:tcW w:w="1731" w:type="dxa"/>
            <w:hideMark/>
          </w:tcPr>
          <w:p w14:paraId="73A31410"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2008</w:t>
            </w:r>
          </w:p>
        </w:tc>
        <w:tc>
          <w:tcPr>
            <w:tcW w:w="1666" w:type="dxa"/>
            <w:hideMark/>
          </w:tcPr>
          <w:p w14:paraId="52458CA4"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3.29</w:t>
            </w:r>
          </w:p>
        </w:tc>
      </w:tr>
      <w:tr w:rsidR="005356F6" w:rsidRPr="00435425" w14:paraId="521E3F98" w14:textId="77777777" w:rsidTr="006330EE">
        <w:tc>
          <w:tcPr>
            <w:tcW w:w="1731" w:type="dxa"/>
            <w:hideMark/>
          </w:tcPr>
          <w:p w14:paraId="6E38B8BE"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2010</w:t>
            </w:r>
          </w:p>
        </w:tc>
        <w:tc>
          <w:tcPr>
            <w:tcW w:w="1666" w:type="dxa"/>
            <w:tcBorders>
              <w:right w:val="single" w:sz="4" w:space="0" w:color="auto"/>
            </w:tcBorders>
            <w:hideMark/>
          </w:tcPr>
          <w:p w14:paraId="11144816"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3.72</w:t>
            </w:r>
          </w:p>
        </w:tc>
      </w:tr>
      <w:tr w:rsidR="005356F6" w:rsidRPr="00435425" w14:paraId="4D7EA24F" w14:textId="77777777" w:rsidTr="006330EE">
        <w:tc>
          <w:tcPr>
            <w:tcW w:w="1731" w:type="dxa"/>
            <w:hideMark/>
          </w:tcPr>
          <w:p w14:paraId="6D7A8E9F"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2015</w:t>
            </w:r>
          </w:p>
        </w:tc>
        <w:tc>
          <w:tcPr>
            <w:tcW w:w="1666" w:type="dxa"/>
            <w:tcBorders>
              <w:right w:val="single" w:sz="4" w:space="0" w:color="auto"/>
            </w:tcBorders>
            <w:hideMark/>
          </w:tcPr>
          <w:p w14:paraId="11BE52E4"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3.17</w:t>
            </w:r>
          </w:p>
        </w:tc>
      </w:tr>
      <w:tr w:rsidR="005356F6" w:rsidRPr="00435425" w14:paraId="259464E7" w14:textId="77777777" w:rsidTr="006330EE">
        <w:tc>
          <w:tcPr>
            <w:tcW w:w="1731" w:type="dxa"/>
            <w:hideMark/>
          </w:tcPr>
          <w:p w14:paraId="0E25945B"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2019</w:t>
            </w:r>
          </w:p>
        </w:tc>
        <w:tc>
          <w:tcPr>
            <w:tcW w:w="1666" w:type="dxa"/>
            <w:tcBorders>
              <w:right w:val="single" w:sz="4" w:space="0" w:color="auto"/>
            </w:tcBorders>
            <w:hideMark/>
          </w:tcPr>
          <w:p w14:paraId="52B930DD"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2.98</w:t>
            </w:r>
          </w:p>
        </w:tc>
      </w:tr>
      <w:tr w:rsidR="005356F6" w:rsidRPr="00435425" w14:paraId="47FACB82" w14:textId="77777777" w:rsidTr="006330EE">
        <w:tc>
          <w:tcPr>
            <w:tcW w:w="1731" w:type="dxa"/>
            <w:hideMark/>
          </w:tcPr>
          <w:p w14:paraId="48EFCADC"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2020</w:t>
            </w:r>
          </w:p>
        </w:tc>
        <w:tc>
          <w:tcPr>
            <w:tcW w:w="1666" w:type="dxa"/>
            <w:tcBorders>
              <w:right w:val="single" w:sz="4" w:space="0" w:color="auto"/>
            </w:tcBorders>
            <w:hideMark/>
          </w:tcPr>
          <w:p w14:paraId="324624B4"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2.77</w:t>
            </w:r>
          </w:p>
        </w:tc>
      </w:tr>
      <w:tr w:rsidR="005356F6" w:rsidRPr="00435425" w14:paraId="580EECCD" w14:textId="77777777" w:rsidTr="006330EE">
        <w:tc>
          <w:tcPr>
            <w:tcW w:w="1731" w:type="dxa"/>
            <w:hideMark/>
          </w:tcPr>
          <w:p w14:paraId="7B5E03F4"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2021</w:t>
            </w:r>
          </w:p>
        </w:tc>
        <w:tc>
          <w:tcPr>
            <w:tcW w:w="1666" w:type="dxa"/>
            <w:tcBorders>
              <w:right w:val="single" w:sz="4" w:space="0" w:color="auto"/>
            </w:tcBorders>
            <w:hideMark/>
          </w:tcPr>
          <w:p w14:paraId="60CA9DA7"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2.78</w:t>
            </w:r>
          </w:p>
        </w:tc>
      </w:tr>
    </w:tbl>
    <w:tbl>
      <w:tblPr>
        <w:tblStyle w:val="TableGrid1"/>
        <w:tblpPr w:leftFromText="180" w:rightFromText="180" w:vertAnchor="text" w:horzAnchor="margin" w:tblpXSpec="right" w:tblpY="-1595"/>
        <w:tblW w:w="0" w:type="auto"/>
        <w:tblLook w:val="04A0" w:firstRow="1" w:lastRow="0" w:firstColumn="1" w:lastColumn="0" w:noHBand="0" w:noVBand="1"/>
      </w:tblPr>
      <w:tblGrid>
        <w:gridCol w:w="2249"/>
        <w:gridCol w:w="2688"/>
      </w:tblGrid>
      <w:tr w:rsidR="005356F6" w:rsidRPr="00435425" w14:paraId="32071122" w14:textId="77777777" w:rsidTr="006330EE">
        <w:tc>
          <w:tcPr>
            <w:tcW w:w="4937" w:type="dxa"/>
            <w:gridSpan w:val="2"/>
          </w:tcPr>
          <w:p w14:paraId="4F9F6C35"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Table 5.b: Comparison Pre &amp; Post Periods</w:t>
            </w:r>
            <w:r w:rsidRPr="00435425">
              <w:rPr>
                <w:rStyle w:val="FootnoteReference"/>
                <w:rFonts w:ascii="Cormorant Garamond" w:eastAsia="Calibri" w:hAnsi="Cormorant Garamond"/>
                <w:b/>
                <w:bCs/>
                <w:sz w:val="20"/>
                <w:szCs w:val="20"/>
              </w:rPr>
              <w:footnoteReference w:id="44"/>
            </w:r>
          </w:p>
        </w:tc>
      </w:tr>
      <w:tr w:rsidR="005356F6" w:rsidRPr="00435425" w14:paraId="00951A3E" w14:textId="77777777" w:rsidTr="006330EE">
        <w:tc>
          <w:tcPr>
            <w:tcW w:w="2249" w:type="dxa"/>
            <w:tcBorders>
              <w:bottom w:val="single" w:sz="4" w:space="0" w:color="auto"/>
            </w:tcBorders>
          </w:tcPr>
          <w:p w14:paraId="5429240F"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Period</w:t>
            </w:r>
          </w:p>
        </w:tc>
        <w:tc>
          <w:tcPr>
            <w:tcW w:w="2688" w:type="dxa"/>
            <w:tcBorders>
              <w:bottom w:val="single" w:sz="4" w:space="0" w:color="auto"/>
            </w:tcBorders>
          </w:tcPr>
          <w:p w14:paraId="49594411"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Average Overhead Costs (%)</w:t>
            </w:r>
          </w:p>
        </w:tc>
      </w:tr>
      <w:tr w:rsidR="005356F6" w:rsidRPr="00435425" w14:paraId="009AD9D4" w14:textId="77777777" w:rsidTr="006330EE">
        <w:tc>
          <w:tcPr>
            <w:tcW w:w="2249" w:type="dxa"/>
          </w:tcPr>
          <w:p w14:paraId="731C7CBC"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Pre-AI (2000–2019)</w:t>
            </w:r>
          </w:p>
        </w:tc>
        <w:tc>
          <w:tcPr>
            <w:tcW w:w="2688" w:type="dxa"/>
          </w:tcPr>
          <w:p w14:paraId="26EA2BB1"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3.25</w:t>
            </w:r>
          </w:p>
        </w:tc>
      </w:tr>
      <w:tr w:rsidR="005356F6" w:rsidRPr="00435425" w14:paraId="00C05DCB" w14:textId="77777777" w:rsidTr="006330EE">
        <w:tc>
          <w:tcPr>
            <w:tcW w:w="2249" w:type="dxa"/>
            <w:tcBorders>
              <w:bottom w:val="single" w:sz="4" w:space="0" w:color="auto"/>
            </w:tcBorders>
          </w:tcPr>
          <w:p w14:paraId="4FA35A27"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Post-AI (2020–2021)</w:t>
            </w:r>
          </w:p>
        </w:tc>
        <w:tc>
          <w:tcPr>
            <w:tcW w:w="2688" w:type="dxa"/>
            <w:tcBorders>
              <w:bottom w:val="single" w:sz="4" w:space="0" w:color="auto"/>
            </w:tcBorders>
          </w:tcPr>
          <w:p w14:paraId="48C67697"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2.78</w:t>
            </w:r>
          </w:p>
        </w:tc>
      </w:tr>
    </w:tbl>
    <w:p w14:paraId="6EDAED8A" w14:textId="77777777" w:rsidR="005356F6" w:rsidRPr="00435425" w:rsidRDefault="005356F6" w:rsidP="00456FED">
      <w:pPr>
        <w:spacing w:line="240" w:lineRule="auto"/>
        <w:jc w:val="both"/>
        <w:rPr>
          <w:rFonts w:ascii="Cormorant Garamond" w:eastAsia="Calibri" w:hAnsi="Cormorant Garamond"/>
        </w:rPr>
      </w:pPr>
    </w:p>
    <w:p w14:paraId="5FD7BB32" w14:textId="77777777" w:rsidR="005356F6" w:rsidRPr="00435425" w:rsidRDefault="005356F6" w:rsidP="008030CE">
      <w:pPr>
        <w:spacing w:line="240" w:lineRule="auto"/>
        <w:jc w:val="center"/>
        <w:rPr>
          <w:rFonts w:ascii="Cormorant Garamond" w:eastAsia="Calibri" w:hAnsi="Cormorant Garamond"/>
          <w:b/>
          <w:bCs/>
        </w:rPr>
      </w:pPr>
      <w:r w:rsidRPr="00435425">
        <w:rPr>
          <w:rFonts w:ascii="Cormorant Garamond" w:eastAsia="Calibri" w:hAnsi="Cormorant Garamond"/>
          <w:b/>
          <w:bCs/>
        </w:rPr>
        <w:t xml:space="preserve">Figure 3: </w:t>
      </w:r>
      <w:r w:rsidRPr="00435425">
        <w:rPr>
          <w:rFonts w:ascii="Cormorant Garamond" w:eastAsia="Times New Roman" w:hAnsi="Cormorant Garamond"/>
          <w:b/>
          <w:bCs/>
          <w:kern w:val="0"/>
          <w14:ligatures w14:val="none"/>
        </w:rPr>
        <w:t>Bank Overhead Costs to Total Assets (%)</w:t>
      </w:r>
      <w:r w:rsidRPr="00435425">
        <w:rPr>
          <w:rStyle w:val="FootnoteReference"/>
          <w:rFonts w:ascii="Cormorant Garamond" w:eastAsia="Times New Roman" w:hAnsi="Cormorant Garamond"/>
          <w:b/>
          <w:bCs/>
          <w:kern w:val="0"/>
          <w14:ligatures w14:val="none"/>
        </w:rPr>
        <w:footnoteReference w:id="45"/>
      </w:r>
    </w:p>
    <w:p w14:paraId="52079408" w14:textId="0A5289B1" w:rsidR="005356F6" w:rsidRDefault="005356F6" w:rsidP="008030CE">
      <w:pPr>
        <w:spacing w:line="240" w:lineRule="auto"/>
        <w:jc w:val="center"/>
        <w:rPr>
          <w:rFonts w:ascii="Cormorant Garamond" w:hAnsi="Cormorant Garamond" w:cs="Cormorant Garamond"/>
          <w:lang w:val="en-IN"/>
        </w:rPr>
      </w:pPr>
      <w:r>
        <w:rPr>
          <w:rFonts w:ascii="Cormorant Garamond" w:hAnsi="Cormorant Garamond" w:cs="Cormorant Garamond"/>
          <w:noProof/>
          <w:lang w:bidi="ar-SA"/>
        </w:rPr>
        <w:drawing>
          <wp:inline distT="0" distB="0" distL="0" distR="0" wp14:anchorId="1B78F2B7" wp14:editId="259C3CD8">
            <wp:extent cx="5730296" cy="1839902"/>
            <wp:effectExtent l="0" t="0" r="3810" b="8255"/>
            <wp:docPr id="10386923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692366" name="Picture 1038692366"/>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0296" cy="1839902"/>
                    </a:xfrm>
                    <a:prstGeom prst="rect">
                      <a:avLst/>
                    </a:prstGeom>
                  </pic:spPr>
                </pic:pic>
              </a:graphicData>
            </a:graphic>
          </wp:inline>
        </w:drawing>
      </w:r>
    </w:p>
    <w:p w14:paraId="36D483C1" w14:textId="53747D34" w:rsidR="008030CE" w:rsidRDefault="005356F6" w:rsidP="00456FED">
      <w:pPr>
        <w:spacing w:line="240" w:lineRule="auto"/>
        <w:jc w:val="both"/>
        <w:rPr>
          <w:rFonts w:ascii="Cormorant Garamond" w:eastAsia="Calibri" w:hAnsi="Cormorant Garamond"/>
          <w:b/>
          <w:bCs/>
          <w:sz w:val="28"/>
          <w:szCs w:val="28"/>
        </w:rPr>
      </w:pPr>
      <w:r w:rsidRPr="00435425">
        <w:rPr>
          <w:rFonts w:ascii="Cormorant Garamond" w:eastAsia="Times New Roman" w:hAnsi="Cormorant Garamond"/>
          <w:b/>
          <w:bCs/>
          <w:kern w:val="0"/>
          <w:sz w:val="28"/>
          <w:szCs w:val="28"/>
          <w14:ligatures w14:val="none"/>
        </w:rPr>
        <w:t>I</w:t>
      </w:r>
      <w:r w:rsidR="007E4BCE">
        <w:rPr>
          <w:rFonts w:ascii="Cormorant Garamond" w:eastAsia="Times New Roman" w:hAnsi="Cormorant Garamond"/>
          <w:b/>
          <w:bCs/>
          <w:kern w:val="0"/>
          <w:sz w:val="28"/>
          <w:szCs w:val="28"/>
          <w14:ligatures w14:val="none"/>
        </w:rPr>
        <w:t>V</w:t>
      </w:r>
      <w:r w:rsidRPr="00435425">
        <w:rPr>
          <w:rFonts w:ascii="Cormorant Garamond" w:eastAsia="Times New Roman" w:hAnsi="Cormorant Garamond"/>
          <w:b/>
          <w:bCs/>
          <w:kern w:val="0"/>
          <w:sz w:val="28"/>
          <w:szCs w:val="28"/>
          <w14:ligatures w14:val="none"/>
        </w:rPr>
        <w:t>.E. IMPACT OF AI ON BANK COST-TO-INCOME RATIO</w:t>
      </w:r>
    </w:p>
    <w:p w14:paraId="7CAD9DD0" w14:textId="4B69D9C7" w:rsidR="005356F6" w:rsidRPr="008030CE" w:rsidRDefault="005356F6" w:rsidP="00456FED">
      <w:pPr>
        <w:spacing w:line="240" w:lineRule="auto"/>
        <w:jc w:val="both"/>
        <w:rPr>
          <w:rFonts w:ascii="Cormorant Garamond" w:eastAsia="Calibri" w:hAnsi="Cormorant Garamond"/>
          <w:b/>
          <w:bCs/>
          <w:sz w:val="28"/>
          <w:szCs w:val="28"/>
        </w:rPr>
      </w:pPr>
      <w:r w:rsidRPr="00435425">
        <w:rPr>
          <w:rFonts w:ascii="Cormorant Garamond" w:eastAsia="Times New Roman" w:hAnsi="Cormorant Garamond"/>
          <w:kern w:val="0"/>
          <w14:ligatures w14:val="none"/>
        </w:rPr>
        <w:t>The cost-to-income ratio is crucial for assessing a bank's operational efficiency, reflecting the proportion of operating costs relative to income. A lower ratio indicates higher efficiency.</w:t>
      </w:r>
      <w:r w:rsidRPr="00435425">
        <w:rPr>
          <w:rStyle w:val="FootnoteReference"/>
          <w:rFonts w:ascii="Cormorant Garamond" w:eastAsia="Times New Roman" w:hAnsi="Cormorant Garamond"/>
          <w:kern w:val="0"/>
          <w14:ligatures w14:val="none"/>
        </w:rPr>
        <w:footnoteReference w:id="46"/>
      </w:r>
      <w:r w:rsidRPr="00435425">
        <w:rPr>
          <w:rFonts w:ascii="Cormorant Garamond" w:eastAsia="Times New Roman" w:hAnsi="Cormorant Garamond"/>
          <w:kern w:val="0"/>
          <w14:ligatures w14:val="none"/>
        </w:rPr>
        <w:t xml:space="preserve"> </w:t>
      </w:r>
    </w:p>
    <w:p w14:paraId="2B8C3F42" w14:textId="77777777" w:rsidR="005356F6" w:rsidRPr="00435425" w:rsidRDefault="005356F6" w:rsidP="00456FED">
      <w:pPr>
        <w:spacing w:line="240" w:lineRule="auto"/>
        <w:jc w:val="both"/>
        <w:rPr>
          <w:rFonts w:ascii="Cormorant Garamond" w:eastAsia="Times New Roman" w:hAnsi="Cormorant Garamond"/>
          <w:kern w:val="0"/>
          <w14:ligatures w14:val="none"/>
        </w:rPr>
      </w:pPr>
      <w:r w:rsidRPr="00435425">
        <w:rPr>
          <w:rFonts w:ascii="Cormorant Garamond" w:eastAsia="Times New Roman" w:hAnsi="Cormorant Garamond"/>
          <w:kern w:val="0"/>
          <w14:ligatures w14:val="none"/>
        </w:rPr>
        <w:lastRenderedPageBreak/>
        <w:t>Table 6 shows a steady decline in Indonesia's banks' cost-to-income ratios, dropping from 59.76% in 2000 to 46.59% in 2019, driven by basic digitization, automation, and process improvements. However, reliance on manual processes and outdated systems slowed progress, even as banks faced growing competition from Non-Bank Financial Institutions and pressures from the 2008 financial crisis, which forced banks to focus on efficiency. After 2019, the adoption of AI, accelerated by the COVID-19 pandemic, led to a rise in costs. By 2023, the cost-to-income ratio increased to 76.34%, reflecting investments in AI tools, cybersecurity, and regulatory compliance. These short-term expenses highlight the financial strain of transitioning to advanced systems. However, AI has enabled cost-saving measures in areas like loan processing and customer service. As these technologies mature, the cost-to-income ratio is expected to improve, balancing initial investments with long-term benefits in efficiency and profitability.</w:t>
      </w:r>
    </w:p>
    <w:p w14:paraId="3E6382D8" w14:textId="77777777" w:rsidR="005356F6" w:rsidRPr="00435425" w:rsidRDefault="005356F6" w:rsidP="008030CE">
      <w:pPr>
        <w:spacing w:line="240" w:lineRule="auto"/>
        <w:jc w:val="center"/>
        <w:rPr>
          <w:rFonts w:ascii="Cormorant Garamond" w:eastAsia="Times New Roman" w:hAnsi="Cormorant Garamond"/>
          <w:b/>
          <w:bCs/>
          <w:kern w:val="0"/>
          <w14:ligatures w14:val="none"/>
        </w:rPr>
      </w:pPr>
      <w:r w:rsidRPr="00435425">
        <w:rPr>
          <w:rFonts w:ascii="Cormorant Garamond" w:eastAsia="Times New Roman" w:hAnsi="Cormorant Garamond"/>
          <w:b/>
          <w:bCs/>
          <w:kern w:val="0"/>
          <w14:ligatures w14:val="none"/>
        </w:rPr>
        <w:t>Figure 4: Bank Cost to Income Ratio (%)</w:t>
      </w:r>
      <w:r w:rsidRPr="00435425">
        <w:rPr>
          <w:rStyle w:val="FootnoteReference"/>
          <w:rFonts w:ascii="Cormorant Garamond" w:eastAsia="Times New Roman" w:hAnsi="Cormorant Garamond"/>
          <w:b/>
          <w:bCs/>
          <w:kern w:val="0"/>
          <w14:ligatures w14:val="none"/>
        </w:rPr>
        <w:footnoteReference w:id="47"/>
      </w:r>
    </w:p>
    <w:p w14:paraId="6C65AB41" w14:textId="538B7490" w:rsidR="005356F6" w:rsidRDefault="005356F6" w:rsidP="008030CE">
      <w:pPr>
        <w:spacing w:line="240" w:lineRule="auto"/>
        <w:jc w:val="center"/>
        <w:rPr>
          <w:rFonts w:ascii="Cormorant Garamond" w:hAnsi="Cormorant Garamond" w:cs="Cormorant Garamond"/>
          <w:lang w:val="en-IN"/>
        </w:rPr>
      </w:pPr>
      <w:r>
        <w:rPr>
          <w:rFonts w:ascii="Cormorant Garamond" w:hAnsi="Cormorant Garamond" w:cs="Cormorant Garamond"/>
          <w:noProof/>
          <w:lang w:bidi="ar-SA"/>
        </w:rPr>
        <w:drawing>
          <wp:inline distT="0" distB="0" distL="0" distR="0" wp14:anchorId="2803911B" wp14:editId="04662B87">
            <wp:extent cx="5730296" cy="2723830"/>
            <wp:effectExtent l="0" t="0" r="3810" b="635"/>
            <wp:docPr id="18669146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914690" name="Picture 186691469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0296" cy="2723830"/>
                    </a:xfrm>
                    <a:prstGeom prst="rect">
                      <a:avLst/>
                    </a:prstGeom>
                  </pic:spPr>
                </pic:pic>
              </a:graphicData>
            </a:graphic>
          </wp:inline>
        </w:drawing>
      </w:r>
    </w:p>
    <w:p w14:paraId="6D8FD214" w14:textId="77777777" w:rsidR="005356F6" w:rsidRPr="005502FC" w:rsidRDefault="005356F6" w:rsidP="008030CE">
      <w:pPr>
        <w:spacing w:line="240" w:lineRule="auto"/>
        <w:jc w:val="center"/>
        <w:rPr>
          <w:rFonts w:ascii="Cormorant Garamond" w:eastAsia="Times New Roman" w:hAnsi="Cormorant Garamond"/>
          <w:kern w:val="0"/>
          <w14:ligatures w14:val="none"/>
        </w:rPr>
      </w:pPr>
      <w:r w:rsidRPr="00435425">
        <w:rPr>
          <w:rFonts w:ascii="Cormorant Garamond" w:eastAsia="Calibri" w:hAnsi="Cormorant Garamond"/>
          <w:b/>
          <w:bCs/>
        </w:rPr>
        <w:t>Table 6: Comparative Analysis of Bank Cost to Income Ratio</w:t>
      </w:r>
      <w:r w:rsidRPr="00435425">
        <w:rPr>
          <w:rStyle w:val="FootnoteReference"/>
          <w:rFonts w:ascii="Cormorant Garamond" w:eastAsia="Calibri" w:hAnsi="Cormorant Garamond"/>
          <w:b/>
          <w:bCs/>
        </w:rPr>
        <w:footnoteReference w:id="48"/>
      </w:r>
    </w:p>
    <w:tbl>
      <w:tblPr>
        <w:tblStyle w:val="TableGrid1"/>
        <w:tblpPr w:leftFromText="180" w:rightFromText="180" w:vertAnchor="text" w:tblpXSpec="center" w:tblpY="1"/>
        <w:tblOverlap w:val="never"/>
        <w:tblW w:w="5098" w:type="dxa"/>
        <w:tblLook w:val="04A0" w:firstRow="1" w:lastRow="0" w:firstColumn="1" w:lastColumn="0" w:noHBand="0" w:noVBand="1"/>
      </w:tblPr>
      <w:tblGrid>
        <w:gridCol w:w="846"/>
        <w:gridCol w:w="2693"/>
        <w:gridCol w:w="1559"/>
      </w:tblGrid>
      <w:tr w:rsidR="005356F6" w:rsidRPr="00435425" w14:paraId="3E5A38D1" w14:textId="77777777" w:rsidTr="006330EE">
        <w:trPr>
          <w:trHeight w:val="352"/>
        </w:trPr>
        <w:tc>
          <w:tcPr>
            <w:tcW w:w="846" w:type="dxa"/>
            <w:hideMark/>
          </w:tcPr>
          <w:p w14:paraId="417B2F05" w14:textId="77777777" w:rsidR="005356F6" w:rsidRPr="00435425" w:rsidRDefault="005356F6" w:rsidP="00456FED">
            <w:pPr>
              <w:contextualSpacing/>
              <w:jc w:val="both"/>
              <w:rPr>
                <w:rFonts w:ascii="Cormorant Garamond" w:eastAsia="Calibri" w:hAnsi="Cormorant Garamond"/>
                <w:b/>
                <w:bCs/>
                <w:sz w:val="20"/>
                <w:szCs w:val="20"/>
              </w:rPr>
            </w:pPr>
            <w:r w:rsidRPr="00435425">
              <w:rPr>
                <w:rFonts w:ascii="Cormorant Garamond" w:eastAsia="Calibri" w:hAnsi="Cormorant Garamond"/>
                <w:b/>
                <w:bCs/>
                <w:sz w:val="20"/>
                <w:szCs w:val="20"/>
              </w:rPr>
              <w:t>Year</w:t>
            </w:r>
          </w:p>
        </w:tc>
        <w:tc>
          <w:tcPr>
            <w:tcW w:w="2693" w:type="dxa"/>
            <w:hideMark/>
          </w:tcPr>
          <w:p w14:paraId="2DC7A012" w14:textId="77777777" w:rsidR="005356F6" w:rsidRPr="00435425" w:rsidRDefault="005356F6" w:rsidP="00456FED">
            <w:pPr>
              <w:contextualSpacing/>
              <w:jc w:val="both"/>
              <w:rPr>
                <w:rFonts w:ascii="Cormorant Garamond" w:eastAsia="Calibri" w:hAnsi="Cormorant Garamond"/>
                <w:b/>
                <w:bCs/>
                <w:sz w:val="20"/>
                <w:szCs w:val="20"/>
              </w:rPr>
            </w:pPr>
            <w:r w:rsidRPr="00435425">
              <w:rPr>
                <w:rFonts w:ascii="Cormorant Garamond" w:eastAsia="Calibri" w:hAnsi="Cormorant Garamond"/>
                <w:b/>
                <w:bCs/>
                <w:sz w:val="20"/>
                <w:szCs w:val="20"/>
              </w:rPr>
              <w:t>Bank Cost to Income Ratio (%)</w:t>
            </w:r>
          </w:p>
        </w:tc>
        <w:tc>
          <w:tcPr>
            <w:tcW w:w="1559" w:type="dxa"/>
            <w:hideMark/>
          </w:tcPr>
          <w:p w14:paraId="5E54906E" w14:textId="77777777" w:rsidR="005356F6" w:rsidRPr="00435425" w:rsidRDefault="005356F6" w:rsidP="00456FED">
            <w:pPr>
              <w:contextualSpacing/>
              <w:jc w:val="both"/>
              <w:rPr>
                <w:rFonts w:ascii="Cormorant Garamond" w:eastAsia="Calibri" w:hAnsi="Cormorant Garamond"/>
                <w:b/>
                <w:bCs/>
                <w:sz w:val="20"/>
                <w:szCs w:val="20"/>
              </w:rPr>
            </w:pPr>
            <w:r w:rsidRPr="00435425">
              <w:rPr>
                <w:rFonts w:ascii="Cormorant Garamond" w:eastAsia="Calibri" w:hAnsi="Cormorant Garamond"/>
                <w:b/>
                <w:bCs/>
                <w:sz w:val="20"/>
                <w:szCs w:val="20"/>
              </w:rPr>
              <w:t>Growth Rate (%)</w:t>
            </w:r>
          </w:p>
          <w:p w14:paraId="6D35A725" w14:textId="77777777" w:rsidR="005356F6" w:rsidRPr="00435425" w:rsidRDefault="005356F6" w:rsidP="00456FED">
            <w:pPr>
              <w:contextualSpacing/>
              <w:jc w:val="both"/>
              <w:rPr>
                <w:rFonts w:ascii="Cormorant Garamond" w:eastAsia="Calibri" w:hAnsi="Cormorant Garamond"/>
                <w:b/>
                <w:bCs/>
                <w:sz w:val="20"/>
                <w:szCs w:val="20"/>
              </w:rPr>
            </w:pPr>
          </w:p>
        </w:tc>
      </w:tr>
      <w:tr w:rsidR="005356F6" w:rsidRPr="00435425" w14:paraId="334FB41B" w14:textId="77777777" w:rsidTr="006330EE">
        <w:trPr>
          <w:trHeight w:val="204"/>
        </w:trPr>
        <w:tc>
          <w:tcPr>
            <w:tcW w:w="846" w:type="dxa"/>
            <w:hideMark/>
          </w:tcPr>
          <w:p w14:paraId="264285DD"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2000</w:t>
            </w:r>
          </w:p>
        </w:tc>
        <w:tc>
          <w:tcPr>
            <w:tcW w:w="2693" w:type="dxa"/>
            <w:hideMark/>
          </w:tcPr>
          <w:p w14:paraId="61164441"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59.76</w:t>
            </w:r>
          </w:p>
        </w:tc>
        <w:tc>
          <w:tcPr>
            <w:tcW w:w="1559" w:type="dxa"/>
            <w:hideMark/>
          </w:tcPr>
          <w:p w14:paraId="2E454AB4"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w:t>
            </w:r>
          </w:p>
        </w:tc>
      </w:tr>
      <w:tr w:rsidR="005356F6" w:rsidRPr="00435425" w14:paraId="7FC56254" w14:textId="77777777" w:rsidTr="006330EE">
        <w:trPr>
          <w:trHeight w:val="223"/>
        </w:trPr>
        <w:tc>
          <w:tcPr>
            <w:tcW w:w="846" w:type="dxa"/>
            <w:hideMark/>
          </w:tcPr>
          <w:p w14:paraId="13BD4C0C"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2005</w:t>
            </w:r>
          </w:p>
        </w:tc>
        <w:tc>
          <w:tcPr>
            <w:tcW w:w="2693" w:type="dxa"/>
            <w:hideMark/>
          </w:tcPr>
          <w:p w14:paraId="601B32D6"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55.61</w:t>
            </w:r>
          </w:p>
        </w:tc>
        <w:tc>
          <w:tcPr>
            <w:tcW w:w="1559" w:type="dxa"/>
            <w:hideMark/>
          </w:tcPr>
          <w:p w14:paraId="0E7A2AB7"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-6.97</w:t>
            </w:r>
          </w:p>
        </w:tc>
      </w:tr>
      <w:tr w:rsidR="005356F6" w:rsidRPr="00435425" w14:paraId="1B6D7975" w14:textId="77777777" w:rsidTr="006330EE">
        <w:trPr>
          <w:trHeight w:val="285"/>
        </w:trPr>
        <w:tc>
          <w:tcPr>
            <w:tcW w:w="846" w:type="dxa"/>
            <w:hideMark/>
          </w:tcPr>
          <w:p w14:paraId="525A2507"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2010</w:t>
            </w:r>
          </w:p>
        </w:tc>
        <w:tc>
          <w:tcPr>
            <w:tcW w:w="2693" w:type="dxa"/>
            <w:hideMark/>
          </w:tcPr>
          <w:p w14:paraId="674B68C3"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47.92</w:t>
            </w:r>
          </w:p>
        </w:tc>
        <w:tc>
          <w:tcPr>
            <w:tcW w:w="1559" w:type="dxa"/>
            <w:hideMark/>
          </w:tcPr>
          <w:p w14:paraId="52FEFE45"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-13.79</w:t>
            </w:r>
          </w:p>
        </w:tc>
      </w:tr>
      <w:tr w:rsidR="005356F6" w:rsidRPr="00435425" w14:paraId="01E654A7" w14:textId="77777777" w:rsidTr="006330EE">
        <w:trPr>
          <w:trHeight w:val="149"/>
        </w:trPr>
        <w:tc>
          <w:tcPr>
            <w:tcW w:w="846" w:type="dxa"/>
            <w:hideMark/>
          </w:tcPr>
          <w:p w14:paraId="51D92F8E"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2015</w:t>
            </w:r>
          </w:p>
        </w:tc>
        <w:tc>
          <w:tcPr>
            <w:tcW w:w="2693" w:type="dxa"/>
            <w:hideMark/>
          </w:tcPr>
          <w:p w14:paraId="14024151"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47.97</w:t>
            </w:r>
          </w:p>
        </w:tc>
        <w:tc>
          <w:tcPr>
            <w:tcW w:w="1559" w:type="dxa"/>
            <w:hideMark/>
          </w:tcPr>
          <w:p w14:paraId="35907507"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0.11</w:t>
            </w:r>
          </w:p>
        </w:tc>
      </w:tr>
      <w:tr w:rsidR="005356F6" w:rsidRPr="00435425" w14:paraId="38A749C1" w14:textId="77777777" w:rsidTr="006330EE">
        <w:trPr>
          <w:trHeight w:val="225"/>
        </w:trPr>
        <w:tc>
          <w:tcPr>
            <w:tcW w:w="846" w:type="dxa"/>
            <w:hideMark/>
          </w:tcPr>
          <w:p w14:paraId="7C4A4C9A"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2019</w:t>
            </w:r>
          </w:p>
        </w:tc>
        <w:tc>
          <w:tcPr>
            <w:tcW w:w="2693" w:type="dxa"/>
            <w:hideMark/>
          </w:tcPr>
          <w:p w14:paraId="4969AA28"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46.59</w:t>
            </w:r>
          </w:p>
        </w:tc>
        <w:tc>
          <w:tcPr>
            <w:tcW w:w="1559" w:type="dxa"/>
            <w:hideMark/>
          </w:tcPr>
          <w:p w14:paraId="75B194D3"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-2.89</w:t>
            </w:r>
          </w:p>
        </w:tc>
      </w:tr>
      <w:tr w:rsidR="005356F6" w:rsidRPr="00435425" w14:paraId="5E284BE0" w14:textId="77777777" w:rsidTr="006330EE">
        <w:trPr>
          <w:trHeight w:val="231"/>
        </w:trPr>
        <w:tc>
          <w:tcPr>
            <w:tcW w:w="846" w:type="dxa"/>
            <w:hideMark/>
          </w:tcPr>
          <w:p w14:paraId="04C5488F"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2020</w:t>
            </w:r>
          </w:p>
        </w:tc>
        <w:tc>
          <w:tcPr>
            <w:tcW w:w="2693" w:type="dxa"/>
            <w:hideMark/>
          </w:tcPr>
          <w:p w14:paraId="1F7D4874"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47.78</w:t>
            </w:r>
          </w:p>
        </w:tc>
        <w:tc>
          <w:tcPr>
            <w:tcW w:w="1559" w:type="dxa"/>
            <w:hideMark/>
          </w:tcPr>
          <w:p w14:paraId="24514DF4"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2.56</w:t>
            </w:r>
          </w:p>
        </w:tc>
      </w:tr>
      <w:tr w:rsidR="005356F6" w:rsidRPr="00435425" w14:paraId="4C4B01E2" w14:textId="77777777" w:rsidTr="006330EE">
        <w:trPr>
          <w:trHeight w:val="265"/>
        </w:trPr>
        <w:tc>
          <w:tcPr>
            <w:tcW w:w="846" w:type="dxa"/>
            <w:hideMark/>
          </w:tcPr>
          <w:p w14:paraId="4AF3C018"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2021</w:t>
            </w:r>
          </w:p>
        </w:tc>
        <w:tc>
          <w:tcPr>
            <w:tcW w:w="2693" w:type="dxa"/>
            <w:hideMark/>
          </w:tcPr>
          <w:p w14:paraId="041D2BE5"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47.22</w:t>
            </w:r>
          </w:p>
        </w:tc>
        <w:tc>
          <w:tcPr>
            <w:tcW w:w="1559" w:type="dxa"/>
            <w:hideMark/>
          </w:tcPr>
          <w:p w14:paraId="6E299521"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-1.17</w:t>
            </w:r>
          </w:p>
        </w:tc>
      </w:tr>
      <w:tr w:rsidR="005356F6" w:rsidRPr="00435425" w14:paraId="39DB1A48" w14:textId="77777777" w:rsidTr="006330EE">
        <w:trPr>
          <w:trHeight w:val="257"/>
        </w:trPr>
        <w:tc>
          <w:tcPr>
            <w:tcW w:w="846" w:type="dxa"/>
            <w:hideMark/>
          </w:tcPr>
          <w:p w14:paraId="74940E58"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2023</w:t>
            </w:r>
          </w:p>
        </w:tc>
        <w:tc>
          <w:tcPr>
            <w:tcW w:w="2693" w:type="dxa"/>
            <w:hideMark/>
          </w:tcPr>
          <w:p w14:paraId="6EF73E9A"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76.34</w:t>
            </w:r>
          </w:p>
        </w:tc>
        <w:tc>
          <w:tcPr>
            <w:tcW w:w="1559" w:type="dxa"/>
            <w:hideMark/>
          </w:tcPr>
          <w:p w14:paraId="1E2984DF"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61.93</w:t>
            </w:r>
          </w:p>
        </w:tc>
      </w:tr>
    </w:tbl>
    <w:p w14:paraId="258C09A2" w14:textId="77777777" w:rsidR="005356F6" w:rsidRPr="00435425" w:rsidRDefault="005356F6" w:rsidP="00456FED">
      <w:pPr>
        <w:spacing w:line="240" w:lineRule="auto"/>
        <w:jc w:val="both"/>
        <w:rPr>
          <w:rFonts w:ascii="Cormorant Garamond" w:eastAsia="Times New Roman" w:hAnsi="Cormorant Garamond"/>
          <w:b/>
          <w:bCs/>
          <w:kern w:val="0"/>
          <w:sz w:val="28"/>
          <w:szCs w:val="28"/>
          <w14:ligatures w14:val="none"/>
        </w:rPr>
      </w:pPr>
      <w:r w:rsidRPr="00435425">
        <w:rPr>
          <w:rFonts w:ascii="Cormorant Garamond" w:eastAsia="Times New Roman" w:hAnsi="Cormorant Garamond"/>
          <w:kern w:val="0"/>
          <w14:ligatures w14:val="none"/>
        </w:rPr>
        <w:br w:type="textWrapping" w:clear="all"/>
      </w:r>
    </w:p>
    <w:p w14:paraId="085A5EA7" w14:textId="3DF7E84D" w:rsidR="005356F6" w:rsidRPr="00435425" w:rsidRDefault="005356F6" w:rsidP="00456FED">
      <w:pPr>
        <w:spacing w:line="240" w:lineRule="auto"/>
        <w:jc w:val="both"/>
        <w:rPr>
          <w:rFonts w:ascii="Cormorant Garamond" w:eastAsia="Times New Roman" w:hAnsi="Cormorant Garamond"/>
          <w:kern w:val="0"/>
          <w14:ligatures w14:val="none"/>
        </w:rPr>
      </w:pPr>
      <w:r w:rsidRPr="00435425">
        <w:rPr>
          <w:rFonts w:ascii="Cormorant Garamond" w:eastAsia="Times New Roman" w:hAnsi="Cormorant Garamond"/>
          <w:b/>
          <w:bCs/>
          <w:kern w:val="0"/>
          <w:sz w:val="28"/>
          <w:szCs w:val="28"/>
          <w14:ligatures w14:val="none"/>
        </w:rPr>
        <w:lastRenderedPageBreak/>
        <w:t>I</w:t>
      </w:r>
      <w:r w:rsidR="007E4BCE">
        <w:rPr>
          <w:rFonts w:ascii="Cormorant Garamond" w:eastAsia="Times New Roman" w:hAnsi="Cormorant Garamond"/>
          <w:b/>
          <w:bCs/>
          <w:kern w:val="0"/>
          <w:sz w:val="28"/>
          <w:szCs w:val="28"/>
          <w14:ligatures w14:val="none"/>
        </w:rPr>
        <w:t>V</w:t>
      </w:r>
      <w:r w:rsidRPr="00435425">
        <w:rPr>
          <w:rFonts w:ascii="Cormorant Garamond" w:eastAsia="Times New Roman" w:hAnsi="Cormorant Garamond"/>
          <w:b/>
          <w:bCs/>
          <w:kern w:val="0"/>
          <w:sz w:val="28"/>
          <w:szCs w:val="28"/>
          <w14:ligatures w14:val="none"/>
        </w:rPr>
        <w:t xml:space="preserve">.F. IMPACT OF AI ON BANK LENDING-DEPOSIT SPREAD </w:t>
      </w:r>
    </w:p>
    <w:p w14:paraId="0DEDD522" w14:textId="77777777" w:rsidR="005356F6" w:rsidRPr="00435425" w:rsidRDefault="005356F6" w:rsidP="00456FED">
      <w:pPr>
        <w:spacing w:line="240" w:lineRule="auto"/>
        <w:jc w:val="both"/>
        <w:rPr>
          <w:rFonts w:ascii="Cormorant Garamond" w:eastAsia="Calibri" w:hAnsi="Cormorant Garamond"/>
        </w:rPr>
      </w:pPr>
      <w:r w:rsidRPr="00435425">
        <w:rPr>
          <w:rFonts w:ascii="Cormorant Garamond" w:eastAsia="Times New Roman" w:hAnsi="Cormorant Garamond"/>
          <w:kern w:val="0"/>
          <w14:ligatures w14:val="none"/>
        </w:rPr>
        <w:t xml:space="preserve">The bank lending-deposit spread refers to the gap between the interest rate applied to loans (lending rate) and the interest rate offered on deposits (deposit rate). </w:t>
      </w:r>
      <w:r w:rsidRPr="00435425">
        <w:rPr>
          <w:rFonts w:ascii="Cormorant Garamond" w:eastAsia="Calibri" w:hAnsi="Cormorant Garamond"/>
        </w:rPr>
        <w:t>This spread is an important indicator of a bank's profitability since it represents how much the bank receives from lending versus how much it pays on deposits. A wider spread usually indicates better profitability for banks, whereas a lesser spread denotes lower profit margins or increasing competition.</w:t>
      </w:r>
    </w:p>
    <w:p w14:paraId="7816301F" w14:textId="77777777" w:rsidR="005356F6" w:rsidRPr="00EB497D" w:rsidRDefault="005356F6" w:rsidP="00456FED">
      <w:pPr>
        <w:spacing w:line="240" w:lineRule="auto"/>
        <w:jc w:val="both"/>
        <w:rPr>
          <w:rFonts w:ascii="Cormorant Garamond" w:eastAsia="Calibri" w:hAnsi="Cormorant Garamond"/>
        </w:rPr>
      </w:pPr>
      <w:r w:rsidRPr="00435425">
        <w:rPr>
          <w:rFonts w:ascii="Cormorant Garamond" w:eastAsia="Calibri" w:hAnsi="Cormorant Garamond"/>
        </w:rPr>
        <w:t xml:space="preserve">During the </w:t>
      </w:r>
      <w:r w:rsidRPr="00435425">
        <w:rPr>
          <w:rFonts w:ascii="Cormorant Garamond" w:eastAsia="Calibri" w:hAnsi="Cormorant Garamond"/>
          <w:iCs/>
        </w:rPr>
        <w:t>pre-AI period (1990–2019),</w:t>
      </w:r>
      <w:r w:rsidRPr="00435425">
        <w:rPr>
          <w:rFonts w:ascii="Cormorant Garamond" w:eastAsia="Calibri" w:hAnsi="Cormorant Garamond"/>
        </w:rPr>
        <w:t xml:space="preserve"> the bank lending-deposit spread fluctuated significantly. In the early 1990s, the gap was quite narrow, hovering around 3.29% in 1990 and falling to 2.22% in 1991. However, the margin increased sharply in the mid to late 1990s, peaking at 7.68% in 2004. This was attributed to a combination of high interest rates during the Asian financial crisis and increased inflationary pressures in Indonesia. Throughout the 2000s, the spread was unpredictable, with some years, such as 2008, having a spread of 5.1%, reflecting the global financial crisis' impact on bank lending practices.</w:t>
      </w:r>
    </w:p>
    <w:p w14:paraId="06410D00" w14:textId="77777777" w:rsidR="005356F6" w:rsidRPr="00435425" w:rsidRDefault="005356F6" w:rsidP="008030CE">
      <w:pPr>
        <w:spacing w:line="240" w:lineRule="auto"/>
        <w:jc w:val="center"/>
        <w:rPr>
          <w:rFonts w:ascii="Cormorant Garamond" w:eastAsia="Calibri" w:hAnsi="Cormorant Garamond"/>
          <w:b/>
          <w:bCs/>
        </w:rPr>
      </w:pPr>
      <w:r w:rsidRPr="00435425">
        <w:rPr>
          <w:rFonts w:ascii="Cormorant Garamond" w:eastAsia="Calibri" w:hAnsi="Cormorant Garamond"/>
          <w:b/>
          <w:bCs/>
        </w:rPr>
        <w:t>Table 7: Bank Lending-Deposit Spread</w:t>
      </w:r>
      <w:r w:rsidRPr="00435425">
        <w:rPr>
          <w:rStyle w:val="FootnoteReference"/>
          <w:rFonts w:ascii="Cormorant Garamond" w:eastAsia="Calibri" w:hAnsi="Cormorant Garamond"/>
          <w:b/>
          <w:bCs/>
        </w:rPr>
        <w:footnoteReference w:id="49"/>
      </w:r>
    </w:p>
    <w:tbl>
      <w:tblPr>
        <w:tblStyle w:val="TableGrid1"/>
        <w:tblW w:w="0" w:type="auto"/>
        <w:tblLook w:val="04A0" w:firstRow="1" w:lastRow="0" w:firstColumn="1" w:lastColumn="0" w:noHBand="0" w:noVBand="1"/>
      </w:tblPr>
      <w:tblGrid>
        <w:gridCol w:w="1188"/>
        <w:gridCol w:w="1800"/>
        <w:gridCol w:w="1530"/>
        <w:gridCol w:w="1440"/>
        <w:gridCol w:w="1800"/>
        <w:gridCol w:w="1484"/>
      </w:tblGrid>
      <w:tr w:rsidR="005356F6" w:rsidRPr="00435425" w14:paraId="10BD1BF0" w14:textId="77777777" w:rsidTr="006330EE">
        <w:tc>
          <w:tcPr>
            <w:tcW w:w="1188" w:type="dxa"/>
            <w:hideMark/>
          </w:tcPr>
          <w:p w14:paraId="089C76AB"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Year</w:t>
            </w:r>
          </w:p>
        </w:tc>
        <w:tc>
          <w:tcPr>
            <w:tcW w:w="1800" w:type="dxa"/>
            <w:hideMark/>
          </w:tcPr>
          <w:p w14:paraId="75814467"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Bank Lending-Deposit</w:t>
            </w:r>
          </w:p>
          <w:p w14:paraId="7B2A0BCA"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Spread (%)</w:t>
            </w:r>
          </w:p>
        </w:tc>
        <w:tc>
          <w:tcPr>
            <w:tcW w:w="1530" w:type="dxa"/>
          </w:tcPr>
          <w:p w14:paraId="171345A3"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Growth Rate (%)</w:t>
            </w:r>
          </w:p>
        </w:tc>
        <w:tc>
          <w:tcPr>
            <w:tcW w:w="1440" w:type="dxa"/>
            <w:hideMark/>
          </w:tcPr>
          <w:p w14:paraId="59633E6D"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Year</w:t>
            </w:r>
          </w:p>
        </w:tc>
        <w:tc>
          <w:tcPr>
            <w:tcW w:w="1800" w:type="dxa"/>
          </w:tcPr>
          <w:p w14:paraId="4F5ECEFD"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Bank Lending-Deposit</w:t>
            </w:r>
          </w:p>
          <w:p w14:paraId="03378F43"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Spread (%)</w:t>
            </w:r>
          </w:p>
        </w:tc>
        <w:tc>
          <w:tcPr>
            <w:tcW w:w="1484" w:type="dxa"/>
          </w:tcPr>
          <w:p w14:paraId="057FBE88"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Growth Rate (%)</w:t>
            </w:r>
          </w:p>
        </w:tc>
      </w:tr>
      <w:tr w:rsidR="005356F6" w:rsidRPr="00435425" w14:paraId="497D6022" w14:textId="77777777" w:rsidTr="006330EE">
        <w:tc>
          <w:tcPr>
            <w:tcW w:w="1188" w:type="dxa"/>
            <w:hideMark/>
          </w:tcPr>
          <w:p w14:paraId="41E576F5"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1990</w:t>
            </w:r>
          </w:p>
        </w:tc>
        <w:tc>
          <w:tcPr>
            <w:tcW w:w="1800" w:type="dxa"/>
            <w:hideMark/>
          </w:tcPr>
          <w:p w14:paraId="1B11691D"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3.29</w:t>
            </w:r>
          </w:p>
        </w:tc>
        <w:tc>
          <w:tcPr>
            <w:tcW w:w="1530" w:type="dxa"/>
          </w:tcPr>
          <w:p w14:paraId="05FA4013"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w:t>
            </w:r>
          </w:p>
        </w:tc>
        <w:tc>
          <w:tcPr>
            <w:tcW w:w="1440" w:type="dxa"/>
          </w:tcPr>
          <w:p w14:paraId="6C78D7C4"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2007</w:t>
            </w:r>
          </w:p>
        </w:tc>
        <w:tc>
          <w:tcPr>
            <w:tcW w:w="1800" w:type="dxa"/>
          </w:tcPr>
          <w:p w14:paraId="72FA6340"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5.89</w:t>
            </w:r>
          </w:p>
        </w:tc>
        <w:tc>
          <w:tcPr>
            <w:tcW w:w="1484" w:type="dxa"/>
          </w:tcPr>
          <w:p w14:paraId="0ABE8191"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28.9</w:t>
            </w:r>
          </w:p>
        </w:tc>
      </w:tr>
      <w:tr w:rsidR="005356F6" w:rsidRPr="00435425" w14:paraId="770D8312" w14:textId="77777777" w:rsidTr="006330EE">
        <w:tc>
          <w:tcPr>
            <w:tcW w:w="1188" w:type="dxa"/>
            <w:hideMark/>
          </w:tcPr>
          <w:p w14:paraId="69DDC4A0"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1991</w:t>
            </w:r>
          </w:p>
        </w:tc>
        <w:tc>
          <w:tcPr>
            <w:tcW w:w="1800" w:type="dxa"/>
            <w:hideMark/>
          </w:tcPr>
          <w:p w14:paraId="7BCD2AE1"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2.22</w:t>
            </w:r>
          </w:p>
        </w:tc>
        <w:tc>
          <w:tcPr>
            <w:tcW w:w="1530" w:type="dxa"/>
          </w:tcPr>
          <w:p w14:paraId="08F2E424"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-32.5</w:t>
            </w:r>
          </w:p>
        </w:tc>
        <w:tc>
          <w:tcPr>
            <w:tcW w:w="1440" w:type="dxa"/>
          </w:tcPr>
          <w:p w14:paraId="6926E9DB"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2008</w:t>
            </w:r>
          </w:p>
        </w:tc>
        <w:tc>
          <w:tcPr>
            <w:tcW w:w="1800" w:type="dxa"/>
          </w:tcPr>
          <w:p w14:paraId="14E659EB"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5.11</w:t>
            </w:r>
          </w:p>
        </w:tc>
        <w:tc>
          <w:tcPr>
            <w:tcW w:w="1484" w:type="dxa"/>
          </w:tcPr>
          <w:p w14:paraId="64143A4D"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-13.3</w:t>
            </w:r>
          </w:p>
        </w:tc>
      </w:tr>
      <w:tr w:rsidR="005356F6" w:rsidRPr="00435425" w14:paraId="323B7A3F" w14:textId="77777777" w:rsidTr="006330EE">
        <w:tc>
          <w:tcPr>
            <w:tcW w:w="1188" w:type="dxa"/>
            <w:hideMark/>
          </w:tcPr>
          <w:p w14:paraId="5C6A4758"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1992</w:t>
            </w:r>
          </w:p>
        </w:tc>
        <w:tc>
          <w:tcPr>
            <w:tcW w:w="1800" w:type="dxa"/>
            <w:hideMark/>
          </w:tcPr>
          <w:p w14:paraId="743FD3E8"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4.43</w:t>
            </w:r>
          </w:p>
        </w:tc>
        <w:tc>
          <w:tcPr>
            <w:tcW w:w="1530" w:type="dxa"/>
          </w:tcPr>
          <w:p w14:paraId="4FB15C6C"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99.6</w:t>
            </w:r>
          </w:p>
        </w:tc>
        <w:tc>
          <w:tcPr>
            <w:tcW w:w="1440" w:type="dxa"/>
          </w:tcPr>
          <w:p w14:paraId="62337FDC"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2009</w:t>
            </w:r>
          </w:p>
        </w:tc>
        <w:tc>
          <w:tcPr>
            <w:tcW w:w="1800" w:type="dxa"/>
          </w:tcPr>
          <w:p w14:paraId="6CBD18F3"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5.22</w:t>
            </w:r>
          </w:p>
        </w:tc>
        <w:tc>
          <w:tcPr>
            <w:tcW w:w="1484" w:type="dxa"/>
          </w:tcPr>
          <w:p w14:paraId="2D73100C"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2.1</w:t>
            </w:r>
          </w:p>
        </w:tc>
      </w:tr>
      <w:tr w:rsidR="005356F6" w:rsidRPr="00435425" w14:paraId="6C19166F" w14:textId="77777777" w:rsidTr="006330EE">
        <w:tc>
          <w:tcPr>
            <w:tcW w:w="1188" w:type="dxa"/>
            <w:hideMark/>
          </w:tcPr>
          <w:p w14:paraId="2ECD8D38"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1993</w:t>
            </w:r>
          </w:p>
        </w:tc>
        <w:tc>
          <w:tcPr>
            <w:tcW w:w="1800" w:type="dxa"/>
            <w:hideMark/>
          </w:tcPr>
          <w:p w14:paraId="1EAF5804"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6.04</w:t>
            </w:r>
          </w:p>
        </w:tc>
        <w:tc>
          <w:tcPr>
            <w:tcW w:w="1530" w:type="dxa"/>
          </w:tcPr>
          <w:p w14:paraId="47D04D8C"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36.3</w:t>
            </w:r>
          </w:p>
        </w:tc>
        <w:tc>
          <w:tcPr>
            <w:tcW w:w="1440" w:type="dxa"/>
          </w:tcPr>
          <w:p w14:paraId="1D3BC143"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2010</w:t>
            </w:r>
          </w:p>
        </w:tc>
        <w:tc>
          <w:tcPr>
            <w:tcW w:w="1800" w:type="dxa"/>
          </w:tcPr>
          <w:p w14:paraId="1871F32C"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6.24</w:t>
            </w:r>
          </w:p>
        </w:tc>
        <w:tc>
          <w:tcPr>
            <w:tcW w:w="1484" w:type="dxa"/>
          </w:tcPr>
          <w:p w14:paraId="668A8B91"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19.5</w:t>
            </w:r>
          </w:p>
        </w:tc>
      </w:tr>
      <w:tr w:rsidR="005356F6" w:rsidRPr="00435425" w14:paraId="12D3DDE3" w14:textId="77777777" w:rsidTr="006330EE">
        <w:tc>
          <w:tcPr>
            <w:tcW w:w="1188" w:type="dxa"/>
            <w:hideMark/>
          </w:tcPr>
          <w:p w14:paraId="197E9B95"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1994</w:t>
            </w:r>
          </w:p>
        </w:tc>
        <w:tc>
          <w:tcPr>
            <w:tcW w:w="1800" w:type="dxa"/>
            <w:hideMark/>
          </w:tcPr>
          <w:p w14:paraId="29237554"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5.23</w:t>
            </w:r>
          </w:p>
        </w:tc>
        <w:tc>
          <w:tcPr>
            <w:tcW w:w="1530" w:type="dxa"/>
          </w:tcPr>
          <w:p w14:paraId="5058D4F5"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-13.4</w:t>
            </w:r>
          </w:p>
        </w:tc>
        <w:tc>
          <w:tcPr>
            <w:tcW w:w="1440" w:type="dxa"/>
          </w:tcPr>
          <w:p w14:paraId="7AEE92BE"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2011</w:t>
            </w:r>
          </w:p>
        </w:tc>
        <w:tc>
          <w:tcPr>
            <w:tcW w:w="1800" w:type="dxa"/>
          </w:tcPr>
          <w:p w14:paraId="2D8077C3"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5.47</w:t>
            </w:r>
          </w:p>
        </w:tc>
        <w:tc>
          <w:tcPr>
            <w:tcW w:w="1484" w:type="dxa"/>
          </w:tcPr>
          <w:p w14:paraId="347F4DAE"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-12.3</w:t>
            </w:r>
          </w:p>
        </w:tc>
      </w:tr>
      <w:tr w:rsidR="005356F6" w:rsidRPr="00435425" w14:paraId="72757ECC" w14:textId="77777777" w:rsidTr="006330EE">
        <w:tc>
          <w:tcPr>
            <w:tcW w:w="1188" w:type="dxa"/>
            <w:hideMark/>
          </w:tcPr>
          <w:p w14:paraId="64F4007D"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1995</w:t>
            </w:r>
          </w:p>
        </w:tc>
        <w:tc>
          <w:tcPr>
            <w:tcW w:w="1800" w:type="dxa"/>
            <w:hideMark/>
          </w:tcPr>
          <w:p w14:paraId="7FC3AFFF"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2.13</w:t>
            </w:r>
          </w:p>
        </w:tc>
        <w:tc>
          <w:tcPr>
            <w:tcW w:w="1530" w:type="dxa"/>
          </w:tcPr>
          <w:p w14:paraId="1143BBC1"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-59.2</w:t>
            </w:r>
          </w:p>
        </w:tc>
        <w:tc>
          <w:tcPr>
            <w:tcW w:w="1440" w:type="dxa"/>
          </w:tcPr>
          <w:p w14:paraId="6E86A72A"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2012</w:t>
            </w:r>
          </w:p>
        </w:tc>
        <w:tc>
          <w:tcPr>
            <w:tcW w:w="1800" w:type="dxa"/>
          </w:tcPr>
          <w:p w14:paraId="3EC7DE1C"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5.85</w:t>
            </w:r>
          </w:p>
        </w:tc>
        <w:tc>
          <w:tcPr>
            <w:tcW w:w="1484" w:type="dxa"/>
          </w:tcPr>
          <w:p w14:paraId="14A0A8B9"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6.9</w:t>
            </w:r>
          </w:p>
        </w:tc>
      </w:tr>
      <w:tr w:rsidR="005356F6" w:rsidRPr="00435425" w14:paraId="27059E2E" w14:textId="77777777" w:rsidTr="006330EE">
        <w:tc>
          <w:tcPr>
            <w:tcW w:w="1188" w:type="dxa"/>
            <w:hideMark/>
          </w:tcPr>
          <w:p w14:paraId="208E3DCA"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1996</w:t>
            </w:r>
          </w:p>
        </w:tc>
        <w:tc>
          <w:tcPr>
            <w:tcW w:w="1800" w:type="dxa"/>
            <w:hideMark/>
          </w:tcPr>
          <w:p w14:paraId="0BE53498"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1.96</w:t>
            </w:r>
          </w:p>
        </w:tc>
        <w:tc>
          <w:tcPr>
            <w:tcW w:w="1530" w:type="dxa"/>
          </w:tcPr>
          <w:p w14:paraId="731F6642"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-8.0</w:t>
            </w:r>
          </w:p>
        </w:tc>
        <w:tc>
          <w:tcPr>
            <w:tcW w:w="1440" w:type="dxa"/>
          </w:tcPr>
          <w:p w14:paraId="16A2F747"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2013</w:t>
            </w:r>
          </w:p>
        </w:tc>
        <w:tc>
          <w:tcPr>
            <w:tcW w:w="1800" w:type="dxa"/>
          </w:tcPr>
          <w:p w14:paraId="04F517AB"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5.39</w:t>
            </w:r>
          </w:p>
        </w:tc>
        <w:tc>
          <w:tcPr>
            <w:tcW w:w="1484" w:type="dxa"/>
          </w:tcPr>
          <w:p w14:paraId="4999A96D"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-7.9</w:t>
            </w:r>
          </w:p>
        </w:tc>
      </w:tr>
      <w:tr w:rsidR="005356F6" w:rsidRPr="00435425" w14:paraId="0C29BA9A" w14:textId="77777777" w:rsidTr="006330EE">
        <w:tc>
          <w:tcPr>
            <w:tcW w:w="1188" w:type="dxa"/>
            <w:hideMark/>
          </w:tcPr>
          <w:p w14:paraId="1D920D8D"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1997</w:t>
            </w:r>
          </w:p>
        </w:tc>
        <w:tc>
          <w:tcPr>
            <w:tcW w:w="1800" w:type="dxa"/>
            <w:hideMark/>
          </w:tcPr>
          <w:p w14:paraId="071E8E9A"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1.80</w:t>
            </w:r>
          </w:p>
        </w:tc>
        <w:tc>
          <w:tcPr>
            <w:tcW w:w="1530" w:type="dxa"/>
          </w:tcPr>
          <w:p w14:paraId="3A515C26"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-8.1</w:t>
            </w:r>
          </w:p>
        </w:tc>
        <w:tc>
          <w:tcPr>
            <w:tcW w:w="1440" w:type="dxa"/>
          </w:tcPr>
          <w:p w14:paraId="5E48EC1A"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2014</w:t>
            </w:r>
          </w:p>
        </w:tc>
        <w:tc>
          <w:tcPr>
            <w:tcW w:w="1800" w:type="dxa"/>
          </w:tcPr>
          <w:p w14:paraId="2E969A88"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3.85</w:t>
            </w:r>
          </w:p>
        </w:tc>
        <w:tc>
          <w:tcPr>
            <w:tcW w:w="1484" w:type="dxa"/>
          </w:tcPr>
          <w:p w14:paraId="62B31B43"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-28.6</w:t>
            </w:r>
          </w:p>
        </w:tc>
      </w:tr>
      <w:tr w:rsidR="005356F6" w:rsidRPr="00435425" w14:paraId="33B6F191" w14:textId="77777777" w:rsidTr="006330EE">
        <w:tc>
          <w:tcPr>
            <w:tcW w:w="1188" w:type="dxa"/>
            <w:hideMark/>
          </w:tcPr>
          <w:p w14:paraId="37E85095"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1999</w:t>
            </w:r>
          </w:p>
        </w:tc>
        <w:tc>
          <w:tcPr>
            <w:tcW w:w="1800" w:type="dxa"/>
            <w:hideMark/>
          </w:tcPr>
          <w:p w14:paraId="6668252A"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1.93</w:t>
            </w:r>
          </w:p>
        </w:tc>
        <w:tc>
          <w:tcPr>
            <w:tcW w:w="1530" w:type="dxa"/>
          </w:tcPr>
          <w:p w14:paraId="4466AF93"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7.2</w:t>
            </w:r>
          </w:p>
        </w:tc>
        <w:tc>
          <w:tcPr>
            <w:tcW w:w="1440" w:type="dxa"/>
          </w:tcPr>
          <w:p w14:paraId="326A62C9"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2015</w:t>
            </w:r>
          </w:p>
        </w:tc>
        <w:tc>
          <w:tcPr>
            <w:tcW w:w="1800" w:type="dxa"/>
          </w:tcPr>
          <w:p w14:paraId="365C7E54"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4.33</w:t>
            </w:r>
          </w:p>
        </w:tc>
        <w:tc>
          <w:tcPr>
            <w:tcW w:w="1484" w:type="dxa"/>
          </w:tcPr>
          <w:p w14:paraId="15673708"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12.5</w:t>
            </w:r>
          </w:p>
        </w:tc>
      </w:tr>
      <w:tr w:rsidR="005356F6" w:rsidRPr="00435425" w14:paraId="3FB7CFD6" w14:textId="77777777" w:rsidTr="006330EE">
        <w:tc>
          <w:tcPr>
            <w:tcW w:w="1188" w:type="dxa"/>
            <w:hideMark/>
          </w:tcPr>
          <w:p w14:paraId="0C5E2258"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2000</w:t>
            </w:r>
          </w:p>
        </w:tc>
        <w:tc>
          <w:tcPr>
            <w:tcW w:w="1800" w:type="dxa"/>
            <w:hideMark/>
          </w:tcPr>
          <w:p w14:paraId="12583535"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5.95</w:t>
            </w:r>
          </w:p>
        </w:tc>
        <w:tc>
          <w:tcPr>
            <w:tcW w:w="1530" w:type="dxa"/>
          </w:tcPr>
          <w:p w14:paraId="5CFDDE4F"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208</w:t>
            </w:r>
          </w:p>
        </w:tc>
        <w:tc>
          <w:tcPr>
            <w:tcW w:w="1440" w:type="dxa"/>
          </w:tcPr>
          <w:p w14:paraId="12467569"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2016</w:t>
            </w:r>
          </w:p>
        </w:tc>
        <w:tc>
          <w:tcPr>
            <w:tcW w:w="1800" w:type="dxa"/>
          </w:tcPr>
          <w:p w14:paraId="34130886"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4.72</w:t>
            </w:r>
          </w:p>
        </w:tc>
        <w:tc>
          <w:tcPr>
            <w:tcW w:w="1484" w:type="dxa"/>
          </w:tcPr>
          <w:p w14:paraId="593ACC2D"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9.0</w:t>
            </w:r>
          </w:p>
        </w:tc>
      </w:tr>
      <w:tr w:rsidR="005356F6" w:rsidRPr="00435425" w14:paraId="3E3505F8" w14:textId="77777777" w:rsidTr="006330EE">
        <w:tc>
          <w:tcPr>
            <w:tcW w:w="1188" w:type="dxa"/>
            <w:hideMark/>
          </w:tcPr>
          <w:p w14:paraId="09AD1764"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2001</w:t>
            </w:r>
          </w:p>
        </w:tc>
        <w:tc>
          <w:tcPr>
            <w:tcW w:w="1800" w:type="dxa"/>
            <w:hideMark/>
          </w:tcPr>
          <w:p w14:paraId="50671837"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3.07</w:t>
            </w:r>
          </w:p>
        </w:tc>
        <w:tc>
          <w:tcPr>
            <w:tcW w:w="1530" w:type="dxa"/>
          </w:tcPr>
          <w:p w14:paraId="1E18DB5C"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-48.4</w:t>
            </w:r>
          </w:p>
        </w:tc>
        <w:tc>
          <w:tcPr>
            <w:tcW w:w="1440" w:type="dxa"/>
          </w:tcPr>
          <w:p w14:paraId="3AA4290C"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2017</w:t>
            </w:r>
          </w:p>
        </w:tc>
        <w:tc>
          <w:tcPr>
            <w:tcW w:w="1800" w:type="dxa"/>
          </w:tcPr>
          <w:p w14:paraId="46C775EB"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4.56</w:t>
            </w:r>
          </w:p>
        </w:tc>
        <w:tc>
          <w:tcPr>
            <w:tcW w:w="1484" w:type="dxa"/>
          </w:tcPr>
          <w:p w14:paraId="6D0399ED"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-3.4</w:t>
            </w:r>
          </w:p>
        </w:tc>
      </w:tr>
      <w:tr w:rsidR="005356F6" w:rsidRPr="00435425" w14:paraId="27E27DB8" w14:textId="77777777" w:rsidTr="006330EE">
        <w:tc>
          <w:tcPr>
            <w:tcW w:w="1188" w:type="dxa"/>
            <w:hideMark/>
          </w:tcPr>
          <w:p w14:paraId="1332D217"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2002</w:t>
            </w:r>
          </w:p>
        </w:tc>
        <w:tc>
          <w:tcPr>
            <w:tcW w:w="1800" w:type="dxa"/>
            <w:hideMark/>
          </w:tcPr>
          <w:p w14:paraId="1FB26B6A"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3.44</w:t>
            </w:r>
          </w:p>
        </w:tc>
        <w:tc>
          <w:tcPr>
            <w:tcW w:w="1530" w:type="dxa"/>
          </w:tcPr>
          <w:p w14:paraId="1ACF77AF"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12.1</w:t>
            </w:r>
          </w:p>
        </w:tc>
        <w:tc>
          <w:tcPr>
            <w:tcW w:w="1440" w:type="dxa"/>
          </w:tcPr>
          <w:p w14:paraId="242F3491"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2018</w:t>
            </w:r>
          </w:p>
        </w:tc>
        <w:tc>
          <w:tcPr>
            <w:tcW w:w="1800" w:type="dxa"/>
          </w:tcPr>
          <w:p w14:paraId="420056CC"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4.41</w:t>
            </w:r>
          </w:p>
        </w:tc>
        <w:tc>
          <w:tcPr>
            <w:tcW w:w="1484" w:type="dxa"/>
          </w:tcPr>
          <w:p w14:paraId="220EABD3"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-3.3</w:t>
            </w:r>
          </w:p>
        </w:tc>
      </w:tr>
      <w:tr w:rsidR="005356F6" w:rsidRPr="00435425" w14:paraId="0A7F68F6" w14:textId="77777777" w:rsidTr="006330EE">
        <w:tc>
          <w:tcPr>
            <w:tcW w:w="1188" w:type="dxa"/>
            <w:hideMark/>
          </w:tcPr>
          <w:p w14:paraId="36FDBAEF"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2003</w:t>
            </w:r>
          </w:p>
        </w:tc>
        <w:tc>
          <w:tcPr>
            <w:tcW w:w="1800" w:type="dxa"/>
            <w:hideMark/>
          </w:tcPr>
          <w:p w14:paraId="3EF93A6A"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6.35</w:t>
            </w:r>
          </w:p>
        </w:tc>
        <w:tc>
          <w:tcPr>
            <w:tcW w:w="1530" w:type="dxa"/>
          </w:tcPr>
          <w:p w14:paraId="7A42DB4E"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84.3</w:t>
            </w:r>
          </w:p>
        </w:tc>
        <w:tc>
          <w:tcPr>
            <w:tcW w:w="1440" w:type="dxa"/>
          </w:tcPr>
          <w:p w14:paraId="71E447A1"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2019</w:t>
            </w:r>
          </w:p>
        </w:tc>
        <w:tc>
          <w:tcPr>
            <w:tcW w:w="1800" w:type="dxa"/>
          </w:tcPr>
          <w:p w14:paraId="5D9CD4E9"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3.68</w:t>
            </w:r>
          </w:p>
        </w:tc>
        <w:tc>
          <w:tcPr>
            <w:tcW w:w="1484" w:type="dxa"/>
          </w:tcPr>
          <w:p w14:paraId="64A0DE5C"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-16.5</w:t>
            </w:r>
          </w:p>
        </w:tc>
      </w:tr>
      <w:tr w:rsidR="005356F6" w:rsidRPr="00435425" w14:paraId="3DF34B1A" w14:textId="77777777" w:rsidTr="006330EE">
        <w:tc>
          <w:tcPr>
            <w:tcW w:w="1188" w:type="dxa"/>
            <w:hideMark/>
          </w:tcPr>
          <w:p w14:paraId="54EA4A4E"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2004</w:t>
            </w:r>
          </w:p>
        </w:tc>
        <w:tc>
          <w:tcPr>
            <w:tcW w:w="1800" w:type="dxa"/>
            <w:hideMark/>
          </w:tcPr>
          <w:p w14:paraId="3B31813B"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7.68</w:t>
            </w:r>
          </w:p>
        </w:tc>
        <w:tc>
          <w:tcPr>
            <w:tcW w:w="1530" w:type="dxa"/>
          </w:tcPr>
          <w:p w14:paraId="753787AD"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20.8</w:t>
            </w:r>
          </w:p>
        </w:tc>
        <w:tc>
          <w:tcPr>
            <w:tcW w:w="1440" w:type="dxa"/>
          </w:tcPr>
          <w:p w14:paraId="6E5CF07B"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2020</w:t>
            </w:r>
          </w:p>
        </w:tc>
        <w:tc>
          <w:tcPr>
            <w:tcW w:w="1800" w:type="dxa"/>
          </w:tcPr>
          <w:p w14:paraId="7E82899A"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4.04</w:t>
            </w:r>
          </w:p>
        </w:tc>
        <w:tc>
          <w:tcPr>
            <w:tcW w:w="1484" w:type="dxa"/>
          </w:tcPr>
          <w:p w14:paraId="70E5E0F0"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9.8</w:t>
            </w:r>
          </w:p>
        </w:tc>
      </w:tr>
      <w:tr w:rsidR="005356F6" w:rsidRPr="00435425" w14:paraId="21E82D60" w14:textId="77777777" w:rsidTr="006330EE">
        <w:tc>
          <w:tcPr>
            <w:tcW w:w="1188" w:type="dxa"/>
            <w:hideMark/>
          </w:tcPr>
          <w:p w14:paraId="3994FE49"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2005</w:t>
            </w:r>
          </w:p>
        </w:tc>
        <w:tc>
          <w:tcPr>
            <w:tcW w:w="1800" w:type="dxa"/>
            <w:hideMark/>
          </w:tcPr>
          <w:p w14:paraId="23EC0832"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5.97</w:t>
            </w:r>
          </w:p>
        </w:tc>
        <w:tc>
          <w:tcPr>
            <w:tcW w:w="1530" w:type="dxa"/>
          </w:tcPr>
          <w:p w14:paraId="31031931"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-22.2</w:t>
            </w:r>
          </w:p>
        </w:tc>
        <w:tc>
          <w:tcPr>
            <w:tcW w:w="1440" w:type="dxa"/>
          </w:tcPr>
          <w:p w14:paraId="5EEA3B06"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2023</w:t>
            </w:r>
          </w:p>
        </w:tc>
        <w:tc>
          <w:tcPr>
            <w:tcW w:w="1800" w:type="dxa"/>
          </w:tcPr>
          <w:p w14:paraId="5AE7474B"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4.29</w:t>
            </w:r>
          </w:p>
        </w:tc>
        <w:tc>
          <w:tcPr>
            <w:tcW w:w="1484" w:type="dxa"/>
          </w:tcPr>
          <w:p w14:paraId="75A6FA95"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6.2</w:t>
            </w:r>
          </w:p>
        </w:tc>
      </w:tr>
      <w:tr w:rsidR="005356F6" w:rsidRPr="00435425" w14:paraId="1825CC4F" w14:textId="77777777" w:rsidTr="006330EE">
        <w:tc>
          <w:tcPr>
            <w:tcW w:w="1188" w:type="dxa"/>
            <w:hideMark/>
          </w:tcPr>
          <w:p w14:paraId="63219078" w14:textId="77777777" w:rsidR="005356F6" w:rsidRPr="00435425" w:rsidRDefault="005356F6" w:rsidP="00456FED">
            <w:pPr>
              <w:contextualSpacing/>
              <w:jc w:val="both"/>
              <w:rPr>
                <w:rFonts w:ascii="Cormorant Garamond" w:eastAsia="Calibri" w:hAnsi="Cormorant Garamond"/>
                <w:b/>
                <w:bCs/>
                <w:sz w:val="20"/>
                <w:szCs w:val="20"/>
              </w:rPr>
            </w:pPr>
            <w:r w:rsidRPr="00435425">
              <w:rPr>
                <w:rFonts w:ascii="Cormorant Garamond" w:eastAsia="Calibri" w:hAnsi="Cormorant Garamond"/>
                <w:b/>
                <w:bCs/>
                <w:sz w:val="20"/>
                <w:szCs w:val="20"/>
              </w:rPr>
              <w:t>2006</w:t>
            </w:r>
          </w:p>
        </w:tc>
        <w:tc>
          <w:tcPr>
            <w:tcW w:w="1800" w:type="dxa"/>
            <w:hideMark/>
          </w:tcPr>
          <w:p w14:paraId="19B02835" w14:textId="77777777" w:rsidR="005356F6" w:rsidRPr="00435425" w:rsidRDefault="005356F6" w:rsidP="00456FED">
            <w:pPr>
              <w:contextualSpacing/>
              <w:jc w:val="both"/>
              <w:rPr>
                <w:rFonts w:ascii="Cormorant Garamond" w:eastAsia="Calibri" w:hAnsi="Cormorant Garamond"/>
                <w:sz w:val="20"/>
                <w:szCs w:val="20"/>
              </w:rPr>
            </w:pPr>
            <w:r w:rsidRPr="00435425">
              <w:rPr>
                <w:rFonts w:ascii="Cormorant Garamond" w:eastAsia="Calibri" w:hAnsi="Cormorant Garamond"/>
                <w:sz w:val="20"/>
                <w:szCs w:val="20"/>
              </w:rPr>
              <w:t>4.57</w:t>
            </w:r>
          </w:p>
        </w:tc>
        <w:tc>
          <w:tcPr>
            <w:tcW w:w="1530" w:type="dxa"/>
          </w:tcPr>
          <w:p w14:paraId="16034037" w14:textId="77777777" w:rsidR="005356F6" w:rsidRPr="00435425" w:rsidRDefault="005356F6" w:rsidP="00456FED">
            <w:pPr>
              <w:contextualSpacing/>
              <w:jc w:val="both"/>
              <w:rPr>
                <w:rFonts w:ascii="Cormorant Garamond" w:eastAsia="Calibri" w:hAnsi="Cormorant Garamond"/>
                <w:sz w:val="20"/>
                <w:szCs w:val="20"/>
              </w:rPr>
            </w:pPr>
            <w:r w:rsidRPr="00435425">
              <w:rPr>
                <w:rFonts w:ascii="Cormorant Garamond" w:eastAsia="Calibri" w:hAnsi="Cormorant Garamond"/>
                <w:sz w:val="20"/>
                <w:szCs w:val="20"/>
              </w:rPr>
              <w:t>-23.5</w:t>
            </w:r>
          </w:p>
        </w:tc>
        <w:tc>
          <w:tcPr>
            <w:tcW w:w="1440" w:type="dxa"/>
          </w:tcPr>
          <w:p w14:paraId="15C331FC" w14:textId="77777777" w:rsidR="005356F6" w:rsidRPr="00435425" w:rsidRDefault="005356F6" w:rsidP="00456FED">
            <w:pPr>
              <w:contextualSpacing/>
              <w:jc w:val="both"/>
              <w:rPr>
                <w:rFonts w:ascii="Cormorant Garamond" w:eastAsia="Calibri" w:hAnsi="Cormorant Garamond"/>
                <w:b/>
                <w:bCs/>
                <w:sz w:val="20"/>
                <w:szCs w:val="20"/>
              </w:rPr>
            </w:pPr>
          </w:p>
        </w:tc>
        <w:tc>
          <w:tcPr>
            <w:tcW w:w="1800" w:type="dxa"/>
          </w:tcPr>
          <w:p w14:paraId="7C614644" w14:textId="77777777" w:rsidR="005356F6" w:rsidRPr="00435425" w:rsidRDefault="005356F6" w:rsidP="00456FED">
            <w:pPr>
              <w:contextualSpacing/>
              <w:jc w:val="both"/>
              <w:rPr>
                <w:rFonts w:ascii="Cormorant Garamond" w:eastAsia="Calibri" w:hAnsi="Cormorant Garamond"/>
                <w:sz w:val="20"/>
                <w:szCs w:val="20"/>
              </w:rPr>
            </w:pPr>
          </w:p>
        </w:tc>
        <w:tc>
          <w:tcPr>
            <w:tcW w:w="1484" w:type="dxa"/>
          </w:tcPr>
          <w:p w14:paraId="3AD1A7F9" w14:textId="77777777" w:rsidR="005356F6" w:rsidRPr="00435425" w:rsidRDefault="005356F6" w:rsidP="00456FED">
            <w:pPr>
              <w:contextualSpacing/>
              <w:jc w:val="both"/>
              <w:rPr>
                <w:rFonts w:ascii="Cormorant Garamond" w:eastAsia="Calibri" w:hAnsi="Cormorant Garamond"/>
                <w:sz w:val="20"/>
                <w:szCs w:val="20"/>
              </w:rPr>
            </w:pPr>
          </w:p>
        </w:tc>
      </w:tr>
    </w:tbl>
    <w:p w14:paraId="7D1BA5CC" w14:textId="77777777" w:rsidR="005356F6" w:rsidRPr="00435425" w:rsidRDefault="005356F6" w:rsidP="00456FED">
      <w:pPr>
        <w:spacing w:line="240" w:lineRule="auto"/>
        <w:contextualSpacing/>
        <w:jc w:val="both"/>
        <w:rPr>
          <w:rFonts w:ascii="Cormorant Garamond" w:eastAsia="Calibri" w:hAnsi="Cormorant Garamond"/>
        </w:rPr>
      </w:pPr>
    </w:p>
    <w:p w14:paraId="28B47EAB" w14:textId="77777777" w:rsidR="005356F6" w:rsidRPr="00435425" w:rsidRDefault="005356F6" w:rsidP="00456FED">
      <w:pPr>
        <w:spacing w:line="240" w:lineRule="auto"/>
        <w:jc w:val="both"/>
        <w:rPr>
          <w:rFonts w:ascii="Cormorant Garamond" w:eastAsia="Calibri" w:hAnsi="Cormorant Garamond"/>
        </w:rPr>
      </w:pPr>
      <w:r w:rsidRPr="00435425">
        <w:rPr>
          <w:rFonts w:ascii="Cormorant Garamond" w:eastAsia="Calibri" w:hAnsi="Cormorant Garamond"/>
        </w:rPr>
        <w:t xml:space="preserve">The spread fluctuated during the 2010s, but generally remained in the 4-5% area. The lowering trend witnessed after 2015. The lower spread in the years after 2015 indicated a more cautious economic situation, with banks focusing on credit quality and lowering lending rates to entice customers. </w:t>
      </w:r>
    </w:p>
    <w:p w14:paraId="2F6C2DD4" w14:textId="77777777" w:rsidR="005356F6" w:rsidRPr="00435425" w:rsidRDefault="005356F6" w:rsidP="008030CE">
      <w:pPr>
        <w:spacing w:line="240" w:lineRule="auto"/>
        <w:jc w:val="center"/>
        <w:rPr>
          <w:rFonts w:ascii="Cormorant Garamond" w:eastAsia="Calibri" w:hAnsi="Cormorant Garamond"/>
        </w:rPr>
      </w:pPr>
      <w:r w:rsidRPr="00435425">
        <w:rPr>
          <w:rFonts w:ascii="Cormorant Garamond" w:eastAsia="Calibri" w:hAnsi="Cormorant Garamond"/>
          <w:b/>
          <w:bCs/>
        </w:rPr>
        <w:t>Figure 5: Bank Lending-Deposit Spread (%)</w:t>
      </w:r>
      <w:r w:rsidRPr="00435425">
        <w:rPr>
          <w:rStyle w:val="FootnoteReference"/>
          <w:rFonts w:ascii="Cormorant Garamond" w:eastAsia="Calibri" w:hAnsi="Cormorant Garamond"/>
          <w:b/>
          <w:bCs/>
        </w:rPr>
        <w:footnoteReference w:id="50"/>
      </w:r>
    </w:p>
    <w:p w14:paraId="4C29758F" w14:textId="6B1C19B3" w:rsidR="005356F6" w:rsidRDefault="00293B74" w:rsidP="008030CE">
      <w:pPr>
        <w:spacing w:line="240" w:lineRule="auto"/>
        <w:jc w:val="center"/>
        <w:rPr>
          <w:rFonts w:ascii="Cormorant Garamond" w:hAnsi="Cormorant Garamond" w:cs="Cormorant Garamond"/>
          <w:lang w:val="en-IN"/>
        </w:rPr>
      </w:pPr>
      <w:r>
        <w:rPr>
          <w:rFonts w:ascii="Cormorant Garamond" w:hAnsi="Cormorant Garamond" w:cs="Cormorant Garamond"/>
          <w:noProof/>
          <w:lang w:bidi="ar-SA"/>
        </w:rPr>
        <w:lastRenderedPageBreak/>
        <w:drawing>
          <wp:inline distT="0" distB="0" distL="0" distR="0" wp14:anchorId="3012D14E" wp14:editId="286D57F4">
            <wp:extent cx="4826971" cy="1867611"/>
            <wp:effectExtent l="0" t="0" r="0" b="0"/>
            <wp:docPr id="15211335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133578" name="Picture 152113357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26971" cy="1867611"/>
                    </a:xfrm>
                    <a:prstGeom prst="rect">
                      <a:avLst/>
                    </a:prstGeom>
                  </pic:spPr>
                </pic:pic>
              </a:graphicData>
            </a:graphic>
          </wp:inline>
        </w:drawing>
      </w:r>
    </w:p>
    <w:p w14:paraId="684D0100" w14:textId="77777777" w:rsidR="00293B74" w:rsidRPr="00435425" w:rsidRDefault="00293B74" w:rsidP="00456FED">
      <w:pPr>
        <w:spacing w:line="240" w:lineRule="auto"/>
        <w:jc w:val="both"/>
        <w:rPr>
          <w:rFonts w:ascii="Cormorant Garamond" w:eastAsia="Calibri" w:hAnsi="Cormorant Garamond"/>
        </w:rPr>
      </w:pPr>
      <w:r w:rsidRPr="00435425">
        <w:rPr>
          <w:rFonts w:ascii="Cormorant Garamond" w:eastAsia="Calibri" w:hAnsi="Cormorant Garamond"/>
        </w:rPr>
        <w:t>The lending-deposit spread's growth rate suggests that, while the spread fell in 2019, the post-2019 rebound in 2020 and 2023 illustrates the influence of AI-driven efficiency and banking sector digitization, which has stabilized and even increased the spread modestly in recent years. The post-2019 timeframe shows signs of growing deposit volumes, aided by the incorporation of AI into the banking industry.</w:t>
      </w:r>
    </w:p>
    <w:p w14:paraId="6D2C43CD" w14:textId="77777777" w:rsidR="00293B74" w:rsidRPr="00435425" w:rsidRDefault="00293B74" w:rsidP="008030CE">
      <w:pPr>
        <w:spacing w:line="240" w:lineRule="auto"/>
        <w:jc w:val="center"/>
        <w:rPr>
          <w:rFonts w:ascii="Cormorant Garamond" w:eastAsia="Calibri" w:hAnsi="Cormorant Garamond"/>
          <w:b/>
          <w:bCs/>
        </w:rPr>
      </w:pPr>
      <w:r w:rsidRPr="00435425">
        <w:rPr>
          <w:rFonts w:ascii="Cormorant Garamond" w:eastAsia="Calibri" w:hAnsi="Cormorant Garamond"/>
          <w:b/>
          <w:bCs/>
        </w:rPr>
        <w:t>Table 8: Comparative Analysis of Bank Lending-Deposit Spread</w:t>
      </w:r>
      <w:r w:rsidRPr="00435425">
        <w:rPr>
          <w:rStyle w:val="FootnoteReference"/>
          <w:rFonts w:ascii="Cormorant Garamond" w:eastAsia="Calibri" w:hAnsi="Cormorant Garamond"/>
          <w:b/>
          <w:bCs/>
        </w:rPr>
        <w:footnoteReference w:id="51"/>
      </w:r>
    </w:p>
    <w:tbl>
      <w:tblPr>
        <w:tblStyle w:val="TableGrid1"/>
        <w:tblW w:w="0" w:type="auto"/>
        <w:jc w:val="center"/>
        <w:tblLook w:val="04A0" w:firstRow="1" w:lastRow="0" w:firstColumn="1" w:lastColumn="0" w:noHBand="0" w:noVBand="1"/>
      </w:tblPr>
      <w:tblGrid>
        <w:gridCol w:w="2344"/>
        <w:gridCol w:w="2471"/>
        <w:gridCol w:w="2693"/>
      </w:tblGrid>
      <w:tr w:rsidR="00293B74" w:rsidRPr="00435425" w14:paraId="62D589F3" w14:textId="77777777" w:rsidTr="006330EE">
        <w:trPr>
          <w:jc w:val="center"/>
        </w:trPr>
        <w:tc>
          <w:tcPr>
            <w:tcW w:w="2344" w:type="dxa"/>
            <w:hideMark/>
          </w:tcPr>
          <w:p w14:paraId="5631F167" w14:textId="77777777" w:rsidR="00293B74" w:rsidRPr="00435425" w:rsidRDefault="00293B74"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Period</w:t>
            </w:r>
          </w:p>
        </w:tc>
        <w:tc>
          <w:tcPr>
            <w:tcW w:w="2471" w:type="dxa"/>
            <w:hideMark/>
          </w:tcPr>
          <w:p w14:paraId="5506E5D7" w14:textId="77777777" w:rsidR="00293B74" w:rsidRPr="00435425" w:rsidRDefault="00293B74"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Average Bank Lending-Deposit Spread (%)</w:t>
            </w:r>
          </w:p>
        </w:tc>
        <w:tc>
          <w:tcPr>
            <w:tcW w:w="2693" w:type="dxa"/>
            <w:hideMark/>
          </w:tcPr>
          <w:p w14:paraId="04AC58C1" w14:textId="77777777" w:rsidR="00293B74" w:rsidRPr="00435425" w:rsidRDefault="00293B74"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Average Growth of Bank Lending-Deposit Spread (%)</w:t>
            </w:r>
          </w:p>
        </w:tc>
      </w:tr>
      <w:tr w:rsidR="00293B74" w:rsidRPr="00435425" w14:paraId="70B9B4D1" w14:textId="77777777" w:rsidTr="006330EE">
        <w:trPr>
          <w:trHeight w:val="267"/>
          <w:jc w:val="center"/>
        </w:trPr>
        <w:tc>
          <w:tcPr>
            <w:tcW w:w="2344" w:type="dxa"/>
            <w:hideMark/>
          </w:tcPr>
          <w:p w14:paraId="351A2511" w14:textId="77777777" w:rsidR="00293B74" w:rsidRPr="00435425" w:rsidRDefault="00293B74"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Pre-AI (1990-2019)</w:t>
            </w:r>
          </w:p>
        </w:tc>
        <w:tc>
          <w:tcPr>
            <w:tcW w:w="2471" w:type="dxa"/>
            <w:hideMark/>
          </w:tcPr>
          <w:p w14:paraId="470CC555"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4.40</w:t>
            </w:r>
          </w:p>
        </w:tc>
        <w:tc>
          <w:tcPr>
            <w:tcW w:w="2693" w:type="dxa"/>
            <w:hideMark/>
          </w:tcPr>
          <w:p w14:paraId="4FFB24A5"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-2.18</w:t>
            </w:r>
          </w:p>
        </w:tc>
      </w:tr>
      <w:tr w:rsidR="00293B74" w:rsidRPr="00435425" w14:paraId="78BA2355" w14:textId="77777777" w:rsidTr="006330EE">
        <w:trPr>
          <w:trHeight w:val="285"/>
          <w:jc w:val="center"/>
        </w:trPr>
        <w:tc>
          <w:tcPr>
            <w:tcW w:w="2344" w:type="dxa"/>
            <w:hideMark/>
          </w:tcPr>
          <w:p w14:paraId="1F5A9ED4" w14:textId="77777777" w:rsidR="00293B74" w:rsidRPr="00435425" w:rsidRDefault="00293B74"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Post-AI (2020-2024)</w:t>
            </w:r>
          </w:p>
        </w:tc>
        <w:tc>
          <w:tcPr>
            <w:tcW w:w="2471" w:type="dxa"/>
            <w:hideMark/>
          </w:tcPr>
          <w:p w14:paraId="728BE9E1"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4.21</w:t>
            </w:r>
          </w:p>
        </w:tc>
        <w:tc>
          <w:tcPr>
            <w:tcW w:w="2693" w:type="dxa"/>
            <w:hideMark/>
          </w:tcPr>
          <w:p w14:paraId="7C9845C9"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6.5</w:t>
            </w:r>
          </w:p>
        </w:tc>
      </w:tr>
    </w:tbl>
    <w:p w14:paraId="17EA62B3" w14:textId="77777777" w:rsidR="00293B74" w:rsidRPr="00435425" w:rsidRDefault="00293B74" w:rsidP="00456FED">
      <w:pPr>
        <w:spacing w:line="240" w:lineRule="auto"/>
        <w:jc w:val="both"/>
        <w:rPr>
          <w:rFonts w:ascii="Cormorant Garamond" w:eastAsia="Calibri" w:hAnsi="Cormorant Garamond"/>
        </w:rPr>
      </w:pPr>
    </w:p>
    <w:p w14:paraId="15D93962" w14:textId="77777777" w:rsidR="00293B74" w:rsidRPr="00435425" w:rsidRDefault="00293B74" w:rsidP="00456FED">
      <w:pPr>
        <w:spacing w:line="240" w:lineRule="auto"/>
        <w:jc w:val="both"/>
        <w:rPr>
          <w:rFonts w:ascii="Cormorant Garamond" w:eastAsia="Calibri" w:hAnsi="Cormorant Garamond"/>
        </w:rPr>
      </w:pPr>
      <w:r w:rsidRPr="00435425">
        <w:rPr>
          <w:rFonts w:ascii="Cormorant Garamond" w:eastAsia="Calibri" w:hAnsi="Cormorant Garamond"/>
        </w:rPr>
        <w:t xml:space="preserve">According to the CEIC Data, Indonesia total deposits increased from USD 514.974 billion in August 2024 to USD 528.733 billion in September 2024, demonstrating a consistent increase in deposit volumes during this time period. This is consistent with the larger use of AI technologies in banking, which have improved client targeting, risk assessment, and deposit mobilization techniques. </w:t>
      </w:r>
    </w:p>
    <w:p w14:paraId="497B1B99" w14:textId="4CF7ED1B" w:rsidR="00293B74" w:rsidRPr="00435425" w:rsidRDefault="00293B74" w:rsidP="00456FED">
      <w:pPr>
        <w:spacing w:line="240" w:lineRule="auto"/>
        <w:jc w:val="both"/>
        <w:rPr>
          <w:rFonts w:ascii="Cormorant Garamond" w:eastAsia="Times New Roman" w:hAnsi="Cormorant Garamond"/>
          <w:b/>
          <w:bCs/>
          <w:kern w:val="0"/>
          <w:sz w:val="28"/>
          <w:szCs w:val="28"/>
          <w14:ligatures w14:val="none"/>
        </w:rPr>
      </w:pPr>
      <w:r w:rsidRPr="00435425">
        <w:rPr>
          <w:rFonts w:ascii="Cormorant Garamond" w:eastAsia="Times New Roman" w:hAnsi="Cormorant Garamond"/>
          <w:b/>
          <w:bCs/>
          <w:kern w:val="0"/>
          <w:sz w:val="28"/>
          <w:szCs w:val="28"/>
          <w14:ligatures w14:val="none"/>
        </w:rPr>
        <w:t>I</w:t>
      </w:r>
      <w:r w:rsidR="007E4BCE">
        <w:rPr>
          <w:rFonts w:ascii="Cormorant Garamond" w:eastAsia="Times New Roman" w:hAnsi="Cormorant Garamond"/>
          <w:b/>
          <w:bCs/>
          <w:kern w:val="0"/>
          <w:sz w:val="28"/>
          <w:szCs w:val="28"/>
          <w14:ligatures w14:val="none"/>
        </w:rPr>
        <w:t>V</w:t>
      </w:r>
      <w:r w:rsidRPr="00435425">
        <w:rPr>
          <w:rFonts w:ascii="Cormorant Garamond" w:eastAsia="Times New Roman" w:hAnsi="Cormorant Garamond"/>
          <w:b/>
          <w:bCs/>
          <w:kern w:val="0"/>
          <w:sz w:val="28"/>
          <w:szCs w:val="28"/>
          <w14:ligatures w14:val="none"/>
        </w:rPr>
        <w:t>.G. IMPACT OF AI ON BANK NON-PERFORMING LOANS TO GROSS LOANS (%)</w:t>
      </w:r>
    </w:p>
    <w:p w14:paraId="12DEA2DD" w14:textId="77777777" w:rsidR="00293B74" w:rsidRPr="00435425" w:rsidRDefault="00293B74" w:rsidP="00456FED">
      <w:pPr>
        <w:spacing w:line="240" w:lineRule="auto"/>
        <w:jc w:val="both"/>
        <w:rPr>
          <w:rFonts w:ascii="Cormorant Garamond" w:eastAsia="Calibri" w:hAnsi="Cormorant Garamond"/>
        </w:rPr>
      </w:pPr>
      <w:r w:rsidRPr="00435425">
        <w:rPr>
          <w:rFonts w:ascii="Cormorant Garamond" w:eastAsia="Calibri" w:hAnsi="Cormorant Garamond"/>
        </w:rPr>
        <w:t>The ratio of Non-Performing Loans (NPLs) to Gross Loans is an important indicator of the soundness of the banking industry. It calculates the percentage of loans that are not paid on time (i.e. loans that are past due or unlikely to be collected). A high NPL ratio indicates poor credit quality, which might jeopardize the viability of the banking industry, whereas a low level indicates healthy financial conditions.</w:t>
      </w:r>
    </w:p>
    <w:p w14:paraId="021AA971" w14:textId="77777777" w:rsidR="00293B74" w:rsidRPr="00435425" w:rsidRDefault="00293B74" w:rsidP="008030CE">
      <w:pPr>
        <w:spacing w:line="240" w:lineRule="auto"/>
        <w:jc w:val="center"/>
        <w:rPr>
          <w:rFonts w:ascii="Cormorant Garamond" w:eastAsia="Calibri" w:hAnsi="Cormorant Garamond"/>
          <w:b/>
          <w:bCs/>
        </w:rPr>
      </w:pPr>
      <w:r w:rsidRPr="00435425">
        <w:rPr>
          <w:rFonts w:ascii="Cormorant Garamond" w:eastAsia="Calibri" w:hAnsi="Cormorant Garamond"/>
          <w:b/>
          <w:bCs/>
        </w:rPr>
        <w:t>Table 9:</w:t>
      </w:r>
      <w:r w:rsidRPr="00435425">
        <w:rPr>
          <w:rFonts w:ascii="Cormorant Garamond" w:eastAsia="Calibri" w:hAnsi="Cormorant Garamond"/>
          <w:b/>
          <w:bCs/>
          <w:kern w:val="0"/>
          <w14:ligatures w14:val="none"/>
        </w:rPr>
        <w:t xml:space="preserve"> </w:t>
      </w:r>
      <w:r w:rsidRPr="00435425">
        <w:rPr>
          <w:rFonts w:ascii="Cormorant Garamond" w:eastAsia="Calibri" w:hAnsi="Cormorant Garamond"/>
          <w:b/>
          <w:bCs/>
        </w:rPr>
        <w:t>Bank’s non-performing loans to Gross loans</w:t>
      </w:r>
      <w:r w:rsidRPr="00435425">
        <w:rPr>
          <w:rStyle w:val="FootnoteReference"/>
          <w:rFonts w:ascii="Cormorant Garamond" w:eastAsia="Calibri" w:hAnsi="Cormorant Garamond"/>
          <w:b/>
          <w:bCs/>
        </w:rPr>
        <w:footnoteReference w:id="52"/>
      </w:r>
    </w:p>
    <w:tbl>
      <w:tblPr>
        <w:tblStyle w:val="TableGrid1"/>
        <w:tblW w:w="5823" w:type="dxa"/>
        <w:jc w:val="center"/>
        <w:tblLook w:val="04A0" w:firstRow="1" w:lastRow="0" w:firstColumn="1" w:lastColumn="0" w:noHBand="0" w:noVBand="1"/>
      </w:tblPr>
      <w:tblGrid>
        <w:gridCol w:w="1008"/>
        <w:gridCol w:w="1980"/>
        <w:gridCol w:w="1134"/>
        <w:gridCol w:w="1701"/>
      </w:tblGrid>
      <w:tr w:rsidR="00293B74" w:rsidRPr="00435425" w14:paraId="39A386CF" w14:textId="77777777" w:rsidTr="006330EE">
        <w:trPr>
          <w:trHeight w:val="312"/>
          <w:jc w:val="center"/>
        </w:trPr>
        <w:tc>
          <w:tcPr>
            <w:tcW w:w="1008" w:type="dxa"/>
            <w:noWrap/>
            <w:hideMark/>
          </w:tcPr>
          <w:p w14:paraId="53E30D85"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Year</w:t>
            </w:r>
          </w:p>
        </w:tc>
        <w:tc>
          <w:tcPr>
            <w:tcW w:w="1980" w:type="dxa"/>
            <w:noWrap/>
            <w:hideMark/>
          </w:tcPr>
          <w:p w14:paraId="488A8D5F"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Bank NPL to</w:t>
            </w:r>
          </w:p>
          <w:p w14:paraId="065E4F21"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Gross loans (%)</w:t>
            </w:r>
          </w:p>
        </w:tc>
        <w:tc>
          <w:tcPr>
            <w:tcW w:w="1134" w:type="dxa"/>
          </w:tcPr>
          <w:p w14:paraId="6B0E61C1"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Year</w:t>
            </w:r>
          </w:p>
        </w:tc>
        <w:tc>
          <w:tcPr>
            <w:tcW w:w="1701" w:type="dxa"/>
          </w:tcPr>
          <w:p w14:paraId="21C90EDE"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Bank NPL to</w:t>
            </w:r>
          </w:p>
          <w:p w14:paraId="394C27E6"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Gross loans (%)</w:t>
            </w:r>
          </w:p>
        </w:tc>
      </w:tr>
      <w:tr w:rsidR="00293B74" w:rsidRPr="00435425" w14:paraId="4A3F7E60" w14:textId="77777777" w:rsidTr="006330EE">
        <w:trPr>
          <w:trHeight w:val="312"/>
          <w:jc w:val="center"/>
        </w:trPr>
        <w:tc>
          <w:tcPr>
            <w:tcW w:w="1008" w:type="dxa"/>
            <w:noWrap/>
            <w:hideMark/>
          </w:tcPr>
          <w:p w14:paraId="51778E63"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1998</w:t>
            </w:r>
          </w:p>
        </w:tc>
        <w:tc>
          <w:tcPr>
            <w:tcW w:w="1980" w:type="dxa"/>
            <w:noWrap/>
            <w:hideMark/>
          </w:tcPr>
          <w:p w14:paraId="729E47F9"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48.60</w:t>
            </w:r>
          </w:p>
        </w:tc>
        <w:tc>
          <w:tcPr>
            <w:tcW w:w="1134" w:type="dxa"/>
          </w:tcPr>
          <w:p w14:paraId="3D3C1DC2"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2010</w:t>
            </w:r>
          </w:p>
        </w:tc>
        <w:tc>
          <w:tcPr>
            <w:tcW w:w="1701" w:type="dxa"/>
          </w:tcPr>
          <w:p w14:paraId="464E7085"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2.53</w:t>
            </w:r>
          </w:p>
        </w:tc>
      </w:tr>
      <w:tr w:rsidR="00293B74" w:rsidRPr="00435425" w14:paraId="046C7F63" w14:textId="77777777" w:rsidTr="006330EE">
        <w:trPr>
          <w:trHeight w:val="312"/>
          <w:jc w:val="center"/>
        </w:trPr>
        <w:tc>
          <w:tcPr>
            <w:tcW w:w="1008" w:type="dxa"/>
            <w:noWrap/>
            <w:hideMark/>
          </w:tcPr>
          <w:p w14:paraId="00DFFD79"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1999</w:t>
            </w:r>
          </w:p>
        </w:tc>
        <w:tc>
          <w:tcPr>
            <w:tcW w:w="1980" w:type="dxa"/>
            <w:noWrap/>
            <w:hideMark/>
          </w:tcPr>
          <w:p w14:paraId="2C0BC135"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32.90</w:t>
            </w:r>
          </w:p>
        </w:tc>
        <w:tc>
          <w:tcPr>
            <w:tcW w:w="1134" w:type="dxa"/>
          </w:tcPr>
          <w:p w14:paraId="59FFD536"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2011</w:t>
            </w:r>
          </w:p>
        </w:tc>
        <w:tc>
          <w:tcPr>
            <w:tcW w:w="1701" w:type="dxa"/>
          </w:tcPr>
          <w:p w14:paraId="46A35E7B"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2.14</w:t>
            </w:r>
          </w:p>
        </w:tc>
      </w:tr>
      <w:tr w:rsidR="00293B74" w:rsidRPr="00435425" w14:paraId="5DDD7D02" w14:textId="77777777" w:rsidTr="006330EE">
        <w:trPr>
          <w:trHeight w:val="312"/>
          <w:jc w:val="center"/>
        </w:trPr>
        <w:tc>
          <w:tcPr>
            <w:tcW w:w="1008" w:type="dxa"/>
            <w:noWrap/>
            <w:hideMark/>
          </w:tcPr>
          <w:p w14:paraId="515F9F41"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lastRenderedPageBreak/>
              <w:t>2000</w:t>
            </w:r>
          </w:p>
        </w:tc>
        <w:tc>
          <w:tcPr>
            <w:tcW w:w="1980" w:type="dxa"/>
            <w:noWrap/>
            <w:hideMark/>
          </w:tcPr>
          <w:p w14:paraId="5C6D537C"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34.40</w:t>
            </w:r>
          </w:p>
        </w:tc>
        <w:tc>
          <w:tcPr>
            <w:tcW w:w="1134" w:type="dxa"/>
          </w:tcPr>
          <w:p w14:paraId="692891D6"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2012</w:t>
            </w:r>
          </w:p>
        </w:tc>
        <w:tc>
          <w:tcPr>
            <w:tcW w:w="1701" w:type="dxa"/>
          </w:tcPr>
          <w:p w14:paraId="546FBE1F"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1.77</w:t>
            </w:r>
          </w:p>
        </w:tc>
      </w:tr>
      <w:tr w:rsidR="00293B74" w:rsidRPr="00435425" w14:paraId="77B70C2D" w14:textId="77777777" w:rsidTr="006330EE">
        <w:trPr>
          <w:trHeight w:val="312"/>
          <w:jc w:val="center"/>
        </w:trPr>
        <w:tc>
          <w:tcPr>
            <w:tcW w:w="1008" w:type="dxa"/>
            <w:noWrap/>
            <w:hideMark/>
          </w:tcPr>
          <w:p w14:paraId="15119616"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2001</w:t>
            </w:r>
          </w:p>
        </w:tc>
        <w:tc>
          <w:tcPr>
            <w:tcW w:w="1980" w:type="dxa"/>
            <w:noWrap/>
            <w:hideMark/>
          </w:tcPr>
          <w:p w14:paraId="5EB79418"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31.90</w:t>
            </w:r>
          </w:p>
        </w:tc>
        <w:tc>
          <w:tcPr>
            <w:tcW w:w="1134" w:type="dxa"/>
          </w:tcPr>
          <w:p w14:paraId="43B94F36"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2013</w:t>
            </w:r>
          </w:p>
        </w:tc>
        <w:tc>
          <w:tcPr>
            <w:tcW w:w="1701" w:type="dxa"/>
          </w:tcPr>
          <w:p w14:paraId="37209313"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1.69</w:t>
            </w:r>
          </w:p>
        </w:tc>
      </w:tr>
      <w:tr w:rsidR="00293B74" w:rsidRPr="00435425" w14:paraId="38E9540A" w14:textId="77777777" w:rsidTr="006330EE">
        <w:trPr>
          <w:trHeight w:val="312"/>
          <w:jc w:val="center"/>
        </w:trPr>
        <w:tc>
          <w:tcPr>
            <w:tcW w:w="1008" w:type="dxa"/>
            <w:noWrap/>
            <w:hideMark/>
          </w:tcPr>
          <w:p w14:paraId="445B171A"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2002</w:t>
            </w:r>
          </w:p>
        </w:tc>
        <w:tc>
          <w:tcPr>
            <w:tcW w:w="1980" w:type="dxa"/>
            <w:noWrap/>
            <w:hideMark/>
          </w:tcPr>
          <w:p w14:paraId="75922AEA"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24.00</w:t>
            </w:r>
          </w:p>
        </w:tc>
        <w:tc>
          <w:tcPr>
            <w:tcW w:w="1134" w:type="dxa"/>
          </w:tcPr>
          <w:p w14:paraId="0385577C"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2014</w:t>
            </w:r>
          </w:p>
        </w:tc>
        <w:tc>
          <w:tcPr>
            <w:tcW w:w="1701" w:type="dxa"/>
          </w:tcPr>
          <w:p w14:paraId="2D79E8EB"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2.07</w:t>
            </w:r>
          </w:p>
        </w:tc>
      </w:tr>
      <w:tr w:rsidR="00293B74" w:rsidRPr="00435425" w14:paraId="400B2B9A" w14:textId="77777777" w:rsidTr="006330EE">
        <w:trPr>
          <w:trHeight w:val="312"/>
          <w:jc w:val="center"/>
        </w:trPr>
        <w:tc>
          <w:tcPr>
            <w:tcW w:w="1008" w:type="dxa"/>
            <w:noWrap/>
            <w:hideMark/>
          </w:tcPr>
          <w:p w14:paraId="6A49E736"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2003</w:t>
            </w:r>
          </w:p>
        </w:tc>
        <w:tc>
          <w:tcPr>
            <w:tcW w:w="1980" w:type="dxa"/>
            <w:noWrap/>
            <w:hideMark/>
          </w:tcPr>
          <w:p w14:paraId="3037EBD1"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6.80</w:t>
            </w:r>
          </w:p>
        </w:tc>
        <w:tc>
          <w:tcPr>
            <w:tcW w:w="1134" w:type="dxa"/>
          </w:tcPr>
          <w:p w14:paraId="6C5E8BA9"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2015</w:t>
            </w:r>
          </w:p>
        </w:tc>
        <w:tc>
          <w:tcPr>
            <w:tcW w:w="1701" w:type="dxa"/>
          </w:tcPr>
          <w:p w14:paraId="0220D154"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2.43</w:t>
            </w:r>
          </w:p>
        </w:tc>
      </w:tr>
      <w:tr w:rsidR="00293B74" w:rsidRPr="00435425" w14:paraId="3A90DAA0" w14:textId="77777777" w:rsidTr="006330EE">
        <w:trPr>
          <w:trHeight w:val="312"/>
          <w:jc w:val="center"/>
        </w:trPr>
        <w:tc>
          <w:tcPr>
            <w:tcW w:w="1008" w:type="dxa"/>
            <w:noWrap/>
            <w:hideMark/>
          </w:tcPr>
          <w:p w14:paraId="0794939C"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2004</w:t>
            </w:r>
          </w:p>
        </w:tc>
        <w:tc>
          <w:tcPr>
            <w:tcW w:w="1980" w:type="dxa"/>
            <w:noWrap/>
            <w:hideMark/>
          </w:tcPr>
          <w:p w14:paraId="69EF77EC"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4.50</w:t>
            </w:r>
          </w:p>
        </w:tc>
        <w:tc>
          <w:tcPr>
            <w:tcW w:w="1134" w:type="dxa"/>
          </w:tcPr>
          <w:p w14:paraId="22D8980A"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2016</w:t>
            </w:r>
          </w:p>
        </w:tc>
        <w:tc>
          <w:tcPr>
            <w:tcW w:w="1701" w:type="dxa"/>
          </w:tcPr>
          <w:p w14:paraId="6A4D8269"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2.90</w:t>
            </w:r>
          </w:p>
        </w:tc>
      </w:tr>
      <w:tr w:rsidR="00293B74" w:rsidRPr="00435425" w14:paraId="70306DC1" w14:textId="77777777" w:rsidTr="006330EE">
        <w:trPr>
          <w:trHeight w:val="312"/>
          <w:jc w:val="center"/>
        </w:trPr>
        <w:tc>
          <w:tcPr>
            <w:tcW w:w="1008" w:type="dxa"/>
            <w:noWrap/>
            <w:hideMark/>
          </w:tcPr>
          <w:p w14:paraId="621FF5DA"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2005</w:t>
            </w:r>
          </w:p>
        </w:tc>
        <w:tc>
          <w:tcPr>
            <w:tcW w:w="1980" w:type="dxa"/>
            <w:noWrap/>
            <w:hideMark/>
          </w:tcPr>
          <w:p w14:paraId="7F27A234"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7.60</w:t>
            </w:r>
          </w:p>
        </w:tc>
        <w:tc>
          <w:tcPr>
            <w:tcW w:w="1134" w:type="dxa"/>
          </w:tcPr>
          <w:p w14:paraId="2E86A851"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2017</w:t>
            </w:r>
          </w:p>
        </w:tc>
        <w:tc>
          <w:tcPr>
            <w:tcW w:w="1701" w:type="dxa"/>
          </w:tcPr>
          <w:p w14:paraId="7EF3F5FA"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2.56</w:t>
            </w:r>
          </w:p>
        </w:tc>
      </w:tr>
      <w:tr w:rsidR="00293B74" w:rsidRPr="00435425" w14:paraId="3E47AB51" w14:textId="77777777" w:rsidTr="006330EE">
        <w:trPr>
          <w:trHeight w:val="312"/>
          <w:jc w:val="center"/>
        </w:trPr>
        <w:tc>
          <w:tcPr>
            <w:tcW w:w="1008" w:type="dxa"/>
            <w:noWrap/>
            <w:hideMark/>
          </w:tcPr>
          <w:p w14:paraId="0CEF81B9"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2006</w:t>
            </w:r>
          </w:p>
        </w:tc>
        <w:tc>
          <w:tcPr>
            <w:tcW w:w="1980" w:type="dxa"/>
            <w:noWrap/>
            <w:hideMark/>
          </w:tcPr>
          <w:p w14:paraId="5B504C61"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6.10</w:t>
            </w:r>
          </w:p>
        </w:tc>
        <w:tc>
          <w:tcPr>
            <w:tcW w:w="1134" w:type="dxa"/>
          </w:tcPr>
          <w:p w14:paraId="328F0B97"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2018</w:t>
            </w:r>
          </w:p>
        </w:tc>
        <w:tc>
          <w:tcPr>
            <w:tcW w:w="1701" w:type="dxa"/>
          </w:tcPr>
          <w:p w14:paraId="34BC7E57"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2.29</w:t>
            </w:r>
          </w:p>
        </w:tc>
      </w:tr>
      <w:tr w:rsidR="00293B74" w:rsidRPr="00435425" w14:paraId="559C1434" w14:textId="77777777" w:rsidTr="006330EE">
        <w:trPr>
          <w:trHeight w:val="312"/>
          <w:jc w:val="center"/>
        </w:trPr>
        <w:tc>
          <w:tcPr>
            <w:tcW w:w="1008" w:type="dxa"/>
            <w:noWrap/>
            <w:hideMark/>
          </w:tcPr>
          <w:p w14:paraId="5E8428DA"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2007</w:t>
            </w:r>
          </w:p>
        </w:tc>
        <w:tc>
          <w:tcPr>
            <w:tcW w:w="1980" w:type="dxa"/>
            <w:noWrap/>
            <w:hideMark/>
          </w:tcPr>
          <w:p w14:paraId="0F2018A7"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4.00</w:t>
            </w:r>
          </w:p>
        </w:tc>
        <w:tc>
          <w:tcPr>
            <w:tcW w:w="1134" w:type="dxa"/>
          </w:tcPr>
          <w:p w14:paraId="5D5E6FE5"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2019</w:t>
            </w:r>
          </w:p>
        </w:tc>
        <w:tc>
          <w:tcPr>
            <w:tcW w:w="1701" w:type="dxa"/>
          </w:tcPr>
          <w:p w14:paraId="0AF78AFF"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2.43</w:t>
            </w:r>
          </w:p>
        </w:tc>
      </w:tr>
      <w:tr w:rsidR="00293B74" w:rsidRPr="00435425" w14:paraId="5B92B1BF" w14:textId="77777777" w:rsidTr="006330EE">
        <w:trPr>
          <w:trHeight w:val="312"/>
          <w:jc w:val="center"/>
        </w:trPr>
        <w:tc>
          <w:tcPr>
            <w:tcW w:w="1008" w:type="dxa"/>
            <w:noWrap/>
            <w:hideMark/>
          </w:tcPr>
          <w:p w14:paraId="5FBFF83D"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2008</w:t>
            </w:r>
          </w:p>
        </w:tc>
        <w:tc>
          <w:tcPr>
            <w:tcW w:w="1980" w:type="dxa"/>
            <w:noWrap/>
            <w:hideMark/>
          </w:tcPr>
          <w:p w14:paraId="62A324D5"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3.20</w:t>
            </w:r>
          </w:p>
        </w:tc>
        <w:tc>
          <w:tcPr>
            <w:tcW w:w="1134" w:type="dxa"/>
          </w:tcPr>
          <w:p w14:paraId="27C8F611"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2020</w:t>
            </w:r>
          </w:p>
        </w:tc>
        <w:tc>
          <w:tcPr>
            <w:tcW w:w="1701" w:type="dxa"/>
          </w:tcPr>
          <w:p w14:paraId="6394B939"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2.75</w:t>
            </w:r>
          </w:p>
        </w:tc>
      </w:tr>
      <w:tr w:rsidR="00293B74" w:rsidRPr="00435425" w14:paraId="0F05568C" w14:textId="77777777" w:rsidTr="006330EE">
        <w:trPr>
          <w:trHeight w:val="312"/>
          <w:jc w:val="center"/>
        </w:trPr>
        <w:tc>
          <w:tcPr>
            <w:tcW w:w="1008" w:type="dxa"/>
            <w:noWrap/>
            <w:hideMark/>
          </w:tcPr>
          <w:p w14:paraId="25B9D7C3" w14:textId="77777777" w:rsidR="00293B74" w:rsidRPr="00435425" w:rsidRDefault="00293B74" w:rsidP="00456FED">
            <w:pPr>
              <w:contextualSpacing/>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2009</w:t>
            </w:r>
          </w:p>
        </w:tc>
        <w:tc>
          <w:tcPr>
            <w:tcW w:w="1980" w:type="dxa"/>
            <w:noWrap/>
            <w:hideMark/>
          </w:tcPr>
          <w:p w14:paraId="6597127A" w14:textId="77777777" w:rsidR="00293B74" w:rsidRPr="00435425" w:rsidRDefault="00293B74" w:rsidP="00456FED">
            <w:pPr>
              <w:contextualSpacing/>
              <w:jc w:val="both"/>
              <w:rPr>
                <w:rFonts w:ascii="Cormorant Garamond" w:eastAsia="Calibri" w:hAnsi="Cormorant Garamond"/>
                <w:sz w:val="20"/>
                <w:szCs w:val="20"/>
              </w:rPr>
            </w:pPr>
            <w:r w:rsidRPr="00435425">
              <w:rPr>
                <w:rFonts w:ascii="Cormorant Garamond" w:eastAsia="Calibri" w:hAnsi="Cormorant Garamond"/>
                <w:sz w:val="20"/>
                <w:szCs w:val="20"/>
              </w:rPr>
              <w:t>3.30</w:t>
            </w:r>
          </w:p>
        </w:tc>
        <w:tc>
          <w:tcPr>
            <w:tcW w:w="1134" w:type="dxa"/>
          </w:tcPr>
          <w:p w14:paraId="6FACCCD3" w14:textId="77777777" w:rsidR="00293B74" w:rsidRPr="00435425" w:rsidRDefault="00293B74" w:rsidP="00456FED">
            <w:pPr>
              <w:contextualSpacing/>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2023</w:t>
            </w:r>
          </w:p>
        </w:tc>
        <w:tc>
          <w:tcPr>
            <w:tcW w:w="1701" w:type="dxa"/>
          </w:tcPr>
          <w:p w14:paraId="533ABA2E" w14:textId="77777777" w:rsidR="00293B74" w:rsidRPr="00435425" w:rsidRDefault="00293B74" w:rsidP="00456FED">
            <w:pPr>
              <w:contextualSpacing/>
              <w:jc w:val="both"/>
              <w:rPr>
                <w:rFonts w:ascii="Cormorant Garamond" w:eastAsia="Calibri" w:hAnsi="Cormorant Garamond"/>
                <w:sz w:val="20"/>
                <w:szCs w:val="20"/>
              </w:rPr>
            </w:pPr>
            <w:r w:rsidRPr="00435425">
              <w:rPr>
                <w:rFonts w:ascii="Cormorant Garamond" w:eastAsia="Calibri" w:hAnsi="Cormorant Garamond"/>
                <w:sz w:val="20"/>
                <w:szCs w:val="20"/>
              </w:rPr>
              <w:t>2.53</w:t>
            </w:r>
          </w:p>
        </w:tc>
      </w:tr>
    </w:tbl>
    <w:p w14:paraId="5AD5F88C" w14:textId="77777777" w:rsidR="00293B74" w:rsidRDefault="00293B74" w:rsidP="00456FED">
      <w:pPr>
        <w:spacing w:line="240" w:lineRule="auto"/>
        <w:contextualSpacing/>
        <w:jc w:val="both"/>
        <w:rPr>
          <w:rFonts w:ascii="Cormorant Garamond" w:eastAsia="Calibri" w:hAnsi="Cormorant Garamond"/>
          <w:b/>
          <w:bCs/>
        </w:rPr>
      </w:pPr>
    </w:p>
    <w:p w14:paraId="5DACFBD5" w14:textId="77777777" w:rsidR="00293B74" w:rsidRDefault="00293B74" w:rsidP="00456FED">
      <w:pPr>
        <w:spacing w:line="240" w:lineRule="auto"/>
        <w:contextualSpacing/>
        <w:jc w:val="both"/>
        <w:rPr>
          <w:rFonts w:ascii="Cormorant Garamond" w:eastAsia="Calibri" w:hAnsi="Cormorant Garamond"/>
        </w:rPr>
      </w:pPr>
      <w:r w:rsidRPr="00435425">
        <w:rPr>
          <w:rFonts w:ascii="Cormorant Garamond" w:eastAsia="Calibri" w:hAnsi="Cormorant Garamond"/>
        </w:rPr>
        <w:t>During the Pre-AI Period, the NPL ratio was high in the late 1990s, especially after the Asian Financial Crisis of 1997-1998. The crisis caused significant defaults due to economic insecurity. Since the early 2000s, the NPL ratio has been dropping, reflecting economic recovery, tighter regulatory frameworks, and greater risk management in the banking sector. However, there were swings caused by macroeconomic issues, such as the Global Financial Crisis 2008 and subsequent commodity price declines, which impacted borrowers' ability to repay loans. During the Asian and worldwide financial crises, high non-performing loans were caused by widespread economic instability, currency depreciation, and loan defaults by enterprises. The implementation of tougher credit risk management frameworks and increased banking oversight resulted in a decline in NPLs in the post-crisis years.</w:t>
      </w:r>
      <w:r w:rsidRPr="00435425">
        <w:rPr>
          <w:rStyle w:val="FootnoteReference"/>
          <w:rFonts w:ascii="Cormorant Garamond" w:eastAsia="Calibri" w:hAnsi="Cormorant Garamond"/>
        </w:rPr>
        <w:footnoteReference w:id="53"/>
      </w:r>
    </w:p>
    <w:p w14:paraId="50460693" w14:textId="77777777" w:rsidR="00293B74" w:rsidRPr="00551BD3" w:rsidRDefault="00293B74" w:rsidP="00456FED">
      <w:pPr>
        <w:spacing w:line="240" w:lineRule="auto"/>
        <w:contextualSpacing/>
        <w:jc w:val="both"/>
        <w:rPr>
          <w:rFonts w:ascii="Cormorant Garamond" w:eastAsia="Calibri" w:hAnsi="Cormorant Garamond"/>
        </w:rPr>
      </w:pPr>
    </w:p>
    <w:p w14:paraId="29771A55" w14:textId="77777777" w:rsidR="00293B74" w:rsidRDefault="00293B74" w:rsidP="008030CE">
      <w:pPr>
        <w:spacing w:line="240" w:lineRule="auto"/>
        <w:contextualSpacing/>
        <w:jc w:val="center"/>
        <w:rPr>
          <w:rFonts w:ascii="Cormorant Garamond" w:eastAsia="Times New Roman" w:hAnsi="Cormorant Garamond"/>
          <w:b/>
          <w:bCs/>
          <w:kern w:val="0"/>
          <w14:ligatures w14:val="none"/>
        </w:rPr>
      </w:pPr>
      <w:r w:rsidRPr="00435425">
        <w:rPr>
          <w:rFonts w:ascii="Cormorant Garamond" w:eastAsia="Calibri" w:hAnsi="Cormorant Garamond"/>
          <w:b/>
          <w:bCs/>
        </w:rPr>
        <w:t xml:space="preserve">Figure 6: </w:t>
      </w:r>
      <w:r w:rsidRPr="00435425">
        <w:rPr>
          <w:rFonts w:ascii="Cormorant Garamond" w:eastAsia="Times New Roman" w:hAnsi="Cormorant Garamond"/>
          <w:b/>
          <w:bCs/>
          <w:kern w:val="0"/>
          <w14:ligatures w14:val="none"/>
        </w:rPr>
        <w:t>Bank Non-Performing Loans to Gross Loans (%)</w:t>
      </w:r>
      <w:r w:rsidRPr="00435425">
        <w:rPr>
          <w:rStyle w:val="FootnoteReference"/>
          <w:rFonts w:ascii="Cormorant Garamond" w:eastAsia="Times New Roman" w:hAnsi="Cormorant Garamond"/>
          <w:b/>
          <w:bCs/>
          <w:kern w:val="0"/>
          <w14:ligatures w14:val="none"/>
        </w:rPr>
        <w:footnoteReference w:id="54"/>
      </w:r>
    </w:p>
    <w:p w14:paraId="4270467D" w14:textId="6E706AC1" w:rsidR="00293B74" w:rsidRDefault="00293B74" w:rsidP="008030CE">
      <w:pPr>
        <w:spacing w:line="240" w:lineRule="auto"/>
        <w:jc w:val="center"/>
        <w:rPr>
          <w:rFonts w:ascii="Cormorant Garamond" w:hAnsi="Cormorant Garamond" w:cs="Cormorant Garamond"/>
          <w:lang w:val="en-IN"/>
        </w:rPr>
      </w:pPr>
      <w:r>
        <w:rPr>
          <w:rFonts w:ascii="Cormorant Garamond" w:hAnsi="Cormorant Garamond" w:cs="Cormorant Garamond"/>
          <w:noProof/>
          <w:lang w:bidi="ar-SA"/>
        </w:rPr>
        <w:drawing>
          <wp:inline distT="0" distB="0" distL="0" distR="0" wp14:anchorId="69BC6087" wp14:editId="653A6FE9">
            <wp:extent cx="5782943" cy="2086515"/>
            <wp:effectExtent l="0" t="0" r="0" b="9525"/>
            <wp:docPr id="3003208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20862" name="Picture 30032086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82943" cy="2086515"/>
                    </a:xfrm>
                    <a:prstGeom prst="rect">
                      <a:avLst/>
                    </a:prstGeom>
                  </pic:spPr>
                </pic:pic>
              </a:graphicData>
            </a:graphic>
          </wp:inline>
        </w:drawing>
      </w:r>
    </w:p>
    <w:p w14:paraId="383E8B91" w14:textId="77777777" w:rsidR="00293B74" w:rsidRPr="00435425" w:rsidRDefault="00293B74" w:rsidP="008030CE">
      <w:pPr>
        <w:spacing w:line="240" w:lineRule="auto"/>
        <w:jc w:val="center"/>
        <w:rPr>
          <w:rFonts w:ascii="Cormorant Garamond" w:eastAsia="Calibri" w:hAnsi="Cormorant Garamond"/>
          <w:b/>
          <w:bCs/>
        </w:rPr>
      </w:pPr>
      <w:r w:rsidRPr="00435425">
        <w:rPr>
          <w:rFonts w:ascii="Cormorant Garamond" w:eastAsia="Calibri" w:hAnsi="Cormorant Garamond"/>
          <w:b/>
          <w:bCs/>
        </w:rPr>
        <w:t>Table 10: Comparison of NPLs to Gross Loans between Pre and Post AI Periods</w:t>
      </w:r>
      <w:r w:rsidRPr="00435425">
        <w:rPr>
          <w:rStyle w:val="FootnoteReference"/>
          <w:rFonts w:ascii="Cormorant Garamond" w:eastAsia="Calibri" w:hAnsi="Cormorant Garamond"/>
          <w:b/>
          <w:bCs/>
        </w:rPr>
        <w:footnoteReference w:id="55"/>
      </w:r>
    </w:p>
    <w:tbl>
      <w:tblPr>
        <w:tblStyle w:val="TableGrid1"/>
        <w:tblW w:w="0" w:type="auto"/>
        <w:jc w:val="center"/>
        <w:tblLook w:val="04A0" w:firstRow="1" w:lastRow="0" w:firstColumn="1" w:lastColumn="0" w:noHBand="0" w:noVBand="1"/>
      </w:tblPr>
      <w:tblGrid>
        <w:gridCol w:w="2178"/>
        <w:gridCol w:w="3140"/>
        <w:gridCol w:w="2324"/>
      </w:tblGrid>
      <w:tr w:rsidR="00293B74" w:rsidRPr="00435425" w14:paraId="2C2AC58F" w14:textId="77777777" w:rsidTr="006330EE">
        <w:trPr>
          <w:jc w:val="center"/>
        </w:trPr>
        <w:tc>
          <w:tcPr>
            <w:tcW w:w="2178" w:type="dxa"/>
            <w:hideMark/>
          </w:tcPr>
          <w:p w14:paraId="527CFCD0" w14:textId="77777777" w:rsidR="00293B74" w:rsidRPr="00435425" w:rsidRDefault="00293B74"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Period</w:t>
            </w:r>
          </w:p>
        </w:tc>
        <w:tc>
          <w:tcPr>
            <w:tcW w:w="3140" w:type="dxa"/>
            <w:hideMark/>
          </w:tcPr>
          <w:p w14:paraId="1FFB87D0" w14:textId="77777777" w:rsidR="00293B74" w:rsidRPr="00435425" w:rsidRDefault="00293B74"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Average NPL to</w:t>
            </w:r>
          </w:p>
          <w:p w14:paraId="0F95FEA6" w14:textId="77777777" w:rsidR="00293B74" w:rsidRPr="00435425" w:rsidRDefault="00293B74"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Gross Loans (%)</w:t>
            </w:r>
          </w:p>
        </w:tc>
        <w:tc>
          <w:tcPr>
            <w:tcW w:w="0" w:type="auto"/>
            <w:hideMark/>
          </w:tcPr>
          <w:p w14:paraId="0856CFBE" w14:textId="77777777" w:rsidR="00293B74" w:rsidRPr="00435425" w:rsidRDefault="00293B74"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Average Growth of</w:t>
            </w:r>
          </w:p>
          <w:p w14:paraId="056C70A9" w14:textId="77777777" w:rsidR="00293B74" w:rsidRPr="00435425" w:rsidRDefault="00293B74"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NPL to Gross Loans (%)</w:t>
            </w:r>
          </w:p>
        </w:tc>
      </w:tr>
      <w:tr w:rsidR="00293B74" w:rsidRPr="00435425" w14:paraId="254F17F4" w14:textId="77777777" w:rsidTr="006330EE">
        <w:trPr>
          <w:trHeight w:val="327"/>
          <w:jc w:val="center"/>
        </w:trPr>
        <w:tc>
          <w:tcPr>
            <w:tcW w:w="2178" w:type="dxa"/>
            <w:hideMark/>
          </w:tcPr>
          <w:p w14:paraId="7FE9C155" w14:textId="77777777" w:rsidR="00293B74" w:rsidRPr="00435425" w:rsidRDefault="00293B74"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Pre-AI (1998-2019)</w:t>
            </w:r>
          </w:p>
        </w:tc>
        <w:tc>
          <w:tcPr>
            <w:tcW w:w="3140" w:type="dxa"/>
            <w:hideMark/>
          </w:tcPr>
          <w:p w14:paraId="45AAD789"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7.18</w:t>
            </w:r>
          </w:p>
        </w:tc>
        <w:tc>
          <w:tcPr>
            <w:tcW w:w="0" w:type="auto"/>
            <w:hideMark/>
          </w:tcPr>
          <w:p w14:paraId="461B6DC6"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-11.3%</w:t>
            </w:r>
          </w:p>
        </w:tc>
      </w:tr>
      <w:tr w:rsidR="00293B74" w:rsidRPr="00435425" w14:paraId="434121F4" w14:textId="77777777" w:rsidTr="006330EE">
        <w:trPr>
          <w:trHeight w:val="275"/>
          <w:jc w:val="center"/>
        </w:trPr>
        <w:tc>
          <w:tcPr>
            <w:tcW w:w="2178" w:type="dxa"/>
            <w:hideMark/>
          </w:tcPr>
          <w:p w14:paraId="6656A901" w14:textId="77777777" w:rsidR="00293B74" w:rsidRPr="00435425" w:rsidRDefault="00293B74" w:rsidP="00456FED">
            <w:pPr>
              <w:contextualSpacing/>
              <w:jc w:val="both"/>
              <w:rPr>
                <w:rFonts w:ascii="Cormorant Garamond" w:eastAsia="Calibri" w:hAnsi="Cormorant Garamond"/>
                <w:b/>
                <w:bCs/>
                <w:sz w:val="20"/>
                <w:szCs w:val="20"/>
              </w:rPr>
            </w:pPr>
            <w:r w:rsidRPr="00435425">
              <w:rPr>
                <w:rFonts w:ascii="Cormorant Garamond" w:eastAsia="Calibri" w:hAnsi="Cormorant Garamond"/>
                <w:b/>
                <w:bCs/>
                <w:sz w:val="20"/>
                <w:szCs w:val="20"/>
              </w:rPr>
              <w:lastRenderedPageBreak/>
              <w:t>Post-AI (2020-2024)</w:t>
            </w:r>
          </w:p>
        </w:tc>
        <w:tc>
          <w:tcPr>
            <w:tcW w:w="3140" w:type="dxa"/>
            <w:hideMark/>
          </w:tcPr>
          <w:p w14:paraId="259E8280" w14:textId="77777777" w:rsidR="00293B74" w:rsidRPr="00435425" w:rsidRDefault="00293B74" w:rsidP="00456FED">
            <w:pPr>
              <w:contextualSpacing/>
              <w:jc w:val="both"/>
              <w:rPr>
                <w:rFonts w:ascii="Cormorant Garamond" w:eastAsia="Calibri" w:hAnsi="Cormorant Garamond"/>
                <w:sz w:val="20"/>
                <w:szCs w:val="20"/>
              </w:rPr>
            </w:pPr>
            <w:r w:rsidRPr="00435425">
              <w:rPr>
                <w:rFonts w:ascii="Cormorant Garamond" w:eastAsia="Calibri" w:hAnsi="Cormorant Garamond"/>
                <w:sz w:val="20"/>
                <w:szCs w:val="20"/>
              </w:rPr>
              <w:t>2.56</w:t>
            </w:r>
          </w:p>
        </w:tc>
        <w:tc>
          <w:tcPr>
            <w:tcW w:w="0" w:type="auto"/>
            <w:hideMark/>
          </w:tcPr>
          <w:p w14:paraId="4D013AFF" w14:textId="77777777" w:rsidR="00293B74" w:rsidRPr="00435425" w:rsidRDefault="00293B74" w:rsidP="00456FED">
            <w:pPr>
              <w:contextualSpacing/>
              <w:jc w:val="both"/>
              <w:rPr>
                <w:rFonts w:ascii="Cormorant Garamond" w:eastAsia="Calibri" w:hAnsi="Cormorant Garamond"/>
                <w:sz w:val="20"/>
                <w:szCs w:val="20"/>
              </w:rPr>
            </w:pPr>
            <w:r w:rsidRPr="00435425">
              <w:rPr>
                <w:rFonts w:ascii="Cormorant Garamond" w:eastAsia="Calibri" w:hAnsi="Cormorant Garamond"/>
                <w:sz w:val="20"/>
                <w:szCs w:val="20"/>
              </w:rPr>
              <w:t>-2.92%</w:t>
            </w:r>
          </w:p>
        </w:tc>
      </w:tr>
    </w:tbl>
    <w:p w14:paraId="34C054E6" w14:textId="77777777" w:rsidR="00293B74" w:rsidRPr="00435425" w:rsidRDefault="00293B74" w:rsidP="00456FED">
      <w:pPr>
        <w:spacing w:line="240" w:lineRule="auto"/>
        <w:contextualSpacing/>
        <w:jc w:val="both"/>
        <w:rPr>
          <w:rFonts w:ascii="Cormorant Garamond" w:eastAsia="Times New Roman" w:hAnsi="Cormorant Garamond"/>
          <w:kern w:val="0"/>
          <w14:ligatures w14:val="none"/>
        </w:rPr>
      </w:pPr>
    </w:p>
    <w:p w14:paraId="5185CB6D" w14:textId="77777777" w:rsidR="00293B74" w:rsidRDefault="00293B74" w:rsidP="00456FED">
      <w:pPr>
        <w:spacing w:line="240" w:lineRule="auto"/>
        <w:contextualSpacing/>
        <w:jc w:val="both"/>
        <w:rPr>
          <w:rFonts w:ascii="Cormorant Garamond" w:eastAsia="Calibri" w:hAnsi="Cormorant Garamond"/>
          <w:kern w:val="0"/>
          <w14:ligatures w14:val="none"/>
        </w:rPr>
      </w:pPr>
      <w:r w:rsidRPr="00435425">
        <w:rPr>
          <w:rFonts w:ascii="Cormorant Garamond" w:eastAsia="Times New Roman" w:hAnsi="Cormorant Garamond"/>
          <w:kern w:val="0"/>
          <w14:ligatures w14:val="none"/>
        </w:rPr>
        <w:t xml:space="preserve">During the post-AI period from 2019 to 2024 with the widespread adoption of AI, the NPL ratio became stable as it rose slightly in 2020 but declined again in 2023. </w:t>
      </w:r>
      <w:r w:rsidRPr="00435425">
        <w:rPr>
          <w:rFonts w:ascii="Cormorant Garamond" w:eastAsia="Calibri" w:hAnsi="Cormorant Garamond"/>
          <w:kern w:val="0"/>
          <w14:ligatures w14:val="none"/>
        </w:rPr>
        <w:t xml:space="preserve">The role of AI in risk prediction, loan monitoring, and collections contributed to the overall improvement in loan quality. Furthermore, the pandemic prompted banks to use digital and AI technology, which most likely resulted in better management of customer relations and loan repayments. AI-driven advancements in loan risk assessment and management have dramatically reduced NPLs. AI also helped banks become more resilient during the pandemic by allowing for improved monitoring of customer financial conditions via digital tools. AI has emerged as a revolutionary force in mitigating risks and improving loan approvals procedures. According to data trends, the introduction of AI helped to stabilize the NPL ratio, which averaged 2.56% compared to 7.18% in the pre-AI period. This progress may be credited to AI-driven credit risk models that use a variety of variables, including customer behaviour, transaction histories, and market circumstances, to provide more accurate creditworthiness assessments. Furthermore, AI-powered monitoring systems enabled early detection of probable loan defaults, greatly decreasing risks. </w:t>
      </w:r>
    </w:p>
    <w:p w14:paraId="14DA0691" w14:textId="7685DE06" w:rsidR="00293B74" w:rsidRPr="006146CF" w:rsidRDefault="00293B74" w:rsidP="00456FED">
      <w:pPr>
        <w:spacing w:line="240" w:lineRule="auto"/>
        <w:contextualSpacing/>
        <w:jc w:val="both"/>
        <w:rPr>
          <w:rFonts w:ascii="Cormorant Garamond" w:eastAsia="Calibri" w:hAnsi="Cormorant Garamond"/>
          <w:kern w:val="0"/>
          <w14:ligatures w14:val="none"/>
        </w:rPr>
      </w:pPr>
      <w:r w:rsidRPr="00435425">
        <w:rPr>
          <w:rFonts w:ascii="Cormorant Garamond" w:eastAsia="Calibri" w:hAnsi="Cormorant Garamond"/>
          <w:b/>
          <w:bCs/>
          <w:sz w:val="28"/>
          <w:szCs w:val="28"/>
        </w:rPr>
        <w:t>I</w:t>
      </w:r>
      <w:r w:rsidR="00A13FA2">
        <w:rPr>
          <w:rFonts w:ascii="Cormorant Garamond" w:eastAsia="Calibri" w:hAnsi="Cormorant Garamond"/>
          <w:b/>
          <w:bCs/>
          <w:sz w:val="28"/>
          <w:szCs w:val="28"/>
        </w:rPr>
        <w:t>V</w:t>
      </w:r>
      <w:r w:rsidRPr="00435425">
        <w:rPr>
          <w:rFonts w:ascii="Cormorant Garamond" w:eastAsia="Calibri" w:hAnsi="Cormorant Garamond"/>
          <w:b/>
          <w:bCs/>
          <w:sz w:val="28"/>
          <w:szCs w:val="28"/>
        </w:rPr>
        <w:t xml:space="preserve">.H. </w:t>
      </w:r>
      <w:r w:rsidRPr="00435425">
        <w:rPr>
          <w:rFonts w:ascii="Cormorant Garamond" w:eastAsia="Times New Roman" w:hAnsi="Cormorant Garamond"/>
          <w:b/>
          <w:bCs/>
          <w:kern w:val="0"/>
          <w:sz w:val="28"/>
          <w:szCs w:val="28"/>
          <w14:ligatures w14:val="none"/>
        </w:rPr>
        <w:t xml:space="preserve">THE EFFECT OF AI ON THE CHANGE IN COMPOSITION OF FINANCIAL SECTOR </w:t>
      </w:r>
    </w:p>
    <w:p w14:paraId="0B3AA6B8" w14:textId="77777777" w:rsidR="00293B74" w:rsidRPr="00435425" w:rsidRDefault="00293B74" w:rsidP="00456FED">
      <w:pPr>
        <w:spacing w:line="240" w:lineRule="auto"/>
        <w:contextualSpacing/>
        <w:jc w:val="both"/>
        <w:rPr>
          <w:rFonts w:ascii="Cormorant Garamond" w:eastAsia="Times New Roman" w:hAnsi="Cormorant Garamond"/>
          <w:b/>
          <w:bCs/>
          <w:kern w:val="0"/>
          <w:sz w:val="28"/>
          <w:szCs w:val="28"/>
          <w14:ligatures w14:val="none"/>
        </w:rPr>
      </w:pPr>
    </w:p>
    <w:p w14:paraId="641AA39A" w14:textId="77777777" w:rsidR="00293B74" w:rsidRPr="00435425" w:rsidRDefault="00293B74" w:rsidP="00456FED">
      <w:pPr>
        <w:spacing w:line="240" w:lineRule="auto"/>
        <w:jc w:val="both"/>
        <w:rPr>
          <w:rFonts w:ascii="Cormorant Garamond" w:eastAsia="Times New Roman" w:hAnsi="Cormorant Garamond"/>
          <w:b/>
          <w:bCs/>
          <w:kern w:val="0"/>
          <w:sz w:val="28"/>
          <w:szCs w:val="28"/>
          <w14:ligatures w14:val="none"/>
        </w:rPr>
      </w:pPr>
      <w:r w:rsidRPr="00435425">
        <w:rPr>
          <w:rFonts w:ascii="Cormorant Garamond" w:eastAsia="Calibri" w:hAnsi="Cormorant Garamond"/>
        </w:rPr>
        <w:t>From 2005 to 2023, Indonesia's financial sector experienced significant transformations, with distinct changes observed between pre- and post-AI periods. In 2005, the financial sector's total assets accounted for 63.4% of GDP, which increased to 72% by 2023</w:t>
      </w:r>
      <w:r w:rsidRPr="00435425">
        <w:rPr>
          <w:rStyle w:val="FootnoteReference"/>
          <w:rFonts w:ascii="Cormorant Garamond" w:eastAsia="Calibri" w:hAnsi="Cormorant Garamond"/>
        </w:rPr>
        <w:footnoteReference w:id="56"/>
      </w:r>
      <w:r w:rsidRPr="00435425">
        <w:rPr>
          <w:rFonts w:ascii="Cormorant Garamond" w:eastAsia="Calibri" w:hAnsi="Cormorant Garamond"/>
        </w:rPr>
        <w:t xml:space="preserve">. The banking sector, though dominant initially with 52% of GDP in 2005, saw its contribution stabilize at 54.9% in 2023. </w:t>
      </w:r>
    </w:p>
    <w:p w14:paraId="6D034513" w14:textId="77777777" w:rsidR="00293B74" w:rsidRPr="00435425" w:rsidRDefault="00293B74" w:rsidP="00456FED">
      <w:pPr>
        <w:spacing w:line="240" w:lineRule="auto"/>
        <w:contextualSpacing/>
        <w:jc w:val="both"/>
        <w:rPr>
          <w:rFonts w:ascii="Cormorant Garamond" w:eastAsia="Calibri" w:hAnsi="Cormorant Garamond"/>
          <w:kern w:val="0"/>
          <w14:ligatures w14:val="none"/>
        </w:rPr>
      </w:pPr>
      <w:r w:rsidRPr="00435425">
        <w:rPr>
          <w:rFonts w:ascii="Cormorant Garamond" w:eastAsia="Calibri" w:hAnsi="Cormorant Garamond"/>
        </w:rPr>
        <w:t>Non-bank financial institutions (NBFIs) gained prominence during this period, with their share of GDP rising from 11.3% in 2005 to 17.6% in 2023. AI-enabled technologies like automated risk assessments and personalized services allowed these institutions to attract more clients and expand their market share.</w:t>
      </w:r>
      <w:r w:rsidRPr="00435425">
        <w:rPr>
          <w:rFonts w:ascii="Cormorant Garamond" w:eastAsia="Calibri" w:hAnsi="Cormorant Garamond"/>
          <w:kern w:val="0"/>
          <w14:ligatures w14:val="none"/>
        </w:rPr>
        <w:t xml:space="preserve"> Insurance companies maintained gradual growth, with their GDP share rising from 4.4% in 2005 to 8.9% in 2023. </w:t>
      </w:r>
    </w:p>
    <w:p w14:paraId="317DECF4" w14:textId="77777777" w:rsidR="00293B74" w:rsidRPr="00435425" w:rsidRDefault="00293B74" w:rsidP="00456FED">
      <w:pPr>
        <w:spacing w:line="240" w:lineRule="auto"/>
        <w:contextualSpacing/>
        <w:jc w:val="both"/>
        <w:rPr>
          <w:rFonts w:ascii="Cormorant Garamond" w:eastAsia="Calibri" w:hAnsi="Cormorant Garamond"/>
          <w:kern w:val="0"/>
          <w14:ligatures w14:val="none"/>
        </w:rPr>
      </w:pPr>
    </w:p>
    <w:p w14:paraId="46F81AA4" w14:textId="77777777" w:rsidR="00293B74" w:rsidRPr="00435425" w:rsidRDefault="00293B74" w:rsidP="008030CE">
      <w:pPr>
        <w:spacing w:line="240" w:lineRule="auto"/>
        <w:jc w:val="center"/>
        <w:rPr>
          <w:rFonts w:ascii="Cormorant Garamond" w:eastAsia="Calibri" w:hAnsi="Cormorant Garamond"/>
        </w:rPr>
      </w:pPr>
      <w:r w:rsidRPr="00435425">
        <w:rPr>
          <w:rFonts w:ascii="Cormorant Garamond" w:eastAsia="Times New Roman" w:hAnsi="Cormorant Garamond"/>
          <w:b/>
          <w:bCs/>
          <w:kern w:val="0"/>
          <w14:ligatures w14:val="none"/>
        </w:rPr>
        <w:t>Table 11: AI and Its Impact on the Composition of the Financial Sector</w:t>
      </w:r>
      <w:r w:rsidRPr="00435425">
        <w:rPr>
          <w:rStyle w:val="FootnoteReference"/>
          <w:rFonts w:ascii="Cormorant Garamond" w:eastAsia="Times New Roman" w:hAnsi="Cormorant Garamond"/>
          <w:b/>
          <w:bCs/>
          <w:kern w:val="0"/>
          <w14:ligatures w14:val="none"/>
        </w:rPr>
        <w:footnoteReference w:id="57"/>
      </w:r>
    </w:p>
    <w:tbl>
      <w:tblPr>
        <w:tblStyle w:val="TableGrid1"/>
        <w:tblW w:w="9374" w:type="dxa"/>
        <w:jc w:val="center"/>
        <w:tblLook w:val="04A0" w:firstRow="1" w:lastRow="0" w:firstColumn="1" w:lastColumn="0" w:noHBand="0" w:noVBand="1"/>
      </w:tblPr>
      <w:tblGrid>
        <w:gridCol w:w="2972"/>
        <w:gridCol w:w="1152"/>
        <w:gridCol w:w="750"/>
        <w:gridCol w:w="750"/>
        <w:gridCol w:w="750"/>
        <w:gridCol w:w="750"/>
        <w:gridCol w:w="750"/>
        <w:gridCol w:w="750"/>
        <w:gridCol w:w="750"/>
      </w:tblGrid>
      <w:tr w:rsidR="00293B74" w:rsidRPr="00435425" w14:paraId="660249D0" w14:textId="77777777" w:rsidTr="006330EE">
        <w:trPr>
          <w:trHeight w:val="222"/>
          <w:jc w:val="center"/>
        </w:trPr>
        <w:tc>
          <w:tcPr>
            <w:tcW w:w="2972" w:type="dxa"/>
            <w:vMerge w:val="restart"/>
            <w:noWrap/>
            <w:hideMark/>
          </w:tcPr>
          <w:p w14:paraId="3722E2CA"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Year</w:t>
            </w:r>
          </w:p>
        </w:tc>
        <w:tc>
          <w:tcPr>
            <w:tcW w:w="3402" w:type="dxa"/>
            <w:gridSpan w:val="4"/>
            <w:noWrap/>
            <w:hideMark/>
          </w:tcPr>
          <w:p w14:paraId="506337B9"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 of GDP</w:t>
            </w:r>
          </w:p>
        </w:tc>
        <w:tc>
          <w:tcPr>
            <w:tcW w:w="3000" w:type="dxa"/>
            <w:gridSpan w:val="4"/>
            <w:noWrap/>
            <w:hideMark/>
          </w:tcPr>
          <w:p w14:paraId="095D93F8"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Number of Institution</w:t>
            </w:r>
          </w:p>
        </w:tc>
      </w:tr>
      <w:tr w:rsidR="00293B74" w:rsidRPr="00435425" w14:paraId="38826AEE" w14:textId="77777777" w:rsidTr="006330EE">
        <w:trPr>
          <w:trHeight w:val="222"/>
          <w:jc w:val="center"/>
        </w:trPr>
        <w:tc>
          <w:tcPr>
            <w:tcW w:w="2972" w:type="dxa"/>
            <w:vMerge/>
            <w:hideMark/>
          </w:tcPr>
          <w:p w14:paraId="00D69DAA" w14:textId="77777777" w:rsidR="00293B74" w:rsidRPr="00435425" w:rsidRDefault="00293B74" w:rsidP="00456FED">
            <w:pPr>
              <w:jc w:val="both"/>
              <w:rPr>
                <w:rFonts w:ascii="Cormorant Garamond" w:eastAsia="Times New Roman" w:hAnsi="Cormorant Garamond"/>
                <w:sz w:val="20"/>
                <w:szCs w:val="20"/>
                <w:lang w:eastAsia="en-IN"/>
              </w:rPr>
            </w:pPr>
          </w:p>
        </w:tc>
        <w:tc>
          <w:tcPr>
            <w:tcW w:w="1152" w:type="dxa"/>
            <w:noWrap/>
            <w:hideMark/>
          </w:tcPr>
          <w:p w14:paraId="446B21DA"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2005</w:t>
            </w:r>
          </w:p>
        </w:tc>
        <w:tc>
          <w:tcPr>
            <w:tcW w:w="750" w:type="dxa"/>
            <w:noWrap/>
            <w:hideMark/>
          </w:tcPr>
          <w:p w14:paraId="5CFE90A5"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2010</w:t>
            </w:r>
          </w:p>
        </w:tc>
        <w:tc>
          <w:tcPr>
            <w:tcW w:w="750" w:type="dxa"/>
            <w:noWrap/>
            <w:hideMark/>
          </w:tcPr>
          <w:p w14:paraId="2CFFF730"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2015</w:t>
            </w:r>
          </w:p>
        </w:tc>
        <w:tc>
          <w:tcPr>
            <w:tcW w:w="750" w:type="dxa"/>
            <w:noWrap/>
            <w:hideMark/>
          </w:tcPr>
          <w:p w14:paraId="72BABFD4"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2023</w:t>
            </w:r>
          </w:p>
        </w:tc>
        <w:tc>
          <w:tcPr>
            <w:tcW w:w="750" w:type="dxa"/>
            <w:noWrap/>
            <w:hideMark/>
          </w:tcPr>
          <w:p w14:paraId="015E2E97"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2005</w:t>
            </w:r>
          </w:p>
        </w:tc>
        <w:tc>
          <w:tcPr>
            <w:tcW w:w="750" w:type="dxa"/>
            <w:noWrap/>
            <w:hideMark/>
          </w:tcPr>
          <w:p w14:paraId="152E1307"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2010</w:t>
            </w:r>
          </w:p>
        </w:tc>
        <w:tc>
          <w:tcPr>
            <w:tcW w:w="750" w:type="dxa"/>
            <w:noWrap/>
            <w:hideMark/>
          </w:tcPr>
          <w:p w14:paraId="239CA18D"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2015</w:t>
            </w:r>
          </w:p>
        </w:tc>
        <w:tc>
          <w:tcPr>
            <w:tcW w:w="750" w:type="dxa"/>
            <w:noWrap/>
            <w:hideMark/>
          </w:tcPr>
          <w:p w14:paraId="4AEE716E"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2023</w:t>
            </w:r>
          </w:p>
        </w:tc>
      </w:tr>
      <w:tr w:rsidR="00293B74" w:rsidRPr="00435425" w14:paraId="141827EE" w14:textId="77777777" w:rsidTr="006330EE">
        <w:trPr>
          <w:trHeight w:val="222"/>
          <w:jc w:val="center"/>
        </w:trPr>
        <w:tc>
          <w:tcPr>
            <w:tcW w:w="2972" w:type="dxa"/>
            <w:noWrap/>
            <w:hideMark/>
          </w:tcPr>
          <w:p w14:paraId="7E4D0612"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Banking Sector</w:t>
            </w:r>
          </w:p>
        </w:tc>
        <w:tc>
          <w:tcPr>
            <w:tcW w:w="1152" w:type="dxa"/>
            <w:noWrap/>
            <w:hideMark/>
          </w:tcPr>
          <w:p w14:paraId="6BEEEA08"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52</w:t>
            </w:r>
          </w:p>
        </w:tc>
        <w:tc>
          <w:tcPr>
            <w:tcW w:w="750" w:type="dxa"/>
            <w:noWrap/>
            <w:hideMark/>
          </w:tcPr>
          <w:p w14:paraId="47951ABC"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45.6</w:t>
            </w:r>
          </w:p>
        </w:tc>
        <w:tc>
          <w:tcPr>
            <w:tcW w:w="750" w:type="dxa"/>
            <w:noWrap/>
            <w:hideMark/>
          </w:tcPr>
          <w:p w14:paraId="3E2F7271"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55.4</w:t>
            </w:r>
          </w:p>
        </w:tc>
        <w:tc>
          <w:tcPr>
            <w:tcW w:w="750" w:type="dxa"/>
            <w:noWrap/>
            <w:hideMark/>
          </w:tcPr>
          <w:p w14:paraId="3D463237"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54.9</w:t>
            </w:r>
          </w:p>
        </w:tc>
        <w:tc>
          <w:tcPr>
            <w:tcW w:w="750" w:type="dxa"/>
            <w:noWrap/>
            <w:hideMark/>
          </w:tcPr>
          <w:p w14:paraId="490147AA"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2143</w:t>
            </w:r>
          </w:p>
        </w:tc>
        <w:tc>
          <w:tcPr>
            <w:tcW w:w="750" w:type="dxa"/>
            <w:noWrap/>
            <w:hideMark/>
          </w:tcPr>
          <w:p w14:paraId="51271CDF"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1828</w:t>
            </w:r>
          </w:p>
        </w:tc>
        <w:tc>
          <w:tcPr>
            <w:tcW w:w="750" w:type="dxa"/>
            <w:noWrap/>
            <w:hideMark/>
          </w:tcPr>
          <w:p w14:paraId="648B883A"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1755</w:t>
            </w:r>
          </w:p>
        </w:tc>
        <w:tc>
          <w:tcPr>
            <w:tcW w:w="750" w:type="dxa"/>
            <w:noWrap/>
            <w:hideMark/>
          </w:tcPr>
          <w:p w14:paraId="57F60484"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1518</w:t>
            </w:r>
          </w:p>
        </w:tc>
      </w:tr>
      <w:tr w:rsidR="00293B74" w:rsidRPr="00435425" w14:paraId="5E55BC82" w14:textId="77777777" w:rsidTr="006330EE">
        <w:trPr>
          <w:trHeight w:val="222"/>
          <w:jc w:val="center"/>
        </w:trPr>
        <w:tc>
          <w:tcPr>
            <w:tcW w:w="2972" w:type="dxa"/>
            <w:noWrap/>
            <w:hideMark/>
          </w:tcPr>
          <w:p w14:paraId="7DC07F1E"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Other Non-Bank Financial Institutions</w:t>
            </w:r>
          </w:p>
        </w:tc>
        <w:tc>
          <w:tcPr>
            <w:tcW w:w="1152" w:type="dxa"/>
            <w:noWrap/>
            <w:hideMark/>
          </w:tcPr>
          <w:p w14:paraId="5CD9A1CD"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11.3</w:t>
            </w:r>
          </w:p>
        </w:tc>
        <w:tc>
          <w:tcPr>
            <w:tcW w:w="750" w:type="dxa"/>
            <w:noWrap/>
            <w:hideMark/>
          </w:tcPr>
          <w:p w14:paraId="242111B6"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14.3</w:t>
            </w:r>
          </w:p>
        </w:tc>
        <w:tc>
          <w:tcPr>
            <w:tcW w:w="750" w:type="dxa"/>
            <w:noWrap/>
            <w:hideMark/>
          </w:tcPr>
          <w:p w14:paraId="23B13D99"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16.3</w:t>
            </w:r>
          </w:p>
        </w:tc>
        <w:tc>
          <w:tcPr>
            <w:tcW w:w="750" w:type="dxa"/>
            <w:noWrap/>
            <w:hideMark/>
          </w:tcPr>
          <w:p w14:paraId="6194DF30"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17.6</w:t>
            </w:r>
          </w:p>
        </w:tc>
        <w:tc>
          <w:tcPr>
            <w:tcW w:w="750" w:type="dxa"/>
            <w:noWrap/>
            <w:hideMark/>
          </w:tcPr>
          <w:p w14:paraId="27430EA7"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1115</w:t>
            </w:r>
          </w:p>
        </w:tc>
        <w:tc>
          <w:tcPr>
            <w:tcW w:w="750" w:type="dxa"/>
            <w:noWrap/>
            <w:hideMark/>
          </w:tcPr>
          <w:p w14:paraId="5295EAD1"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1275</w:t>
            </w:r>
          </w:p>
        </w:tc>
        <w:tc>
          <w:tcPr>
            <w:tcW w:w="750" w:type="dxa"/>
            <w:noWrap/>
            <w:hideMark/>
          </w:tcPr>
          <w:p w14:paraId="5C5E3F12"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1916</w:t>
            </w:r>
          </w:p>
        </w:tc>
        <w:tc>
          <w:tcPr>
            <w:tcW w:w="750" w:type="dxa"/>
            <w:noWrap/>
            <w:hideMark/>
          </w:tcPr>
          <w:p w14:paraId="26A68C01"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2546</w:t>
            </w:r>
          </w:p>
        </w:tc>
      </w:tr>
      <w:tr w:rsidR="00293B74" w:rsidRPr="00435425" w14:paraId="398646B7" w14:textId="77777777" w:rsidTr="006330EE">
        <w:trPr>
          <w:trHeight w:val="222"/>
          <w:jc w:val="center"/>
        </w:trPr>
        <w:tc>
          <w:tcPr>
            <w:tcW w:w="2972" w:type="dxa"/>
            <w:noWrap/>
            <w:hideMark/>
          </w:tcPr>
          <w:p w14:paraId="1A2D9F45"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Insurance Companies</w:t>
            </w:r>
          </w:p>
        </w:tc>
        <w:tc>
          <w:tcPr>
            <w:tcW w:w="1152" w:type="dxa"/>
            <w:noWrap/>
            <w:hideMark/>
          </w:tcPr>
          <w:p w14:paraId="6343DDF3"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4.4</w:t>
            </w:r>
          </w:p>
        </w:tc>
        <w:tc>
          <w:tcPr>
            <w:tcW w:w="750" w:type="dxa"/>
            <w:noWrap/>
            <w:hideMark/>
          </w:tcPr>
          <w:p w14:paraId="3DA6A2D9"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5.9</w:t>
            </w:r>
          </w:p>
        </w:tc>
        <w:tc>
          <w:tcPr>
            <w:tcW w:w="750" w:type="dxa"/>
            <w:noWrap/>
            <w:hideMark/>
          </w:tcPr>
          <w:p w14:paraId="3CC22411"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7.2</w:t>
            </w:r>
          </w:p>
        </w:tc>
        <w:tc>
          <w:tcPr>
            <w:tcW w:w="750" w:type="dxa"/>
            <w:noWrap/>
            <w:hideMark/>
          </w:tcPr>
          <w:p w14:paraId="7EEE73B8"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8.9</w:t>
            </w:r>
          </w:p>
        </w:tc>
        <w:tc>
          <w:tcPr>
            <w:tcW w:w="750" w:type="dxa"/>
            <w:noWrap/>
            <w:hideMark/>
          </w:tcPr>
          <w:p w14:paraId="1CDA47FE"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157</w:t>
            </w:r>
          </w:p>
        </w:tc>
        <w:tc>
          <w:tcPr>
            <w:tcW w:w="750" w:type="dxa"/>
            <w:noWrap/>
            <w:hideMark/>
          </w:tcPr>
          <w:p w14:paraId="7D088F58"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142</w:t>
            </w:r>
          </w:p>
        </w:tc>
        <w:tc>
          <w:tcPr>
            <w:tcW w:w="750" w:type="dxa"/>
            <w:noWrap/>
            <w:hideMark/>
          </w:tcPr>
          <w:p w14:paraId="4C702C63"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137</w:t>
            </w:r>
          </w:p>
        </w:tc>
        <w:tc>
          <w:tcPr>
            <w:tcW w:w="750" w:type="dxa"/>
            <w:noWrap/>
            <w:hideMark/>
          </w:tcPr>
          <w:p w14:paraId="0663B0E7"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151</w:t>
            </w:r>
          </w:p>
        </w:tc>
      </w:tr>
      <w:tr w:rsidR="00293B74" w:rsidRPr="00435425" w14:paraId="46116BDA" w14:textId="77777777" w:rsidTr="006330EE">
        <w:trPr>
          <w:trHeight w:val="222"/>
          <w:jc w:val="center"/>
        </w:trPr>
        <w:tc>
          <w:tcPr>
            <w:tcW w:w="2972" w:type="dxa"/>
            <w:noWrap/>
            <w:hideMark/>
          </w:tcPr>
          <w:p w14:paraId="6F53A82E"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Pension Funds</w:t>
            </w:r>
          </w:p>
        </w:tc>
        <w:tc>
          <w:tcPr>
            <w:tcW w:w="1152" w:type="dxa"/>
            <w:noWrap/>
            <w:hideMark/>
          </w:tcPr>
          <w:p w14:paraId="7767D469"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2.2</w:t>
            </w:r>
          </w:p>
        </w:tc>
        <w:tc>
          <w:tcPr>
            <w:tcW w:w="750" w:type="dxa"/>
            <w:noWrap/>
            <w:hideMark/>
          </w:tcPr>
          <w:p w14:paraId="654CA8F8"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1.9</w:t>
            </w:r>
          </w:p>
        </w:tc>
        <w:tc>
          <w:tcPr>
            <w:tcW w:w="750" w:type="dxa"/>
            <w:noWrap/>
            <w:hideMark/>
          </w:tcPr>
          <w:p w14:paraId="48FB106E"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1.8</w:t>
            </w:r>
          </w:p>
        </w:tc>
        <w:tc>
          <w:tcPr>
            <w:tcW w:w="750" w:type="dxa"/>
            <w:noWrap/>
            <w:hideMark/>
          </w:tcPr>
          <w:p w14:paraId="62B219BC"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1..8</w:t>
            </w:r>
          </w:p>
        </w:tc>
        <w:tc>
          <w:tcPr>
            <w:tcW w:w="750" w:type="dxa"/>
            <w:noWrap/>
            <w:hideMark/>
          </w:tcPr>
          <w:p w14:paraId="65922FF7"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321</w:t>
            </w:r>
          </w:p>
        </w:tc>
        <w:tc>
          <w:tcPr>
            <w:tcW w:w="750" w:type="dxa"/>
            <w:noWrap/>
            <w:hideMark/>
          </w:tcPr>
          <w:p w14:paraId="3446FB6F"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272</w:t>
            </w:r>
          </w:p>
        </w:tc>
        <w:tc>
          <w:tcPr>
            <w:tcW w:w="750" w:type="dxa"/>
            <w:noWrap/>
            <w:hideMark/>
          </w:tcPr>
          <w:p w14:paraId="2228AFF6"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260</w:t>
            </w:r>
          </w:p>
        </w:tc>
        <w:tc>
          <w:tcPr>
            <w:tcW w:w="750" w:type="dxa"/>
            <w:noWrap/>
            <w:hideMark/>
          </w:tcPr>
          <w:p w14:paraId="0DF333A8"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199</w:t>
            </w:r>
          </w:p>
        </w:tc>
      </w:tr>
      <w:tr w:rsidR="00293B74" w:rsidRPr="00435425" w14:paraId="226929BC" w14:textId="77777777" w:rsidTr="006330EE">
        <w:trPr>
          <w:trHeight w:val="222"/>
          <w:jc w:val="center"/>
        </w:trPr>
        <w:tc>
          <w:tcPr>
            <w:tcW w:w="2972" w:type="dxa"/>
            <w:noWrap/>
            <w:hideMark/>
          </w:tcPr>
          <w:p w14:paraId="25637066" w14:textId="77777777" w:rsidR="00293B74" w:rsidRPr="00435425" w:rsidRDefault="00293B74" w:rsidP="00456FED">
            <w:pPr>
              <w:contextualSpacing/>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Mutual Funds</w:t>
            </w:r>
          </w:p>
        </w:tc>
        <w:tc>
          <w:tcPr>
            <w:tcW w:w="1152" w:type="dxa"/>
            <w:noWrap/>
            <w:hideMark/>
          </w:tcPr>
          <w:p w14:paraId="72DBC99A" w14:textId="77777777" w:rsidR="00293B74" w:rsidRPr="00435425" w:rsidRDefault="00293B74" w:rsidP="00456FED">
            <w:pPr>
              <w:contextualSpacing/>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w:t>
            </w:r>
          </w:p>
        </w:tc>
        <w:tc>
          <w:tcPr>
            <w:tcW w:w="750" w:type="dxa"/>
            <w:noWrap/>
            <w:hideMark/>
          </w:tcPr>
          <w:p w14:paraId="74D1FCE6" w14:textId="77777777" w:rsidR="00293B74" w:rsidRPr="00435425" w:rsidRDefault="00293B74" w:rsidP="00456FED">
            <w:pPr>
              <w:contextualSpacing/>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2.2</w:t>
            </w:r>
          </w:p>
        </w:tc>
        <w:tc>
          <w:tcPr>
            <w:tcW w:w="750" w:type="dxa"/>
            <w:noWrap/>
            <w:hideMark/>
          </w:tcPr>
          <w:p w14:paraId="36DFE962" w14:textId="77777777" w:rsidR="00293B74" w:rsidRPr="00435425" w:rsidRDefault="00293B74" w:rsidP="00456FED">
            <w:pPr>
              <w:contextualSpacing/>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2.4</w:t>
            </w:r>
          </w:p>
        </w:tc>
        <w:tc>
          <w:tcPr>
            <w:tcW w:w="750" w:type="dxa"/>
            <w:noWrap/>
            <w:hideMark/>
          </w:tcPr>
          <w:p w14:paraId="470928BF" w14:textId="77777777" w:rsidR="00293B74" w:rsidRPr="00435425" w:rsidRDefault="00293B74" w:rsidP="00456FED">
            <w:pPr>
              <w:contextualSpacing/>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2.5</w:t>
            </w:r>
          </w:p>
        </w:tc>
        <w:tc>
          <w:tcPr>
            <w:tcW w:w="750" w:type="dxa"/>
            <w:noWrap/>
            <w:hideMark/>
          </w:tcPr>
          <w:p w14:paraId="456D008D" w14:textId="77777777" w:rsidR="00293B74" w:rsidRPr="00435425" w:rsidRDefault="00293B74" w:rsidP="00456FED">
            <w:pPr>
              <w:contextualSpacing/>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293</w:t>
            </w:r>
          </w:p>
        </w:tc>
        <w:tc>
          <w:tcPr>
            <w:tcW w:w="750" w:type="dxa"/>
            <w:noWrap/>
            <w:hideMark/>
          </w:tcPr>
          <w:p w14:paraId="01BB00E9" w14:textId="77777777" w:rsidR="00293B74" w:rsidRPr="00435425" w:rsidRDefault="00293B74" w:rsidP="00456FED">
            <w:pPr>
              <w:contextualSpacing/>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559</w:t>
            </w:r>
          </w:p>
        </w:tc>
        <w:tc>
          <w:tcPr>
            <w:tcW w:w="750" w:type="dxa"/>
            <w:noWrap/>
            <w:hideMark/>
          </w:tcPr>
          <w:p w14:paraId="7E1E9C65" w14:textId="77777777" w:rsidR="00293B74" w:rsidRPr="00435425" w:rsidRDefault="00293B74" w:rsidP="00456FED">
            <w:pPr>
              <w:contextualSpacing/>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1091</w:t>
            </w:r>
          </w:p>
        </w:tc>
        <w:tc>
          <w:tcPr>
            <w:tcW w:w="750" w:type="dxa"/>
            <w:noWrap/>
            <w:hideMark/>
          </w:tcPr>
          <w:p w14:paraId="7762BFE8" w14:textId="77777777" w:rsidR="00293B74" w:rsidRPr="00435425" w:rsidRDefault="00293B74" w:rsidP="00456FED">
            <w:pPr>
              <w:contextualSpacing/>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1967</w:t>
            </w:r>
          </w:p>
        </w:tc>
      </w:tr>
    </w:tbl>
    <w:p w14:paraId="3772CDEA" w14:textId="77777777" w:rsidR="00293B74" w:rsidRPr="00435425" w:rsidRDefault="00293B74" w:rsidP="00456FED">
      <w:pPr>
        <w:spacing w:line="240" w:lineRule="auto"/>
        <w:contextualSpacing/>
        <w:jc w:val="both"/>
        <w:rPr>
          <w:rFonts w:ascii="Cormorant Garamond" w:eastAsia="Calibri" w:hAnsi="Cormorant Garamond"/>
          <w:b/>
          <w:bCs/>
          <w:kern w:val="0"/>
          <w14:ligatures w14:val="none"/>
        </w:rPr>
      </w:pPr>
    </w:p>
    <w:p w14:paraId="4A5261D3" w14:textId="77777777" w:rsidR="00293B74" w:rsidRPr="00435425" w:rsidRDefault="00293B74" w:rsidP="00456FED">
      <w:pPr>
        <w:spacing w:line="240" w:lineRule="auto"/>
        <w:contextualSpacing/>
        <w:jc w:val="both"/>
        <w:rPr>
          <w:rFonts w:ascii="Cormorant Garamond" w:eastAsia="Calibri" w:hAnsi="Cormorant Garamond"/>
          <w:kern w:val="0"/>
          <w14:ligatures w14:val="none"/>
        </w:rPr>
      </w:pPr>
      <w:r w:rsidRPr="00435425">
        <w:rPr>
          <w:rFonts w:ascii="Cormorant Garamond" w:eastAsia="Calibri" w:hAnsi="Cormorant Garamond"/>
          <w:kern w:val="0"/>
          <w14:ligatures w14:val="none"/>
        </w:rPr>
        <w:lastRenderedPageBreak/>
        <w:t xml:space="preserve">Figure 7 depicts the change in number of institutions from 2005 to 2023 (with 2005, 2015, and 2023 as reference years). The data show that the number of banking institutions has decreased from 2143 in 2005 to 1518 in 2023 </w:t>
      </w:r>
      <w:r w:rsidRPr="00435425">
        <w:rPr>
          <w:rFonts w:ascii="Cormorant Garamond" w:eastAsia="Calibri" w:hAnsi="Cormorant Garamond"/>
        </w:rPr>
        <w:t>due to market concentration and technological advancements</w:t>
      </w:r>
      <w:r w:rsidRPr="00435425">
        <w:rPr>
          <w:rFonts w:ascii="Cormorant Garamond" w:eastAsia="Calibri" w:hAnsi="Cormorant Garamond"/>
          <w:kern w:val="0"/>
          <w14:ligatures w14:val="none"/>
        </w:rPr>
        <w:t>, while the number of NBFIs has climbed from 1115 in 2005 to 2546 in 2023. Mutual funds showed the most significant growth, with their institutions increasing from 293 in 2005 to 1,967 in 2023, driven by AI in market analysis and portfolio management. It can also be noted that the number of insurance businesses has declined from 157 to 137 between 2005 and 2015, before significantly increasing from 137 to 151 between 2015 and 2023. Pension fund institutions have likewise fallen, from 321 in 2005 to 199 in 2023.</w:t>
      </w:r>
    </w:p>
    <w:p w14:paraId="557FB0FF" w14:textId="77777777" w:rsidR="00293B74" w:rsidRPr="00435425" w:rsidRDefault="00293B74" w:rsidP="00456FED">
      <w:pPr>
        <w:spacing w:line="240" w:lineRule="auto"/>
        <w:contextualSpacing/>
        <w:jc w:val="both"/>
        <w:rPr>
          <w:rFonts w:ascii="Cormorant Garamond" w:eastAsia="Calibri" w:hAnsi="Cormorant Garamond"/>
          <w:b/>
          <w:bCs/>
          <w:kern w:val="0"/>
          <w14:ligatures w14:val="none"/>
        </w:rPr>
      </w:pPr>
    </w:p>
    <w:p w14:paraId="1EB5FC35" w14:textId="77777777" w:rsidR="00293B74" w:rsidRPr="00435425" w:rsidRDefault="00293B74" w:rsidP="00456FED">
      <w:pPr>
        <w:spacing w:line="240" w:lineRule="auto"/>
        <w:jc w:val="both"/>
        <w:rPr>
          <w:rFonts w:ascii="Cormorant Garamond" w:eastAsia="Calibri" w:hAnsi="Cormorant Garamond"/>
          <w:kern w:val="0"/>
          <w14:ligatures w14:val="none"/>
        </w:rPr>
      </w:pPr>
      <w:r w:rsidRPr="00435425">
        <w:rPr>
          <w:rFonts w:ascii="Cormorant Garamond" w:eastAsia="Calibri" w:hAnsi="Cormorant Garamond"/>
          <w:kern w:val="0"/>
          <w14:ligatures w14:val="none"/>
        </w:rPr>
        <w:t>Overall, AI has reshaped Indonesia's financial sector by increasing operational efficiency, enhancing customer engagement, and driving innovation, especially in the post-2019 period. While larger institutions benefited most, smaller entities faced challenges in adapting, resulting in a more competitive and technology-driven financial environment.</w:t>
      </w:r>
    </w:p>
    <w:p w14:paraId="4699415D" w14:textId="77777777" w:rsidR="00293B74" w:rsidRDefault="00293B74" w:rsidP="00456FED">
      <w:pPr>
        <w:spacing w:line="240" w:lineRule="auto"/>
        <w:contextualSpacing/>
        <w:jc w:val="both"/>
        <w:rPr>
          <w:rFonts w:ascii="Cormorant Garamond" w:eastAsia="Calibri" w:hAnsi="Cormorant Garamond"/>
          <w:b/>
          <w:bCs/>
          <w:kern w:val="0"/>
          <w14:ligatures w14:val="none"/>
        </w:rPr>
      </w:pPr>
    </w:p>
    <w:p w14:paraId="006D6AE6" w14:textId="77777777" w:rsidR="00293B74" w:rsidRDefault="00293B74" w:rsidP="00456FED">
      <w:pPr>
        <w:spacing w:line="240" w:lineRule="auto"/>
        <w:contextualSpacing/>
        <w:jc w:val="both"/>
        <w:rPr>
          <w:rFonts w:ascii="Cormorant Garamond" w:eastAsia="Calibri" w:hAnsi="Cormorant Garamond"/>
          <w:b/>
          <w:bCs/>
          <w:kern w:val="0"/>
          <w14:ligatures w14:val="none"/>
        </w:rPr>
      </w:pPr>
    </w:p>
    <w:p w14:paraId="00AAB26E" w14:textId="77777777" w:rsidR="00293B74" w:rsidRPr="00435425" w:rsidRDefault="00293B74" w:rsidP="008030CE">
      <w:pPr>
        <w:spacing w:line="240" w:lineRule="auto"/>
        <w:contextualSpacing/>
        <w:jc w:val="center"/>
        <w:rPr>
          <w:rFonts w:ascii="Cormorant Garamond" w:eastAsia="Calibri" w:hAnsi="Cormorant Garamond"/>
          <w:b/>
          <w:bCs/>
          <w:kern w:val="0"/>
          <w14:ligatures w14:val="none"/>
        </w:rPr>
      </w:pPr>
      <w:r w:rsidRPr="00435425">
        <w:rPr>
          <w:rFonts w:ascii="Cormorant Garamond" w:eastAsia="Calibri" w:hAnsi="Cormorant Garamond"/>
          <w:b/>
          <w:bCs/>
          <w:kern w:val="0"/>
          <w14:ligatures w14:val="none"/>
        </w:rPr>
        <w:t>Figure 7: Change in Composition of Financial Institutions 2005,2015,2023</w:t>
      </w:r>
      <w:r w:rsidRPr="00435425">
        <w:rPr>
          <w:rStyle w:val="FootnoteReference"/>
          <w:rFonts w:ascii="Cormorant Garamond" w:eastAsia="Calibri" w:hAnsi="Cormorant Garamond"/>
          <w:b/>
          <w:bCs/>
          <w:kern w:val="0"/>
          <w14:ligatures w14:val="none"/>
        </w:rPr>
        <w:footnoteReference w:id="58"/>
      </w:r>
    </w:p>
    <w:p w14:paraId="33AE13E8" w14:textId="1CB41656" w:rsidR="00293B74" w:rsidRPr="008030CE" w:rsidRDefault="00470470" w:rsidP="008030CE">
      <w:pPr>
        <w:spacing w:after="0" w:line="240" w:lineRule="auto"/>
        <w:jc w:val="center"/>
        <w:rPr>
          <w:rFonts w:ascii="Cormorant Garamond" w:hAnsi="Cormorant Garamond" w:cs="Cormorant Garamond"/>
          <w:sz w:val="22"/>
          <w:szCs w:val="22"/>
          <w:lang w:val="en-IN"/>
        </w:rPr>
      </w:pPr>
      <w:r w:rsidRPr="008030CE">
        <w:rPr>
          <w:rFonts w:ascii="Cormorant Garamond" w:hAnsi="Cormorant Garamond" w:cs="Cormorant Garamond"/>
          <w:noProof/>
          <w:sz w:val="22"/>
          <w:szCs w:val="22"/>
          <w:lang w:bidi="ar-SA"/>
        </w:rPr>
        <w:lastRenderedPageBreak/>
        <w:drawing>
          <wp:inline distT="0" distB="0" distL="0" distR="0" wp14:anchorId="329DEE87" wp14:editId="18D46078">
            <wp:extent cx="1942426" cy="2635160"/>
            <wp:effectExtent l="0" t="0" r="1270" b="0"/>
            <wp:docPr id="36885559" name="Picture 7" descr="A pie chart with numbers and a pi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85559" name="Picture 7" descr="A pie chart with numbers and a pie char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42426" cy="2635160"/>
                    </a:xfrm>
                    <a:prstGeom prst="rect">
                      <a:avLst/>
                    </a:prstGeom>
                  </pic:spPr>
                </pic:pic>
              </a:graphicData>
            </a:graphic>
          </wp:inline>
        </w:drawing>
      </w:r>
      <w:r w:rsidRPr="008030CE">
        <w:rPr>
          <w:rFonts w:ascii="Cormorant Garamond" w:hAnsi="Cormorant Garamond" w:cs="Cormorant Garamond"/>
          <w:noProof/>
          <w:sz w:val="22"/>
          <w:szCs w:val="22"/>
          <w:lang w:bidi="ar-SA"/>
        </w:rPr>
        <w:drawing>
          <wp:inline distT="0" distB="0" distL="0" distR="0" wp14:anchorId="0E808352" wp14:editId="78A97AAE">
            <wp:extent cx="1975677" cy="2629618"/>
            <wp:effectExtent l="0" t="0" r="5715" b="0"/>
            <wp:docPr id="660576084" name="Picture 9" descr="A pie chart with numbers and a pi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576084" name="Picture 9" descr="A pie chart with numbers and a pie char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75677" cy="2629618"/>
                    </a:xfrm>
                    <a:prstGeom prst="rect">
                      <a:avLst/>
                    </a:prstGeom>
                  </pic:spPr>
                </pic:pic>
              </a:graphicData>
            </a:graphic>
          </wp:inline>
        </w:drawing>
      </w:r>
      <w:r w:rsidRPr="008030CE">
        <w:rPr>
          <w:rFonts w:ascii="Cormorant Garamond" w:hAnsi="Cormorant Garamond" w:cs="Cormorant Garamond"/>
          <w:noProof/>
          <w:sz w:val="22"/>
          <w:szCs w:val="22"/>
          <w:lang w:bidi="ar-SA"/>
        </w:rPr>
        <w:drawing>
          <wp:inline distT="0" distB="0" distL="0" distR="0" wp14:anchorId="43C99491" wp14:editId="1BA3DEDD">
            <wp:extent cx="2618535" cy="2607451"/>
            <wp:effectExtent l="0" t="0" r="0" b="2540"/>
            <wp:docPr id="1886433920" name="Picture 10" descr="A pie chart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433920" name="Picture 10" descr="A pie chart with numbers and text&#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18535" cy="2607451"/>
                    </a:xfrm>
                    <a:prstGeom prst="rect">
                      <a:avLst/>
                    </a:prstGeom>
                  </pic:spPr>
                </pic:pic>
              </a:graphicData>
            </a:graphic>
          </wp:inline>
        </w:drawing>
      </w:r>
    </w:p>
    <w:p w14:paraId="4C2FADEA" w14:textId="27D6631A" w:rsidR="00470470" w:rsidRPr="00435425" w:rsidRDefault="00470470" w:rsidP="00456FED">
      <w:pPr>
        <w:spacing w:line="240" w:lineRule="auto"/>
        <w:jc w:val="both"/>
        <w:rPr>
          <w:rFonts w:ascii="Cormorant Garamond" w:eastAsia="Calibri" w:hAnsi="Cormorant Garamond"/>
          <w:b/>
          <w:bCs/>
          <w:sz w:val="28"/>
          <w:szCs w:val="28"/>
        </w:rPr>
      </w:pPr>
      <w:bookmarkStart w:id="1" w:name="_Toc188377973"/>
      <w:r w:rsidRPr="00435425">
        <w:rPr>
          <w:rFonts w:ascii="Cormorant Garamond" w:eastAsia="Times New Roman" w:hAnsi="Cormorant Garamond"/>
          <w:b/>
          <w:bCs/>
          <w:kern w:val="0"/>
          <w:sz w:val="28"/>
          <w:szCs w:val="28"/>
          <w14:ligatures w14:val="none"/>
        </w:rPr>
        <w:t>I</w:t>
      </w:r>
      <w:r w:rsidR="00A13FA2">
        <w:rPr>
          <w:rFonts w:ascii="Cormorant Garamond" w:eastAsia="Times New Roman" w:hAnsi="Cormorant Garamond"/>
          <w:b/>
          <w:bCs/>
          <w:kern w:val="0"/>
          <w:sz w:val="28"/>
          <w:szCs w:val="28"/>
          <w14:ligatures w14:val="none"/>
        </w:rPr>
        <w:t>V</w:t>
      </w:r>
      <w:r w:rsidRPr="00435425">
        <w:rPr>
          <w:rFonts w:ascii="Cormorant Garamond" w:eastAsia="Times New Roman" w:hAnsi="Cormorant Garamond"/>
          <w:b/>
          <w:bCs/>
          <w:kern w:val="0"/>
          <w:sz w:val="28"/>
          <w:szCs w:val="28"/>
          <w14:ligatures w14:val="none"/>
        </w:rPr>
        <w:t xml:space="preserve">.I. </w:t>
      </w:r>
      <w:bookmarkEnd w:id="1"/>
      <w:r w:rsidRPr="00435425">
        <w:rPr>
          <w:rFonts w:ascii="Cormorant Garamond" w:eastAsia="Calibri" w:hAnsi="Cormorant Garamond"/>
          <w:b/>
          <w:bCs/>
          <w:sz w:val="28"/>
          <w:szCs w:val="28"/>
        </w:rPr>
        <w:t xml:space="preserve">IMPACT OF AI ON </w:t>
      </w:r>
      <w:r>
        <w:rPr>
          <w:rFonts w:ascii="Cormorant Garamond" w:eastAsia="Calibri" w:hAnsi="Cormorant Garamond"/>
          <w:b/>
          <w:bCs/>
          <w:sz w:val="28"/>
          <w:szCs w:val="28"/>
        </w:rPr>
        <w:t>BANKING</w:t>
      </w:r>
      <w:r w:rsidRPr="00435425">
        <w:rPr>
          <w:rFonts w:ascii="Cormorant Garamond" w:eastAsia="Calibri" w:hAnsi="Cormorant Garamond"/>
          <w:b/>
          <w:bCs/>
          <w:sz w:val="28"/>
          <w:szCs w:val="28"/>
        </w:rPr>
        <w:t xml:space="preserve"> SECTOR OPERATIONAL EFFICIENCY BETWEEN ROA AND ROE</w:t>
      </w:r>
      <w:r w:rsidRPr="00435425">
        <w:rPr>
          <w:rFonts w:ascii="Cormorant Garamond" w:eastAsia="Calibri" w:hAnsi="Cormorant Garamond"/>
          <w:b/>
          <w:bCs/>
        </w:rPr>
        <w:t xml:space="preserve"> </w:t>
      </w:r>
    </w:p>
    <w:p w14:paraId="5C2FBE3A" w14:textId="77777777" w:rsidR="00470470" w:rsidRPr="00435425" w:rsidRDefault="00470470" w:rsidP="00456FED">
      <w:pPr>
        <w:spacing w:line="240" w:lineRule="auto"/>
        <w:jc w:val="both"/>
        <w:rPr>
          <w:rFonts w:ascii="Cormorant Garamond" w:eastAsia="Calibri" w:hAnsi="Cormorant Garamond"/>
        </w:rPr>
      </w:pPr>
      <w:r w:rsidRPr="00435425">
        <w:rPr>
          <w:rFonts w:ascii="Cormorant Garamond" w:eastAsia="Calibri" w:hAnsi="Cormorant Garamond"/>
        </w:rPr>
        <w:t>Table 12, evaluates the influence of Artificial Intelligence (AI) on operational efficiency in Indonesia's banking sector by analyzing Return on Assets (ROA) and Return on Equity (ROE) during the pre-AI period (2000 to 2018) and the post-AI period (2019 to 2024). ROA reflects how efficiently banks utilize their assets to generate profits, while ROE measures their ability to create earnings from shareholder equity.</w:t>
      </w:r>
    </w:p>
    <w:p w14:paraId="2EA19734" w14:textId="77777777" w:rsidR="00470470" w:rsidRPr="00435425" w:rsidRDefault="00470470" w:rsidP="00456FED">
      <w:pPr>
        <w:spacing w:line="240" w:lineRule="auto"/>
        <w:jc w:val="both"/>
        <w:rPr>
          <w:rFonts w:ascii="Cormorant Garamond" w:eastAsia="Calibri" w:hAnsi="Cormorant Garamond"/>
        </w:rPr>
      </w:pPr>
      <w:r w:rsidRPr="00435425">
        <w:rPr>
          <w:rFonts w:ascii="Cormorant Garamond" w:eastAsia="Calibri" w:hAnsi="Cormorant Garamond"/>
        </w:rPr>
        <w:t>In the pre-AI period, ROA showed gradual improvement, peaking at 2.49% in 2019. This growth was driven by economic stability, regulatory reforms, and the expansion of consumer lending, though global events such as the 2008 financial crisis caused temporary decline. Similarly, ROE experienced fluctuations, rising after the Asian financial crisis but dropping sharply during the global financial crisis. The average ROA and ROE during this period were 2.45% and 24.75%, respectively, with growth shaped by market conditions and limited adoption of advanced technologies.</w:t>
      </w:r>
    </w:p>
    <w:p w14:paraId="08328175" w14:textId="77777777" w:rsidR="00470470" w:rsidRPr="00435425" w:rsidRDefault="00470470" w:rsidP="008030CE">
      <w:pPr>
        <w:spacing w:line="240" w:lineRule="auto"/>
        <w:jc w:val="center"/>
        <w:rPr>
          <w:rFonts w:ascii="Cormorant Garamond" w:eastAsia="Calibri" w:hAnsi="Cormorant Garamond"/>
          <w:b/>
          <w:bCs/>
        </w:rPr>
      </w:pPr>
      <w:r w:rsidRPr="00435425">
        <w:rPr>
          <w:rFonts w:ascii="Cormorant Garamond" w:eastAsia="Calibri" w:hAnsi="Cormorant Garamond"/>
          <w:b/>
          <w:bCs/>
        </w:rPr>
        <w:lastRenderedPageBreak/>
        <w:t>Table 12: Trends in ROA and ROE of Bank</w:t>
      </w:r>
      <w:r w:rsidRPr="00435425">
        <w:rPr>
          <w:rStyle w:val="FootnoteReference"/>
          <w:rFonts w:ascii="Cormorant Garamond" w:eastAsia="Calibri" w:hAnsi="Cormorant Garamond"/>
          <w:b/>
          <w:bCs/>
        </w:rPr>
        <w:footnoteReference w:id="59"/>
      </w:r>
    </w:p>
    <w:tbl>
      <w:tblPr>
        <w:tblStyle w:val="TableGrid1"/>
        <w:tblW w:w="8589" w:type="dxa"/>
        <w:jc w:val="center"/>
        <w:tblLook w:val="04A0" w:firstRow="1" w:lastRow="0" w:firstColumn="1" w:lastColumn="0" w:noHBand="0" w:noVBand="1"/>
      </w:tblPr>
      <w:tblGrid>
        <w:gridCol w:w="1129"/>
        <w:gridCol w:w="1701"/>
        <w:gridCol w:w="2127"/>
        <w:gridCol w:w="1984"/>
        <w:gridCol w:w="1641"/>
        <w:gridCol w:w="7"/>
      </w:tblGrid>
      <w:tr w:rsidR="00470470" w:rsidRPr="00435425" w14:paraId="6F8DB50F" w14:textId="77777777" w:rsidTr="006330EE">
        <w:trPr>
          <w:trHeight w:val="300"/>
          <w:jc w:val="center"/>
        </w:trPr>
        <w:tc>
          <w:tcPr>
            <w:tcW w:w="1129" w:type="dxa"/>
            <w:noWrap/>
            <w:hideMark/>
          </w:tcPr>
          <w:p w14:paraId="149D17A2"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Year</w:t>
            </w:r>
          </w:p>
        </w:tc>
        <w:tc>
          <w:tcPr>
            <w:tcW w:w="1701" w:type="dxa"/>
            <w:noWrap/>
            <w:hideMark/>
          </w:tcPr>
          <w:p w14:paraId="69A0692E"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Bank Return on Assets</w:t>
            </w:r>
          </w:p>
        </w:tc>
        <w:tc>
          <w:tcPr>
            <w:tcW w:w="2127" w:type="dxa"/>
            <w:noWrap/>
            <w:hideMark/>
          </w:tcPr>
          <w:p w14:paraId="49F006EA"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Growth Rate of ROA</w:t>
            </w:r>
          </w:p>
        </w:tc>
        <w:tc>
          <w:tcPr>
            <w:tcW w:w="1984" w:type="dxa"/>
          </w:tcPr>
          <w:p w14:paraId="18462CDB"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Bank Return on Equity</w:t>
            </w:r>
          </w:p>
        </w:tc>
        <w:tc>
          <w:tcPr>
            <w:tcW w:w="1648" w:type="dxa"/>
            <w:gridSpan w:val="2"/>
          </w:tcPr>
          <w:p w14:paraId="57338BF9"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Growth Rate of ROE</w:t>
            </w:r>
          </w:p>
        </w:tc>
      </w:tr>
      <w:tr w:rsidR="00470470" w:rsidRPr="00435425" w14:paraId="0D99D412" w14:textId="77777777" w:rsidTr="006330EE">
        <w:trPr>
          <w:trHeight w:val="300"/>
          <w:jc w:val="center"/>
        </w:trPr>
        <w:tc>
          <w:tcPr>
            <w:tcW w:w="1129" w:type="dxa"/>
            <w:noWrap/>
            <w:hideMark/>
          </w:tcPr>
          <w:p w14:paraId="2A67E5FB"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2000</w:t>
            </w:r>
          </w:p>
        </w:tc>
        <w:tc>
          <w:tcPr>
            <w:tcW w:w="1701" w:type="dxa"/>
            <w:noWrap/>
            <w:hideMark/>
          </w:tcPr>
          <w:p w14:paraId="6EEE8674"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0.50</w:t>
            </w:r>
          </w:p>
        </w:tc>
        <w:tc>
          <w:tcPr>
            <w:tcW w:w="2127" w:type="dxa"/>
            <w:noWrap/>
            <w:hideMark/>
          </w:tcPr>
          <w:p w14:paraId="4FA8F9CA"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NA</w:t>
            </w:r>
          </w:p>
        </w:tc>
        <w:tc>
          <w:tcPr>
            <w:tcW w:w="1984" w:type="dxa"/>
          </w:tcPr>
          <w:p w14:paraId="208398B8"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10.04</w:t>
            </w:r>
          </w:p>
        </w:tc>
        <w:tc>
          <w:tcPr>
            <w:tcW w:w="1648" w:type="dxa"/>
            <w:gridSpan w:val="2"/>
          </w:tcPr>
          <w:p w14:paraId="7386989E"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NA</w:t>
            </w:r>
          </w:p>
        </w:tc>
      </w:tr>
      <w:tr w:rsidR="00470470" w:rsidRPr="00435425" w14:paraId="52D8330C" w14:textId="77777777" w:rsidTr="006330EE">
        <w:trPr>
          <w:trHeight w:val="300"/>
          <w:jc w:val="center"/>
        </w:trPr>
        <w:tc>
          <w:tcPr>
            <w:tcW w:w="1129" w:type="dxa"/>
            <w:noWrap/>
            <w:hideMark/>
          </w:tcPr>
          <w:p w14:paraId="616974F4"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2001</w:t>
            </w:r>
          </w:p>
        </w:tc>
        <w:tc>
          <w:tcPr>
            <w:tcW w:w="1701" w:type="dxa"/>
            <w:noWrap/>
            <w:hideMark/>
          </w:tcPr>
          <w:p w14:paraId="25B89A3F"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0.86</w:t>
            </w:r>
          </w:p>
        </w:tc>
        <w:tc>
          <w:tcPr>
            <w:tcW w:w="2127" w:type="dxa"/>
            <w:noWrap/>
            <w:hideMark/>
          </w:tcPr>
          <w:p w14:paraId="3602220D"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72.45</w:t>
            </w:r>
          </w:p>
        </w:tc>
        <w:tc>
          <w:tcPr>
            <w:tcW w:w="1984" w:type="dxa"/>
          </w:tcPr>
          <w:p w14:paraId="0AE12B49"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23.25</w:t>
            </w:r>
          </w:p>
        </w:tc>
        <w:tc>
          <w:tcPr>
            <w:tcW w:w="1648" w:type="dxa"/>
            <w:gridSpan w:val="2"/>
          </w:tcPr>
          <w:p w14:paraId="7B464BD5"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131.66</w:t>
            </w:r>
          </w:p>
        </w:tc>
      </w:tr>
      <w:tr w:rsidR="00470470" w:rsidRPr="00435425" w14:paraId="151A1241" w14:textId="77777777" w:rsidTr="006330EE">
        <w:trPr>
          <w:trHeight w:val="300"/>
          <w:jc w:val="center"/>
        </w:trPr>
        <w:tc>
          <w:tcPr>
            <w:tcW w:w="1129" w:type="dxa"/>
            <w:noWrap/>
            <w:hideMark/>
          </w:tcPr>
          <w:p w14:paraId="4B2B3930"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2002</w:t>
            </w:r>
          </w:p>
        </w:tc>
        <w:tc>
          <w:tcPr>
            <w:tcW w:w="1701" w:type="dxa"/>
            <w:noWrap/>
            <w:hideMark/>
          </w:tcPr>
          <w:p w14:paraId="543DBA82"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2.02</w:t>
            </w:r>
          </w:p>
        </w:tc>
        <w:tc>
          <w:tcPr>
            <w:tcW w:w="2127" w:type="dxa"/>
            <w:noWrap/>
            <w:hideMark/>
          </w:tcPr>
          <w:p w14:paraId="5F28DF6C"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136.04</w:t>
            </w:r>
          </w:p>
        </w:tc>
        <w:tc>
          <w:tcPr>
            <w:tcW w:w="1984" w:type="dxa"/>
          </w:tcPr>
          <w:p w14:paraId="3E10160A"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29.86</w:t>
            </w:r>
          </w:p>
        </w:tc>
        <w:tc>
          <w:tcPr>
            <w:tcW w:w="1648" w:type="dxa"/>
            <w:gridSpan w:val="2"/>
          </w:tcPr>
          <w:p w14:paraId="0A2A5561"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28.42</w:t>
            </w:r>
          </w:p>
        </w:tc>
      </w:tr>
      <w:tr w:rsidR="00470470" w:rsidRPr="00435425" w14:paraId="2830C77D" w14:textId="77777777" w:rsidTr="006330EE">
        <w:trPr>
          <w:trHeight w:val="300"/>
          <w:jc w:val="center"/>
        </w:trPr>
        <w:tc>
          <w:tcPr>
            <w:tcW w:w="1129" w:type="dxa"/>
            <w:noWrap/>
            <w:hideMark/>
          </w:tcPr>
          <w:p w14:paraId="243AFAF1"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2003</w:t>
            </w:r>
          </w:p>
        </w:tc>
        <w:tc>
          <w:tcPr>
            <w:tcW w:w="1701" w:type="dxa"/>
            <w:noWrap/>
            <w:hideMark/>
          </w:tcPr>
          <w:p w14:paraId="05B9B34A"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2.63</w:t>
            </w:r>
          </w:p>
        </w:tc>
        <w:tc>
          <w:tcPr>
            <w:tcW w:w="2127" w:type="dxa"/>
            <w:noWrap/>
            <w:hideMark/>
          </w:tcPr>
          <w:p w14:paraId="401FD927"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30.04</w:t>
            </w:r>
          </w:p>
        </w:tc>
        <w:tc>
          <w:tcPr>
            <w:tcW w:w="1984" w:type="dxa"/>
          </w:tcPr>
          <w:p w14:paraId="20DA7AA5"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31.74</w:t>
            </w:r>
          </w:p>
        </w:tc>
        <w:tc>
          <w:tcPr>
            <w:tcW w:w="1648" w:type="dxa"/>
            <w:gridSpan w:val="2"/>
          </w:tcPr>
          <w:p w14:paraId="789FDEBC"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6.31</w:t>
            </w:r>
          </w:p>
        </w:tc>
      </w:tr>
      <w:tr w:rsidR="00470470" w:rsidRPr="00435425" w14:paraId="79CDE071" w14:textId="77777777" w:rsidTr="006330EE">
        <w:trPr>
          <w:trHeight w:val="300"/>
          <w:jc w:val="center"/>
        </w:trPr>
        <w:tc>
          <w:tcPr>
            <w:tcW w:w="1129" w:type="dxa"/>
            <w:noWrap/>
            <w:hideMark/>
          </w:tcPr>
          <w:p w14:paraId="7261BD2E"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2004</w:t>
            </w:r>
          </w:p>
        </w:tc>
        <w:tc>
          <w:tcPr>
            <w:tcW w:w="1701" w:type="dxa"/>
            <w:noWrap/>
            <w:hideMark/>
          </w:tcPr>
          <w:p w14:paraId="2AA38573"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3.45</w:t>
            </w:r>
          </w:p>
        </w:tc>
        <w:tc>
          <w:tcPr>
            <w:tcW w:w="2127" w:type="dxa"/>
            <w:noWrap/>
            <w:hideMark/>
          </w:tcPr>
          <w:p w14:paraId="5E434A71"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31.19</w:t>
            </w:r>
          </w:p>
        </w:tc>
        <w:tc>
          <w:tcPr>
            <w:tcW w:w="1984" w:type="dxa"/>
          </w:tcPr>
          <w:p w14:paraId="568BBDB2"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36.18</w:t>
            </w:r>
          </w:p>
        </w:tc>
        <w:tc>
          <w:tcPr>
            <w:tcW w:w="1648" w:type="dxa"/>
            <w:gridSpan w:val="2"/>
          </w:tcPr>
          <w:p w14:paraId="49F93E0A"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13.99</w:t>
            </w:r>
          </w:p>
        </w:tc>
      </w:tr>
      <w:tr w:rsidR="00470470" w:rsidRPr="00435425" w14:paraId="230BC471" w14:textId="77777777" w:rsidTr="006330EE">
        <w:trPr>
          <w:trHeight w:val="300"/>
          <w:jc w:val="center"/>
        </w:trPr>
        <w:tc>
          <w:tcPr>
            <w:tcW w:w="1129" w:type="dxa"/>
            <w:noWrap/>
            <w:hideMark/>
          </w:tcPr>
          <w:p w14:paraId="6A2854F2"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2005</w:t>
            </w:r>
          </w:p>
        </w:tc>
        <w:tc>
          <w:tcPr>
            <w:tcW w:w="1701" w:type="dxa"/>
            <w:noWrap/>
            <w:hideMark/>
          </w:tcPr>
          <w:p w14:paraId="284FB888"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2.27</w:t>
            </w:r>
          </w:p>
        </w:tc>
        <w:tc>
          <w:tcPr>
            <w:tcW w:w="2127" w:type="dxa"/>
            <w:noWrap/>
            <w:hideMark/>
          </w:tcPr>
          <w:p w14:paraId="15671379"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-34.35</w:t>
            </w:r>
          </w:p>
        </w:tc>
        <w:tc>
          <w:tcPr>
            <w:tcW w:w="1984" w:type="dxa"/>
          </w:tcPr>
          <w:p w14:paraId="2E62C92C"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23.23</w:t>
            </w:r>
          </w:p>
        </w:tc>
        <w:tc>
          <w:tcPr>
            <w:tcW w:w="1648" w:type="dxa"/>
            <w:gridSpan w:val="2"/>
          </w:tcPr>
          <w:p w14:paraId="1ECC6A03"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-35.81</w:t>
            </w:r>
          </w:p>
        </w:tc>
      </w:tr>
      <w:tr w:rsidR="00470470" w:rsidRPr="00435425" w14:paraId="0A6887DF" w14:textId="77777777" w:rsidTr="006330EE">
        <w:trPr>
          <w:trHeight w:val="300"/>
          <w:jc w:val="center"/>
        </w:trPr>
        <w:tc>
          <w:tcPr>
            <w:tcW w:w="1129" w:type="dxa"/>
            <w:noWrap/>
            <w:hideMark/>
          </w:tcPr>
          <w:p w14:paraId="157BE43E"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2006</w:t>
            </w:r>
          </w:p>
        </w:tc>
        <w:tc>
          <w:tcPr>
            <w:tcW w:w="1701" w:type="dxa"/>
            <w:noWrap/>
            <w:hideMark/>
          </w:tcPr>
          <w:p w14:paraId="4CEFD30C"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2.31</w:t>
            </w:r>
          </w:p>
        </w:tc>
        <w:tc>
          <w:tcPr>
            <w:tcW w:w="2127" w:type="dxa"/>
            <w:noWrap/>
            <w:hideMark/>
          </w:tcPr>
          <w:p w14:paraId="278059DD"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1.70</w:t>
            </w:r>
          </w:p>
        </w:tc>
        <w:tc>
          <w:tcPr>
            <w:tcW w:w="1984" w:type="dxa"/>
          </w:tcPr>
          <w:p w14:paraId="02043959"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23.17</w:t>
            </w:r>
          </w:p>
        </w:tc>
        <w:tc>
          <w:tcPr>
            <w:tcW w:w="1648" w:type="dxa"/>
            <w:gridSpan w:val="2"/>
          </w:tcPr>
          <w:p w14:paraId="7718B870"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-0.25</w:t>
            </w:r>
          </w:p>
        </w:tc>
      </w:tr>
      <w:tr w:rsidR="00470470" w:rsidRPr="00435425" w14:paraId="36C78747" w14:textId="77777777" w:rsidTr="006330EE">
        <w:trPr>
          <w:gridAfter w:val="1"/>
          <w:wAfter w:w="7" w:type="dxa"/>
          <w:trHeight w:val="300"/>
          <w:jc w:val="center"/>
        </w:trPr>
        <w:tc>
          <w:tcPr>
            <w:tcW w:w="1129" w:type="dxa"/>
            <w:noWrap/>
            <w:hideMark/>
          </w:tcPr>
          <w:p w14:paraId="67311EB2"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2007</w:t>
            </w:r>
          </w:p>
        </w:tc>
        <w:tc>
          <w:tcPr>
            <w:tcW w:w="1701" w:type="dxa"/>
            <w:noWrap/>
            <w:hideMark/>
          </w:tcPr>
          <w:p w14:paraId="627384B4"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2.67</w:t>
            </w:r>
          </w:p>
        </w:tc>
        <w:tc>
          <w:tcPr>
            <w:tcW w:w="2127" w:type="dxa"/>
            <w:noWrap/>
            <w:hideMark/>
          </w:tcPr>
          <w:p w14:paraId="04B6D8C4"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15.76</w:t>
            </w:r>
          </w:p>
        </w:tc>
        <w:tc>
          <w:tcPr>
            <w:tcW w:w="1984" w:type="dxa"/>
          </w:tcPr>
          <w:p w14:paraId="75A695D7"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26.15</w:t>
            </w:r>
          </w:p>
        </w:tc>
        <w:tc>
          <w:tcPr>
            <w:tcW w:w="1641" w:type="dxa"/>
          </w:tcPr>
          <w:p w14:paraId="12CF539E"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12.86</w:t>
            </w:r>
          </w:p>
        </w:tc>
      </w:tr>
      <w:tr w:rsidR="00470470" w:rsidRPr="00435425" w14:paraId="626F4BE2" w14:textId="77777777" w:rsidTr="006330EE">
        <w:trPr>
          <w:gridAfter w:val="1"/>
          <w:wAfter w:w="7" w:type="dxa"/>
          <w:trHeight w:val="300"/>
          <w:jc w:val="center"/>
        </w:trPr>
        <w:tc>
          <w:tcPr>
            <w:tcW w:w="1129" w:type="dxa"/>
            <w:noWrap/>
            <w:hideMark/>
          </w:tcPr>
          <w:p w14:paraId="1F9D6F15"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2008</w:t>
            </w:r>
          </w:p>
        </w:tc>
        <w:tc>
          <w:tcPr>
            <w:tcW w:w="1701" w:type="dxa"/>
            <w:noWrap/>
            <w:hideMark/>
          </w:tcPr>
          <w:p w14:paraId="75BB4C9F"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1.84</w:t>
            </w:r>
          </w:p>
        </w:tc>
        <w:tc>
          <w:tcPr>
            <w:tcW w:w="2127" w:type="dxa"/>
            <w:noWrap/>
            <w:hideMark/>
          </w:tcPr>
          <w:p w14:paraId="2D77615B"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-31.12</w:t>
            </w:r>
          </w:p>
        </w:tc>
        <w:tc>
          <w:tcPr>
            <w:tcW w:w="1984" w:type="dxa"/>
          </w:tcPr>
          <w:p w14:paraId="57DEA19F"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22.70</w:t>
            </w:r>
          </w:p>
        </w:tc>
        <w:tc>
          <w:tcPr>
            <w:tcW w:w="1641" w:type="dxa"/>
          </w:tcPr>
          <w:p w14:paraId="12EB2822"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-13.20</w:t>
            </w:r>
          </w:p>
        </w:tc>
      </w:tr>
      <w:tr w:rsidR="00470470" w:rsidRPr="00435425" w14:paraId="435AE794" w14:textId="77777777" w:rsidTr="006330EE">
        <w:trPr>
          <w:gridAfter w:val="1"/>
          <w:wAfter w:w="7" w:type="dxa"/>
          <w:trHeight w:val="300"/>
          <w:jc w:val="center"/>
        </w:trPr>
        <w:tc>
          <w:tcPr>
            <w:tcW w:w="1129" w:type="dxa"/>
            <w:noWrap/>
            <w:hideMark/>
          </w:tcPr>
          <w:p w14:paraId="62BF0B65"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2009</w:t>
            </w:r>
          </w:p>
        </w:tc>
        <w:tc>
          <w:tcPr>
            <w:tcW w:w="1701" w:type="dxa"/>
            <w:noWrap/>
            <w:hideMark/>
          </w:tcPr>
          <w:p w14:paraId="562509EA"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2.62</w:t>
            </w:r>
          </w:p>
        </w:tc>
        <w:tc>
          <w:tcPr>
            <w:tcW w:w="2127" w:type="dxa"/>
            <w:noWrap/>
            <w:hideMark/>
          </w:tcPr>
          <w:p w14:paraId="65FA493F"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42.76</w:t>
            </w:r>
          </w:p>
        </w:tc>
        <w:tc>
          <w:tcPr>
            <w:tcW w:w="1984" w:type="dxa"/>
          </w:tcPr>
          <w:p w14:paraId="4DD8DDA9"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26.84</w:t>
            </w:r>
          </w:p>
        </w:tc>
        <w:tc>
          <w:tcPr>
            <w:tcW w:w="1641" w:type="dxa"/>
          </w:tcPr>
          <w:p w14:paraId="13BC8C31"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18.27</w:t>
            </w:r>
          </w:p>
        </w:tc>
      </w:tr>
      <w:tr w:rsidR="00470470" w:rsidRPr="00435425" w14:paraId="43D34EF2" w14:textId="77777777" w:rsidTr="006330EE">
        <w:trPr>
          <w:gridAfter w:val="1"/>
          <w:wAfter w:w="7" w:type="dxa"/>
          <w:trHeight w:val="300"/>
          <w:jc w:val="center"/>
        </w:trPr>
        <w:tc>
          <w:tcPr>
            <w:tcW w:w="1129" w:type="dxa"/>
            <w:noWrap/>
            <w:hideMark/>
          </w:tcPr>
          <w:p w14:paraId="1172DFF3"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2010</w:t>
            </w:r>
          </w:p>
        </w:tc>
        <w:tc>
          <w:tcPr>
            <w:tcW w:w="1701" w:type="dxa"/>
            <w:noWrap/>
            <w:hideMark/>
          </w:tcPr>
          <w:p w14:paraId="7F06362E"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3.01</w:t>
            </w:r>
          </w:p>
        </w:tc>
        <w:tc>
          <w:tcPr>
            <w:tcW w:w="2127" w:type="dxa"/>
            <w:noWrap/>
            <w:hideMark/>
          </w:tcPr>
          <w:p w14:paraId="2C5978CD"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14.79</w:t>
            </w:r>
          </w:p>
        </w:tc>
        <w:tc>
          <w:tcPr>
            <w:tcW w:w="1984" w:type="dxa"/>
          </w:tcPr>
          <w:p w14:paraId="7F7C0E23"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28.64</w:t>
            </w:r>
          </w:p>
        </w:tc>
        <w:tc>
          <w:tcPr>
            <w:tcW w:w="1641" w:type="dxa"/>
          </w:tcPr>
          <w:p w14:paraId="5537415C"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6.67</w:t>
            </w:r>
          </w:p>
        </w:tc>
      </w:tr>
      <w:tr w:rsidR="00470470" w:rsidRPr="00435425" w14:paraId="725CDD0F" w14:textId="77777777" w:rsidTr="006330EE">
        <w:trPr>
          <w:gridAfter w:val="1"/>
          <w:wAfter w:w="7" w:type="dxa"/>
          <w:trHeight w:val="300"/>
          <w:jc w:val="center"/>
        </w:trPr>
        <w:tc>
          <w:tcPr>
            <w:tcW w:w="1129" w:type="dxa"/>
            <w:noWrap/>
            <w:hideMark/>
          </w:tcPr>
          <w:p w14:paraId="1C8882AB"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2011</w:t>
            </w:r>
          </w:p>
        </w:tc>
        <w:tc>
          <w:tcPr>
            <w:tcW w:w="1701" w:type="dxa"/>
            <w:noWrap/>
            <w:hideMark/>
          </w:tcPr>
          <w:p w14:paraId="3C098B0D"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2.92</w:t>
            </w:r>
          </w:p>
        </w:tc>
        <w:tc>
          <w:tcPr>
            <w:tcW w:w="2127" w:type="dxa"/>
            <w:noWrap/>
            <w:hideMark/>
          </w:tcPr>
          <w:p w14:paraId="55283CA6"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-2.89</w:t>
            </w:r>
          </w:p>
        </w:tc>
        <w:tc>
          <w:tcPr>
            <w:tcW w:w="1984" w:type="dxa"/>
          </w:tcPr>
          <w:p w14:paraId="03AB9EB9"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25.90</w:t>
            </w:r>
          </w:p>
        </w:tc>
        <w:tc>
          <w:tcPr>
            <w:tcW w:w="1641" w:type="dxa"/>
          </w:tcPr>
          <w:p w14:paraId="69F4E0B1"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-9.57</w:t>
            </w:r>
          </w:p>
        </w:tc>
      </w:tr>
      <w:tr w:rsidR="00470470" w:rsidRPr="00435425" w14:paraId="3C8F817A" w14:textId="77777777" w:rsidTr="006330EE">
        <w:trPr>
          <w:gridAfter w:val="1"/>
          <w:wAfter w:w="7" w:type="dxa"/>
          <w:trHeight w:val="300"/>
          <w:jc w:val="center"/>
        </w:trPr>
        <w:tc>
          <w:tcPr>
            <w:tcW w:w="1129" w:type="dxa"/>
            <w:noWrap/>
            <w:hideMark/>
          </w:tcPr>
          <w:p w14:paraId="6F9984D4"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2012</w:t>
            </w:r>
          </w:p>
        </w:tc>
        <w:tc>
          <w:tcPr>
            <w:tcW w:w="1701" w:type="dxa"/>
            <w:noWrap/>
            <w:hideMark/>
          </w:tcPr>
          <w:p w14:paraId="6F89A6EF"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2.99</w:t>
            </w:r>
          </w:p>
        </w:tc>
        <w:tc>
          <w:tcPr>
            <w:tcW w:w="2127" w:type="dxa"/>
            <w:noWrap/>
            <w:hideMark/>
          </w:tcPr>
          <w:p w14:paraId="0ED60AA6"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2.33</w:t>
            </w:r>
          </w:p>
        </w:tc>
        <w:tc>
          <w:tcPr>
            <w:tcW w:w="1984" w:type="dxa"/>
          </w:tcPr>
          <w:p w14:paraId="44634477"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25.32</w:t>
            </w:r>
          </w:p>
        </w:tc>
        <w:tc>
          <w:tcPr>
            <w:tcW w:w="1641" w:type="dxa"/>
          </w:tcPr>
          <w:p w14:paraId="2F4671FB"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-2.23</w:t>
            </w:r>
          </w:p>
        </w:tc>
      </w:tr>
      <w:tr w:rsidR="00470470" w:rsidRPr="00435425" w14:paraId="37784795" w14:textId="77777777" w:rsidTr="006330EE">
        <w:trPr>
          <w:gridAfter w:val="1"/>
          <w:wAfter w:w="7" w:type="dxa"/>
          <w:trHeight w:val="300"/>
          <w:jc w:val="center"/>
        </w:trPr>
        <w:tc>
          <w:tcPr>
            <w:tcW w:w="1129" w:type="dxa"/>
            <w:noWrap/>
            <w:hideMark/>
          </w:tcPr>
          <w:p w14:paraId="6866F03F"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2013</w:t>
            </w:r>
          </w:p>
        </w:tc>
        <w:tc>
          <w:tcPr>
            <w:tcW w:w="1701" w:type="dxa"/>
            <w:noWrap/>
            <w:hideMark/>
          </w:tcPr>
          <w:p w14:paraId="501B934D"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2.77</w:t>
            </w:r>
          </w:p>
        </w:tc>
        <w:tc>
          <w:tcPr>
            <w:tcW w:w="2127" w:type="dxa"/>
            <w:noWrap/>
            <w:hideMark/>
          </w:tcPr>
          <w:p w14:paraId="4CEED8D3"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-7.50</w:t>
            </w:r>
          </w:p>
        </w:tc>
        <w:tc>
          <w:tcPr>
            <w:tcW w:w="1984" w:type="dxa"/>
          </w:tcPr>
          <w:p w14:paraId="0200E70E"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22.87</w:t>
            </w:r>
          </w:p>
        </w:tc>
        <w:tc>
          <w:tcPr>
            <w:tcW w:w="1641" w:type="dxa"/>
          </w:tcPr>
          <w:p w14:paraId="77ACB3BD"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-9.67</w:t>
            </w:r>
          </w:p>
        </w:tc>
      </w:tr>
      <w:tr w:rsidR="00470470" w:rsidRPr="00435425" w14:paraId="31B8CD96" w14:textId="77777777" w:rsidTr="006330EE">
        <w:trPr>
          <w:gridAfter w:val="1"/>
          <w:wAfter w:w="7" w:type="dxa"/>
          <w:trHeight w:val="313"/>
          <w:jc w:val="center"/>
        </w:trPr>
        <w:tc>
          <w:tcPr>
            <w:tcW w:w="1129" w:type="dxa"/>
            <w:noWrap/>
            <w:hideMark/>
          </w:tcPr>
          <w:p w14:paraId="1C5EFB85"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2014</w:t>
            </w:r>
          </w:p>
        </w:tc>
        <w:tc>
          <w:tcPr>
            <w:tcW w:w="1701" w:type="dxa"/>
            <w:noWrap/>
            <w:hideMark/>
          </w:tcPr>
          <w:p w14:paraId="02E3CF5F"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2.77</w:t>
            </w:r>
          </w:p>
        </w:tc>
        <w:tc>
          <w:tcPr>
            <w:tcW w:w="2127" w:type="dxa"/>
            <w:noWrap/>
            <w:hideMark/>
          </w:tcPr>
          <w:p w14:paraId="78972FDF"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-0.05</w:t>
            </w:r>
          </w:p>
        </w:tc>
        <w:tc>
          <w:tcPr>
            <w:tcW w:w="1984" w:type="dxa"/>
          </w:tcPr>
          <w:p w14:paraId="5B147F57"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22.27</w:t>
            </w:r>
          </w:p>
        </w:tc>
        <w:tc>
          <w:tcPr>
            <w:tcW w:w="1641" w:type="dxa"/>
          </w:tcPr>
          <w:p w14:paraId="3C660ACA"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-2.63</w:t>
            </w:r>
          </w:p>
        </w:tc>
      </w:tr>
      <w:tr w:rsidR="00470470" w:rsidRPr="00435425" w14:paraId="46D9105F" w14:textId="77777777" w:rsidTr="006330EE">
        <w:trPr>
          <w:gridAfter w:val="1"/>
          <w:wAfter w:w="7" w:type="dxa"/>
          <w:trHeight w:val="313"/>
          <w:jc w:val="center"/>
        </w:trPr>
        <w:tc>
          <w:tcPr>
            <w:tcW w:w="1129" w:type="dxa"/>
            <w:noWrap/>
            <w:hideMark/>
          </w:tcPr>
          <w:p w14:paraId="19B3C40B"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2015</w:t>
            </w:r>
          </w:p>
        </w:tc>
        <w:tc>
          <w:tcPr>
            <w:tcW w:w="1701" w:type="dxa"/>
            <w:noWrap/>
            <w:hideMark/>
          </w:tcPr>
          <w:p w14:paraId="20749797"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2.35</w:t>
            </w:r>
          </w:p>
        </w:tc>
        <w:tc>
          <w:tcPr>
            <w:tcW w:w="2127" w:type="dxa"/>
            <w:noWrap/>
            <w:hideMark/>
          </w:tcPr>
          <w:p w14:paraId="33E83B2C"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-15.17</w:t>
            </w:r>
          </w:p>
        </w:tc>
        <w:tc>
          <w:tcPr>
            <w:tcW w:w="1984" w:type="dxa"/>
          </w:tcPr>
          <w:p w14:paraId="6F32CD1D"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17.94</w:t>
            </w:r>
          </w:p>
        </w:tc>
        <w:tc>
          <w:tcPr>
            <w:tcW w:w="1641" w:type="dxa"/>
          </w:tcPr>
          <w:p w14:paraId="0AF3D257"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-19.44</w:t>
            </w:r>
          </w:p>
        </w:tc>
      </w:tr>
      <w:tr w:rsidR="00470470" w:rsidRPr="00435425" w14:paraId="74BBDC72" w14:textId="77777777" w:rsidTr="006330EE">
        <w:trPr>
          <w:gridAfter w:val="1"/>
          <w:wAfter w:w="7" w:type="dxa"/>
          <w:trHeight w:val="313"/>
          <w:jc w:val="center"/>
        </w:trPr>
        <w:tc>
          <w:tcPr>
            <w:tcW w:w="1129" w:type="dxa"/>
            <w:noWrap/>
            <w:hideMark/>
          </w:tcPr>
          <w:p w14:paraId="1055F244"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2016</w:t>
            </w:r>
          </w:p>
        </w:tc>
        <w:tc>
          <w:tcPr>
            <w:tcW w:w="1701" w:type="dxa"/>
            <w:noWrap/>
            <w:hideMark/>
          </w:tcPr>
          <w:p w14:paraId="4C3BE7CE"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2.22</w:t>
            </w:r>
          </w:p>
        </w:tc>
        <w:tc>
          <w:tcPr>
            <w:tcW w:w="2127" w:type="dxa"/>
            <w:noWrap/>
            <w:hideMark/>
          </w:tcPr>
          <w:p w14:paraId="3138A028"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-5.45</w:t>
            </w:r>
          </w:p>
        </w:tc>
        <w:tc>
          <w:tcPr>
            <w:tcW w:w="1984" w:type="dxa"/>
          </w:tcPr>
          <w:p w14:paraId="6464DB99"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15.82</w:t>
            </w:r>
          </w:p>
        </w:tc>
        <w:tc>
          <w:tcPr>
            <w:tcW w:w="1641" w:type="dxa"/>
          </w:tcPr>
          <w:p w14:paraId="0C4957D9"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-11.85</w:t>
            </w:r>
          </w:p>
        </w:tc>
      </w:tr>
      <w:tr w:rsidR="00470470" w:rsidRPr="00435425" w14:paraId="11C96DCF" w14:textId="77777777" w:rsidTr="006330EE">
        <w:trPr>
          <w:gridAfter w:val="1"/>
          <w:wAfter w:w="7" w:type="dxa"/>
          <w:trHeight w:val="300"/>
          <w:jc w:val="center"/>
        </w:trPr>
        <w:tc>
          <w:tcPr>
            <w:tcW w:w="1129" w:type="dxa"/>
            <w:noWrap/>
            <w:hideMark/>
          </w:tcPr>
          <w:p w14:paraId="6604FF97"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2017</w:t>
            </w:r>
          </w:p>
        </w:tc>
        <w:tc>
          <w:tcPr>
            <w:tcW w:w="1701" w:type="dxa"/>
            <w:noWrap/>
            <w:hideMark/>
          </w:tcPr>
          <w:p w14:paraId="68CE3F8F"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2.44</w:t>
            </w:r>
          </w:p>
        </w:tc>
        <w:tc>
          <w:tcPr>
            <w:tcW w:w="2127" w:type="dxa"/>
            <w:noWrap/>
            <w:hideMark/>
          </w:tcPr>
          <w:p w14:paraId="4B694CE1"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9.79</w:t>
            </w:r>
          </w:p>
        </w:tc>
        <w:tc>
          <w:tcPr>
            <w:tcW w:w="1984" w:type="dxa"/>
          </w:tcPr>
          <w:p w14:paraId="21B73E37"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16.58</w:t>
            </w:r>
          </w:p>
        </w:tc>
        <w:tc>
          <w:tcPr>
            <w:tcW w:w="1641" w:type="dxa"/>
          </w:tcPr>
          <w:p w14:paraId="0DDA7BBB"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4.83</w:t>
            </w:r>
          </w:p>
        </w:tc>
      </w:tr>
      <w:tr w:rsidR="00470470" w:rsidRPr="00435425" w14:paraId="074C2F97" w14:textId="77777777" w:rsidTr="006330EE">
        <w:trPr>
          <w:gridAfter w:val="1"/>
          <w:wAfter w:w="7" w:type="dxa"/>
          <w:trHeight w:val="300"/>
          <w:jc w:val="center"/>
        </w:trPr>
        <w:tc>
          <w:tcPr>
            <w:tcW w:w="1129" w:type="dxa"/>
            <w:noWrap/>
            <w:hideMark/>
          </w:tcPr>
          <w:p w14:paraId="77864C80"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2018</w:t>
            </w:r>
          </w:p>
        </w:tc>
        <w:tc>
          <w:tcPr>
            <w:tcW w:w="1701" w:type="dxa"/>
            <w:noWrap/>
            <w:hideMark/>
          </w:tcPr>
          <w:p w14:paraId="7631D471"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2.46</w:t>
            </w:r>
          </w:p>
        </w:tc>
        <w:tc>
          <w:tcPr>
            <w:tcW w:w="2127" w:type="dxa"/>
            <w:noWrap/>
            <w:hideMark/>
          </w:tcPr>
          <w:p w14:paraId="70AFDC53"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1.04</w:t>
            </w:r>
          </w:p>
        </w:tc>
        <w:tc>
          <w:tcPr>
            <w:tcW w:w="1984" w:type="dxa"/>
          </w:tcPr>
          <w:p w14:paraId="25A43DF0"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16.52</w:t>
            </w:r>
          </w:p>
        </w:tc>
        <w:tc>
          <w:tcPr>
            <w:tcW w:w="1641" w:type="dxa"/>
          </w:tcPr>
          <w:p w14:paraId="28E8D550"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-0.36</w:t>
            </w:r>
          </w:p>
        </w:tc>
      </w:tr>
      <w:tr w:rsidR="00470470" w:rsidRPr="00435425" w14:paraId="10B3DCBD" w14:textId="77777777" w:rsidTr="006330EE">
        <w:trPr>
          <w:gridAfter w:val="1"/>
          <w:wAfter w:w="7" w:type="dxa"/>
          <w:trHeight w:val="300"/>
          <w:jc w:val="center"/>
        </w:trPr>
        <w:tc>
          <w:tcPr>
            <w:tcW w:w="1129" w:type="dxa"/>
            <w:noWrap/>
            <w:hideMark/>
          </w:tcPr>
          <w:p w14:paraId="10CA58F3"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2019</w:t>
            </w:r>
          </w:p>
        </w:tc>
        <w:tc>
          <w:tcPr>
            <w:tcW w:w="1701" w:type="dxa"/>
            <w:noWrap/>
            <w:hideMark/>
          </w:tcPr>
          <w:p w14:paraId="3DC31262"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2.49</w:t>
            </w:r>
          </w:p>
        </w:tc>
        <w:tc>
          <w:tcPr>
            <w:tcW w:w="2127" w:type="dxa"/>
            <w:noWrap/>
            <w:hideMark/>
          </w:tcPr>
          <w:p w14:paraId="7FA5049A"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1.30</w:t>
            </w:r>
          </w:p>
        </w:tc>
        <w:tc>
          <w:tcPr>
            <w:tcW w:w="1984" w:type="dxa"/>
          </w:tcPr>
          <w:p w14:paraId="78AE8153"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16.30</w:t>
            </w:r>
          </w:p>
        </w:tc>
        <w:tc>
          <w:tcPr>
            <w:tcW w:w="1641" w:type="dxa"/>
          </w:tcPr>
          <w:p w14:paraId="59A4573E"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-1.35</w:t>
            </w:r>
          </w:p>
        </w:tc>
      </w:tr>
      <w:tr w:rsidR="00470470" w:rsidRPr="00435425" w14:paraId="57F384E0" w14:textId="77777777" w:rsidTr="006330EE">
        <w:trPr>
          <w:gridAfter w:val="1"/>
          <w:wAfter w:w="7" w:type="dxa"/>
          <w:trHeight w:val="300"/>
          <w:jc w:val="center"/>
        </w:trPr>
        <w:tc>
          <w:tcPr>
            <w:tcW w:w="1129" w:type="dxa"/>
            <w:noWrap/>
            <w:hideMark/>
          </w:tcPr>
          <w:p w14:paraId="5F27F1C2"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2020</w:t>
            </w:r>
          </w:p>
        </w:tc>
        <w:tc>
          <w:tcPr>
            <w:tcW w:w="1701" w:type="dxa"/>
            <w:noWrap/>
            <w:hideMark/>
          </w:tcPr>
          <w:p w14:paraId="1A729B09"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1.55</w:t>
            </w:r>
          </w:p>
        </w:tc>
        <w:tc>
          <w:tcPr>
            <w:tcW w:w="2127" w:type="dxa"/>
            <w:noWrap/>
            <w:hideMark/>
          </w:tcPr>
          <w:p w14:paraId="39B26FE7"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-37.95</w:t>
            </w:r>
          </w:p>
        </w:tc>
        <w:tc>
          <w:tcPr>
            <w:tcW w:w="1984" w:type="dxa"/>
          </w:tcPr>
          <w:p w14:paraId="0D7BBD46"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10.23</w:t>
            </w:r>
          </w:p>
        </w:tc>
        <w:tc>
          <w:tcPr>
            <w:tcW w:w="1641" w:type="dxa"/>
          </w:tcPr>
          <w:p w14:paraId="5F18DD6D"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-37.20</w:t>
            </w:r>
          </w:p>
        </w:tc>
      </w:tr>
      <w:tr w:rsidR="00470470" w:rsidRPr="00435425" w14:paraId="361C44C5" w14:textId="77777777" w:rsidTr="006330EE">
        <w:trPr>
          <w:gridAfter w:val="1"/>
          <w:wAfter w:w="7" w:type="dxa"/>
          <w:trHeight w:val="300"/>
          <w:jc w:val="center"/>
        </w:trPr>
        <w:tc>
          <w:tcPr>
            <w:tcW w:w="1129" w:type="dxa"/>
            <w:noWrap/>
            <w:hideMark/>
          </w:tcPr>
          <w:p w14:paraId="343D5CE4"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2021</w:t>
            </w:r>
          </w:p>
        </w:tc>
        <w:tc>
          <w:tcPr>
            <w:tcW w:w="1701" w:type="dxa"/>
            <w:noWrap/>
            <w:hideMark/>
          </w:tcPr>
          <w:p w14:paraId="312176AA"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1.84</w:t>
            </w:r>
          </w:p>
        </w:tc>
        <w:tc>
          <w:tcPr>
            <w:tcW w:w="2127" w:type="dxa"/>
            <w:noWrap/>
            <w:hideMark/>
          </w:tcPr>
          <w:p w14:paraId="6BD21772"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18.92</w:t>
            </w:r>
          </w:p>
        </w:tc>
        <w:tc>
          <w:tcPr>
            <w:tcW w:w="1984" w:type="dxa"/>
          </w:tcPr>
          <w:p w14:paraId="75DA5963"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12.25</w:t>
            </w:r>
          </w:p>
        </w:tc>
        <w:tc>
          <w:tcPr>
            <w:tcW w:w="1641" w:type="dxa"/>
          </w:tcPr>
          <w:p w14:paraId="54A4173C"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19.67</w:t>
            </w:r>
          </w:p>
        </w:tc>
      </w:tr>
      <w:tr w:rsidR="00470470" w:rsidRPr="00435425" w14:paraId="6D571F7C" w14:textId="77777777" w:rsidTr="006330EE">
        <w:trPr>
          <w:gridAfter w:val="1"/>
          <w:wAfter w:w="7" w:type="dxa"/>
          <w:trHeight w:val="300"/>
          <w:jc w:val="center"/>
        </w:trPr>
        <w:tc>
          <w:tcPr>
            <w:tcW w:w="1129" w:type="dxa"/>
            <w:noWrap/>
            <w:hideMark/>
          </w:tcPr>
          <w:p w14:paraId="75870996"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2022</w:t>
            </w:r>
          </w:p>
        </w:tc>
        <w:tc>
          <w:tcPr>
            <w:tcW w:w="1701" w:type="dxa"/>
            <w:noWrap/>
            <w:hideMark/>
          </w:tcPr>
          <w:p w14:paraId="5887BF65"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2.43</w:t>
            </w:r>
          </w:p>
        </w:tc>
        <w:tc>
          <w:tcPr>
            <w:tcW w:w="2127" w:type="dxa"/>
            <w:noWrap/>
            <w:hideMark/>
          </w:tcPr>
          <w:p w14:paraId="6AC661ED"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31.87</w:t>
            </w:r>
          </w:p>
        </w:tc>
        <w:tc>
          <w:tcPr>
            <w:tcW w:w="1984" w:type="dxa"/>
          </w:tcPr>
          <w:p w14:paraId="57A7B1F0"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12.40</w:t>
            </w:r>
          </w:p>
        </w:tc>
        <w:tc>
          <w:tcPr>
            <w:tcW w:w="1641" w:type="dxa"/>
          </w:tcPr>
          <w:p w14:paraId="5762334E"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1.26</w:t>
            </w:r>
          </w:p>
        </w:tc>
      </w:tr>
      <w:tr w:rsidR="00470470" w:rsidRPr="00435425" w14:paraId="3AC57A83" w14:textId="77777777" w:rsidTr="006330EE">
        <w:trPr>
          <w:gridAfter w:val="1"/>
          <w:wAfter w:w="7" w:type="dxa"/>
          <w:trHeight w:val="300"/>
          <w:jc w:val="center"/>
        </w:trPr>
        <w:tc>
          <w:tcPr>
            <w:tcW w:w="1129" w:type="dxa"/>
            <w:noWrap/>
            <w:hideMark/>
          </w:tcPr>
          <w:p w14:paraId="425FC452"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2023</w:t>
            </w:r>
          </w:p>
        </w:tc>
        <w:tc>
          <w:tcPr>
            <w:tcW w:w="1701" w:type="dxa"/>
            <w:noWrap/>
            <w:hideMark/>
          </w:tcPr>
          <w:p w14:paraId="6EFB4365"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2.76</w:t>
            </w:r>
          </w:p>
        </w:tc>
        <w:tc>
          <w:tcPr>
            <w:tcW w:w="2127" w:type="dxa"/>
            <w:noWrap/>
            <w:hideMark/>
          </w:tcPr>
          <w:p w14:paraId="38557014"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13.57</w:t>
            </w:r>
          </w:p>
        </w:tc>
        <w:tc>
          <w:tcPr>
            <w:tcW w:w="1984" w:type="dxa"/>
          </w:tcPr>
          <w:p w14:paraId="40B988CE"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20.01</w:t>
            </w:r>
          </w:p>
        </w:tc>
        <w:tc>
          <w:tcPr>
            <w:tcW w:w="1641" w:type="dxa"/>
          </w:tcPr>
          <w:p w14:paraId="28C22300"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61.37</w:t>
            </w:r>
          </w:p>
        </w:tc>
      </w:tr>
      <w:tr w:rsidR="00470470" w:rsidRPr="00435425" w14:paraId="3C5B0F16" w14:textId="77777777" w:rsidTr="006330EE">
        <w:trPr>
          <w:gridAfter w:val="1"/>
          <w:wAfter w:w="7" w:type="dxa"/>
          <w:trHeight w:val="300"/>
          <w:jc w:val="center"/>
        </w:trPr>
        <w:tc>
          <w:tcPr>
            <w:tcW w:w="1129" w:type="dxa"/>
            <w:noWrap/>
            <w:hideMark/>
          </w:tcPr>
          <w:p w14:paraId="44F9C051"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2024</w:t>
            </w:r>
          </w:p>
        </w:tc>
        <w:tc>
          <w:tcPr>
            <w:tcW w:w="1701" w:type="dxa"/>
            <w:noWrap/>
            <w:hideMark/>
          </w:tcPr>
          <w:p w14:paraId="3C53BD44"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2.77</w:t>
            </w:r>
          </w:p>
        </w:tc>
        <w:tc>
          <w:tcPr>
            <w:tcW w:w="2127" w:type="dxa"/>
            <w:noWrap/>
            <w:hideMark/>
          </w:tcPr>
          <w:p w14:paraId="7390AB5F"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0.40</w:t>
            </w:r>
          </w:p>
        </w:tc>
        <w:tc>
          <w:tcPr>
            <w:tcW w:w="1984" w:type="dxa"/>
          </w:tcPr>
          <w:p w14:paraId="100B5B45" w14:textId="77777777" w:rsidR="00470470" w:rsidRPr="00435425" w:rsidRDefault="00470470" w:rsidP="00456FED">
            <w:pPr>
              <w:jc w:val="both"/>
              <w:rPr>
                <w:rFonts w:ascii="Cormorant Garamond" w:eastAsia="Times New Roman" w:hAnsi="Cormorant Garamond"/>
                <w:sz w:val="20"/>
                <w:szCs w:val="20"/>
                <w:lang w:eastAsia="en-IN"/>
              </w:rPr>
            </w:pPr>
          </w:p>
        </w:tc>
        <w:tc>
          <w:tcPr>
            <w:tcW w:w="1641" w:type="dxa"/>
          </w:tcPr>
          <w:p w14:paraId="1EB90E01" w14:textId="77777777" w:rsidR="00470470" w:rsidRPr="00435425" w:rsidRDefault="00470470" w:rsidP="00456FED">
            <w:pPr>
              <w:jc w:val="both"/>
              <w:rPr>
                <w:rFonts w:ascii="Cormorant Garamond" w:eastAsia="Times New Roman" w:hAnsi="Cormorant Garamond"/>
                <w:sz w:val="20"/>
                <w:szCs w:val="20"/>
                <w:lang w:eastAsia="en-IN"/>
              </w:rPr>
            </w:pPr>
          </w:p>
        </w:tc>
      </w:tr>
    </w:tbl>
    <w:p w14:paraId="0C5E86DA" w14:textId="77777777" w:rsidR="00470470" w:rsidRDefault="00470470" w:rsidP="00456FED">
      <w:pPr>
        <w:spacing w:line="240" w:lineRule="auto"/>
        <w:jc w:val="both"/>
        <w:rPr>
          <w:rFonts w:ascii="Cormorant Garamond" w:eastAsia="Calibri" w:hAnsi="Cormorant Garamond"/>
          <w:b/>
          <w:bCs/>
        </w:rPr>
      </w:pPr>
    </w:p>
    <w:p w14:paraId="21681417" w14:textId="77777777" w:rsidR="00470470" w:rsidRPr="00435425" w:rsidRDefault="00470470" w:rsidP="008030CE">
      <w:pPr>
        <w:spacing w:line="240" w:lineRule="auto"/>
        <w:jc w:val="center"/>
        <w:rPr>
          <w:rFonts w:ascii="Cormorant Garamond" w:eastAsia="Calibri" w:hAnsi="Cormorant Garamond"/>
          <w:b/>
          <w:bCs/>
        </w:rPr>
      </w:pPr>
      <w:r w:rsidRPr="00435425">
        <w:rPr>
          <w:rFonts w:ascii="Cormorant Garamond" w:eastAsia="Calibri" w:hAnsi="Cormorant Garamond"/>
          <w:b/>
          <w:bCs/>
        </w:rPr>
        <w:t xml:space="preserve">Table 13: Comparative Analysis of Average ROA and ROE </w:t>
      </w:r>
      <w:r w:rsidRPr="00435425">
        <w:rPr>
          <w:rStyle w:val="FootnoteReference"/>
          <w:rFonts w:ascii="Cormorant Garamond" w:eastAsia="Calibri" w:hAnsi="Cormorant Garamond"/>
          <w:b/>
          <w:bCs/>
        </w:rPr>
        <w:footnoteReference w:id="60"/>
      </w:r>
    </w:p>
    <w:tbl>
      <w:tblPr>
        <w:tblStyle w:val="TableGrid1"/>
        <w:tblW w:w="0" w:type="auto"/>
        <w:jc w:val="center"/>
        <w:tblLook w:val="04A0" w:firstRow="1" w:lastRow="0" w:firstColumn="1" w:lastColumn="0" w:noHBand="0" w:noVBand="1"/>
      </w:tblPr>
      <w:tblGrid>
        <w:gridCol w:w="1998"/>
        <w:gridCol w:w="1135"/>
        <w:gridCol w:w="2465"/>
        <w:gridCol w:w="1124"/>
        <w:gridCol w:w="2709"/>
      </w:tblGrid>
      <w:tr w:rsidR="00470470" w:rsidRPr="00435425" w14:paraId="1C722AE8" w14:textId="77777777" w:rsidTr="006330EE">
        <w:trPr>
          <w:jc w:val="center"/>
        </w:trPr>
        <w:tc>
          <w:tcPr>
            <w:tcW w:w="1998" w:type="dxa"/>
            <w:hideMark/>
          </w:tcPr>
          <w:p w14:paraId="30D7875B" w14:textId="77777777" w:rsidR="00470470" w:rsidRPr="00435425" w:rsidRDefault="00470470"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Period</w:t>
            </w:r>
          </w:p>
        </w:tc>
        <w:tc>
          <w:tcPr>
            <w:tcW w:w="1135" w:type="dxa"/>
            <w:hideMark/>
          </w:tcPr>
          <w:p w14:paraId="57706F18" w14:textId="77777777" w:rsidR="00470470" w:rsidRPr="00435425" w:rsidRDefault="00470470"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Average ROA (%)</w:t>
            </w:r>
          </w:p>
        </w:tc>
        <w:tc>
          <w:tcPr>
            <w:tcW w:w="2465" w:type="dxa"/>
            <w:hideMark/>
          </w:tcPr>
          <w:p w14:paraId="0F62DF09" w14:textId="77777777" w:rsidR="00470470" w:rsidRPr="00435425" w:rsidRDefault="00470470"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Average Growth of ROA (%)</w:t>
            </w:r>
          </w:p>
        </w:tc>
        <w:tc>
          <w:tcPr>
            <w:tcW w:w="1124" w:type="dxa"/>
            <w:hideMark/>
          </w:tcPr>
          <w:p w14:paraId="5F1324A6" w14:textId="77777777" w:rsidR="00470470" w:rsidRPr="00435425" w:rsidRDefault="00470470"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Average</w:t>
            </w:r>
          </w:p>
          <w:p w14:paraId="7C71DFF9" w14:textId="77777777" w:rsidR="00470470" w:rsidRPr="00435425" w:rsidRDefault="00470470"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ROE (%)</w:t>
            </w:r>
          </w:p>
        </w:tc>
        <w:tc>
          <w:tcPr>
            <w:tcW w:w="0" w:type="auto"/>
            <w:hideMark/>
          </w:tcPr>
          <w:p w14:paraId="37AA5456" w14:textId="77777777" w:rsidR="00470470" w:rsidRPr="00435425" w:rsidRDefault="00470470"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Average Growth of ROE (%)</w:t>
            </w:r>
          </w:p>
        </w:tc>
      </w:tr>
      <w:tr w:rsidR="00470470" w:rsidRPr="00435425" w14:paraId="03CA2574" w14:textId="77777777" w:rsidTr="006330EE">
        <w:trPr>
          <w:trHeight w:val="275"/>
          <w:jc w:val="center"/>
        </w:trPr>
        <w:tc>
          <w:tcPr>
            <w:tcW w:w="1998" w:type="dxa"/>
            <w:hideMark/>
          </w:tcPr>
          <w:p w14:paraId="62E4BA94" w14:textId="77777777" w:rsidR="00470470" w:rsidRPr="00435425" w:rsidRDefault="00470470"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Pre-AI (2000-18)</w:t>
            </w:r>
          </w:p>
        </w:tc>
        <w:tc>
          <w:tcPr>
            <w:tcW w:w="1135" w:type="dxa"/>
            <w:hideMark/>
          </w:tcPr>
          <w:p w14:paraId="7BD6B7B9" w14:textId="77777777" w:rsidR="00470470" w:rsidRPr="00435425" w:rsidRDefault="00470470"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2.45</w:t>
            </w:r>
          </w:p>
        </w:tc>
        <w:tc>
          <w:tcPr>
            <w:tcW w:w="2465" w:type="dxa"/>
            <w:hideMark/>
          </w:tcPr>
          <w:p w14:paraId="77532CFD" w14:textId="77777777" w:rsidR="00470470" w:rsidRPr="00435425" w:rsidRDefault="00470470" w:rsidP="00456FED">
            <w:pPr>
              <w:jc w:val="both"/>
              <w:rPr>
                <w:rFonts w:ascii="Cormorant Garamond" w:eastAsia="Calibri" w:hAnsi="Cormorant Garamond"/>
                <w:sz w:val="20"/>
                <w:szCs w:val="20"/>
              </w:rPr>
            </w:pPr>
            <w:r w:rsidRPr="00435425">
              <w:rPr>
                <w:rFonts w:ascii="Cormorant Garamond" w:eastAsia="Calibri" w:hAnsi="Cormorant Garamond"/>
                <w:sz w:val="20"/>
                <w:szCs w:val="20"/>
              </w:rPr>
              <w:t>5.84</w:t>
            </w:r>
          </w:p>
        </w:tc>
        <w:tc>
          <w:tcPr>
            <w:tcW w:w="1124" w:type="dxa"/>
            <w:hideMark/>
          </w:tcPr>
          <w:p w14:paraId="4CF1DE9F" w14:textId="77777777" w:rsidR="00470470" w:rsidRPr="00435425" w:rsidRDefault="00470470"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24.75</w:t>
            </w:r>
          </w:p>
        </w:tc>
        <w:tc>
          <w:tcPr>
            <w:tcW w:w="0" w:type="auto"/>
            <w:hideMark/>
          </w:tcPr>
          <w:p w14:paraId="75F64536" w14:textId="77777777" w:rsidR="00470470" w:rsidRPr="00435425" w:rsidRDefault="00470470" w:rsidP="00456FED">
            <w:pPr>
              <w:jc w:val="both"/>
              <w:rPr>
                <w:rFonts w:ascii="Cormorant Garamond" w:eastAsia="Calibri" w:hAnsi="Cormorant Garamond"/>
                <w:sz w:val="20"/>
                <w:szCs w:val="20"/>
              </w:rPr>
            </w:pPr>
            <w:r w:rsidRPr="00435425">
              <w:rPr>
                <w:rFonts w:ascii="Cormorant Garamond" w:eastAsia="Calibri" w:hAnsi="Cormorant Garamond"/>
                <w:sz w:val="20"/>
                <w:szCs w:val="20"/>
              </w:rPr>
              <w:t>8.43</w:t>
            </w:r>
          </w:p>
        </w:tc>
      </w:tr>
      <w:tr w:rsidR="00470470" w:rsidRPr="00435425" w14:paraId="4D950405" w14:textId="77777777" w:rsidTr="006330EE">
        <w:trPr>
          <w:trHeight w:val="279"/>
          <w:jc w:val="center"/>
        </w:trPr>
        <w:tc>
          <w:tcPr>
            <w:tcW w:w="1998" w:type="dxa"/>
            <w:hideMark/>
          </w:tcPr>
          <w:p w14:paraId="7D0B77ED" w14:textId="77777777" w:rsidR="00470470" w:rsidRPr="00435425" w:rsidRDefault="00470470"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Post-AI (2019-24)</w:t>
            </w:r>
          </w:p>
        </w:tc>
        <w:tc>
          <w:tcPr>
            <w:tcW w:w="1135" w:type="dxa"/>
            <w:hideMark/>
          </w:tcPr>
          <w:p w14:paraId="3C04C66B" w14:textId="77777777" w:rsidR="00470470" w:rsidRPr="00435425" w:rsidRDefault="00470470"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2.57</w:t>
            </w:r>
          </w:p>
        </w:tc>
        <w:tc>
          <w:tcPr>
            <w:tcW w:w="2465" w:type="dxa"/>
            <w:hideMark/>
          </w:tcPr>
          <w:p w14:paraId="1E3CD283" w14:textId="77777777" w:rsidR="00470470" w:rsidRPr="00435425" w:rsidRDefault="00470470"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4.48</w:t>
            </w:r>
          </w:p>
        </w:tc>
        <w:tc>
          <w:tcPr>
            <w:tcW w:w="1124" w:type="dxa"/>
            <w:hideMark/>
          </w:tcPr>
          <w:p w14:paraId="1E64A4B0" w14:textId="77777777" w:rsidR="00470470" w:rsidRPr="00435425" w:rsidRDefault="00470470"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18.80</w:t>
            </w:r>
          </w:p>
        </w:tc>
        <w:tc>
          <w:tcPr>
            <w:tcW w:w="0" w:type="auto"/>
            <w:hideMark/>
          </w:tcPr>
          <w:p w14:paraId="160EB727" w14:textId="77777777" w:rsidR="00470470" w:rsidRPr="00435425" w:rsidRDefault="00470470"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10.17</w:t>
            </w:r>
          </w:p>
        </w:tc>
      </w:tr>
    </w:tbl>
    <w:p w14:paraId="50AE5CEC" w14:textId="77777777" w:rsidR="00470470" w:rsidRDefault="00470470" w:rsidP="00456FED">
      <w:pPr>
        <w:spacing w:line="240" w:lineRule="auto"/>
        <w:jc w:val="both"/>
        <w:rPr>
          <w:rFonts w:ascii="Cormorant Garamond" w:hAnsi="Cormorant Garamond" w:cs="Cormorant Garamond"/>
          <w:lang w:val="en-IN"/>
        </w:rPr>
      </w:pPr>
    </w:p>
    <w:p w14:paraId="34F02E4D" w14:textId="77777777" w:rsidR="00470470" w:rsidRPr="00435425" w:rsidRDefault="00470470" w:rsidP="008030CE">
      <w:pPr>
        <w:spacing w:line="240" w:lineRule="auto"/>
        <w:jc w:val="center"/>
        <w:rPr>
          <w:rFonts w:ascii="Cormorant Garamond" w:eastAsia="Calibri" w:hAnsi="Cormorant Garamond"/>
          <w:b/>
          <w:bCs/>
        </w:rPr>
      </w:pPr>
      <w:r w:rsidRPr="00435425">
        <w:rPr>
          <w:rFonts w:ascii="Cormorant Garamond" w:eastAsia="Calibri" w:hAnsi="Cormorant Garamond"/>
          <w:b/>
          <w:bCs/>
        </w:rPr>
        <w:t>Figure 8: Bank Return on Assets</w:t>
      </w:r>
      <w:r w:rsidRPr="00435425">
        <w:rPr>
          <w:rStyle w:val="FootnoteReference"/>
          <w:rFonts w:ascii="Cormorant Garamond" w:eastAsia="Calibri" w:hAnsi="Cormorant Garamond"/>
          <w:b/>
          <w:bCs/>
        </w:rPr>
        <w:footnoteReference w:id="61"/>
      </w:r>
    </w:p>
    <w:p w14:paraId="245D937F" w14:textId="4B76E07A" w:rsidR="00470470" w:rsidRDefault="00470470" w:rsidP="008030CE">
      <w:pPr>
        <w:spacing w:line="240" w:lineRule="auto"/>
        <w:jc w:val="center"/>
        <w:rPr>
          <w:rFonts w:ascii="Cormorant Garamond" w:hAnsi="Cormorant Garamond" w:cs="Cormorant Garamond"/>
          <w:lang w:val="en-IN"/>
        </w:rPr>
      </w:pPr>
      <w:r>
        <w:rPr>
          <w:rFonts w:ascii="Cormorant Garamond" w:hAnsi="Cormorant Garamond" w:cs="Cormorant Garamond"/>
          <w:noProof/>
          <w:lang w:bidi="ar-SA"/>
        </w:rPr>
        <w:lastRenderedPageBreak/>
        <w:drawing>
          <wp:inline distT="0" distB="0" distL="0" distR="0" wp14:anchorId="5870CDA7" wp14:editId="6DFE2FA6">
            <wp:extent cx="5623044" cy="1981219"/>
            <wp:effectExtent l="0" t="0" r="0" b="0"/>
            <wp:docPr id="111351800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18001" name="Picture 1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23044" cy="1981219"/>
                    </a:xfrm>
                    <a:prstGeom prst="rect">
                      <a:avLst/>
                    </a:prstGeom>
                  </pic:spPr>
                </pic:pic>
              </a:graphicData>
            </a:graphic>
          </wp:inline>
        </w:drawing>
      </w:r>
    </w:p>
    <w:p w14:paraId="0B9854C6" w14:textId="77777777" w:rsidR="00470470" w:rsidRPr="00435425" w:rsidRDefault="00470470" w:rsidP="008030CE">
      <w:pPr>
        <w:spacing w:line="240" w:lineRule="auto"/>
        <w:jc w:val="center"/>
        <w:rPr>
          <w:rFonts w:ascii="Cormorant Garamond" w:eastAsia="Calibri" w:hAnsi="Cormorant Garamond"/>
        </w:rPr>
      </w:pPr>
      <w:r w:rsidRPr="00435425">
        <w:rPr>
          <w:rFonts w:ascii="Cormorant Garamond" w:eastAsia="Calibri" w:hAnsi="Cormorant Garamond"/>
          <w:b/>
          <w:bCs/>
        </w:rPr>
        <w:t>Figure 9: Bank Return on Equity</w:t>
      </w:r>
      <w:r w:rsidRPr="00435425">
        <w:rPr>
          <w:rStyle w:val="FootnoteReference"/>
          <w:rFonts w:ascii="Cormorant Garamond" w:eastAsia="Calibri" w:hAnsi="Cormorant Garamond"/>
          <w:b/>
          <w:bCs/>
        </w:rPr>
        <w:footnoteReference w:id="62"/>
      </w:r>
    </w:p>
    <w:p w14:paraId="32726387" w14:textId="3374C55E" w:rsidR="00470470" w:rsidRDefault="00470470" w:rsidP="008030CE">
      <w:pPr>
        <w:spacing w:line="240" w:lineRule="auto"/>
        <w:jc w:val="center"/>
        <w:rPr>
          <w:rFonts w:ascii="Cormorant Garamond" w:hAnsi="Cormorant Garamond" w:cs="Cormorant Garamond"/>
          <w:lang w:val="en-IN"/>
        </w:rPr>
      </w:pPr>
      <w:r>
        <w:rPr>
          <w:rFonts w:ascii="Cormorant Garamond" w:hAnsi="Cormorant Garamond" w:cs="Cormorant Garamond"/>
          <w:noProof/>
          <w:lang w:bidi="ar-SA"/>
        </w:rPr>
        <w:drawing>
          <wp:inline distT="0" distB="0" distL="0" distR="0" wp14:anchorId="21C46784" wp14:editId="4EF5E39A">
            <wp:extent cx="5730296" cy="1981219"/>
            <wp:effectExtent l="0" t="0" r="3810" b="0"/>
            <wp:docPr id="149339078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390781" name="Picture 149339078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30296" cy="1981219"/>
                    </a:xfrm>
                    <a:prstGeom prst="rect">
                      <a:avLst/>
                    </a:prstGeom>
                  </pic:spPr>
                </pic:pic>
              </a:graphicData>
            </a:graphic>
          </wp:inline>
        </w:drawing>
      </w:r>
    </w:p>
    <w:p w14:paraId="32C4E97B" w14:textId="77777777" w:rsidR="00470470" w:rsidRPr="00435425" w:rsidRDefault="00470470" w:rsidP="00456FED">
      <w:pPr>
        <w:spacing w:line="240" w:lineRule="auto"/>
        <w:jc w:val="both"/>
        <w:rPr>
          <w:rFonts w:ascii="Cormorant Garamond" w:eastAsia="Calibri" w:hAnsi="Cormorant Garamond"/>
        </w:rPr>
      </w:pPr>
      <w:r w:rsidRPr="00435425">
        <w:rPr>
          <w:rFonts w:ascii="Cormorant Garamond" w:eastAsia="Calibri" w:hAnsi="Cormorant Garamond"/>
        </w:rPr>
        <w:t xml:space="preserve">Moreover, the post-AI period saw notable advancements, with ROA rising consistently to 2.76% in 2023, reflecting better profitability and asset utilization. The average ROA increased to 2.57%, driven by AI-enabled technologies such as automated risk assessments and fraud detection, which streamlined operations and reduced costs. However, there is fall in the growth rate of ROA in the post AI period. ROE also improved significantly, increasing from 10.23% in 2020 to 20.01% in 2023, with an average of 18.80%. This improvement was fueled by AI-driven decision-making, enhanced risk management, and digital transformation, particularly during the COVID-19 pandemic. The average growth rate of ROE reached 10.17%, showcasing improved capital efficiency and financial performance. </w:t>
      </w:r>
      <w:r w:rsidRPr="00435425">
        <w:rPr>
          <w:rFonts w:ascii="Cormorant Garamond" w:eastAsia="Times New Roman" w:hAnsi="Cormorant Garamond"/>
          <w:kern w:val="0"/>
          <w14:ligatures w14:val="none"/>
        </w:rPr>
        <w:t>The overall findings emphasize the transformative impact of AI in the post-2019 period, characterized by greater operational efficiency and profitability in Indonesia’s banking sector. AI adoption enhanced asset management, reduced operational costs, and improved decision-making, allowing banks to overcome challenges and achieve sustained growth.</w:t>
      </w:r>
    </w:p>
    <w:p w14:paraId="473DE43B" w14:textId="77777777" w:rsidR="00470470" w:rsidRPr="00435425" w:rsidRDefault="00470470" w:rsidP="00456FED">
      <w:pPr>
        <w:spacing w:line="240" w:lineRule="auto"/>
        <w:jc w:val="both"/>
        <w:rPr>
          <w:rFonts w:ascii="Cormorant Garamond" w:eastAsia="Calibri" w:hAnsi="Cormorant Garamond"/>
          <w:b/>
          <w:bCs/>
          <w:vanish/>
          <w:sz w:val="28"/>
          <w:szCs w:val="28"/>
        </w:rPr>
      </w:pPr>
    </w:p>
    <w:p w14:paraId="2C698F64" w14:textId="1E7B8E33" w:rsidR="00470470" w:rsidRPr="00435425" w:rsidRDefault="00470470" w:rsidP="00456FED">
      <w:pPr>
        <w:spacing w:line="240" w:lineRule="auto"/>
        <w:jc w:val="both"/>
        <w:rPr>
          <w:rFonts w:ascii="Cormorant Garamond" w:eastAsia="Times New Roman" w:hAnsi="Cormorant Garamond"/>
          <w:kern w:val="0"/>
          <w14:ligatures w14:val="none"/>
        </w:rPr>
      </w:pPr>
      <w:r w:rsidRPr="00435425">
        <w:rPr>
          <w:rFonts w:ascii="Cormorant Garamond" w:eastAsia="Times New Roman" w:hAnsi="Cormorant Garamond"/>
          <w:b/>
          <w:bCs/>
          <w:kern w:val="0"/>
          <w:sz w:val="28"/>
          <w:szCs w:val="28"/>
          <w14:ligatures w14:val="none"/>
        </w:rPr>
        <w:t>I</w:t>
      </w:r>
      <w:r w:rsidR="00A13FA2">
        <w:rPr>
          <w:rFonts w:ascii="Cormorant Garamond" w:eastAsia="Times New Roman" w:hAnsi="Cormorant Garamond"/>
          <w:b/>
          <w:bCs/>
          <w:kern w:val="0"/>
          <w:sz w:val="28"/>
          <w:szCs w:val="28"/>
          <w14:ligatures w14:val="none"/>
        </w:rPr>
        <w:t>V</w:t>
      </w:r>
      <w:r w:rsidRPr="00435425">
        <w:rPr>
          <w:rFonts w:ascii="Cormorant Garamond" w:eastAsia="Times New Roman" w:hAnsi="Cormorant Garamond"/>
          <w:b/>
          <w:bCs/>
          <w:kern w:val="0"/>
          <w:sz w:val="28"/>
          <w:szCs w:val="28"/>
          <w14:ligatures w14:val="none"/>
        </w:rPr>
        <w:t>.J IMPACT OF AI ON FINANCIAL INCLUSION</w:t>
      </w:r>
    </w:p>
    <w:p w14:paraId="68AEAEA4" w14:textId="4C8168F2" w:rsidR="00470470" w:rsidRPr="00435425" w:rsidRDefault="00470470" w:rsidP="00456FED">
      <w:pPr>
        <w:spacing w:line="240" w:lineRule="auto"/>
        <w:jc w:val="both"/>
        <w:rPr>
          <w:rFonts w:ascii="Cormorant Garamond" w:eastAsia="Calibri" w:hAnsi="Cormorant Garamond"/>
        </w:rPr>
      </w:pPr>
      <w:r w:rsidRPr="00435425">
        <w:rPr>
          <w:rFonts w:ascii="Cormorant Garamond" w:eastAsia="Calibri" w:hAnsi="Cormorant Garamond"/>
        </w:rPr>
        <w:t>The changes in account ownership at formal financial institutions in Indonesia from 2011 to 2021 are presented in Table 1</w:t>
      </w:r>
      <w:r w:rsidR="00AC3136">
        <w:rPr>
          <w:rFonts w:ascii="Cormorant Garamond" w:eastAsia="Calibri" w:hAnsi="Cormorant Garamond"/>
        </w:rPr>
        <w:t>4</w:t>
      </w:r>
      <w:r w:rsidRPr="00435425">
        <w:rPr>
          <w:rFonts w:ascii="Cormorant Garamond" w:eastAsia="Calibri" w:hAnsi="Cormorant Garamond"/>
        </w:rPr>
        <w:t xml:space="preserve"> which highlights the differences between pre- and post-AI periods. In 2011, only 19.58% of individuals aged 15 and above held accounts, reflecting limited financial inclusion and reliance on physical branches. By 2014, this percentage had grown to </w:t>
      </w:r>
      <w:r w:rsidRPr="00435425">
        <w:rPr>
          <w:rFonts w:ascii="Cormorant Garamond" w:eastAsia="Calibri" w:hAnsi="Cormorant Garamond"/>
        </w:rPr>
        <w:lastRenderedPageBreak/>
        <w:t>35.95%, driven by economic growth and government programs promoting financial literacy and access to banking in underserved areas. The increase was substantial during this period, with a growth rate of 83.38%, indicating early success in expanding financial inclusion without significant technological intervention.</w:t>
      </w:r>
    </w:p>
    <w:p w14:paraId="106EB614" w14:textId="77777777" w:rsidR="00470470" w:rsidRPr="00435425" w:rsidRDefault="00470470" w:rsidP="008030CE">
      <w:pPr>
        <w:spacing w:line="240" w:lineRule="auto"/>
        <w:jc w:val="center"/>
        <w:rPr>
          <w:rFonts w:ascii="Cormorant Garamond" w:eastAsia="Calibri" w:hAnsi="Cormorant Garamond"/>
          <w:b/>
          <w:bCs/>
        </w:rPr>
      </w:pPr>
      <w:r w:rsidRPr="00435425">
        <w:rPr>
          <w:rFonts w:ascii="Cormorant Garamond" w:eastAsia="Calibri" w:hAnsi="Cormorant Garamond"/>
          <w:b/>
          <w:bCs/>
        </w:rPr>
        <w:t>Table 14: Account Ownership Trends at Formal Financial Institutions</w:t>
      </w:r>
      <w:r w:rsidRPr="00435425">
        <w:rPr>
          <w:rStyle w:val="FootnoteReference"/>
          <w:rFonts w:ascii="Cormorant Garamond" w:eastAsia="Calibri" w:hAnsi="Cormorant Garamond"/>
          <w:b/>
          <w:bCs/>
        </w:rPr>
        <w:footnoteReference w:id="63"/>
      </w:r>
    </w:p>
    <w:tbl>
      <w:tblPr>
        <w:tblStyle w:val="TableGrid1"/>
        <w:tblW w:w="7225" w:type="dxa"/>
        <w:jc w:val="center"/>
        <w:tblLook w:val="04A0" w:firstRow="1" w:lastRow="0" w:firstColumn="1" w:lastColumn="0" w:noHBand="0" w:noVBand="1"/>
      </w:tblPr>
      <w:tblGrid>
        <w:gridCol w:w="1260"/>
        <w:gridCol w:w="3780"/>
        <w:gridCol w:w="2185"/>
      </w:tblGrid>
      <w:tr w:rsidR="00470470" w:rsidRPr="00435425" w14:paraId="2BB957F0" w14:textId="77777777" w:rsidTr="006330EE">
        <w:trPr>
          <w:trHeight w:val="469"/>
          <w:jc w:val="center"/>
        </w:trPr>
        <w:tc>
          <w:tcPr>
            <w:tcW w:w="1260" w:type="dxa"/>
            <w:hideMark/>
          </w:tcPr>
          <w:p w14:paraId="024BD158" w14:textId="77777777" w:rsidR="00470470" w:rsidRPr="00435425" w:rsidRDefault="00470470"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Year</w:t>
            </w:r>
          </w:p>
        </w:tc>
        <w:tc>
          <w:tcPr>
            <w:tcW w:w="3780" w:type="dxa"/>
            <w:hideMark/>
          </w:tcPr>
          <w:p w14:paraId="31AAD9A9" w14:textId="77777777" w:rsidR="00470470" w:rsidRPr="00435425" w:rsidRDefault="00470470"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Account at a Formal Financial Institution (% age 15+)</w:t>
            </w:r>
          </w:p>
        </w:tc>
        <w:tc>
          <w:tcPr>
            <w:tcW w:w="2185" w:type="dxa"/>
            <w:hideMark/>
          </w:tcPr>
          <w:p w14:paraId="026D072F" w14:textId="77777777" w:rsidR="00470470" w:rsidRPr="00435425" w:rsidRDefault="00470470"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Growth Rate (%)</w:t>
            </w:r>
          </w:p>
        </w:tc>
      </w:tr>
      <w:tr w:rsidR="00470470" w:rsidRPr="00435425" w14:paraId="4663A48E" w14:textId="77777777" w:rsidTr="006330EE">
        <w:trPr>
          <w:trHeight w:val="195"/>
          <w:jc w:val="center"/>
        </w:trPr>
        <w:tc>
          <w:tcPr>
            <w:tcW w:w="1260" w:type="dxa"/>
            <w:hideMark/>
          </w:tcPr>
          <w:p w14:paraId="006F5F12" w14:textId="77777777" w:rsidR="00470470" w:rsidRPr="00435425" w:rsidRDefault="00470470"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2011</w:t>
            </w:r>
          </w:p>
        </w:tc>
        <w:tc>
          <w:tcPr>
            <w:tcW w:w="3780" w:type="dxa"/>
            <w:hideMark/>
          </w:tcPr>
          <w:p w14:paraId="4B9EE797" w14:textId="77777777" w:rsidR="00470470" w:rsidRPr="00435425" w:rsidRDefault="00470470"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19.58%</w:t>
            </w:r>
          </w:p>
        </w:tc>
        <w:tc>
          <w:tcPr>
            <w:tcW w:w="2185" w:type="dxa"/>
            <w:hideMark/>
          </w:tcPr>
          <w:p w14:paraId="2A277296" w14:textId="77777777" w:rsidR="00470470" w:rsidRPr="00435425" w:rsidRDefault="00470470" w:rsidP="00456FED">
            <w:pPr>
              <w:jc w:val="both"/>
              <w:rPr>
                <w:rFonts w:ascii="Cormorant Garamond" w:eastAsia="Calibri" w:hAnsi="Cormorant Garamond"/>
                <w:sz w:val="20"/>
                <w:szCs w:val="20"/>
              </w:rPr>
            </w:pPr>
            <w:r w:rsidRPr="00435425">
              <w:rPr>
                <w:rFonts w:ascii="Cormorant Garamond" w:eastAsia="Calibri" w:hAnsi="Cormorant Garamond"/>
                <w:sz w:val="20"/>
                <w:szCs w:val="20"/>
              </w:rPr>
              <w:t>-</w:t>
            </w:r>
          </w:p>
        </w:tc>
      </w:tr>
      <w:tr w:rsidR="00470470" w:rsidRPr="00435425" w14:paraId="3E585E07" w14:textId="77777777" w:rsidTr="006330EE">
        <w:trPr>
          <w:trHeight w:val="285"/>
          <w:jc w:val="center"/>
        </w:trPr>
        <w:tc>
          <w:tcPr>
            <w:tcW w:w="1260" w:type="dxa"/>
            <w:hideMark/>
          </w:tcPr>
          <w:p w14:paraId="77ACC109" w14:textId="77777777" w:rsidR="00470470" w:rsidRPr="00435425" w:rsidRDefault="00470470"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2014</w:t>
            </w:r>
          </w:p>
        </w:tc>
        <w:tc>
          <w:tcPr>
            <w:tcW w:w="3780" w:type="dxa"/>
            <w:hideMark/>
          </w:tcPr>
          <w:p w14:paraId="3976743A" w14:textId="77777777" w:rsidR="00470470" w:rsidRPr="00435425" w:rsidRDefault="00470470"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35.95%</w:t>
            </w:r>
          </w:p>
        </w:tc>
        <w:tc>
          <w:tcPr>
            <w:tcW w:w="2185" w:type="dxa"/>
            <w:hideMark/>
          </w:tcPr>
          <w:p w14:paraId="10559596" w14:textId="77777777" w:rsidR="00470470" w:rsidRPr="00435425" w:rsidRDefault="00470470" w:rsidP="00456FED">
            <w:pPr>
              <w:jc w:val="both"/>
              <w:rPr>
                <w:rFonts w:ascii="Cormorant Garamond" w:eastAsia="Calibri" w:hAnsi="Cormorant Garamond"/>
                <w:sz w:val="20"/>
                <w:szCs w:val="20"/>
              </w:rPr>
            </w:pPr>
            <w:r w:rsidRPr="00435425">
              <w:rPr>
                <w:rFonts w:ascii="Cormorant Garamond" w:eastAsia="Calibri" w:hAnsi="Cormorant Garamond"/>
                <w:sz w:val="20"/>
                <w:szCs w:val="20"/>
              </w:rPr>
              <w:t>83.38%</w:t>
            </w:r>
          </w:p>
        </w:tc>
      </w:tr>
      <w:tr w:rsidR="00470470" w:rsidRPr="00435425" w14:paraId="5D7BA855" w14:textId="77777777" w:rsidTr="006330EE">
        <w:trPr>
          <w:trHeight w:val="231"/>
          <w:jc w:val="center"/>
        </w:trPr>
        <w:tc>
          <w:tcPr>
            <w:tcW w:w="1260" w:type="dxa"/>
            <w:hideMark/>
          </w:tcPr>
          <w:p w14:paraId="5F1C17C5" w14:textId="77777777" w:rsidR="00470470" w:rsidRPr="00435425" w:rsidRDefault="00470470"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2017</w:t>
            </w:r>
          </w:p>
        </w:tc>
        <w:tc>
          <w:tcPr>
            <w:tcW w:w="3780" w:type="dxa"/>
            <w:hideMark/>
          </w:tcPr>
          <w:p w14:paraId="53C8C99D" w14:textId="77777777" w:rsidR="00470470" w:rsidRPr="00435425" w:rsidRDefault="00470470"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48.39%</w:t>
            </w:r>
          </w:p>
        </w:tc>
        <w:tc>
          <w:tcPr>
            <w:tcW w:w="2185" w:type="dxa"/>
            <w:hideMark/>
          </w:tcPr>
          <w:p w14:paraId="58EB7F33" w14:textId="77777777" w:rsidR="00470470" w:rsidRPr="00435425" w:rsidRDefault="00470470"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34.81%</w:t>
            </w:r>
          </w:p>
        </w:tc>
      </w:tr>
      <w:tr w:rsidR="00470470" w:rsidRPr="00435425" w14:paraId="4363DB80" w14:textId="77777777" w:rsidTr="006330EE">
        <w:trPr>
          <w:trHeight w:val="263"/>
          <w:jc w:val="center"/>
        </w:trPr>
        <w:tc>
          <w:tcPr>
            <w:tcW w:w="1260" w:type="dxa"/>
            <w:hideMark/>
          </w:tcPr>
          <w:p w14:paraId="6BF5B8CA" w14:textId="77777777" w:rsidR="00470470" w:rsidRPr="00435425" w:rsidRDefault="00470470"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2021</w:t>
            </w:r>
          </w:p>
        </w:tc>
        <w:tc>
          <w:tcPr>
            <w:tcW w:w="3780" w:type="dxa"/>
            <w:hideMark/>
          </w:tcPr>
          <w:p w14:paraId="4CBF1D82" w14:textId="77777777" w:rsidR="00470470" w:rsidRPr="00435425" w:rsidRDefault="00470470" w:rsidP="00456FED">
            <w:pPr>
              <w:jc w:val="both"/>
              <w:rPr>
                <w:rFonts w:ascii="Cormorant Garamond" w:eastAsia="Calibri" w:hAnsi="Cormorant Garamond"/>
                <w:sz w:val="20"/>
                <w:szCs w:val="20"/>
              </w:rPr>
            </w:pPr>
            <w:r w:rsidRPr="00435425">
              <w:rPr>
                <w:rFonts w:ascii="Cormorant Garamond" w:eastAsia="Calibri" w:hAnsi="Cormorant Garamond"/>
                <w:sz w:val="20"/>
                <w:szCs w:val="20"/>
              </w:rPr>
              <w:t>50.51%</w:t>
            </w:r>
          </w:p>
        </w:tc>
        <w:tc>
          <w:tcPr>
            <w:tcW w:w="2185" w:type="dxa"/>
            <w:hideMark/>
          </w:tcPr>
          <w:p w14:paraId="5ADBF571" w14:textId="77777777" w:rsidR="00470470" w:rsidRPr="00435425" w:rsidRDefault="00470470"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4.39%</w:t>
            </w:r>
          </w:p>
        </w:tc>
      </w:tr>
    </w:tbl>
    <w:p w14:paraId="68E8831B" w14:textId="77777777" w:rsidR="00470470" w:rsidRPr="00435425" w:rsidRDefault="00470470" w:rsidP="00456FED">
      <w:pPr>
        <w:spacing w:line="240" w:lineRule="auto"/>
        <w:jc w:val="both"/>
        <w:rPr>
          <w:rFonts w:ascii="Cormorant Garamond" w:eastAsia="Calibri" w:hAnsi="Cormorant Garamond"/>
          <w:sz w:val="20"/>
          <w:szCs w:val="20"/>
        </w:rPr>
      </w:pPr>
    </w:p>
    <w:p w14:paraId="3AFA9932" w14:textId="77777777" w:rsidR="00470470" w:rsidRPr="00435425" w:rsidRDefault="00470470" w:rsidP="008030CE">
      <w:pPr>
        <w:spacing w:line="240" w:lineRule="auto"/>
        <w:jc w:val="center"/>
        <w:rPr>
          <w:rFonts w:ascii="Cormorant Garamond" w:eastAsia="Calibri" w:hAnsi="Cormorant Garamond"/>
          <w:b/>
          <w:bCs/>
        </w:rPr>
      </w:pPr>
      <w:r w:rsidRPr="00435425">
        <w:rPr>
          <w:rFonts w:ascii="Cormorant Garamond" w:eastAsia="Calibri" w:hAnsi="Cormorant Garamond"/>
          <w:b/>
          <w:bCs/>
        </w:rPr>
        <w:t>Figure 10: Account Ownership Trends at Formal Financial Institutions</w:t>
      </w:r>
      <w:r w:rsidRPr="00435425">
        <w:rPr>
          <w:rStyle w:val="FootnoteReference"/>
          <w:rFonts w:ascii="Cormorant Garamond" w:eastAsia="Calibri" w:hAnsi="Cormorant Garamond"/>
          <w:b/>
          <w:bCs/>
        </w:rPr>
        <w:footnoteReference w:id="64"/>
      </w:r>
    </w:p>
    <w:p w14:paraId="30264F0A" w14:textId="289755C5" w:rsidR="00470470" w:rsidRDefault="00470470" w:rsidP="008030CE">
      <w:pPr>
        <w:spacing w:line="240" w:lineRule="auto"/>
        <w:jc w:val="center"/>
        <w:rPr>
          <w:rFonts w:ascii="Cormorant Garamond" w:hAnsi="Cormorant Garamond" w:cs="Cormorant Garamond"/>
          <w:lang w:val="en-IN"/>
        </w:rPr>
      </w:pPr>
      <w:r>
        <w:rPr>
          <w:rFonts w:ascii="Cormorant Garamond" w:hAnsi="Cormorant Garamond" w:cs="Cormorant Garamond"/>
          <w:noProof/>
          <w:lang w:bidi="ar-SA"/>
        </w:rPr>
        <w:drawing>
          <wp:inline distT="0" distB="0" distL="0" distR="0" wp14:anchorId="50C2346B" wp14:editId="517BB806">
            <wp:extent cx="4572044" cy="2743227"/>
            <wp:effectExtent l="0" t="0" r="0" b="0"/>
            <wp:docPr id="23185157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851577" name="Picture 23185157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572044" cy="2743227"/>
                    </a:xfrm>
                    <a:prstGeom prst="rect">
                      <a:avLst/>
                    </a:prstGeom>
                  </pic:spPr>
                </pic:pic>
              </a:graphicData>
            </a:graphic>
          </wp:inline>
        </w:drawing>
      </w:r>
    </w:p>
    <w:p w14:paraId="1BEF6B1D" w14:textId="77777777" w:rsidR="00470470" w:rsidRPr="00ED1C93" w:rsidRDefault="00470470" w:rsidP="00456FED">
      <w:pPr>
        <w:spacing w:line="240" w:lineRule="auto"/>
        <w:jc w:val="both"/>
        <w:rPr>
          <w:rFonts w:ascii="Cormorant Garamond" w:eastAsia="Calibri" w:hAnsi="Cormorant Garamond"/>
        </w:rPr>
      </w:pPr>
      <w:r w:rsidRPr="00435425">
        <w:rPr>
          <w:rFonts w:ascii="Cormorant Garamond" w:eastAsia="Calibri" w:hAnsi="Cormorant Garamond"/>
        </w:rPr>
        <w:t xml:space="preserve">Between 2014 and 2017, account ownership continued to rise, reaching 48.39% and the growth rate slowed to 34.81%. This period saw the early adoption of digital banking technologies, which complemented traditional methods, though AI tools had not yet become a major factor. The increase was supported by greater financial literacy and the gradual expansion of digital banking platforms, which started to attract more users. From 2017 to 2021, during the post-AI period, account ownership grew moderately to 50.51%, with a much lower growth rate of 4.39%. This slowdown can be attributed to market saturation, as many individuals had already opened accounts. However, the role of AI in enhancing financial inclusion became significant in this phase. AI-powered tools like mobile banking apps, chatbots, and digital wallets simplified access to financial services, especially during the COVID-19 pandemic, when remote banking became </w:t>
      </w:r>
      <w:r w:rsidRPr="00435425">
        <w:rPr>
          <w:rFonts w:ascii="Cormorant Garamond" w:eastAsia="Calibri" w:hAnsi="Cormorant Garamond"/>
        </w:rPr>
        <w:lastRenderedPageBreak/>
        <w:t>essential. These innovations allowed users to open accounts and manage finances without visiting physical branches, improving inclusivity for previously underserved populations.</w:t>
      </w:r>
      <w:r w:rsidRPr="00435425">
        <w:rPr>
          <w:rStyle w:val="FootnoteReference"/>
          <w:rFonts w:ascii="Cormorant Garamond" w:eastAsia="Calibri" w:hAnsi="Cormorant Garamond"/>
        </w:rPr>
        <w:footnoteReference w:id="65"/>
      </w:r>
    </w:p>
    <w:p w14:paraId="4AECF0B5" w14:textId="050B01A3" w:rsidR="00470470" w:rsidRPr="00435425" w:rsidRDefault="00470470" w:rsidP="00456FED">
      <w:pPr>
        <w:spacing w:line="240" w:lineRule="auto"/>
        <w:jc w:val="both"/>
        <w:rPr>
          <w:rFonts w:ascii="Cormorant Garamond" w:eastAsia="Calibri" w:hAnsi="Cormorant Garamond"/>
        </w:rPr>
      </w:pPr>
      <w:r w:rsidRPr="00435425">
        <w:rPr>
          <w:rFonts w:ascii="Cormorant Garamond" w:eastAsia="Calibri" w:hAnsi="Cormorant Garamond"/>
          <w:b/>
          <w:bCs/>
          <w:sz w:val="28"/>
          <w:szCs w:val="28"/>
        </w:rPr>
        <w:t>V. CONCLUSION</w:t>
      </w:r>
    </w:p>
    <w:p w14:paraId="7EDB19EE" w14:textId="77777777" w:rsidR="00470470" w:rsidRDefault="00470470" w:rsidP="00456FED">
      <w:pPr>
        <w:spacing w:line="240" w:lineRule="auto"/>
        <w:jc w:val="both"/>
        <w:rPr>
          <w:rFonts w:ascii="Cormorant Garamond" w:eastAsia="Calibri" w:hAnsi="Cormorant Garamond"/>
        </w:rPr>
      </w:pPr>
      <w:r w:rsidRPr="00435425">
        <w:rPr>
          <w:rFonts w:ascii="Cormorant Garamond" w:eastAsia="Calibri" w:hAnsi="Cormorant Garamond"/>
        </w:rPr>
        <w:t xml:space="preserve">The study examined the role of Artificial Intelligence and its implications for Indonesia's banking and financial sectors during the pre- and post-AI periods. The findings suggest that, despite initial obstacles such as investment costs and adjustments to technology, AI has increased profitability, enhanced operational efficiency, and expanded access to financial services. </w:t>
      </w:r>
      <w:r>
        <w:rPr>
          <w:rFonts w:ascii="Cormorant Garamond" w:eastAsia="Calibri" w:hAnsi="Cormorant Garamond"/>
        </w:rPr>
        <w:t>The study found that after the adoption of AI there is a fall in the number of commercial banks operating in the Indonesian economy along with the fall in the growth rate of assets of banks. This raises the question on the capacity of AI in perusing the customers for asset mobilization. In this case the central bank of Indonesia may play a role in motivating banks to either return to their banking agents or transforming or improving AI for better pursuance. Further the study found U-Shaped curve for asset concentration with five largest banks. Perhaps, the implementation of AI in banking sector has created the dominance of large banks, that needs to be corrected to avoid the emergence of monopoly market in banking sector. The AI has very positive impact on bank overhead costs to total assets and helped in reducing it. This has improved the operational efficiency of banks and bank cost to income ratio has declined after the adoption of AI in this sector, but in 2023 there is a massive increase in this ratio which is a cause of concern and the central bank of Indonesia needs to monitor the AI and its use in any malpractices.</w:t>
      </w:r>
    </w:p>
    <w:p w14:paraId="134E2091" w14:textId="367EB8EC" w:rsidR="00470470" w:rsidRDefault="00470470" w:rsidP="00456FED">
      <w:pPr>
        <w:spacing w:line="240" w:lineRule="auto"/>
        <w:jc w:val="both"/>
        <w:rPr>
          <w:rFonts w:ascii="Cormorant Garamond" w:eastAsia="Calibri" w:hAnsi="Cormorant Garamond"/>
        </w:rPr>
      </w:pPr>
      <w:r>
        <w:rPr>
          <w:rFonts w:ascii="Cormorant Garamond" w:eastAsia="Calibri" w:hAnsi="Cormorant Garamond"/>
        </w:rPr>
        <w:t xml:space="preserve">The bank-lending deposit spread that determines their profitability has been positively contributed by AI and its average growth has improved drastically in post-AI period. The AI has also positively impacted the non-performing loans and its growth rate has declined in the post-AI period. The adoption of AI has also improved the dominance of financial sector by improving its share in the GDP. The AI regime has given better place to specialized non-banking institutions like NBFIs, Mutual Funds, Insurance Companies, etc. and diversified the Indonesian banking and financial sector. The AI has also improved the operational efficiency represented by ROA and ROE of the banks. However, the growth rate of ROA has fallen while the growth rate of ROE has increased that lead us to the conclusion that AI has favored more to the investment in equity as compared to investments in assets. After the adoption of AI, the account ownership with financial institution has improved but the improvement is lower than the pre-AI period. It looks that there is not much scope of increasing the account ownership because already 70% of the adult population has the access to the banking services. The central bank of Indonesia </w:t>
      </w:r>
      <w:r>
        <w:rPr>
          <w:rFonts w:ascii="Cormorant Garamond" w:eastAsia="Calibri" w:hAnsi="Cormorant Garamond"/>
        </w:rPr>
        <w:tab/>
        <w:t>needs to devise the means for further penetration of the banking services with the help of AI-driven strategies.</w:t>
      </w:r>
    </w:p>
    <w:p w14:paraId="0259AFEE" w14:textId="77777777" w:rsidR="0054152C" w:rsidRDefault="0054152C" w:rsidP="00456FED">
      <w:pPr>
        <w:spacing w:line="240" w:lineRule="auto"/>
        <w:jc w:val="both"/>
        <w:rPr>
          <w:rFonts w:ascii="Cormorant Garamond" w:eastAsia="Calibri" w:hAnsi="Cormorant Garamond"/>
        </w:rPr>
      </w:pPr>
    </w:p>
    <w:p w14:paraId="471750EB" w14:textId="77777777" w:rsidR="0054152C" w:rsidRDefault="0054152C" w:rsidP="00456FED">
      <w:pPr>
        <w:spacing w:line="240" w:lineRule="auto"/>
        <w:jc w:val="both"/>
        <w:rPr>
          <w:rFonts w:ascii="Cormorant Garamond" w:eastAsia="Calibri" w:hAnsi="Cormorant Garamond"/>
        </w:rPr>
      </w:pPr>
    </w:p>
    <w:p w14:paraId="3568D4D8" w14:textId="77777777" w:rsidR="0054152C" w:rsidRDefault="0054152C" w:rsidP="00456FED">
      <w:pPr>
        <w:spacing w:line="240" w:lineRule="auto"/>
        <w:jc w:val="both"/>
        <w:rPr>
          <w:rFonts w:ascii="Cormorant Garamond" w:eastAsia="Calibri" w:hAnsi="Cormorant Garamond"/>
        </w:rPr>
      </w:pPr>
    </w:p>
    <w:p w14:paraId="6EFAD5B4" w14:textId="77777777" w:rsidR="00F8231F" w:rsidRDefault="00F8231F" w:rsidP="0054152C">
      <w:pPr>
        <w:jc w:val="both"/>
        <w:rPr>
          <w:rFonts w:ascii="Cormorant Garamond" w:hAnsi="Cormorant Garamond"/>
          <w:b/>
          <w:bCs/>
          <w:sz w:val="28"/>
          <w:szCs w:val="28"/>
        </w:rPr>
      </w:pPr>
    </w:p>
    <w:p w14:paraId="3BA612B9" w14:textId="77777777" w:rsidR="00F8231F" w:rsidRPr="00270720" w:rsidRDefault="00F8231F" w:rsidP="00F8231F">
      <w:pPr>
        <w:rPr>
          <w:highlight w:val="yellow"/>
        </w:rPr>
      </w:pPr>
      <w:r w:rsidRPr="00270720">
        <w:rPr>
          <w:highlight w:val="yellow"/>
        </w:rPr>
        <w:t>Disclaimer (Artificial intelligence)</w:t>
      </w:r>
    </w:p>
    <w:p w14:paraId="6D290BF6" w14:textId="77777777" w:rsidR="00F8231F" w:rsidRPr="00270720" w:rsidRDefault="00F8231F" w:rsidP="00F8231F">
      <w:pPr>
        <w:rPr>
          <w:highlight w:val="yellow"/>
        </w:rPr>
      </w:pPr>
    </w:p>
    <w:p w14:paraId="5ABCC484" w14:textId="77777777" w:rsidR="00F8231F" w:rsidRPr="00270720" w:rsidRDefault="00F8231F" w:rsidP="00F8231F">
      <w:pPr>
        <w:rPr>
          <w:highlight w:val="yellow"/>
        </w:rPr>
      </w:pPr>
      <w:r w:rsidRPr="00270720">
        <w:rPr>
          <w:highlight w:val="yellow"/>
        </w:rPr>
        <w:t xml:space="preserve">Option 1: </w:t>
      </w:r>
    </w:p>
    <w:p w14:paraId="16CBE861" w14:textId="77777777" w:rsidR="00F8231F" w:rsidRPr="00270720" w:rsidRDefault="00F8231F" w:rsidP="00F8231F">
      <w:pPr>
        <w:rPr>
          <w:highlight w:val="yellow"/>
        </w:rPr>
      </w:pPr>
    </w:p>
    <w:p w14:paraId="279E7E59" w14:textId="77777777" w:rsidR="00F8231F" w:rsidRPr="00270720" w:rsidRDefault="00F8231F" w:rsidP="00F8231F">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0661DD26" w14:textId="77777777" w:rsidR="00F8231F" w:rsidRPr="00270720" w:rsidRDefault="00F8231F" w:rsidP="00F8231F">
      <w:pPr>
        <w:rPr>
          <w:highlight w:val="yellow"/>
        </w:rPr>
      </w:pPr>
    </w:p>
    <w:p w14:paraId="736DB2D9" w14:textId="77777777" w:rsidR="00F8231F" w:rsidRPr="00270720" w:rsidRDefault="00F8231F" w:rsidP="00F8231F">
      <w:pPr>
        <w:rPr>
          <w:highlight w:val="yellow"/>
        </w:rPr>
      </w:pPr>
      <w:r w:rsidRPr="00270720">
        <w:rPr>
          <w:highlight w:val="yellow"/>
        </w:rPr>
        <w:t xml:space="preserve">Option 2: </w:t>
      </w:r>
    </w:p>
    <w:p w14:paraId="527329F0" w14:textId="77777777" w:rsidR="00F8231F" w:rsidRPr="00270720" w:rsidRDefault="00F8231F" w:rsidP="00F8231F">
      <w:pPr>
        <w:rPr>
          <w:highlight w:val="yellow"/>
        </w:rPr>
      </w:pPr>
    </w:p>
    <w:p w14:paraId="271CC6D0" w14:textId="77777777" w:rsidR="00F8231F" w:rsidRPr="00270720" w:rsidRDefault="00F8231F" w:rsidP="00F8231F">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603DF40" w14:textId="77777777" w:rsidR="00F8231F" w:rsidRPr="00270720" w:rsidRDefault="00F8231F" w:rsidP="00F8231F">
      <w:pPr>
        <w:rPr>
          <w:highlight w:val="yellow"/>
        </w:rPr>
      </w:pPr>
    </w:p>
    <w:p w14:paraId="2D984AE1" w14:textId="77777777" w:rsidR="00F8231F" w:rsidRPr="00270720" w:rsidRDefault="00F8231F" w:rsidP="00F8231F">
      <w:pPr>
        <w:rPr>
          <w:highlight w:val="yellow"/>
        </w:rPr>
      </w:pPr>
      <w:r w:rsidRPr="00270720">
        <w:rPr>
          <w:highlight w:val="yellow"/>
        </w:rPr>
        <w:t>Details of the AI usage are given below:</w:t>
      </w:r>
    </w:p>
    <w:p w14:paraId="467D6F28" w14:textId="77777777" w:rsidR="00F8231F" w:rsidRPr="00270720" w:rsidRDefault="00F8231F" w:rsidP="00F8231F">
      <w:pPr>
        <w:rPr>
          <w:highlight w:val="yellow"/>
        </w:rPr>
      </w:pPr>
      <w:r w:rsidRPr="00270720">
        <w:rPr>
          <w:highlight w:val="yellow"/>
        </w:rPr>
        <w:t>1.</w:t>
      </w:r>
    </w:p>
    <w:p w14:paraId="551E2E11" w14:textId="77777777" w:rsidR="00F8231F" w:rsidRPr="00270720" w:rsidRDefault="00F8231F" w:rsidP="00F8231F">
      <w:pPr>
        <w:rPr>
          <w:highlight w:val="yellow"/>
        </w:rPr>
      </w:pPr>
      <w:r w:rsidRPr="00270720">
        <w:rPr>
          <w:highlight w:val="yellow"/>
        </w:rPr>
        <w:t>2.</w:t>
      </w:r>
    </w:p>
    <w:p w14:paraId="01DA2888" w14:textId="77777777" w:rsidR="00F8231F" w:rsidRPr="00270720" w:rsidRDefault="00F8231F" w:rsidP="00F8231F">
      <w:r w:rsidRPr="00270720">
        <w:rPr>
          <w:highlight w:val="yellow"/>
        </w:rPr>
        <w:t>3.</w:t>
      </w:r>
    </w:p>
    <w:p w14:paraId="202E642C" w14:textId="77777777" w:rsidR="00F8231F" w:rsidRDefault="00F8231F" w:rsidP="0054152C">
      <w:pPr>
        <w:jc w:val="both"/>
        <w:rPr>
          <w:rFonts w:ascii="Cormorant Garamond" w:hAnsi="Cormorant Garamond"/>
          <w:b/>
          <w:bCs/>
          <w:sz w:val="28"/>
          <w:szCs w:val="28"/>
        </w:rPr>
      </w:pPr>
    </w:p>
    <w:p w14:paraId="203E4463" w14:textId="57778B78" w:rsidR="0054152C" w:rsidRPr="00435425" w:rsidRDefault="0054152C" w:rsidP="0054152C">
      <w:pPr>
        <w:jc w:val="both"/>
        <w:rPr>
          <w:rFonts w:ascii="Cormorant Garamond" w:eastAsia="Calibri" w:hAnsi="Cormorant Garamond"/>
        </w:rPr>
      </w:pPr>
      <w:r w:rsidRPr="00435425">
        <w:rPr>
          <w:rFonts w:ascii="Cormorant Garamond" w:hAnsi="Cormorant Garamond"/>
          <w:b/>
          <w:bCs/>
          <w:sz w:val="28"/>
          <w:szCs w:val="28"/>
        </w:rPr>
        <w:t>REFERENCES</w:t>
      </w:r>
    </w:p>
    <w:p w14:paraId="0FD248D5"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Agustiawan, D. A. “Digital Banking Transformation: AI Enhances Efficiency and Customer Experience - Seminar Perspective Industry.” </w:t>
      </w:r>
      <w:r w:rsidRPr="00435425">
        <w:rPr>
          <w:rFonts w:ascii="Cormorant Garamond" w:hAnsi="Cormorant Garamond"/>
          <w:i/>
          <w:iCs/>
        </w:rPr>
        <w:t>Wacana (Jakarta)</w:t>
      </w:r>
      <w:r w:rsidRPr="00435425">
        <w:rPr>
          <w:rFonts w:ascii="Cormorant Garamond" w:hAnsi="Cormorant Garamond"/>
        </w:rPr>
        <w:t xml:space="preserve"> 23, no. 1 (2024): 191–200. https://doi.org/10.32509/wacana.v23i1.4130.</w:t>
      </w:r>
    </w:p>
    <w:p w14:paraId="1140D611"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Alzaidi, A. A. “Impact of Artificial Intelligence on Performance of Banking Industry in Middle East.” </w:t>
      </w:r>
      <w:r w:rsidRPr="00435425">
        <w:rPr>
          <w:rFonts w:ascii="Cormorant Garamond" w:hAnsi="Cormorant Garamond"/>
          <w:i/>
          <w:iCs/>
        </w:rPr>
        <w:t>International Journal of Computer Science and Network Security 18</w:t>
      </w:r>
      <w:r w:rsidRPr="00435425">
        <w:rPr>
          <w:rFonts w:ascii="Cormorant Garamond" w:hAnsi="Cormorant Garamond"/>
        </w:rPr>
        <w:t>, no. 10 (2018): 140–148.</w:t>
      </w:r>
    </w:p>
    <w:p w14:paraId="7F6116F9"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Bakri, A. A., Hasanah, N., and Lasmiatun, K. “Financial Technology Innovation and Banking Industry Transformation.” </w:t>
      </w:r>
      <w:r w:rsidRPr="00435425">
        <w:rPr>
          <w:rFonts w:ascii="Cormorant Garamond" w:hAnsi="Cormorant Garamond"/>
          <w:i/>
          <w:iCs/>
        </w:rPr>
        <w:t>MFC 1,</w:t>
      </w:r>
      <w:r w:rsidRPr="00435425">
        <w:rPr>
          <w:rFonts w:ascii="Cormorant Garamond" w:hAnsi="Cormorant Garamond"/>
        </w:rPr>
        <w:t xml:space="preserve"> no. 3 (2024). </w:t>
      </w:r>
      <w:hyperlink r:id="rId19" w:history="1">
        <w:r w:rsidRPr="00435425">
          <w:rPr>
            <w:rStyle w:val="Hyperlink"/>
            <w:rFonts w:ascii="Cormorant Garamond" w:hAnsi="Cormorant Garamond"/>
          </w:rPr>
          <w:t>https://doi.org/10.61397/mfc.v1i3.112</w:t>
        </w:r>
      </w:hyperlink>
      <w:r w:rsidRPr="00435425">
        <w:rPr>
          <w:rFonts w:ascii="Cormorant Garamond" w:hAnsi="Cormorant Garamond"/>
        </w:rPr>
        <w:t>.</w:t>
      </w:r>
    </w:p>
    <w:p w14:paraId="4ABB55A1"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Bholat, D., and D. Susskind. “The Assessment: Artificial Intelligence and Financial Services.” </w:t>
      </w:r>
      <w:r w:rsidRPr="00435425">
        <w:rPr>
          <w:rFonts w:ascii="Cormorant Garamond" w:hAnsi="Cormorant Garamond"/>
          <w:i/>
          <w:iCs/>
        </w:rPr>
        <w:t>Oxford Review of Economic Policy 37</w:t>
      </w:r>
      <w:r w:rsidRPr="00435425">
        <w:rPr>
          <w:rFonts w:ascii="Cormorant Garamond" w:hAnsi="Cormorant Garamond"/>
        </w:rPr>
        <w:t>, no. 3 (2021): 417–434.</w:t>
      </w:r>
    </w:p>
    <w:p w14:paraId="0FD0CF0B"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lastRenderedPageBreak/>
        <w:t xml:space="preserve">Candiwan, C., and R. R. Annikmah. “Exploring the Impact of Artificial Intelligence on User Satisfaction and Acceptance in Digital Banking Services in Indonesia.” In 2024 IEEE 30th </w:t>
      </w:r>
      <w:r w:rsidRPr="00435425">
        <w:rPr>
          <w:rFonts w:ascii="Cormorant Garamond" w:hAnsi="Cormorant Garamond"/>
          <w:i/>
          <w:iCs/>
        </w:rPr>
        <w:t>International Conference on Telecommunications (ICT),</w:t>
      </w:r>
      <w:r w:rsidRPr="00435425">
        <w:rPr>
          <w:rFonts w:ascii="Cormorant Garamond" w:hAnsi="Cormorant Garamond"/>
        </w:rPr>
        <w:t xml:space="preserve"> 1–8. IEEE, June 2024.</w:t>
      </w:r>
    </w:p>
    <w:p w14:paraId="58A38C65"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Dede, Arisko, and Agustiawan. “Digital Banking Transformation: AI Enhances Efficiency and Customer Experience - Seminar Perspective Industry.” </w:t>
      </w:r>
      <w:r w:rsidRPr="00435425">
        <w:rPr>
          <w:rFonts w:ascii="Cormorant Garamond" w:hAnsi="Cormorant Garamond"/>
          <w:i/>
          <w:iCs/>
        </w:rPr>
        <w:t>Wacana (Jakarta)</w:t>
      </w:r>
      <w:r w:rsidRPr="00435425">
        <w:rPr>
          <w:rFonts w:ascii="Cormorant Garamond" w:hAnsi="Cormorant Garamond"/>
        </w:rPr>
        <w:t xml:space="preserve"> 23, no. 1 (2024): 191–200. https://doi.org/10.32509/wacana.v23i1.4130.</w:t>
      </w:r>
    </w:p>
    <w:p w14:paraId="154DEFC3"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Effendi, N., Setiawan, M., and Indiastuti, R. “Technical Efficiencies of Indonesian Regional and Non-Regional Banks Pre- and Post-Financial Crisis.” </w:t>
      </w:r>
      <w:r w:rsidRPr="00435425">
        <w:rPr>
          <w:rFonts w:ascii="Cormorant Garamond" w:hAnsi="Cormorant Garamond"/>
          <w:i/>
          <w:iCs/>
        </w:rPr>
        <w:t>International Journal of Economics and Business Research 16</w:t>
      </w:r>
      <w:r w:rsidRPr="00435425">
        <w:rPr>
          <w:rFonts w:ascii="Cormorant Garamond" w:hAnsi="Cormorant Garamond"/>
        </w:rPr>
        <w:t>, no. 3 (2018): 355–366. https://doi.org/10.1504/IJEBR.2018.10015243.</w:t>
      </w:r>
    </w:p>
    <w:p w14:paraId="69F3C2FC"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Fernandez, Ana. “Artificial Intelligence in Financial Services.” </w:t>
      </w:r>
      <w:r w:rsidRPr="00435425">
        <w:rPr>
          <w:rFonts w:ascii="Cormorant Garamond" w:hAnsi="Cormorant Garamond"/>
          <w:i/>
          <w:iCs/>
        </w:rPr>
        <w:t>Banco de Espana Article 3/19</w:t>
      </w:r>
      <w:r w:rsidRPr="00435425">
        <w:rPr>
          <w:rFonts w:ascii="Cormorant Garamond" w:hAnsi="Cormorant Garamond"/>
        </w:rPr>
        <w:t xml:space="preserve"> (2019). SSRN: https://ssrn.com.</w:t>
      </w:r>
    </w:p>
    <w:p w14:paraId="478C31C3"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Ginting, A. M. “Pengaruh Makroekonomi Terhadap Non-Performing Loan (NPL) Perbankan.” </w:t>
      </w:r>
      <w:r w:rsidRPr="00435425">
        <w:rPr>
          <w:rFonts w:ascii="Cormorant Garamond" w:hAnsi="Cormorant Garamond"/>
          <w:i/>
          <w:iCs/>
        </w:rPr>
        <w:t>JEKP 7</w:t>
      </w:r>
      <w:r w:rsidRPr="00435425">
        <w:rPr>
          <w:rFonts w:ascii="Cormorant Garamond" w:hAnsi="Cormorant Garamond"/>
        </w:rPr>
        <w:t>, no. 2 (2017): 159–170. https://doi.org/10.22212/JEKP.V7I2.669.</w:t>
      </w:r>
    </w:p>
    <w:p w14:paraId="685DD51D"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Golić, Z. “Finance and Artificial Intelligence: The Fifth Industrial Revolution and Its Impact on the Financial Sector.” </w:t>
      </w:r>
      <w:r w:rsidRPr="00435425">
        <w:rPr>
          <w:rFonts w:ascii="Cormorant Garamond" w:hAnsi="Cormorant Garamond"/>
          <w:i/>
          <w:iCs/>
        </w:rPr>
        <w:t>Zbornik Radova Ekonomskog Fakulteta u Istočnom Sarajevu</w:t>
      </w:r>
      <w:r w:rsidRPr="00435425">
        <w:rPr>
          <w:rFonts w:ascii="Cormorant Garamond" w:hAnsi="Cormorant Garamond"/>
        </w:rPr>
        <w:t xml:space="preserve"> 19 (2019): 67–81.</w:t>
      </w:r>
    </w:p>
    <w:p w14:paraId="72C59A1D"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Hamdillah, D. N., Ermawati, W. J., and Suprayitno, G. “Forecasting Tingkat Kesehatan dan Tingkat Ketahanan Perbankan di Indonesia.” </w:t>
      </w:r>
      <w:r w:rsidRPr="00435425">
        <w:rPr>
          <w:rFonts w:ascii="Cormorant Garamond" w:hAnsi="Cormorant Garamond"/>
          <w:i/>
          <w:iCs/>
        </w:rPr>
        <w:t xml:space="preserve">Manajemen IKM: Jurnal Manajemen Pengembangan Industri Kecil Menengah </w:t>
      </w:r>
      <w:r w:rsidRPr="00435425">
        <w:rPr>
          <w:rFonts w:ascii="Cormorant Garamond" w:hAnsi="Cormorant Garamond"/>
        </w:rPr>
        <w:t>19, no. 2 (2024).</w:t>
      </w:r>
    </w:p>
    <w:p w14:paraId="21B64FE9"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Herlina, Kurniati, Kuryani, Saputra, Fristia, Berdian, and Tamza. “Analisis Pencabutan Izin Usaha dan Likuidasi Bank di Indonesia.” </w:t>
      </w:r>
      <w:r w:rsidRPr="00435425">
        <w:rPr>
          <w:rFonts w:ascii="Cormorant Garamond" w:hAnsi="Cormorant Garamond"/>
          <w:i/>
          <w:iCs/>
        </w:rPr>
        <w:t>Asas: Jurnal Politik, Hukum, Ekonomi dan Kebudayaan Islam 13</w:t>
      </w:r>
      <w:r w:rsidRPr="00435425">
        <w:rPr>
          <w:rFonts w:ascii="Cormorant Garamond" w:hAnsi="Cormorant Garamond"/>
        </w:rPr>
        <w:t>, no. 2 (2022): 44–58. https://doi.org/10.24042/asas.v13i2.11278.</w:t>
      </w:r>
    </w:p>
    <w:p w14:paraId="6A245D68"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Hidayat, M., Defitri, S. Y., and Hilman, H. “The Impact of Artificial Intelligence (AI) on Financial Management.” </w:t>
      </w:r>
      <w:r w:rsidRPr="00435425">
        <w:rPr>
          <w:rFonts w:ascii="Cormorant Garamond" w:hAnsi="Cormorant Garamond"/>
          <w:i/>
          <w:iCs/>
        </w:rPr>
        <w:t>Management Studies and Business Journal</w:t>
      </w:r>
      <w:r w:rsidRPr="00435425">
        <w:rPr>
          <w:rFonts w:ascii="Cormorant Garamond" w:hAnsi="Cormorant Garamond"/>
        </w:rPr>
        <w:t xml:space="preserve"> (Productivity) 1, no. 1 (2024): 123–129.</w:t>
      </w:r>
    </w:p>
    <w:p w14:paraId="10204EBA"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Husain, A. R. A. M., Hamdan, A., and Fadhul, S. M. “The Impact of Artificial Intelligence on the Banking Industry Performance.” </w:t>
      </w:r>
      <w:r w:rsidRPr="00435425">
        <w:rPr>
          <w:rFonts w:ascii="Cormorant Garamond" w:hAnsi="Cormorant Garamond"/>
          <w:i/>
          <w:iCs/>
        </w:rPr>
        <w:t>In Future of Organizations and Work After the 4th Industrial Revolution: The Role of Artificial Intelligence, Big Data, Automation, and Robotics,</w:t>
      </w:r>
      <w:r w:rsidRPr="00435425">
        <w:rPr>
          <w:rFonts w:ascii="Cormorant Garamond" w:hAnsi="Cormorant Garamond"/>
        </w:rPr>
        <w:t xml:space="preserve"> 145–156, 2022.</w:t>
      </w:r>
    </w:p>
    <w:p w14:paraId="4278F748"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Hussain, S. “The Assessment of Operational Efficiency of Commercial Banks in India Using Cost to Income Ratio Approach.” </w:t>
      </w:r>
      <w:r w:rsidRPr="00435425">
        <w:rPr>
          <w:rFonts w:ascii="Cormorant Garamond" w:hAnsi="Cormorant Garamond"/>
          <w:i/>
          <w:iCs/>
        </w:rPr>
        <w:t>International Journal of Management and Business Research 4</w:t>
      </w:r>
      <w:r w:rsidRPr="00435425">
        <w:rPr>
          <w:rFonts w:ascii="Cormorant Garamond" w:hAnsi="Cormorant Garamond"/>
        </w:rPr>
        <w:t>, no. 3 (2014): 225–234. https://ijmbr.srbiau.ac.ir/article_2877.html.</w:t>
      </w:r>
    </w:p>
    <w:p w14:paraId="35B36A76"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IMF. “Indonesia: Financial Sector Assessment Program - Financial System Stability Assessment.” </w:t>
      </w:r>
      <w:r w:rsidRPr="00435425">
        <w:rPr>
          <w:rFonts w:ascii="Cormorant Garamond" w:hAnsi="Cormorant Garamond"/>
          <w:i/>
          <w:iCs/>
        </w:rPr>
        <w:t>International Monetary Fund. Monetary and Capital Markets Department (2024).</w:t>
      </w:r>
      <w:r w:rsidRPr="00435425">
        <w:rPr>
          <w:rFonts w:ascii="Cormorant Garamond" w:hAnsi="Cormorant Garamond"/>
        </w:rPr>
        <w:t xml:space="preserve"> https://www.elibrary.imf.org/view/journals/002/2024/272/article-A001-en.xml (retrieved January 24, 2025).</w:t>
      </w:r>
    </w:p>
    <w:p w14:paraId="3F07FA86"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lastRenderedPageBreak/>
        <w:t xml:space="preserve">Indriasari, E., Gaol, F. L., and Matsuo, T. “Digital Banking Transformation: Application of Artificial Intelligence and Big Data Analytics for Leveraging Customer Experience in the Indonesia Banking Sector.” In 2019 8th </w:t>
      </w:r>
      <w:r w:rsidRPr="00435425">
        <w:rPr>
          <w:rFonts w:ascii="Cormorant Garamond" w:hAnsi="Cormorant Garamond"/>
          <w:i/>
          <w:iCs/>
        </w:rPr>
        <w:t>International Congress on Advanced Applied Informatics (IIAI-AAI)</w:t>
      </w:r>
      <w:r w:rsidRPr="00435425">
        <w:rPr>
          <w:rFonts w:ascii="Cormorant Garamond" w:hAnsi="Cormorant Garamond"/>
        </w:rPr>
        <w:t>, 863–868. IEEE, 2019.</w:t>
      </w:r>
    </w:p>
    <w:p w14:paraId="3022AF5D"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Khoirudin, R. “Determinants of Mortgage Credit Demand in Indonesia.” </w:t>
      </w:r>
      <w:r w:rsidRPr="00435425">
        <w:rPr>
          <w:rFonts w:ascii="Cormorant Garamond" w:hAnsi="Cormorant Garamond"/>
          <w:i/>
          <w:iCs/>
        </w:rPr>
        <w:t>Ekonimikawan 17</w:t>
      </w:r>
      <w:r w:rsidRPr="00435425">
        <w:rPr>
          <w:rFonts w:ascii="Cormorant Garamond" w:hAnsi="Cormorant Garamond"/>
        </w:rPr>
        <w:t>, no. 2 (2017): 105–120. https://doi.org/10.30596/EKONOMIKAWAN.V17I2.1794.</w:t>
      </w:r>
    </w:p>
    <w:p w14:paraId="3DAE3D9B"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Kristofano, Y. Y., and Febriani, R. E. “The Role of Political Stability and Foreign Direct Investment in Indonesia’s Economic Growth.” </w:t>
      </w:r>
      <w:r w:rsidRPr="00435425">
        <w:rPr>
          <w:rFonts w:ascii="Cormorant Garamond" w:hAnsi="Cormorant Garamond"/>
          <w:i/>
          <w:iCs/>
        </w:rPr>
        <w:t>Asian Journal of Applied Business and Management 3</w:t>
      </w:r>
      <w:r w:rsidRPr="00435425">
        <w:rPr>
          <w:rFonts w:ascii="Cormorant Garamond" w:hAnsi="Cormorant Garamond"/>
        </w:rPr>
        <w:t>, no. 3 (2024): 261–276.</w:t>
      </w:r>
    </w:p>
    <w:p w14:paraId="607E2D56"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Kunwar, M. “Artificial Intelligence in Finance: Understanding How Automation and Machine Learning Are Transforming the Financial Industry.” (2019).</w:t>
      </w:r>
    </w:p>
    <w:p w14:paraId="639E27C3"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Laksmana, K. A. R. I. “Penerapan Permodalan Basel III dan Implikasinya Terhadap Kinerja Perbankan di Indonesia.” 2019. https://doi.org/10.31227/osf.io/mnhcj.</w:t>
      </w:r>
    </w:p>
    <w:p w14:paraId="456856C8"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Maghfuriyah, A., Dewi, N. F., and Antono, Z. M. “Coronanomics: Implications of COVID-19 Pandemic in the Economy in Indonesia.” </w:t>
      </w:r>
      <w:r w:rsidRPr="00435425">
        <w:rPr>
          <w:rFonts w:ascii="Cormorant Garamond" w:hAnsi="Cormorant Garamond"/>
          <w:i/>
          <w:iCs/>
        </w:rPr>
        <w:t>Jurnal Teknologi &amp; Manajemen 22</w:t>
      </w:r>
      <w:r w:rsidRPr="00435425">
        <w:rPr>
          <w:rFonts w:ascii="Cormorant Garamond" w:hAnsi="Cormorant Garamond"/>
        </w:rPr>
        <w:t>, no. 2 (2024): 11–20. https://doi.org/10.52330/jtm.v22i2.255.</w:t>
      </w:r>
    </w:p>
    <w:p w14:paraId="4ED6028F"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Marina, A. N. “The Effect of Artificial Intelligence Disclosure on Financial Performance (Empirical Study on Banking Industries Listed on The Indonesia Stock Exchange in 2020–2022).” </w:t>
      </w:r>
      <w:r w:rsidRPr="00435425">
        <w:rPr>
          <w:rFonts w:ascii="Cormorant Garamond" w:hAnsi="Cormorant Garamond"/>
          <w:i/>
          <w:iCs/>
        </w:rPr>
        <w:t>Doctoral dissertation, Universitas Andalas</w:t>
      </w:r>
      <w:r w:rsidRPr="00435425">
        <w:rPr>
          <w:rFonts w:ascii="Cormorant Garamond" w:hAnsi="Cormorant Garamond"/>
        </w:rPr>
        <w:t>, 2024.</w:t>
      </w:r>
    </w:p>
    <w:p w14:paraId="032D01DE"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Megawati, I. A. P., and Kertiriasih, N. N. R. “Dampak Layanan Perbankan Digital Terhadap Kinerja Perbankan di Indonesia.” </w:t>
      </w:r>
      <w:r w:rsidRPr="00435425">
        <w:rPr>
          <w:rFonts w:ascii="Cormorant Garamond" w:hAnsi="Cormorant Garamond"/>
          <w:i/>
          <w:iCs/>
        </w:rPr>
        <w:t>Fonduri de Investiţii 13</w:t>
      </w:r>
      <w:r w:rsidRPr="00435425">
        <w:rPr>
          <w:rFonts w:ascii="Cormorant Garamond" w:hAnsi="Cormorant Garamond"/>
        </w:rPr>
        <w:t>, no. 3 (2024): 1578–1591. https://doi.org/10.34127/jrlab.v13i3.1205.</w:t>
      </w:r>
    </w:p>
    <w:p w14:paraId="70AD53EC"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Mishra, P., and T. Guru Sant. “Role of Artificial Intelligence and Internet of Things in Promoting Banking and Financial Services During COVID-19: Pre and Post Effect.” 2021 5th </w:t>
      </w:r>
      <w:r w:rsidRPr="00435425">
        <w:rPr>
          <w:rFonts w:ascii="Cormorant Garamond" w:hAnsi="Cormorant Garamond"/>
          <w:i/>
          <w:iCs/>
        </w:rPr>
        <w:t>International Conference on Information Systems and Computer Networks (ISCON)</w:t>
      </w:r>
      <w:r w:rsidRPr="00435425">
        <w:rPr>
          <w:rFonts w:ascii="Cormorant Garamond" w:hAnsi="Cormorant Garamond"/>
        </w:rPr>
        <w:t>, Mathura, India, 2021, 1–7. https://doi.org/10.1109/ISCON52037.2021.9702445.</w:t>
      </w:r>
    </w:p>
    <w:p w14:paraId="4479805E"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Monika, Mucsková. “Transforming Banking with Artificial Intelligence.” </w:t>
      </w:r>
      <w:r w:rsidRPr="00435425">
        <w:rPr>
          <w:rFonts w:ascii="Cormorant Garamond" w:hAnsi="Cormorant Garamond"/>
          <w:i/>
          <w:iCs/>
        </w:rPr>
        <w:t>Trends Economics and Management</w:t>
      </w:r>
      <w:r w:rsidRPr="00435425">
        <w:rPr>
          <w:rFonts w:ascii="Cormorant Garamond" w:hAnsi="Cormorant Garamond"/>
        </w:rPr>
        <w:t xml:space="preserve"> (2024). https://doi.org/10.13164/trends.2024.42.21.</w:t>
      </w:r>
    </w:p>
    <w:p w14:paraId="043E7BD5"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Muhammad, Asif, and Khan. “Understanding the Impact of Artificial Intelligence (AI) on Traditional Businesses in Indonesia.” </w:t>
      </w:r>
      <w:r w:rsidRPr="00435425">
        <w:rPr>
          <w:rFonts w:ascii="Cormorant Garamond" w:hAnsi="Cormorant Garamond"/>
          <w:i/>
          <w:iCs/>
        </w:rPr>
        <w:t>Journal of Management Studies and Development 3</w:t>
      </w:r>
      <w:r w:rsidRPr="00435425">
        <w:rPr>
          <w:rFonts w:ascii="Cormorant Garamond" w:hAnsi="Cormorant Garamond"/>
        </w:rPr>
        <w:t>, no. 2 (2024): 146–158. https://doi.org/10.56741/jmsd.v3i02.584.</w:t>
      </w:r>
    </w:p>
    <w:p w14:paraId="6C213A25"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Pandu Sjahrir and Andy Lees. “Harnessing the Power of (Gen)AI in Indonesian Financial Services.” </w:t>
      </w:r>
      <w:r w:rsidRPr="00435425">
        <w:rPr>
          <w:rFonts w:ascii="Cormorant Garamond" w:hAnsi="Cormorant Garamond"/>
          <w:i/>
          <w:iCs/>
        </w:rPr>
        <w:t>Jointly published by AC Ventures, Boston Consulting Group, Kadin Indonesia, and BCG X</w:t>
      </w:r>
      <w:r w:rsidRPr="00435425">
        <w:rPr>
          <w:rFonts w:ascii="Cormorant Garamond" w:hAnsi="Cormorant Garamond"/>
        </w:rPr>
        <w:t>, 2024. https://web-assets.bcg.com/1b/42/1554aac447d88aecbe1048285eed/harnessing-the-power-of-genai-in-indonesian-financial-services.pdf (retrieved January 22, 2025).</w:t>
      </w:r>
    </w:p>
    <w:p w14:paraId="51C09E3E"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lastRenderedPageBreak/>
        <w:t xml:space="preserve">Primandari, A. H., and W. K. Arum. “Analyzing the Impact of the Pandemic on Indonesia’s Economic Growth Using Dynamic Time Warping.” </w:t>
      </w:r>
      <w:r w:rsidRPr="00435425">
        <w:rPr>
          <w:rFonts w:ascii="Cormorant Garamond" w:hAnsi="Cormorant Garamond"/>
          <w:i/>
          <w:iCs/>
        </w:rPr>
        <w:t>Enthusiastic 4</w:t>
      </w:r>
      <w:r w:rsidRPr="00435425">
        <w:rPr>
          <w:rFonts w:ascii="Cormorant Garamond" w:hAnsi="Cormorant Garamond"/>
        </w:rPr>
        <w:t>, no. 1 (2024). https://doi.org/10.20885/enthusiastic.vol4.iss1.art7.</w:t>
      </w:r>
    </w:p>
    <w:p w14:paraId="658393A7"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Ridha, M., and K. Haura Maharani. “Implementation of Artificial Intelligence Chatbot in Optimizing Customer Service in Financial Technology Company PT. FinAccel Finance Indonesia.” </w:t>
      </w:r>
      <w:r w:rsidRPr="00435425">
        <w:rPr>
          <w:rFonts w:ascii="Cormorant Garamond" w:hAnsi="Cormorant Garamond"/>
          <w:i/>
          <w:iCs/>
        </w:rPr>
        <w:t>Proceedings, vol. 83</w:t>
      </w:r>
      <w:r w:rsidRPr="00435425">
        <w:rPr>
          <w:rFonts w:ascii="Cormorant Garamond" w:hAnsi="Cormorant Garamond"/>
        </w:rPr>
        <w:t xml:space="preserve">, no. 1 (December 2022): 21. </w:t>
      </w:r>
      <w:r w:rsidRPr="00435425">
        <w:rPr>
          <w:rFonts w:ascii="Cormorant Garamond" w:hAnsi="Cormorant Garamond"/>
          <w:i/>
          <w:iCs/>
        </w:rPr>
        <w:t>MDPI.</w:t>
      </w:r>
    </w:p>
    <w:p w14:paraId="03C4536D"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Rizkina, A., and A. W. Diana. “Pengaruh Tingkat Suku Bunga dan Inflasi terhadap Kredit Konsumsi di Indonesia.” </w:t>
      </w:r>
      <w:r w:rsidRPr="00435425">
        <w:rPr>
          <w:rFonts w:ascii="Cormorant Garamond" w:hAnsi="Cormorant Garamond"/>
          <w:i/>
          <w:iCs/>
        </w:rPr>
        <w:t>Jurnal Ekonomi dan Kebijakan Publik Indonesia.</w:t>
      </w:r>
      <w:r w:rsidRPr="00435425">
        <w:rPr>
          <w:rFonts w:ascii="Cormorant Garamond" w:hAnsi="Cormorant Garamond"/>
        </w:rPr>
        <w:t xml:space="preserve"> https://doi.org/10.24815/ekapi.v10i1.37461.</w:t>
      </w:r>
    </w:p>
    <w:p w14:paraId="1DC12357"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Rofi'i, Y. U. “Financial Risk Management in Indonesian Banking: The Integrative Role of Data Analytics and Predictive Algorithms.” </w:t>
      </w:r>
      <w:r w:rsidRPr="00435425">
        <w:rPr>
          <w:rFonts w:ascii="Cormorant Garamond" w:hAnsi="Cormorant Garamond"/>
          <w:i/>
          <w:iCs/>
        </w:rPr>
        <w:t xml:space="preserve">International Journal of Software Engineering and Computer Science (IJSECS) </w:t>
      </w:r>
      <w:r w:rsidRPr="00435425">
        <w:rPr>
          <w:rFonts w:ascii="Cormorant Garamond" w:hAnsi="Cormorant Garamond"/>
        </w:rPr>
        <w:t>3, no. 3 (2023): 300–309.</w:t>
      </w:r>
    </w:p>
    <w:p w14:paraId="15757090"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Rosadi, S. D., S. Yuniarti, and R. Fauzi. “Protection of Data Privacy in the Era of Artificial Intelligence in the Financial Sector in Indonesia.” </w:t>
      </w:r>
      <w:r w:rsidRPr="00435425">
        <w:rPr>
          <w:rFonts w:ascii="Cormorant Garamond" w:hAnsi="Cormorant Garamond"/>
          <w:i/>
          <w:iCs/>
        </w:rPr>
        <w:t>Journal of Central Banking Law and Institutions 1</w:t>
      </w:r>
      <w:r w:rsidRPr="00435425">
        <w:rPr>
          <w:rFonts w:ascii="Cormorant Garamond" w:hAnsi="Cormorant Garamond"/>
        </w:rPr>
        <w:t>, no. 2 (2022): 353–366.</w:t>
      </w:r>
    </w:p>
    <w:p w14:paraId="556C0161"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Safrianto, S., and E. Erniati. “Analysis of the Impact of Artificial Intelligence on the Development of Industry 4.0 in Indonesia.” In Proceeding of </w:t>
      </w:r>
      <w:r w:rsidRPr="00435425">
        <w:rPr>
          <w:rFonts w:ascii="Cormorant Garamond" w:hAnsi="Cormorant Garamond"/>
          <w:i/>
          <w:iCs/>
        </w:rPr>
        <w:t>International Conference on Islamic and Interdisciplinary Studies</w:t>
      </w:r>
      <w:r w:rsidRPr="00435425">
        <w:rPr>
          <w:rFonts w:ascii="Cormorant Garamond" w:hAnsi="Cormorant Garamond"/>
        </w:rPr>
        <w:t>, vol. 3, 327–332, August 2024.</w:t>
      </w:r>
    </w:p>
    <w:p w14:paraId="2B7DC181"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Said, M. “Digital Innovation in Indonesian Sharia Banks.” In Advances in </w:t>
      </w:r>
      <w:r w:rsidRPr="00435425">
        <w:rPr>
          <w:rFonts w:ascii="Cormorant Garamond" w:hAnsi="Cormorant Garamond"/>
          <w:i/>
          <w:iCs/>
        </w:rPr>
        <w:t>Human Resources Management and Organizational Development Book Series</w:t>
      </w:r>
      <w:r w:rsidRPr="00435425">
        <w:rPr>
          <w:rFonts w:ascii="Cormorant Garamond" w:hAnsi="Cormorant Garamond"/>
        </w:rPr>
        <w:t>, 78–96. https://doi.org/10.4018/979-8-3693-3530-7.ch005.</w:t>
      </w:r>
    </w:p>
    <w:p w14:paraId="12752E7C"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Shafyra, Nuruzzakiyya, Mar'atushsholihah, and Tuti Karyani. “Dampak Financial Technology terhadap Kinerja Bank Umum Konvensional di Indonesia.” </w:t>
      </w:r>
      <w:r w:rsidRPr="00435425">
        <w:rPr>
          <w:rFonts w:ascii="Cormorant Garamond" w:hAnsi="Cormorant Garamond"/>
          <w:i/>
          <w:iCs/>
        </w:rPr>
        <w:t>Jurnal Ekonomi dan Kebijakan Publik Indonesia 7</w:t>
      </w:r>
      <w:r w:rsidRPr="00435425">
        <w:rPr>
          <w:rFonts w:ascii="Cormorant Garamond" w:hAnsi="Cormorant Garamond"/>
        </w:rPr>
        <w:t>, no. 1 (2021): 450. https://doi.org/10.25157/MA.V7I1.4707.</w:t>
      </w:r>
    </w:p>
    <w:p w14:paraId="3484FC80"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Sinha, M., E. Chacko, and P. Makhija. “AI-Based Technologies for Digital and Banking Fraud During COVID-19.” In </w:t>
      </w:r>
      <w:r w:rsidRPr="00435425">
        <w:rPr>
          <w:rFonts w:ascii="Cormorant Garamond" w:hAnsi="Cormorant Garamond"/>
          <w:i/>
          <w:iCs/>
        </w:rPr>
        <w:t>Integrating Meta-Heuristics and Machine Learning for Real-World Optimization Problems</w:t>
      </w:r>
      <w:r w:rsidRPr="00435425">
        <w:rPr>
          <w:rFonts w:ascii="Cormorant Garamond" w:hAnsi="Cormorant Garamond"/>
        </w:rPr>
        <w:t xml:space="preserve">, edited by E. H. Houssein, M. Abd Elaziz, D. Oliva, and L. Abualigah, vol. 1038, 341–358. Cham: </w:t>
      </w:r>
      <w:r w:rsidRPr="00435425">
        <w:rPr>
          <w:rFonts w:ascii="Cormorant Garamond" w:hAnsi="Cormorant Garamond"/>
          <w:i/>
          <w:iCs/>
        </w:rPr>
        <w:t>Springer</w:t>
      </w:r>
      <w:r w:rsidRPr="00435425">
        <w:rPr>
          <w:rFonts w:ascii="Cormorant Garamond" w:hAnsi="Cormorant Garamond"/>
        </w:rPr>
        <w:t>, 2022. https://doi.org/10.1007/978-3-030-99079-4_17.</w:t>
      </w:r>
    </w:p>
    <w:p w14:paraId="6CD78FD7"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Soeharjoto, Soeharjoto. “Structure of Commercial Banks in Indonesia During the COVID-19 Pandemic.” </w:t>
      </w:r>
      <w:r w:rsidRPr="00435425">
        <w:rPr>
          <w:rFonts w:ascii="Cormorant Garamond" w:hAnsi="Cormorant Garamond"/>
          <w:i/>
          <w:iCs/>
        </w:rPr>
        <w:t>The European Proceedings of Social and Behavioural Sciences.</w:t>
      </w:r>
      <w:r w:rsidRPr="00435425">
        <w:rPr>
          <w:rFonts w:ascii="Cormorant Garamond" w:hAnsi="Cormorant Garamond"/>
        </w:rPr>
        <w:t xml:space="preserve"> https://doi.org/10.15405/epsbs.2023.11.02.8.</w:t>
      </w:r>
    </w:p>
    <w:p w14:paraId="24B6270A"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Thormundsson, B. “Adoption Rate of AI in Global Finance Business, 2022–2025.” </w:t>
      </w:r>
      <w:r w:rsidRPr="00435425">
        <w:rPr>
          <w:rFonts w:ascii="Cormorant Garamond" w:hAnsi="Cormorant Garamond"/>
          <w:i/>
          <w:iCs/>
        </w:rPr>
        <w:t>Statista</w:t>
      </w:r>
      <w:r w:rsidRPr="00435425">
        <w:rPr>
          <w:rFonts w:ascii="Cormorant Garamond" w:hAnsi="Cormorant Garamond"/>
        </w:rPr>
        <w:t xml:space="preserve"> (2023). https://www.statista.com/statistics/1346736/ai-function-adoption-rates-business-finance/ (retrieved January 24, 2025).</w:t>
      </w:r>
    </w:p>
    <w:p w14:paraId="7B046EE4"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Umamaheswari, S., and A. Valarmathi. “Role of Artificial Intelligence in the Banking Sector.” </w:t>
      </w:r>
      <w:r w:rsidRPr="00435425">
        <w:rPr>
          <w:rFonts w:ascii="Cormorant Garamond" w:hAnsi="Cormorant Garamond"/>
          <w:i/>
          <w:iCs/>
        </w:rPr>
        <w:t>Journal of Survey in Fisheries Sciences 10</w:t>
      </w:r>
      <w:r w:rsidRPr="00435425">
        <w:rPr>
          <w:rFonts w:ascii="Cormorant Garamond" w:hAnsi="Cormorant Garamond"/>
        </w:rPr>
        <w:t>, no. 4S (2023): 2841–2849.</w:t>
      </w:r>
    </w:p>
    <w:p w14:paraId="741F0CDF"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lastRenderedPageBreak/>
        <w:t xml:space="preserve">Wadipalapa, R. P., R. Katharina, P. P. Nainggolan, S. Aminah, T. Apriani, D. Ma’rifah, and A. L. Anisah. “An Ambitious Artificial Intelligence Policy in a Decentralised Governance System: Evidence from Indonesia.” </w:t>
      </w:r>
      <w:r w:rsidRPr="00435425">
        <w:rPr>
          <w:rFonts w:ascii="Cormorant Garamond" w:hAnsi="Cormorant Garamond"/>
          <w:i/>
          <w:iCs/>
        </w:rPr>
        <w:t>Journal of Current Southeast Asian Affairs 43</w:t>
      </w:r>
      <w:r w:rsidRPr="00435425">
        <w:rPr>
          <w:rFonts w:ascii="Cormorant Garamond" w:hAnsi="Cormorant Garamond"/>
        </w:rPr>
        <w:t>, no. 1 (2024): 65–93. https://doi.org/10.1177/18681034231226393.</w:t>
      </w:r>
    </w:p>
    <w:p w14:paraId="663DC484"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Wardoyo, Wisnu. “Indonesia Accounts for 40% Digital Transaction Value in ASEAN.” Indonesia.go.id, January 24, 2025.</w:t>
      </w:r>
    </w:p>
    <w:p w14:paraId="6AA8DF61" w14:textId="77777777" w:rsidR="0054152C" w:rsidRPr="00435425" w:rsidRDefault="0054152C" w:rsidP="0054152C">
      <w:pPr>
        <w:ind w:left="360"/>
        <w:jc w:val="both"/>
        <w:rPr>
          <w:rFonts w:ascii="Cormorant Garamond" w:hAnsi="Cormorant Garamond"/>
        </w:rPr>
      </w:pPr>
      <w:r w:rsidRPr="00435425">
        <w:rPr>
          <w:rFonts w:ascii="Cormorant Garamond" w:hAnsi="Cormorant Garamond"/>
          <w:i/>
          <w:iCs/>
        </w:rPr>
        <w:t>World Bank.</w:t>
      </w:r>
      <w:r w:rsidRPr="00435425">
        <w:rPr>
          <w:rFonts w:ascii="Cormorant Garamond" w:hAnsi="Cormorant Garamond"/>
        </w:rPr>
        <w:t xml:space="preserve"> “World Development Indicator.” https://data.worldbank.org/indicator/NY.GDP.MKTP.CD?locations=ID. Accessed January 24, 2025.</w:t>
      </w:r>
    </w:p>
    <w:p w14:paraId="6B8E8DDD" w14:textId="77777777" w:rsidR="0054152C" w:rsidRPr="00435425" w:rsidRDefault="0054152C" w:rsidP="0054152C">
      <w:pPr>
        <w:ind w:left="360"/>
        <w:jc w:val="both"/>
        <w:rPr>
          <w:rFonts w:ascii="Cormorant Garamond" w:hAnsi="Cormorant Garamond"/>
        </w:rPr>
      </w:pPr>
      <w:r w:rsidRPr="00435425">
        <w:rPr>
          <w:rFonts w:ascii="Cormorant Garamond" w:hAnsi="Cormorant Garamond"/>
          <w:i/>
          <w:iCs/>
        </w:rPr>
        <w:t>World Economic Forum.</w:t>
      </w:r>
      <w:r w:rsidRPr="00435425">
        <w:rPr>
          <w:rFonts w:ascii="Cormorant Garamond" w:hAnsi="Cormorant Garamond"/>
        </w:rPr>
        <w:t xml:space="preserve"> “How Indonesia Is Creating Financial Inclusion Through Digital Wallets.” https://www.weforum.org/stories/2024/02/indonesia-financial-inclusion-digital-wallets/. Accessed January 24, 2025.</w:t>
      </w:r>
    </w:p>
    <w:p w14:paraId="56E53A44"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Xie, M. “Development of Artificial Intelligence and Effects on Financial System.” </w:t>
      </w:r>
      <w:r w:rsidRPr="00435425">
        <w:rPr>
          <w:rFonts w:ascii="Cormorant Garamond" w:hAnsi="Cormorant Garamond"/>
          <w:i/>
          <w:iCs/>
        </w:rPr>
        <w:t>Journal of Physics: Conference Series</w:t>
      </w:r>
      <w:r w:rsidRPr="00435425">
        <w:rPr>
          <w:rFonts w:ascii="Cormorant Garamond" w:hAnsi="Cormorant Garamond"/>
        </w:rPr>
        <w:t xml:space="preserve"> 1187, no. 3 (April 2019): 032084. IOP Publishing.</w:t>
      </w:r>
    </w:p>
    <w:p w14:paraId="32F91A98"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Yoganandham, G. “Transformative Impact: The Role of Modern and Innovative Banking Technologies in Driving Global Economic Growth.” </w:t>
      </w:r>
      <w:r w:rsidRPr="00435425">
        <w:rPr>
          <w:rFonts w:ascii="Cormorant Garamond" w:hAnsi="Cormorant Garamond"/>
          <w:i/>
          <w:iCs/>
        </w:rPr>
        <w:t>Tuijin Jishu/Journal of Propulsion Technology 45</w:t>
      </w:r>
      <w:r w:rsidRPr="00435425">
        <w:rPr>
          <w:rFonts w:ascii="Cormorant Garamond" w:hAnsi="Cormorant Garamond"/>
        </w:rPr>
        <w:t>, no. 1 (2024).</w:t>
      </w:r>
    </w:p>
    <w:p w14:paraId="303299AD" w14:textId="77777777" w:rsidR="0054152C" w:rsidRPr="00F67660" w:rsidRDefault="0054152C" w:rsidP="00456FED">
      <w:pPr>
        <w:spacing w:line="240" w:lineRule="auto"/>
        <w:jc w:val="both"/>
        <w:rPr>
          <w:rFonts w:ascii="Cormorant Garamond" w:hAnsi="Cormorant Garamond" w:cs="Cormorant Garamond"/>
          <w:lang w:val="en-IN"/>
        </w:rPr>
      </w:pPr>
    </w:p>
    <w:sectPr w:rsidR="0054152C" w:rsidRPr="00F67660" w:rsidSect="007C13A2">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9041B" w14:textId="77777777" w:rsidR="00033F53" w:rsidRDefault="00033F53" w:rsidP="00F67660">
      <w:pPr>
        <w:spacing w:after="0" w:line="240" w:lineRule="auto"/>
      </w:pPr>
      <w:r>
        <w:separator/>
      </w:r>
    </w:p>
  </w:endnote>
  <w:endnote w:type="continuationSeparator" w:id="0">
    <w:p w14:paraId="5F356874" w14:textId="77777777" w:rsidR="00033F53" w:rsidRDefault="00033F53" w:rsidP="00F67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ormorant Garamond">
    <w:altName w:val="Times New Roman"/>
    <w:charset w:val="00"/>
    <w:family w:val="auto"/>
    <w:pitch w:val="variable"/>
    <w:sig w:usb0="00000001" w:usb1="0001E07B" w:usb2="00000028" w:usb3="00000000" w:csb0="00000197"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1F16E" w14:textId="77777777" w:rsidR="0087019D" w:rsidRDefault="00870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530407"/>
      <w:docPartObj>
        <w:docPartGallery w:val="Page Numbers (Bottom of Page)"/>
        <w:docPartUnique/>
      </w:docPartObj>
    </w:sdtPr>
    <w:sdtEndPr>
      <w:rPr>
        <w:rFonts w:ascii="Cormorant Garamond" w:hAnsi="Cormorant Garamond" w:cs="Cormorant Garamond"/>
        <w:noProof/>
        <w:sz w:val="20"/>
        <w:szCs w:val="24"/>
      </w:rPr>
    </w:sdtEndPr>
    <w:sdtContent>
      <w:p w14:paraId="62FAE477" w14:textId="3EA4E7DA" w:rsidR="007C13A2" w:rsidRPr="007C13A2" w:rsidRDefault="007C13A2">
        <w:pPr>
          <w:pStyle w:val="Footer"/>
          <w:jc w:val="center"/>
          <w:rPr>
            <w:rFonts w:ascii="Cormorant Garamond" w:hAnsi="Cormorant Garamond" w:cs="Cormorant Garamond"/>
            <w:sz w:val="20"/>
            <w:szCs w:val="24"/>
          </w:rPr>
        </w:pPr>
        <w:r w:rsidRPr="007C13A2">
          <w:rPr>
            <w:rFonts w:ascii="Cormorant Garamond" w:hAnsi="Cormorant Garamond" w:cs="Cormorant Garamond"/>
            <w:sz w:val="20"/>
            <w:szCs w:val="24"/>
          </w:rPr>
          <w:fldChar w:fldCharType="begin"/>
        </w:r>
        <w:r w:rsidRPr="007C13A2">
          <w:rPr>
            <w:rFonts w:ascii="Cormorant Garamond" w:hAnsi="Cormorant Garamond" w:cs="Cormorant Garamond"/>
            <w:sz w:val="20"/>
            <w:szCs w:val="24"/>
          </w:rPr>
          <w:instrText xml:space="preserve"> PAGE   \* MERGEFORMAT </w:instrText>
        </w:r>
        <w:r w:rsidRPr="007C13A2">
          <w:rPr>
            <w:rFonts w:ascii="Cormorant Garamond" w:hAnsi="Cormorant Garamond" w:cs="Cormorant Garamond"/>
            <w:sz w:val="20"/>
            <w:szCs w:val="24"/>
          </w:rPr>
          <w:fldChar w:fldCharType="separate"/>
        </w:r>
        <w:r w:rsidR="0081347A">
          <w:rPr>
            <w:rFonts w:ascii="Cormorant Garamond" w:hAnsi="Cormorant Garamond" w:cs="Cormorant Garamond"/>
            <w:noProof/>
            <w:sz w:val="20"/>
            <w:szCs w:val="24"/>
          </w:rPr>
          <w:t>6</w:t>
        </w:r>
        <w:r w:rsidRPr="007C13A2">
          <w:rPr>
            <w:rFonts w:ascii="Cormorant Garamond" w:hAnsi="Cormorant Garamond" w:cs="Cormorant Garamond"/>
            <w:noProof/>
            <w:sz w:val="20"/>
            <w:szCs w:val="24"/>
          </w:rPr>
          <w:fldChar w:fldCharType="end"/>
        </w:r>
      </w:p>
    </w:sdtContent>
  </w:sdt>
  <w:p w14:paraId="273F9091" w14:textId="77777777" w:rsidR="007C13A2" w:rsidRDefault="007C13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488B8" w14:textId="77777777" w:rsidR="0087019D" w:rsidRDefault="00870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9DB2B" w14:textId="77777777" w:rsidR="00033F53" w:rsidRDefault="00033F53" w:rsidP="00F67660">
      <w:pPr>
        <w:spacing w:after="0" w:line="240" w:lineRule="auto"/>
      </w:pPr>
      <w:r>
        <w:separator/>
      </w:r>
    </w:p>
  </w:footnote>
  <w:footnote w:type="continuationSeparator" w:id="0">
    <w:p w14:paraId="6501CE79" w14:textId="77777777" w:rsidR="00033F53" w:rsidRDefault="00033F53" w:rsidP="00F67660">
      <w:pPr>
        <w:spacing w:after="0" w:line="240" w:lineRule="auto"/>
      </w:pPr>
      <w:r>
        <w:continuationSeparator/>
      </w:r>
    </w:p>
  </w:footnote>
  <w:footnote w:id="1">
    <w:p w14:paraId="2AF7F887" w14:textId="77777777" w:rsidR="00F67660" w:rsidRPr="005B1F12" w:rsidRDefault="00F67660" w:rsidP="00F67660">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Wardoyo, Wisnu. “Indonesia Accounts for 40% Digital Transaction Value in ASEAN.” </w:t>
      </w:r>
      <w:r w:rsidRPr="005B1F12">
        <w:rPr>
          <w:rFonts w:ascii="Cormorant Garamond" w:hAnsi="Cormorant Garamond"/>
          <w:i/>
          <w:iCs/>
          <w:sz w:val="20"/>
          <w:szCs w:val="20"/>
        </w:rPr>
        <w:t>Indonesia.go.id</w:t>
      </w:r>
      <w:r w:rsidRPr="005B1F12">
        <w:rPr>
          <w:rFonts w:ascii="Cormorant Garamond" w:hAnsi="Cormorant Garamond"/>
          <w:sz w:val="20"/>
          <w:szCs w:val="20"/>
        </w:rPr>
        <w:t>, January 24, 2025.</w:t>
      </w:r>
    </w:p>
  </w:footnote>
  <w:footnote w:id="2">
    <w:p w14:paraId="0606101D" w14:textId="77777777" w:rsidR="00F67660" w:rsidRPr="005B1F12" w:rsidRDefault="00F67660" w:rsidP="00F67660">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IMF. “Indonesia: Financial Sector Assessment Program - Financial System Stability Assessment.” International </w:t>
      </w:r>
      <w:r w:rsidRPr="005B1F12">
        <w:rPr>
          <w:rFonts w:ascii="Cormorant Garamond" w:hAnsi="Cormorant Garamond"/>
          <w:i/>
          <w:iCs/>
          <w:sz w:val="20"/>
          <w:szCs w:val="20"/>
        </w:rPr>
        <w:t>Monetary Fund. Monetary and Capital Markets Department</w:t>
      </w:r>
      <w:r w:rsidRPr="005B1F12">
        <w:rPr>
          <w:rFonts w:ascii="Cormorant Garamond" w:hAnsi="Cormorant Garamond"/>
          <w:sz w:val="20"/>
          <w:szCs w:val="20"/>
        </w:rPr>
        <w:t xml:space="preserve"> (2024). https://www.elibrary.imf.org/view/journals/002/2024/272/article-A001-en.xml (retrieved January 24, 2025).</w:t>
      </w:r>
    </w:p>
  </w:footnote>
  <w:footnote w:id="3">
    <w:p w14:paraId="31A4DD70" w14:textId="77777777" w:rsidR="00F67660" w:rsidRPr="005B1F12" w:rsidRDefault="00F67660" w:rsidP="00F67660">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World Economic Forum. “How Indonesia Is Creating Financial Inclusion Through Digital Wallets.” https://www.weforum.org/stories/2024/02/indonesia-financial-inclusion-digital-wallets/. Accessed January 24, 2025.</w:t>
      </w:r>
    </w:p>
  </w:footnote>
  <w:footnote w:id="4">
    <w:p w14:paraId="1CCFCE4F" w14:textId="77777777" w:rsidR="00F67660" w:rsidRPr="005B1F12" w:rsidRDefault="00F67660" w:rsidP="00F67660">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Thormundsson, B. “Adoption Rate of AI in Global Finance Business, 2022–2025.” </w:t>
      </w:r>
      <w:r w:rsidRPr="005B1F12">
        <w:rPr>
          <w:rFonts w:ascii="Cormorant Garamond" w:hAnsi="Cormorant Garamond"/>
          <w:i/>
          <w:iCs/>
          <w:sz w:val="20"/>
          <w:szCs w:val="20"/>
        </w:rPr>
        <w:t>Statista</w:t>
      </w:r>
      <w:r w:rsidRPr="005B1F12">
        <w:rPr>
          <w:rFonts w:ascii="Cormorant Garamond" w:hAnsi="Cormorant Garamond"/>
          <w:sz w:val="20"/>
          <w:szCs w:val="20"/>
        </w:rPr>
        <w:t xml:space="preserve"> (2023). https://www.statista.com/statistics/1346736/ai-function-adoption-rates-business-finance/ (retrieved January 24, 2025).</w:t>
      </w:r>
    </w:p>
  </w:footnote>
  <w:footnote w:id="5">
    <w:p w14:paraId="6B2A5E26" w14:textId="77777777" w:rsidR="00F67660" w:rsidRPr="005B1F12" w:rsidRDefault="00F67660" w:rsidP="00F67660">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Pandu Sjahrir and Andy Lees. “Harnessing the Power of (Gen)AI in Indonesian Financial Services.”  Jointly published by </w:t>
      </w:r>
      <w:r w:rsidRPr="005B1F12">
        <w:rPr>
          <w:rFonts w:ascii="Cormorant Garamond" w:hAnsi="Cormorant Garamond"/>
          <w:i/>
          <w:iCs/>
          <w:sz w:val="20"/>
          <w:szCs w:val="20"/>
        </w:rPr>
        <w:t>AC Ventures, Boston Consulting Group, Kadin Indonesia, and BCG X</w:t>
      </w:r>
      <w:r w:rsidRPr="005B1F12">
        <w:rPr>
          <w:rFonts w:ascii="Cormorant Garamond" w:hAnsi="Cormorant Garamond"/>
          <w:sz w:val="20"/>
          <w:szCs w:val="20"/>
        </w:rPr>
        <w:t>, 2024. https://web-assets.bcg.com/1b/42/1554aac447d88aecbe1048285eed/harnessing-the-power-of-genai-in-indonesian-financial-services.pdf (retrieved January 22, 2025).</w:t>
      </w:r>
    </w:p>
  </w:footnote>
  <w:footnote w:id="6">
    <w:p w14:paraId="536AD383" w14:textId="77777777" w:rsidR="00F67660" w:rsidRPr="005B1F12" w:rsidRDefault="00F67660" w:rsidP="00F67660">
      <w:pPr>
        <w:pStyle w:val="FootnoteText"/>
        <w:contextualSpacing/>
        <w:mirrorIndents/>
        <w:jc w:val="both"/>
        <w:rPr>
          <w:rFonts w:ascii="Cormorant Garamond" w:hAnsi="Cormorant Garamond"/>
        </w:rPr>
      </w:pPr>
      <w:r w:rsidRPr="005B1F12">
        <w:rPr>
          <w:rStyle w:val="FootnoteReference"/>
          <w:rFonts w:ascii="Cormorant Garamond" w:hAnsi="Cormorant Garamond"/>
        </w:rPr>
        <w:footnoteRef/>
      </w:r>
      <w:r w:rsidRPr="005B1F12">
        <w:rPr>
          <w:rFonts w:ascii="Cormorant Garamond" w:hAnsi="Cormorant Garamond"/>
        </w:rPr>
        <w:t xml:space="preserve"> Ibid.</w:t>
      </w:r>
    </w:p>
  </w:footnote>
  <w:footnote w:id="7">
    <w:p w14:paraId="4AB5CB84" w14:textId="77777777" w:rsidR="000F253F" w:rsidRPr="005B1F12" w:rsidRDefault="000F253F" w:rsidP="000F253F">
      <w:pPr>
        <w:pStyle w:val="FootnoteText"/>
        <w:contextualSpacing/>
        <w:mirrorIndents/>
        <w:jc w:val="both"/>
        <w:rPr>
          <w:rFonts w:ascii="Cormorant Garamond" w:hAnsi="Cormorant Garamond"/>
        </w:rPr>
      </w:pPr>
      <w:r w:rsidRPr="005B1F12">
        <w:rPr>
          <w:rStyle w:val="FootnoteReference"/>
          <w:rFonts w:ascii="Cormorant Garamond" w:hAnsi="Cormorant Garamond"/>
        </w:rPr>
        <w:footnoteRef/>
      </w:r>
      <w:r w:rsidRPr="005B1F12">
        <w:rPr>
          <w:rFonts w:ascii="Cormorant Garamond" w:hAnsi="Cormorant Garamond"/>
        </w:rPr>
        <w:t xml:space="preserve"> Ibid.</w:t>
      </w:r>
    </w:p>
  </w:footnote>
  <w:footnote w:id="8">
    <w:p w14:paraId="3B4D6789" w14:textId="77777777" w:rsidR="000F253F" w:rsidRPr="005B1F12" w:rsidRDefault="000F253F" w:rsidP="000F253F">
      <w:pPr>
        <w:pStyle w:val="FootnoteText"/>
        <w:contextualSpacing/>
        <w:mirrorIndents/>
        <w:jc w:val="both"/>
        <w:rPr>
          <w:rFonts w:ascii="Cormorant Garamond" w:hAnsi="Cormorant Garamond"/>
        </w:rPr>
      </w:pPr>
      <w:r w:rsidRPr="005B1F12">
        <w:rPr>
          <w:rStyle w:val="FootnoteReference"/>
          <w:rFonts w:ascii="Cormorant Garamond" w:hAnsi="Cormorant Garamond"/>
        </w:rPr>
        <w:footnoteRef/>
      </w:r>
      <w:r w:rsidRPr="005B1F12">
        <w:rPr>
          <w:rFonts w:ascii="Cormorant Garamond" w:hAnsi="Cormorant Garamond"/>
        </w:rPr>
        <w:t xml:space="preserve"> Ibid.</w:t>
      </w:r>
    </w:p>
  </w:footnote>
  <w:footnote w:id="9">
    <w:p w14:paraId="2389D1C8"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Wadipalapa, R. P., R. Katharina, P. P. Nainggolan, S. Aminah, T. Apriani, D. Ma’rifah, and A. L. Anisah. “An Ambitious Artificial Intelligence Policy in a Decentralised Governance System: Evidence from Indonesia.” </w:t>
      </w:r>
      <w:r w:rsidRPr="005B1F12">
        <w:rPr>
          <w:rFonts w:ascii="Cormorant Garamond" w:hAnsi="Cormorant Garamond"/>
          <w:i/>
          <w:iCs/>
          <w:sz w:val="20"/>
          <w:szCs w:val="20"/>
        </w:rPr>
        <w:t>Journal of Current Southeast Asian Affairs</w:t>
      </w:r>
      <w:r w:rsidRPr="005B1F12">
        <w:rPr>
          <w:rFonts w:ascii="Cormorant Garamond" w:hAnsi="Cormorant Garamond"/>
          <w:sz w:val="20"/>
          <w:szCs w:val="20"/>
        </w:rPr>
        <w:t xml:space="preserve"> 43, no. 1 (2024): 65–93. https://doi.org/10.1177/18681034231226393.</w:t>
      </w:r>
    </w:p>
  </w:footnote>
  <w:footnote w:id="10">
    <w:p w14:paraId="7941A56B"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Yoganandham, G. “Transformative Impact: The Role of Modern and Innovative Banking Technologies in Driving Global Economic Growth.” </w:t>
      </w:r>
      <w:r w:rsidRPr="005B1F12">
        <w:rPr>
          <w:rFonts w:ascii="Cormorant Garamond" w:hAnsi="Cormorant Garamond"/>
          <w:i/>
          <w:iCs/>
          <w:sz w:val="20"/>
          <w:szCs w:val="20"/>
        </w:rPr>
        <w:t>Tuijin Jishu/Journal of Propulsion Technology 45, no. 1</w:t>
      </w:r>
      <w:r w:rsidRPr="005B1F12">
        <w:rPr>
          <w:rFonts w:ascii="Cormorant Garamond" w:hAnsi="Cormorant Garamond"/>
          <w:sz w:val="20"/>
          <w:szCs w:val="20"/>
        </w:rPr>
        <w:t xml:space="preserve"> (2024).</w:t>
      </w:r>
    </w:p>
  </w:footnote>
  <w:footnote w:id="11">
    <w:p w14:paraId="6673E9D0"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Fernandez, Ana. “Artificial Intelligence in Financial Services.” </w:t>
      </w:r>
      <w:r w:rsidRPr="005B1F12">
        <w:rPr>
          <w:rFonts w:ascii="Cormorant Garamond" w:hAnsi="Cormorant Garamond"/>
          <w:i/>
          <w:iCs/>
          <w:sz w:val="20"/>
          <w:szCs w:val="20"/>
        </w:rPr>
        <w:t xml:space="preserve">Banco de Espana Article 3/19 </w:t>
      </w:r>
      <w:r w:rsidRPr="005B1F12">
        <w:rPr>
          <w:rFonts w:ascii="Cormorant Garamond" w:hAnsi="Cormorant Garamond"/>
          <w:sz w:val="20"/>
          <w:szCs w:val="20"/>
        </w:rPr>
        <w:t>(2019). SSRN: https://ssrn.com.</w:t>
      </w:r>
    </w:p>
  </w:footnote>
  <w:footnote w:id="12">
    <w:p w14:paraId="07DDB8CB"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Indriasari, E., Gaol, F. L., and Matsuo, T. “Digital Banking Transformation: Application of Artificial Intelligence and Big Data Analytics for Leveraging Customer Experience in the Indonesia Banking Sector.” In 2019 8th </w:t>
      </w:r>
      <w:r w:rsidRPr="005B1F12">
        <w:rPr>
          <w:rFonts w:ascii="Cormorant Garamond" w:hAnsi="Cormorant Garamond"/>
          <w:i/>
          <w:iCs/>
          <w:sz w:val="20"/>
          <w:szCs w:val="20"/>
        </w:rPr>
        <w:t>International Congress on Advanced Applied Informatics</w:t>
      </w:r>
      <w:r w:rsidRPr="005B1F12">
        <w:rPr>
          <w:rFonts w:ascii="Cormorant Garamond" w:hAnsi="Cormorant Garamond"/>
          <w:sz w:val="20"/>
          <w:szCs w:val="20"/>
        </w:rPr>
        <w:t xml:space="preserve"> (IIAI-AAI), 863–868. IEEE, 2019.</w:t>
      </w:r>
    </w:p>
  </w:footnote>
  <w:footnote w:id="13">
    <w:p w14:paraId="6006EA42"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Xie, M. “Development of Artificial Intelligence and Effects on Financial System.” </w:t>
      </w:r>
      <w:r w:rsidRPr="005B1F12">
        <w:rPr>
          <w:rFonts w:ascii="Cormorant Garamond" w:hAnsi="Cormorant Garamond"/>
          <w:i/>
          <w:iCs/>
          <w:sz w:val="20"/>
          <w:szCs w:val="20"/>
        </w:rPr>
        <w:t>Journal of Physics: Conference Series 1187,</w:t>
      </w:r>
      <w:r w:rsidRPr="005B1F12">
        <w:rPr>
          <w:rFonts w:ascii="Cormorant Garamond" w:hAnsi="Cormorant Garamond"/>
          <w:sz w:val="20"/>
          <w:szCs w:val="20"/>
        </w:rPr>
        <w:t xml:space="preserve"> no. 3 (April 2019): 032084. IOP Publishing.</w:t>
      </w:r>
    </w:p>
  </w:footnote>
  <w:footnote w:id="14">
    <w:p w14:paraId="0455CDC2"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Ridha, M., and K. Haura Maharani. “Implementation of Artificial Intelligence Chatbot in Optimizing Customer Service in Financial Technology Company PT. FinAccel Finance Indonesia.” Proceedings, vol. 83, no. 1 (December 2022): 21. </w:t>
      </w:r>
      <w:r w:rsidRPr="005B1F12">
        <w:rPr>
          <w:rFonts w:ascii="Cormorant Garamond" w:hAnsi="Cormorant Garamond"/>
          <w:i/>
          <w:iCs/>
          <w:sz w:val="20"/>
          <w:szCs w:val="20"/>
        </w:rPr>
        <w:t>MDPI.</w:t>
      </w:r>
    </w:p>
  </w:footnote>
  <w:footnote w:id="15">
    <w:p w14:paraId="6AC32E8A"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Alzaidi, A. A. “Impact of Artificial Intelligence on Performance of Banking Industry in Middle East.” </w:t>
      </w:r>
      <w:r w:rsidRPr="005B1F12">
        <w:rPr>
          <w:rFonts w:ascii="Cormorant Garamond" w:hAnsi="Cormorant Garamond"/>
          <w:i/>
          <w:iCs/>
          <w:sz w:val="20"/>
          <w:szCs w:val="20"/>
        </w:rPr>
        <w:t>International Journal of Computer Science and Network Security 18</w:t>
      </w:r>
      <w:r w:rsidRPr="005B1F12">
        <w:rPr>
          <w:rFonts w:ascii="Cormorant Garamond" w:hAnsi="Cormorant Garamond"/>
          <w:sz w:val="20"/>
          <w:szCs w:val="20"/>
        </w:rPr>
        <w:t>, no. 10 (2018): 140–148.</w:t>
      </w:r>
    </w:p>
  </w:footnote>
  <w:footnote w:id="16">
    <w:p w14:paraId="5CDD64A2"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Hidayat, M., Defitri, S. Y., and Hilman, H. “The Impact of Artificial Intelligence (AI) on Financial Management.” </w:t>
      </w:r>
      <w:r w:rsidRPr="005B1F12">
        <w:rPr>
          <w:rFonts w:ascii="Cormorant Garamond" w:hAnsi="Cormorant Garamond"/>
          <w:i/>
          <w:iCs/>
          <w:sz w:val="20"/>
          <w:szCs w:val="20"/>
        </w:rPr>
        <w:t>Management Studies and Business Journal</w:t>
      </w:r>
      <w:r w:rsidRPr="005B1F12">
        <w:rPr>
          <w:rFonts w:ascii="Cormorant Garamond" w:hAnsi="Cormorant Garamond"/>
          <w:sz w:val="20"/>
          <w:szCs w:val="20"/>
        </w:rPr>
        <w:t xml:space="preserve"> (Productivity) 1, no. 1 (2024): 123–129.</w:t>
      </w:r>
    </w:p>
  </w:footnote>
  <w:footnote w:id="17">
    <w:p w14:paraId="346A8866"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Husain, A. R. A. M., Hamdan, A., and Fadhul, S. M. “The Impact of Artificial Intelligence on the Banking Industry Performance.” </w:t>
      </w:r>
      <w:r w:rsidRPr="005B1F12">
        <w:rPr>
          <w:rFonts w:ascii="Cormorant Garamond" w:hAnsi="Cormorant Garamond"/>
          <w:i/>
          <w:iCs/>
          <w:sz w:val="20"/>
          <w:szCs w:val="20"/>
        </w:rPr>
        <w:t>In Future of Organizations and Work After the 4th Industrial Revolution: The Role of Artificial Intelligence, Big Data, Automation, and Robotics</w:t>
      </w:r>
      <w:r w:rsidRPr="005B1F12">
        <w:rPr>
          <w:rFonts w:ascii="Cormorant Garamond" w:hAnsi="Cormorant Garamond"/>
          <w:sz w:val="20"/>
          <w:szCs w:val="20"/>
        </w:rPr>
        <w:t>, 145–156, 2022.</w:t>
      </w:r>
    </w:p>
  </w:footnote>
  <w:footnote w:id="18">
    <w:p w14:paraId="75FF79F5"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Umamaheswari, S., and A. Valarmathi. “Role of Artificial Intelligence in the Banking Sector.” </w:t>
      </w:r>
      <w:r w:rsidRPr="005B1F12">
        <w:rPr>
          <w:rFonts w:ascii="Cormorant Garamond" w:hAnsi="Cormorant Garamond"/>
          <w:i/>
          <w:iCs/>
          <w:sz w:val="20"/>
          <w:szCs w:val="20"/>
        </w:rPr>
        <w:t>Journal of Survey in Fisheries Sciences 10,</w:t>
      </w:r>
      <w:r w:rsidRPr="005B1F12">
        <w:rPr>
          <w:rFonts w:ascii="Cormorant Garamond" w:hAnsi="Cormorant Garamond"/>
          <w:sz w:val="20"/>
          <w:szCs w:val="20"/>
        </w:rPr>
        <w:t xml:space="preserve"> no. 4S (2023): 2841–2849.</w:t>
      </w:r>
    </w:p>
  </w:footnote>
  <w:footnote w:id="19">
    <w:p w14:paraId="64F6A217"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Kunwar, M. “Artificial Intelligence in Finance: Understanding How Automation and Machine Learning Are Transforming the Financial Industry.” (2019).</w:t>
      </w:r>
    </w:p>
  </w:footnote>
  <w:footnote w:id="20">
    <w:p w14:paraId="64B53062"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Rosadi, S. D., S. Yuniarti, and R. Fauzi. “Protection of Data Privacy in the Era of Artificial Intelligence in the Financial Sector in Indonesia.” </w:t>
      </w:r>
      <w:r w:rsidRPr="005B1F12">
        <w:rPr>
          <w:rFonts w:ascii="Cormorant Garamond" w:hAnsi="Cormorant Garamond"/>
          <w:i/>
          <w:iCs/>
          <w:sz w:val="20"/>
          <w:szCs w:val="20"/>
        </w:rPr>
        <w:t>Journal of Central Banking Law and Institutions 1</w:t>
      </w:r>
      <w:r w:rsidRPr="005B1F12">
        <w:rPr>
          <w:rFonts w:ascii="Cormorant Garamond" w:hAnsi="Cormorant Garamond"/>
          <w:sz w:val="20"/>
          <w:szCs w:val="20"/>
        </w:rPr>
        <w:t>, no. 2 (2022): 353–366.</w:t>
      </w:r>
    </w:p>
  </w:footnote>
  <w:footnote w:id="21">
    <w:p w14:paraId="160E0C40"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Bholat, D., and D. Susskind. “The Assessment: Artificial Intelligence and Financial Services.” </w:t>
      </w:r>
      <w:r w:rsidRPr="005B1F12">
        <w:rPr>
          <w:rFonts w:ascii="Cormorant Garamond" w:hAnsi="Cormorant Garamond"/>
          <w:i/>
          <w:iCs/>
          <w:sz w:val="20"/>
          <w:szCs w:val="20"/>
        </w:rPr>
        <w:t>Oxford Review of Economic Policy 37</w:t>
      </w:r>
      <w:r w:rsidRPr="005B1F12">
        <w:rPr>
          <w:rFonts w:ascii="Cormorant Garamond" w:hAnsi="Cormorant Garamond"/>
          <w:sz w:val="20"/>
          <w:szCs w:val="20"/>
        </w:rPr>
        <w:t>, no. 3 (2021): 417–434.</w:t>
      </w:r>
    </w:p>
  </w:footnote>
  <w:footnote w:id="22">
    <w:p w14:paraId="33F8B543"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Golić, Z. “Finance and Artificial Intelligence: The Fifth Industrial Revolution and Its Impact on the Financial Sector.” </w:t>
      </w:r>
      <w:r w:rsidRPr="005B1F12">
        <w:rPr>
          <w:rFonts w:ascii="Cormorant Garamond" w:hAnsi="Cormorant Garamond"/>
          <w:i/>
          <w:iCs/>
          <w:sz w:val="20"/>
          <w:szCs w:val="20"/>
        </w:rPr>
        <w:t>Zbornik Radova Ekonomskog Fakulteta u Istočnom Sarajevu</w:t>
      </w:r>
      <w:r w:rsidRPr="005B1F12">
        <w:rPr>
          <w:rFonts w:ascii="Cormorant Garamond" w:hAnsi="Cormorant Garamond"/>
          <w:sz w:val="20"/>
          <w:szCs w:val="20"/>
        </w:rPr>
        <w:t xml:space="preserve"> 19 (2019): 67–81.</w:t>
      </w:r>
    </w:p>
  </w:footnote>
  <w:footnote w:id="23">
    <w:p w14:paraId="674EA627"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Rofi'i, Y. U. “Financial Risk Management in Indonesian Banking: The Integrative Role of Data Analytics and Predictive Algorithms.” </w:t>
      </w:r>
      <w:r w:rsidRPr="005B1F12">
        <w:rPr>
          <w:rFonts w:ascii="Cormorant Garamond" w:hAnsi="Cormorant Garamond"/>
          <w:i/>
          <w:iCs/>
          <w:sz w:val="20"/>
          <w:szCs w:val="20"/>
        </w:rPr>
        <w:t>International Journal of Software Engineering and Computer Science (IJSECS)</w:t>
      </w:r>
      <w:r w:rsidRPr="005B1F12">
        <w:rPr>
          <w:rFonts w:ascii="Cormorant Garamond" w:hAnsi="Cormorant Garamond"/>
          <w:sz w:val="20"/>
          <w:szCs w:val="20"/>
        </w:rPr>
        <w:t xml:space="preserve"> 3, no. 3 (2023): 300–309.</w:t>
      </w:r>
    </w:p>
  </w:footnote>
  <w:footnote w:id="24">
    <w:p w14:paraId="4F4905B3"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Safrianto, S., and E. Erniati. “Analysis of the Impact of Artificial Intelligence on the Development of Industry 4.0 in Indonesia.” In Proceeding of </w:t>
      </w:r>
      <w:r w:rsidRPr="005B1F12">
        <w:rPr>
          <w:rFonts w:ascii="Cormorant Garamond" w:hAnsi="Cormorant Garamond"/>
          <w:i/>
          <w:iCs/>
          <w:sz w:val="20"/>
          <w:szCs w:val="20"/>
        </w:rPr>
        <w:t>International Conference on Islamic and Interdisciplinary Studies,</w:t>
      </w:r>
      <w:r w:rsidRPr="005B1F12">
        <w:rPr>
          <w:rFonts w:ascii="Cormorant Garamond" w:hAnsi="Cormorant Garamond"/>
          <w:sz w:val="20"/>
          <w:szCs w:val="20"/>
        </w:rPr>
        <w:t xml:space="preserve"> vol. 3, 327–332, August 2024.</w:t>
      </w:r>
    </w:p>
  </w:footnote>
  <w:footnote w:id="25">
    <w:p w14:paraId="3F6C9492"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Soeharjoto, Soeharjoto. “Structure of Commercial Banks in Indonesia During the COVID-19 Pandemic.” </w:t>
      </w:r>
      <w:r w:rsidRPr="005B1F12">
        <w:rPr>
          <w:rFonts w:ascii="Cormorant Garamond" w:hAnsi="Cormorant Garamond"/>
          <w:i/>
          <w:iCs/>
          <w:sz w:val="20"/>
          <w:szCs w:val="20"/>
        </w:rPr>
        <w:t>The European Proceedings of Social and Behavioural Sciences.</w:t>
      </w:r>
      <w:r w:rsidRPr="005B1F12">
        <w:rPr>
          <w:rFonts w:ascii="Cormorant Garamond" w:hAnsi="Cormorant Garamond"/>
          <w:sz w:val="20"/>
          <w:szCs w:val="20"/>
        </w:rPr>
        <w:t xml:space="preserve"> https://doi.org/10.15405/epsbs.2023.11.02.8.</w:t>
      </w:r>
    </w:p>
  </w:footnote>
  <w:footnote w:id="26">
    <w:p w14:paraId="438C7822"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Hamdillah, D. N., Ermawati, W. J., and Suprayitno, G. “Forecasting Tingkat Kesehatan dan Tingkat Ketahanan Perbankan di Indonesia.” </w:t>
      </w:r>
      <w:r w:rsidRPr="005B1F12">
        <w:rPr>
          <w:rFonts w:ascii="Cormorant Garamond" w:hAnsi="Cormorant Garamond"/>
          <w:i/>
          <w:iCs/>
          <w:sz w:val="20"/>
          <w:szCs w:val="20"/>
        </w:rPr>
        <w:t>Manajemen IKM: Jurnal Manajemen Pengembangan Industri Kecil Menengah</w:t>
      </w:r>
      <w:r w:rsidRPr="005B1F12">
        <w:rPr>
          <w:rFonts w:ascii="Cormorant Garamond" w:hAnsi="Cormorant Garamond"/>
          <w:sz w:val="20"/>
          <w:szCs w:val="20"/>
        </w:rPr>
        <w:t xml:space="preserve"> 19, no. 2 (2024).</w:t>
      </w:r>
    </w:p>
  </w:footnote>
  <w:footnote w:id="27">
    <w:p w14:paraId="7EE99B0C" w14:textId="77777777" w:rsidR="000F253F" w:rsidRPr="005B1F12" w:rsidRDefault="000F253F" w:rsidP="000F253F">
      <w:pPr>
        <w:contextualSpacing/>
        <w:mirrorIndents/>
        <w:jc w:val="both"/>
        <w:rPr>
          <w:rFonts w:ascii="Cormorant Garamond" w:eastAsia="Calibri"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w:t>
      </w:r>
      <w:r w:rsidRPr="005B1F12">
        <w:rPr>
          <w:rFonts w:ascii="Cormorant Garamond" w:eastAsia="Calibri" w:hAnsi="Cormorant Garamond"/>
          <w:sz w:val="20"/>
          <w:szCs w:val="20"/>
        </w:rPr>
        <w:t xml:space="preserve">The Data were processed by author from </w:t>
      </w:r>
      <w:r w:rsidRPr="005B1F12">
        <w:rPr>
          <w:rFonts w:ascii="Cormorant Garamond" w:eastAsia="Calibri" w:hAnsi="Cormorant Garamond"/>
          <w:i/>
          <w:iCs/>
          <w:sz w:val="20"/>
          <w:szCs w:val="20"/>
        </w:rPr>
        <w:t>Statista</w:t>
      </w:r>
      <w:r w:rsidRPr="005B1F12">
        <w:rPr>
          <w:rFonts w:ascii="Cormorant Garamond" w:eastAsia="Calibri" w:hAnsi="Cormorant Garamond"/>
          <w:sz w:val="20"/>
          <w:szCs w:val="20"/>
        </w:rPr>
        <w:t xml:space="preserve"> 2025 and </w:t>
      </w:r>
      <w:r w:rsidRPr="005B1F12">
        <w:rPr>
          <w:rFonts w:ascii="Cormorant Garamond" w:eastAsia="Calibri" w:hAnsi="Cormorant Garamond"/>
          <w:i/>
          <w:sz w:val="20"/>
          <w:szCs w:val="20"/>
        </w:rPr>
        <w:t>IMF Staff Country Reports</w:t>
      </w:r>
      <w:r w:rsidRPr="005B1F12">
        <w:rPr>
          <w:rFonts w:ascii="Cormorant Garamond" w:eastAsia="Calibri" w:hAnsi="Cormorant Garamond"/>
          <w:sz w:val="20"/>
          <w:szCs w:val="20"/>
        </w:rPr>
        <w:t> 2010, 2017, 2024</w:t>
      </w:r>
    </w:p>
  </w:footnote>
  <w:footnote w:id="28">
    <w:p w14:paraId="62EE0E5F"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Monika, Mucsková. “Transforming Banking with Artificial Intelligence.” </w:t>
      </w:r>
      <w:r w:rsidRPr="005B1F12">
        <w:rPr>
          <w:rFonts w:ascii="Cormorant Garamond" w:hAnsi="Cormorant Garamond"/>
          <w:i/>
          <w:iCs/>
          <w:sz w:val="20"/>
          <w:szCs w:val="20"/>
        </w:rPr>
        <w:t>Trends Economics and Management (2024).</w:t>
      </w:r>
      <w:r w:rsidRPr="005B1F12">
        <w:rPr>
          <w:rFonts w:ascii="Cormorant Garamond" w:hAnsi="Cormorant Garamond"/>
          <w:sz w:val="20"/>
          <w:szCs w:val="20"/>
        </w:rPr>
        <w:t xml:space="preserve"> https://doi.org/10.13164/trends.2024.42.21.</w:t>
      </w:r>
    </w:p>
    <w:p w14:paraId="61AA4BD2" w14:textId="77777777" w:rsidR="000F253F" w:rsidRPr="005B1F12" w:rsidRDefault="000F253F" w:rsidP="000F253F">
      <w:pPr>
        <w:contextualSpacing/>
        <w:mirrorIndents/>
        <w:jc w:val="both"/>
        <w:rPr>
          <w:rFonts w:ascii="Cormorant Garamond" w:hAnsi="Cormorant Garamond"/>
          <w:sz w:val="20"/>
          <w:szCs w:val="20"/>
        </w:rPr>
      </w:pPr>
      <w:r w:rsidRPr="005B1F12">
        <w:rPr>
          <w:rFonts w:ascii="Cormorant Garamond" w:hAnsi="Cormorant Garamond"/>
          <w:sz w:val="20"/>
          <w:szCs w:val="20"/>
        </w:rPr>
        <w:t xml:space="preserve">, Muhammad, Asif, and Khan. “Understanding the Impact of Artificial Intelligence (AI) on Traditional Businesses in Indonesia.” </w:t>
      </w:r>
      <w:r w:rsidRPr="005B1F12">
        <w:rPr>
          <w:rFonts w:ascii="Cormorant Garamond" w:hAnsi="Cormorant Garamond"/>
          <w:i/>
          <w:iCs/>
          <w:sz w:val="20"/>
          <w:szCs w:val="20"/>
        </w:rPr>
        <w:t>Journal of Management Studies and Development 3</w:t>
      </w:r>
      <w:r w:rsidRPr="005B1F12">
        <w:rPr>
          <w:rFonts w:ascii="Cormorant Garamond" w:hAnsi="Cormorant Garamond"/>
          <w:sz w:val="20"/>
          <w:szCs w:val="20"/>
        </w:rPr>
        <w:t xml:space="preserve">, no. 2 (2024): 146–158. https://doi.org/10.56741/jmsd.v3i02.584., Dede, Arisko, and Agustiawan. “Digital Banking Transformation: AI Enhances Efficiency and Customer Experience - Seminar Perspective Industry.” </w:t>
      </w:r>
      <w:r w:rsidRPr="005B1F12">
        <w:rPr>
          <w:rFonts w:ascii="Cormorant Garamond" w:hAnsi="Cormorant Garamond"/>
          <w:i/>
          <w:iCs/>
          <w:sz w:val="20"/>
          <w:szCs w:val="20"/>
        </w:rPr>
        <w:t>Wacana (Jakarta) 23</w:t>
      </w:r>
      <w:r w:rsidRPr="005B1F12">
        <w:rPr>
          <w:rFonts w:ascii="Cormorant Garamond" w:hAnsi="Cormorant Garamond"/>
          <w:sz w:val="20"/>
          <w:szCs w:val="20"/>
        </w:rPr>
        <w:t xml:space="preserve">, no. 1 (2024): 191–200. </w:t>
      </w:r>
      <w:hyperlink r:id="rId1" w:history="1">
        <w:r w:rsidRPr="005B1F12">
          <w:rPr>
            <w:rStyle w:val="Hyperlink"/>
            <w:rFonts w:ascii="Cormorant Garamond" w:hAnsi="Cormorant Garamond"/>
          </w:rPr>
          <w:t>https://doi.org/10.32509/wacana.v23i1.4130</w:t>
        </w:r>
      </w:hyperlink>
      <w:r w:rsidRPr="005B1F12">
        <w:rPr>
          <w:rFonts w:ascii="Cormorant Garamond" w:hAnsi="Cormorant Garamond"/>
          <w:sz w:val="20"/>
          <w:szCs w:val="20"/>
        </w:rPr>
        <w:t xml:space="preserve">., Shafyra, Nuruzzakiyya, Mar'atushsholihah, and Tuti Karyani. “Dampak Financial Technology terhadap Kinerja Bank Umum Konvensional di Indonesia.” </w:t>
      </w:r>
      <w:r w:rsidRPr="005B1F12">
        <w:rPr>
          <w:rFonts w:ascii="Cormorant Garamond" w:hAnsi="Cormorant Garamond"/>
          <w:i/>
          <w:iCs/>
          <w:sz w:val="20"/>
          <w:szCs w:val="20"/>
        </w:rPr>
        <w:t>Jurnal Ekonomi dan Kebijakan Publik Indonesia 7</w:t>
      </w:r>
      <w:r w:rsidRPr="005B1F12">
        <w:rPr>
          <w:rFonts w:ascii="Cormorant Garamond" w:hAnsi="Cormorant Garamond"/>
          <w:sz w:val="20"/>
          <w:szCs w:val="20"/>
        </w:rPr>
        <w:t>, no. 1 (2021): 450. https://doi.org/10.25157/MA.V7I1.4707.</w:t>
      </w:r>
    </w:p>
  </w:footnote>
  <w:footnote w:id="29">
    <w:p w14:paraId="5D2B940D"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Khoirudin, R. “Determinants of Mortgage Credit Demand in Indonesia.” </w:t>
      </w:r>
      <w:r w:rsidRPr="005B1F12">
        <w:rPr>
          <w:rFonts w:ascii="Cormorant Garamond" w:hAnsi="Cormorant Garamond"/>
          <w:i/>
          <w:iCs/>
          <w:sz w:val="20"/>
          <w:szCs w:val="20"/>
        </w:rPr>
        <w:t>Ekonimikawan 17</w:t>
      </w:r>
      <w:r w:rsidRPr="005B1F12">
        <w:rPr>
          <w:rFonts w:ascii="Cormorant Garamond" w:hAnsi="Cormorant Garamond"/>
          <w:sz w:val="20"/>
          <w:szCs w:val="20"/>
        </w:rPr>
        <w:t>, no. 2 (2017): 105–120. https://doi.org/10.30596/EKONOMIKAWAN.V17I2.1794.</w:t>
      </w:r>
    </w:p>
  </w:footnote>
  <w:footnote w:id="30">
    <w:p w14:paraId="6BDB8B9D"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Rizkina, A., and A. W. Diana. “Pengaruh Tingkat Suku Bunga dan Inflasi terhadap Kredit Konsumsi di Indonesia.” </w:t>
      </w:r>
      <w:r w:rsidRPr="005B1F12">
        <w:rPr>
          <w:rFonts w:ascii="Cormorant Garamond" w:hAnsi="Cormorant Garamond"/>
          <w:i/>
          <w:iCs/>
          <w:sz w:val="20"/>
          <w:szCs w:val="20"/>
        </w:rPr>
        <w:t>Jurnal Ekonomi dan Kebijakan Publik Indonesia</w:t>
      </w:r>
      <w:r w:rsidRPr="005B1F12">
        <w:rPr>
          <w:rFonts w:ascii="Cormorant Garamond" w:hAnsi="Cormorant Garamond"/>
          <w:sz w:val="20"/>
          <w:szCs w:val="20"/>
        </w:rPr>
        <w:t>. https://doi.org/10.24815/ekapi.v10i1.37461.</w:t>
      </w:r>
    </w:p>
  </w:footnote>
  <w:footnote w:id="31">
    <w:p w14:paraId="6087FE85"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Megawati, I. A. P., and Kertiriasih, N. N. R. “Dampak Layanan Perbankan Digital Terhadap Kinerja Perbankan di Indonesia.” </w:t>
      </w:r>
      <w:r w:rsidRPr="005B1F12">
        <w:rPr>
          <w:rFonts w:ascii="Cormorant Garamond" w:hAnsi="Cormorant Garamond"/>
          <w:i/>
          <w:iCs/>
          <w:sz w:val="20"/>
          <w:szCs w:val="20"/>
        </w:rPr>
        <w:t>Fonduri de Investiţii 13</w:t>
      </w:r>
      <w:r w:rsidRPr="005B1F12">
        <w:rPr>
          <w:rFonts w:ascii="Cormorant Garamond" w:hAnsi="Cormorant Garamond"/>
          <w:sz w:val="20"/>
          <w:szCs w:val="20"/>
        </w:rPr>
        <w:t>, no. 3 (2024): 1578–1591. https://doi.org/10.34127/jrlab.v13i3.1205.</w:t>
      </w:r>
    </w:p>
  </w:footnote>
  <w:footnote w:id="32">
    <w:p w14:paraId="5C3C1127"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AC3136">
        <w:rPr>
          <w:rFonts w:ascii="Cormorant Garamond" w:hAnsi="Cormorant Garamond"/>
          <w:sz w:val="20"/>
          <w:szCs w:val="20"/>
          <w:lang w:val="nl-BE"/>
        </w:rPr>
        <w:t xml:space="preserve"> Kristofano, Y. Y., &amp; Febriani, R. E. (2024). </w:t>
      </w:r>
      <w:r w:rsidRPr="005B1F12">
        <w:rPr>
          <w:rFonts w:ascii="Cormorant Garamond" w:hAnsi="Cormorant Garamond"/>
          <w:sz w:val="20"/>
          <w:szCs w:val="20"/>
        </w:rPr>
        <w:t>“The Role of Political Stability and Foreign Direct Investment in Indonesia’s Economic Growth.” </w:t>
      </w:r>
      <w:r w:rsidRPr="005B1F12">
        <w:rPr>
          <w:rFonts w:ascii="Cormorant Garamond" w:hAnsi="Cormorant Garamond"/>
          <w:i/>
          <w:sz w:val="20"/>
          <w:szCs w:val="20"/>
        </w:rPr>
        <w:t>Asian Journal of Applied Business and Management,</w:t>
      </w:r>
      <w:r w:rsidRPr="005B1F12">
        <w:rPr>
          <w:rFonts w:ascii="Cormorant Garamond" w:hAnsi="Cormorant Garamond"/>
          <w:sz w:val="20"/>
          <w:szCs w:val="20"/>
        </w:rPr>
        <w:t> </w:t>
      </w:r>
      <w:r w:rsidRPr="005B1F12">
        <w:rPr>
          <w:rFonts w:ascii="Cormorant Garamond" w:hAnsi="Cormorant Garamond"/>
          <w:iCs/>
          <w:sz w:val="20"/>
          <w:szCs w:val="20"/>
        </w:rPr>
        <w:t>3</w:t>
      </w:r>
      <w:r w:rsidRPr="005B1F12">
        <w:rPr>
          <w:rFonts w:ascii="Cormorant Garamond" w:hAnsi="Cormorant Garamond"/>
          <w:sz w:val="20"/>
          <w:szCs w:val="20"/>
        </w:rPr>
        <w:t>(3), 261–276.</w:t>
      </w:r>
    </w:p>
  </w:footnote>
  <w:footnote w:id="33">
    <w:p w14:paraId="076AE109" w14:textId="77777777" w:rsidR="000F253F" w:rsidRPr="005B1F12" w:rsidRDefault="000F253F" w:rsidP="000F253F">
      <w:pPr>
        <w:pStyle w:val="FootnoteText"/>
        <w:contextualSpacing/>
        <w:mirrorIndents/>
        <w:jc w:val="both"/>
        <w:rPr>
          <w:rFonts w:ascii="Cormorant Garamond" w:hAnsi="Cormorant Garamond"/>
        </w:rPr>
      </w:pPr>
      <w:r w:rsidRPr="005B1F12">
        <w:rPr>
          <w:rStyle w:val="FootnoteReference"/>
          <w:rFonts w:ascii="Cormorant Garamond" w:hAnsi="Cormorant Garamond"/>
        </w:rPr>
        <w:footnoteRef/>
      </w:r>
      <w:r w:rsidRPr="005B1F12">
        <w:rPr>
          <w:rFonts w:ascii="Cormorant Garamond" w:hAnsi="Cormorant Garamond"/>
        </w:rPr>
        <w:t xml:space="preserve"> </w:t>
      </w:r>
      <w:r w:rsidRPr="005B1F12">
        <w:rPr>
          <w:rFonts w:ascii="Cormorant Garamond" w:eastAsia="Times New Roman" w:hAnsi="Cormorant Garamond"/>
          <w:kern w:val="0"/>
          <w:lang w:val="en-US"/>
          <w14:ligatures w14:val="none"/>
        </w:rPr>
        <w:t>Author’s Calculation based on data obtained from CEIC database.</w:t>
      </w:r>
    </w:p>
  </w:footnote>
  <w:footnote w:id="34">
    <w:p w14:paraId="2A47BDE9" w14:textId="77777777" w:rsidR="000F253F" w:rsidRPr="005B1F12" w:rsidRDefault="000F253F" w:rsidP="000F253F">
      <w:pPr>
        <w:pStyle w:val="FootnoteText"/>
        <w:contextualSpacing/>
        <w:mirrorIndents/>
        <w:jc w:val="both"/>
        <w:rPr>
          <w:rFonts w:ascii="Cormorant Garamond" w:hAnsi="Cormorant Garamond"/>
        </w:rPr>
      </w:pPr>
      <w:r w:rsidRPr="005B1F12">
        <w:rPr>
          <w:rStyle w:val="FootnoteReference"/>
          <w:rFonts w:ascii="Cormorant Garamond" w:hAnsi="Cormorant Garamond"/>
        </w:rPr>
        <w:footnoteRef/>
      </w:r>
      <w:r w:rsidRPr="005B1F12">
        <w:rPr>
          <w:rFonts w:ascii="Cormorant Garamond" w:hAnsi="Cormorant Garamond"/>
        </w:rPr>
        <w:t xml:space="preserve"> </w:t>
      </w:r>
      <w:r w:rsidRPr="005B1F12">
        <w:rPr>
          <w:rFonts w:ascii="Cormorant Garamond" w:eastAsia="Times New Roman" w:hAnsi="Cormorant Garamond"/>
          <w:kern w:val="0"/>
          <w:lang w:val="en-US"/>
          <w14:ligatures w14:val="none"/>
        </w:rPr>
        <w:t xml:space="preserve">Author’s Calculation based on data obtained from </w:t>
      </w:r>
      <w:r w:rsidRPr="005B1F12">
        <w:rPr>
          <w:rFonts w:ascii="Cormorant Garamond" w:eastAsia="Times New Roman" w:hAnsi="Cormorant Garamond"/>
          <w:i/>
          <w:iCs/>
          <w:kern w:val="0"/>
          <w:lang w:val="en-US"/>
          <w14:ligatures w14:val="none"/>
        </w:rPr>
        <w:t>CEIC database.</w:t>
      </w:r>
    </w:p>
  </w:footnote>
  <w:footnote w:id="35">
    <w:p w14:paraId="1D4D4A7F"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AC3136">
        <w:rPr>
          <w:rFonts w:ascii="Cormorant Garamond" w:hAnsi="Cormorant Garamond"/>
          <w:sz w:val="20"/>
          <w:szCs w:val="20"/>
          <w:lang w:val="nl-BE"/>
        </w:rPr>
        <w:t xml:space="preserve"> Primandari, A. H., &amp; Arum, W. K. (2024). </w:t>
      </w:r>
      <w:r w:rsidRPr="005B1F12">
        <w:rPr>
          <w:rFonts w:ascii="Cormorant Garamond" w:hAnsi="Cormorant Garamond"/>
          <w:sz w:val="20"/>
          <w:szCs w:val="20"/>
        </w:rPr>
        <w:t>“Analyzing the Impact of the Pandemic on Indonesia’s Economic Growth Using Dynamic Time Warping.” </w:t>
      </w:r>
      <w:r w:rsidRPr="005B1F12">
        <w:rPr>
          <w:rFonts w:ascii="Cormorant Garamond" w:hAnsi="Cormorant Garamond"/>
          <w:i/>
          <w:sz w:val="20"/>
          <w:szCs w:val="20"/>
        </w:rPr>
        <w:t>Enthusiastic</w:t>
      </w:r>
      <w:r w:rsidRPr="005B1F12">
        <w:rPr>
          <w:rFonts w:ascii="Cormorant Garamond" w:hAnsi="Cormorant Garamond"/>
          <w:sz w:val="20"/>
          <w:szCs w:val="20"/>
        </w:rPr>
        <w:t xml:space="preserve">. </w:t>
      </w:r>
      <w:hyperlink r:id="rId2" w:history="1">
        <w:r w:rsidRPr="005B1F12">
          <w:rPr>
            <w:rStyle w:val="Hyperlink"/>
            <w:rFonts w:ascii="Cormorant Garamond" w:hAnsi="Cormorant Garamond" w:cstheme="majorBidi"/>
          </w:rPr>
          <w:t>https://doi.org/10.20885/enthusiastic.vol4.iss1.art7</w:t>
        </w:r>
      </w:hyperlink>
      <w:r w:rsidRPr="005B1F12">
        <w:rPr>
          <w:rFonts w:ascii="Cormorant Garamond" w:hAnsi="Cormorant Garamond"/>
          <w:sz w:val="20"/>
          <w:szCs w:val="20"/>
        </w:rPr>
        <w:t>., Maghfuriyah, A., Dewi, N. F., &amp; Antono, Z. M. (2024). “Coronanomics: Implications of COVID-19 Pandemic in The Economy in Indonesia.” </w:t>
      </w:r>
      <w:r w:rsidRPr="005B1F12">
        <w:rPr>
          <w:rFonts w:ascii="Cormorant Garamond" w:hAnsi="Cormorant Garamond"/>
          <w:i/>
          <w:sz w:val="20"/>
          <w:szCs w:val="20"/>
        </w:rPr>
        <w:t>Jurnal Teknologi &amp; Manajemen,</w:t>
      </w:r>
      <w:r w:rsidRPr="005B1F12">
        <w:rPr>
          <w:rFonts w:ascii="Cormorant Garamond" w:hAnsi="Cormorant Garamond"/>
          <w:sz w:val="20"/>
          <w:szCs w:val="20"/>
        </w:rPr>
        <w:t> </w:t>
      </w:r>
      <w:r w:rsidRPr="005B1F12">
        <w:rPr>
          <w:rFonts w:ascii="Cormorant Garamond" w:hAnsi="Cormorant Garamond"/>
          <w:iCs/>
          <w:sz w:val="20"/>
          <w:szCs w:val="20"/>
        </w:rPr>
        <w:t>22</w:t>
      </w:r>
      <w:r w:rsidRPr="005B1F12">
        <w:rPr>
          <w:rFonts w:ascii="Cormorant Garamond" w:hAnsi="Cormorant Garamond"/>
          <w:sz w:val="20"/>
          <w:szCs w:val="20"/>
        </w:rPr>
        <w:t xml:space="preserve">(2), 11–20. </w:t>
      </w:r>
      <w:hyperlink r:id="rId3" w:history="1">
        <w:r w:rsidRPr="005B1F12">
          <w:rPr>
            <w:rStyle w:val="Hyperlink"/>
            <w:rFonts w:ascii="Cormorant Garamond" w:hAnsi="Cormorant Garamond" w:cstheme="majorBidi"/>
          </w:rPr>
          <w:t>https://doi.org/10.52330/jtm.v22i2.255</w:t>
        </w:r>
      </w:hyperlink>
      <w:r w:rsidRPr="005B1F12">
        <w:rPr>
          <w:rFonts w:ascii="Cormorant Garamond" w:hAnsi="Cormorant Garamond"/>
          <w:sz w:val="20"/>
          <w:szCs w:val="20"/>
        </w:rPr>
        <w:t>.</w:t>
      </w:r>
    </w:p>
  </w:footnote>
  <w:footnote w:id="36">
    <w:p w14:paraId="392F9C1D" w14:textId="77777777" w:rsidR="000F253F" w:rsidRPr="005B1F12" w:rsidRDefault="000F253F" w:rsidP="000F253F">
      <w:pPr>
        <w:contextualSpacing/>
        <w:mirrorIndents/>
        <w:jc w:val="both"/>
        <w:rPr>
          <w:rFonts w:ascii="Cormorant Garamond" w:eastAsia="Calibri"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w:t>
      </w:r>
      <w:r w:rsidRPr="005B1F12">
        <w:rPr>
          <w:rFonts w:ascii="Cormorant Garamond" w:eastAsia="Calibri" w:hAnsi="Cormorant Garamond"/>
          <w:sz w:val="20"/>
          <w:szCs w:val="20"/>
        </w:rPr>
        <w:t>Authors Calculation based on data obtained from CEIC database</w:t>
      </w:r>
    </w:p>
  </w:footnote>
  <w:footnote w:id="37">
    <w:p w14:paraId="7284E44A" w14:textId="77777777" w:rsidR="000F253F" w:rsidRPr="005B1F12" w:rsidRDefault="000F253F" w:rsidP="000F253F">
      <w:pPr>
        <w:pStyle w:val="FootnoteText"/>
        <w:contextualSpacing/>
        <w:rPr>
          <w:rFonts w:ascii="Cormorant Garamond" w:hAnsi="Cormorant Garamond"/>
        </w:rPr>
      </w:pPr>
      <w:r w:rsidRPr="005B1F12">
        <w:rPr>
          <w:rStyle w:val="FootnoteReference"/>
          <w:rFonts w:ascii="Cormorant Garamond" w:hAnsi="Cormorant Garamond"/>
        </w:rPr>
        <w:footnoteRef/>
      </w:r>
      <w:r w:rsidRPr="005B1F12">
        <w:rPr>
          <w:rFonts w:ascii="Cormorant Garamond" w:hAnsi="Cormorant Garamond"/>
        </w:rPr>
        <w:t xml:space="preserve"> IMF. “Indonesia: Financial Sector Assessment Program - Financial System Stability Assessment.” </w:t>
      </w:r>
      <w:r w:rsidRPr="005B1F12">
        <w:rPr>
          <w:rFonts w:ascii="Cormorant Garamond" w:hAnsi="Cormorant Garamond"/>
          <w:i/>
          <w:iCs/>
        </w:rPr>
        <w:t>International Monetary Fund. Monetary and Capital Markets Department (2024).</w:t>
      </w:r>
      <w:r w:rsidRPr="005B1F12">
        <w:rPr>
          <w:rFonts w:ascii="Cormorant Garamond" w:hAnsi="Cormorant Garamond"/>
        </w:rPr>
        <w:t xml:space="preserve"> https://www.elibrary.imf.org/view/journals/002/2024/272/article-A001-en.xml (retrieved January 24, 2025).</w:t>
      </w:r>
    </w:p>
    <w:p w14:paraId="6F36F054" w14:textId="77777777" w:rsidR="000F253F" w:rsidRPr="005B1F12" w:rsidRDefault="000F253F" w:rsidP="000F253F">
      <w:pPr>
        <w:pStyle w:val="FootnoteText"/>
        <w:contextualSpacing/>
        <w:rPr>
          <w:rFonts w:ascii="Cormorant Garamond" w:hAnsi="Cormorant Garamond"/>
        </w:rPr>
      </w:pPr>
    </w:p>
  </w:footnote>
  <w:footnote w:id="38">
    <w:p w14:paraId="4FEEB9ED" w14:textId="77777777" w:rsidR="00A657DD" w:rsidRPr="005B1F12" w:rsidRDefault="00A657DD" w:rsidP="00A657DD">
      <w:pPr>
        <w:contextualSpacing/>
        <w:mirrorIndents/>
        <w:jc w:val="both"/>
        <w:rPr>
          <w:rFonts w:ascii="Cormorant Garamond" w:eastAsia="Calibri"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w:t>
      </w:r>
      <w:r w:rsidRPr="005B1F12">
        <w:rPr>
          <w:rFonts w:ascii="Cormorant Garamond" w:eastAsia="Calibri" w:hAnsi="Cormorant Garamond"/>
          <w:sz w:val="20"/>
          <w:szCs w:val="20"/>
        </w:rPr>
        <w:t>Authors Calculation based on data obtained from CEIC database</w:t>
      </w:r>
    </w:p>
  </w:footnote>
  <w:footnote w:id="39">
    <w:p w14:paraId="1CDA137B" w14:textId="77777777" w:rsidR="005356F6" w:rsidRPr="005B1F12" w:rsidRDefault="005356F6" w:rsidP="005356F6">
      <w:pPr>
        <w:pStyle w:val="FootnoteText"/>
        <w:contextualSpacing/>
        <w:mirrorIndents/>
        <w:jc w:val="both"/>
        <w:rPr>
          <w:rFonts w:ascii="Cormorant Garamond" w:hAnsi="Cormorant Garamond"/>
        </w:rPr>
      </w:pPr>
      <w:r w:rsidRPr="005B1F12">
        <w:rPr>
          <w:rStyle w:val="FootnoteReference"/>
          <w:rFonts w:ascii="Cormorant Garamond" w:hAnsi="Cormorant Garamond"/>
        </w:rPr>
        <w:footnoteRef/>
      </w:r>
      <w:r w:rsidRPr="005B1F12">
        <w:rPr>
          <w:rFonts w:ascii="Cormorant Garamond" w:hAnsi="Cormorant Garamond"/>
        </w:rPr>
        <w:t xml:space="preserve"> </w:t>
      </w:r>
      <w:r w:rsidRPr="005B1F12">
        <w:rPr>
          <w:rFonts w:ascii="Cormorant Garamond" w:eastAsia="Calibri" w:hAnsi="Cormorant Garamond"/>
          <w:kern w:val="0"/>
          <w:lang w:val="en-US"/>
          <w14:ligatures w14:val="none"/>
        </w:rPr>
        <w:t xml:space="preserve">Author’s Calculation based on data obtained from </w:t>
      </w:r>
      <w:r w:rsidRPr="005B1F12">
        <w:rPr>
          <w:rFonts w:ascii="Cormorant Garamond" w:eastAsia="Calibri" w:hAnsi="Cormorant Garamond"/>
          <w:kern w:val="0"/>
          <w14:ligatures w14:val="none"/>
        </w:rPr>
        <w:t>Global Findex, World Bank Database.</w:t>
      </w:r>
    </w:p>
  </w:footnote>
  <w:footnote w:id="40">
    <w:p w14:paraId="752A18F7" w14:textId="77777777" w:rsidR="005356F6" w:rsidRPr="005B1F12" w:rsidRDefault="005356F6" w:rsidP="005356F6">
      <w:pPr>
        <w:pStyle w:val="FootnoteText"/>
        <w:contextualSpacing/>
        <w:mirrorIndents/>
        <w:jc w:val="both"/>
        <w:rPr>
          <w:rFonts w:ascii="Cormorant Garamond" w:hAnsi="Cormorant Garamond"/>
        </w:rPr>
      </w:pPr>
      <w:r w:rsidRPr="005B1F12">
        <w:rPr>
          <w:rStyle w:val="FootnoteReference"/>
          <w:rFonts w:ascii="Cormorant Garamond" w:hAnsi="Cormorant Garamond"/>
        </w:rPr>
        <w:footnoteRef/>
      </w:r>
      <w:r w:rsidRPr="005B1F12">
        <w:rPr>
          <w:rFonts w:ascii="Cormorant Garamond" w:hAnsi="Cormorant Garamond"/>
        </w:rPr>
        <w:t xml:space="preserve"> </w:t>
      </w:r>
      <w:r w:rsidRPr="005B1F12">
        <w:rPr>
          <w:rFonts w:ascii="Cormorant Garamond" w:eastAsia="Calibri" w:hAnsi="Cormorant Garamond"/>
          <w:kern w:val="0"/>
          <w:lang w:val="en-US"/>
          <w14:ligatures w14:val="none"/>
        </w:rPr>
        <w:t xml:space="preserve">Author’s Calculation based on data obtained from </w:t>
      </w:r>
      <w:r w:rsidRPr="005B1F12">
        <w:rPr>
          <w:rFonts w:ascii="Cormorant Garamond" w:eastAsia="Calibri" w:hAnsi="Cormorant Garamond"/>
          <w:kern w:val="0"/>
          <w14:ligatures w14:val="none"/>
        </w:rPr>
        <w:t>Global Findex, World Bank Database</w:t>
      </w:r>
      <w:r w:rsidRPr="005B1F12">
        <w:rPr>
          <w:rFonts w:ascii="Cormorant Garamond" w:eastAsia="Calibri" w:hAnsi="Cormorant Garamond"/>
          <w:i/>
          <w:iCs/>
          <w:kern w:val="0"/>
          <w14:ligatures w14:val="none"/>
        </w:rPr>
        <w:t>.</w:t>
      </w:r>
    </w:p>
  </w:footnote>
  <w:footnote w:id="41">
    <w:p w14:paraId="7235607A" w14:textId="77777777" w:rsidR="005356F6" w:rsidRPr="005B1F12" w:rsidRDefault="005356F6" w:rsidP="005356F6">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Effendi, N., Setiawan, M., &amp; Indiastuti, R. (2018). “Technical efficiencies of Indonesian regional and non-regional banks pre- and post-financial crisis.” </w:t>
      </w:r>
      <w:r w:rsidRPr="005B1F12">
        <w:rPr>
          <w:rFonts w:ascii="Cormorant Garamond" w:hAnsi="Cormorant Garamond"/>
          <w:i/>
          <w:sz w:val="20"/>
          <w:szCs w:val="20"/>
        </w:rPr>
        <w:t>International Journal of Economics and Business Research</w:t>
      </w:r>
      <w:r w:rsidRPr="005B1F12">
        <w:rPr>
          <w:rFonts w:ascii="Cormorant Garamond" w:hAnsi="Cormorant Garamond"/>
          <w:sz w:val="20"/>
          <w:szCs w:val="20"/>
        </w:rPr>
        <w:t>, </w:t>
      </w:r>
      <w:r w:rsidRPr="005B1F12">
        <w:rPr>
          <w:rFonts w:ascii="Cormorant Garamond" w:hAnsi="Cormorant Garamond"/>
          <w:iCs/>
          <w:sz w:val="20"/>
          <w:szCs w:val="20"/>
        </w:rPr>
        <w:t>16</w:t>
      </w:r>
      <w:r w:rsidRPr="005B1F12">
        <w:rPr>
          <w:rFonts w:ascii="Cormorant Garamond" w:hAnsi="Cormorant Garamond"/>
          <w:sz w:val="20"/>
          <w:szCs w:val="20"/>
        </w:rPr>
        <w:t xml:space="preserve">(3), 355–366. </w:t>
      </w:r>
      <w:hyperlink r:id="rId4" w:history="1">
        <w:r w:rsidRPr="005B1F12">
          <w:rPr>
            <w:rStyle w:val="Hyperlink"/>
            <w:rFonts w:ascii="Cormorant Garamond" w:hAnsi="Cormorant Garamond" w:cstheme="majorBidi"/>
          </w:rPr>
          <w:t>https://doi.org/10.1504/IJEBR.2018.10015243</w:t>
        </w:r>
      </w:hyperlink>
      <w:r w:rsidRPr="005B1F12">
        <w:rPr>
          <w:rFonts w:ascii="Cormorant Garamond" w:hAnsi="Cormorant Garamond"/>
          <w:sz w:val="20"/>
          <w:szCs w:val="20"/>
        </w:rPr>
        <w:t>., Laksmana, K. A. R. I. (2019). “</w:t>
      </w:r>
      <w:r w:rsidRPr="005B1F12">
        <w:rPr>
          <w:rFonts w:ascii="Cormorant Garamond" w:hAnsi="Cormorant Garamond"/>
          <w:iCs/>
          <w:sz w:val="20"/>
          <w:szCs w:val="20"/>
        </w:rPr>
        <w:t>Penerapan permodalan basel iii dan implikasinya terhadap kinerja perbankan di indonesia</w:t>
      </w:r>
      <w:r w:rsidRPr="005B1F12">
        <w:rPr>
          <w:rFonts w:ascii="Cormorant Garamond" w:hAnsi="Cormorant Garamond"/>
          <w:sz w:val="20"/>
          <w:szCs w:val="20"/>
        </w:rPr>
        <w:t xml:space="preserve">.” </w:t>
      </w:r>
      <w:hyperlink r:id="rId5" w:history="1">
        <w:r w:rsidRPr="005B1F12">
          <w:rPr>
            <w:rStyle w:val="Hyperlink"/>
            <w:rFonts w:ascii="Cormorant Garamond" w:hAnsi="Cormorant Garamond" w:cstheme="majorBidi"/>
          </w:rPr>
          <w:t>https://doi.org/10.31227/osf.io/mnhcj</w:t>
        </w:r>
      </w:hyperlink>
      <w:r w:rsidRPr="005B1F12">
        <w:rPr>
          <w:rFonts w:ascii="Cormorant Garamond" w:hAnsi="Cormorant Garamond"/>
          <w:sz w:val="20"/>
          <w:szCs w:val="20"/>
        </w:rPr>
        <w:t>.</w:t>
      </w:r>
    </w:p>
  </w:footnote>
  <w:footnote w:id="42">
    <w:p w14:paraId="04C31711" w14:textId="77777777" w:rsidR="005356F6" w:rsidRPr="005B1F12" w:rsidRDefault="005356F6" w:rsidP="005356F6">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Agustiawan, D. A. (2024). “Digital Banking Transformation AI Enhances Efficiency And Customer Experience Seminar Perspective Industry.” </w:t>
      </w:r>
      <w:r w:rsidRPr="005B1F12">
        <w:rPr>
          <w:rFonts w:ascii="Cormorant Garamond" w:hAnsi="Cormorant Garamond"/>
          <w:i/>
          <w:sz w:val="20"/>
          <w:szCs w:val="20"/>
        </w:rPr>
        <w:t>Wacana (Jakarta),</w:t>
      </w:r>
      <w:r w:rsidRPr="005B1F12">
        <w:rPr>
          <w:rFonts w:ascii="Cormorant Garamond" w:hAnsi="Cormorant Garamond"/>
          <w:sz w:val="20"/>
          <w:szCs w:val="20"/>
        </w:rPr>
        <w:t> </w:t>
      </w:r>
      <w:r w:rsidRPr="005B1F12">
        <w:rPr>
          <w:rFonts w:ascii="Cormorant Garamond" w:hAnsi="Cormorant Garamond"/>
          <w:iCs/>
          <w:sz w:val="20"/>
          <w:szCs w:val="20"/>
        </w:rPr>
        <w:t>23</w:t>
      </w:r>
      <w:r w:rsidRPr="005B1F12">
        <w:rPr>
          <w:rFonts w:ascii="Cormorant Garamond" w:hAnsi="Cormorant Garamond"/>
          <w:sz w:val="20"/>
          <w:szCs w:val="20"/>
        </w:rPr>
        <w:t xml:space="preserve">(1), 191–200. </w:t>
      </w:r>
      <w:hyperlink r:id="rId6" w:history="1">
        <w:r w:rsidRPr="005B1F12">
          <w:rPr>
            <w:rStyle w:val="Hyperlink"/>
            <w:rFonts w:ascii="Cormorant Garamond" w:hAnsi="Cormorant Garamond" w:cstheme="majorBidi"/>
          </w:rPr>
          <w:t>https://doi.org/10.32509/wacana.v23i1.4130</w:t>
        </w:r>
      </w:hyperlink>
      <w:r w:rsidRPr="005B1F12">
        <w:rPr>
          <w:rFonts w:ascii="Cormorant Garamond" w:hAnsi="Cormorant Garamond"/>
          <w:sz w:val="20"/>
          <w:szCs w:val="20"/>
        </w:rPr>
        <w:t>., Bakri, A. A., Hasanah, N., &amp; Lasmiatun, K. (2024). “</w:t>
      </w:r>
      <w:r w:rsidRPr="005B1F12">
        <w:rPr>
          <w:rFonts w:ascii="Cormorant Garamond" w:hAnsi="Cormorant Garamond"/>
          <w:iCs/>
          <w:sz w:val="20"/>
          <w:szCs w:val="20"/>
        </w:rPr>
        <w:t>Financial technology innovation and banking industry transformation</w:t>
      </w:r>
      <w:r w:rsidRPr="005B1F12">
        <w:rPr>
          <w:rFonts w:ascii="Cormorant Garamond" w:hAnsi="Cormorant Garamond"/>
          <w:sz w:val="20"/>
          <w:szCs w:val="20"/>
        </w:rPr>
        <w:t xml:space="preserve">.” </w:t>
      </w:r>
      <w:hyperlink r:id="rId7" w:history="1">
        <w:r w:rsidRPr="005B1F12">
          <w:rPr>
            <w:rStyle w:val="Hyperlink"/>
            <w:rFonts w:ascii="Cormorant Garamond" w:hAnsi="Cormorant Garamond" w:cstheme="majorBidi"/>
          </w:rPr>
          <w:t>https://doi.org/10.61397/mfc.v1i3.112</w:t>
        </w:r>
      </w:hyperlink>
      <w:r w:rsidRPr="005B1F12">
        <w:rPr>
          <w:rFonts w:ascii="Cormorant Garamond" w:hAnsi="Cormorant Garamond"/>
          <w:sz w:val="20"/>
          <w:szCs w:val="20"/>
        </w:rPr>
        <w:t>., Said, M. (2024). “Digital Innovation in Indonesian Sharia Banks.” </w:t>
      </w:r>
      <w:r w:rsidRPr="005B1F12">
        <w:rPr>
          <w:rFonts w:ascii="Cormorant Garamond" w:hAnsi="Cormorant Garamond"/>
          <w:i/>
          <w:sz w:val="20"/>
          <w:szCs w:val="20"/>
        </w:rPr>
        <w:t>Advances in Human Resources Management and Organizational Development Book Series</w:t>
      </w:r>
      <w:r w:rsidRPr="005B1F12">
        <w:rPr>
          <w:rFonts w:ascii="Cormorant Garamond" w:hAnsi="Cormorant Garamond"/>
          <w:sz w:val="20"/>
          <w:szCs w:val="20"/>
        </w:rPr>
        <w:t xml:space="preserve">, 78–96. </w:t>
      </w:r>
      <w:hyperlink r:id="rId8" w:history="1">
        <w:r w:rsidRPr="005B1F12">
          <w:rPr>
            <w:rStyle w:val="Hyperlink"/>
            <w:rFonts w:ascii="Cormorant Garamond" w:hAnsi="Cormorant Garamond" w:cstheme="majorBidi"/>
          </w:rPr>
          <w:t>https://doi.org/10.4018/979-8-3693-3530-7.ch005</w:t>
        </w:r>
      </w:hyperlink>
      <w:r w:rsidRPr="005B1F12">
        <w:rPr>
          <w:rFonts w:ascii="Cormorant Garamond" w:hAnsi="Cormorant Garamond"/>
          <w:sz w:val="20"/>
          <w:szCs w:val="20"/>
        </w:rPr>
        <w:t>.</w:t>
      </w:r>
    </w:p>
  </w:footnote>
  <w:footnote w:id="43">
    <w:p w14:paraId="4B58ACA2" w14:textId="77777777" w:rsidR="005356F6" w:rsidRPr="005B1F12" w:rsidRDefault="005356F6" w:rsidP="005356F6">
      <w:pPr>
        <w:contextualSpacing/>
        <w:mirrorIndents/>
        <w:jc w:val="both"/>
        <w:rPr>
          <w:rFonts w:ascii="Cormorant Garamond" w:eastAsia="Calibri"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w:t>
      </w:r>
      <w:r w:rsidRPr="005B1F12">
        <w:rPr>
          <w:rFonts w:ascii="Cormorant Garamond" w:eastAsia="Calibri" w:hAnsi="Cormorant Garamond"/>
          <w:sz w:val="20"/>
          <w:szCs w:val="20"/>
        </w:rPr>
        <w:t>Author’s Calculation based on data obtained from Global Findex, World Bank Database.</w:t>
      </w:r>
    </w:p>
  </w:footnote>
  <w:footnote w:id="44">
    <w:p w14:paraId="23E3AB4E" w14:textId="77777777" w:rsidR="005356F6" w:rsidRPr="005B1F12" w:rsidRDefault="005356F6" w:rsidP="005356F6">
      <w:pPr>
        <w:pStyle w:val="FootnoteText"/>
        <w:contextualSpacing/>
        <w:mirrorIndents/>
        <w:jc w:val="both"/>
        <w:rPr>
          <w:rFonts w:ascii="Cormorant Garamond" w:hAnsi="Cormorant Garamond"/>
        </w:rPr>
      </w:pPr>
      <w:r w:rsidRPr="005B1F12">
        <w:rPr>
          <w:rStyle w:val="FootnoteReference"/>
          <w:rFonts w:ascii="Cormorant Garamond" w:hAnsi="Cormorant Garamond"/>
        </w:rPr>
        <w:footnoteRef/>
      </w:r>
      <w:r w:rsidRPr="005B1F12">
        <w:rPr>
          <w:rFonts w:ascii="Cormorant Garamond" w:hAnsi="Cormorant Garamond"/>
        </w:rPr>
        <w:t xml:space="preserve"> </w:t>
      </w:r>
      <w:r w:rsidRPr="005B1F12">
        <w:rPr>
          <w:rFonts w:ascii="Cormorant Garamond" w:eastAsia="Calibri" w:hAnsi="Cormorant Garamond"/>
          <w:lang w:val="en-US"/>
        </w:rPr>
        <w:t xml:space="preserve">Author’s Calculation based on data obtained from </w:t>
      </w:r>
      <w:r w:rsidRPr="005B1F12">
        <w:rPr>
          <w:rFonts w:ascii="Cormorant Garamond" w:eastAsia="Calibri" w:hAnsi="Cormorant Garamond"/>
        </w:rPr>
        <w:t>Global Findex, World Bank Database.</w:t>
      </w:r>
    </w:p>
  </w:footnote>
  <w:footnote w:id="45">
    <w:p w14:paraId="702F8AC0" w14:textId="77777777" w:rsidR="005356F6" w:rsidRPr="005B1F12" w:rsidRDefault="005356F6" w:rsidP="005356F6">
      <w:pPr>
        <w:pStyle w:val="FootnoteText"/>
        <w:contextualSpacing/>
        <w:mirrorIndents/>
        <w:rPr>
          <w:rFonts w:ascii="Cormorant Garamond" w:hAnsi="Cormorant Garamond"/>
        </w:rPr>
      </w:pPr>
      <w:r w:rsidRPr="005B1F12">
        <w:rPr>
          <w:rStyle w:val="FootnoteReference"/>
          <w:rFonts w:ascii="Cormorant Garamond" w:hAnsi="Cormorant Garamond"/>
        </w:rPr>
        <w:footnoteRef/>
      </w:r>
      <w:r w:rsidRPr="005B1F12">
        <w:rPr>
          <w:rFonts w:ascii="Cormorant Garamond" w:hAnsi="Cormorant Garamond"/>
        </w:rPr>
        <w:t xml:space="preserve"> </w:t>
      </w:r>
      <w:r w:rsidRPr="005B1F12">
        <w:rPr>
          <w:rFonts w:ascii="Cormorant Garamond" w:eastAsia="Calibri" w:hAnsi="Cormorant Garamond"/>
          <w:lang w:val="en-US"/>
        </w:rPr>
        <w:t xml:space="preserve">Author’s Calculation based on data obtained from </w:t>
      </w:r>
      <w:r w:rsidRPr="005B1F12">
        <w:rPr>
          <w:rFonts w:ascii="Cormorant Garamond" w:eastAsia="Calibri" w:hAnsi="Cormorant Garamond"/>
        </w:rPr>
        <w:t>Global Findex, World Bank Database</w:t>
      </w:r>
    </w:p>
  </w:footnote>
  <w:footnote w:id="46">
    <w:p w14:paraId="0A9F7755" w14:textId="77777777" w:rsidR="005356F6" w:rsidRPr="005B1F12" w:rsidRDefault="005356F6" w:rsidP="005356F6">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Husain, A. R. A. M., Hamdan, A., &amp; Fadhul, S. M. (2022). “The impact of artificial intelligence on the banking industry performance.” </w:t>
      </w:r>
      <w:r w:rsidRPr="005B1F12">
        <w:rPr>
          <w:rFonts w:ascii="Cormorant Garamond" w:hAnsi="Cormorant Garamond"/>
          <w:i/>
          <w:sz w:val="20"/>
          <w:szCs w:val="20"/>
        </w:rPr>
        <w:t>Future of organizations and work after the 4th industrial revolution: The role of artificial intelligence, big data, automation, and robotics</w:t>
      </w:r>
      <w:r w:rsidRPr="005B1F12">
        <w:rPr>
          <w:rFonts w:ascii="Cormorant Garamond" w:hAnsi="Cormorant Garamond"/>
          <w:sz w:val="20"/>
          <w:szCs w:val="20"/>
        </w:rPr>
        <w:t>, 145-156.</w:t>
      </w:r>
    </w:p>
  </w:footnote>
  <w:footnote w:id="47">
    <w:p w14:paraId="22B1A9B5" w14:textId="77777777" w:rsidR="005356F6" w:rsidRPr="005B1F12" w:rsidRDefault="005356F6" w:rsidP="005356F6">
      <w:pPr>
        <w:contextualSpacing/>
        <w:mirrorIndents/>
        <w:jc w:val="both"/>
        <w:rPr>
          <w:rFonts w:ascii="Cormorant Garamond" w:eastAsia="Times New Roman" w:hAnsi="Cormorant Garamond"/>
          <w:kern w:val="0"/>
          <w:sz w:val="20"/>
          <w:szCs w:val="20"/>
          <w14:ligatures w14:val="none"/>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Processed by author</w:t>
      </w:r>
      <w:r w:rsidRPr="005B1F12">
        <w:rPr>
          <w:rFonts w:ascii="Cormorant Garamond" w:eastAsia="Times New Roman" w:hAnsi="Cormorant Garamond"/>
          <w:kern w:val="0"/>
          <w:sz w:val="20"/>
          <w:szCs w:val="20"/>
          <w14:ligatures w14:val="none"/>
        </w:rPr>
        <w:t xml:space="preserve"> based on data obtained from Global Findex, World Bank Database and Kontan.co.id</w:t>
      </w:r>
    </w:p>
  </w:footnote>
  <w:footnote w:id="48">
    <w:p w14:paraId="6426F156" w14:textId="77777777" w:rsidR="005356F6" w:rsidRPr="005B1F12" w:rsidRDefault="005356F6" w:rsidP="005356F6">
      <w:pPr>
        <w:contextualSpacing/>
        <w:mirrorIndents/>
        <w:jc w:val="both"/>
        <w:rPr>
          <w:rFonts w:ascii="Cormorant Garamond" w:eastAsia="Times New Roman" w:hAnsi="Cormorant Garamond"/>
          <w:kern w:val="0"/>
          <w:sz w:val="20"/>
          <w:szCs w:val="20"/>
          <w14:ligatures w14:val="none"/>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w:t>
      </w:r>
      <w:r w:rsidRPr="005B1F12">
        <w:rPr>
          <w:rFonts w:ascii="Cormorant Garamond" w:eastAsia="Times New Roman" w:hAnsi="Cormorant Garamond"/>
          <w:kern w:val="0"/>
          <w:sz w:val="20"/>
          <w:szCs w:val="20"/>
          <w14:ligatures w14:val="none"/>
        </w:rPr>
        <w:t>Author’s Calculation based on data obtained from Global Findex, World Bank Database and Kontan.co.id</w:t>
      </w:r>
    </w:p>
  </w:footnote>
  <w:footnote w:id="49">
    <w:p w14:paraId="4505497B" w14:textId="77777777" w:rsidR="005356F6" w:rsidRPr="005B1F12" w:rsidRDefault="005356F6" w:rsidP="005356F6">
      <w:pPr>
        <w:pStyle w:val="FootnoteText"/>
        <w:contextualSpacing/>
        <w:mirrorIndents/>
        <w:jc w:val="both"/>
        <w:rPr>
          <w:rFonts w:ascii="Cormorant Garamond" w:hAnsi="Cormorant Garamond"/>
          <w:i/>
          <w:iCs/>
        </w:rPr>
      </w:pPr>
      <w:r w:rsidRPr="005B1F12">
        <w:rPr>
          <w:rStyle w:val="FootnoteReference"/>
          <w:rFonts w:ascii="Cormorant Garamond" w:hAnsi="Cormorant Garamond"/>
        </w:rPr>
        <w:footnoteRef/>
      </w:r>
      <w:r w:rsidRPr="005B1F12">
        <w:rPr>
          <w:rFonts w:ascii="Cormorant Garamond" w:hAnsi="Cormorant Garamond"/>
        </w:rPr>
        <w:t xml:space="preserve"> </w:t>
      </w:r>
      <w:r w:rsidRPr="005B1F12">
        <w:rPr>
          <w:rFonts w:ascii="Cormorant Garamond" w:eastAsia="Calibri" w:hAnsi="Cormorant Garamond"/>
        </w:rPr>
        <w:t>Author’s Calculation based on data from</w:t>
      </w:r>
      <w:r w:rsidRPr="005B1F12">
        <w:rPr>
          <w:rFonts w:ascii="Cormorant Garamond" w:hAnsi="Cormorant Garamond"/>
        </w:rPr>
        <w:t xml:space="preserve"> </w:t>
      </w:r>
      <w:r w:rsidRPr="005B1F12">
        <w:rPr>
          <w:rFonts w:ascii="Cormorant Garamond" w:eastAsia="Calibri" w:hAnsi="Cormorant Garamond"/>
        </w:rPr>
        <w:t xml:space="preserve">Global Findex, World Bank Database and </w:t>
      </w:r>
      <w:hyperlink r:id="rId9" w:anchor=":~:text=Interest%20rate%20spread%20%28lending%20rate%20minus%20deposit%20rate%2C,of%20development%20indicators%2C%20compiled%20from%20officially%20recognized%20sources." w:history="1">
        <w:r w:rsidRPr="005B1F12">
          <w:rPr>
            <w:rStyle w:val="Hyperlink"/>
            <w:rFonts w:ascii="Cormorant Garamond" w:eastAsia="Calibri" w:hAnsi="Cormorant Garamond" w:cstheme="majorBidi"/>
          </w:rPr>
          <w:t>Trading Economics</w:t>
        </w:r>
      </w:hyperlink>
    </w:p>
  </w:footnote>
  <w:footnote w:id="50">
    <w:p w14:paraId="76E0DA55" w14:textId="77777777" w:rsidR="005356F6" w:rsidRPr="005B1F12" w:rsidRDefault="005356F6" w:rsidP="005356F6">
      <w:pPr>
        <w:pStyle w:val="FootnoteText"/>
        <w:contextualSpacing/>
        <w:mirrorIndents/>
        <w:rPr>
          <w:rFonts w:ascii="Cormorant Garamond" w:hAnsi="Cormorant Garamond"/>
        </w:rPr>
      </w:pPr>
      <w:r w:rsidRPr="005B1F12">
        <w:rPr>
          <w:rStyle w:val="FootnoteReference"/>
          <w:rFonts w:ascii="Cormorant Garamond" w:hAnsi="Cormorant Garamond"/>
        </w:rPr>
        <w:footnoteRef/>
      </w:r>
      <w:r w:rsidRPr="005B1F12">
        <w:rPr>
          <w:rFonts w:ascii="Cormorant Garamond" w:hAnsi="Cormorant Garamond"/>
        </w:rPr>
        <w:t xml:space="preserve"> Processed by </w:t>
      </w:r>
      <w:r w:rsidRPr="005B1F12">
        <w:rPr>
          <w:rFonts w:ascii="Cormorant Garamond" w:eastAsia="Calibri" w:hAnsi="Cormorant Garamond"/>
        </w:rPr>
        <w:t>author based on data from</w:t>
      </w:r>
      <w:r w:rsidRPr="005B1F12">
        <w:rPr>
          <w:rFonts w:ascii="Cormorant Garamond" w:hAnsi="Cormorant Garamond"/>
        </w:rPr>
        <w:t xml:space="preserve"> </w:t>
      </w:r>
      <w:r w:rsidRPr="005B1F12">
        <w:rPr>
          <w:rFonts w:ascii="Cormorant Garamond" w:eastAsia="Calibri" w:hAnsi="Cormorant Garamond"/>
        </w:rPr>
        <w:t xml:space="preserve">Global Findex, World Bank Database and </w:t>
      </w:r>
      <w:hyperlink r:id="rId10" w:anchor=":~:text=Interest%20rate%20spread%20%28lending%20rate%20minus%20deposit%20rate%2C,of%20development%20indicators%2C%20compiled%20from%20officially%20recognized%20sources." w:history="1">
        <w:r w:rsidRPr="005B1F12">
          <w:rPr>
            <w:rStyle w:val="Hyperlink"/>
            <w:rFonts w:ascii="Cormorant Garamond" w:eastAsia="Calibri" w:hAnsi="Cormorant Garamond" w:cstheme="majorBidi"/>
          </w:rPr>
          <w:t>Trading Economics</w:t>
        </w:r>
      </w:hyperlink>
    </w:p>
    <w:p w14:paraId="2B24E93D" w14:textId="77777777" w:rsidR="005356F6" w:rsidRPr="005B1F12" w:rsidRDefault="005356F6" w:rsidP="005356F6">
      <w:pPr>
        <w:pStyle w:val="FootnoteText"/>
        <w:contextualSpacing/>
        <w:mirrorIndents/>
        <w:rPr>
          <w:rFonts w:ascii="Cormorant Garamond" w:hAnsi="Cormorant Garamond"/>
        </w:rPr>
      </w:pPr>
    </w:p>
  </w:footnote>
  <w:footnote w:id="51">
    <w:p w14:paraId="5939FC0E" w14:textId="77777777" w:rsidR="00293B74" w:rsidRPr="005B1F12" w:rsidRDefault="00293B74" w:rsidP="00293B74">
      <w:pPr>
        <w:pStyle w:val="FootnoteText"/>
        <w:contextualSpacing/>
        <w:mirrorIndents/>
        <w:jc w:val="both"/>
        <w:rPr>
          <w:rFonts w:ascii="Cormorant Garamond" w:hAnsi="Cormorant Garamond"/>
        </w:rPr>
      </w:pPr>
      <w:r w:rsidRPr="005B1F12">
        <w:rPr>
          <w:rStyle w:val="FootnoteReference"/>
          <w:rFonts w:ascii="Cormorant Garamond" w:hAnsi="Cormorant Garamond"/>
        </w:rPr>
        <w:footnoteRef/>
      </w:r>
      <w:r w:rsidRPr="005B1F12">
        <w:rPr>
          <w:rFonts w:ascii="Cormorant Garamond" w:hAnsi="Cormorant Garamond"/>
        </w:rPr>
        <w:t xml:space="preserve"> </w:t>
      </w:r>
      <w:r w:rsidRPr="005B1F12">
        <w:rPr>
          <w:rFonts w:ascii="Cormorant Garamond" w:eastAsia="Calibri" w:hAnsi="Cormorant Garamond"/>
        </w:rPr>
        <w:t xml:space="preserve">Author’s Calculation based on data from Global Findex, World Bank Database and </w:t>
      </w:r>
      <w:hyperlink r:id="rId11" w:anchor=":~:text=Interest%20rate%20spread%20%28lending%20rate%20minus%20deposit%20rate%2C,of%20development%20indicators%2C%20compiled%20from%20officially%20recognized%20sources." w:history="1">
        <w:r w:rsidRPr="005B1F12">
          <w:rPr>
            <w:rStyle w:val="Hyperlink"/>
            <w:rFonts w:ascii="Cormorant Garamond" w:eastAsia="Calibri" w:hAnsi="Cormorant Garamond" w:cstheme="majorBidi"/>
          </w:rPr>
          <w:t>Trading Economics</w:t>
        </w:r>
      </w:hyperlink>
    </w:p>
  </w:footnote>
  <w:footnote w:id="52">
    <w:p w14:paraId="20878260" w14:textId="77777777" w:rsidR="00293B74" w:rsidRPr="005B1F12" w:rsidRDefault="00293B74" w:rsidP="00293B74">
      <w:pPr>
        <w:pStyle w:val="FootnoteText"/>
        <w:contextualSpacing/>
        <w:mirrorIndents/>
        <w:jc w:val="both"/>
        <w:rPr>
          <w:rFonts w:ascii="Cormorant Garamond" w:hAnsi="Cormorant Garamond"/>
        </w:rPr>
      </w:pPr>
      <w:r w:rsidRPr="005B1F12">
        <w:rPr>
          <w:rStyle w:val="FootnoteReference"/>
          <w:rFonts w:ascii="Cormorant Garamond" w:hAnsi="Cormorant Garamond"/>
        </w:rPr>
        <w:footnoteRef/>
      </w:r>
      <w:r w:rsidRPr="005B1F12">
        <w:rPr>
          <w:rFonts w:ascii="Cormorant Garamond" w:hAnsi="Cormorant Garamond"/>
        </w:rPr>
        <w:t xml:space="preserve"> </w:t>
      </w:r>
      <w:r w:rsidRPr="005B1F12">
        <w:rPr>
          <w:rFonts w:ascii="Cormorant Garamond" w:eastAsia="Calibri" w:hAnsi="Cormorant Garamond"/>
        </w:rPr>
        <w:t>Author’s Calculation based on data from Global Findex, World Bank and CEIC Databases.</w:t>
      </w:r>
    </w:p>
  </w:footnote>
  <w:footnote w:id="53">
    <w:p w14:paraId="09A155D3" w14:textId="77777777" w:rsidR="00293B74" w:rsidRPr="005B1F12" w:rsidRDefault="00293B74" w:rsidP="00293B74">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Ginting, A. M. “Pengaruh Makroekonomi Terhadap Non-Performing Loan (NPL) Perbankan.” </w:t>
      </w:r>
      <w:r w:rsidRPr="005B1F12">
        <w:rPr>
          <w:rFonts w:ascii="Cormorant Garamond" w:hAnsi="Cormorant Garamond"/>
          <w:i/>
          <w:iCs/>
          <w:sz w:val="20"/>
          <w:szCs w:val="20"/>
        </w:rPr>
        <w:t>JEKP 7,</w:t>
      </w:r>
      <w:r w:rsidRPr="005B1F12">
        <w:rPr>
          <w:rFonts w:ascii="Cormorant Garamond" w:hAnsi="Cormorant Garamond"/>
          <w:sz w:val="20"/>
          <w:szCs w:val="20"/>
        </w:rPr>
        <w:t xml:space="preserve"> no. 2 (2017): 159–170. https://doi.org/10.22212/JEKP.V7I2.669.</w:t>
      </w:r>
    </w:p>
  </w:footnote>
  <w:footnote w:id="54">
    <w:p w14:paraId="0D6634EE" w14:textId="77777777" w:rsidR="00293B74" w:rsidRPr="005B1F12" w:rsidRDefault="00293B74" w:rsidP="00293B74">
      <w:pPr>
        <w:pStyle w:val="FootnoteText"/>
        <w:contextualSpacing/>
        <w:mirrorIndents/>
        <w:jc w:val="both"/>
        <w:rPr>
          <w:rFonts w:ascii="Cormorant Garamond" w:hAnsi="Cormorant Garamond"/>
        </w:rPr>
      </w:pPr>
      <w:r w:rsidRPr="005B1F12">
        <w:rPr>
          <w:rStyle w:val="FootnoteReference"/>
          <w:rFonts w:ascii="Cormorant Garamond" w:hAnsi="Cormorant Garamond"/>
        </w:rPr>
        <w:footnoteRef/>
      </w:r>
      <w:r w:rsidRPr="005B1F12">
        <w:rPr>
          <w:rFonts w:ascii="Cormorant Garamond" w:hAnsi="Cormorant Garamond"/>
        </w:rPr>
        <w:t xml:space="preserve"> Prossed by </w:t>
      </w:r>
      <w:r w:rsidRPr="005B1F12">
        <w:rPr>
          <w:rFonts w:ascii="Cormorant Garamond" w:eastAsia="Calibri" w:hAnsi="Cormorant Garamond"/>
        </w:rPr>
        <w:t>Author based on data from Global Findex, World Bank and CEIC Databases.</w:t>
      </w:r>
    </w:p>
  </w:footnote>
  <w:footnote w:id="55">
    <w:p w14:paraId="2F8BD445" w14:textId="77777777" w:rsidR="00293B74" w:rsidRPr="005B1F12" w:rsidRDefault="00293B74" w:rsidP="00293B74">
      <w:pPr>
        <w:contextualSpacing/>
        <w:mirrorIndents/>
        <w:jc w:val="both"/>
        <w:rPr>
          <w:rFonts w:ascii="Cormorant Garamond" w:eastAsia="Calibri"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w:t>
      </w:r>
      <w:r w:rsidRPr="005B1F12">
        <w:rPr>
          <w:rFonts w:ascii="Cormorant Garamond" w:eastAsia="Calibri" w:hAnsi="Cormorant Garamond"/>
          <w:sz w:val="20"/>
          <w:szCs w:val="20"/>
        </w:rPr>
        <w:t>Author’s Calculation based on data from Global Findex, World Bank and CEIC Databases.</w:t>
      </w:r>
    </w:p>
  </w:footnote>
  <w:footnote w:id="56">
    <w:p w14:paraId="225B23C9" w14:textId="77777777" w:rsidR="00293B74" w:rsidRPr="005B1F12" w:rsidRDefault="00293B74" w:rsidP="00293B74">
      <w:pPr>
        <w:contextualSpacing/>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IMF. “Indonesia: Financial Sector Assessment Program - Financial System Stability Assessment.” </w:t>
      </w:r>
      <w:r w:rsidRPr="005B1F12">
        <w:rPr>
          <w:rFonts w:ascii="Cormorant Garamond" w:hAnsi="Cormorant Garamond"/>
          <w:i/>
          <w:iCs/>
          <w:sz w:val="20"/>
          <w:szCs w:val="20"/>
        </w:rPr>
        <w:t>International Monetary Fund. Monetary and Capital Markets Department (2010,2017,2024).</w:t>
      </w:r>
      <w:r w:rsidRPr="005B1F12">
        <w:rPr>
          <w:rFonts w:ascii="Cormorant Garamond" w:hAnsi="Cormorant Garamond"/>
          <w:sz w:val="20"/>
          <w:szCs w:val="20"/>
        </w:rPr>
        <w:t xml:space="preserve"> https://www.elibrary.imf.org/view/journals/002/2024/272/article-A001-en.xml (retrieved January 24, 2025).</w:t>
      </w:r>
    </w:p>
  </w:footnote>
  <w:footnote w:id="57">
    <w:p w14:paraId="1D789081" w14:textId="77777777" w:rsidR="00293B74" w:rsidRPr="005B1F12" w:rsidRDefault="00293B74" w:rsidP="00293B74">
      <w:pPr>
        <w:pStyle w:val="FootnoteText"/>
        <w:contextualSpacing/>
        <w:mirrorIndents/>
        <w:jc w:val="both"/>
        <w:rPr>
          <w:rFonts w:ascii="Cormorant Garamond" w:hAnsi="Cormorant Garamond"/>
        </w:rPr>
      </w:pPr>
      <w:r w:rsidRPr="005B1F12">
        <w:rPr>
          <w:rStyle w:val="FootnoteReference"/>
          <w:rFonts w:ascii="Cormorant Garamond" w:hAnsi="Cormorant Garamond"/>
        </w:rPr>
        <w:footnoteRef/>
      </w:r>
      <w:r w:rsidRPr="005B1F12">
        <w:rPr>
          <w:rFonts w:ascii="Cormorant Garamond" w:hAnsi="Cormorant Garamond"/>
        </w:rPr>
        <w:t xml:space="preserve"> Based on data sourced from:</w:t>
      </w:r>
      <w:r w:rsidRPr="005B1F12">
        <w:rPr>
          <w:rFonts w:ascii="Cormorant Garamond" w:eastAsia="Calibri" w:hAnsi="Cormorant Garamond"/>
          <w:iCs/>
        </w:rPr>
        <w:t xml:space="preserve"> OJK; Bloomberg; BIS Debt Securities Statistics; and IMF staff estimates</w:t>
      </w:r>
    </w:p>
  </w:footnote>
  <w:footnote w:id="58">
    <w:p w14:paraId="354C62B8" w14:textId="77777777" w:rsidR="00293B74" w:rsidRPr="005B1F12" w:rsidRDefault="00293B74" w:rsidP="00293B74">
      <w:pPr>
        <w:pStyle w:val="FootnoteText"/>
        <w:contextualSpacing/>
        <w:mirrorIndents/>
        <w:jc w:val="both"/>
        <w:rPr>
          <w:rFonts w:ascii="Cormorant Garamond" w:hAnsi="Cormorant Garamond"/>
        </w:rPr>
      </w:pPr>
      <w:r w:rsidRPr="005B1F12">
        <w:rPr>
          <w:rStyle w:val="FootnoteReference"/>
          <w:rFonts w:ascii="Cormorant Garamond" w:hAnsi="Cormorant Garamond"/>
        </w:rPr>
        <w:footnoteRef/>
      </w:r>
      <w:r w:rsidRPr="005B1F12">
        <w:rPr>
          <w:rFonts w:ascii="Cormorant Garamond" w:hAnsi="Cormorant Garamond"/>
        </w:rPr>
        <w:t xml:space="preserve"> Processed by author Based on data sourced from:</w:t>
      </w:r>
      <w:r w:rsidRPr="005B1F12">
        <w:rPr>
          <w:rFonts w:ascii="Cormorant Garamond" w:eastAsia="Calibri" w:hAnsi="Cormorant Garamond"/>
          <w:iCs/>
        </w:rPr>
        <w:t xml:space="preserve"> OJK; Bloomberg; BIS Debt Securities Statistics; and IMF staff estimates</w:t>
      </w:r>
    </w:p>
  </w:footnote>
  <w:footnote w:id="59">
    <w:p w14:paraId="68C81E23" w14:textId="77777777" w:rsidR="00470470" w:rsidRPr="005B1F12" w:rsidRDefault="00470470" w:rsidP="00470470">
      <w:pPr>
        <w:pStyle w:val="FootnoteText"/>
        <w:contextualSpacing/>
        <w:mirrorIndents/>
        <w:jc w:val="both"/>
        <w:rPr>
          <w:rFonts w:ascii="Cormorant Garamond" w:hAnsi="Cormorant Garamond"/>
        </w:rPr>
      </w:pPr>
      <w:r w:rsidRPr="005B1F12">
        <w:rPr>
          <w:rStyle w:val="FootnoteReference"/>
          <w:rFonts w:ascii="Cormorant Garamond" w:hAnsi="Cormorant Garamond"/>
        </w:rPr>
        <w:footnoteRef/>
      </w:r>
      <w:r w:rsidRPr="005B1F12">
        <w:rPr>
          <w:rFonts w:ascii="Cormorant Garamond" w:hAnsi="Cormorant Garamond"/>
        </w:rPr>
        <w:t xml:space="preserve"> </w:t>
      </w:r>
      <w:r w:rsidRPr="005B1F12">
        <w:rPr>
          <w:rFonts w:ascii="Cormorant Garamond" w:eastAsia="Calibri" w:hAnsi="Cormorant Garamond"/>
        </w:rPr>
        <w:t>Author’s Calculation based on data obtained from Global Findex, World Bank and CEIC Databases.</w:t>
      </w:r>
    </w:p>
  </w:footnote>
  <w:footnote w:id="60">
    <w:p w14:paraId="60391B40" w14:textId="77777777" w:rsidR="00470470" w:rsidRPr="005B1F12" w:rsidRDefault="00470470" w:rsidP="00470470">
      <w:pPr>
        <w:contextualSpacing/>
        <w:mirrorIndents/>
        <w:jc w:val="both"/>
        <w:rPr>
          <w:rFonts w:ascii="Cormorant Garamond" w:eastAsia="Calibri"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w:t>
      </w:r>
      <w:r w:rsidRPr="005B1F12">
        <w:rPr>
          <w:rFonts w:ascii="Cormorant Garamond" w:eastAsia="Calibri" w:hAnsi="Cormorant Garamond"/>
          <w:sz w:val="20"/>
          <w:szCs w:val="20"/>
        </w:rPr>
        <w:t>Author’s Calculation based on data obtained from Global Findex, World Bank Database.</w:t>
      </w:r>
    </w:p>
  </w:footnote>
  <w:footnote w:id="61">
    <w:p w14:paraId="7D2D1E87" w14:textId="77777777" w:rsidR="00470470" w:rsidRPr="005B1F12" w:rsidRDefault="00470470" w:rsidP="00470470">
      <w:pPr>
        <w:contextualSpacing/>
        <w:mirrorIndents/>
        <w:jc w:val="both"/>
        <w:rPr>
          <w:rFonts w:ascii="Cormorant Garamond" w:eastAsia="Calibri"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w:t>
      </w:r>
      <w:r w:rsidRPr="005B1F12">
        <w:rPr>
          <w:rFonts w:ascii="Cormorant Garamond" w:eastAsia="Calibri" w:hAnsi="Cormorant Garamond"/>
          <w:sz w:val="20"/>
          <w:szCs w:val="20"/>
        </w:rPr>
        <w:t>Processed by author based on data obtained from Global Findex, World Bank Database.</w:t>
      </w:r>
    </w:p>
  </w:footnote>
  <w:footnote w:id="62">
    <w:p w14:paraId="6DF8DE62" w14:textId="77777777" w:rsidR="00470470" w:rsidRPr="005B1F12" w:rsidRDefault="00470470" w:rsidP="00470470">
      <w:pPr>
        <w:contextualSpacing/>
        <w:mirrorIndents/>
        <w:jc w:val="both"/>
        <w:rPr>
          <w:rFonts w:ascii="Cormorant Garamond" w:eastAsia="Calibri"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w:t>
      </w:r>
      <w:r w:rsidRPr="005B1F12">
        <w:rPr>
          <w:rFonts w:ascii="Cormorant Garamond" w:eastAsia="Calibri" w:hAnsi="Cormorant Garamond"/>
          <w:sz w:val="20"/>
          <w:szCs w:val="20"/>
        </w:rPr>
        <w:t>Processed by author based on data obtained from Global Findex, World Bank Database.</w:t>
      </w:r>
    </w:p>
  </w:footnote>
  <w:footnote w:id="63">
    <w:p w14:paraId="3AD3ECB4" w14:textId="77777777" w:rsidR="00470470" w:rsidRPr="005B1F12" w:rsidRDefault="00470470" w:rsidP="00470470">
      <w:pPr>
        <w:contextualSpacing/>
        <w:mirrorIndents/>
        <w:jc w:val="both"/>
        <w:rPr>
          <w:rFonts w:ascii="Cormorant Garamond" w:eastAsia="Calibri"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w:t>
      </w:r>
      <w:r w:rsidRPr="005B1F12">
        <w:rPr>
          <w:rFonts w:ascii="Cormorant Garamond" w:eastAsia="Calibri" w:hAnsi="Cormorant Garamond"/>
          <w:sz w:val="20"/>
          <w:szCs w:val="20"/>
        </w:rPr>
        <w:t>Author’s Calculation based on data obtained from Global Findex, World Bank Database.</w:t>
      </w:r>
    </w:p>
  </w:footnote>
  <w:footnote w:id="64">
    <w:p w14:paraId="6F2C918D" w14:textId="77777777" w:rsidR="00470470" w:rsidRPr="005B1F12" w:rsidRDefault="00470470" w:rsidP="00470470">
      <w:pPr>
        <w:pStyle w:val="FootnoteText"/>
        <w:contextualSpacing/>
        <w:mirrorIndents/>
        <w:rPr>
          <w:rFonts w:ascii="Cormorant Garamond" w:hAnsi="Cormorant Garamond"/>
        </w:rPr>
      </w:pPr>
      <w:r w:rsidRPr="005B1F12">
        <w:rPr>
          <w:rStyle w:val="FootnoteReference"/>
          <w:rFonts w:ascii="Cormorant Garamond" w:hAnsi="Cormorant Garamond"/>
        </w:rPr>
        <w:footnoteRef/>
      </w:r>
      <w:r w:rsidRPr="005B1F12">
        <w:rPr>
          <w:rFonts w:ascii="Cormorant Garamond" w:hAnsi="Cormorant Garamond"/>
        </w:rPr>
        <w:t xml:space="preserve"> </w:t>
      </w:r>
      <w:r w:rsidRPr="005B1F12">
        <w:rPr>
          <w:rFonts w:ascii="Cormorant Garamond" w:eastAsia="Calibri" w:hAnsi="Cormorant Garamond"/>
        </w:rPr>
        <w:t>Processed by author based on data obtained from Global Findex, World Bank Database.</w:t>
      </w:r>
    </w:p>
  </w:footnote>
  <w:footnote w:id="65">
    <w:p w14:paraId="3688FA25" w14:textId="77777777" w:rsidR="00470470" w:rsidRPr="005B1F12" w:rsidRDefault="00470470" w:rsidP="00470470">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Mishra, P., and T. Guru Sant. “Role of Artificial Intelligence and Internet of Things in Promoting Banking and Financial Services During COVID-19: Pre and Post Effect.” </w:t>
      </w:r>
      <w:r w:rsidRPr="005B1F12">
        <w:rPr>
          <w:rFonts w:ascii="Cormorant Garamond" w:hAnsi="Cormorant Garamond"/>
          <w:i/>
          <w:iCs/>
          <w:sz w:val="20"/>
          <w:szCs w:val="20"/>
        </w:rPr>
        <w:t>2021 5th International Conference on Information Systems and Computer Networks (ISCON)</w:t>
      </w:r>
      <w:r w:rsidRPr="005B1F12">
        <w:rPr>
          <w:rFonts w:ascii="Cormorant Garamond" w:hAnsi="Cormorant Garamond"/>
          <w:sz w:val="20"/>
          <w:szCs w:val="20"/>
        </w:rPr>
        <w:t>, Mathura, India, 2021, 1–7. https://doi.org/10.1109/ISCON52037.2021.9702445.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1B499" w14:textId="4CC83072" w:rsidR="0087019D" w:rsidRDefault="00000000">
    <w:pPr>
      <w:pStyle w:val="Header"/>
    </w:pPr>
    <w:r>
      <w:rPr>
        <w:noProof/>
      </w:rPr>
      <w:pict w14:anchorId="4A9838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982766" o:spid="_x0000_s1027" type="#_x0000_t136" style="position:absolute;margin-left:0;margin-top:0;width:445.35pt;height:49.45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7669" w14:textId="10838D9A" w:rsidR="0087019D" w:rsidRDefault="00000000">
    <w:pPr>
      <w:pStyle w:val="Header"/>
    </w:pPr>
    <w:r>
      <w:rPr>
        <w:noProof/>
      </w:rPr>
      <w:pict w14:anchorId="2F3E9F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982767" o:spid="_x0000_s1026" type="#_x0000_t136" style="position:absolute;margin-left:0;margin-top:0;width:445.35pt;height:49.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FE44" w14:textId="6FA6119E" w:rsidR="0087019D" w:rsidRDefault="00000000">
    <w:pPr>
      <w:pStyle w:val="Header"/>
    </w:pPr>
    <w:r>
      <w:rPr>
        <w:noProof/>
      </w:rPr>
      <w:pict w14:anchorId="4D311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982765" o:spid="_x0000_s1025" type="#_x0000_t136" style="position:absolute;margin-left:0;margin-top:0;width:445.35pt;height:49.45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7660"/>
    <w:rsid w:val="00022F26"/>
    <w:rsid w:val="00033F53"/>
    <w:rsid w:val="0003676A"/>
    <w:rsid w:val="00090279"/>
    <w:rsid w:val="000F253F"/>
    <w:rsid w:val="00156E3F"/>
    <w:rsid w:val="0019606F"/>
    <w:rsid w:val="001A11AE"/>
    <w:rsid w:val="00223A41"/>
    <w:rsid w:val="00286493"/>
    <w:rsid w:val="00293B74"/>
    <w:rsid w:val="00296134"/>
    <w:rsid w:val="002D09D4"/>
    <w:rsid w:val="003A6B2F"/>
    <w:rsid w:val="00456FED"/>
    <w:rsid w:val="00470470"/>
    <w:rsid w:val="00484827"/>
    <w:rsid w:val="00491D2B"/>
    <w:rsid w:val="00500DBC"/>
    <w:rsid w:val="005356F6"/>
    <w:rsid w:val="0054152C"/>
    <w:rsid w:val="00690E1D"/>
    <w:rsid w:val="00794E3F"/>
    <w:rsid w:val="007B1AC8"/>
    <w:rsid w:val="007C13A2"/>
    <w:rsid w:val="007E1C84"/>
    <w:rsid w:val="007E4BCE"/>
    <w:rsid w:val="008030CE"/>
    <w:rsid w:val="0081347A"/>
    <w:rsid w:val="008670D3"/>
    <w:rsid w:val="0087019D"/>
    <w:rsid w:val="008B48BA"/>
    <w:rsid w:val="00914432"/>
    <w:rsid w:val="00962896"/>
    <w:rsid w:val="0097307C"/>
    <w:rsid w:val="009A0FBB"/>
    <w:rsid w:val="00A13FA2"/>
    <w:rsid w:val="00A657DD"/>
    <w:rsid w:val="00AC3136"/>
    <w:rsid w:val="00AC4629"/>
    <w:rsid w:val="00BB3E7B"/>
    <w:rsid w:val="00BB48F0"/>
    <w:rsid w:val="00BE6E8C"/>
    <w:rsid w:val="00C03FBE"/>
    <w:rsid w:val="00E642E8"/>
    <w:rsid w:val="00E910DC"/>
    <w:rsid w:val="00E96348"/>
    <w:rsid w:val="00ED3D61"/>
    <w:rsid w:val="00EE4F59"/>
    <w:rsid w:val="00F67660"/>
    <w:rsid w:val="00F8231F"/>
    <w:rsid w:val="00FD54BE"/>
    <w:rsid w:val="00FF192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CCC3A"/>
  <w15:docId w15:val="{D6FE7F56-6063-244A-B2F0-BC4D978C3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6F2"/>
        <w:kern w:val="2"/>
        <w:sz w:val="24"/>
        <w:szCs w:val="24"/>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FA2"/>
    <w:rPr>
      <w:color w:val="auto"/>
    </w:rPr>
  </w:style>
  <w:style w:type="paragraph" w:styleId="Heading1">
    <w:name w:val="heading 1"/>
    <w:basedOn w:val="Normal"/>
    <w:next w:val="Normal"/>
    <w:link w:val="Heading1Char"/>
    <w:uiPriority w:val="9"/>
    <w:qFormat/>
    <w:rsid w:val="00F67660"/>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F67660"/>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F67660"/>
    <w:pPr>
      <w:keepNext/>
      <w:keepLines/>
      <w:spacing w:before="160" w:after="80"/>
      <w:outlineLvl w:val="2"/>
    </w:pPr>
    <w:rPr>
      <w:rFonts w:asciiTheme="minorHAnsi" w:eastAsiaTheme="majorEastAsia" w:hAnsiTheme="minorHAnsi"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F67660"/>
    <w:pPr>
      <w:keepNext/>
      <w:keepLines/>
      <w:spacing w:before="80" w:after="40"/>
      <w:outlineLvl w:val="3"/>
    </w:pPr>
    <w:rPr>
      <w:rFonts w:asciiTheme="minorHAnsi" w:eastAsiaTheme="majorEastAsia" w:hAnsiTheme="minorHAnsi" w:cstheme="majorBidi"/>
      <w:i/>
      <w:iCs/>
      <w:color w:val="0F4761" w:themeColor="accent1" w:themeShade="BF"/>
      <w:szCs w:val="30"/>
    </w:rPr>
  </w:style>
  <w:style w:type="paragraph" w:styleId="Heading5">
    <w:name w:val="heading 5"/>
    <w:basedOn w:val="Normal"/>
    <w:next w:val="Normal"/>
    <w:link w:val="Heading5Char"/>
    <w:uiPriority w:val="9"/>
    <w:semiHidden/>
    <w:unhideWhenUsed/>
    <w:qFormat/>
    <w:rsid w:val="00F67660"/>
    <w:pPr>
      <w:keepNext/>
      <w:keepLines/>
      <w:spacing w:before="80" w:after="40"/>
      <w:outlineLvl w:val="4"/>
    </w:pPr>
    <w:rPr>
      <w:rFonts w:asciiTheme="minorHAnsi" w:eastAsiaTheme="majorEastAsia" w:hAnsiTheme="minorHAnsi" w:cstheme="majorBidi"/>
      <w:color w:val="0F4761" w:themeColor="accent1" w:themeShade="BF"/>
      <w:szCs w:val="30"/>
    </w:rPr>
  </w:style>
  <w:style w:type="paragraph" w:styleId="Heading6">
    <w:name w:val="heading 6"/>
    <w:basedOn w:val="Normal"/>
    <w:next w:val="Normal"/>
    <w:link w:val="Heading6Char"/>
    <w:uiPriority w:val="9"/>
    <w:semiHidden/>
    <w:unhideWhenUsed/>
    <w:qFormat/>
    <w:rsid w:val="00F67660"/>
    <w:pPr>
      <w:keepNext/>
      <w:keepLines/>
      <w:spacing w:before="40" w:after="0"/>
      <w:outlineLvl w:val="5"/>
    </w:pPr>
    <w:rPr>
      <w:rFonts w:asciiTheme="minorHAnsi" w:eastAsiaTheme="majorEastAsia" w:hAnsiTheme="minorHAnsi" w:cstheme="majorBidi"/>
      <w:i/>
      <w:iCs/>
      <w:color w:val="595959" w:themeColor="text1" w:themeTint="A6"/>
      <w:szCs w:val="30"/>
    </w:rPr>
  </w:style>
  <w:style w:type="paragraph" w:styleId="Heading7">
    <w:name w:val="heading 7"/>
    <w:basedOn w:val="Normal"/>
    <w:next w:val="Normal"/>
    <w:link w:val="Heading7Char"/>
    <w:uiPriority w:val="9"/>
    <w:semiHidden/>
    <w:unhideWhenUsed/>
    <w:qFormat/>
    <w:rsid w:val="00F67660"/>
    <w:pPr>
      <w:keepNext/>
      <w:keepLines/>
      <w:spacing w:before="40" w:after="0"/>
      <w:outlineLvl w:val="6"/>
    </w:pPr>
    <w:rPr>
      <w:rFonts w:asciiTheme="minorHAnsi" w:eastAsiaTheme="majorEastAsia" w:hAnsiTheme="minorHAnsi" w:cstheme="majorBidi"/>
      <w:color w:val="595959" w:themeColor="text1" w:themeTint="A6"/>
      <w:szCs w:val="30"/>
    </w:rPr>
  </w:style>
  <w:style w:type="paragraph" w:styleId="Heading8">
    <w:name w:val="heading 8"/>
    <w:basedOn w:val="Normal"/>
    <w:next w:val="Normal"/>
    <w:link w:val="Heading8Char"/>
    <w:uiPriority w:val="9"/>
    <w:semiHidden/>
    <w:unhideWhenUsed/>
    <w:qFormat/>
    <w:rsid w:val="00F67660"/>
    <w:pPr>
      <w:keepNext/>
      <w:keepLines/>
      <w:spacing w:after="0"/>
      <w:outlineLvl w:val="7"/>
    </w:pPr>
    <w:rPr>
      <w:rFonts w:asciiTheme="minorHAnsi" w:eastAsiaTheme="majorEastAsia" w:hAnsiTheme="minorHAnsi" w:cstheme="majorBidi"/>
      <w:i/>
      <w:iCs/>
      <w:color w:val="272727" w:themeColor="text1" w:themeTint="D8"/>
      <w:szCs w:val="30"/>
    </w:rPr>
  </w:style>
  <w:style w:type="paragraph" w:styleId="Heading9">
    <w:name w:val="heading 9"/>
    <w:basedOn w:val="Normal"/>
    <w:next w:val="Normal"/>
    <w:link w:val="Heading9Char"/>
    <w:uiPriority w:val="9"/>
    <w:semiHidden/>
    <w:unhideWhenUsed/>
    <w:qFormat/>
    <w:rsid w:val="00F67660"/>
    <w:pPr>
      <w:keepNext/>
      <w:keepLines/>
      <w:spacing w:after="0"/>
      <w:outlineLvl w:val="8"/>
    </w:pPr>
    <w:rPr>
      <w:rFonts w:asciiTheme="minorHAnsi" w:eastAsiaTheme="majorEastAsia" w:hAnsiTheme="minorHAnsi" w:cstheme="majorBidi"/>
      <w:color w:val="272727" w:themeColor="text1" w:themeTint="D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660"/>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F67660"/>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F67660"/>
    <w:rPr>
      <w:rFonts w:asciiTheme="minorHAnsi" w:eastAsiaTheme="majorEastAsia" w:hAnsiTheme="minorHAnsi"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F67660"/>
    <w:rPr>
      <w:rFonts w:asciiTheme="minorHAnsi" w:eastAsiaTheme="majorEastAsia" w:hAnsiTheme="minorHAnsi" w:cstheme="majorBidi"/>
      <w:i/>
      <w:iCs/>
      <w:color w:val="0F4761" w:themeColor="accent1" w:themeShade="BF"/>
      <w:szCs w:val="30"/>
    </w:rPr>
  </w:style>
  <w:style w:type="character" w:customStyle="1" w:styleId="Heading5Char">
    <w:name w:val="Heading 5 Char"/>
    <w:basedOn w:val="DefaultParagraphFont"/>
    <w:link w:val="Heading5"/>
    <w:uiPriority w:val="9"/>
    <w:semiHidden/>
    <w:rsid w:val="00F67660"/>
    <w:rPr>
      <w:rFonts w:asciiTheme="minorHAnsi" w:eastAsiaTheme="majorEastAsia" w:hAnsiTheme="minorHAnsi" w:cstheme="majorBidi"/>
      <w:color w:val="0F4761" w:themeColor="accent1" w:themeShade="BF"/>
      <w:szCs w:val="30"/>
    </w:rPr>
  </w:style>
  <w:style w:type="character" w:customStyle="1" w:styleId="Heading6Char">
    <w:name w:val="Heading 6 Char"/>
    <w:basedOn w:val="DefaultParagraphFont"/>
    <w:link w:val="Heading6"/>
    <w:uiPriority w:val="9"/>
    <w:semiHidden/>
    <w:rsid w:val="00F67660"/>
    <w:rPr>
      <w:rFonts w:asciiTheme="minorHAnsi" w:eastAsiaTheme="majorEastAsia" w:hAnsiTheme="minorHAnsi" w:cstheme="majorBidi"/>
      <w:i/>
      <w:iCs/>
      <w:color w:val="595959" w:themeColor="text1" w:themeTint="A6"/>
      <w:szCs w:val="30"/>
    </w:rPr>
  </w:style>
  <w:style w:type="character" w:customStyle="1" w:styleId="Heading7Char">
    <w:name w:val="Heading 7 Char"/>
    <w:basedOn w:val="DefaultParagraphFont"/>
    <w:link w:val="Heading7"/>
    <w:uiPriority w:val="9"/>
    <w:semiHidden/>
    <w:rsid w:val="00F67660"/>
    <w:rPr>
      <w:rFonts w:asciiTheme="minorHAnsi" w:eastAsiaTheme="majorEastAsia" w:hAnsiTheme="minorHAnsi" w:cstheme="majorBidi"/>
      <w:color w:val="595959" w:themeColor="text1" w:themeTint="A6"/>
      <w:szCs w:val="30"/>
    </w:rPr>
  </w:style>
  <w:style w:type="character" w:customStyle="1" w:styleId="Heading8Char">
    <w:name w:val="Heading 8 Char"/>
    <w:basedOn w:val="DefaultParagraphFont"/>
    <w:link w:val="Heading8"/>
    <w:uiPriority w:val="9"/>
    <w:semiHidden/>
    <w:rsid w:val="00F67660"/>
    <w:rPr>
      <w:rFonts w:asciiTheme="minorHAnsi" w:eastAsiaTheme="majorEastAsia" w:hAnsiTheme="minorHAnsi" w:cstheme="majorBidi"/>
      <w:i/>
      <w:iCs/>
      <w:color w:val="272727" w:themeColor="text1" w:themeTint="D8"/>
      <w:szCs w:val="30"/>
    </w:rPr>
  </w:style>
  <w:style w:type="character" w:customStyle="1" w:styleId="Heading9Char">
    <w:name w:val="Heading 9 Char"/>
    <w:basedOn w:val="DefaultParagraphFont"/>
    <w:link w:val="Heading9"/>
    <w:uiPriority w:val="9"/>
    <w:semiHidden/>
    <w:rsid w:val="00F67660"/>
    <w:rPr>
      <w:rFonts w:asciiTheme="minorHAnsi" w:eastAsiaTheme="majorEastAsia" w:hAnsiTheme="minorHAnsi" w:cstheme="majorBidi"/>
      <w:color w:val="272727" w:themeColor="text1" w:themeTint="D8"/>
      <w:szCs w:val="30"/>
    </w:rPr>
  </w:style>
  <w:style w:type="paragraph" w:styleId="Title">
    <w:name w:val="Title"/>
    <w:basedOn w:val="Normal"/>
    <w:next w:val="Normal"/>
    <w:link w:val="TitleChar"/>
    <w:uiPriority w:val="10"/>
    <w:qFormat/>
    <w:rsid w:val="00F67660"/>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67660"/>
    <w:rPr>
      <w:rFonts w:asciiTheme="majorHAnsi" w:eastAsiaTheme="majorEastAsia" w:hAnsiTheme="majorHAnsi" w:cstheme="majorBidi"/>
      <w:color w:val="auto"/>
      <w:spacing w:val="-10"/>
      <w:kern w:val="28"/>
      <w:sz w:val="56"/>
      <w:szCs w:val="71"/>
    </w:rPr>
  </w:style>
  <w:style w:type="paragraph" w:styleId="Subtitle">
    <w:name w:val="Subtitle"/>
    <w:basedOn w:val="Normal"/>
    <w:next w:val="Normal"/>
    <w:link w:val="SubtitleChar"/>
    <w:uiPriority w:val="11"/>
    <w:qFormat/>
    <w:rsid w:val="00F67660"/>
    <w:pPr>
      <w:numPr>
        <w:ilvl w:val="1"/>
      </w:numPr>
    </w:pPr>
    <w:rPr>
      <w:rFonts w:asciiTheme="minorHAnsi" w:eastAsiaTheme="majorEastAsia" w:hAnsiTheme="minorHAnsi"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67660"/>
    <w:rPr>
      <w:rFonts w:asciiTheme="minorHAnsi" w:eastAsiaTheme="majorEastAsia" w:hAnsiTheme="minorHAnsi" w:cstheme="majorBidi"/>
      <w:color w:val="595959" w:themeColor="text1" w:themeTint="A6"/>
      <w:spacing w:val="15"/>
      <w:sz w:val="28"/>
      <w:szCs w:val="35"/>
    </w:rPr>
  </w:style>
  <w:style w:type="paragraph" w:styleId="Quote">
    <w:name w:val="Quote"/>
    <w:basedOn w:val="Normal"/>
    <w:next w:val="Normal"/>
    <w:link w:val="QuoteChar"/>
    <w:uiPriority w:val="29"/>
    <w:qFormat/>
    <w:rsid w:val="00F67660"/>
    <w:pPr>
      <w:spacing w:before="160"/>
      <w:jc w:val="center"/>
    </w:pPr>
    <w:rPr>
      <w:rFonts w:cs="Angsana New"/>
      <w:i/>
      <w:iCs/>
      <w:color w:val="404040" w:themeColor="text1" w:themeTint="BF"/>
      <w:szCs w:val="30"/>
    </w:rPr>
  </w:style>
  <w:style w:type="character" w:customStyle="1" w:styleId="QuoteChar">
    <w:name w:val="Quote Char"/>
    <w:basedOn w:val="DefaultParagraphFont"/>
    <w:link w:val="Quote"/>
    <w:uiPriority w:val="29"/>
    <w:rsid w:val="00F67660"/>
    <w:rPr>
      <w:rFonts w:cs="Angsana New"/>
      <w:i/>
      <w:iCs/>
      <w:color w:val="404040" w:themeColor="text1" w:themeTint="BF"/>
      <w:szCs w:val="30"/>
    </w:rPr>
  </w:style>
  <w:style w:type="paragraph" w:styleId="ListParagraph">
    <w:name w:val="List Paragraph"/>
    <w:basedOn w:val="Normal"/>
    <w:uiPriority w:val="34"/>
    <w:qFormat/>
    <w:rsid w:val="00F67660"/>
    <w:pPr>
      <w:ind w:left="720"/>
      <w:contextualSpacing/>
    </w:pPr>
    <w:rPr>
      <w:rFonts w:cs="Angsana New"/>
      <w:szCs w:val="30"/>
    </w:rPr>
  </w:style>
  <w:style w:type="character" w:styleId="IntenseEmphasis">
    <w:name w:val="Intense Emphasis"/>
    <w:basedOn w:val="DefaultParagraphFont"/>
    <w:uiPriority w:val="21"/>
    <w:qFormat/>
    <w:rsid w:val="00F67660"/>
    <w:rPr>
      <w:i/>
      <w:iCs/>
      <w:color w:val="0F4761" w:themeColor="accent1" w:themeShade="BF"/>
    </w:rPr>
  </w:style>
  <w:style w:type="paragraph" w:styleId="IntenseQuote">
    <w:name w:val="Intense Quote"/>
    <w:basedOn w:val="Normal"/>
    <w:next w:val="Normal"/>
    <w:link w:val="IntenseQuoteChar"/>
    <w:uiPriority w:val="30"/>
    <w:qFormat/>
    <w:rsid w:val="00F67660"/>
    <w:pPr>
      <w:pBdr>
        <w:top w:val="single" w:sz="4" w:space="10" w:color="0F4761" w:themeColor="accent1" w:themeShade="BF"/>
        <w:bottom w:val="single" w:sz="4" w:space="10" w:color="0F4761" w:themeColor="accent1" w:themeShade="BF"/>
      </w:pBdr>
      <w:spacing w:before="360" w:after="360"/>
      <w:ind w:left="864" w:right="864"/>
      <w:jc w:val="center"/>
    </w:pPr>
    <w:rPr>
      <w:rFonts w:cs="Angsana New"/>
      <w:i/>
      <w:iCs/>
      <w:color w:val="0F4761" w:themeColor="accent1" w:themeShade="BF"/>
      <w:szCs w:val="30"/>
    </w:rPr>
  </w:style>
  <w:style w:type="character" w:customStyle="1" w:styleId="IntenseQuoteChar">
    <w:name w:val="Intense Quote Char"/>
    <w:basedOn w:val="DefaultParagraphFont"/>
    <w:link w:val="IntenseQuote"/>
    <w:uiPriority w:val="30"/>
    <w:rsid w:val="00F67660"/>
    <w:rPr>
      <w:rFonts w:cs="Angsana New"/>
      <w:i/>
      <w:iCs/>
      <w:color w:val="0F4761" w:themeColor="accent1" w:themeShade="BF"/>
      <w:szCs w:val="30"/>
    </w:rPr>
  </w:style>
  <w:style w:type="character" w:styleId="IntenseReference">
    <w:name w:val="Intense Reference"/>
    <w:basedOn w:val="DefaultParagraphFont"/>
    <w:uiPriority w:val="32"/>
    <w:qFormat/>
    <w:rsid w:val="00F67660"/>
    <w:rPr>
      <w:b/>
      <w:bCs/>
      <w:smallCaps/>
      <w:color w:val="0F4761" w:themeColor="accent1" w:themeShade="BF"/>
      <w:spacing w:val="5"/>
    </w:rPr>
  </w:style>
  <w:style w:type="paragraph" w:styleId="FootnoteText">
    <w:name w:val="footnote text"/>
    <w:basedOn w:val="Normal"/>
    <w:link w:val="FootnoteTextChar"/>
    <w:uiPriority w:val="99"/>
    <w:semiHidden/>
    <w:unhideWhenUsed/>
    <w:rsid w:val="00F67660"/>
    <w:pPr>
      <w:spacing w:after="0" w:line="240" w:lineRule="auto"/>
    </w:pPr>
    <w:rPr>
      <w:rFonts w:asciiTheme="minorHAnsi" w:hAnsiTheme="minorHAnsi" w:cstheme="minorBidi"/>
      <w:sz w:val="20"/>
      <w:szCs w:val="20"/>
      <w:lang w:val="en-IN" w:bidi="ar-SA"/>
    </w:rPr>
  </w:style>
  <w:style w:type="character" w:customStyle="1" w:styleId="FootnoteTextChar">
    <w:name w:val="Footnote Text Char"/>
    <w:basedOn w:val="DefaultParagraphFont"/>
    <w:link w:val="FootnoteText"/>
    <w:uiPriority w:val="99"/>
    <w:semiHidden/>
    <w:rsid w:val="00F67660"/>
    <w:rPr>
      <w:rFonts w:asciiTheme="minorHAnsi" w:hAnsiTheme="minorHAnsi" w:cstheme="minorBidi"/>
      <w:color w:val="auto"/>
      <w:sz w:val="20"/>
      <w:szCs w:val="20"/>
      <w:lang w:val="en-IN" w:bidi="ar-SA"/>
    </w:rPr>
  </w:style>
  <w:style w:type="character" w:styleId="FootnoteReference">
    <w:name w:val="footnote reference"/>
    <w:basedOn w:val="DefaultParagraphFont"/>
    <w:uiPriority w:val="99"/>
    <w:semiHidden/>
    <w:unhideWhenUsed/>
    <w:rsid w:val="00F67660"/>
    <w:rPr>
      <w:vertAlign w:val="superscript"/>
    </w:rPr>
  </w:style>
  <w:style w:type="character" w:styleId="Hyperlink">
    <w:name w:val="Hyperlink"/>
    <w:basedOn w:val="DefaultParagraphFont"/>
    <w:uiPriority w:val="99"/>
    <w:unhideWhenUsed/>
    <w:rsid w:val="00690E1D"/>
    <w:rPr>
      <w:color w:val="467886" w:themeColor="hyperlink"/>
      <w:u w:val="single"/>
    </w:rPr>
  </w:style>
  <w:style w:type="table" w:styleId="TableGrid">
    <w:name w:val="Table Grid"/>
    <w:basedOn w:val="TableNormal"/>
    <w:uiPriority w:val="59"/>
    <w:rsid w:val="000F253F"/>
    <w:pPr>
      <w:spacing w:after="0" w:line="240" w:lineRule="auto"/>
    </w:pPr>
    <w:rPr>
      <w:rFonts w:asciiTheme="minorHAnsi" w:hAnsiTheme="minorHAnsi" w:cstheme="minorBidi"/>
      <w:color w:val="auto"/>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F253F"/>
    <w:pPr>
      <w:spacing w:after="0" w:line="240" w:lineRule="auto"/>
    </w:pPr>
    <w:rPr>
      <w:rFonts w:asciiTheme="minorHAnsi" w:hAnsiTheme="minorHAnsi" w:cstheme="minorBidi"/>
      <w:color w:val="auto"/>
      <w:sz w:val="22"/>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13A2"/>
    <w:pPr>
      <w:tabs>
        <w:tab w:val="center" w:pos="4680"/>
        <w:tab w:val="right" w:pos="9360"/>
      </w:tabs>
      <w:spacing w:after="0" w:line="240" w:lineRule="auto"/>
    </w:pPr>
    <w:rPr>
      <w:rFonts w:cs="Angsana New"/>
      <w:szCs w:val="30"/>
    </w:rPr>
  </w:style>
  <w:style w:type="character" w:customStyle="1" w:styleId="HeaderChar">
    <w:name w:val="Header Char"/>
    <w:basedOn w:val="DefaultParagraphFont"/>
    <w:link w:val="Header"/>
    <w:uiPriority w:val="99"/>
    <w:rsid w:val="007C13A2"/>
    <w:rPr>
      <w:rFonts w:cs="Angsana New"/>
      <w:color w:val="auto"/>
      <w:szCs w:val="30"/>
    </w:rPr>
  </w:style>
  <w:style w:type="paragraph" w:styleId="Footer">
    <w:name w:val="footer"/>
    <w:basedOn w:val="Normal"/>
    <w:link w:val="FooterChar"/>
    <w:uiPriority w:val="99"/>
    <w:unhideWhenUsed/>
    <w:rsid w:val="007C13A2"/>
    <w:pPr>
      <w:tabs>
        <w:tab w:val="center" w:pos="4680"/>
        <w:tab w:val="right" w:pos="9360"/>
      </w:tabs>
      <w:spacing w:after="0" w:line="240" w:lineRule="auto"/>
    </w:pPr>
    <w:rPr>
      <w:rFonts w:cs="Angsana New"/>
      <w:szCs w:val="30"/>
    </w:rPr>
  </w:style>
  <w:style w:type="character" w:customStyle="1" w:styleId="FooterChar">
    <w:name w:val="Footer Char"/>
    <w:basedOn w:val="DefaultParagraphFont"/>
    <w:link w:val="Footer"/>
    <w:uiPriority w:val="99"/>
    <w:rsid w:val="007C13A2"/>
    <w:rPr>
      <w:rFonts w:cs="Angsana New"/>
      <w:color w:val="auto"/>
      <w:szCs w:val="30"/>
    </w:rPr>
  </w:style>
  <w:style w:type="paragraph" w:styleId="BalloonText">
    <w:name w:val="Balloon Text"/>
    <w:basedOn w:val="Normal"/>
    <w:link w:val="BalloonTextChar"/>
    <w:uiPriority w:val="99"/>
    <w:semiHidden/>
    <w:unhideWhenUsed/>
    <w:rsid w:val="0048482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484827"/>
    <w:rPr>
      <w:rFonts w:ascii="Tahoma" w:hAnsi="Tahoma" w:cs="Angsana New"/>
      <w:color w:val="auto"/>
      <w:sz w:val="16"/>
      <w:szCs w:val="20"/>
    </w:rPr>
  </w:style>
  <w:style w:type="character" w:styleId="Strong">
    <w:name w:val="Strong"/>
    <w:basedOn w:val="DefaultParagraphFont"/>
    <w:uiPriority w:val="22"/>
    <w:qFormat/>
    <w:rsid w:val="0081347A"/>
    <w:rPr>
      <w:b/>
      <w:bCs/>
    </w:rPr>
  </w:style>
  <w:style w:type="paragraph" w:styleId="NormalWeb">
    <w:name w:val="Normal (Web)"/>
    <w:basedOn w:val="Normal"/>
    <w:uiPriority w:val="99"/>
    <w:semiHidden/>
    <w:unhideWhenUsed/>
    <w:rsid w:val="0081347A"/>
    <w:pPr>
      <w:spacing w:before="100" w:beforeAutospacing="1" w:after="100" w:afterAutospacing="1" w:line="240" w:lineRule="auto"/>
    </w:pPr>
    <w:rPr>
      <w:rFonts w:eastAsia="Times New Roman"/>
      <w:kern w:val="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55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hyperlink" Target="https://doi.org/10.61397/mfc.v1i3.112"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4018/979-8-3693-3530-7.ch005" TargetMode="External"/><Relationship Id="rId3" Type="http://schemas.openxmlformats.org/officeDocument/2006/relationships/hyperlink" Target="https://doi.org/10.52330/jtm.v22i2.255" TargetMode="External"/><Relationship Id="rId7" Type="http://schemas.openxmlformats.org/officeDocument/2006/relationships/hyperlink" Target="https://doi.org/10.61397/mfc.v1i3.112" TargetMode="External"/><Relationship Id="rId2" Type="http://schemas.openxmlformats.org/officeDocument/2006/relationships/hyperlink" Target="https://doi.org/10.20885/enthusiastic.vol4.iss1.art7" TargetMode="External"/><Relationship Id="rId1" Type="http://schemas.openxmlformats.org/officeDocument/2006/relationships/hyperlink" Target="https://doi.org/10.32509/wacana.v23i1.4130" TargetMode="External"/><Relationship Id="rId6" Type="http://schemas.openxmlformats.org/officeDocument/2006/relationships/hyperlink" Target="https://doi.org/10.32509/wacana.v23i1.4130" TargetMode="External"/><Relationship Id="rId11" Type="http://schemas.openxmlformats.org/officeDocument/2006/relationships/hyperlink" Target="https://tradingeconomics.com/indonesia/interest-rate-spread-lending-rate-minus-deposit-rate-percent-wb-data.html" TargetMode="External"/><Relationship Id="rId5" Type="http://schemas.openxmlformats.org/officeDocument/2006/relationships/hyperlink" Target="https://doi.org/10.31227/osf.io/mnhcj" TargetMode="External"/><Relationship Id="rId10" Type="http://schemas.openxmlformats.org/officeDocument/2006/relationships/hyperlink" Target="https://tradingeconomics.com/indonesia/interest-rate-spread-lending-rate-minus-deposit-rate-percent-wb-data.html" TargetMode="External"/><Relationship Id="rId4" Type="http://schemas.openxmlformats.org/officeDocument/2006/relationships/hyperlink" Target="https://doi.org/10.1504/IJEBR.2018.10015243" TargetMode="External"/><Relationship Id="rId9" Type="http://schemas.openxmlformats.org/officeDocument/2006/relationships/hyperlink" Target="https://tradingeconomics.com/indonesia/interest-rate-spread-lending-rate-minus-deposit-rate-percent-wb-dat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E18A0-B8FF-49B2-B185-84CD7228B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7864</Words>
  <Characters>44830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Irshad Ahmad</dc:creator>
  <cp:keywords/>
  <dc:description/>
  <cp:lastModifiedBy>Editor-90</cp:lastModifiedBy>
  <cp:revision>3</cp:revision>
  <dcterms:created xsi:type="dcterms:W3CDTF">2025-10-24T17:51:00Z</dcterms:created>
  <dcterms:modified xsi:type="dcterms:W3CDTF">2025-10-25T06:32:00Z</dcterms:modified>
</cp:coreProperties>
</file>