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EDDA" w14:textId="3667614E" w:rsidR="001D65B3" w:rsidRDefault="0011519B" w:rsidP="0011519B">
      <w:pPr>
        <w:spacing w:after="240"/>
        <w:jc w:val="center"/>
        <w:rPr>
          <w:rFonts w:ascii="Times New Roman" w:hAnsi="Times New Roman" w:cs="Times New Roman"/>
          <w:b/>
          <w:bCs/>
          <w:sz w:val="28"/>
          <w:szCs w:val="28"/>
        </w:rPr>
      </w:pPr>
      <w:r w:rsidRPr="0011519B">
        <w:rPr>
          <w:rFonts w:ascii="Times New Roman" w:hAnsi="Times New Roman" w:cs="Times New Roman"/>
          <w:b/>
          <w:bCs/>
          <w:sz w:val="28"/>
          <w:szCs w:val="28"/>
        </w:rPr>
        <w:t xml:space="preserve">Macroeconomic Policy </w:t>
      </w:r>
      <w:r>
        <w:rPr>
          <w:rFonts w:ascii="Times New Roman" w:hAnsi="Times New Roman" w:cs="Times New Roman"/>
          <w:b/>
          <w:bCs/>
          <w:sz w:val="28"/>
          <w:szCs w:val="28"/>
        </w:rPr>
        <w:t>Trade-offs</w:t>
      </w:r>
      <w:r w:rsidRPr="0011519B">
        <w:rPr>
          <w:rFonts w:ascii="Times New Roman" w:hAnsi="Times New Roman" w:cs="Times New Roman"/>
          <w:b/>
          <w:bCs/>
          <w:sz w:val="28"/>
          <w:szCs w:val="28"/>
        </w:rPr>
        <w:t>: Fuel Price Dynamics and Industrial Production Growth in India</w:t>
      </w:r>
    </w:p>
    <w:p w14:paraId="44812E51" w14:textId="77777777" w:rsidR="005A23D4" w:rsidRPr="00E33A4B" w:rsidRDefault="005A23D4" w:rsidP="00A11FE8">
      <w:pPr>
        <w:spacing w:after="120" w:line="276" w:lineRule="auto"/>
        <w:rPr>
          <w:rFonts w:ascii="Times New Roman" w:hAnsi="Times New Roman" w:cs="Times New Roman"/>
          <w:sz w:val="22"/>
          <w:szCs w:val="22"/>
          <w:lang w:val="en-US"/>
        </w:rPr>
      </w:pPr>
    </w:p>
    <w:p w14:paraId="180C6DBB" w14:textId="4839F2F0" w:rsidR="001D65B3" w:rsidRPr="00DC60F4" w:rsidRDefault="001D65B3" w:rsidP="001D65B3">
      <w:pPr>
        <w:spacing w:before="120" w:after="120" w:line="360" w:lineRule="auto"/>
        <w:rPr>
          <w:rFonts w:ascii="Times New Roman" w:hAnsi="Times New Roman" w:cs="Times New Roman"/>
          <w:b/>
          <w:bCs/>
        </w:rPr>
      </w:pPr>
      <w:r w:rsidRPr="00DC60F4">
        <w:rPr>
          <w:rFonts w:ascii="Times New Roman" w:hAnsi="Times New Roman" w:cs="Times New Roman"/>
          <w:b/>
          <w:bCs/>
        </w:rPr>
        <w:t>Abstract</w:t>
      </w:r>
    </w:p>
    <w:p w14:paraId="7523A8EE" w14:textId="0B8E95A0" w:rsidR="00E95798" w:rsidRPr="00E95798" w:rsidRDefault="00E95798" w:rsidP="001D65B3">
      <w:pPr>
        <w:spacing w:line="360" w:lineRule="auto"/>
        <w:jc w:val="both"/>
        <w:rPr>
          <w:rFonts w:ascii="Times New Roman" w:hAnsi="Times New Roman" w:cs="Times New Roman"/>
        </w:rPr>
      </w:pPr>
      <w:r w:rsidRPr="00E95798">
        <w:rPr>
          <w:rFonts w:ascii="Times New Roman" w:hAnsi="Times New Roman" w:cs="Times New Roman"/>
        </w:rPr>
        <w:t>This research investigates the complex interplay between fuel inflation, industrial production growth, and overall inflation in India, given the economy's high dependence on fuel imports. Using monthly time-series data from April 2012 to December 2023 for Crude Oil Price (COP) inflation, Index for Industrial Production (IIP) growth, and Consumer Price Index (CPI) inflation, the study applies Autoregressive Distributed Lag (ARDL) modelling and Granger Causality testing to analyse these relationships. The findings reveal a significant trade-off between crude oil prices and industrial production. ARDL results show long-run co-integration among the variables, with COP positively impacting IIP but having an insignificant relation with CPI. Conversely, IIP negatively impacts CPI. The Granger Causality test confirms a bidirectional causal relationship between COP and IIP. These results highlight a difficult trade-off for policymakers, suggesting that diplomatic efforts to minimise global fuel price volatility are crucial for managing domestic economic stability.</w:t>
      </w:r>
    </w:p>
    <w:p w14:paraId="7042CA33" w14:textId="4457BE13" w:rsidR="001D65B3" w:rsidRPr="001D65B3" w:rsidRDefault="001D65B3" w:rsidP="001D65B3">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Fuel Inflation, Industrial Production Growth, Inflation Rate, Trade-offs, Autoregressive Techniques.</w:t>
      </w:r>
    </w:p>
    <w:p w14:paraId="5B1F3E5A" w14:textId="645371D4" w:rsidR="001D65B3" w:rsidRDefault="001D65B3" w:rsidP="00202033">
      <w:pPr>
        <w:spacing w:before="240" w:line="360" w:lineRule="auto"/>
        <w:jc w:val="both"/>
        <w:rPr>
          <w:rFonts w:ascii="Times New Roman" w:hAnsi="Times New Roman" w:cs="Times New Roman"/>
          <w:b/>
          <w:bCs/>
        </w:rPr>
      </w:pPr>
      <w:r>
        <w:rPr>
          <w:rFonts w:ascii="Times New Roman" w:hAnsi="Times New Roman" w:cs="Times New Roman"/>
          <w:b/>
          <w:bCs/>
        </w:rPr>
        <w:t>Introduction</w:t>
      </w:r>
    </w:p>
    <w:p w14:paraId="58A7F46F" w14:textId="77777777" w:rsidR="001D65B3" w:rsidRDefault="001D65B3" w:rsidP="001D65B3">
      <w:pPr>
        <w:spacing w:line="360" w:lineRule="auto"/>
        <w:jc w:val="both"/>
        <w:rPr>
          <w:rFonts w:ascii="Times New Roman" w:hAnsi="Times New Roman" w:cs="Times New Roman"/>
        </w:rPr>
      </w:pPr>
      <w:r>
        <w:rPr>
          <w:rFonts w:ascii="Times New Roman" w:hAnsi="Times New Roman" w:cs="Times New Roman"/>
        </w:rPr>
        <w:t>Indian economy is an import dependent economy, with a high amount of fuel import. This statement is a reality in case of India as India is the 3</w:t>
      </w:r>
      <w:r w:rsidRPr="002045B3">
        <w:rPr>
          <w:rFonts w:ascii="Times New Roman" w:hAnsi="Times New Roman" w:cs="Times New Roman"/>
          <w:vertAlign w:val="superscript"/>
        </w:rPr>
        <w:t>rd</w:t>
      </w:r>
      <w:r>
        <w:rPr>
          <w:rFonts w:ascii="Times New Roman" w:hAnsi="Times New Roman" w:cs="Times New Roman"/>
        </w:rPr>
        <w:t xml:space="preserve"> largest importer of Crude Oil in the world after China and United States of America. On the contrary, there is another fact that India is the world’s 2</w:t>
      </w:r>
      <w:r w:rsidRPr="002045B3">
        <w:rPr>
          <w:rFonts w:ascii="Times New Roman" w:hAnsi="Times New Roman" w:cs="Times New Roman"/>
          <w:vertAlign w:val="superscript"/>
        </w:rPr>
        <w:t>nd</w:t>
      </w:r>
      <w:r>
        <w:rPr>
          <w:rFonts w:ascii="Times New Roman" w:hAnsi="Times New Roman" w:cs="Times New Roman"/>
        </w:rPr>
        <w:t xml:space="preserve"> largest exporter of refined fuel after United States of America, with 8.4% of World’s total refined fuel exports</w:t>
      </w:r>
      <w:r>
        <w:rPr>
          <w:rStyle w:val="FootnoteReference"/>
          <w:rFonts w:ascii="Times New Roman" w:hAnsi="Times New Roman" w:cs="Times New Roman"/>
        </w:rPr>
        <w:footnoteReference w:id="1"/>
      </w:r>
      <w:r>
        <w:rPr>
          <w:rFonts w:ascii="Times New Roman" w:hAnsi="Times New Roman" w:cs="Times New Roman"/>
        </w:rPr>
        <w:t>.</w:t>
      </w:r>
    </w:p>
    <w:p w14:paraId="3E593C30" w14:textId="77777777" w:rsidR="001D65B3" w:rsidRDefault="001D65B3" w:rsidP="001D65B3">
      <w:pPr>
        <w:spacing w:line="360" w:lineRule="auto"/>
        <w:jc w:val="both"/>
        <w:rPr>
          <w:rFonts w:ascii="Times New Roman" w:hAnsi="Times New Roman" w:cs="Times New Roman"/>
        </w:rPr>
      </w:pPr>
      <w:r>
        <w:rPr>
          <w:rFonts w:ascii="Times New Roman" w:hAnsi="Times New Roman" w:cs="Times New Roman"/>
        </w:rPr>
        <w:t xml:space="preserve">Even after India’s high fuel exports, India still an import dominant country with high fuel imports due to which India’s trade balance always have a deficit. Due to this, India’s economy mostly suffers the change in foreign fuel price fluctuations. Fuel is the major component of India’s energy sector, and it evolves around all the sectors of the economy. India’s industries depend on retail fuel prices which are highly dependent on foreign fuel prices. With increase </w:t>
      </w:r>
      <w:r>
        <w:rPr>
          <w:rFonts w:ascii="Times New Roman" w:hAnsi="Times New Roman" w:cs="Times New Roman"/>
        </w:rPr>
        <w:lastRenderedPageBreak/>
        <w:t xml:space="preserve">in the foreign fuel prices, the cost of production increases rapidly in India causing cost push inflation in the economy. In general, the fuel inflation has a direct effect on India’s inflation. </w:t>
      </w:r>
    </w:p>
    <w:p w14:paraId="1C2BB1D0" w14:textId="6DB205AF" w:rsidR="00E843F5" w:rsidRDefault="00E843F5" w:rsidP="001D65B3">
      <w:pPr>
        <w:spacing w:line="360" w:lineRule="auto"/>
        <w:jc w:val="both"/>
        <w:rPr>
          <w:rFonts w:ascii="Times New Roman" w:hAnsi="Times New Roman" w:cs="Times New Roman"/>
          <w:lang w:val="en-IN"/>
        </w:rPr>
      </w:pPr>
      <w:r w:rsidRPr="00E843F5">
        <w:rPr>
          <w:rFonts w:ascii="Times New Roman" w:hAnsi="Times New Roman" w:cs="Times New Roman"/>
          <w:lang w:val="en-IN"/>
        </w:rPr>
        <w:t xml:space="preserve">The interplay of crude oil prices and fluctuations in exchange rates is expected to affect the performance of economies differently. A decline in international crude oil prices and a falling exchange rate play important roles in the balance of trade, economic activities, and growth both in oil exporting and importing countries. A fall in crude oil price and exchange rate force oil-exporting countries to enhance quantum of crude oil export to meet import requirements and maintain growth process; otherwise, they must face a rising deficit in their balance of payments </w:t>
      </w:r>
      <w:sdt>
        <w:sdtPr>
          <w:rPr>
            <w:rFonts w:ascii="Times New Roman" w:hAnsi="Times New Roman" w:cs="Times New Roman"/>
            <w:lang w:val="en-IN"/>
          </w:rPr>
          <w:id w:val="-174500526"/>
          <w:citation/>
        </w:sdtPr>
        <w:sdtContent>
          <w:r w:rsidR="004A1D22">
            <w:rPr>
              <w:rFonts w:ascii="Times New Roman" w:hAnsi="Times New Roman" w:cs="Times New Roman"/>
              <w:lang w:val="en-IN"/>
            </w:rPr>
            <w:fldChar w:fldCharType="begin"/>
          </w:r>
          <w:r w:rsidR="004A1D22">
            <w:rPr>
              <w:rFonts w:ascii="Times New Roman" w:hAnsi="Times New Roman" w:cs="Times New Roman"/>
              <w:lang w:val="en-US"/>
            </w:rPr>
            <w:instrText xml:space="preserve"> CITATION Bac05 \l 1033 </w:instrText>
          </w:r>
          <w:r w:rsidR="004A1D22">
            <w:rPr>
              <w:rFonts w:ascii="Times New Roman" w:hAnsi="Times New Roman" w:cs="Times New Roman"/>
              <w:lang w:val="en-IN"/>
            </w:rPr>
            <w:fldChar w:fldCharType="separate"/>
          </w:r>
          <w:r w:rsidR="004A1D22" w:rsidRPr="004A1D22">
            <w:rPr>
              <w:rFonts w:ascii="Times New Roman" w:hAnsi="Times New Roman" w:cs="Times New Roman"/>
              <w:noProof/>
              <w:lang w:val="en-US"/>
            </w:rPr>
            <w:t>(Bacon, 2005)</w:t>
          </w:r>
          <w:r w:rsidR="004A1D22">
            <w:rPr>
              <w:rFonts w:ascii="Times New Roman" w:hAnsi="Times New Roman" w:cs="Times New Roman"/>
              <w:lang w:val="en-IN"/>
            </w:rPr>
            <w:fldChar w:fldCharType="end"/>
          </w:r>
        </w:sdtContent>
      </w:sdt>
      <w:r w:rsidRPr="00E843F5">
        <w:rPr>
          <w:rFonts w:ascii="Times New Roman" w:hAnsi="Times New Roman" w:cs="Times New Roman"/>
          <w:lang w:val="en-IN"/>
        </w:rPr>
        <w:t>. An opposite movement of crude oil price and exchange rate volatility may, however, counterbalance and show a long-run insignificant effect on domestic inflation, industrial activities, and gross domestic product (GDP) growth</w:t>
      </w:r>
      <w:sdt>
        <w:sdtPr>
          <w:rPr>
            <w:rFonts w:ascii="Times New Roman" w:hAnsi="Times New Roman" w:cs="Times New Roman"/>
            <w:lang w:val="en-IN"/>
          </w:rPr>
          <w:id w:val="385070756"/>
          <w:citation/>
        </w:sdt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Car10 \l 1033 </w:instrText>
          </w:r>
          <w:r w:rsidR="001F6276">
            <w:rPr>
              <w:rFonts w:ascii="Times New Roman" w:hAnsi="Times New Roman" w:cs="Times New Roman"/>
              <w:lang w:val="en-IN"/>
            </w:rPr>
            <w:fldChar w:fldCharType="separate"/>
          </w:r>
          <w:r w:rsidR="001F6276">
            <w:rPr>
              <w:rFonts w:ascii="Times New Roman" w:hAnsi="Times New Roman" w:cs="Times New Roman"/>
              <w:noProof/>
              <w:lang w:val="en-US"/>
            </w:rPr>
            <w:t xml:space="preserve"> </w:t>
          </w:r>
          <w:r w:rsidR="001F6276" w:rsidRPr="001F6276">
            <w:rPr>
              <w:rFonts w:ascii="Times New Roman" w:hAnsi="Times New Roman" w:cs="Times New Roman"/>
              <w:noProof/>
              <w:lang w:val="en-US"/>
            </w:rPr>
            <w:t>(Carlton, 2010)</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132087185"/>
          <w:citation/>
        </w:sdt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Ham83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(Hamilton, 1983)</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492527030"/>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Mor94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(Mork, Olsen, &amp; Mysen, 1994)</w:t>
          </w:r>
          <w:r w:rsidR="007532BC">
            <w:rPr>
              <w:rFonts w:ascii="Times New Roman" w:hAnsi="Times New Roman" w:cs="Times New Roman"/>
              <w:lang w:val="en-IN"/>
            </w:rPr>
            <w:fldChar w:fldCharType="end"/>
          </w:r>
        </w:sdtContent>
      </w:sdt>
      <w:r w:rsidRPr="00E843F5">
        <w:rPr>
          <w:rFonts w:ascii="Times New Roman" w:hAnsi="Times New Roman" w:cs="Times New Roman"/>
          <w:lang w:val="en-IN"/>
        </w:rPr>
        <w:t>. The impact also varies between developed and developing countries</w:t>
      </w:r>
      <w:r w:rsidR="001F6276">
        <w:rPr>
          <w:rFonts w:ascii="Times New Roman" w:hAnsi="Times New Roman" w:cs="Times New Roman"/>
          <w:lang w:val="en-IN"/>
        </w:rPr>
        <w:t xml:space="preserve"> </w:t>
      </w:r>
      <w:sdt>
        <w:sdtPr>
          <w:rPr>
            <w:rFonts w:ascii="Times New Roman" w:hAnsi="Times New Roman" w:cs="Times New Roman"/>
            <w:lang w:val="en-IN"/>
          </w:rPr>
          <w:id w:val="13891878"/>
          <w:citation/>
        </w:sdt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Bur82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(Burno &amp; Sachs, 1982)</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951703187"/>
          <w:citation/>
        </w:sdtPr>
        <w:sdtContent>
          <w:r w:rsidR="001F6276">
            <w:rPr>
              <w:rFonts w:ascii="Times New Roman" w:hAnsi="Times New Roman" w:cs="Times New Roman"/>
              <w:lang w:val="en-IN"/>
            </w:rPr>
            <w:fldChar w:fldCharType="begin"/>
          </w:r>
          <w:r w:rsidR="001F6276">
            <w:rPr>
              <w:rFonts w:ascii="Times New Roman" w:hAnsi="Times New Roman" w:cs="Times New Roman"/>
              <w:noProof/>
              <w:lang w:val="en-US"/>
            </w:rPr>
            <w:instrText xml:space="preserve"> CITATION DuL10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(Du, He, &amp; Wei, 2010)</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501198431"/>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Hoo96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(Hooker, 1996)</w:t>
          </w:r>
          <w:r w:rsidR="007532BC">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9793605"/>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CITATION Hsi02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(Hsieh, 2008)</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497507709"/>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Kum09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(Kumar, 2009)</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081437292"/>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Mal08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(Malik, 2008)</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The adverse impact of oil price rises on economic growth is more pronounced in developing countries</w:t>
      </w:r>
      <w:sdt>
        <w:sdtPr>
          <w:rPr>
            <w:rFonts w:ascii="Times New Roman" w:hAnsi="Times New Roman" w:cs="Times New Roman"/>
            <w:lang w:val="en-IN"/>
          </w:rPr>
          <w:id w:val="1831481811"/>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Bac05 \l 1033 </w:instrText>
          </w:r>
          <w:r w:rsidR="001F6276">
            <w:rPr>
              <w:rFonts w:ascii="Times New Roman" w:hAnsi="Times New Roman" w:cs="Times New Roman"/>
              <w:lang w:val="en-IN"/>
            </w:rPr>
            <w:fldChar w:fldCharType="separate"/>
          </w:r>
          <w:r w:rsidR="001F6276">
            <w:rPr>
              <w:rFonts w:ascii="Times New Roman" w:hAnsi="Times New Roman" w:cs="Times New Roman"/>
              <w:noProof/>
              <w:lang w:val="en-US"/>
            </w:rPr>
            <w:t xml:space="preserve"> </w:t>
          </w:r>
          <w:r w:rsidR="001F6276" w:rsidRPr="001F6276">
            <w:rPr>
              <w:rFonts w:ascii="Times New Roman" w:hAnsi="Times New Roman" w:cs="Times New Roman"/>
              <w:noProof/>
              <w:lang w:val="en-US"/>
            </w:rPr>
            <w:t>(Bacon, 2005)</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642349171"/>
          <w:citation/>
        </w:sdtPr>
        <w:sdtContent>
          <w:r w:rsidR="00593D51">
            <w:rPr>
              <w:rFonts w:ascii="Times New Roman" w:hAnsi="Times New Roman" w:cs="Times New Roman"/>
              <w:lang w:val="en-IN"/>
            </w:rPr>
            <w:fldChar w:fldCharType="begin"/>
          </w:r>
          <w:r w:rsidR="00C21C48">
            <w:rPr>
              <w:rFonts w:ascii="Times New Roman" w:hAnsi="Times New Roman" w:cs="Times New Roman"/>
              <w:lang w:val="en-US"/>
            </w:rPr>
            <w:instrText xml:space="preserve">CITATION Dal11 \l 1033 </w:instrText>
          </w:r>
          <w:r w:rsidR="00593D51">
            <w:rPr>
              <w:rFonts w:ascii="Times New Roman" w:hAnsi="Times New Roman" w:cs="Times New Roman"/>
              <w:lang w:val="en-IN"/>
            </w:rPr>
            <w:fldChar w:fldCharType="separate"/>
          </w:r>
          <w:r w:rsidR="00C21C48" w:rsidRPr="00C21C48">
            <w:rPr>
              <w:rFonts w:ascii="Times New Roman" w:hAnsi="Times New Roman" w:cs="Times New Roman"/>
              <w:noProof/>
              <w:lang w:val="en-US"/>
            </w:rPr>
            <w:t>(Akram, 2011)</w:t>
          </w:r>
          <w:r w:rsidR="00593D51">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831785523"/>
          <w:citation/>
        </w:sdtPr>
        <w:sdtContent>
          <w:r w:rsidR="00593D51">
            <w:rPr>
              <w:rFonts w:ascii="Times New Roman" w:hAnsi="Times New Roman" w:cs="Times New Roman"/>
              <w:lang w:val="en-IN"/>
            </w:rPr>
            <w:fldChar w:fldCharType="begin"/>
          </w:r>
          <w:r w:rsidR="00593D51">
            <w:rPr>
              <w:rFonts w:ascii="Times New Roman" w:hAnsi="Times New Roman" w:cs="Times New Roman"/>
              <w:lang w:val="en-US"/>
            </w:rPr>
            <w:instrText xml:space="preserve"> CITATION Kis17 \l 1033 </w:instrText>
          </w:r>
          <w:r w:rsidR="00593D51">
            <w:rPr>
              <w:rFonts w:ascii="Times New Roman" w:hAnsi="Times New Roman" w:cs="Times New Roman"/>
              <w:lang w:val="en-IN"/>
            </w:rPr>
            <w:fldChar w:fldCharType="separate"/>
          </w:r>
          <w:r w:rsidR="00593D51" w:rsidRPr="00593D51">
            <w:rPr>
              <w:rFonts w:ascii="Times New Roman" w:hAnsi="Times New Roman" w:cs="Times New Roman"/>
              <w:noProof/>
              <w:lang w:val="en-US"/>
            </w:rPr>
            <w:t>(Kisswani, 2017)</w:t>
          </w:r>
          <w:r w:rsidR="00593D51">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33860067"/>
          <w:citation/>
        </w:sdt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227571999"/>
          <w:citation/>
        </w:sdt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Sha131 \l 1033 </w:instrText>
          </w:r>
          <w:r w:rsidR="005E1ED9">
            <w:rPr>
              <w:rFonts w:ascii="Times New Roman" w:hAnsi="Times New Roman" w:cs="Times New Roman"/>
              <w:lang w:val="en-IN"/>
            </w:rPr>
            <w:fldChar w:fldCharType="separate"/>
          </w:r>
          <w:r w:rsidR="005E1ED9" w:rsidRPr="005E1ED9">
            <w:rPr>
              <w:rFonts w:ascii="Times New Roman" w:hAnsi="Times New Roman" w:cs="Times New Roman"/>
              <w:noProof/>
              <w:lang w:val="en-US"/>
            </w:rPr>
            <w:t>(Shaari, Pei, &amp; Rahim, 2013)</w:t>
          </w:r>
          <w:r w:rsidR="005E1ED9">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751008056"/>
          <w:citation/>
        </w:sdt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Var21 \l 1033 </w:instrText>
          </w:r>
          <w:r w:rsidR="005E1ED9">
            <w:rPr>
              <w:rFonts w:ascii="Times New Roman" w:hAnsi="Times New Roman" w:cs="Times New Roman"/>
              <w:lang w:val="en-IN"/>
            </w:rPr>
            <w:fldChar w:fldCharType="separate"/>
          </w:r>
          <w:r w:rsidR="005E1ED9" w:rsidRPr="005E1ED9">
            <w:rPr>
              <w:rFonts w:ascii="Times New Roman" w:hAnsi="Times New Roman" w:cs="Times New Roman"/>
              <w:noProof/>
              <w:lang w:val="en-US"/>
            </w:rPr>
            <w:t>(Varadhan &amp; Verma, 2021)</w:t>
          </w:r>
          <w:r w:rsidR="005E1ED9">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p>
    <w:p w14:paraId="038C0DDE" w14:textId="1C5CD3FD" w:rsidR="00E843F5" w:rsidRDefault="00E843F5" w:rsidP="00E843F5">
      <w:pPr>
        <w:spacing w:line="360" w:lineRule="auto"/>
        <w:jc w:val="both"/>
        <w:rPr>
          <w:rFonts w:ascii="Times New Roman" w:hAnsi="Times New Roman" w:cs="Times New Roman"/>
          <w:lang w:val="en-IN"/>
        </w:rPr>
      </w:pPr>
      <w:r w:rsidRPr="00E843F5">
        <w:rPr>
          <w:rFonts w:ascii="Times New Roman" w:hAnsi="Times New Roman" w:cs="Times New Roman"/>
          <w:lang w:val="en-IN"/>
        </w:rPr>
        <w:t xml:space="preserve">If an oil price shock causes cost-push inflation, leading to a reduction in the purchasing power of people with a trivial effect on the profit of the entrepreneurs, the overall economic activity, especially industrial production, would fall </w:t>
      </w:r>
      <w:sdt>
        <w:sdtPr>
          <w:rPr>
            <w:rFonts w:ascii="Times New Roman" w:hAnsi="Times New Roman" w:cs="Times New Roman"/>
            <w:lang w:val="en-IN"/>
          </w:rPr>
          <w:id w:val="-205725134"/>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Kum09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(Kumar, 2009)</w:t>
          </w:r>
          <w:r w:rsidR="00DF62CB">
            <w:rPr>
              <w:rFonts w:ascii="Times New Roman" w:hAnsi="Times New Roman" w:cs="Times New Roman"/>
              <w:lang w:val="en-IN"/>
            </w:rPr>
            <w:fldChar w:fldCharType="end"/>
          </w:r>
        </w:sdtContent>
      </w:sdt>
      <w:r w:rsidRPr="00E843F5">
        <w:rPr>
          <w:rFonts w:ascii="Times New Roman" w:hAnsi="Times New Roman" w:cs="Times New Roman"/>
          <w:lang w:val="en-IN"/>
        </w:rPr>
        <w:t>. The multiplier effect of such a rise in fuel prices would be reflected in reduced employment opportunities and bring forth a recession in the economy</w:t>
      </w:r>
      <w:sdt>
        <w:sdtPr>
          <w:rPr>
            <w:rFonts w:ascii="Times New Roman" w:hAnsi="Times New Roman" w:cs="Times New Roman"/>
            <w:lang w:val="en-IN"/>
          </w:rPr>
          <w:id w:val="-643665058"/>
          <w:citation/>
        </w:sdt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Abe01 \l 1033 </w:instrText>
          </w:r>
          <w:r w:rsidR="005E1ED9">
            <w:rPr>
              <w:rFonts w:ascii="Times New Roman" w:hAnsi="Times New Roman" w:cs="Times New Roman"/>
              <w:lang w:val="en-IN"/>
            </w:rPr>
            <w:fldChar w:fldCharType="separate"/>
          </w:r>
          <w:r w:rsidR="005E1ED9">
            <w:rPr>
              <w:rFonts w:ascii="Times New Roman" w:hAnsi="Times New Roman" w:cs="Times New Roman"/>
              <w:noProof/>
              <w:lang w:val="en-US"/>
            </w:rPr>
            <w:t xml:space="preserve"> </w:t>
          </w:r>
          <w:r w:rsidR="005E1ED9" w:rsidRPr="005E1ED9">
            <w:rPr>
              <w:rFonts w:ascii="Times New Roman" w:hAnsi="Times New Roman" w:cs="Times New Roman"/>
              <w:noProof/>
              <w:lang w:val="en-US"/>
            </w:rPr>
            <w:t>(Abeysinghe, 2001)</w:t>
          </w:r>
          <w:r w:rsidR="005E1ED9">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067108495"/>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Car10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(Carlton, 2010)</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1587453514"/>
          <w:citation/>
        </w:sdt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 CITATION Gis86 \l 1033 </w:instrText>
          </w:r>
          <w:r w:rsidR="00D96967">
            <w:rPr>
              <w:rFonts w:ascii="Times New Roman" w:hAnsi="Times New Roman" w:cs="Times New Roman"/>
              <w:lang w:val="en-IN"/>
            </w:rPr>
            <w:fldChar w:fldCharType="separate"/>
          </w:r>
          <w:r w:rsidR="00D96967" w:rsidRPr="00D96967">
            <w:rPr>
              <w:rFonts w:ascii="Times New Roman" w:hAnsi="Times New Roman" w:cs="Times New Roman"/>
              <w:noProof/>
              <w:lang w:val="en-US"/>
            </w:rPr>
            <w:t>(Gisser &amp; Goodwin, 1986)</w:t>
          </w:r>
          <w:r w:rsidR="00D96967">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201630268"/>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Ham83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(Hamilton, 1983)</w:t>
          </w:r>
          <w:r w:rsidR="007532BC">
            <w:rPr>
              <w:rFonts w:ascii="Times New Roman" w:hAnsi="Times New Roman" w:cs="Times New Roman"/>
              <w:lang w:val="en-IN"/>
            </w:rPr>
            <w:fldChar w:fldCharType="end"/>
          </w:r>
        </w:sdtContent>
      </w:sdt>
      <w:r w:rsidRPr="00E843F5">
        <w:rPr>
          <w:rFonts w:ascii="Times New Roman" w:hAnsi="Times New Roman" w:cs="Times New Roman"/>
          <w:lang w:val="en-IN"/>
        </w:rPr>
        <w:t>;</w:t>
      </w:r>
      <w:r>
        <w:rPr>
          <w:rFonts w:ascii="Times New Roman" w:hAnsi="Times New Roman" w:cs="Times New Roman"/>
          <w:lang w:val="en-IN"/>
        </w:rPr>
        <w:t xml:space="preserve"> </w:t>
      </w:r>
      <w:sdt>
        <w:sdtPr>
          <w:rPr>
            <w:rFonts w:ascii="Times New Roman" w:hAnsi="Times New Roman" w:cs="Times New Roman"/>
            <w:lang w:val="en-IN"/>
          </w:rPr>
          <w:id w:val="236293909"/>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Jim04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(Jiménez-Rodríguez &amp; Sànchez, 2004)</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w:t>
      </w:r>
      <w:r>
        <w:rPr>
          <w:rFonts w:ascii="Times New Roman" w:hAnsi="Times New Roman" w:cs="Times New Roman"/>
          <w:lang w:val="en-IN"/>
        </w:rPr>
        <w:t xml:space="preserve"> </w:t>
      </w:r>
      <w:sdt>
        <w:sdtPr>
          <w:rPr>
            <w:rFonts w:ascii="Times New Roman" w:hAnsi="Times New Roman" w:cs="Times New Roman"/>
            <w:lang w:val="en-IN"/>
          </w:rPr>
          <w:id w:val="-1290731519"/>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Kil08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(Kilian, 2008)</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 xml:space="preserve">; </w:t>
      </w:r>
      <w:sdt>
        <w:sdtPr>
          <w:rPr>
            <w:rFonts w:ascii="Times New Roman" w:hAnsi="Times New Roman" w:cs="Times New Roman"/>
            <w:lang w:val="en-IN"/>
          </w:rPr>
          <w:id w:val="70474111"/>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Zha08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(Zhang, 2008)</w:t>
          </w:r>
          <w:r w:rsidR="001F6276">
            <w:rPr>
              <w:rFonts w:ascii="Times New Roman" w:hAnsi="Times New Roman" w:cs="Times New Roman"/>
              <w:lang w:val="en-IN"/>
            </w:rPr>
            <w:fldChar w:fldCharType="end"/>
          </w:r>
        </w:sdtContent>
      </w:sdt>
      <w:r w:rsidRPr="00E843F5">
        <w:rPr>
          <w:rFonts w:ascii="Times New Roman" w:hAnsi="Times New Roman" w:cs="Times New Roman"/>
          <w:lang w:val="en-IN"/>
        </w:rPr>
        <w:t>.</w:t>
      </w:r>
    </w:p>
    <w:p w14:paraId="67FA23C7" w14:textId="46755481"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Notwithstanding cross-country differences, adverse impacts of rising crude oil prices on inflation</w:t>
      </w:r>
      <w:sdt>
        <w:sdtPr>
          <w:rPr>
            <w:rFonts w:ascii="Times New Roman" w:hAnsi="Times New Roman" w:cs="Times New Roman"/>
            <w:lang w:val="en-IN"/>
          </w:rPr>
          <w:id w:val="859786943"/>
          <w:citation/>
        </w:sdt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 CITATION Gis86 \l 1033 </w:instrText>
          </w:r>
          <w:r w:rsidR="00D96967">
            <w:rPr>
              <w:rFonts w:ascii="Times New Roman" w:hAnsi="Times New Roman" w:cs="Times New Roman"/>
              <w:lang w:val="en-IN"/>
            </w:rPr>
            <w:fldChar w:fldCharType="separate"/>
          </w:r>
          <w:r w:rsidR="00D96967">
            <w:rPr>
              <w:rFonts w:ascii="Times New Roman" w:hAnsi="Times New Roman" w:cs="Times New Roman"/>
              <w:noProof/>
              <w:lang w:val="en-US"/>
            </w:rPr>
            <w:t xml:space="preserve"> </w:t>
          </w:r>
          <w:r w:rsidR="00D96967" w:rsidRPr="00D96967">
            <w:rPr>
              <w:rFonts w:ascii="Times New Roman" w:hAnsi="Times New Roman" w:cs="Times New Roman"/>
              <w:noProof/>
              <w:lang w:val="en-US"/>
            </w:rPr>
            <w:t>(Gisser &amp; Goodwin, 1986)</w:t>
          </w:r>
          <w:r w:rsidR="00D96967">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742920919"/>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Kil08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(Kilian, 2008)</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production activities, and economic growth have been indicated in several studies</w:t>
      </w:r>
      <w:sdt>
        <w:sdtPr>
          <w:rPr>
            <w:rFonts w:ascii="Times New Roman" w:hAnsi="Times New Roman" w:cs="Times New Roman"/>
            <w:lang w:val="en-IN"/>
          </w:rPr>
          <w:id w:val="836736847"/>
          <w:citation/>
        </w:sdt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Bac05 \l 1033 </w:instrText>
          </w:r>
          <w:r w:rsidR="00AA3D48">
            <w:rPr>
              <w:rFonts w:ascii="Times New Roman" w:hAnsi="Times New Roman" w:cs="Times New Roman"/>
              <w:lang w:val="en-IN"/>
            </w:rPr>
            <w:fldChar w:fldCharType="separate"/>
          </w:r>
          <w:r w:rsidR="00AA3D48">
            <w:rPr>
              <w:rFonts w:ascii="Times New Roman" w:hAnsi="Times New Roman" w:cs="Times New Roman"/>
              <w:noProof/>
              <w:lang w:val="en-US"/>
            </w:rPr>
            <w:t xml:space="preserve"> </w:t>
          </w:r>
          <w:r w:rsidR="00AA3D48" w:rsidRPr="00AA3D48">
            <w:rPr>
              <w:rFonts w:ascii="Times New Roman" w:hAnsi="Times New Roman" w:cs="Times New Roman"/>
              <w:noProof/>
              <w:lang w:val="en-US"/>
            </w:rPr>
            <w:t>(Bacon, 2005)</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2083827823"/>
          <w:citation/>
        </w:sdt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Bur82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(Burno &amp; Sachs, 1982)</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32351046"/>
          <w:citation/>
        </w:sdt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Car10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(Carlton,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249788357"/>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Ham83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(Hamilton, 1983)</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894461186"/>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Mor94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(Mork, Olsen, &amp; Mysen, 1994)</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157607071"/>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Zha08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(Zhang, 2008)</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The impact is more pronounced in the developing countries, which have more energy dependence on crude oil imports with fewer energy substitutes and inefficient uses of fuel</w:t>
      </w:r>
      <w:sdt>
        <w:sdtPr>
          <w:rPr>
            <w:rFonts w:ascii="Times New Roman" w:hAnsi="Times New Roman" w:cs="Times New Roman"/>
            <w:lang w:val="en-IN"/>
          </w:rPr>
          <w:id w:val="-1854098444"/>
          <w:citation/>
        </w:sdtPr>
        <w:sdtContent>
          <w:r w:rsidR="005E1ED9">
            <w:rPr>
              <w:rFonts w:ascii="Times New Roman" w:hAnsi="Times New Roman" w:cs="Times New Roman"/>
              <w:lang w:val="en-IN"/>
            </w:rPr>
            <w:fldChar w:fldCharType="begin"/>
          </w:r>
          <w:r w:rsidR="005E1ED9">
            <w:rPr>
              <w:rFonts w:ascii="Times New Roman" w:hAnsi="Times New Roman" w:cs="Times New Roman"/>
              <w:lang w:val="en-US"/>
            </w:rPr>
            <w:instrText xml:space="preserve"> CITATION Abe01 \l 1033 </w:instrText>
          </w:r>
          <w:r w:rsidR="005E1ED9">
            <w:rPr>
              <w:rFonts w:ascii="Times New Roman" w:hAnsi="Times New Roman" w:cs="Times New Roman"/>
              <w:lang w:val="en-IN"/>
            </w:rPr>
            <w:fldChar w:fldCharType="separate"/>
          </w:r>
          <w:r w:rsidR="005E1ED9">
            <w:rPr>
              <w:rFonts w:ascii="Times New Roman" w:hAnsi="Times New Roman" w:cs="Times New Roman"/>
              <w:noProof/>
              <w:lang w:val="en-US"/>
            </w:rPr>
            <w:t xml:space="preserve"> </w:t>
          </w:r>
          <w:r w:rsidR="005E1ED9" w:rsidRPr="005E1ED9">
            <w:rPr>
              <w:rFonts w:ascii="Times New Roman" w:hAnsi="Times New Roman" w:cs="Times New Roman"/>
              <w:noProof/>
              <w:lang w:val="en-US"/>
            </w:rPr>
            <w:t>(Abeysinghe, 2001)</w:t>
          </w:r>
          <w:r w:rsidR="005E1ED9">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2063705661"/>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AlR16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(Al-Risheq, 2016)</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639998529"/>
          <w:citation/>
        </w:sdt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DuL10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(Du, He, &amp; Wei,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610355883"/>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Ham83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(Hamilton, 1983)</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388951290"/>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 CITATION Hoo96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(Hooker, 1996)</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875423227"/>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Hsi02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(Hsieh, 2008)</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988442129"/>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Jim04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(Jiménez-Rodríguez &amp; Sànchez, 2004)</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566225108"/>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Kum09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(Kumar, 2009)</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153519594"/>
          <w:citation/>
        </w:sdt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The developed, oil-exporting countries face insignificant impacts of the crude oil price shock on prices, employment, wages, industrial output, and GDP over time. Nawaz </w:t>
      </w:r>
      <w:sdt>
        <w:sdtPr>
          <w:rPr>
            <w:rFonts w:ascii="Times New Roman" w:hAnsi="Times New Roman" w:cs="Times New Roman"/>
            <w:lang w:val="en-IN"/>
          </w:rPr>
          <w:id w:val="-606356348"/>
          <w:citation/>
        </w:sdtPr>
        <w:sdtContent>
          <w:r w:rsidR="007E650A">
            <w:rPr>
              <w:rFonts w:ascii="Times New Roman" w:hAnsi="Times New Roman" w:cs="Times New Roman"/>
              <w:lang w:val="en-IN"/>
            </w:rPr>
            <w:fldChar w:fldCharType="begin"/>
          </w:r>
          <w:r w:rsidR="007E650A">
            <w:rPr>
              <w:rFonts w:ascii="Times New Roman" w:hAnsi="Times New Roman" w:cs="Times New Roman"/>
              <w:lang w:val="en-US"/>
            </w:rPr>
            <w:instrText xml:space="preserve">CITATION Naw12 \n  \t  \l 1033 </w:instrText>
          </w:r>
          <w:r w:rsidR="007E650A">
            <w:rPr>
              <w:rFonts w:ascii="Times New Roman" w:hAnsi="Times New Roman" w:cs="Times New Roman"/>
              <w:lang w:val="en-IN"/>
            </w:rPr>
            <w:fldChar w:fldCharType="separate"/>
          </w:r>
          <w:r w:rsidR="007E650A" w:rsidRPr="007E650A">
            <w:rPr>
              <w:rFonts w:ascii="Times New Roman" w:hAnsi="Times New Roman" w:cs="Times New Roman"/>
              <w:noProof/>
              <w:lang w:val="en-US"/>
            </w:rPr>
            <w:t>(2012)</w:t>
          </w:r>
          <w:r w:rsidR="007E650A">
            <w:rPr>
              <w:rFonts w:ascii="Times New Roman" w:hAnsi="Times New Roman" w:cs="Times New Roman"/>
              <w:lang w:val="en-IN"/>
            </w:rPr>
            <w:fldChar w:fldCharType="end"/>
          </w:r>
        </w:sdtContent>
      </w:sdt>
      <w:r w:rsidRPr="00C46798">
        <w:rPr>
          <w:rFonts w:ascii="Times New Roman" w:hAnsi="Times New Roman" w:cs="Times New Roman"/>
          <w:lang w:val="en-IN"/>
        </w:rPr>
        <w:t xml:space="preserve">, using a bound testing approach on an autoregressive distributive lag (ARDL) model, found that the depreciation of the exchange rate led to a contraction of output in Pakistan during 1972–2010; </w:t>
      </w:r>
      <w:r w:rsidRPr="00C46798">
        <w:rPr>
          <w:rFonts w:ascii="Times New Roman" w:hAnsi="Times New Roman" w:cs="Times New Roman"/>
          <w:lang w:val="en-IN"/>
        </w:rPr>
        <w:lastRenderedPageBreak/>
        <w:t>though an error correction model (ECM) shows a robust positive short-run impact on the output. Also, the positive and more equitable distributional impacts of falling crude oil prices are observed in the stud</w:t>
      </w:r>
      <w:r w:rsidR="007E650A">
        <w:rPr>
          <w:rFonts w:ascii="Times New Roman" w:hAnsi="Times New Roman" w:cs="Times New Roman"/>
          <w:lang w:val="en-IN"/>
        </w:rPr>
        <w:t>y</w:t>
      </w:r>
      <w:r w:rsidRPr="00C46798">
        <w:rPr>
          <w:rFonts w:ascii="Times New Roman" w:hAnsi="Times New Roman" w:cs="Times New Roman"/>
          <w:lang w:val="en-IN"/>
        </w:rPr>
        <w:t xml:space="preserve"> of Saari</w:t>
      </w:r>
      <w:r w:rsidR="007E650A">
        <w:rPr>
          <w:rFonts w:ascii="Times New Roman" w:hAnsi="Times New Roman" w:cs="Times New Roman"/>
          <w:lang w:val="en-IN"/>
        </w:rPr>
        <w:t xml:space="preserve"> et al. </w:t>
      </w:r>
      <w:sdt>
        <w:sdtPr>
          <w:rPr>
            <w:rFonts w:ascii="Times New Roman" w:hAnsi="Times New Roman" w:cs="Times New Roman"/>
            <w:lang w:val="en-IN"/>
          </w:rPr>
          <w:id w:val="-69739167"/>
          <w:citation/>
        </w:sdtPr>
        <w:sdtContent>
          <w:r w:rsidR="007E650A">
            <w:rPr>
              <w:rFonts w:ascii="Times New Roman" w:hAnsi="Times New Roman" w:cs="Times New Roman"/>
              <w:lang w:val="en-IN"/>
            </w:rPr>
            <w:fldChar w:fldCharType="begin"/>
          </w:r>
          <w:r w:rsidR="007E650A">
            <w:rPr>
              <w:rFonts w:ascii="Times New Roman" w:hAnsi="Times New Roman" w:cs="Times New Roman"/>
              <w:lang w:val="en-US"/>
            </w:rPr>
            <w:instrText xml:space="preserve">CITATION Saa16 \n  \t  \l 1033 </w:instrText>
          </w:r>
          <w:r w:rsidR="007E650A">
            <w:rPr>
              <w:rFonts w:ascii="Times New Roman" w:hAnsi="Times New Roman" w:cs="Times New Roman"/>
              <w:lang w:val="en-IN"/>
            </w:rPr>
            <w:fldChar w:fldCharType="separate"/>
          </w:r>
          <w:r w:rsidR="007E650A" w:rsidRPr="007E650A">
            <w:rPr>
              <w:rFonts w:ascii="Times New Roman" w:hAnsi="Times New Roman" w:cs="Times New Roman"/>
              <w:noProof/>
              <w:lang w:val="en-US"/>
            </w:rPr>
            <w:t>(2016)</w:t>
          </w:r>
          <w:r w:rsidR="007E650A">
            <w:rPr>
              <w:rFonts w:ascii="Times New Roman" w:hAnsi="Times New Roman" w:cs="Times New Roman"/>
              <w:lang w:val="en-IN"/>
            </w:rPr>
            <w:fldChar w:fldCharType="end"/>
          </w:r>
        </w:sdtContent>
      </w:sdt>
      <w:r w:rsidRPr="00C46798">
        <w:rPr>
          <w:rFonts w:ascii="Times New Roman" w:hAnsi="Times New Roman" w:cs="Times New Roman"/>
          <w:lang w:val="en-IN"/>
        </w:rPr>
        <w:t xml:space="preserve">, while Al-Hajj et al. </w:t>
      </w:r>
      <w:sdt>
        <w:sdtPr>
          <w:rPr>
            <w:rFonts w:ascii="Times New Roman" w:hAnsi="Times New Roman" w:cs="Times New Roman"/>
            <w:lang w:val="en-IN"/>
          </w:rPr>
          <w:id w:val="-298844339"/>
          <w:citation/>
        </w:sdt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CITATION AlH21 \n  \t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(2021)</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cointegrated sectoral stock returns and inverse impacts of the oil price shock in Malaysia. Long-term adverse impacts of the oil price shock on agriculture, construction, and manufacturing have also been reported by </w:t>
      </w:r>
      <w:proofErr w:type="spellStart"/>
      <w:r w:rsidRPr="00C46798">
        <w:rPr>
          <w:rFonts w:ascii="Times New Roman" w:hAnsi="Times New Roman" w:cs="Times New Roman"/>
          <w:lang w:val="en-IN"/>
        </w:rPr>
        <w:t>Harrera</w:t>
      </w:r>
      <w:proofErr w:type="spellEnd"/>
      <w:r w:rsidR="00C45240">
        <w:rPr>
          <w:rFonts w:ascii="Times New Roman" w:hAnsi="Times New Roman" w:cs="Times New Roman"/>
          <w:lang w:val="en-IN"/>
        </w:rPr>
        <w:t xml:space="preserve"> et al.</w:t>
      </w:r>
      <w:r w:rsidRPr="00C46798">
        <w:rPr>
          <w:rFonts w:ascii="Times New Roman" w:hAnsi="Times New Roman" w:cs="Times New Roman"/>
          <w:lang w:val="en-IN"/>
        </w:rPr>
        <w:t xml:space="preserve"> </w:t>
      </w:r>
      <w:sdt>
        <w:sdtPr>
          <w:rPr>
            <w:rFonts w:ascii="Times New Roman" w:hAnsi="Times New Roman" w:cs="Times New Roman"/>
            <w:lang w:val="en-IN"/>
          </w:rPr>
          <w:id w:val="-773162524"/>
          <w:citation/>
        </w:sdt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CITATION Har11 \n  \t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(2011)</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Shaari et al. </w:t>
      </w:r>
      <w:sdt>
        <w:sdtPr>
          <w:rPr>
            <w:rFonts w:ascii="Times New Roman" w:hAnsi="Times New Roman" w:cs="Times New Roman"/>
            <w:lang w:val="en-IN"/>
          </w:rPr>
          <w:id w:val="-1365430191"/>
          <w:citation/>
        </w:sdt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CITATION Sha131 \n  \t  \l 1033 </w:instrText>
          </w:r>
          <w:r w:rsidR="00D96967">
            <w:rPr>
              <w:rFonts w:ascii="Times New Roman" w:hAnsi="Times New Roman" w:cs="Times New Roman"/>
              <w:lang w:val="en-IN"/>
            </w:rPr>
            <w:fldChar w:fldCharType="separate"/>
          </w:r>
          <w:r w:rsidR="00D96967" w:rsidRPr="00D96967">
            <w:rPr>
              <w:rFonts w:ascii="Times New Roman" w:hAnsi="Times New Roman" w:cs="Times New Roman"/>
              <w:noProof/>
              <w:lang w:val="en-US"/>
            </w:rPr>
            <w:t>(2013)</w:t>
          </w:r>
          <w:r w:rsidR="00D96967">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p>
    <w:p w14:paraId="023B6948" w14:textId="297847CB"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The relationship between crude oil price and GDP growth has been found to be nonlinear</w:t>
      </w:r>
      <w:sdt>
        <w:sdtPr>
          <w:rPr>
            <w:rFonts w:ascii="Times New Roman" w:hAnsi="Times New Roman" w:cs="Times New Roman"/>
            <w:lang w:val="en-IN"/>
          </w:rPr>
          <w:id w:val="-1797982458"/>
          <w:citation/>
        </w:sdt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Car10 \l 1033 </w:instrText>
          </w:r>
          <w:r w:rsidR="00AA3D48">
            <w:rPr>
              <w:rFonts w:ascii="Times New Roman" w:hAnsi="Times New Roman" w:cs="Times New Roman"/>
              <w:lang w:val="en-IN"/>
            </w:rPr>
            <w:fldChar w:fldCharType="separate"/>
          </w:r>
          <w:r w:rsidR="00AA3D48">
            <w:rPr>
              <w:rFonts w:ascii="Times New Roman" w:hAnsi="Times New Roman" w:cs="Times New Roman"/>
              <w:noProof/>
              <w:lang w:val="en-US"/>
            </w:rPr>
            <w:t xml:space="preserve"> </w:t>
          </w:r>
          <w:r w:rsidR="00AA3D48" w:rsidRPr="00AA3D48">
            <w:rPr>
              <w:rFonts w:ascii="Times New Roman" w:hAnsi="Times New Roman" w:cs="Times New Roman"/>
              <w:noProof/>
              <w:lang w:val="en-US"/>
            </w:rPr>
            <w:t>(Carlton,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467171299"/>
          <w:citation/>
        </w:sdt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 CITATION Joh18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(Johnny, Timipere, Ayunku, &amp; Peter, 2018)</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w:t>
      </w:r>
      <w:sdt>
        <w:sdtPr>
          <w:rPr>
            <w:rFonts w:ascii="Times New Roman" w:hAnsi="Times New Roman" w:cs="Times New Roman"/>
            <w:lang w:val="en-IN"/>
          </w:rPr>
          <w:id w:val="1659655172"/>
          <w:citation/>
        </w:sdt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Though the rise in oil prices has had an adverse impact on economic growth in Japan </w:t>
      </w:r>
      <w:sdt>
        <w:sdtPr>
          <w:rPr>
            <w:rFonts w:ascii="Times New Roman" w:hAnsi="Times New Roman" w:cs="Times New Roman"/>
            <w:lang w:val="en-IN"/>
          </w:rPr>
          <w:id w:val="-890414189"/>
          <w:citation/>
        </w:sdtPr>
        <w:sdtContent>
          <w:r w:rsidR="001F6276">
            <w:rPr>
              <w:rFonts w:ascii="Times New Roman" w:hAnsi="Times New Roman" w:cs="Times New Roman"/>
              <w:lang w:val="en-IN"/>
            </w:rPr>
            <w:fldChar w:fldCharType="begin"/>
          </w:r>
          <w:r w:rsidR="001F6276">
            <w:rPr>
              <w:rFonts w:ascii="Times New Roman" w:hAnsi="Times New Roman" w:cs="Times New Roman"/>
              <w:lang w:val="en-US"/>
            </w:rPr>
            <w:instrText xml:space="preserve"> CITATION Zha08 \l 1033 </w:instrText>
          </w:r>
          <w:r w:rsidR="001F6276">
            <w:rPr>
              <w:rFonts w:ascii="Times New Roman" w:hAnsi="Times New Roman" w:cs="Times New Roman"/>
              <w:lang w:val="en-IN"/>
            </w:rPr>
            <w:fldChar w:fldCharType="separate"/>
          </w:r>
          <w:r w:rsidR="001F6276" w:rsidRPr="001F6276">
            <w:rPr>
              <w:rFonts w:ascii="Times New Roman" w:hAnsi="Times New Roman" w:cs="Times New Roman"/>
              <w:noProof/>
              <w:lang w:val="en-US"/>
            </w:rPr>
            <w:t>(Zhang, 2008)</w:t>
          </w:r>
          <w:r w:rsidR="001F6276">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the Philippines, Thailand </w:t>
      </w:r>
      <w:sdt>
        <w:sdtPr>
          <w:rPr>
            <w:rFonts w:ascii="Times New Roman" w:hAnsi="Times New Roman" w:cs="Times New Roman"/>
            <w:lang w:val="en-IN"/>
          </w:rPr>
          <w:id w:val="1836580994"/>
          <w:citation/>
        </w:sdtPr>
        <w:sdtContent>
          <w:r w:rsidR="00D96967">
            <w:rPr>
              <w:rFonts w:ascii="Times New Roman" w:hAnsi="Times New Roman" w:cs="Times New Roman"/>
              <w:lang w:val="en-IN"/>
            </w:rPr>
            <w:fldChar w:fldCharType="begin"/>
          </w:r>
          <w:r w:rsidR="00D96967">
            <w:rPr>
              <w:rFonts w:ascii="Times New Roman" w:hAnsi="Times New Roman" w:cs="Times New Roman"/>
              <w:lang w:val="en-US"/>
            </w:rPr>
            <w:instrText xml:space="preserve"> CITATION Abe01 \l 1033 </w:instrText>
          </w:r>
          <w:r w:rsidR="00D96967">
            <w:rPr>
              <w:rFonts w:ascii="Times New Roman" w:hAnsi="Times New Roman" w:cs="Times New Roman"/>
              <w:lang w:val="en-IN"/>
            </w:rPr>
            <w:fldChar w:fldCharType="separate"/>
          </w:r>
          <w:r w:rsidR="00D96967" w:rsidRPr="00D96967">
            <w:rPr>
              <w:rFonts w:ascii="Times New Roman" w:hAnsi="Times New Roman" w:cs="Times New Roman"/>
              <w:noProof/>
              <w:lang w:val="en-US"/>
            </w:rPr>
            <w:t>(Abeysinghe, 2001)</w:t>
          </w:r>
          <w:r w:rsidR="00D96967">
            <w:rPr>
              <w:rFonts w:ascii="Times New Roman" w:hAnsi="Times New Roman" w:cs="Times New Roman"/>
              <w:lang w:val="en-IN"/>
            </w:rPr>
            <w:fldChar w:fldCharType="end"/>
          </w:r>
        </w:sdtContent>
      </w:sdt>
      <w:r w:rsidRPr="00C46798">
        <w:rPr>
          <w:rFonts w:ascii="Times New Roman" w:hAnsi="Times New Roman" w:cs="Times New Roman"/>
          <w:lang w:val="en-IN"/>
        </w:rPr>
        <w:t xml:space="preserve">, South Korea </w:t>
      </w:r>
      <w:sdt>
        <w:sdtPr>
          <w:rPr>
            <w:rFonts w:ascii="Times New Roman" w:hAnsi="Times New Roman" w:cs="Times New Roman"/>
            <w:lang w:val="en-IN"/>
          </w:rPr>
          <w:id w:val="-1556541229"/>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 CITATION Hsi02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(Hsieh, 2008)</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several other developing oil-importing countries, a nonlinear positive impact has been found in Pakistan </w:t>
      </w:r>
      <w:sdt>
        <w:sdtPr>
          <w:rPr>
            <w:rFonts w:ascii="Times New Roman" w:hAnsi="Times New Roman" w:cs="Times New Roman"/>
            <w:lang w:val="en-IN"/>
          </w:rPr>
          <w:id w:val="-1432194322"/>
          <w:citation/>
        </w:sdtPr>
        <w:sdtContent>
          <w:r w:rsidR="000B576C">
            <w:rPr>
              <w:rFonts w:ascii="Times New Roman" w:hAnsi="Times New Roman" w:cs="Times New Roman"/>
              <w:lang w:val="en-IN"/>
            </w:rPr>
            <w:fldChar w:fldCharType="begin"/>
          </w:r>
          <w:r w:rsidR="000B576C">
            <w:rPr>
              <w:rFonts w:ascii="Times New Roman" w:hAnsi="Times New Roman" w:cs="Times New Roman"/>
              <w:lang w:val="en-US"/>
            </w:rPr>
            <w:instrText xml:space="preserve"> CITATION Mal08 \l 1033 </w:instrText>
          </w:r>
          <w:r w:rsidR="000B576C">
            <w:rPr>
              <w:rFonts w:ascii="Times New Roman" w:hAnsi="Times New Roman" w:cs="Times New Roman"/>
              <w:lang w:val="en-IN"/>
            </w:rPr>
            <w:fldChar w:fldCharType="separate"/>
          </w:r>
          <w:r w:rsidR="000B576C" w:rsidRPr="000B576C">
            <w:rPr>
              <w:rFonts w:ascii="Times New Roman" w:hAnsi="Times New Roman" w:cs="Times New Roman"/>
              <w:noProof/>
              <w:lang w:val="en-US"/>
            </w:rPr>
            <w:t>(Malik, 2008)</w:t>
          </w:r>
          <w:r w:rsidR="000B576C">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China </w:t>
      </w:r>
      <w:sdt>
        <w:sdtPr>
          <w:rPr>
            <w:rFonts w:ascii="Times New Roman" w:hAnsi="Times New Roman" w:cs="Times New Roman"/>
            <w:lang w:val="en-IN"/>
          </w:rPr>
          <w:id w:val="103389476"/>
          <w:citation/>
        </w:sdtPr>
        <w:sdtContent>
          <w:r w:rsidR="00AA3D48">
            <w:rPr>
              <w:rFonts w:ascii="Times New Roman" w:hAnsi="Times New Roman" w:cs="Times New Roman"/>
              <w:lang w:val="en-IN"/>
            </w:rPr>
            <w:fldChar w:fldCharType="begin"/>
          </w:r>
          <w:r w:rsidR="00AA3D48">
            <w:rPr>
              <w:rFonts w:ascii="Times New Roman" w:hAnsi="Times New Roman" w:cs="Times New Roman"/>
              <w:lang w:val="en-US"/>
            </w:rPr>
            <w:instrText xml:space="preserve"> CITATION DuL10 \l 1033 </w:instrText>
          </w:r>
          <w:r w:rsidR="00AA3D48">
            <w:rPr>
              <w:rFonts w:ascii="Times New Roman" w:hAnsi="Times New Roman" w:cs="Times New Roman"/>
              <w:lang w:val="en-IN"/>
            </w:rPr>
            <w:fldChar w:fldCharType="separate"/>
          </w:r>
          <w:r w:rsidR="00AA3D48" w:rsidRPr="00AA3D48">
            <w:rPr>
              <w:rFonts w:ascii="Times New Roman" w:hAnsi="Times New Roman" w:cs="Times New Roman"/>
              <w:noProof/>
              <w:lang w:val="en-US"/>
            </w:rPr>
            <w:t>(Du, He, &amp; Wei, 2010)</w:t>
          </w:r>
          <w:r w:rsidR="00AA3D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In general, higher crude oil prices positively affect an oil exporting economy due to improved oil revenue, but they may also adversely affect the exporting country due to the reduction in import demand by oil-importing economies </w:t>
      </w:r>
      <w:sdt>
        <w:sdtPr>
          <w:rPr>
            <w:rFonts w:ascii="Times New Roman" w:hAnsi="Times New Roman" w:cs="Times New Roman"/>
            <w:lang w:val="en-IN"/>
          </w:rPr>
          <w:id w:val="-1184280256"/>
          <w:citation/>
        </w:sdtPr>
        <w:sdtContent>
          <w:r w:rsidR="00C45240">
            <w:rPr>
              <w:rFonts w:ascii="Times New Roman" w:hAnsi="Times New Roman" w:cs="Times New Roman"/>
              <w:lang w:val="en-IN"/>
            </w:rPr>
            <w:fldChar w:fldCharType="begin"/>
          </w:r>
          <w:r w:rsidR="00C45240">
            <w:rPr>
              <w:rFonts w:ascii="Times New Roman" w:hAnsi="Times New Roman" w:cs="Times New Roman"/>
              <w:lang w:val="en-US"/>
            </w:rPr>
            <w:instrText xml:space="preserve"> CITATION Bjø09 \l 1033 </w:instrText>
          </w:r>
          <w:r w:rsidR="00C45240">
            <w:rPr>
              <w:rFonts w:ascii="Times New Roman" w:hAnsi="Times New Roman" w:cs="Times New Roman"/>
              <w:lang w:val="en-IN"/>
            </w:rPr>
            <w:fldChar w:fldCharType="separate"/>
          </w:r>
          <w:r w:rsidR="00C45240" w:rsidRPr="00C45240">
            <w:rPr>
              <w:rFonts w:ascii="Times New Roman" w:hAnsi="Times New Roman" w:cs="Times New Roman"/>
              <w:noProof/>
              <w:lang w:val="en-US"/>
            </w:rPr>
            <w:t>(Bjørnland, 2009)</w:t>
          </w:r>
          <w:r w:rsidR="00C45240">
            <w:rPr>
              <w:rFonts w:ascii="Times New Roman" w:hAnsi="Times New Roman" w:cs="Times New Roman"/>
              <w:lang w:val="en-IN"/>
            </w:rPr>
            <w:fldChar w:fldCharType="end"/>
          </w:r>
        </w:sdtContent>
      </w:sdt>
      <w:r w:rsidRPr="00C46798">
        <w:rPr>
          <w:rFonts w:ascii="Times New Roman" w:hAnsi="Times New Roman" w:cs="Times New Roman"/>
          <w:lang w:val="en-IN"/>
        </w:rPr>
        <w:t xml:space="preserve">. Positive oil price shocks increase industrial output because of a decrease in the price of imported inputs in the oil-exporting countries, while negative oil price shocks decrease industrial output due to the higher prices of imported inputs in the oil-importing countries </w:t>
      </w:r>
      <w:sdt>
        <w:sdtPr>
          <w:rPr>
            <w:rFonts w:ascii="Times New Roman" w:hAnsi="Times New Roman" w:cs="Times New Roman"/>
            <w:lang w:val="en-IN"/>
          </w:rPr>
          <w:id w:val="-1473977699"/>
          <w:citation/>
        </w:sdt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 CITATION Far08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(Farzanegan &amp; Markwardt, 2008)</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Thus, the researchers observe contradicting impacts of oil price change and volatility on economic growth depending on the nature of oil exports and imports and the pattern of the economy. </w:t>
      </w:r>
    </w:p>
    <w:p w14:paraId="3C42A4CE" w14:textId="18C02186"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 xml:space="preserve">The adverse impact of the rise in crude oil prices on the index of industrial production in India has been observed in the analysis of Kumar </w:t>
      </w:r>
      <w:sdt>
        <w:sdtPr>
          <w:rPr>
            <w:rFonts w:ascii="Times New Roman" w:hAnsi="Times New Roman" w:cs="Times New Roman"/>
            <w:lang w:val="en-IN"/>
          </w:rPr>
          <w:id w:val="-897131022"/>
          <w:citation/>
        </w:sdtPr>
        <w:sdtContent>
          <w:r w:rsidR="00DF62CB">
            <w:rPr>
              <w:rFonts w:ascii="Times New Roman" w:hAnsi="Times New Roman" w:cs="Times New Roman"/>
              <w:lang w:val="en-IN"/>
            </w:rPr>
            <w:fldChar w:fldCharType="begin"/>
          </w:r>
          <w:r w:rsidR="00DF62CB">
            <w:rPr>
              <w:rFonts w:ascii="Times New Roman" w:hAnsi="Times New Roman" w:cs="Times New Roman"/>
              <w:lang w:val="en-US"/>
            </w:rPr>
            <w:instrText xml:space="preserve">CITATION Kum09 \n  \t  \l 1033 </w:instrText>
          </w:r>
          <w:r w:rsidR="00DF62CB">
            <w:rPr>
              <w:rFonts w:ascii="Times New Roman" w:hAnsi="Times New Roman" w:cs="Times New Roman"/>
              <w:lang w:val="en-IN"/>
            </w:rPr>
            <w:fldChar w:fldCharType="separate"/>
          </w:r>
          <w:r w:rsidR="00DF62CB" w:rsidRPr="00DF62CB">
            <w:rPr>
              <w:rFonts w:ascii="Times New Roman" w:hAnsi="Times New Roman" w:cs="Times New Roman"/>
              <w:noProof/>
              <w:lang w:val="en-US"/>
            </w:rPr>
            <w:t>(2009)</w:t>
          </w:r>
          <w:r w:rsidR="00DF62CB">
            <w:rPr>
              <w:rFonts w:ascii="Times New Roman" w:hAnsi="Times New Roman" w:cs="Times New Roman"/>
              <w:lang w:val="en-IN"/>
            </w:rPr>
            <w:fldChar w:fldCharType="end"/>
          </w:r>
        </w:sdtContent>
      </w:sdt>
      <w:r w:rsidRPr="00C46798">
        <w:rPr>
          <w:rFonts w:ascii="Times New Roman" w:hAnsi="Times New Roman" w:cs="Times New Roman"/>
          <w:lang w:val="en-IN"/>
        </w:rPr>
        <w:t xml:space="preserve">. Multivariate cointegration and Granger causality tests on industrial production and oil price variations from 1993 to 2015 in Thailand reveal a stable long-term causal relationship running from oil price to industrial production </w:t>
      </w:r>
      <w:sdt>
        <w:sdtPr>
          <w:rPr>
            <w:rFonts w:ascii="Times New Roman" w:hAnsi="Times New Roman" w:cs="Times New Roman"/>
            <w:lang w:val="en-IN"/>
          </w:rPr>
          <w:id w:val="1458991752"/>
          <w:citation/>
        </w:sdt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 CITATION Jir17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(Jiranyakul, 2017)</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Estimating bivariate GARCH-in-Mean VAR with a BEKK variance specification, Pinno and </w:t>
      </w:r>
      <w:proofErr w:type="spellStart"/>
      <w:r w:rsidRPr="00C46798">
        <w:rPr>
          <w:rFonts w:ascii="Times New Roman" w:hAnsi="Times New Roman" w:cs="Times New Roman"/>
          <w:lang w:val="en-IN"/>
        </w:rPr>
        <w:t>Serletis</w:t>
      </w:r>
      <w:proofErr w:type="spellEnd"/>
      <w:r w:rsidRPr="00C46798">
        <w:rPr>
          <w:rFonts w:ascii="Times New Roman" w:hAnsi="Times New Roman" w:cs="Times New Roman"/>
          <w:lang w:val="en-IN"/>
        </w:rPr>
        <w:t xml:space="preserve"> </w:t>
      </w:r>
      <w:sdt>
        <w:sdtPr>
          <w:rPr>
            <w:rFonts w:ascii="Times New Roman" w:hAnsi="Times New Roman" w:cs="Times New Roman"/>
            <w:lang w:val="en-IN"/>
          </w:rPr>
          <w:id w:val="-171264096"/>
          <w:citation/>
        </w:sdt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CITATION Pin13 \n  \t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(2013)</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nonlinear impact of oil price volatility on real economic activity and industrial production in USA during January 1974 to June 2011. Using a multivariate vector autoregressive analysis with the Wald Granger causality test and estimating the impulse response function, Akram </w:t>
      </w:r>
      <w:sdt>
        <w:sdtPr>
          <w:rPr>
            <w:rFonts w:ascii="Times New Roman" w:hAnsi="Times New Roman" w:cs="Times New Roman"/>
            <w:lang w:val="en-IN"/>
          </w:rPr>
          <w:id w:val="-1742168032"/>
          <w:citation/>
        </w:sdtPr>
        <w:sdtContent>
          <w:r w:rsidR="00C21C48">
            <w:rPr>
              <w:rFonts w:ascii="Times New Roman" w:hAnsi="Times New Roman" w:cs="Times New Roman"/>
              <w:lang w:val="en-IN"/>
            </w:rPr>
            <w:fldChar w:fldCharType="begin"/>
          </w:r>
          <w:r w:rsidR="00C21C48">
            <w:rPr>
              <w:rFonts w:ascii="Times New Roman" w:hAnsi="Times New Roman" w:cs="Times New Roman"/>
              <w:lang w:val="en-US"/>
            </w:rPr>
            <w:instrText xml:space="preserve">CITATION Dal11 \n  \t  \l 1033 </w:instrText>
          </w:r>
          <w:r w:rsidR="00C21C48">
            <w:rPr>
              <w:rFonts w:ascii="Times New Roman" w:hAnsi="Times New Roman" w:cs="Times New Roman"/>
              <w:lang w:val="en-IN"/>
            </w:rPr>
            <w:fldChar w:fldCharType="separate"/>
          </w:r>
          <w:r w:rsidR="00C21C48" w:rsidRPr="00C21C48">
            <w:rPr>
              <w:rFonts w:ascii="Times New Roman" w:hAnsi="Times New Roman" w:cs="Times New Roman"/>
              <w:noProof/>
              <w:lang w:val="en-US"/>
            </w:rPr>
            <w:t>(2011)</w:t>
          </w:r>
          <w:r w:rsidR="00C21C48">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that India’s economic growth was significantly affected by the growth of crude oil prices, notwithstanding the fact that the adverse impact on growth was comparatively lower in the second year than that in the first year. The adverse effects of crude oil prices and exchange rates on industrial production have also been found in the studies of </w:t>
      </w:r>
      <w:proofErr w:type="spellStart"/>
      <w:r w:rsidRPr="00C46798">
        <w:rPr>
          <w:rFonts w:ascii="Times New Roman" w:hAnsi="Times New Roman" w:cs="Times New Roman"/>
          <w:lang w:val="en-IN"/>
        </w:rPr>
        <w:t>Gokmenoglu</w:t>
      </w:r>
      <w:proofErr w:type="spellEnd"/>
      <w:r w:rsidR="00E52043">
        <w:rPr>
          <w:rFonts w:ascii="Times New Roman" w:hAnsi="Times New Roman" w:cs="Times New Roman"/>
          <w:lang w:val="en-IN"/>
        </w:rPr>
        <w:t xml:space="preserve"> et al. </w:t>
      </w:r>
      <w:sdt>
        <w:sdtPr>
          <w:rPr>
            <w:rFonts w:ascii="Times New Roman" w:hAnsi="Times New Roman" w:cs="Times New Roman"/>
            <w:lang w:val="en-IN"/>
          </w:rPr>
          <w:id w:val="639001917"/>
          <w:citation/>
        </w:sdtPr>
        <w:sdtContent>
          <w:r w:rsidR="00E52043">
            <w:rPr>
              <w:rFonts w:ascii="Times New Roman" w:hAnsi="Times New Roman" w:cs="Times New Roman"/>
              <w:lang w:val="en-IN"/>
            </w:rPr>
            <w:fldChar w:fldCharType="begin"/>
          </w:r>
          <w:r w:rsidR="00E52043">
            <w:rPr>
              <w:rFonts w:ascii="Times New Roman" w:hAnsi="Times New Roman" w:cs="Times New Roman"/>
              <w:lang w:val="en-US"/>
            </w:rPr>
            <w:instrText xml:space="preserve">CITATION Gok15 \n  \t  \l 1033 </w:instrText>
          </w:r>
          <w:r w:rsidR="00E52043">
            <w:rPr>
              <w:rFonts w:ascii="Times New Roman" w:hAnsi="Times New Roman" w:cs="Times New Roman"/>
              <w:lang w:val="en-IN"/>
            </w:rPr>
            <w:fldChar w:fldCharType="separate"/>
          </w:r>
          <w:r w:rsidR="00E52043" w:rsidRPr="00E52043">
            <w:rPr>
              <w:rFonts w:ascii="Times New Roman" w:hAnsi="Times New Roman" w:cs="Times New Roman"/>
              <w:noProof/>
              <w:lang w:val="en-US"/>
            </w:rPr>
            <w:t>(2015)</w:t>
          </w:r>
          <w:r w:rsidR="00E52043">
            <w:rPr>
              <w:rFonts w:ascii="Times New Roman" w:hAnsi="Times New Roman" w:cs="Times New Roman"/>
              <w:lang w:val="en-IN"/>
            </w:rPr>
            <w:fldChar w:fldCharType="end"/>
          </w:r>
        </w:sdtContent>
      </w:sdt>
      <w:r w:rsidRPr="00C46798">
        <w:rPr>
          <w:rFonts w:ascii="Times New Roman" w:hAnsi="Times New Roman" w:cs="Times New Roman"/>
          <w:lang w:val="en-IN"/>
        </w:rPr>
        <w:t xml:space="preserve"> and </w:t>
      </w:r>
      <w:r w:rsidR="00E52043">
        <w:rPr>
          <w:rFonts w:ascii="Times New Roman" w:hAnsi="Times New Roman" w:cs="Times New Roman"/>
          <w:lang w:val="en-IN"/>
        </w:rPr>
        <w:t>Al-</w:t>
      </w:r>
      <w:proofErr w:type="spellStart"/>
      <w:r w:rsidR="00E52043">
        <w:rPr>
          <w:rFonts w:ascii="Times New Roman" w:hAnsi="Times New Roman" w:cs="Times New Roman"/>
          <w:lang w:val="en-IN"/>
        </w:rPr>
        <w:t>Risheq</w:t>
      </w:r>
      <w:proofErr w:type="spellEnd"/>
      <w:r w:rsidR="00E52043">
        <w:rPr>
          <w:rFonts w:ascii="Times New Roman" w:hAnsi="Times New Roman" w:cs="Times New Roman"/>
          <w:lang w:val="en-IN"/>
        </w:rPr>
        <w:t xml:space="preserve"> </w:t>
      </w:r>
      <w:sdt>
        <w:sdtPr>
          <w:rPr>
            <w:rFonts w:ascii="Times New Roman" w:hAnsi="Times New Roman" w:cs="Times New Roman"/>
            <w:lang w:val="en-IN"/>
          </w:rPr>
          <w:id w:val="1101068160"/>
          <w:citation/>
        </w:sdtPr>
        <w:sdtContent>
          <w:r w:rsidR="007E650A">
            <w:rPr>
              <w:rFonts w:ascii="Times New Roman" w:hAnsi="Times New Roman" w:cs="Times New Roman"/>
              <w:lang w:val="en-IN"/>
            </w:rPr>
            <w:fldChar w:fldCharType="begin"/>
          </w:r>
          <w:r w:rsidR="00E52043">
            <w:rPr>
              <w:rFonts w:ascii="Times New Roman" w:hAnsi="Times New Roman" w:cs="Times New Roman"/>
              <w:lang w:val="en-US"/>
            </w:rPr>
            <w:instrText xml:space="preserve">CITATION AlR16 \n  \t  \l 1033 </w:instrText>
          </w:r>
          <w:r w:rsidR="007E650A">
            <w:rPr>
              <w:rFonts w:ascii="Times New Roman" w:hAnsi="Times New Roman" w:cs="Times New Roman"/>
              <w:lang w:val="en-IN"/>
            </w:rPr>
            <w:fldChar w:fldCharType="separate"/>
          </w:r>
          <w:r w:rsidR="00E52043" w:rsidRPr="00E52043">
            <w:rPr>
              <w:rFonts w:ascii="Times New Roman" w:hAnsi="Times New Roman" w:cs="Times New Roman"/>
              <w:noProof/>
              <w:lang w:val="en-US"/>
            </w:rPr>
            <w:t>(2016)</w:t>
          </w:r>
          <w:r w:rsidR="007E650A">
            <w:rPr>
              <w:rFonts w:ascii="Times New Roman" w:hAnsi="Times New Roman" w:cs="Times New Roman"/>
              <w:lang w:val="en-IN"/>
            </w:rPr>
            <w:fldChar w:fldCharType="end"/>
          </w:r>
        </w:sdtContent>
      </w:sdt>
      <w:r w:rsidRPr="00C46798">
        <w:rPr>
          <w:rFonts w:ascii="Times New Roman" w:hAnsi="Times New Roman" w:cs="Times New Roman"/>
          <w:lang w:val="en-IN"/>
        </w:rPr>
        <w:t xml:space="preserve">. The negative </w:t>
      </w:r>
      <w:r w:rsidRPr="00C46798">
        <w:rPr>
          <w:rFonts w:ascii="Times New Roman" w:hAnsi="Times New Roman" w:cs="Times New Roman"/>
          <w:lang w:val="en-IN"/>
        </w:rPr>
        <w:lastRenderedPageBreak/>
        <w:t xml:space="preserve">effect was much higher in Bangladesh than in Pakistan. Therefore, the sign and impact of the crude oil price were not uniform across the countries. </w:t>
      </w:r>
    </w:p>
    <w:p w14:paraId="6AB13F84" w14:textId="5380444E"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 xml:space="preserve">Previous studies have failed to establish any specific relationship between inflation, economic growth, and the price of oil. An increase in oil prices can increase inflation directly by raising the energy cost component of inflation and indirectly by increasing the cost of production. Therefore, the inclusion of an oil price dummy in such an analysis is most appropriate. Using the EGARCH-M model, Bhar and Mallik </w:t>
      </w:r>
      <w:sdt>
        <w:sdtPr>
          <w:rPr>
            <w:rFonts w:ascii="Times New Roman" w:hAnsi="Times New Roman" w:cs="Times New Roman"/>
            <w:lang w:val="en-IN"/>
          </w:rPr>
          <w:id w:val="735910802"/>
          <w:citation/>
        </w:sdtPr>
        <w:sdtContent>
          <w:r w:rsidR="00E52043">
            <w:rPr>
              <w:rFonts w:ascii="Times New Roman" w:hAnsi="Times New Roman" w:cs="Times New Roman"/>
              <w:lang w:val="en-IN"/>
            </w:rPr>
            <w:fldChar w:fldCharType="begin"/>
          </w:r>
          <w:r w:rsidR="00E52043">
            <w:rPr>
              <w:rFonts w:ascii="Times New Roman" w:hAnsi="Times New Roman" w:cs="Times New Roman"/>
              <w:lang w:val="en-US"/>
            </w:rPr>
            <w:instrText xml:space="preserve">CITATION Bha10 \n  \t  \l 1033 </w:instrText>
          </w:r>
          <w:r w:rsidR="00E52043">
            <w:rPr>
              <w:rFonts w:ascii="Times New Roman" w:hAnsi="Times New Roman" w:cs="Times New Roman"/>
              <w:lang w:val="en-IN"/>
            </w:rPr>
            <w:fldChar w:fldCharType="separate"/>
          </w:r>
          <w:r w:rsidR="00E52043" w:rsidRPr="00E52043">
            <w:rPr>
              <w:rFonts w:ascii="Times New Roman" w:hAnsi="Times New Roman" w:cs="Times New Roman"/>
              <w:noProof/>
              <w:lang w:val="en-US"/>
            </w:rPr>
            <w:t>(2010)</w:t>
          </w:r>
          <w:r w:rsidR="00E52043">
            <w:rPr>
              <w:rFonts w:ascii="Times New Roman" w:hAnsi="Times New Roman" w:cs="Times New Roman"/>
              <w:lang w:val="en-IN"/>
            </w:rPr>
            <w:fldChar w:fldCharType="end"/>
          </w:r>
        </w:sdtContent>
      </w:sdt>
      <w:r w:rsidRPr="00C46798">
        <w:rPr>
          <w:rFonts w:ascii="Times New Roman" w:hAnsi="Times New Roman" w:cs="Times New Roman"/>
          <w:lang w:val="en-IN"/>
        </w:rPr>
        <w:t xml:space="preserve"> found that oil prices have a positive and significant effect on inflation. When the oil price (in local currency) increased more than 4% in three consecutive periods, we considered the dummy equal to (+1). Similarly, we have used the dummy as (1) if the oil price decreased more than 4% in three periods consecutively. The dummy is zero otherwise. However, Hamilton </w:t>
      </w:r>
      <w:sdt>
        <w:sdtPr>
          <w:rPr>
            <w:rFonts w:ascii="Times New Roman" w:hAnsi="Times New Roman" w:cs="Times New Roman"/>
            <w:lang w:val="en-IN"/>
          </w:rPr>
          <w:id w:val="1731649558"/>
          <w:citation/>
        </w:sdtPr>
        <w:sdtContent>
          <w:r w:rsidR="007532BC">
            <w:rPr>
              <w:rFonts w:ascii="Times New Roman" w:hAnsi="Times New Roman" w:cs="Times New Roman"/>
              <w:lang w:val="en-IN"/>
            </w:rPr>
            <w:fldChar w:fldCharType="begin"/>
          </w:r>
          <w:r w:rsidR="007532BC">
            <w:rPr>
              <w:rFonts w:ascii="Times New Roman" w:hAnsi="Times New Roman" w:cs="Times New Roman"/>
              <w:lang w:val="en-US"/>
            </w:rPr>
            <w:instrText xml:space="preserve">CITATION Ham83 \n  \t  \l 1033 </w:instrText>
          </w:r>
          <w:r w:rsidR="007532BC">
            <w:rPr>
              <w:rFonts w:ascii="Times New Roman" w:hAnsi="Times New Roman" w:cs="Times New Roman"/>
              <w:lang w:val="en-IN"/>
            </w:rPr>
            <w:fldChar w:fldCharType="separate"/>
          </w:r>
          <w:r w:rsidR="007532BC" w:rsidRPr="007532BC">
            <w:rPr>
              <w:rFonts w:ascii="Times New Roman" w:hAnsi="Times New Roman" w:cs="Times New Roman"/>
              <w:noProof/>
              <w:lang w:val="en-US"/>
            </w:rPr>
            <w:t>(1983)</w:t>
          </w:r>
          <w:r w:rsidR="007532BC">
            <w:rPr>
              <w:rFonts w:ascii="Times New Roman" w:hAnsi="Times New Roman" w:cs="Times New Roman"/>
              <w:lang w:val="en-IN"/>
            </w:rPr>
            <w:fldChar w:fldCharType="end"/>
          </w:r>
        </w:sdtContent>
      </w:sdt>
      <w:r w:rsidRPr="00C46798">
        <w:rPr>
          <w:rFonts w:ascii="Times New Roman" w:hAnsi="Times New Roman" w:cs="Times New Roman"/>
          <w:lang w:val="en-IN"/>
        </w:rPr>
        <w:t xml:space="preserve"> used the dummy corresponding to supply shocks of different periods. They found that this oil price dummy increases inflation significantly but does not increase the output growth. </w:t>
      </w:r>
    </w:p>
    <w:p w14:paraId="2CDE94FA" w14:textId="656782DF" w:rsidR="00C46798" w:rsidRPr="00C46798" w:rsidRDefault="00C46798" w:rsidP="00C46798">
      <w:pPr>
        <w:spacing w:line="360" w:lineRule="auto"/>
        <w:jc w:val="both"/>
        <w:rPr>
          <w:rFonts w:ascii="Times New Roman" w:hAnsi="Times New Roman" w:cs="Times New Roman"/>
          <w:lang w:val="en-IN"/>
        </w:rPr>
      </w:pPr>
      <w:r w:rsidRPr="00C46798">
        <w:rPr>
          <w:rFonts w:ascii="Times New Roman" w:hAnsi="Times New Roman" w:cs="Times New Roman"/>
          <w:lang w:val="en-IN"/>
        </w:rPr>
        <w:t xml:space="preserve">It is thus very difficult to draw a definite conclusion from the literature about the impact of oil price changes on industrial production, inflation, and overall economic activity </w:t>
      </w:r>
      <w:sdt>
        <w:sdtPr>
          <w:rPr>
            <w:rFonts w:ascii="Times New Roman" w:hAnsi="Times New Roman" w:cs="Times New Roman"/>
            <w:lang w:val="en-IN"/>
          </w:rPr>
          <w:id w:val="-164326747"/>
          <w:citation/>
        </w:sdtPr>
        <w:sdtContent>
          <w:r w:rsidR="00E52043">
            <w:rPr>
              <w:rFonts w:ascii="Times New Roman" w:hAnsi="Times New Roman" w:cs="Times New Roman"/>
              <w:lang w:val="en-IN"/>
            </w:rPr>
            <w:fldChar w:fldCharType="begin"/>
          </w:r>
          <w:r w:rsidR="00E52043">
            <w:rPr>
              <w:rFonts w:ascii="Times New Roman" w:hAnsi="Times New Roman" w:cs="Times New Roman"/>
              <w:lang w:val="en-US"/>
            </w:rPr>
            <w:instrText xml:space="preserve"> CITATION Aje21 \l 1033 </w:instrText>
          </w:r>
          <w:r w:rsidR="00E52043">
            <w:rPr>
              <w:rFonts w:ascii="Times New Roman" w:hAnsi="Times New Roman" w:cs="Times New Roman"/>
              <w:lang w:val="en-IN"/>
            </w:rPr>
            <w:fldChar w:fldCharType="separate"/>
          </w:r>
          <w:r w:rsidR="00E52043" w:rsidRPr="00E52043">
            <w:rPr>
              <w:rFonts w:ascii="Times New Roman" w:hAnsi="Times New Roman" w:cs="Times New Roman"/>
              <w:noProof/>
              <w:lang w:val="en-US"/>
            </w:rPr>
            <w:t>(Ajeigbe &amp; Olomola, 2021)</w:t>
          </w:r>
          <w:r w:rsidR="00E52043">
            <w:rPr>
              <w:rFonts w:ascii="Times New Roman" w:hAnsi="Times New Roman" w:cs="Times New Roman"/>
              <w:lang w:val="en-IN"/>
            </w:rPr>
            <w:fldChar w:fldCharType="end"/>
          </w:r>
        </w:sdtContent>
      </w:sdt>
      <w:r w:rsidRPr="00C46798">
        <w:rPr>
          <w:rFonts w:ascii="Times New Roman" w:hAnsi="Times New Roman" w:cs="Times New Roman"/>
          <w:lang w:val="en-IN"/>
        </w:rPr>
        <w:t>. The variation in causality and impacts depends on the socioeconomic characteristics, existing stages of development, activity patterns of the nations, and the models used for examining the impacts of crude oil price surge with exchange rate variation.</w:t>
      </w:r>
      <w:r w:rsidR="00E52043">
        <w:rPr>
          <w:rFonts w:ascii="Times New Roman" w:hAnsi="Times New Roman" w:cs="Times New Roman"/>
          <w:lang w:val="en-IN"/>
        </w:rPr>
        <w:t xml:space="preserve"> </w:t>
      </w:r>
      <w:r w:rsidR="00837A2A">
        <w:rPr>
          <w:rFonts w:ascii="Times New Roman" w:hAnsi="Times New Roman" w:cs="Times New Roman"/>
          <w:lang w:val="en-IN"/>
        </w:rPr>
        <w:t xml:space="preserve">De and Mallik </w:t>
      </w:r>
      <w:sdt>
        <w:sdtPr>
          <w:rPr>
            <w:rFonts w:ascii="Times New Roman" w:hAnsi="Times New Roman" w:cs="Times New Roman"/>
            <w:lang w:val="en-IN"/>
          </w:rPr>
          <w:id w:val="330266285"/>
          <w:citation/>
        </w:sdtPr>
        <w:sdtContent>
          <w:r w:rsidR="00837A2A">
            <w:rPr>
              <w:rFonts w:ascii="Times New Roman" w:hAnsi="Times New Roman" w:cs="Times New Roman"/>
              <w:lang w:val="en-IN"/>
            </w:rPr>
            <w:fldChar w:fldCharType="begin"/>
          </w:r>
          <w:r w:rsidR="00837A2A">
            <w:rPr>
              <w:rFonts w:ascii="Times New Roman" w:hAnsi="Times New Roman" w:cs="Times New Roman"/>
              <w:lang w:val="en-US"/>
            </w:rPr>
            <w:instrText xml:space="preserve">CITATION DeU24 \n  \t  \l 1033 </w:instrText>
          </w:r>
          <w:r w:rsidR="00837A2A">
            <w:rPr>
              <w:rFonts w:ascii="Times New Roman" w:hAnsi="Times New Roman" w:cs="Times New Roman"/>
              <w:lang w:val="en-IN"/>
            </w:rPr>
            <w:fldChar w:fldCharType="separate"/>
          </w:r>
          <w:r w:rsidR="00837A2A" w:rsidRPr="00837A2A">
            <w:rPr>
              <w:rFonts w:ascii="Times New Roman" w:hAnsi="Times New Roman" w:cs="Times New Roman"/>
              <w:noProof/>
              <w:lang w:val="en-US"/>
            </w:rPr>
            <w:t>(2024)</w:t>
          </w:r>
          <w:r w:rsidR="00837A2A">
            <w:rPr>
              <w:rFonts w:ascii="Times New Roman" w:hAnsi="Times New Roman" w:cs="Times New Roman"/>
              <w:lang w:val="en-IN"/>
            </w:rPr>
            <w:fldChar w:fldCharType="end"/>
          </w:r>
        </w:sdtContent>
      </w:sdt>
      <w:r w:rsidR="00837A2A">
        <w:rPr>
          <w:rFonts w:ascii="Times New Roman" w:hAnsi="Times New Roman" w:cs="Times New Roman"/>
          <w:lang w:val="en-IN"/>
        </w:rPr>
        <w:t xml:space="preserve"> found that there is significant relation crude oil price and manufacturing index in the long run.</w:t>
      </w:r>
    </w:p>
    <w:p w14:paraId="4DE6E208" w14:textId="4B71D50D" w:rsidR="00E843F5" w:rsidRDefault="00C46798" w:rsidP="001D65B3">
      <w:pPr>
        <w:spacing w:line="360" w:lineRule="auto"/>
        <w:jc w:val="both"/>
        <w:rPr>
          <w:rFonts w:ascii="Times New Roman" w:hAnsi="Times New Roman" w:cs="Times New Roman"/>
          <w:lang w:val="en-IN"/>
        </w:rPr>
      </w:pPr>
      <w:r w:rsidRPr="00C46798">
        <w:rPr>
          <w:rFonts w:ascii="Times New Roman" w:hAnsi="Times New Roman" w:cs="Times New Roman"/>
          <w:lang w:val="en-IN"/>
        </w:rPr>
        <w:t>As mentioned above, the empirical studies conducted so far have provided inconclusive findings on the impact of the rise in crude oil prices on economic growth, industrial production, employment, inflation, and wage rates. This paper thus examines the time series behaviour of crude oil price</w:t>
      </w:r>
      <w:r w:rsidR="00837A2A">
        <w:rPr>
          <w:rFonts w:ascii="Times New Roman" w:hAnsi="Times New Roman" w:cs="Times New Roman"/>
          <w:lang w:val="en-IN"/>
        </w:rPr>
        <w:t xml:space="preserve"> and its</w:t>
      </w:r>
      <w:r w:rsidRPr="00C46798">
        <w:rPr>
          <w:rFonts w:ascii="Times New Roman" w:hAnsi="Times New Roman" w:cs="Times New Roman"/>
          <w:lang w:val="en-IN"/>
        </w:rPr>
        <w:t xml:space="preserve"> impacts on industrial production performance and CPI in India over time. </w:t>
      </w:r>
    </w:p>
    <w:p w14:paraId="7259918B" w14:textId="08CF8747" w:rsidR="00C46798" w:rsidRDefault="0023176D" w:rsidP="00202033">
      <w:pPr>
        <w:spacing w:before="240" w:line="360" w:lineRule="auto"/>
        <w:jc w:val="both"/>
        <w:rPr>
          <w:rFonts w:ascii="Times New Roman" w:hAnsi="Times New Roman" w:cs="Times New Roman"/>
          <w:b/>
          <w:bCs/>
          <w:lang w:val="en-IN"/>
        </w:rPr>
      </w:pPr>
      <w:r>
        <w:rPr>
          <w:rFonts w:ascii="Times New Roman" w:hAnsi="Times New Roman" w:cs="Times New Roman"/>
          <w:b/>
          <w:bCs/>
          <w:lang w:val="en-IN"/>
        </w:rPr>
        <w:t>Data and Methodology</w:t>
      </w:r>
    </w:p>
    <w:p w14:paraId="41F2BB71" w14:textId="7CBFC466" w:rsidR="0023176D" w:rsidRDefault="0023176D" w:rsidP="001D65B3">
      <w:pPr>
        <w:spacing w:line="360" w:lineRule="auto"/>
        <w:jc w:val="both"/>
        <w:rPr>
          <w:rFonts w:ascii="Times New Roman" w:hAnsi="Times New Roman" w:cs="Times New Roman"/>
        </w:rPr>
      </w:pPr>
      <w:r w:rsidRPr="0031050D">
        <w:rPr>
          <w:rFonts w:ascii="Times New Roman" w:hAnsi="Times New Roman" w:cs="Times New Roman"/>
        </w:rPr>
        <w:t>The primary objective of the research is to provide a comprehensive understanding of the ramifications of fuel inflation on the growth of industrial production in India. This will be accomplished by conducting a detailed analysis of monthly data spanning from April 2012 to December 2023. The study will cent</w:t>
      </w:r>
      <w:r>
        <w:rPr>
          <w:rFonts w:ascii="Times New Roman" w:hAnsi="Times New Roman" w:cs="Times New Roman"/>
        </w:rPr>
        <w:t>re</w:t>
      </w:r>
      <w:r w:rsidRPr="0031050D">
        <w:rPr>
          <w:rFonts w:ascii="Times New Roman" w:hAnsi="Times New Roman" w:cs="Times New Roman"/>
        </w:rPr>
        <w:t xml:space="preserve"> around three key variables: the inflation rate of Crude Oil Prices (COP), the growth rate of the Index for Industrial Production (IIP), and the inflation rate of the Consumer Price Index. </w:t>
      </w:r>
    </w:p>
    <w:p w14:paraId="7753E412" w14:textId="0FAE76A1" w:rsidR="000816FD" w:rsidRDefault="000816FD" w:rsidP="00F77262">
      <w:pPr>
        <w:spacing w:after="120" w:line="360" w:lineRule="auto"/>
        <w:jc w:val="both"/>
        <w:rPr>
          <w:rFonts w:ascii="Times New Roman" w:hAnsi="Times New Roman" w:cs="Times New Roman"/>
        </w:rPr>
      </w:pPr>
      <w:r>
        <w:rPr>
          <w:rFonts w:ascii="Times New Roman" w:hAnsi="Times New Roman" w:cs="Times New Roman"/>
        </w:rPr>
        <w:t xml:space="preserve">Table 1 provides the description and summary statistics of the variables. The result of the table shows that CPI inflation rate has very low volatility during this whole period while the </w:t>
      </w:r>
      <w:r w:rsidR="002E21FE">
        <w:rPr>
          <w:rFonts w:ascii="Times New Roman" w:hAnsi="Times New Roman" w:cs="Times New Roman"/>
        </w:rPr>
        <w:lastRenderedPageBreak/>
        <w:t>international</w:t>
      </w:r>
      <w:r>
        <w:rPr>
          <w:rFonts w:ascii="Times New Roman" w:hAnsi="Times New Roman" w:cs="Times New Roman"/>
        </w:rPr>
        <w:t xml:space="preserve"> crude oil price shows very high volatility. The low volatility in the Indian inflation rate shows the effective monetary policy control on the Core inflation rate</w:t>
      </w:r>
      <w:r>
        <w:rPr>
          <w:rStyle w:val="FootnoteReference"/>
          <w:rFonts w:ascii="Times New Roman" w:hAnsi="Times New Roman" w:cs="Times New Roman"/>
        </w:rPr>
        <w:footnoteReference w:id="2"/>
      </w:r>
      <w:r>
        <w:rPr>
          <w:rFonts w:ascii="Times New Roman" w:hAnsi="Times New Roman" w:cs="Times New Roman"/>
        </w:rPr>
        <w:t xml:space="preserve"> by the RBI. </w:t>
      </w:r>
      <w:r w:rsidR="00B33A8C">
        <w:rPr>
          <w:rFonts w:ascii="Times New Roman" w:hAnsi="Times New Roman" w:cs="Times New Roman"/>
        </w:rPr>
        <w:t>Since the data is monthly series starting from 2012, it gives clear image of effects caused by the Inflation Targeting Approach (ITA) in India.</w:t>
      </w:r>
    </w:p>
    <w:tbl>
      <w:tblPr>
        <w:tblStyle w:val="PlainTable3"/>
        <w:tblW w:w="0" w:type="auto"/>
        <w:shd w:val="clear" w:color="auto" w:fill="F2F2F2" w:themeFill="background1" w:themeFillShade="F2"/>
        <w:tblLayout w:type="fixed"/>
        <w:tblLook w:val="0620" w:firstRow="1" w:lastRow="0" w:firstColumn="0" w:lastColumn="0" w:noHBand="1" w:noVBand="1"/>
      </w:tblPr>
      <w:tblGrid>
        <w:gridCol w:w="1418"/>
        <w:gridCol w:w="4252"/>
        <w:gridCol w:w="1276"/>
        <w:gridCol w:w="887"/>
        <w:gridCol w:w="1193"/>
      </w:tblGrid>
      <w:tr w:rsidR="0023176D" w14:paraId="7C5D37A3" w14:textId="77777777" w:rsidTr="00823535">
        <w:trPr>
          <w:cnfStyle w:val="100000000000" w:firstRow="1" w:lastRow="0" w:firstColumn="0" w:lastColumn="0" w:oddVBand="0" w:evenVBand="0" w:oddHBand="0" w:evenHBand="0" w:firstRowFirstColumn="0" w:firstRowLastColumn="0" w:lastRowFirstColumn="0" w:lastRowLastColumn="0"/>
        </w:trPr>
        <w:tc>
          <w:tcPr>
            <w:tcW w:w="9026" w:type="dxa"/>
            <w:gridSpan w:val="5"/>
            <w:tcBorders>
              <w:bottom w:val="single" w:sz="4" w:space="0" w:color="auto"/>
            </w:tcBorders>
            <w:shd w:val="clear" w:color="auto" w:fill="F2F2F2" w:themeFill="background1" w:themeFillShade="F2"/>
            <w:vAlign w:val="center"/>
          </w:tcPr>
          <w:p w14:paraId="762ECC36" w14:textId="77777777" w:rsidR="0023176D" w:rsidRPr="00823535" w:rsidRDefault="0023176D" w:rsidP="00332299">
            <w:pPr>
              <w:spacing w:line="360" w:lineRule="auto"/>
              <w:jc w:val="center"/>
              <w:rPr>
                <w:rFonts w:ascii="Times New Roman" w:eastAsiaTheme="minorEastAsia" w:hAnsi="Times New Roman" w:cs="Times New Roman"/>
                <w:b w:val="0"/>
                <w:bCs w:val="0"/>
                <w:i/>
                <w:iCs/>
              </w:rPr>
            </w:pPr>
            <w:r w:rsidRPr="00823535">
              <w:rPr>
                <w:rFonts w:ascii="Times New Roman" w:eastAsiaTheme="minorEastAsia" w:hAnsi="Times New Roman" w:cs="Times New Roman"/>
                <w:b w:val="0"/>
                <w:bCs w:val="0"/>
                <w:i/>
                <w:iCs/>
                <w:caps w:val="0"/>
              </w:rPr>
              <w:t>Table 1: Summary Statistics</w:t>
            </w:r>
          </w:p>
        </w:tc>
      </w:tr>
      <w:tr w:rsidR="00823535" w14:paraId="6BB15CD0" w14:textId="77777777" w:rsidTr="00823535">
        <w:tc>
          <w:tcPr>
            <w:tcW w:w="1418" w:type="dxa"/>
            <w:tcBorders>
              <w:top w:val="single" w:sz="4" w:space="0" w:color="auto"/>
              <w:bottom w:val="single" w:sz="4" w:space="0" w:color="auto"/>
            </w:tcBorders>
            <w:shd w:val="clear" w:color="auto" w:fill="F2F2F2" w:themeFill="background1" w:themeFillShade="F2"/>
            <w:vAlign w:val="center"/>
          </w:tcPr>
          <w:p w14:paraId="1F2C6A84"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Variable Name</w:t>
            </w:r>
          </w:p>
        </w:tc>
        <w:tc>
          <w:tcPr>
            <w:tcW w:w="4252" w:type="dxa"/>
            <w:tcBorders>
              <w:top w:val="single" w:sz="4" w:space="0" w:color="auto"/>
              <w:bottom w:val="single" w:sz="4" w:space="0" w:color="auto"/>
            </w:tcBorders>
            <w:shd w:val="clear" w:color="auto" w:fill="F2F2F2" w:themeFill="background1" w:themeFillShade="F2"/>
            <w:vAlign w:val="center"/>
          </w:tcPr>
          <w:p w14:paraId="05FF1F00"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Description of the variable</w:t>
            </w:r>
          </w:p>
        </w:tc>
        <w:tc>
          <w:tcPr>
            <w:tcW w:w="1276" w:type="dxa"/>
            <w:tcBorders>
              <w:top w:val="single" w:sz="4" w:space="0" w:color="auto"/>
              <w:bottom w:val="single" w:sz="4" w:space="0" w:color="auto"/>
            </w:tcBorders>
            <w:shd w:val="clear" w:color="auto" w:fill="F2F2F2" w:themeFill="background1" w:themeFillShade="F2"/>
            <w:vAlign w:val="center"/>
          </w:tcPr>
          <w:p w14:paraId="2754FCB2" w14:textId="51701DF4"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No. of Obs</w:t>
            </w:r>
            <w:r w:rsidR="00823535" w:rsidRPr="00F77262">
              <w:rPr>
                <w:rFonts w:ascii="Times New Roman" w:eastAsiaTheme="minorEastAsia" w:hAnsi="Times New Roman" w:cs="Times New Roman"/>
                <w:i/>
                <w:iCs/>
              </w:rPr>
              <w:t>.</w:t>
            </w:r>
          </w:p>
        </w:tc>
        <w:tc>
          <w:tcPr>
            <w:tcW w:w="887" w:type="dxa"/>
            <w:tcBorders>
              <w:top w:val="single" w:sz="4" w:space="0" w:color="auto"/>
              <w:bottom w:val="single" w:sz="4" w:space="0" w:color="auto"/>
            </w:tcBorders>
            <w:shd w:val="clear" w:color="auto" w:fill="F2F2F2" w:themeFill="background1" w:themeFillShade="F2"/>
            <w:vAlign w:val="center"/>
          </w:tcPr>
          <w:p w14:paraId="026F0D43"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Mean</w:t>
            </w:r>
          </w:p>
        </w:tc>
        <w:tc>
          <w:tcPr>
            <w:tcW w:w="1193" w:type="dxa"/>
            <w:tcBorders>
              <w:top w:val="single" w:sz="4" w:space="0" w:color="auto"/>
              <w:bottom w:val="single" w:sz="4" w:space="0" w:color="auto"/>
            </w:tcBorders>
            <w:shd w:val="clear" w:color="auto" w:fill="F2F2F2" w:themeFill="background1" w:themeFillShade="F2"/>
            <w:vAlign w:val="center"/>
          </w:tcPr>
          <w:p w14:paraId="795C7996" w14:textId="77777777" w:rsidR="0023176D" w:rsidRPr="00F77262" w:rsidRDefault="0023176D" w:rsidP="00332299">
            <w:pPr>
              <w:spacing w:line="276" w:lineRule="auto"/>
              <w:jc w:val="center"/>
              <w:rPr>
                <w:rFonts w:ascii="Times New Roman" w:eastAsiaTheme="minorEastAsia" w:hAnsi="Times New Roman" w:cs="Times New Roman"/>
                <w:i/>
                <w:iCs/>
              </w:rPr>
            </w:pPr>
            <w:r w:rsidRPr="00F77262">
              <w:rPr>
                <w:rFonts w:ascii="Times New Roman" w:eastAsiaTheme="minorEastAsia" w:hAnsi="Times New Roman" w:cs="Times New Roman"/>
                <w:i/>
                <w:iCs/>
              </w:rPr>
              <w:t>Standard Deviation</w:t>
            </w:r>
          </w:p>
        </w:tc>
      </w:tr>
      <w:tr w:rsidR="00823535" w14:paraId="6B3A5D38" w14:textId="77777777" w:rsidTr="00823535">
        <w:tc>
          <w:tcPr>
            <w:tcW w:w="1418" w:type="dxa"/>
            <w:tcBorders>
              <w:top w:val="single" w:sz="4" w:space="0" w:color="auto"/>
            </w:tcBorders>
            <w:shd w:val="clear" w:color="auto" w:fill="F2F2F2" w:themeFill="background1" w:themeFillShade="F2"/>
            <w:vAlign w:val="center"/>
          </w:tcPr>
          <w:p w14:paraId="0E4288EF" w14:textId="325E28D3" w:rsidR="0023176D" w:rsidRPr="000816FD" w:rsidRDefault="00000000" w:rsidP="00332299">
            <w:pPr>
              <w:spacing w:line="360" w:lineRule="auto"/>
              <w:jc w:val="center"/>
              <w:rPr>
                <w:rFonts w:ascii="Times New Roman" w:eastAsia="Aptos" w:hAnsi="Times New Roman" w:cs="Times New Roman"/>
                <w:i/>
                <w:iCs/>
                <w:vertAlign w:val="superscript"/>
              </w:rPr>
            </w:pP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r w:rsidR="000816FD">
              <w:rPr>
                <w:rFonts w:ascii="Times New Roman" w:eastAsia="Aptos" w:hAnsi="Times New Roman" w:cs="Times New Roman"/>
                <w:i/>
                <w:vertAlign w:val="superscript"/>
              </w:rPr>
              <w:t>i</w:t>
            </w:r>
          </w:p>
        </w:tc>
        <w:tc>
          <w:tcPr>
            <w:tcW w:w="4252" w:type="dxa"/>
            <w:tcBorders>
              <w:top w:val="single" w:sz="4" w:space="0" w:color="auto"/>
            </w:tcBorders>
            <w:shd w:val="clear" w:color="auto" w:fill="F2F2F2" w:themeFill="background1" w:themeFillShade="F2"/>
            <w:vAlign w:val="center"/>
          </w:tcPr>
          <w:p w14:paraId="298BE58F" w14:textId="7108EF71" w:rsidR="0023176D" w:rsidRPr="0023176D" w:rsidRDefault="0023176D" w:rsidP="00823535">
            <w:pPr>
              <w:spacing w:line="276" w:lineRule="auto"/>
              <w:jc w:val="both"/>
              <w:rPr>
                <w:rFonts w:ascii="Times New Roman" w:eastAsia="Aptos" w:hAnsi="Times New Roman" w:cs="Times New Roman"/>
              </w:rPr>
            </w:pPr>
            <w:r w:rsidRPr="0023176D">
              <w:rPr>
                <w:rFonts w:ascii="Times New Roman" w:eastAsia="Aptos" w:hAnsi="Times New Roman" w:cs="Times New Roman"/>
              </w:rPr>
              <w:t xml:space="preserve">Growth Rate of Industrial Production </w:t>
            </w:r>
            <m:oMath>
              <m:sSub>
                <m:sSubPr>
                  <m:ctrlPr>
                    <w:rPr>
                      <w:rFonts w:ascii="Cambria Math" w:hAnsi="Cambria Math" w:cs="Times New Roman"/>
                      <w:i/>
                      <w:sz w:val="22"/>
                      <w:szCs w:val="22"/>
                    </w:rPr>
                  </m:ctrlPr>
                </m:sSubPr>
                <m:e>
                  <m:r>
                    <w:rPr>
                      <w:rFonts w:ascii="Cambria Math" w:hAnsi="Cambria Math" w:cs="Times New Roman"/>
                      <w:sz w:val="22"/>
                      <w:szCs w:val="22"/>
                    </w:rPr>
                    <m:t>IIP</m:t>
                  </m:r>
                </m:e>
                <m:sub>
                  <m:r>
                    <w:rPr>
                      <w:rFonts w:ascii="Cambria Math" w:hAnsi="Cambria Math" w:cs="Times New Roman"/>
                      <w:sz w:val="22"/>
                      <w:szCs w:val="22"/>
                    </w:rPr>
                    <m:t>t</m:t>
                  </m:r>
                </m:sub>
              </m:sSub>
              <m:r>
                <w:rPr>
                  <w:rFonts w:ascii="Cambria Math" w:hAnsi="Cambria Math" w:cs="Times New Roman"/>
                  <w:sz w:val="22"/>
                  <w:szCs w:val="22"/>
                </w:rPr>
                <m:t xml:space="preserve"> </m:t>
              </m:r>
            </m:oMath>
            <w:r w:rsidRPr="00C870FE">
              <w:rPr>
                <w:rFonts w:ascii="Times New Roman" w:eastAsia="Aptos"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ln(IIP</m:t>
                  </m:r>
                </m:e>
                <m:sub>
                  <m:r>
                    <w:rPr>
                      <w:rFonts w:ascii="Cambria Math" w:hAnsi="Cambria Math" w:cs="Times New Roman"/>
                      <w:sz w:val="22"/>
                      <w:szCs w:val="22"/>
                    </w:rPr>
                    <m:t>t</m:t>
                  </m:r>
                </m:sub>
              </m:sSub>
              <m:r>
                <w:rPr>
                  <w:rFonts w:ascii="Cambria Math" w:hAnsi="Cambria Math" w:cs="Times New Roman"/>
                  <w:sz w:val="22"/>
                  <w:szCs w:val="22"/>
                </w:rPr>
                <m:t>)-</m:t>
              </m:r>
            </m:oMath>
            <w:r w:rsidRPr="0023176D">
              <w:rPr>
                <w:rFonts w:ascii="Times New Roman" w:eastAsia="Aptos"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ln(IIP</m:t>
                  </m:r>
                </m:e>
                <m:sub>
                  <m:r>
                    <w:rPr>
                      <w:rFonts w:ascii="Cambria Math" w:hAnsi="Cambria Math" w:cs="Times New Roman"/>
                      <w:sz w:val="22"/>
                      <w:szCs w:val="22"/>
                    </w:rPr>
                    <m:t>t-1</m:t>
                  </m:r>
                </m:sub>
              </m:sSub>
              <m:r>
                <w:rPr>
                  <w:rFonts w:ascii="Cambria Math" w:hAnsi="Cambria Math" w:cs="Times New Roman"/>
                  <w:sz w:val="22"/>
                  <w:szCs w:val="22"/>
                </w:rPr>
                <m:t>)×100</m:t>
              </m:r>
            </m:oMath>
          </w:p>
        </w:tc>
        <w:tc>
          <w:tcPr>
            <w:tcW w:w="1276" w:type="dxa"/>
            <w:tcBorders>
              <w:top w:val="single" w:sz="4" w:space="0" w:color="auto"/>
            </w:tcBorders>
            <w:shd w:val="clear" w:color="auto" w:fill="F2F2F2" w:themeFill="background1" w:themeFillShade="F2"/>
            <w:vAlign w:val="center"/>
          </w:tcPr>
          <w:p w14:paraId="76F26348" w14:textId="31A797ED" w:rsidR="0023176D" w:rsidRPr="0097751C" w:rsidRDefault="009E518F" w:rsidP="00332299">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141</w:t>
            </w:r>
          </w:p>
        </w:tc>
        <w:tc>
          <w:tcPr>
            <w:tcW w:w="887" w:type="dxa"/>
            <w:tcBorders>
              <w:top w:val="single" w:sz="4" w:space="0" w:color="auto"/>
            </w:tcBorders>
            <w:shd w:val="clear" w:color="auto" w:fill="F2F2F2" w:themeFill="background1" w:themeFillShade="F2"/>
            <w:vAlign w:val="center"/>
          </w:tcPr>
          <w:p w14:paraId="4BD7B42C" w14:textId="6D66E033"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3.9</w:t>
            </w:r>
          </w:p>
        </w:tc>
        <w:tc>
          <w:tcPr>
            <w:tcW w:w="1193" w:type="dxa"/>
            <w:tcBorders>
              <w:top w:val="single" w:sz="4" w:space="0" w:color="auto"/>
            </w:tcBorders>
            <w:shd w:val="clear" w:color="auto" w:fill="F2F2F2" w:themeFill="background1" w:themeFillShade="F2"/>
            <w:vAlign w:val="center"/>
          </w:tcPr>
          <w:p w14:paraId="2D27CEEE" w14:textId="1B891E1B"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13.65</w:t>
            </w:r>
          </w:p>
        </w:tc>
      </w:tr>
      <w:tr w:rsidR="00823535" w14:paraId="1AAF8729" w14:textId="77777777" w:rsidTr="00823535">
        <w:tc>
          <w:tcPr>
            <w:tcW w:w="1418" w:type="dxa"/>
            <w:shd w:val="clear" w:color="auto" w:fill="F2F2F2" w:themeFill="background1" w:themeFillShade="F2"/>
            <w:vAlign w:val="center"/>
          </w:tcPr>
          <w:p w14:paraId="3917289A" w14:textId="2C5B6EBD" w:rsidR="0023176D" w:rsidRDefault="00000000" w:rsidP="00332299">
            <w:pPr>
              <w:spacing w:line="360" w:lineRule="auto"/>
              <w:jc w:val="center"/>
              <w:rPr>
                <w:rFonts w:ascii="Aptos" w:eastAsia="Aptos" w:hAnsi="Aptos" w:cs="Times New Roman"/>
              </w:rPr>
            </w:pP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r w:rsidR="0023176D">
              <w:rPr>
                <w:rFonts w:ascii="Times New Roman" w:eastAsiaTheme="minorEastAsia" w:hAnsi="Times New Roman" w:cs="Times New Roman"/>
                <w:i/>
                <w:iCs/>
                <w:vertAlign w:val="superscript"/>
              </w:rPr>
              <w:t xml:space="preserve"> i</w:t>
            </w:r>
          </w:p>
        </w:tc>
        <w:tc>
          <w:tcPr>
            <w:tcW w:w="4252" w:type="dxa"/>
            <w:shd w:val="clear" w:color="auto" w:fill="F2F2F2" w:themeFill="background1" w:themeFillShade="F2"/>
            <w:vAlign w:val="center"/>
          </w:tcPr>
          <w:p w14:paraId="3CE80B59" w14:textId="77777777" w:rsidR="00823535" w:rsidRDefault="00823535" w:rsidP="00823535">
            <w:pPr>
              <w:spacing w:line="276" w:lineRule="auto"/>
              <w:jc w:val="both"/>
              <w:rPr>
                <w:rFonts w:ascii="Times New Roman" w:eastAsia="Aptos" w:hAnsi="Times New Roman" w:cs="Times New Roman"/>
              </w:rPr>
            </w:pPr>
            <w:r w:rsidRPr="00823535">
              <w:rPr>
                <w:rFonts w:ascii="Times New Roman" w:eastAsia="Aptos" w:hAnsi="Times New Roman" w:cs="Times New Roman"/>
              </w:rPr>
              <w:t>Inflation Rate of Consumer Prices Index</w:t>
            </w:r>
          </w:p>
          <w:p w14:paraId="487D6E24" w14:textId="2F1B1457" w:rsidR="0023176D" w:rsidRDefault="00000000" w:rsidP="00823535">
            <w:pPr>
              <w:spacing w:line="276" w:lineRule="auto"/>
              <w:jc w:val="both"/>
              <w:rPr>
                <w:rFonts w:ascii="Times New Roman" w:eastAsia="Times New Roman" w:hAnsi="Times New Roman" w:cs="Times New Roman"/>
              </w:rPr>
            </w:pPr>
            <m:oMath>
              <m:sSub>
                <m:sSubPr>
                  <m:ctrlPr>
                    <w:rPr>
                      <w:rFonts w:ascii="Cambria Math" w:hAnsi="Cambria Math" w:cs="Times New Roman"/>
                      <w:i/>
                      <w:sz w:val="22"/>
                      <w:szCs w:val="22"/>
                    </w:rPr>
                  </m:ctrlPr>
                </m:sSubPr>
                <m:e>
                  <m:r>
                    <w:rPr>
                      <w:rFonts w:ascii="Cambria Math" w:hAnsi="Cambria Math" w:cs="Times New Roman"/>
                      <w:sz w:val="22"/>
                      <w:szCs w:val="22"/>
                    </w:rPr>
                    <m:t>Inflation</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(lnCPI</m:t>
                  </m:r>
                </m:e>
                <m:sub>
                  <m:r>
                    <w:rPr>
                      <w:rFonts w:ascii="Cambria Math" w:hAnsi="Cambria Math" w:cs="Times New Roman"/>
                      <w:sz w:val="22"/>
                      <w:szCs w:val="22"/>
                    </w:rPr>
                    <m:t>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lnCPI</m:t>
                  </m:r>
                </m:e>
                <m:sub>
                  <m:r>
                    <w:rPr>
                      <w:rFonts w:ascii="Cambria Math" w:hAnsi="Cambria Math" w:cs="Times New Roman"/>
                      <w:sz w:val="22"/>
                      <w:szCs w:val="22"/>
                    </w:rPr>
                    <m:t>t-1</m:t>
                  </m:r>
                </m:sub>
              </m:sSub>
              <m:r>
                <w:rPr>
                  <w:rFonts w:ascii="Cambria Math" w:hAnsi="Cambria Math" w:cs="Times New Roman"/>
                  <w:sz w:val="22"/>
                  <w:szCs w:val="22"/>
                </w:rPr>
                <m:t>)×100</m:t>
              </m:r>
            </m:oMath>
            <w:r w:rsidR="0023176D" w:rsidRPr="0023176D">
              <w:rPr>
                <w:rFonts w:ascii="Times New Roman" w:eastAsiaTheme="minorEastAsia" w:hAnsi="Times New Roman" w:cs="Times New Roman"/>
                <w:sz w:val="22"/>
                <w:szCs w:val="22"/>
              </w:rPr>
              <w:t>.</w:t>
            </w:r>
          </w:p>
        </w:tc>
        <w:tc>
          <w:tcPr>
            <w:tcW w:w="1276" w:type="dxa"/>
            <w:shd w:val="clear" w:color="auto" w:fill="F2F2F2" w:themeFill="background1" w:themeFillShade="F2"/>
            <w:vAlign w:val="center"/>
          </w:tcPr>
          <w:p w14:paraId="0EF73EE3" w14:textId="4199E4BB" w:rsidR="0023176D" w:rsidRPr="0097751C" w:rsidRDefault="009E518F" w:rsidP="00332299">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141</w:t>
            </w:r>
          </w:p>
        </w:tc>
        <w:tc>
          <w:tcPr>
            <w:tcW w:w="887" w:type="dxa"/>
            <w:shd w:val="clear" w:color="auto" w:fill="F2F2F2" w:themeFill="background1" w:themeFillShade="F2"/>
            <w:vAlign w:val="center"/>
          </w:tcPr>
          <w:p w14:paraId="3E343BD8" w14:textId="7C4A9A2C"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5.87</w:t>
            </w:r>
          </w:p>
        </w:tc>
        <w:tc>
          <w:tcPr>
            <w:tcW w:w="1193" w:type="dxa"/>
            <w:shd w:val="clear" w:color="auto" w:fill="F2F2F2" w:themeFill="background1" w:themeFillShade="F2"/>
            <w:vAlign w:val="center"/>
          </w:tcPr>
          <w:p w14:paraId="74E89BD7" w14:textId="211AD323" w:rsidR="0023176D" w:rsidRPr="00AC6F40" w:rsidRDefault="009A3D7C" w:rsidP="00332299">
            <w:pPr>
              <w:spacing w:line="360" w:lineRule="auto"/>
              <w:jc w:val="center"/>
              <w:rPr>
                <w:rFonts w:ascii="Times New Roman" w:eastAsiaTheme="minorEastAsia" w:hAnsi="Times New Roman" w:cs="Times New Roman"/>
              </w:rPr>
            </w:pPr>
            <w:r w:rsidRPr="009A3D7C">
              <w:rPr>
                <w:rFonts w:ascii="Times New Roman" w:eastAsiaTheme="minorEastAsia" w:hAnsi="Times New Roman" w:cs="Times New Roman"/>
              </w:rPr>
              <w:t>2.25</w:t>
            </w:r>
          </w:p>
        </w:tc>
      </w:tr>
      <w:tr w:rsidR="00823535" w14:paraId="7AA1A9DA" w14:textId="77777777" w:rsidTr="00823535">
        <w:trPr>
          <w:trHeight w:val="640"/>
        </w:trPr>
        <w:tc>
          <w:tcPr>
            <w:tcW w:w="1418" w:type="dxa"/>
            <w:shd w:val="clear" w:color="auto" w:fill="F2F2F2" w:themeFill="background1" w:themeFillShade="F2"/>
            <w:vAlign w:val="center"/>
          </w:tcPr>
          <w:p w14:paraId="5AE0F3B4" w14:textId="77F06475" w:rsidR="0023176D" w:rsidRDefault="00000000" w:rsidP="00332299">
            <w:pPr>
              <w:spacing w:line="360" w:lineRule="auto"/>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r w:rsidR="0023176D">
              <w:rPr>
                <w:rFonts w:ascii="Times New Roman" w:eastAsiaTheme="minorEastAsia" w:hAnsi="Times New Roman" w:cs="Times New Roman"/>
                <w:i/>
                <w:iCs/>
                <w:vertAlign w:val="superscript"/>
              </w:rPr>
              <w:t>i</w:t>
            </w:r>
            <w:r w:rsidR="009E518F">
              <w:rPr>
                <w:rFonts w:ascii="Times New Roman" w:eastAsiaTheme="minorEastAsia" w:hAnsi="Times New Roman" w:cs="Times New Roman"/>
                <w:i/>
                <w:iCs/>
                <w:vertAlign w:val="superscript"/>
              </w:rPr>
              <w:t>i</w:t>
            </w:r>
          </w:p>
        </w:tc>
        <w:tc>
          <w:tcPr>
            <w:tcW w:w="4252" w:type="dxa"/>
            <w:shd w:val="clear" w:color="auto" w:fill="F2F2F2" w:themeFill="background1" w:themeFillShade="F2"/>
            <w:vAlign w:val="center"/>
          </w:tcPr>
          <w:p w14:paraId="1A138E0A" w14:textId="41E35C9F" w:rsidR="00823535" w:rsidRDefault="00823535" w:rsidP="00823535">
            <w:p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Inflation Rate </w:t>
            </w:r>
            <w:r w:rsidR="0023176D">
              <w:rPr>
                <w:rFonts w:ascii="Times New Roman" w:eastAsiaTheme="minorEastAsia" w:hAnsi="Times New Roman" w:cs="Times New Roman"/>
              </w:rPr>
              <w:t>of International Crude Oil Price (Indian Basket)</w:t>
            </w:r>
          </w:p>
          <w:p w14:paraId="02F228FF" w14:textId="58C85FE4" w:rsidR="0023176D" w:rsidRPr="00DA2CB0" w:rsidRDefault="00000000" w:rsidP="00823535">
            <w:pPr>
              <w:spacing w:line="276"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r>
                <w:rPr>
                  <w:rFonts w:ascii="Cambria Math" w:hAnsi="Cambria Math" w:cs="Times New Roman"/>
                  <w:sz w:val="22"/>
                  <w:szCs w:val="22"/>
                </w:rPr>
                <m:t>=</m:t>
              </m:r>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ln(COP</m:t>
                      </m:r>
                    </m:e>
                    <m:sub>
                      <m:r>
                        <w:rPr>
                          <w:rFonts w:ascii="Cambria Math" w:hAnsi="Cambria Math" w:cs="Times New Roman"/>
                          <w:sz w:val="22"/>
                          <w:szCs w:val="22"/>
                        </w:rPr>
                        <m:t>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m:rPr>
                          <m:sty m:val="p"/>
                        </m:rPr>
                        <w:rPr>
                          <w:rFonts w:ascii="Cambria Math" w:hAnsi="Cambria Math" w:cs="Times New Roman"/>
                          <w:sz w:val="22"/>
                          <w:szCs w:val="22"/>
                        </w:rPr>
                        <m:t>ln⁡</m:t>
                      </m:r>
                      <m:r>
                        <w:rPr>
                          <w:rFonts w:ascii="Cambria Math" w:hAnsi="Cambria Math" w:cs="Times New Roman"/>
                          <w:sz w:val="22"/>
                          <w:szCs w:val="22"/>
                        </w:rPr>
                        <m:t>(COP</m:t>
                      </m:r>
                    </m:e>
                    <m:sub>
                      <m:r>
                        <w:rPr>
                          <w:rFonts w:ascii="Cambria Math" w:hAnsi="Cambria Math" w:cs="Times New Roman"/>
                          <w:sz w:val="22"/>
                          <w:szCs w:val="22"/>
                        </w:rPr>
                        <m:t>t-1</m:t>
                      </m:r>
                    </m:sub>
                  </m:sSub>
                  <m:r>
                    <w:rPr>
                      <w:rFonts w:ascii="Cambria Math" w:hAnsi="Cambria Math" w:cs="Times New Roman"/>
                      <w:sz w:val="22"/>
                      <w:szCs w:val="22"/>
                    </w:rPr>
                    <m:t>)</m:t>
                  </m:r>
                </m:e>
              </m:d>
              <m:r>
                <w:rPr>
                  <w:rFonts w:ascii="Cambria Math" w:hAnsi="Cambria Math" w:cs="Times New Roman"/>
                  <w:sz w:val="22"/>
                  <w:szCs w:val="22"/>
                </w:rPr>
                <m:t>×100</m:t>
              </m:r>
            </m:oMath>
            <w:r w:rsidR="0023176D" w:rsidRPr="0023176D">
              <w:rPr>
                <w:rFonts w:ascii="Times New Roman" w:eastAsiaTheme="minorEastAsia" w:hAnsi="Times New Roman" w:cs="Times New Roman"/>
                <w:sz w:val="22"/>
                <w:szCs w:val="22"/>
              </w:rPr>
              <w:t>.</w:t>
            </w:r>
          </w:p>
        </w:tc>
        <w:tc>
          <w:tcPr>
            <w:tcW w:w="1276" w:type="dxa"/>
            <w:shd w:val="clear" w:color="auto" w:fill="F2F2F2" w:themeFill="background1" w:themeFillShade="F2"/>
            <w:vAlign w:val="center"/>
          </w:tcPr>
          <w:p w14:paraId="1F1B61A1" w14:textId="7CC8B19F" w:rsidR="0023176D" w:rsidRPr="0097751C" w:rsidRDefault="009E518F" w:rsidP="00332299">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141</w:t>
            </w:r>
          </w:p>
        </w:tc>
        <w:tc>
          <w:tcPr>
            <w:tcW w:w="887" w:type="dxa"/>
            <w:shd w:val="clear" w:color="auto" w:fill="F2F2F2" w:themeFill="background1" w:themeFillShade="F2"/>
            <w:vAlign w:val="center"/>
          </w:tcPr>
          <w:p w14:paraId="787D30A8" w14:textId="4F925090" w:rsidR="0023176D" w:rsidRDefault="009E518F" w:rsidP="00332299">
            <w:pPr>
              <w:spacing w:line="360" w:lineRule="auto"/>
              <w:jc w:val="center"/>
              <w:rPr>
                <w:rFonts w:ascii="Times New Roman" w:eastAsiaTheme="minorEastAsia" w:hAnsi="Times New Roman" w:cs="Times New Roman"/>
              </w:rPr>
            </w:pPr>
            <w:r w:rsidRPr="009E518F">
              <w:rPr>
                <w:rFonts w:ascii="Times New Roman" w:eastAsiaTheme="minorEastAsia" w:hAnsi="Times New Roman" w:cs="Times New Roman"/>
              </w:rPr>
              <w:t>2.78</w:t>
            </w:r>
          </w:p>
        </w:tc>
        <w:tc>
          <w:tcPr>
            <w:tcW w:w="1193" w:type="dxa"/>
            <w:shd w:val="clear" w:color="auto" w:fill="F2F2F2" w:themeFill="background1" w:themeFillShade="F2"/>
            <w:vAlign w:val="center"/>
          </w:tcPr>
          <w:p w14:paraId="75C0A5B3" w14:textId="0CEF45FD" w:rsidR="0023176D" w:rsidRDefault="009E518F" w:rsidP="00332299">
            <w:pPr>
              <w:spacing w:line="360" w:lineRule="auto"/>
              <w:jc w:val="center"/>
              <w:rPr>
                <w:rFonts w:ascii="Times New Roman" w:eastAsiaTheme="minorEastAsia" w:hAnsi="Times New Roman" w:cs="Times New Roman"/>
              </w:rPr>
            </w:pPr>
            <w:r w:rsidRPr="009E518F">
              <w:rPr>
                <w:rFonts w:ascii="Times New Roman" w:eastAsiaTheme="minorEastAsia" w:hAnsi="Times New Roman" w:cs="Times New Roman"/>
              </w:rPr>
              <w:t>43.70</w:t>
            </w:r>
          </w:p>
        </w:tc>
      </w:tr>
      <w:tr w:rsidR="0023176D" w14:paraId="133C2894" w14:textId="77777777" w:rsidTr="00823535">
        <w:tc>
          <w:tcPr>
            <w:tcW w:w="9026" w:type="dxa"/>
            <w:gridSpan w:val="5"/>
            <w:tcBorders>
              <w:top w:val="single" w:sz="4" w:space="0" w:color="auto"/>
            </w:tcBorders>
            <w:shd w:val="clear" w:color="auto" w:fill="F2F2F2" w:themeFill="background1" w:themeFillShade="F2"/>
            <w:vAlign w:val="center"/>
          </w:tcPr>
          <w:p w14:paraId="57DFD529" w14:textId="77777777" w:rsidR="0023176D" w:rsidRDefault="0023176D" w:rsidP="00332299">
            <w:pPr>
              <w:spacing w:line="276" w:lineRule="auto"/>
              <w:rPr>
                <w:rFonts w:ascii="Times New Roman" w:eastAsiaTheme="minorEastAsia" w:hAnsi="Times New Roman" w:cs="Times New Roman"/>
                <w:sz w:val="20"/>
                <w:szCs w:val="20"/>
              </w:rPr>
            </w:pPr>
            <w:r w:rsidRPr="00964826">
              <w:rPr>
                <w:rFonts w:ascii="Times New Roman" w:eastAsiaTheme="minorEastAsia" w:hAnsi="Times New Roman" w:cs="Times New Roman"/>
                <w:sz w:val="20"/>
                <w:szCs w:val="20"/>
              </w:rPr>
              <w:t xml:space="preserve">Source: </w:t>
            </w:r>
            <w:proofErr w:type="spellStart"/>
            <w:r w:rsidRPr="00964826">
              <w:rPr>
                <w:rFonts w:ascii="Times New Roman" w:eastAsiaTheme="minorEastAsia" w:hAnsi="Times New Roman" w:cs="Times New Roman"/>
                <w:i/>
                <w:iCs/>
                <w:sz w:val="20"/>
                <w:szCs w:val="20"/>
              </w:rPr>
              <w:t>i</w:t>
            </w:r>
            <w:proofErr w:type="spellEnd"/>
            <w:r w:rsidRPr="00964826">
              <w:rPr>
                <w:rFonts w:ascii="Times New Roman" w:eastAsiaTheme="minorEastAsia" w:hAnsi="Times New Roman" w:cs="Times New Roman"/>
                <w:i/>
                <w:iCs/>
                <w:sz w:val="20"/>
                <w:szCs w:val="20"/>
              </w:rPr>
              <w:t xml:space="preserve">. </w:t>
            </w:r>
            <w:r w:rsidRPr="00964826">
              <w:rPr>
                <w:rFonts w:ascii="Times New Roman" w:eastAsiaTheme="minorEastAsia" w:hAnsi="Times New Roman" w:cs="Times New Roman"/>
                <w:sz w:val="20"/>
                <w:szCs w:val="20"/>
              </w:rPr>
              <w:t>Handbook of Statistics on Indian Economy – Reserve Bank of India.</w:t>
            </w:r>
          </w:p>
          <w:p w14:paraId="73EE2CDE" w14:textId="764A1835" w:rsidR="009E518F" w:rsidRPr="009E518F" w:rsidRDefault="009E518F" w:rsidP="00332299">
            <w:pPr>
              <w:spacing w:line="276" w:lineRule="auto"/>
              <w:rPr>
                <w:rFonts w:ascii="Times New Roman" w:eastAsiaTheme="minorEastAsia" w:hAnsi="Times New Roman" w:cs="Times New Roman"/>
                <w:sz w:val="20"/>
                <w:szCs w:val="20"/>
              </w:rPr>
            </w:pPr>
            <w:r>
              <w:rPr>
                <w:rFonts w:ascii="Times New Roman" w:eastAsiaTheme="minorEastAsia" w:hAnsi="Times New Roman" w:cs="Times New Roman"/>
                <w:i/>
                <w:iCs/>
                <w:sz w:val="20"/>
                <w:szCs w:val="20"/>
              </w:rPr>
              <w:t>ii.</w:t>
            </w:r>
            <w:r>
              <w:rPr>
                <w:rFonts w:ascii="Times New Roman" w:eastAsiaTheme="minorEastAsia" w:hAnsi="Times New Roman" w:cs="Times New Roman"/>
                <w:sz w:val="20"/>
                <w:szCs w:val="20"/>
              </w:rPr>
              <w:t xml:space="preserve"> </w:t>
            </w:r>
            <w:r w:rsidRPr="009E518F">
              <w:rPr>
                <w:rFonts w:ascii="Times New Roman" w:eastAsiaTheme="minorEastAsia" w:hAnsi="Times New Roman" w:cs="Times New Roman"/>
                <w:sz w:val="20"/>
                <w:szCs w:val="20"/>
              </w:rPr>
              <w:t>Crude Oil FOB Price (Indian Basket)</w:t>
            </w:r>
            <w:r>
              <w:rPr>
                <w:rFonts w:ascii="Times New Roman" w:eastAsiaTheme="minorEastAsia" w:hAnsi="Times New Roman" w:cs="Times New Roman"/>
                <w:sz w:val="20"/>
                <w:szCs w:val="20"/>
              </w:rPr>
              <w:t xml:space="preserve"> – Petroleum Planning &amp; Analysis Cell.</w:t>
            </w:r>
          </w:p>
        </w:tc>
      </w:tr>
    </w:tbl>
    <w:p w14:paraId="04E29C8E" w14:textId="5131402E" w:rsidR="0023176D" w:rsidRPr="00F77262" w:rsidRDefault="00F77262" w:rsidP="00202033">
      <w:pPr>
        <w:spacing w:before="240" w:after="120" w:line="360" w:lineRule="auto"/>
        <w:jc w:val="both"/>
        <w:rPr>
          <w:rFonts w:ascii="Times New Roman" w:hAnsi="Times New Roman" w:cs="Times New Roman"/>
          <w:lang w:val="en-IN"/>
        </w:rPr>
      </w:pPr>
      <w:r>
        <w:rPr>
          <w:rFonts w:ascii="Times New Roman" w:hAnsi="Times New Roman" w:cs="Times New Roman"/>
          <w:lang w:val="en-IN"/>
        </w:rPr>
        <w:t>Table 1 results also suggest that volatility of Industrial Production is also high which means that Industrial production growth in India is volatile in nature. The reason</w:t>
      </w:r>
      <w:r w:rsidR="00A356CF">
        <w:rPr>
          <w:rFonts w:ascii="Times New Roman" w:hAnsi="Times New Roman" w:cs="Times New Roman"/>
          <w:lang w:val="en-IN"/>
        </w:rPr>
        <w:t xml:space="preserve"> for this volatility</w:t>
      </w:r>
      <w:r>
        <w:rPr>
          <w:rFonts w:ascii="Times New Roman" w:hAnsi="Times New Roman" w:cs="Times New Roman"/>
          <w:lang w:val="en-IN"/>
        </w:rPr>
        <w:t xml:space="preserve"> can be many things</w:t>
      </w:r>
      <w:r w:rsidR="00A356CF">
        <w:rPr>
          <w:rFonts w:ascii="Times New Roman" w:hAnsi="Times New Roman" w:cs="Times New Roman"/>
          <w:lang w:val="en-IN"/>
        </w:rPr>
        <w:t>,</w:t>
      </w:r>
      <w:r>
        <w:rPr>
          <w:rFonts w:ascii="Times New Roman" w:hAnsi="Times New Roman" w:cs="Times New Roman"/>
          <w:lang w:val="en-IN"/>
        </w:rPr>
        <w:t xml:space="preserve"> like</w:t>
      </w:r>
      <w:r w:rsidR="00A356CF">
        <w:rPr>
          <w:rFonts w:ascii="Times New Roman" w:hAnsi="Times New Roman" w:cs="Times New Roman"/>
          <w:lang w:val="en-IN"/>
        </w:rPr>
        <w:t>,</w:t>
      </w:r>
      <w:r>
        <w:rPr>
          <w:rFonts w:ascii="Times New Roman" w:hAnsi="Times New Roman" w:cs="Times New Roman"/>
          <w:lang w:val="en-IN"/>
        </w:rPr>
        <w:t xml:space="preserve"> Political changes, Foreign trade </w:t>
      </w:r>
      <w:r w:rsidR="00A356CF">
        <w:rPr>
          <w:rFonts w:ascii="Times New Roman" w:hAnsi="Times New Roman" w:cs="Times New Roman"/>
          <w:lang w:val="en-IN"/>
        </w:rPr>
        <w:t>(</w:t>
      </w:r>
      <w:r>
        <w:rPr>
          <w:rFonts w:ascii="Times New Roman" w:hAnsi="Times New Roman" w:cs="Times New Roman"/>
          <w:lang w:val="en-IN"/>
        </w:rPr>
        <w:t xml:space="preserve">in which industrial production is highly impacted through </w:t>
      </w:r>
      <w:r w:rsidR="00A356CF">
        <w:rPr>
          <w:rFonts w:ascii="Times New Roman" w:hAnsi="Times New Roman" w:cs="Times New Roman"/>
          <w:lang w:val="en-IN"/>
        </w:rPr>
        <w:t>the shocks</w:t>
      </w:r>
      <w:r>
        <w:rPr>
          <w:rFonts w:ascii="Times New Roman" w:hAnsi="Times New Roman" w:cs="Times New Roman"/>
          <w:lang w:val="en-IN"/>
        </w:rPr>
        <w:t xml:space="preserve"> in foreign fuel prices</w:t>
      </w:r>
      <w:r w:rsidR="00A356CF">
        <w:rPr>
          <w:rFonts w:ascii="Times New Roman" w:hAnsi="Times New Roman" w:cs="Times New Roman"/>
          <w:lang w:val="en-IN"/>
        </w:rPr>
        <w:t xml:space="preserve"> </w:t>
      </w:r>
      <w:r w:rsidR="00A356CF" w:rsidRPr="00C46798">
        <w:rPr>
          <w:rFonts w:ascii="Times New Roman" w:hAnsi="Times New Roman" w:cs="Times New Roman"/>
          <w:lang w:val="en-IN"/>
        </w:rPr>
        <w:t>(</w:t>
      </w:r>
      <w:proofErr w:type="spellStart"/>
      <w:r w:rsidR="00A356CF" w:rsidRPr="00C46798">
        <w:rPr>
          <w:rFonts w:ascii="Times New Roman" w:hAnsi="Times New Roman" w:cs="Times New Roman"/>
          <w:lang w:val="en-IN"/>
        </w:rPr>
        <w:t>Farzanegan</w:t>
      </w:r>
      <w:proofErr w:type="spellEnd"/>
      <w:r w:rsidR="00A356CF" w:rsidRPr="00C46798">
        <w:rPr>
          <w:rFonts w:ascii="Times New Roman" w:hAnsi="Times New Roman" w:cs="Times New Roman"/>
          <w:lang w:val="en-IN"/>
        </w:rPr>
        <w:t xml:space="preserve"> &amp; Markwardt, 2008)</w:t>
      </w:r>
      <w:r w:rsidR="00A356CF">
        <w:rPr>
          <w:rFonts w:ascii="Times New Roman" w:hAnsi="Times New Roman" w:cs="Times New Roman"/>
          <w:lang w:val="en-IN"/>
        </w:rPr>
        <w:t>)</w:t>
      </w:r>
      <w:r>
        <w:rPr>
          <w:rFonts w:ascii="Times New Roman" w:hAnsi="Times New Roman" w:cs="Times New Roman"/>
          <w:lang w:val="en-IN"/>
        </w:rPr>
        <w:t>. To check whether this volatility in variables can be related to each other th</w:t>
      </w:r>
      <w:r w:rsidR="00C034D7">
        <w:rPr>
          <w:rFonts w:ascii="Times New Roman" w:hAnsi="Times New Roman" w:cs="Times New Roman"/>
          <w:lang w:val="en-IN"/>
        </w:rPr>
        <w:t>is</w:t>
      </w:r>
      <w:r>
        <w:rPr>
          <w:rFonts w:ascii="Times New Roman" w:hAnsi="Times New Roman" w:cs="Times New Roman"/>
          <w:lang w:val="en-IN"/>
        </w:rPr>
        <w:t xml:space="preserve"> paper use</w:t>
      </w:r>
      <w:r w:rsidR="00C034D7">
        <w:rPr>
          <w:rFonts w:ascii="Times New Roman" w:hAnsi="Times New Roman" w:cs="Times New Roman"/>
          <w:lang w:val="en-IN"/>
        </w:rPr>
        <w:t>d</w:t>
      </w:r>
      <w:r>
        <w:rPr>
          <w:rFonts w:ascii="Times New Roman" w:hAnsi="Times New Roman" w:cs="Times New Roman"/>
          <w:lang w:val="en-IN"/>
        </w:rPr>
        <w:t xml:space="preserve"> correlation matrix</w:t>
      </w:r>
      <w:r w:rsidR="00C034D7">
        <w:rPr>
          <w:rFonts w:ascii="Times New Roman" w:hAnsi="Times New Roman" w:cs="Times New Roman"/>
          <w:lang w:val="en-IN"/>
        </w:rPr>
        <w:t xml:space="preserve"> in table 2</w:t>
      </w:r>
      <w:r>
        <w:rPr>
          <w:rFonts w:ascii="Times New Roman" w:hAnsi="Times New Roman" w:cs="Times New Roman"/>
          <w:lang w:val="en-IN"/>
        </w:rPr>
        <w:t xml:space="preserve">. </w:t>
      </w:r>
    </w:p>
    <w:tbl>
      <w:tblPr>
        <w:tblStyle w:val="GridTable5Dark"/>
        <w:tblW w:w="0" w:type="auto"/>
        <w:shd w:val="clear" w:color="auto" w:fill="F2F2F2" w:themeFill="background1" w:themeFillShade="F2"/>
        <w:tblLook w:val="0600" w:firstRow="0" w:lastRow="0" w:firstColumn="0" w:lastColumn="0" w:noHBand="1" w:noVBand="1"/>
      </w:tblPr>
      <w:tblGrid>
        <w:gridCol w:w="3060"/>
        <w:gridCol w:w="3132"/>
        <w:gridCol w:w="1421"/>
        <w:gridCol w:w="1403"/>
      </w:tblGrid>
      <w:tr w:rsidR="00823535" w:rsidRPr="00823535" w14:paraId="3912422E" w14:textId="77777777" w:rsidTr="00F77262">
        <w:trPr>
          <w:trHeight w:val="320"/>
        </w:trPr>
        <w:tc>
          <w:tcPr>
            <w:tcW w:w="9016" w:type="dxa"/>
            <w:gridSpan w:val="4"/>
            <w:tcBorders>
              <w:bottom w:val="single" w:sz="4" w:space="0" w:color="auto"/>
            </w:tcBorders>
            <w:shd w:val="clear" w:color="auto" w:fill="F2F2F2" w:themeFill="background1" w:themeFillShade="F2"/>
            <w:noWrap/>
            <w:vAlign w:val="center"/>
          </w:tcPr>
          <w:p w14:paraId="23F6406C" w14:textId="14CC33F8" w:rsidR="00823535" w:rsidRDefault="00823535" w:rsidP="00823535">
            <w:pPr>
              <w:spacing w:line="276" w:lineRule="auto"/>
              <w:jc w:val="center"/>
              <w:rPr>
                <w:rFonts w:ascii="Times New Roman" w:eastAsia="Aptos" w:hAnsi="Times New Roman" w:cs="Times New Roman"/>
                <w:i/>
              </w:rPr>
            </w:pPr>
            <w:r>
              <w:rPr>
                <w:rFonts w:ascii="Times New Roman" w:eastAsia="Aptos" w:hAnsi="Times New Roman" w:cs="Times New Roman"/>
                <w:i/>
              </w:rPr>
              <w:t>Table 2: Correlation Matrix</w:t>
            </w:r>
          </w:p>
        </w:tc>
      </w:tr>
      <w:tr w:rsidR="00F77262" w:rsidRPr="00823535" w14:paraId="07DDA50B" w14:textId="77777777" w:rsidTr="00F77262">
        <w:trPr>
          <w:trHeight w:val="320"/>
        </w:trPr>
        <w:tc>
          <w:tcPr>
            <w:tcW w:w="3060" w:type="dxa"/>
            <w:tcBorders>
              <w:top w:val="single" w:sz="4" w:space="0" w:color="auto"/>
              <w:bottom w:val="single" w:sz="4" w:space="0" w:color="auto"/>
              <w:right w:val="nil"/>
            </w:tcBorders>
            <w:shd w:val="clear" w:color="auto" w:fill="F2F2F2" w:themeFill="background1" w:themeFillShade="F2"/>
            <w:noWrap/>
            <w:vAlign w:val="center"/>
            <w:hideMark/>
          </w:tcPr>
          <w:p w14:paraId="5AA03145" w14:textId="670E1FAC" w:rsidR="00823535" w:rsidRPr="00823535" w:rsidRDefault="00F77262" w:rsidP="00823535">
            <w:pPr>
              <w:spacing w:line="276" w:lineRule="auto"/>
              <w:jc w:val="center"/>
              <w:rPr>
                <w:rFonts w:ascii="Times New Roman" w:hAnsi="Times New Roman" w:cs="Times New Roman"/>
                <w:i/>
                <w:iCs/>
                <w:lang w:val="en-IN"/>
              </w:rPr>
            </w:pPr>
            <w:r>
              <w:rPr>
                <w:rFonts w:ascii="Times New Roman" w:hAnsi="Times New Roman" w:cs="Times New Roman"/>
                <w:i/>
                <w:iCs/>
                <w:lang w:val="en-IN"/>
              </w:rPr>
              <w:t>Variables</w:t>
            </w:r>
          </w:p>
        </w:tc>
        <w:tc>
          <w:tcPr>
            <w:tcW w:w="3132" w:type="dxa"/>
            <w:tcBorders>
              <w:top w:val="single" w:sz="4" w:space="0" w:color="auto"/>
              <w:left w:val="nil"/>
              <w:bottom w:val="single" w:sz="4" w:space="0" w:color="auto"/>
              <w:right w:val="nil"/>
            </w:tcBorders>
            <w:shd w:val="clear" w:color="auto" w:fill="F2F2F2" w:themeFill="background1" w:themeFillShade="F2"/>
            <w:noWrap/>
            <w:vAlign w:val="center"/>
            <w:hideMark/>
          </w:tcPr>
          <w:p w14:paraId="4E8F1116" w14:textId="063D3C14" w:rsidR="00823535" w:rsidRPr="00F77262" w:rsidRDefault="00000000" w:rsidP="00823535">
            <w:pPr>
              <w:spacing w:line="276" w:lineRule="auto"/>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421" w:type="dxa"/>
            <w:tcBorders>
              <w:top w:val="single" w:sz="4" w:space="0" w:color="auto"/>
              <w:left w:val="nil"/>
              <w:bottom w:val="single" w:sz="4" w:space="0" w:color="auto"/>
              <w:right w:val="nil"/>
            </w:tcBorders>
            <w:shd w:val="clear" w:color="auto" w:fill="F2F2F2" w:themeFill="background1" w:themeFillShade="F2"/>
            <w:noWrap/>
            <w:vAlign w:val="center"/>
            <w:hideMark/>
          </w:tcPr>
          <w:p w14:paraId="618F5DD8" w14:textId="09B0A43F" w:rsidR="00823535" w:rsidRPr="00F77262" w:rsidRDefault="00000000" w:rsidP="00823535">
            <w:pPr>
              <w:spacing w:line="276" w:lineRule="auto"/>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403" w:type="dxa"/>
            <w:tcBorders>
              <w:top w:val="single" w:sz="4" w:space="0" w:color="auto"/>
              <w:left w:val="nil"/>
              <w:bottom w:val="single" w:sz="4" w:space="0" w:color="auto"/>
            </w:tcBorders>
            <w:shd w:val="clear" w:color="auto" w:fill="F2F2F2" w:themeFill="background1" w:themeFillShade="F2"/>
            <w:noWrap/>
            <w:vAlign w:val="center"/>
            <w:hideMark/>
          </w:tcPr>
          <w:p w14:paraId="5410140A" w14:textId="15ABA785" w:rsidR="00823535" w:rsidRPr="00F77262" w:rsidRDefault="00000000" w:rsidP="00823535">
            <w:pPr>
              <w:spacing w:line="276" w:lineRule="auto"/>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r>
      <w:tr w:rsidR="00823535" w:rsidRPr="00823535" w14:paraId="36C4DF72" w14:textId="77777777" w:rsidTr="00823535">
        <w:trPr>
          <w:trHeight w:val="20"/>
        </w:trPr>
        <w:tc>
          <w:tcPr>
            <w:tcW w:w="3060" w:type="dxa"/>
            <w:tcBorders>
              <w:top w:val="single" w:sz="4" w:space="0" w:color="auto"/>
              <w:left w:val="nil"/>
              <w:bottom w:val="nil"/>
              <w:right w:val="nil"/>
            </w:tcBorders>
            <w:shd w:val="clear" w:color="auto" w:fill="F2F2F2" w:themeFill="background1" w:themeFillShade="F2"/>
            <w:noWrap/>
            <w:vAlign w:val="center"/>
            <w:hideMark/>
          </w:tcPr>
          <w:p w14:paraId="5D114F91" w14:textId="33ED40EF" w:rsidR="00823535" w:rsidRPr="00823535" w:rsidRDefault="00000000" w:rsidP="00823535">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3132" w:type="dxa"/>
            <w:tcBorders>
              <w:top w:val="single" w:sz="4" w:space="0" w:color="auto"/>
              <w:left w:val="nil"/>
              <w:bottom w:val="nil"/>
              <w:right w:val="nil"/>
            </w:tcBorders>
            <w:shd w:val="clear" w:color="auto" w:fill="F2F2F2" w:themeFill="background1" w:themeFillShade="F2"/>
            <w:noWrap/>
            <w:vAlign w:val="center"/>
            <w:hideMark/>
          </w:tcPr>
          <w:p w14:paraId="7C264CD5" w14:textId="77777777"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1</w:t>
            </w:r>
          </w:p>
        </w:tc>
        <w:tc>
          <w:tcPr>
            <w:tcW w:w="1421" w:type="dxa"/>
            <w:tcBorders>
              <w:top w:val="single" w:sz="4" w:space="0" w:color="auto"/>
              <w:left w:val="nil"/>
              <w:bottom w:val="nil"/>
              <w:right w:val="nil"/>
            </w:tcBorders>
            <w:shd w:val="clear" w:color="auto" w:fill="F2F2F2" w:themeFill="background1" w:themeFillShade="F2"/>
            <w:noWrap/>
            <w:vAlign w:val="center"/>
            <w:hideMark/>
          </w:tcPr>
          <w:p w14:paraId="645E7B71" w14:textId="77777777" w:rsidR="00823535" w:rsidRPr="00823535" w:rsidRDefault="00823535" w:rsidP="00823535">
            <w:pPr>
              <w:spacing w:line="276" w:lineRule="auto"/>
              <w:jc w:val="center"/>
              <w:rPr>
                <w:rFonts w:ascii="Times New Roman" w:hAnsi="Times New Roman" w:cs="Times New Roman"/>
              </w:rPr>
            </w:pPr>
          </w:p>
        </w:tc>
        <w:tc>
          <w:tcPr>
            <w:tcW w:w="1403" w:type="dxa"/>
            <w:tcBorders>
              <w:top w:val="single" w:sz="4" w:space="0" w:color="auto"/>
              <w:left w:val="nil"/>
              <w:bottom w:val="nil"/>
              <w:right w:val="nil"/>
            </w:tcBorders>
            <w:shd w:val="clear" w:color="auto" w:fill="F2F2F2" w:themeFill="background1" w:themeFillShade="F2"/>
            <w:noWrap/>
            <w:vAlign w:val="center"/>
            <w:hideMark/>
          </w:tcPr>
          <w:p w14:paraId="17B285D4" w14:textId="77777777" w:rsidR="00823535" w:rsidRPr="00823535" w:rsidRDefault="00823535" w:rsidP="00823535">
            <w:pPr>
              <w:spacing w:line="276" w:lineRule="auto"/>
              <w:jc w:val="center"/>
              <w:rPr>
                <w:rFonts w:ascii="Times New Roman" w:hAnsi="Times New Roman" w:cs="Times New Roman"/>
              </w:rPr>
            </w:pPr>
          </w:p>
        </w:tc>
      </w:tr>
      <w:tr w:rsidR="00823535" w:rsidRPr="00823535" w14:paraId="64319A3D" w14:textId="77777777" w:rsidTr="00823535">
        <w:trPr>
          <w:trHeight w:val="20"/>
        </w:trPr>
        <w:tc>
          <w:tcPr>
            <w:tcW w:w="3060" w:type="dxa"/>
            <w:tcBorders>
              <w:top w:val="nil"/>
              <w:left w:val="nil"/>
              <w:bottom w:val="nil"/>
              <w:right w:val="nil"/>
            </w:tcBorders>
            <w:shd w:val="clear" w:color="auto" w:fill="F2F2F2" w:themeFill="background1" w:themeFillShade="F2"/>
            <w:noWrap/>
            <w:vAlign w:val="center"/>
            <w:hideMark/>
          </w:tcPr>
          <w:p w14:paraId="39BCF28E" w14:textId="30D43B94" w:rsidR="00823535" w:rsidRPr="00823535" w:rsidRDefault="00000000" w:rsidP="00823535">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3132" w:type="dxa"/>
            <w:tcBorders>
              <w:top w:val="nil"/>
              <w:left w:val="nil"/>
              <w:bottom w:val="nil"/>
              <w:right w:val="nil"/>
            </w:tcBorders>
            <w:shd w:val="clear" w:color="auto" w:fill="F2F2F2" w:themeFill="background1" w:themeFillShade="F2"/>
            <w:noWrap/>
            <w:vAlign w:val="center"/>
            <w:hideMark/>
          </w:tcPr>
          <w:p w14:paraId="20B1F8C5" w14:textId="6F28D60E"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-0.06</w:t>
            </w:r>
            <w:r>
              <w:rPr>
                <w:rFonts w:ascii="Times New Roman" w:hAnsi="Times New Roman" w:cs="Times New Roman"/>
              </w:rPr>
              <w:t>1</w:t>
            </w:r>
          </w:p>
        </w:tc>
        <w:tc>
          <w:tcPr>
            <w:tcW w:w="1421" w:type="dxa"/>
            <w:tcBorders>
              <w:top w:val="nil"/>
              <w:left w:val="nil"/>
              <w:bottom w:val="nil"/>
              <w:right w:val="nil"/>
            </w:tcBorders>
            <w:shd w:val="clear" w:color="auto" w:fill="F2F2F2" w:themeFill="background1" w:themeFillShade="F2"/>
            <w:noWrap/>
            <w:vAlign w:val="center"/>
            <w:hideMark/>
          </w:tcPr>
          <w:p w14:paraId="66A16678" w14:textId="77777777"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1</w:t>
            </w:r>
          </w:p>
        </w:tc>
        <w:tc>
          <w:tcPr>
            <w:tcW w:w="1403" w:type="dxa"/>
            <w:tcBorders>
              <w:top w:val="nil"/>
              <w:left w:val="nil"/>
              <w:bottom w:val="nil"/>
              <w:right w:val="nil"/>
            </w:tcBorders>
            <w:shd w:val="clear" w:color="auto" w:fill="F2F2F2" w:themeFill="background1" w:themeFillShade="F2"/>
            <w:noWrap/>
            <w:vAlign w:val="center"/>
            <w:hideMark/>
          </w:tcPr>
          <w:p w14:paraId="58E4FFAE" w14:textId="77777777" w:rsidR="00823535" w:rsidRPr="00823535" w:rsidRDefault="00823535" w:rsidP="00823535">
            <w:pPr>
              <w:spacing w:line="276" w:lineRule="auto"/>
              <w:jc w:val="center"/>
              <w:rPr>
                <w:rFonts w:ascii="Times New Roman" w:hAnsi="Times New Roman" w:cs="Times New Roman"/>
              </w:rPr>
            </w:pPr>
          </w:p>
        </w:tc>
      </w:tr>
      <w:tr w:rsidR="00823535" w:rsidRPr="00823535" w14:paraId="31316851" w14:textId="77777777" w:rsidTr="00823535">
        <w:trPr>
          <w:trHeight w:val="20"/>
        </w:trPr>
        <w:tc>
          <w:tcPr>
            <w:tcW w:w="3060" w:type="dxa"/>
            <w:tcBorders>
              <w:top w:val="nil"/>
              <w:left w:val="nil"/>
              <w:bottom w:val="single" w:sz="4" w:space="0" w:color="auto"/>
              <w:right w:val="nil"/>
            </w:tcBorders>
            <w:shd w:val="clear" w:color="auto" w:fill="F2F2F2" w:themeFill="background1" w:themeFillShade="F2"/>
            <w:noWrap/>
            <w:vAlign w:val="center"/>
            <w:hideMark/>
          </w:tcPr>
          <w:p w14:paraId="5DF702CE" w14:textId="4250F608" w:rsidR="00823535" w:rsidRPr="00823535" w:rsidRDefault="00000000" w:rsidP="00823535">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3132" w:type="dxa"/>
            <w:tcBorders>
              <w:top w:val="nil"/>
              <w:left w:val="nil"/>
              <w:bottom w:val="single" w:sz="4" w:space="0" w:color="auto"/>
              <w:right w:val="nil"/>
            </w:tcBorders>
            <w:shd w:val="clear" w:color="auto" w:fill="F2F2F2" w:themeFill="background1" w:themeFillShade="F2"/>
            <w:noWrap/>
            <w:vAlign w:val="center"/>
            <w:hideMark/>
          </w:tcPr>
          <w:p w14:paraId="68338135" w14:textId="4DE6F7D6"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0.578</w:t>
            </w:r>
          </w:p>
        </w:tc>
        <w:tc>
          <w:tcPr>
            <w:tcW w:w="1421" w:type="dxa"/>
            <w:tcBorders>
              <w:top w:val="nil"/>
              <w:left w:val="nil"/>
              <w:bottom w:val="single" w:sz="4" w:space="0" w:color="auto"/>
              <w:right w:val="nil"/>
            </w:tcBorders>
            <w:shd w:val="clear" w:color="auto" w:fill="F2F2F2" w:themeFill="background1" w:themeFillShade="F2"/>
            <w:noWrap/>
            <w:vAlign w:val="center"/>
            <w:hideMark/>
          </w:tcPr>
          <w:p w14:paraId="1AF0CF6F" w14:textId="22D42775"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-0.078</w:t>
            </w:r>
          </w:p>
        </w:tc>
        <w:tc>
          <w:tcPr>
            <w:tcW w:w="1403" w:type="dxa"/>
            <w:tcBorders>
              <w:top w:val="nil"/>
              <w:left w:val="nil"/>
              <w:bottom w:val="single" w:sz="4" w:space="0" w:color="auto"/>
              <w:right w:val="nil"/>
            </w:tcBorders>
            <w:shd w:val="clear" w:color="auto" w:fill="F2F2F2" w:themeFill="background1" w:themeFillShade="F2"/>
            <w:noWrap/>
            <w:vAlign w:val="center"/>
            <w:hideMark/>
          </w:tcPr>
          <w:p w14:paraId="23528E7F" w14:textId="77777777" w:rsidR="00823535" w:rsidRPr="00823535" w:rsidRDefault="00823535" w:rsidP="00823535">
            <w:pPr>
              <w:spacing w:line="276" w:lineRule="auto"/>
              <w:jc w:val="center"/>
              <w:rPr>
                <w:rFonts w:ascii="Times New Roman" w:hAnsi="Times New Roman" w:cs="Times New Roman"/>
              </w:rPr>
            </w:pPr>
            <w:r w:rsidRPr="00823535">
              <w:rPr>
                <w:rFonts w:ascii="Times New Roman" w:hAnsi="Times New Roman" w:cs="Times New Roman"/>
              </w:rPr>
              <w:t>1</w:t>
            </w:r>
          </w:p>
        </w:tc>
      </w:tr>
      <w:tr w:rsidR="00823535" w:rsidRPr="00823535" w14:paraId="5FEFCA41" w14:textId="77777777" w:rsidTr="00823535">
        <w:trPr>
          <w:trHeight w:val="113"/>
        </w:trPr>
        <w:tc>
          <w:tcPr>
            <w:tcW w:w="9016" w:type="dxa"/>
            <w:gridSpan w:val="4"/>
            <w:tcBorders>
              <w:top w:val="single" w:sz="4" w:space="0" w:color="auto"/>
              <w:left w:val="nil"/>
              <w:bottom w:val="nil"/>
              <w:right w:val="nil"/>
            </w:tcBorders>
            <w:shd w:val="clear" w:color="auto" w:fill="F2F2F2" w:themeFill="background1" w:themeFillShade="F2"/>
            <w:noWrap/>
            <w:vAlign w:val="center"/>
          </w:tcPr>
          <w:p w14:paraId="3C8F48FC" w14:textId="77777777" w:rsidR="00823535" w:rsidRPr="00823535" w:rsidRDefault="00823535" w:rsidP="00823535">
            <w:pPr>
              <w:spacing w:line="276" w:lineRule="auto"/>
              <w:jc w:val="center"/>
              <w:rPr>
                <w:rFonts w:ascii="Times New Roman" w:hAnsi="Times New Roman" w:cs="Times New Roman"/>
                <w:sz w:val="15"/>
                <w:szCs w:val="15"/>
              </w:rPr>
            </w:pPr>
          </w:p>
        </w:tc>
      </w:tr>
    </w:tbl>
    <w:p w14:paraId="2932D24F" w14:textId="447DC010" w:rsidR="00F91214" w:rsidRDefault="00C034D7" w:rsidP="00C034D7">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Table 2 shows that CPI inflation and industrial production have negative and low correlation which is same as the correlation between inflation and fuel inflation. This means that industrial production and fuel inflation has very negligible </w:t>
      </w:r>
      <w:r w:rsidR="00A73904">
        <w:rPr>
          <w:rFonts w:ascii="Times New Roman" w:hAnsi="Times New Roman" w:cs="Times New Roman"/>
          <w:lang w:val="en-IN"/>
        </w:rPr>
        <w:t xml:space="preserve">relationship with inflation rate in India. The reason for negative correlation between IIP and CPI can be due to the fact that industrial </w:t>
      </w:r>
      <w:r w:rsidR="00F91214">
        <w:rPr>
          <w:rFonts w:ascii="Times New Roman" w:hAnsi="Times New Roman" w:cs="Times New Roman"/>
          <w:lang w:val="en-IN"/>
        </w:rPr>
        <w:t xml:space="preserve">production increases when inflation rate goes down meaning that when inflation reduces </w:t>
      </w:r>
      <w:r w:rsidR="00F91214">
        <w:rPr>
          <w:rFonts w:ascii="Times New Roman" w:hAnsi="Times New Roman" w:cs="Times New Roman"/>
          <w:lang w:val="en-IN"/>
        </w:rPr>
        <w:lastRenderedPageBreak/>
        <w:t xml:space="preserve">(increases) in the market, the demand for goods increases (reduces) forcing the industries to increase (decrease) the production level. The relation also goes other way too meaning that when Production increase (decrease) </w:t>
      </w:r>
      <w:r w:rsidR="00315EBA">
        <w:rPr>
          <w:rFonts w:ascii="Times New Roman" w:hAnsi="Times New Roman" w:cs="Times New Roman"/>
          <w:lang w:val="en-IN"/>
        </w:rPr>
        <w:t>the supply in the market increase (decrease) keeping the demand for goods constant, it will lower (higher) the price of the goods in the market.</w:t>
      </w:r>
    </w:p>
    <w:p w14:paraId="3497FC66" w14:textId="5E8A6194" w:rsidR="00F63592" w:rsidRDefault="00F91214" w:rsidP="00202033">
      <w:pPr>
        <w:spacing w:line="360" w:lineRule="auto"/>
        <w:jc w:val="both"/>
        <w:rPr>
          <w:rFonts w:ascii="Times New Roman" w:hAnsi="Times New Roman" w:cs="Times New Roman"/>
        </w:rPr>
      </w:pPr>
      <w:r>
        <w:rPr>
          <w:rFonts w:ascii="Times New Roman" w:hAnsi="Times New Roman" w:cs="Times New Roman"/>
          <w:lang w:val="en-IN"/>
        </w:rPr>
        <w:t xml:space="preserve">The correlation between CPI and COP also have negative sign showing that when </w:t>
      </w:r>
      <w:r w:rsidR="00315EBA">
        <w:rPr>
          <w:rFonts w:ascii="Times New Roman" w:hAnsi="Times New Roman" w:cs="Times New Roman"/>
          <w:lang w:val="en-IN"/>
        </w:rPr>
        <w:t xml:space="preserve">fuel </w:t>
      </w:r>
      <w:r>
        <w:rPr>
          <w:rFonts w:ascii="Times New Roman" w:hAnsi="Times New Roman" w:cs="Times New Roman"/>
          <w:lang w:val="en-IN"/>
        </w:rPr>
        <w:t xml:space="preserve">prices </w:t>
      </w:r>
      <w:r w:rsidR="00315EBA">
        <w:rPr>
          <w:rFonts w:ascii="Times New Roman" w:hAnsi="Times New Roman" w:cs="Times New Roman"/>
          <w:lang w:val="en-IN"/>
        </w:rPr>
        <w:t xml:space="preserve">goes high (low) </w:t>
      </w:r>
      <w:r w:rsidR="00633760" w:rsidRPr="00633760">
        <w:rPr>
          <w:rFonts w:ascii="Times New Roman" w:hAnsi="Times New Roman" w:cs="Times New Roman"/>
        </w:rPr>
        <w:t>India government may cut</w:t>
      </w:r>
      <w:r w:rsidR="00633760">
        <w:rPr>
          <w:rFonts w:ascii="Times New Roman" w:hAnsi="Times New Roman" w:cs="Times New Roman"/>
        </w:rPr>
        <w:t xml:space="preserve"> (increase)</w:t>
      </w:r>
      <w:r w:rsidR="00633760" w:rsidRPr="00633760">
        <w:rPr>
          <w:rFonts w:ascii="Times New Roman" w:hAnsi="Times New Roman" w:cs="Times New Roman"/>
        </w:rPr>
        <w:t xml:space="preserve"> excise duties thereby maintaining a stable CPI inflation rate. </w:t>
      </w:r>
      <w:r w:rsidR="005359EF">
        <w:rPr>
          <w:rFonts w:ascii="Times New Roman" w:hAnsi="Times New Roman" w:cs="Times New Roman"/>
        </w:rPr>
        <w:t>Another reason for the</w:t>
      </w:r>
      <w:r w:rsidR="00633760">
        <w:rPr>
          <w:rFonts w:ascii="Times New Roman" w:hAnsi="Times New Roman" w:cs="Times New Roman"/>
        </w:rPr>
        <w:t xml:space="preserve"> relationship goes that as it </w:t>
      </w:r>
      <w:r w:rsidR="005359EF">
        <w:rPr>
          <w:rFonts w:ascii="Times New Roman" w:hAnsi="Times New Roman" w:cs="Times New Roman"/>
        </w:rPr>
        <w:t>has</w:t>
      </w:r>
      <w:r w:rsidR="00633760">
        <w:rPr>
          <w:rFonts w:ascii="Times New Roman" w:hAnsi="Times New Roman" w:cs="Times New Roman"/>
        </w:rPr>
        <w:t xml:space="preserve"> been mentioned above CPI Combined has only 6.84 weights for fuel prices which means </w:t>
      </w:r>
      <w:r w:rsidR="005359EF">
        <w:rPr>
          <w:rFonts w:ascii="Times New Roman" w:hAnsi="Times New Roman" w:cs="Times New Roman"/>
        </w:rPr>
        <w:t>even though</w:t>
      </w:r>
      <w:r w:rsidR="00633760">
        <w:rPr>
          <w:rFonts w:ascii="Times New Roman" w:hAnsi="Times New Roman" w:cs="Times New Roman"/>
        </w:rPr>
        <w:t xml:space="preserve"> </w:t>
      </w:r>
      <w:r w:rsidR="005359EF">
        <w:rPr>
          <w:rFonts w:ascii="Times New Roman" w:hAnsi="Times New Roman" w:cs="Times New Roman"/>
        </w:rPr>
        <w:t xml:space="preserve">foreign fuel prices increases (decrease) it cannot be clearly stated in the basket of CPI as other items in the basket will minimise its effect. </w:t>
      </w:r>
    </w:p>
    <w:p w14:paraId="6343CD7C" w14:textId="0BC6BE2B" w:rsidR="005359EF" w:rsidRDefault="005359EF" w:rsidP="00202033">
      <w:pPr>
        <w:spacing w:line="360" w:lineRule="auto"/>
        <w:jc w:val="both"/>
        <w:rPr>
          <w:rFonts w:ascii="Times New Roman" w:hAnsi="Times New Roman" w:cs="Times New Roman"/>
          <w:lang w:val="en-IN"/>
        </w:rPr>
      </w:pPr>
      <w:r>
        <w:rPr>
          <w:rFonts w:ascii="Times New Roman" w:hAnsi="Times New Roman" w:cs="Times New Roman"/>
          <w:lang w:val="en-IN"/>
        </w:rPr>
        <w:t>The correlation between COP inflation and IIP growth rate has an very different result from the above two aspects. They have highly positive correlation between them showing that with increase in fuel inflation</w:t>
      </w:r>
      <w:r w:rsidR="00FA430C">
        <w:rPr>
          <w:rFonts w:ascii="Times New Roman" w:hAnsi="Times New Roman" w:cs="Times New Roman"/>
          <w:lang w:val="en-IN"/>
        </w:rPr>
        <w:t>,</w:t>
      </w:r>
      <w:r>
        <w:rPr>
          <w:rFonts w:ascii="Times New Roman" w:hAnsi="Times New Roman" w:cs="Times New Roman"/>
          <w:lang w:val="en-IN"/>
        </w:rPr>
        <w:t xml:space="preserve"> the </w:t>
      </w:r>
      <w:r w:rsidR="00FA430C">
        <w:rPr>
          <w:rFonts w:ascii="Times New Roman" w:hAnsi="Times New Roman" w:cs="Times New Roman"/>
          <w:lang w:val="en-IN"/>
        </w:rPr>
        <w:t>industrial production</w:t>
      </w:r>
      <w:r>
        <w:rPr>
          <w:rFonts w:ascii="Times New Roman" w:hAnsi="Times New Roman" w:cs="Times New Roman"/>
          <w:lang w:val="en-IN"/>
        </w:rPr>
        <w:t xml:space="preserve"> will also increase. </w:t>
      </w:r>
      <w:r w:rsidR="00FA430C">
        <w:rPr>
          <w:rFonts w:ascii="Times New Roman" w:hAnsi="Times New Roman" w:cs="Times New Roman"/>
          <w:lang w:val="en-IN"/>
        </w:rPr>
        <w:t xml:space="preserve">The probable reason for this correlation can be that when global price increases it higher the future inflation expectation in the market due to which the consumer demands more at the prevailing prices in the economy causing the increase in the production of the goods in the market and vice versa. </w:t>
      </w:r>
    </w:p>
    <w:p w14:paraId="05721D23" w14:textId="1ADDFE00" w:rsidR="00FA430C" w:rsidRDefault="00FA430C" w:rsidP="00202033">
      <w:pPr>
        <w:spacing w:line="360" w:lineRule="auto"/>
        <w:jc w:val="both"/>
        <w:rPr>
          <w:rFonts w:ascii="Times New Roman" w:hAnsi="Times New Roman" w:cs="Times New Roman"/>
        </w:rPr>
      </w:pPr>
      <w:r>
        <w:rPr>
          <w:rFonts w:ascii="Times New Roman" w:hAnsi="Times New Roman" w:cs="Times New Roman"/>
          <w:lang w:val="en-IN"/>
        </w:rPr>
        <w:t xml:space="preserve">Since correlation has some disadvantages, it was considered to apply </w:t>
      </w:r>
      <w:r w:rsidRPr="0031050D">
        <w:rPr>
          <w:rFonts w:ascii="Times New Roman" w:hAnsi="Times New Roman" w:cs="Times New Roman"/>
        </w:rPr>
        <w:t>advanced econometric model</w:t>
      </w:r>
      <w:r>
        <w:rPr>
          <w:rFonts w:ascii="Times New Roman" w:hAnsi="Times New Roman" w:cs="Times New Roman"/>
        </w:rPr>
        <w:t>l</w:t>
      </w:r>
      <w:r w:rsidRPr="0031050D">
        <w:rPr>
          <w:rFonts w:ascii="Times New Roman" w:hAnsi="Times New Roman" w:cs="Times New Roman"/>
        </w:rPr>
        <w:t>ing techniques, specifically Autoregressive techniques and Granger Causality testing, to elucidate the intricate relationships and causal links between the variables under investigation.</w:t>
      </w:r>
    </w:p>
    <w:p w14:paraId="0C2EF552" w14:textId="5211C4A3" w:rsidR="006360E7" w:rsidRDefault="006360E7" w:rsidP="00202033">
      <w:pPr>
        <w:spacing w:line="360" w:lineRule="auto"/>
        <w:jc w:val="both"/>
        <w:rPr>
          <w:rFonts w:ascii="Times New Roman" w:hAnsi="Times New Roman" w:cs="Times New Roman"/>
        </w:rPr>
      </w:pPr>
      <w:r>
        <w:rPr>
          <w:rFonts w:ascii="Times New Roman" w:hAnsi="Times New Roman" w:cs="Times New Roman"/>
        </w:rPr>
        <w:t>To investigate the relationship between the variables, here two models were formed with a basic assumption that change in any of the real sector variable cannot impact the global fuel prices. The reason is that the global fuel prices are most influence by the economic volatility of oil-exporting countries and have no impact of economic volatility of oil-importing countries. So, the two econometric models are:</w:t>
      </w:r>
    </w:p>
    <w:p w14:paraId="26A9662A" w14:textId="77777777" w:rsidR="006360E7" w:rsidRDefault="006360E7" w:rsidP="00202033">
      <w:pPr>
        <w:spacing w:line="360" w:lineRule="auto"/>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p>
    <w:p w14:paraId="460F86A6" w14:textId="6B34D964" w:rsidR="006360E7" w:rsidRPr="00736ABF" w:rsidRDefault="006360E7" w:rsidP="00202033">
      <w:pPr>
        <w:spacing w:line="360" w:lineRule="auto"/>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r>
        <w:rPr>
          <w:rFonts w:ascii="Times New Roman" w:eastAsiaTheme="minorEastAsia" w:hAnsi="Times New Roman" w:cs="Times New Roman"/>
        </w:rPr>
        <w:tab/>
      </w:r>
    </w:p>
    <w:p w14:paraId="521A783B" w14:textId="2247A807" w:rsidR="00FA430C" w:rsidRDefault="00FA430C" w:rsidP="00C034D7">
      <w:pPr>
        <w:spacing w:before="240" w:line="360" w:lineRule="auto"/>
        <w:jc w:val="both"/>
        <w:rPr>
          <w:rFonts w:ascii="Times New Roman" w:hAnsi="Times New Roman" w:cs="Times New Roman"/>
          <w:b/>
          <w:bCs/>
        </w:rPr>
      </w:pPr>
      <w:r>
        <w:rPr>
          <w:rFonts w:ascii="Times New Roman" w:hAnsi="Times New Roman" w:cs="Times New Roman"/>
          <w:b/>
          <w:bCs/>
        </w:rPr>
        <w:t xml:space="preserve">Results and </w:t>
      </w:r>
      <w:r w:rsidR="00837146">
        <w:rPr>
          <w:rFonts w:ascii="Times New Roman" w:hAnsi="Times New Roman" w:cs="Times New Roman"/>
          <w:b/>
          <w:bCs/>
        </w:rPr>
        <w:t>Interpretations</w:t>
      </w:r>
    </w:p>
    <w:p w14:paraId="2B55680E" w14:textId="48940B7D" w:rsidR="00FA430C" w:rsidRDefault="00FA430C" w:rsidP="00202033">
      <w:pPr>
        <w:spacing w:line="360" w:lineRule="auto"/>
        <w:jc w:val="both"/>
        <w:rPr>
          <w:rFonts w:ascii="Times New Roman" w:hAnsi="Times New Roman" w:cs="Times New Roman"/>
        </w:rPr>
      </w:pPr>
      <w:r>
        <w:rPr>
          <w:rFonts w:ascii="Times New Roman" w:hAnsi="Times New Roman" w:cs="Times New Roman"/>
        </w:rPr>
        <w:t xml:space="preserve">In this section the inferential statistics was applied to find the </w:t>
      </w:r>
      <w:r w:rsidR="003616FA">
        <w:rPr>
          <w:rFonts w:ascii="Times New Roman" w:hAnsi="Times New Roman" w:cs="Times New Roman"/>
        </w:rPr>
        <w:t xml:space="preserve">relation between the variables and provide </w:t>
      </w:r>
      <w:r w:rsidR="006360E7">
        <w:rPr>
          <w:rFonts w:ascii="Times New Roman" w:hAnsi="Times New Roman" w:cs="Times New Roman"/>
        </w:rPr>
        <w:t xml:space="preserve">explanation for that relationship. </w:t>
      </w:r>
      <w:r w:rsidR="00736ABF">
        <w:rPr>
          <w:rFonts w:ascii="Times New Roman" w:hAnsi="Times New Roman" w:cs="Times New Roman"/>
        </w:rPr>
        <w:t>To know the value of the estimators in the model some steps of analysis was required to be followed:</w:t>
      </w:r>
    </w:p>
    <w:p w14:paraId="7AF41170" w14:textId="39A8469C" w:rsidR="00736ABF" w:rsidRDefault="00736ABF" w:rsidP="00736ABF">
      <w:pPr>
        <w:spacing w:line="360" w:lineRule="auto"/>
        <w:jc w:val="both"/>
        <w:rPr>
          <w:rFonts w:ascii="Times New Roman" w:hAnsi="Times New Roman" w:cs="Times New Roman"/>
        </w:rPr>
      </w:pPr>
      <w:r>
        <w:rPr>
          <w:rFonts w:ascii="Times New Roman" w:hAnsi="Times New Roman" w:cs="Times New Roman"/>
        </w:rPr>
        <w:t xml:space="preserve">1. It is required to check whether all the variables are stationary at level or not, to find whether the model estimated will have any spuriousness. For that step, this paper has involved unit root tests. </w:t>
      </w:r>
    </w:p>
    <w:p w14:paraId="104E36D0" w14:textId="6766DF3C" w:rsidR="00736ABF" w:rsidRDefault="00736ABF" w:rsidP="00736ABF">
      <w:pPr>
        <w:spacing w:line="360" w:lineRule="auto"/>
        <w:jc w:val="both"/>
        <w:rPr>
          <w:rFonts w:ascii="Times New Roman" w:hAnsi="Times New Roman" w:cs="Times New Roman"/>
        </w:rPr>
      </w:pPr>
      <w:r>
        <w:rPr>
          <w:rFonts w:ascii="Times New Roman" w:hAnsi="Times New Roman" w:cs="Times New Roman"/>
        </w:rPr>
        <w:lastRenderedPageBreak/>
        <w:t>2. After analysing the result, it was required to select the appropriate estimation technique for analysing the cointegration in the model.</w:t>
      </w:r>
    </w:p>
    <w:p w14:paraId="5CFC2A60" w14:textId="631F1E11" w:rsidR="00736ABF" w:rsidRDefault="00736ABF" w:rsidP="00736ABF">
      <w:pPr>
        <w:spacing w:line="360" w:lineRule="auto"/>
        <w:jc w:val="both"/>
        <w:rPr>
          <w:rFonts w:ascii="Times New Roman" w:hAnsi="Times New Roman" w:cs="Times New Roman"/>
        </w:rPr>
      </w:pPr>
      <w:r>
        <w:rPr>
          <w:rFonts w:ascii="Times New Roman" w:hAnsi="Times New Roman" w:cs="Times New Roman"/>
        </w:rPr>
        <w:t>3. Next if the long run cointegration exists from the prescribed estimation technique, then there is a need to provide Error Correction Model as well as the long run model estimates.</w:t>
      </w:r>
    </w:p>
    <w:p w14:paraId="6741486B" w14:textId="2175A74F" w:rsidR="00736ABF" w:rsidRDefault="00736ABF" w:rsidP="00736ABF">
      <w:pPr>
        <w:spacing w:line="360" w:lineRule="auto"/>
        <w:jc w:val="both"/>
        <w:rPr>
          <w:rFonts w:ascii="Times New Roman" w:hAnsi="Times New Roman" w:cs="Times New Roman"/>
        </w:rPr>
      </w:pPr>
      <w:r>
        <w:rPr>
          <w:rFonts w:ascii="Times New Roman" w:hAnsi="Times New Roman" w:cs="Times New Roman"/>
        </w:rPr>
        <w:t>4. Lastly, the diagnostic test was conducted on the model to check whether the estimates calculated from the estimation method are robust.</w:t>
      </w:r>
    </w:p>
    <w:p w14:paraId="3B388057" w14:textId="7522D6D3" w:rsidR="00736ABF" w:rsidRDefault="00736ABF" w:rsidP="00736ABF">
      <w:pPr>
        <w:spacing w:line="360" w:lineRule="auto"/>
        <w:jc w:val="both"/>
        <w:rPr>
          <w:rFonts w:ascii="Times New Roman" w:hAnsi="Times New Roman" w:cs="Times New Roman"/>
          <w:lang w:val="en-IN"/>
        </w:rPr>
      </w:pPr>
      <w:r>
        <w:rPr>
          <w:rFonts w:ascii="Times New Roman" w:hAnsi="Times New Roman" w:cs="Times New Roman"/>
          <w:lang w:val="en-IN"/>
        </w:rPr>
        <w:t>In table 3 the result of Unit root testing was shown. For unit root testing, there are many tests but the most preferred was the A</w:t>
      </w:r>
      <w:r w:rsidR="00DE70FD">
        <w:rPr>
          <w:rFonts w:ascii="Times New Roman" w:hAnsi="Times New Roman" w:cs="Times New Roman"/>
          <w:lang w:val="en-IN"/>
        </w:rPr>
        <w:t xml:space="preserve">ugmented Dickey and Fuller </w:t>
      </w:r>
      <w:sdt>
        <w:sdtPr>
          <w:rPr>
            <w:rFonts w:ascii="Times New Roman" w:hAnsi="Times New Roman" w:cs="Times New Roman"/>
            <w:lang w:val="en-IN"/>
          </w:rPr>
          <w:id w:val="298586350"/>
          <w:citation/>
        </w:sdtPr>
        <w:sdtContent>
          <w:r w:rsidR="00DE70FD">
            <w:rPr>
              <w:rFonts w:ascii="Times New Roman" w:hAnsi="Times New Roman" w:cs="Times New Roman"/>
              <w:lang w:val="en-IN"/>
            </w:rPr>
            <w:fldChar w:fldCharType="begin"/>
          </w:r>
          <w:r w:rsidR="00DE70FD">
            <w:rPr>
              <w:rFonts w:ascii="Times New Roman" w:hAnsi="Times New Roman" w:cs="Times New Roman"/>
              <w:lang w:val="en-US"/>
            </w:rPr>
            <w:instrText xml:space="preserve">CITATION Dic81 \n  \t  \l 1033 </w:instrText>
          </w:r>
          <w:r w:rsidR="00DE70FD">
            <w:rPr>
              <w:rFonts w:ascii="Times New Roman" w:hAnsi="Times New Roman" w:cs="Times New Roman"/>
              <w:lang w:val="en-IN"/>
            </w:rPr>
            <w:fldChar w:fldCharType="separate"/>
          </w:r>
          <w:r w:rsidR="00DE70FD" w:rsidRPr="00DE70FD">
            <w:rPr>
              <w:rFonts w:ascii="Times New Roman" w:hAnsi="Times New Roman" w:cs="Times New Roman"/>
              <w:noProof/>
              <w:lang w:val="en-US"/>
            </w:rPr>
            <w:t>(1981)</w:t>
          </w:r>
          <w:r w:rsidR="00DE70FD">
            <w:rPr>
              <w:rFonts w:ascii="Times New Roman" w:hAnsi="Times New Roman" w:cs="Times New Roman"/>
              <w:lang w:val="en-IN"/>
            </w:rPr>
            <w:fldChar w:fldCharType="end"/>
          </w:r>
        </w:sdtContent>
      </w:sdt>
      <w:r w:rsidR="00DE70FD">
        <w:rPr>
          <w:rFonts w:ascii="Times New Roman" w:hAnsi="Times New Roman" w:cs="Times New Roman"/>
          <w:lang w:val="en-IN"/>
        </w:rPr>
        <w:t xml:space="preserve"> test, Phillips and Perron </w:t>
      </w:r>
      <w:sdt>
        <w:sdtPr>
          <w:rPr>
            <w:rFonts w:ascii="Times New Roman" w:hAnsi="Times New Roman" w:cs="Times New Roman"/>
            <w:lang w:val="en-IN"/>
          </w:rPr>
          <w:id w:val="867648938"/>
          <w:citation/>
        </w:sdtPr>
        <w:sdtContent>
          <w:r w:rsidR="00DE70FD">
            <w:rPr>
              <w:rFonts w:ascii="Times New Roman" w:hAnsi="Times New Roman" w:cs="Times New Roman"/>
              <w:lang w:val="en-IN"/>
            </w:rPr>
            <w:fldChar w:fldCharType="begin"/>
          </w:r>
          <w:r w:rsidR="00DE70FD">
            <w:rPr>
              <w:rFonts w:ascii="Times New Roman" w:hAnsi="Times New Roman" w:cs="Times New Roman"/>
              <w:lang w:val="en-US"/>
            </w:rPr>
            <w:instrText xml:space="preserve">CITATION Phi88 \n  \t  \l 1033 </w:instrText>
          </w:r>
          <w:r w:rsidR="00DE70FD">
            <w:rPr>
              <w:rFonts w:ascii="Times New Roman" w:hAnsi="Times New Roman" w:cs="Times New Roman"/>
              <w:lang w:val="en-IN"/>
            </w:rPr>
            <w:fldChar w:fldCharType="separate"/>
          </w:r>
          <w:r w:rsidR="00DE70FD" w:rsidRPr="00DE70FD">
            <w:rPr>
              <w:rFonts w:ascii="Times New Roman" w:hAnsi="Times New Roman" w:cs="Times New Roman"/>
              <w:noProof/>
              <w:lang w:val="en-US"/>
            </w:rPr>
            <w:t>(1988)</w:t>
          </w:r>
          <w:r w:rsidR="00DE70FD">
            <w:rPr>
              <w:rFonts w:ascii="Times New Roman" w:hAnsi="Times New Roman" w:cs="Times New Roman"/>
              <w:lang w:val="en-IN"/>
            </w:rPr>
            <w:fldChar w:fldCharType="end"/>
          </w:r>
        </w:sdtContent>
      </w:sdt>
      <w:r w:rsidR="00DE70FD">
        <w:rPr>
          <w:rFonts w:ascii="Times New Roman" w:hAnsi="Times New Roman" w:cs="Times New Roman"/>
          <w:lang w:val="en-IN"/>
        </w:rPr>
        <w:t xml:space="preserve"> test and </w:t>
      </w:r>
      <w:proofErr w:type="spellStart"/>
      <w:r w:rsidR="00DE70FD">
        <w:rPr>
          <w:rFonts w:ascii="Times New Roman" w:hAnsi="Times New Roman" w:cs="Times New Roman"/>
          <w:lang w:val="en-IN"/>
        </w:rPr>
        <w:t>Zivot</w:t>
      </w:r>
      <w:proofErr w:type="spellEnd"/>
      <w:r w:rsidR="00DE70FD">
        <w:rPr>
          <w:rFonts w:ascii="Times New Roman" w:hAnsi="Times New Roman" w:cs="Times New Roman"/>
          <w:lang w:val="en-IN"/>
        </w:rPr>
        <w:t xml:space="preserve"> and Andrews </w:t>
      </w:r>
      <w:sdt>
        <w:sdtPr>
          <w:rPr>
            <w:rFonts w:ascii="Times New Roman" w:hAnsi="Times New Roman" w:cs="Times New Roman"/>
            <w:lang w:val="en-IN"/>
          </w:rPr>
          <w:id w:val="-957102209"/>
          <w:citation/>
        </w:sdtPr>
        <w:sdtContent>
          <w:r w:rsidR="00DE70FD">
            <w:rPr>
              <w:rFonts w:ascii="Times New Roman" w:hAnsi="Times New Roman" w:cs="Times New Roman"/>
              <w:lang w:val="en-IN"/>
            </w:rPr>
            <w:fldChar w:fldCharType="begin"/>
          </w:r>
          <w:r w:rsidR="00DE70FD">
            <w:rPr>
              <w:rFonts w:ascii="Times New Roman" w:hAnsi="Times New Roman" w:cs="Times New Roman"/>
              <w:lang w:val="en-US"/>
            </w:rPr>
            <w:instrText xml:space="preserve">CITATION Ziv92 \n  \t  \l 1033 </w:instrText>
          </w:r>
          <w:r w:rsidR="00DE70FD">
            <w:rPr>
              <w:rFonts w:ascii="Times New Roman" w:hAnsi="Times New Roman" w:cs="Times New Roman"/>
              <w:lang w:val="en-IN"/>
            </w:rPr>
            <w:fldChar w:fldCharType="separate"/>
          </w:r>
          <w:r w:rsidR="00DE70FD" w:rsidRPr="00DE70FD">
            <w:rPr>
              <w:rFonts w:ascii="Times New Roman" w:hAnsi="Times New Roman" w:cs="Times New Roman"/>
              <w:noProof/>
              <w:lang w:val="en-US"/>
            </w:rPr>
            <w:t>(1992)</w:t>
          </w:r>
          <w:r w:rsidR="00DE70FD">
            <w:rPr>
              <w:rFonts w:ascii="Times New Roman" w:hAnsi="Times New Roman" w:cs="Times New Roman"/>
              <w:lang w:val="en-IN"/>
            </w:rPr>
            <w:fldChar w:fldCharType="end"/>
          </w:r>
        </w:sdtContent>
      </w:sdt>
      <w:r w:rsidR="00DE70FD">
        <w:rPr>
          <w:rFonts w:ascii="Times New Roman" w:hAnsi="Times New Roman" w:cs="Times New Roman"/>
          <w:lang w:val="en-IN"/>
        </w:rPr>
        <w:t xml:space="preserve"> test were used in this study.</w:t>
      </w:r>
    </w:p>
    <w:tbl>
      <w:tblPr>
        <w:tblStyle w:val="GridTable5Dark"/>
        <w:tblW w:w="917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ayout w:type="fixed"/>
        <w:tblLook w:val="0600" w:firstRow="0" w:lastRow="0" w:firstColumn="0" w:lastColumn="0" w:noHBand="1" w:noVBand="1"/>
      </w:tblPr>
      <w:tblGrid>
        <w:gridCol w:w="2268"/>
        <w:gridCol w:w="1034"/>
        <w:gridCol w:w="1957"/>
        <w:gridCol w:w="1958"/>
        <w:gridCol w:w="1958"/>
      </w:tblGrid>
      <w:tr w:rsidR="00C56820" w:rsidRPr="0069117D" w14:paraId="2A90E01E" w14:textId="77777777" w:rsidTr="00A21EAB">
        <w:trPr>
          <w:trHeight w:val="20"/>
        </w:trPr>
        <w:tc>
          <w:tcPr>
            <w:tcW w:w="9175" w:type="dxa"/>
            <w:gridSpan w:val="5"/>
            <w:tcBorders>
              <w:bottom w:val="single" w:sz="4" w:space="0" w:color="auto"/>
            </w:tcBorders>
            <w:shd w:val="clear" w:color="auto" w:fill="F2F2F2" w:themeFill="background1" w:themeFillShade="F2"/>
          </w:tcPr>
          <w:p w14:paraId="400F6B36" w14:textId="329E4B14" w:rsidR="00C56820" w:rsidRPr="00E00643" w:rsidRDefault="00C56820" w:rsidP="00C56820">
            <w:pPr>
              <w:jc w:val="center"/>
              <w:rPr>
                <w:rFonts w:ascii="Times New Roman" w:eastAsiaTheme="minorEastAsia" w:hAnsi="Times New Roman" w:cs="Times New Roman"/>
                <w:i/>
                <w:iCs/>
              </w:rPr>
            </w:pPr>
            <w:r w:rsidRPr="00E00643">
              <w:rPr>
                <w:rFonts w:ascii="Times New Roman" w:eastAsiaTheme="minorEastAsia" w:hAnsi="Times New Roman" w:cs="Times New Roman"/>
                <w:i/>
                <w:iCs/>
              </w:rPr>
              <w:t>Table 3: Unit Root Testing</w:t>
            </w:r>
          </w:p>
        </w:tc>
      </w:tr>
      <w:tr w:rsidR="00C56820" w:rsidRPr="0069117D" w14:paraId="1E8593C6" w14:textId="77777777" w:rsidTr="00A21EAB">
        <w:trPr>
          <w:trHeight w:val="20"/>
        </w:trPr>
        <w:tc>
          <w:tcPr>
            <w:tcW w:w="3302" w:type="dxa"/>
            <w:gridSpan w:val="2"/>
            <w:tcBorders>
              <w:top w:val="single" w:sz="4" w:space="0" w:color="auto"/>
              <w:bottom w:val="single" w:sz="4" w:space="0" w:color="auto"/>
            </w:tcBorders>
            <w:shd w:val="clear" w:color="auto" w:fill="F2F2F2" w:themeFill="background1" w:themeFillShade="F2"/>
          </w:tcPr>
          <w:p w14:paraId="12F2AF26" w14:textId="77777777" w:rsidR="00DE70FD" w:rsidRPr="0069117D" w:rsidRDefault="00DE70FD" w:rsidP="00C56820">
            <w:pPr>
              <w:jc w:val="center"/>
              <w:rPr>
                <w:rFonts w:ascii="Times New Roman" w:eastAsiaTheme="minorEastAsia" w:hAnsi="Times New Roman" w:cs="Times New Roman"/>
              </w:rPr>
            </w:pPr>
            <w:r w:rsidRPr="0069117D">
              <w:rPr>
                <w:rFonts w:ascii="Times New Roman" w:eastAsiaTheme="minorEastAsia" w:hAnsi="Times New Roman" w:cs="Times New Roman"/>
              </w:rPr>
              <w:t>Variables</w:t>
            </w:r>
          </w:p>
        </w:tc>
        <w:tc>
          <w:tcPr>
            <w:tcW w:w="1957" w:type="dxa"/>
            <w:tcBorders>
              <w:top w:val="single" w:sz="4" w:space="0" w:color="auto"/>
              <w:bottom w:val="single" w:sz="4" w:space="0" w:color="auto"/>
            </w:tcBorders>
            <w:shd w:val="clear" w:color="auto" w:fill="F2F2F2" w:themeFill="background1" w:themeFillShade="F2"/>
          </w:tcPr>
          <w:p w14:paraId="03360CE4" w14:textId="77777777" w:rsidR="00DE70FD" w:rsidRPr="0069117D" w:rsidRDefault="00DE70FD" w:rsidP="00C56820">
            <w:pPr>
              <w:jc w:val="center"/>
              <w:rPr>
                <w:rFonts w:ascii="Times New Roman" w:eastAsiaTheme="minorEastAsia" w:hAnsi="Times New Roman" w:cs="Times New Roman"/>
              </w:rPr>
            </w:pPr>
            <w:r>
              <w:rPr>
                <w:rFonts w:ascii="Times New Roman" w:eastAsiaTheme="minorEastAsia" w:hAnsi="Times New Roman" w:cs="Times New Roman"/>
              </w:rPr>
              <w:t>ADF Test</w:t>
            </w:r>
          </w:p>
        </w:tc>
        <w:tc>
          <w:tcPr>
            <w:tcW w:w="1958" w:type="dxa"/>
            <w:tcBorders>
              <w:top w:val="single" w:sz="4" w:space="0" w:color="auto"/>
              <w:bottom w:val="single" w:sz="4" w:space="0" w:color="auto"/>
            </w:tcBorders>
            <w:shd w:val="clear" w:color="auto" w:fill="F2F2F2" w:themeFill="background1" w:themeFillShade="F2"/>
          </w:tcPr>
          <w:p w14:paraId="4B993043" w14:textId="77777777" w:rsidR="00DE70FD" w:rsidRPr="0069117D" w:rsidRDefault="00DE70FD" w:rsidP="00C56820">
            <w:pPr>
              <w:jc w:val="center"/>
              <w:rPr>
                <w:rFonts w:ascii="Times New Roman" w:eastAsiaTheme="minorEastAsia" w:hAnsi="Times New Roman" w:cs="Times New Roman"/>
              </w:rPr>
            </w:pPr>
            <w:r>
              <w:rPr>
                <w:rFonts w:ascii="Times New Roman" w:eastAsiaTheme="minorEastAsia" w:hAnsi="Times New Roman" w:cs="Times New Roman"/>
              </w:rPr>
              <w:t>PP Test</w:t>
            </w:r>
          </w:p>
        </w:tc>
        <w:tc>
          <w:tcPr>
            <w:tcW w:w="1958" w:type="dxa"/>
            <w:tcBorders>
              <w:top w:val="single" w:sz="4" w:space="0" w:color="auto"/>
              <w:bottom w:val="single" w:sz="4" w:space="0" w:color="auto"/>
            </w:tcBorders>
            <w:shd w:val="clear" w:color="auto" w:fill="F2F2F2" w:themeFill="background1" w:themeFillShade="F2"/>
          </w:tcPr>
          <w:p w14:paraId="4EDD6557" w14:textId="025DAD72" w:rsidR="00DE70FD" w:rsidRPr="00600E23" w:rsidRDefault="00DE70FD" w:rsidP="00C56820">
            <w:pPr>
              <w:jc w:val="center"/>
              <w:rPr>
                <w:rFonts w:ascii="Times New Roman" w:eastAsiaTheme="minorEastAsia" w:hAnsi="Times New Roman" w:cs="Times New Roman"/>
                <w:vertAlign w:val="superscript"/>
              </w:rPr>
            </w:pPr>
            <w:r>
              <w:rPr>
                <w:rFonts w:ascii="Times New Roman" w:eastAsiaTheme="minorEastAsia" w:hAnsi="Times New Roman" w:cs="Times New Roman"/>
              </w:rPr>
              <w:t>ZA Test</w:t>
            </w:r>
            <w:r w:rsidR="00600E23">
              <w:rPr>
                <w:rFonts w:ascii="Times New Roman" w:eastAsiaTheme="minorEastAsia" w:hAnsi="Times New Roman" w:cs="Times New Roman"/>
                <w:vertAlign w:val="superscript"/>
              </w:rPr>
              <w:t>*</w:t>
            </w:r>
          </w:p>
        </w:tc>
      </w:tr>
      <w:tr w:rsidR="00DE70FD" w:rsidRPr="0069117D" w14:paraId="05E28B5F" w14:textId="77777777" w:rsidTr="00A21EAB">
        <w:trPr>
          <w:trHeight w:val="20"/>
        </w:trPr>
        <w:tc>
          <w:tcPr>
            <w:tcW w:w="9175" w:type="dxa"/>
            <w:gridSpan w:val="5"/>
            <w:tcBorders>
              <w:top w:val="single" w:sz="4" w:space="0" w:color="auto"/>
              <w:bottom w:val="single" w:sz="4" w:space="0" w:color="auto"/>
            </w:tcBorders>
            <w:shd w:val="clear" w:color="auto" w:fill="F2F2F2" w:themeFill="background1" w:themeFillShade="F2"/>
          </w:tcPr>
          <w:p w14:paraId="0582CC41" w14:textId="77777777" w:rsidR="00DE70FD" w:rsidRPr="0069117D" w:rsidRDefault="00DE70FD" w:rsidP="00C56820">
            <w:pPr>
              <w:jc w:val="center"/>
              <w:rPr>
                <w:rFonts w:ascii="Times New Roman" w:eastAsiaTheme="minorEastAsia" w:hAnsi="Times New Roman" w:cs="Times New Roman"/>
              </w:rPr>
            </w:pPr>
            <w:r w:rsidRPr="0069117D">
              <w:rPr>
                <w:rFonts w:ascii="Times New Roman" w:eastAsiaTheme="minorEastAsia" w:hAnsi="Times New Roman" w:cs="Times New Roman"/>
              </w:rPr>
              <w:t>At Level</w:t>
            </w:r>
          </w:p>
        </w:tc>
      </w:tr>
      <w:tr w:rsidR="00C56820" w:rsidRPr="0069117D" w14:paraId="6B277472" w14:textId="77777777" w:rsidTr="00A21EAB">
        <w:trPr>
          <w:trHeight w:val="20"/>
        </w:trPr>
        <w:tc>
          <w:tcPr>
            <w:tcW w:w="3302" w:type="dxa"/>
            <w:gridSpan w:val="2"/>
            <w:tcBorders>
              <w:top w:val="single" w:sz="4" w:space="0" w:color="auto"/>
            </w:tcBorders>
            <w:shd w:val="clear" w:color="auto" w:fill="F2F2F2" w:themeFill="background1" w:themeFillShade="F2"/>
          </w:tcPr>
          <w:p w14:paraId="5F096000" w14:textId="261825CE" w:rsidR="00DE70FD" w:rsidRPr="0069117D" w:rsidRDefault="00000000"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957" w:type="dxa"/>
            <w:tcBorders>
              <w:top w:val="single" w:sz="4" w:space="0" w:color="auto"/>
            </w:tcBorders>
            <w:shd w:val="clear" w:color="auto" w:fill="F2F2F2" w:themeFill="background1" w:themeFillShade="F2"/>
          </w:tcPr>
          <w:p w14:paraId="05B4CB73" w14:textId="573C9DBC"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-6.408</w:t>
            </w:r>
            <w:r w:rsidR="00DE70FD">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03EDC064" w14:textId="223672A8"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-7.372</w:t>
            </w:r>
            <w:r w:rsidR="00DE70FD">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52FA65FD" w14:textId="606952FE" w:rsidR="00DE70F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-8.68</w:t>
            </w:r>
            <w:r>
              <w:rPr>
                <w:rFonts w:ascii="Times New Roman" w:eastAsiaTheme="minorEastAsia" w:hAnsi="Times New Roman" w:cs="Times New Roman"/>
              </w:rPr>
              <w:t>3</w:t>
            </w:r>
            <w:r w:rsidR="00DE70FD">
              <w:rPr>
                <w:rFonts w:ascii="Times New Roman" w:eastAsiaTheme="minorEastAsia" w:hAnsi="Times New Roman" w:cs="Times New Roman"/>
              </w:rPr>
              <w:t>***</w:t>
            </w:r>
          </w:p>
        </w:tc>
      </w:tr>
      <w:tr w:rsidR="00A21EAB" w:rsidRPr="0069117D" w14:paraId="0A1F9F9D" w14:textId="77777777" w:rsidTr="00A21EAB">
        <w:trPr>
          <w:trHeight w:val="20"/>
        </w:trPr>
        <w:tc>
          <w:tcPr>
            <w:tcW w:w="3302" w:type="dxa"/>
            <w:gridSpan w:val="2"/>
            <w:shd w:val="clear" w:color="auto" w:fill="F2F2F2" w:themeFill="background1" w:themeFillShade="F2"/>
          </w:tcPr>
          <w:p w14:paraId="63AB3BF0" w14:textId="7C638F7F" w:rsidR="00DE70FD" w:rsidRPr="0069117D" w:rsidRDefault="00000000"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957" w:type="dxa"/>
            <w:shd w:val="clear" w:color="auto" w:fill="F2F2F2" w:themeFill="background1" w:themeFillShade="F2"/>
          </w:tcPr>
          <w:p w14:paraId="3B275036" w14:textId="6F44D54A"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-2.764</w:t>
            </w:r>
          </w:p>
        </w:tc>
        <w:tc>
          <w:tcPr>
            <w:tcW w:w="1958" w:type="dxa"/>
            <w:shd w:val="clear" w:color="auto" w:fill="F2F2F2" w:themeFill="background1" w:themeFillShade="F2"/>
          </w:tcPr>
          <w:p w14:paraId="6E3D0247" w14:textId="2E8C742A"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-2.212</w:t>
            </w:r>
          </w:p>
        </w:tc>
        <w:tc>
          <w:tcPr>
            <w:tcW w:w="1958" w:type="dxa"/>
            <w:shd w:val="clear" w:color="auto" w:fill="F2F2F2" w:themeFill="background1" w:themeFillShade="F2"/>
          </w:tcPr>
          <w:p w14:paraId="358D55C1" w14:textId="2A1BDDDF" w:rsidR="00DE70F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-4.54</w:t>
            </w:r>
            <w:r>
              <w:rPr>
                <w:rFonts w:ascii="Times New Roman" w:eastAsiaTheme="minorEastAsia" w:hAnsi="Times New Roman" w:cs="Times New Roman"/>
              </w:rPr>
              <w:t>8</w:t>
            </w:r>
          </w:p>
        </w:tc>
      </w:tr>
      <w:tr w:rsidR="00C56820" w:rsidRPr="0069117D" w14:paraId="203D81F5" w14:textId="77777777" w:rsidTr="00A21EAB">
        <w:trPr>
          <w:trHeight w:val="20"/>
        </w:trPr>
        <w:tc>
          <w:tcPr>
            <w:tcW w:w="3302" w:type="dxa"/>
            <w:gridSpan w:val="2"/>
            <w:tcBorders>
              <w:bottom w:val="single" w:sz="4" w:space="0" w:color="auto"/>
            </w:tcBorders>
            <w:shd w:val="clear" w:color="auto" w:fill="F2F2F2" w:themeFill="background1" w:themeFillShade="F2"/>
          </w:tcPr>
          <w:p w14:paraId="7A3AFCFC" w14:textId="0EC89626" w:rsidR="00DE70FD" w:rsidRPr="0069117D" w:rsidRDefault="00000000"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1957" w:type="dxa"/>
            <w:tcBorders>
              <w:bottom w:val="single" w:sz="4" w:space="0" w:color="auto"/>
            </w:tcBorders>
            <w:shd w:val="clear" w:color="auto" w:fill="F2F2F2" w:themeFill="background1" w:themeFillShade="F2"/>
          </w:tcPr>
          <w:p w14:paraId="44083D2B" w14:textId="5A6D0F4C"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-4.186</w:t>
            </w:r>
            <w:r w:rsidR="00DE70FD">
              <w:rPr>
                <w:rFonts w:ascii="Times New Roman" w:eastAsiaTheme="minorEastAsia" w:hAnsi="Times New Roman" w:cs="Times New Roman"/>
              </w:rPr>
              <w:t>***</w:t>
            </w:r>
          </w:p>
        </w:tc>
        <w:tc>
          <w:tcPr>
            <w:tcW w:w="1958" w:type="dxa"/>
            <w:tcBorders>
              <w:bottom w:val="single" w:sz="4" w:space="0" w:color="auto"/>
            </w:tcBorders>
            <w:shd w:val="clear" w:color="auto" w:fill="F2F2F2" w:themeFill="background1" w:themeFillShade="F2"/>
          </w:tcPr>
          <w:p w14:paraId="0B1F6A93" w14:textId="3DE889CD" w:rsidR="00DE70F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-3.297</w:t>
            </w:r>
            <w:r>
              <w:rPr>
                <w:rFonts w:ascii="Times New Roman" w:eastAsiaTheme="minorEastAsia" w:hAnsi="Times New Roman" w:cs="Times New Roman"/>
              </w:rPr>
              <w:t>*</w:t>
            </w:r>
          </w:p>
        </w:tc>
        <w:tc>
          <w:tcPr>
            <w:tcW w:w="1958" w:type="dxa"/>
            <w:tcBorders>
              <w:bottom w:val="single" w:sz="4" w:space="0" w:color="auto"/>
            </w:tcBorders>
            <w:shd w:val="clear" w:color="auto" w:fill="F2F2F2" w:themeFill="background1" w:themeFillShade="F2"/>
          </w:tcPr>
          <w:p w14:paraId="4F48359C" w14:textId="0A1B88AF" w:rsidR="00DE70F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-5.18</w:t>
            </w:r>
            <w:r>
              <w:rPr>
                <w:rFonts w:ascii="Times New Roman" w:eastAsiaTheme="minorEastAsia" w:hAnsi="Times New Roman" w:cs="Times New Roman"/>
              </w:rPr>
              <w:t>5</w:t>
            </w:r>
            <w:r w:rsidR="00DE70FD">
              <w:rPr>
                <w:rFonts w:ascii="Times New Roman" w:eastAsiaTheme="minorEastAsia" w:hAnsi="Times New Roman" w:cs="Times New Roman"/>
              </w:rPr>
              <w:t>**</w:t>
            </w:r>
          </w:p>
        </w:tc>
      </w:tr>
      <w:tr w:rsidR="00064D8D" w:rsidRPr="0069117D" w14:paraId="05AC6A83" w14:textId="77777777" w:rsidTr="00A21EAB">
        <w:trPr>
          <w:trHeight w:val="20"/>
        </w:trPr>
        <w:tc>
          <w:tcPr>
            <w:tcW w:w="9175" w:type="dxa"/>
            <w:gridSpan w:val="5"/>
            <w:tcBorders>
              <w:top w:val="single" w:sz="4" w:space="0" w:color="auto"/>
              <w:bottom w:val="single" w:sz="4" w:space="0" w:color="auto"/>
            </w:tcBorders>
            <w:shd w:val="clear" w:color="auto" w:fill="F2F2F2" w:themeFill="background1" w:themeFillShade="F2"/>
          </w:tcPr>
          <w:p w14:paraId="336D5D98" w14:textId="51CACE57" w:rsidR="00064D8D" w:rsidRPr="002C59C5"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First Difference</w:t>
            </w:r>
          </w:p>
        </w:tc>
      </w:tr>
      <w:tr w:rsidR="00C56820" w:rsidRPr="0069117D" w14:paraId="53A66520" w14:textId="77777777" w:rsidTr="00A21EAB">
        <w:trPr>
          <w:trHeight w:val="20"/>
        </w:trPr>
        <w:tc>
          <w:tcPr>
            <w:tcW w:w="3302" w:type="dxa"/>
            <w:gridSpan w:val="2"/>
            <w:tcBorders>
              <w:top w:val="single" w:sz="4" w:space="0" w:color="auto"/>
            </w:tcBorders>
            <w:shd w:val="clear" w:color="auto" w:fill="F2F2F2" w:themeFill="background1" w:themeFillShade="F2"/>
          </w:tcPr>
          <w:p w14:paraId="72AF5723" w14:textId="76A0E7CC" w:rsidR="00064D8D" w:rsidRDefault="00000000" w:rsidP="00C56820">
            <w:pPr>
              <w:rPr>
                <w:rFonts w:ascii="Aptos" w:eastAsia="Aptos" w:hAnsi="Aptos"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957" w:type="dxa"/>
            <w:tcBorders>
              <w:top w:val="single" w:sz="4" w:space="0" w:color="auto"/>
            </w:tcBorders>
            <w:shd w:val="clear" w:color="auto" w:fill="F2F2F2" w:themeFill="background1" w:themeFillShade="F2"/>
          </w:tcPr>
          <w:p w14:paraId="4BAED053" w14:textId="4B7A7E4B" w:rsidR="00064D8D" w:rsidRPr="00E97A15" w:rsidRDefault="00064D8D" w:rsidP="00C56820">
            <w:pPr>
              <w:jc w:val="center"/>
              <w:rPr>
                <w:rFonts w:ascii="Times New Roman" w:eastAsiaTheme="minorEastAsia" w:hAnsi="Times New Roman" w:cs="Times New Roman"/>
              </w:rPr>
            </w:pPr>
            <w:r>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0C7AEEAD" w14:textId="0F6292D7" w:rsidR="00064D8D" w:rsidRPr="00E97A15"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w:t>
            </w:r>
          </w:p>
        </w:tc>
        <w:tc>
          <w:tcPr>
            <w:tcW w:w="1958" w:type="dxa"/>
            <w:tcBorders>
              <w:top w:val="single" w:sz="4" w:space="0" w:color="auto"/>
            </w:tcBorders>
            <w:shd w:val="clear" w:color="auto" w:fill="F2F2F2" w:themeFill="background1" w:themeFillShade="F2"/>
          </w:tcPr>
          <w:p w14:paraId="63231340" w14:textId="577890AE" w:rsidR="00064D8D" w:rsidRPr="00E041E1"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w:t>
            </w:r>
          </w:p>
        </w:tc>
      </w:tr>
      <w:tr w:rsidR="00A21EAB" w:rsidRPr="0069117D" w14:paraId="63359FC2" w14:textId="77777777" w:rsidTr="00A21EAB">
        <w:trPr>
          <w:trHeight w:val="20"/>
        </w:trPr>
        <w:tc>
          <w:tcPr>
            <w:tcW w:w="3302" w:type="dxa"/>
            <w:gridSpan w:val="2"/>
            <w:shd w:val="clear" w:color="auto" w:fill="F2F2F2" w:themeFill="background1" w:themeFillShade="F2"/>
          </w:tcPr>
          <w:p w14:paraId="31826587" w14:textId="38AD20EB" w:rsidR="00064D8D" w:rsidRPr="0069117D" w:rsidRDefault="00000000" w:rsidP="00C56820">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957" w:type="dxa"/>
            <w:shd w:val="clear" w:color="auto" w:fill="F2F2F2" w:themeFill="background1" w:themeFillShade="F2"/>
          </w:tcPr>
          <w:p w14:paraId="727DAAE8" w14:textId="32F8254D" w:rsidR="00064D8D" w:rsidRPr="0069117D" w:rsidRDefault="00064D8D" w:rsidP="00C56820">
            <w:pPr>
              <w:jc w:val="center"/>
              <w:rPr>
                <w:rFonts w:ascii="Times New Roman" w:eastAsiaTheme="minorEastAsia" w:hAnsi="Times New Roman" w:cs="Times New Roman"/>
              </w:rPr>
            </w:pPr>
            <w:r w:rsidRPr="00064D8D">
              <w:rPr>
                <w:rFonts w:ascii="Times New Roman" w:eastAsiaTheme="minorEastAsia" w:hAnsi="Times New Roman" w:cs="Times New Roman"/>
              </w:rPr>
              <w:t>-10.046</w:t>
            </w:r>
            <w:r>
              <w:rPr>
                <w:rFonts w:ascii="Times New Roman" w:eastAsiaTheme="minorEastAsia" w:hAnsi="Times New Roman" w:cs="Times New Roman"/>
              </w:rPr>
              <w:t>***</w:t>
            </w:r>
          </w:p>
        </w:tc>
        <w:tc>
          <w:tcPr>
            <w:tcW w:w="1958" w:type="dxa"/>
            <w:shd w:val="clear" w:color="auto" w:fill="F2F2F2" w:themeFill="background1" w:themeFillShade="F2"/>
          </w:tcPr>
          <w:p w14:paraId="5A126F54" w14:textId="498D88C6" w:rsidR="00064D8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-9.48</w:t>
            </w:r>
            <w:r>
              <w:rPr>
                <w:rFonts w:ascii="Times New Roman" w:eastAsiaTheme="minorEastAsia" w:hAnsi="Times New Roman" w:cs="Times New Roman"/>
              </w:rPr>
              <w:t>8</w:t>
            </w:r>
            <w:r w:rsidR="00064D8D">
              <w:rPr>
                <w:rFonts w:ascii="Times New Roman" w:eastAsiaTheme="minorEastAsia" w:hAnsi="Times New Roman" w:cs="Times New Roman"/>
              </w:rPr>
              <w:t>***</w:t>
            </w:r>
          </w:p>
        </w:tc>
        <w:tc>
          <w:tcPr>
            <w:tcW w:w="1958" w:type="dxa"/>
            <w:shd w:val="clear" w:color="auto" w:fill="F2F2F2" w:themeFill="background1" w:themeFillShade="F2"/>
          </w:tcPr>
          <w:p w14:paraId="1045DCD5" w14:textId="1193FF49" w:rsidR="00064D8D" w:rsidRPr="0069117D"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-9.984</w:t>
            </w:r>
            <w:r w:rsidR="00064D8D">
              <w:rPr>
                <w:rFonts w:ascii="Times New Roman" w:eastAsiaTheme="minorEastAsia" w:hAnsi="Times New Roman" w:cs="Times New Roman"/>
              </w:rPr>
              <w:t>***</w:t>
            </w:r>
          </w:p>
        </w:tc>
      </w:tr>
      <w:tr w:rsidR="00064D8D" w:rsidRPr="0069117D" w14:paraId="0F002767" w14:textId="77777777" w:rsidTr="00A21EAB">
        <w:trPr>
          <w:trHeight w:val="20"/>
        </w:trPr>
        <w:tc>
          <w:tcPr>
            <w:tcW w:w="3302" w:type="dxa"/>
            <w:gridSpan w:val="2"/>
            <w:tcBorders>
              <w:bottom w:val="single" w:sz="4" w:space="0" w:color="auto"/>
            </w:tcBorders>
            <w:shd w:val="clear" w:color="auto" w:fill="F2F2F2" w:themeFill="background1" w:themeFillShade="F2"/>
          </w:tcPr>
          <w:p w14:paraId="0DA058F9" w14:textId="64D4A273" w:rsidR="00064D8D" w:rsidRDefault="00000000" w:rsidP="00C56820">
            <w:pPr>
              <w:rPr>
                <w:rFonts w:ascii="Aptos" w:eastAsia="Aptos" w:hAnsi="Aptos" w:cs="Times New Roman"/>
                <w:lang w:val="en-US"/>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1957" w:type="dxa"/>
            <w:tcBorders>
              <w:bottom w:val="single" w:sz="4" w:space="0" w:color="auto"/>
            </w:tcBorders>
            <w:shd w:val="clear" w:color="auto" w:fill="F2F2F2" w:themeFill="background1" w:themeFillShade="F2"/>
          </w:tcPr>
          <w:p w14:paraId="5B8204D9" w14:textId="39731B4B" w:rsidR="00064D8D" w:rsidRPr="00640E8C" w:rsidRDefault="00064D8D"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w:t>
            </w:r>
          </w:p>
        </w:tc>
        <w:tc>
          <w:tcPr>
            <w:tcW w:w="1958" w:type="dxa"/>
            <w:tcBorders>
              <w:bottom w:val="single" w:sz="4" w:space="0" w:color="auto"/>
            </w:tcBorders>
            <w:shd w:val="clear" w:color="auto" w:fill="F2F2F2" w:themeFill="background1" w:themeFillShade="F2"/>
          </w:tcPr>
          <w:p w14:paraId="2600E21C" w14:textId="2F51671A" w:rsidR="00064D8D" w:rsidRPr="00C56820" w:rsidRDefault="00C56820" w:rsidP="00C56820">
            <w:pPr>
              <w:jc w:val="center"/>
              <w:rPr>
                <w:rFonts w:ascii="Times New Roman" w:eastAsiaTheme="minorEastAsia" w:hAnsi="Times New Roman" w:cs="Times New Roman"/>
              </w:rPr>
            </w:pPr>
            <w:r w:rsidRPr="00C56820">
              <w:rPr>
                <w:rFonts w:ascii="Times New Roman" w:eastAsiaTheme="minorEastAsia" w:hAnsi="Times New Roman" w:cs="Times New Roman"/>
              </w:rPr>
              <w:t>-9.62***</w:t>
            </w:r>
          </w:p>
        </w:tc>
        <w:tc>
          <w:tcPr>
            <w:tcW w:w="1958" w:type="dxa"/>
            <w:tcBorders>
              <w:bottom w:val="single" w:sz="4" w:space="0" w:color="auto"/>
            </w:tcBorders>
            <w:shd w:val="clear" w:color="auto" w:fill="F2F2F2" w:themeFill="background1" w:themeFillShade="F2"/>
          </w:tcPr>
          <w:p w14:paraId="0AEF0785" w14:textId="60FA98B2" w:rsidR="00064D8D" w:rsidRPr="00C56820" w:rsidRDefault="00C56820" w:rsidP="00C56820">
            <w:pPr>
              <w:jc w:val="center"/>
              <w:rPr>
                <w:rFonts w:ascii="Times New Roman" w:eastAsiaTheme="minorEastAsia" w:hAnsi="Times New Roman" w:cs="Times New Roman"/>
              </w:rPr>
            </w:pPr>
            <w:r>
              <w:rPr>
                <w:rFonts w:ascii="Times New Roman" w:eastAsiaTheme="minorEastAsia" w:hAnsi="Times New Roman" w:cs="Times New Roman"/>
              </w:rPr>
              <w:t>--</w:t>
            </w:r>
          </w:p>
        </w:tc>
      </w:tr>
      <w:tr w:rsidR="00DE70FD" w:rsidRPr="0069117D" w14:paraId="69607272" w14:textId="77777777" w:rsidTr="00A21EAB">
        <w:trPr>
          <w:trHeight w:val="20"/>
        </w:trPr>
        <w:tc>
          <w:tcPr>
            <w:tcW w:w="3302" w:type="dxa"/>
            <w:gridSpan w:val="2"/>
            <w:tcBorders>
              <w:top w:val="single" w:sz="4" w:space="0" w:color="auto"/>
              <w:bottom w:val="single" w:sz="4" w:space="0" w:color="auto"/>
            </w:tcBorders>
            <w:shd w:val="clear" w:color="auto" w:fill="F2F2F2" w:themeFill="background1" w:themeFillShade="F2"/>
          </w:tcPr>
          <w:p w14:paraId="1B3EC127" w14:textId="77777777" w:rsidR="00DE70FD" w:rsidRPr="0069117D" w:rsidRDefault="00DE70FD" w:rsidP="00C56820">
            <w:pPr>
              <w:jc w:val="center"/>
              <w:rPr>
                <w:rFonts w:ascii="Times New Roman" w:eastAsiaTheme="minorEastAsia" w:hAnsi="Times New Roman" w:cs="Times New Roman"/>
                <w:b/>
                <w:bCs/>
              </w:rPr>
            </w:pPr>
            <w:r w:rsidRPr="0069117D">
              <w:rPr>
                <w:rFonts w:ascii="Times New Roman" w:eastAsiaTheme="minorEastAsia" w:hAnsi="Times New Roman" w:cs="Times New Roman"/>
              </w:rPr>
              <w:t>Null Hypothesis:</w:t>
            </w:r>
          </w:p>
        </w:tc>
        <w:tc>
          <w:tcPr>
            <w:tcW w:w="5873" w:type="dxa"/>
            <w:gridSpan w:val="3"/>
            <w:tcBorders>
              <w:top w:val="single" w:sz="4" w:space="0" w:color="auto"/>
              <w:bottom w:val="single" w:sz="4" w:space="0" w:color="auto"/>
            </w:tcBorders>
            <w:shd w:val="clear" w:color="auto" w:fill="F2F2F2" w:themeFill="background1" w:themeFillShade="F2"/>
          </w:tcPr>
          <w:p w14:paraId="5184A951" w14:textId="77777777" w:rsidR="00DE70FD" w:rsidRPr="0069117D" w:rsidRDefault="00DE70FD" w:rsidP="00C56820">
            <w:pPr>
              <w:jc w:val="center"/>
              <w:rPr>
                <w:rFonts w:ascii="Times New Roman" w:eastAsiaTheme="minorEastAsia" w:hAnsi="Times New Roman" w:cs="Times New Roman"/>
                <w:b/>
                <w:bCs/>
              </w:rPr>
            </w:pPr>
            <w:r>
              <w:rPr>
                <w:rFonts w:ascii="Times New Roman" w:eastAsiaTheme="minorEastAsia" w:hAnsi="Times New Roman" w:cs="Times New Roman"/>
              </w:rPr>
              <w:t>U</w:t>
            </w:r>
            <w:r w:rsidRPr="0069117D">
              <w:rPr>
                <w:rFonts w:ascii="Times New Roman" w:eastAsiaTheme="minorEastAsia" w:hAnsi="Times New Roman" w:cs="Times New Roman"/>
              </w:rPr>
              <w:t>nit root</w:t>
            </w:r>
          </w:p>
        </w:tc>
      </w:tr>
      <w:tr w:rsidR="00C56820" w:rsidRPr="0069117D" w14:paraId="5CEA023F" w14:textId="77777777" w:rsidTr="00A21EAB">
        <w:trPr>
          <w:trHeight w:val="20"/>
        </w:trPr>
        <w:tc>
          <w:tcPr>
            <w:tcW w:w="2268" w:type="dxa"/>
            <w:vMerge w:val="restart"/>
            <w:tcBorders>
              <w:top w:val="single" w:sz="4" w:space="0" w:color="auto"/>
            </w:tcBorders>
            <w:shd w:val="clear" w:color="auto" w:fill="F2F2F2" w:themeFill="background1" w:themeFillShade="F2"/>
            <w:vAlign w:val="center"/>
          </w:tcPr>
          <w:p w14:paraId="34138071" w14:textId="77777777" w:rsidR="00DE70FD" w:rsidRPr="0069117D" w:rsidRDefault="00DE70FD" w:rsidP="00A21EAB">
            <w:pPr>
              <w:jc w:val="center"/>
              <w:rPr>
                <w:rFonts w:ascii="Times New Roman" w:eastAsiaTheme="minorEastAsia" w:hAnsi="Times New Roman" w:cs="Times New Roman"/>
              </w:rPr>
            </w:pPr>
            <w:r>
              <w:rPr>
                <w:rFonts w:ascii="Times New Roman" w:eastAsiaTheme="minorEastAsia" w:hAnsi="Times New Roman" w:cs="Times New Roman"/>
              </w:rPr>
              <w:t>Critical Values:</w:t>
            </w:r>
          </w:p>
        </w:tc>
        <w:tc>
          <w:tcPr>
            <w:tcW w:w="1034" w:type="dxa"/>
            <w:tcBorders>
              <w:top w:val="single" w:sz="4" w:space="0" w:color="auto"/>
              <w:bottom w:val="nil"/>
              <w:right w:val="single" w:sz="4" w:space="0" w:color="auto"/>
            </w:tcBorders>
            <w:shd w:val="clear" w:color="auto" w:fill="F2F2F2" w:themeFill="background1" w:themeFillShade="F2"/>
            <w:vAlign w:val="center"/>
          </w:tcPr>
          <w:p w14:paraId="6B3340A5" w14:textId="77777777" w:rsidR="00DE70FD" w:rsidRPr="0069117D" w:rsidRDefault="00DE70FD" w:rsidP="00A21EAB">
            <w:pPr>
              <w:rPr>
                <w:rFonts w:ascii="Times New Roman" w:eastAsiaTheme="minorEastAsia" w:hAnsi="Times New Roman" w:cs="Times New Roman"/>
              </w:rPr>
            </w:pPr>
            <w:r>
              <w:rPr>
                <w:rFonts w:ascii="Times New Roman" w:eastAsiaTheme="minorEastAsia" w:hAnsi="Times New Roman" w:cs="Times New Roman"/>
              </w:rPr>
              <w:t>***</w:t>
            </w:r>
            <w:r w:rsidRPr="00EC77C9">
              <w:rPr>
                <w:rFonts w:ascii="Times New Roman" w:eastAsiaTheme="minorEastAsia" w:hAnsi="Times New Roman" w:cs="Times New Roman"/>
              </w:rPr>
              <w:t>1</w:t>
            </w:r>
            <w:r>
              <w:rPr>
                <w:rFonts w:ascii="Times New Roman" w:eastAsiaTheme="minorEastAsia" w:hAnsi="Times New Roman" w:cs="Times New Roman"/>
              </w:rPr>
              <w:t>%</w:t>
            </w:r>
          </w:p>
        </w:tc>
        <w:tc>
          <w:tcPr>
            <w:tcW w:w="1957" w:type="dxa"/>
            <w:tcBorders>
              <w:top w:val="single" w:sz="4" w:space="0" w:color="auto"/>
              <w:left w:val="single" w:sz="4" w:space="0" w:color="auto"/>
            </w:tcBorders>
            <w:shd w:val="clear" w:color="auto" w:fill="F2F2F2" w:themeFill="background1" w:themeFillShade="F2"/>
          </w:tcPr>
          <w:p w14:paraId="2843F2BA" w14:textId="07E7415F" w:rsidR="00DE70FD" w:rsidRDefault="00064D8D" w:rsidP="00C56820">
            <w:pPr>
              <w:jc w:val="right"/>
              <w:rPr>
                <w:rFonts w:ascii="Times New Roman" w:eastAsiaTheme="minorEastAsia" w:hAnsi="Times New Roman" w:cs="Times New Roman"/>
              </w:rPr>
            </w:pPr>
            <w:r w:rsidRPr="00064D8D">
              <w:rPr>
                <w:rFonts w:ascii="Times New Roman" w:eastAsiaTheme="minorEastAsia" w:hAnsi="Times New Roman" w:cs="Times New Roman"/>
              </w:rPr>
              <w:t>-3.99</w:t>
            </w:r>
          </w:p>
        </w:tc>
        <w:tc>
          <w:tcPr>
            <w:tcW w:w="1958" w:type="dxa"/>
            <w:tcBorders>
              <w:top w:val="single" w:sz="4" w:space="0" w:color="auto"/>
            </w:tcBorders>
            <w:shd w:val="clear" w:color="auto" w:fill="F2F2F2" w:themeFill="background1" w:themeFillShade="F2"/>
          </w:tcPr>
          <w:p w14:paraId="51C39BEA" w14:textId="55DAB053" w:rsidR="00DE70FD" w:rsidRDefault="00C56820" w:rsidP="00C56820">
            <w:pPr>
              <w:jc w:val="right"/>
              <w:rPr>
                <w:rFonts w:ascii="Times New Roman" w:eastAsiaTheme="minorEastAsia" w:hAnsi="Times New Roman" w:cs="Times New Roman"/>
              </w:rPr>
            </w:pPr>
            <w:r w:rsidRPr="00C56820">
              <w:rPr>
                <w:rFonts w:ascii="Times New Roman" w:eastAsiaTheme="minorEastAsia" w:hAnsi="Times New Roman" w:cs="Times New Roman"/>
              </w:rPr>
              <w:t>-4.02</w:t>
            </w:r>
            <w:r>
              <w:rPr>
                <w:rFonts w:ascii="Times New Roman" w:eastAsiaTheme="minorEastAsia" w:hAnsi="Times New Roman" w:cs="Times New Roman"/>
              </w:rPr>
              <w:t>6</w:t>
            </w:r>
          </w:p>
        </w:tc>
        <w:tc>
          <w:tcPr>
            <w:tcW w:w="1958" w:type="dxa"/>
            <w:tcBorders>
              <w:top w:val="single" w:sz="4" w:space="0" w:color="auto"/>
            </w:tcBorders>
            <w:shd w:val="clear" w:color="auto" w:fill="F2F2F2" w:themeFill="background1" w:themeFillShade="F2"/>
          </w:tcPr>
          <w:p w14:paraId="584151BF" w14:textId="77777777" w:rsidR="00DE70FD" w:rsidRDefault="00DE70FD" w:rsidP="00C56820">
            <w:pPr>
              <w:jc w:val="right"/>
              <w:rPr>
                <w:rFonts w:ascii="Times New Roman" w:eastAsiaTheme="minorEastAsia" w:hAnsi="Times New Roman" w:cs="Times New Roman"/>
              </w:rPr>
            </w:pPr>
            <w:r w:rsidRPr="008C7425">
              <w:rPr>
                <w:rFonts w:ascii="Times New Roman" w:eastAsiaTheme="minorEastAsia" w:hAnsi="Times New Roman" w:cs="Times New Roman"/>
              </w:rPr>
              <w:t>-5.57</w:t>
            </w:r>
          </w:p>
        </w:tc>
      </w:tr>
      <w:tr w:rsidR="00A21EAB" w:rsidRPr="0069117D" w14:paraId="4AB93175" w14:textId="77777777" w:rsidTr="00A21EAB">
        <w:trPr>
          <w:trHeight w:val="20"/>
        </w:trPr>
        <w:tc>
          <w:tcPr>
            <w:tcW w:w="2268" w:type="dxa"/>
            <w:vMerge/>
            <w:shd w:val="clear" w:color="auto" w:fill="F2F2F2" w:themeFill="background1" w:themeFillShade="F2"/>
          </w:tcPr>
          <w:p w14:paraId="18652061" w14:textId="77777777" w:rsidR="00DE70FD" w:rsidRDefault="00DE70FD" w:rsidP="00C56820">
            <w:pPr>
              <w:jc w:val="center"/>
              <w:rPr>
                <w:rFonts w:ascii="Times New Roman" w:eastAsiaTheme="minorEastAsia" w:hAnsi="Times New Roman" w:cs="Times New Roman"/>
              </w:rPr>
            </w:pPr>
          </w:p>
        </w:tc>
        <w:tc>
          <w:tcPr>
            <w:tcW w:w="1034" w:type="dxa"/>
            <w:tcBorders>
              <w:bottom w:val="nil"/>
              <w:right w:val="single" w:sz="4" w:space="0" w:color="auto"/>
            </w:tcBorders>
            <w:shd w:val="clear" w:color="auto" w:fill="F2F2F2" w:themeFill="background1" w:themeFillShade="F2"/>
            <w:vAlign w:val="center"/>
          </w:tcPr>
          <w:p w14:paraId="7A97D585" w14:textId="77777777" w:rsidR="00DE70FD" w:rsidRPr="0069117D" w:rsidRDefault="00DE70FD" w:rsidP="00A21EAB">
            <w:pPr>
              <w:rPr>
                <w:rFonts w:ascii="Times New Roman" w:eastAsiaTheme="minorEastAsia" w:hAnsi="Times New Roman" w:cs="Times New Roman"/>
              </w:rPr>
            </w:pPr>
            <w:r>
              <w:rPr>
                <w:rFonts w:ascii="Times New Roman" w:eastAsiaTheme="minorEastAsia" w:hAnsi="Times New Roman" w:cs="Times New Roman"/>
              </w:rPr>
              <w:t>**</w:t>
            </w:r>
            <w:r w:rsidRPr="00EC77C9">
              <w:rPr>
                <w:rFonts w:ascii="Times New Roman" w:eastAsiaTheme="minorEastAsia" w:hAnsi="Times New Roman" w:cs="Times New Roman"/>
              </w:rPr>
              <w:t>5</w:t>
            </w:r>
            <w:r>
              <w:rPr>
                <w:rFonts w:ascii="Times New Roman" w:eastAsiaTheme="minorEastAsia" w:hAnsi="Times New Roman" w:cs="Times New Roman"/>
              </w:rPr>
              <w:t>%</w:t>
            </w:r>
          </w:p>
        </w:tc>
        <w:tc>
          <w:tcPr>
            <w:tcW w:w="1957" w:type="dxa"/>
            <w:tcBorders>
              <w:left w:val="single" w:sz="4" w:space="0" w:color="auto"/>
            </w:tcBorders>
            <w:shd w:val="clear" w:color="auto" w:fill="F2F2F2" w:themeFill="background1" w:themeFillShade="F2"/>
          </w:tcPr>
          <w:p w14:paraId="2DE73692" w14:textId="6C691048" w:rsidR="00DE70FD" w:rsidRPr="00EC77C9" w:rsidRDefault="00064D8D" w:rsidP="00C56820">
            <w:pPr>
              <w:jc w:val="right"/>
              <w:rPr>
                <w:rFonts w:ascii="Times New Roman" w:eastAsiaTheme="minorEastAsia" w:hAnsi="Times New Roman" w:cs="Times New Roman"/>
              </w:rPr>
            </w:pPr>
            <w:r w:rsidRPr="00064D8D">
              <w:rPr>
                <w:rFonts w:ascii="Times New Roman" w:eastAsiaTheme="minorEastAsia" w:hAnsi="Times New Roman" w:cs="Times New Roman"/>
              </w:rPr>
              <w:t>-3.43</w:t>
            </w:r>
          </w:p>
        </w:tc>
        <w:tc>
          <w:tcPr>
            <w:tcW w:w="1958" w:type="dxa"/>
            <w:shd w:val="clear" w:color="auto" w:fill="F2F2F2" w:themeFill="background1" w:themeFillShade="F2"/>
          </w:tcPr>
          <w:p w14:paraId="1A253E35" w14:textId="58E3A1CD" w:rsidR="00DE70FD" w:rsidRPr="00EC77C9" w:rsidRDefault="00C56820" w:rsidP="00C56820">
            <w:pPr>
              <w:jc w:val="right"/>
              <w:rPr>
                <w:rFonts w:ascii="Times New Roman" w:eastAsiaTheme="minorEastAsia" w:hAnsi="Times New Roman" w:cs="Times New Roman"/>
              </w:rPr>
            </w:pPr>
            <w:r w:rsidRPr="00C56820">
              <w:rPr>
                <w:rFonts w:ascii="Times New Roman" w:eastAsiaTheme="minorEastAsia" w:hAnsi="Times New Roman" w:cs="Times New Roman"/>
              </w:rPr>
              <w:t>-3.442</w:t>
            </w:r>
          </w:p>
        </w:tc>
        <w:tc>
          <w:tcPr>
            <w:tcW w:w="1958" w:type="dxa"/>
            <w:shd w:val="clear" w:color="auto" w:fill="F2F2F2" w:themeFill="background1" w:themeFillShade="F2"/>
          </w:tcPr>
          <w:p w14:paraId="21D02F74" w14:textId="77777777" w:rsidR="00DE70FD" w:rsidRPr="00EC77C9" w:rsidRDefault="00DE70FD" w:rsidP="00C56820">
            <w:pPr>
              <w:jc w:val="right"/>
              <w:rPr>
                <w:rFonts w:ascii="Times New Roman" w:eastAsiaTheme="minorEastAsia" w:hAnsi="Times New Roman" w:cs="Times New Roman"/>
              </w:rPr>
            </w:pPr>
            <w:r w:rsidRPr="008C7425">
              <w:rPr>
                <w:rFonts w:ascii="Times New Roman" w:eastAsiaTheme="minorEastAsia" w:hAnsi="Times New Roman" w:cs="Times New Roman"/>
              </w:rPr>
              <w:t>-5.08</w:t>
            </w:r>
          </w:p>
        </w:tc>
      </w:tr>
      <w:tr w:rsidR="00C56820" w:rsidRPr="0069117D" w14:paraId="031BC5B0" w14:textId="77777777" w:rsidTr="00600E23">
        <w:trPr>
          <w:trHeight w:val="20"/>
        </w:trPr>
        <w:tc>
          <w:tcPr>
            <w:tcW w:w="2268" w:type="dxa"/>
            <w:vMerge/>
            <w:tcBorders>
              <w:bottom w:val="single" w:sz="4" w:space="0" w:color="auto"/>
            </w:tcBorders>
            <w:shd w:val="clear" w:color="auto" w:fill="F2F2F2" w:themeFill="background1" w:themeFillShade="F2"/>
          </w:tcPr>
          <w:p w14:paraId="3DAB37CF" w14:textId="77777777" w:rsidR="00DE70FD" w:rsidRDefault="00DE70FD" w:rsidP="00C56820">
            <w:pPr>
              <w:jc w:val="center"/>
              <w:rPr>
                <w:rFonts w:ascii="Times New Roman" w:eastAsiaTheme="minorEastAsia" w:hAnsi="Times New Roman" w:cs="Times New Roman"/>
              </w:rPr>
            </w:pPr>
          </w:p>
        </w:tc>
        <w:tc>
          <w:tcPr>
            <w:tcW w:w="1034" w:type="dxa"/>
            <w:tcBorders>
              <w:bottom w:val="single" w:sz="4" w:space="0" w:color="auto"/>
              <w:right w:val="single" w:sz="4" w:space="0" w:color="auto"/>
            </w:tcBorders>
            <w:shd w:val="clear" w:color="auto" w:fill="F2F2F2" w:themeFill="background1" w:themeFillShade="F2"/>
            <w:vAlign w:val="center"/>
          </w:tcPr>
          <w:p w14:paraId="6C88E606" w14:textId="77777777" w:rsidR="00DE70FD" w:rsidRPr="0069117D" w:rsidRDefault="00DE70FD" w:rsidP="00A21EAB">
            <w:pPr>
              <w:rPr>
                <w:rFonts w:ascii="Times New Roman" w:eastAsiaTheme="minorEastAsia" w:hAnsi="Times New Roman" w:cs="Times New Roman"/>
              </w:rPr>
            </w:pPr>
            <w:r>
              <w:rPr>
                <w:rFonts w:ascii="Times New Roman" w:eastAsiaTheme="minorEastAsia" w:hAnsi="Times New Roman" w:cs="Times New Roman"/>
              </w:rPr>
              <w:t>*</w:t>
            </w:r>
            <w:r w:rsidRPr="00EC77C9">
              <w:rPr>
                <w:rFonts w:ascii="Times New Roman" w:eastAsiaTheme="minorEastAsia" w:hAnsi="Times New Roman" w:cs="Times New Roman"/>
              </w:rPr>
              <w:t>10</w:t>
            </w:r>
            <w:r>
              <w:rPr>
                <w:rFonts w:ascii="Times New Roman" w:eastAsiaTheme="minorEastAsia" w:hAnsi="Times New Roman" w:cs="Times New Roman"/>
              </w:rPr>
              <w:t>%</w:t>
            </w:r>
          </w:p>
        </w:tc>
        <w:tc>
          <w:tcPr>
            <w:tcW w:w="1957" w:type="dxa"/>
            <w:tcBorders>
              <w:left w:val="single" w:sz="4" w:space="0" w:color="auto"/>
              <w:bottom w:val="single" w:sz="4" w:space="0" w:color="auto"/>
            </w:tcBorders>
            <w:shd w:val="clear" w:color="auto" w:fill="F2F2F2" w:themeFill="background1" w:themeFillShade="F2"/>
          </w:tcPr>
          <w:p w14:paraId="5AED6E9C" w14:textId="4B40758E" w:rsidR="00DE70FD" w:rsidRPr="00EC77C9" w:rsidRDefault="00064D8D" w:rsidP="00C56820">
            <w:pPr>
              <w:jc w:val="right"/>
              <w:rPr>
                <w:rFonts w:ascii="Times New Roman" w:eastAsiaTheme="minorEastAsia" w:hAnsi="Times New Roman" w:cs="Times New Roman"/>
              </w:rPr>
            </w:pPr>
            <w:r w:rsidRPr="00064D8D">
              <w:rPr>
                <w:rFonts w:ascii="Times New Roman" w:eastAsiaTheme="minorEastAsia" w:hAnsi="Times New Roman" w:cs="Times New Roman"/>
              </w:rPr>
              <w:t>-3.13</w:t>
            </w:r>
          </w:p>
        </w:tc>
        <w:tc>
          <w:tcPr>
            <w:tcW w:w="1958" w:type="dxa"/>
            <w:tcBorders>
              <w:bottom w:val="single" w:sz="4" w:space="0" w:color="auto"/>
            </w:tcBorders>
            <w:shd w:val="clear" w:color="auto" w:fill="F2F2F2" w:themeFill="background1" w:themeFillShade="F2"/>
          </w:tcPr>
          <w:p w14:paraId="61B94F61" w14:textId="53C62220" w:rsidR="00DE70FD" w:rsidRPr="00EC77C9" w:rsidRDefault="00C56820" w:rsidP="00C56820">
            <w:pPr>
              <w:jc w:val="right"/>
              <w:rPr>
                <w:rFonts w:ascii="Times New Roman" w:eastAsiaTheme="minorEastAsia" w:hAnsi="Times New Roman" w:cs="Times New Roman"/>
              </w:rPr>
            </w:pPr>
            <w:r w:rsidRPr="00C56820">
              <w:rPr>
                <w:rFonts w:ascii="Times New Roman" w:eastAsiaTheme="minorEastAsia" w:hAnsi="Times New Roman" w:cs="Times New Roman"/>
              </w:rPr>
              <w:t>-3.14</w:t>
            </w:r>
            <w:r>
              <w:rPr>
                <w:rFonts w:ascii="Times New Roman" w:eastAsiaTheme="minorEastAsia" w:hAnsi="Times New Roman" w:cs="Times New Roman"/>
              </w:rPr>
              <w:t>6</w:t>
            </w:r>
          </w:p>
        </w:tc>
        <w:tc>
          <w:tcPr>
            <w:tcW w:w="1958" w:type="dxa"/>
            <w:tcBorders>
              <w:bottom w:val="single" w:sz="4" w:space="0" w:color="auto"/>
            </w:tcBorders>
            <w:shd w:val="clear" w:color="auto" w:fill="F2F2F2" w:themeFill="background1" w:themeFillShade="F2"/>
          </w:tcPr>
          <w:p w14:paraId="1D272DFB" w14:textId="77777777" w:rsidR="00DE70FD" w:rsidRPr="00EC77C9" w:rsidRDefault="00DE70FD" w:rsidP="00C56820">
            <w:pPr>
              <w:jc w:val="right"/>
              <w:rPr>
                <w:rFonts w:ascii="Times New Roman" w:eastAsiaTheme="minorEastAsia" w:hAnsi="Times New Roman" w:cs="Times New Roman"/>
              </w:rPr>
            </w:pPr>
            <w:r w:rsidRPr="008C7425">
              <w:rPr>
                <w:rFonts w:ascii="Times New Roman" w:eastAsiaTheme="minorEastAsia" w:hAnsi="Times New Roman" w:cs="Times New Roman"/>
              </w:rPr>
              <w:t>-4.82</w:t>
            </w:r>
          </w:p>
        </w:tc>
      </w:tr>
      <w:tr w:rsidR="00600E23" w:rsidRPr="0069117D" w14:paraId="5CDFDD1D" w14:textId="77777777" w:rsidTr="00600E23">
        <w:trPr>
          <w:trHeight w:val="20"/>
        </w:trPr>
        <w:tc>
          <w:tcPr>
            <w:tcW w:w="9175" w:type="dxa"/>
            <w:gridSpan w:val="5"/>
            <w:tcBorders>
              <w:top w:val="single" w:sz="4" w:space="0" w:color="auto"/>
              <w:bottom w:val="nil"/>
            </w:tcBorders>
            <w:shd w:val="clear" w:color="auto" w:fill="F2F2F2" w:themeFill="background1" w:themeFillShade="F2"/>
            <w:vAlign w:val="center"/>
          </w:tcPr>
          <w:p w14:paraId="4D76AD36" w14:textId="5A106C6D" w:rsidR="00600E23" w:rsidRPr="00600E23" w:rsidRDefault="00600E23" w:rsidP="00600E23">
            <w:pPr>
              <w:jc w:val="both"/>
              <w:rPr>
                <w:rFonts w:ascii="Times New Roman" w:eastAsiaTheme="minorEastAsia" w:hAnsi="Times New Roman" w:cs="Times New Roman"/>
                <w:sz w:val="20"/>
                <w:szCs w:val="20"/>
              </w:rPr>
            </w:pPr>
            <w:r>
              <w:rPr>
                <w:rFonts w:ascii="Times New Roman" w:eastAsiaTheme="minorEastAsia" w:hAnsi="Times New Roman" w:cs="Times New Roman"/>
                <w:vertAlign w:val="superscript"/>
              </w:rPr>
              <w:t>*</w:t>
            </w:r>
            <w:r w:rsidRPr="00600E23">
              <w:rPr>
                <w:rFonts w:ascii="Times New Roman" w:eastAsiaTheme="minorEastAsia" w:hAnsi="Times New Roman" w:cs="Times New Roman"/>
                <w:sz w:val="18"/>
                <w:szCs w:val="18"/>
              </w:rPr>
              <w:t xml:space="preserve">The </w:t>
            </w:r>
            <w:proofErr w:type="spellStart"/>
            <w:r w:rsidRPr="00600E23">
              <w:rPr>
                <w:rFonts w:ascii="Times New Roman" w:eastAsiaTheme="minorEastAsia" w:hAnsi="Times New Roman" w:cs="Times New Roman"/>
                <w:sz w:val="18"/>
                <w:szCs w:val="18"/>
              </w:rPr>
              <w:t>Zivot</w:t>
            </w:r>
            <w:proofErr w:type="spellEnd"/>
            <w:r w:rsidRPr="00600E23">
              <w:rPr>
                <w:rFonts w:ascii="Times New Roman" w:eastAsiaTheme="minorEastAsia" w:hAnsi="Times New Roman" w:cs="Times New Roman"/>
                <w:sz w:val="18"/>
                <w:szCs w:val="18"/>
              </w:rPr>
              <w:t xml:space="preserve"> and Andrews test also provides the break point for the time series data. The estimated breakpoints of these variables are provided in the Appendix.</w:t>
            </w:r>
          </w:p>
        </w:tc>
      </w:tr>
    </w:tbl>
    <w:p w14:paraId="32F13BDF" w14:textId="304C74E6" w:rsidR="00A21EAB" w:rsidRDefault="00A21EAB" w:rsidP="00A21EAB">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The result of all unit root tests suggest that there is a mixed order of integration in the models. So, it is preferred to use Auto Regressive Distributed Lag Estimation technique, formed by </w:t>
      </w:r>
      <w:proofErr w:type="spellStart"/>
      <w:r>
        <w:rPr>
          <w:rFonts w:ascii="Times New Roman" w:hAnsi="Times New Roman" w:cs="Times New Roman"/>
          <w:lang w:val="en-IN"/>
        </w:rPr>
        <w:t>Pesaran</w:t>
      </w:r>
      <w:proofErr w:type="spellEnd"/>
      <w:r>
        <w:rPr>
          <w:rFonts w:ascii="Times New Roman" w:hAnsi="Times New Roman" w:cs="Times New Roman"/>
          <w:lang w:val="en-IN"/>
        </w:rPr>
        <w:t xml:space="preserve"> and Shin </w:t>
      </w:r>
      <w:sdt>
        <w:sdtPr>
          <w:rPr>
            <w:rFonts w:ascii="Times New Roman" w:hAnsi="Times New Roman" w:cs="Times New Roman"/>
            <w:lang w:val="en-IN"/>
          </w:rPr>
          <w:id w:val="1405410389"/>
          <w:citation/>
        </w:sdtPr>
        <w:sdtContent>
          <w:r>
            <w:rPr>
              <w:rFonts w:ascii="Times New Roman" w:hAnsi="Times New Roman" w:cs="Times New Roman"/>
              <w:lang w:val="en-IN"/>
            </w:rPr>
            <w:fldChar w:fldCharType="begin"/>
          </w:r>
          <w:r>
            <w:rPr>
              <w:rFonts w:ascii="Times New Roman" w:hAnsi="Times New Roman" w:cs="Times New Roman"/>
              <w:lang w:val="en-US"/>
            </w:rPr>
            <w:instrText xml:space="preserve">CITATION Pes99 \n  \t  \l 1033 </w:instrText>
          </w:r>
          <w:r>
            <w:rPr>
              <w:rFonts w:ascii="Times New Roman" w:hAnsi="Times New Roman" w:cs="Times New Roman"/>
              <w:lang w:val="en-IN"/>
            </w:rPr>
            <w:fldChar w:fldCharType="separate"/>
          </w:r>
          <w:r w:rsidRPr="00A21EAB">
            <w:rPr>
              <w:rFonts w:ascii="Times New Roman" w:hAnsi="Times New Roman" w:cs="Times New Roman"/>
              <w:noProof/>
              <w:lang w:val="en-US"/>
            </w:rPr>
            <w:t>(1999)</w:t>
          </w:r>
          <w:r>
            <w:rPr>
              <w:rFonts w:ascii="Times New Roman" w:hAnsi="Times New Roman" w:cs="Times New Roman"/>
              <w:lang w:val="en-IN"/>
            </w:rPr>
            <w:fldChar w:fldCharType="end"/>
          </w:r>
        </w:sdtContent>
      </w:sdt>
      <w:r>
        <w:rPr>
          <w:rFonts w:ascii="Times New Roman" w:hAnsi="Times New Roman" w:cs="Times New Roman"/>
          <w:lang w:val="en-IN"/>
        </w:rPr>
        <w:t xml:space="preserve">, to estimate the model estimators. Now, going to the second step of the procedure, this paper will use ARDL Bound test given by </w:t>
      </w:r>
      <w:proofErr w:type="spellStart"/>
      <w:r>
        <w:rPr>
          <w:rFonts w:ascii="Times New Roman" w:hAnsi="Times New Roman" w:cs="Times New Roman"/>
          <w:lang w:val="en-IN"/>
        </w:rPr>
        <w:t>Pesaran</w:t>
      </w:r>
      <w:proofErr w:type="spellEnd"/>
      <w:r>
        <w:rPr>
          <w:rFonts w:ascii="Times New Roman" w:hAnsi="Times New Roman" w:cs="Times New Roman"/>
          <w:lang w:val="en-IN"/>
        </w:rPr>
        <w:t xml:space="preserve"> et al. </w:t>
      </w:r>
      <w:sdt>
        <w:sdtPr>
          <w:rPr>
            <w:rFonts w:ascii="Times New Roman" w:hAnsi="Times New Roman" w:cs="Times New Roman"/>
            <w:lang w:val="en-IN"/>
          </w:rPr>
          <w:id w:val="461539403"/>
          <w:citation/>
        </w:sdtPr>
        <w:sdtContent>
          <w:r>
            <w:rPr>
              <w:rFonts w:ascii="Times New Roman" w:hAnsi="Times New Roman" w:cs="Times New Roman"/>
              <w:lang w:val="en-IN"/>
            </w:rPr>
            <w:fldChar w:fldCharType="begin"/>
          </w:r>
          <w:r>
            <w:rPr>
              <w:rFonts w:ascii="Times New Roman" w:hAnsi="Times New Roman" w:cs="Times New Roman"/>
              <w:lang w:val="en-US"/>
            </w:rPr>
            <w:instrText xml:space="preserve">CITATION Pes011 \n  \t  \l 1033 </w:instrText>
          </w:r>
          <w:r>
            <w:rPr>
              <w:rFonts w:ascii="Times New Roman" w:hAnsi="Times New Roman" w:cs="Times New Roman"/>
              <w:lang w:val="en-IN"/>
            </w:rPr>
            <w:fldChar w:fldCharType="separate"/>
          </w:r>
          <w:r w:rsidRPr="00A21EAB">
            <w:rPr>
              <w:rFonts w:ascii="Times New Roman" w:hAnsi="Times New Roman" w:cs="Times New Roman"/>
              <w:noProof/>
              <w:lang w:val="en-US"/>
            </w:rPr>
            <w:t>(2001)</w:t>
          </w:r>
          <w:r>
            <w:rPr>
              <w:rFonts w:ascii="Times New Roman" w:hAnsi="Times New Roman" w:cs="Times New Roman"/>
              <w:lang w:val="en-IN"/>
            </w:rPr>
            <w:fldChar w:fldCharType="end"/>
          </w:r>
        </w:sdtContent>
      </w:sdt>
      <w:r>
        <w:rPr>
          <w:rFonts w:ascii="Times New Roman" w:hAnsi="Times New Roman" w:cs="Times New Roman"/>
          <w:lang w:val="en-IN"/>
        </w:rPr>
        <w:t>. The test estimates the long run cointegration in the model.</w:t>
      </w:r>
    </w:p>
    <w:p w14:paraId="5AFBAC26" w14:textId="149E9ABB" w:rsidR="00E00643" w:rsidRDefault="00E00643" w:rsidP="00E00643">
      <w:pPr>
        <w:spacing w:line="360" w:lineRule="auto"/>
        <w:jc w:val="both"/>
        <w:rPr>
          <w:rFonts w:ascii="Times New Roman" w:hAnsi="Times New Roman" w:cs="Times New Roman"/>
          <w:lang w:val="en-IN"/>
        </w:rPr>
      </w:pPr>
      <w:r>
        <w:rPr>
          <w:rFonts w:ascii="Times New Roman" w:hAnsi="Times New Roman" w:cs="Times New Roman"/>
          <w:lang w:val="en-IN"/>
        </w:rPr>
        <w:t>The bound test result suggested that there is a long run cointegration in both the model. The next step suggests that the estimation value of the models have to presented. Since, there is a presence of cointegration in both the model, this paper have presented only the long estimates result.</w:t>
      </w:r>
    </w:p>
    <w:tbl>
      <w:tblPr>
        <w:tblStyle w:val="GridTable5Dark"/>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4508"/>
        <w:gridCol w:w="1502"/>
        <w:gridCol w:w="752"/>
        <w:gridCol w:w="751"/>
        <w:gridCol w:w="1503"/>
      </w:tblGrid>
      <w:tr w:rsidR="00FD44B4" w:rsidRPr="00A82A0E" w14:paraId="71138A00" w14:textId="77777777" w:rsidTr="008C25F5">
        <w:tc>
          <w:tcPr>
            <w:tcW w:w="9016" w:type="dxa"/>
            <w:gridSpan w:val="5"/>
            <w:tcBorders>
              <w:bottom w:val="single" w:sz="4" w:space="0" w:color="auto"/>
            </w:tcBorders>
            <w:shd w:val="clear" w:color="auto" w:fill="F2F2F2" w:themeFill="background1" w:themeFillShade="F2"/>
          </w:tcPr>
          <w:p w14:paraId="5C4F80F8" w14:textId="5036032F" w:rsidR="00FD44B4" w:rsidRPr="00E00643" w:rsidRDefault="00FD44B4" w:rsidP="008C25F5">
            <w:pPr>
              <w:jc w:val="center"/>
              <w:rPr>
                <w:rFonts w:ascii="Times New Roman" w:eastAsia="Times New Roman" w:hAnsi="Times New Roman" w:cs="Times New Roman"/>
                <w:i/>
                <w:iCs/>
              </w:rPr>
            </w:pPr>
            <w:r w:rsidRPr="00E00643">
              <w:rPr>
                <w:rFonts w:ascii="Times New Roman" w:eastAsia="Times New Roman" w:hAnsi="Times New Roman" w:cs="Times New Roman"/>
                <w:i/>
                <w:iCs/>
              </w:rPr>
              <w:t xml:space="preserve">Table </w:t>
            </w:r>
            <w:r w:rsidR="00E00643">
              <w:rPr>
                <w:rFonts w:ascii="Times New Roman" w:eastAsia="Times New Roman" w:hAnsi="Times New Roman" w:cs="Times New Roman"/>
                <w:i/>
                <w:iCs/>
              </w:rPr>
              <w:t>4</w:t>
            </w:r>
            <w:r w:rsidRPr="00E00643">
              <w:rPr>
                <w:rFonts w:ascii="Times New Roman" w:eastAsia="Times New Roman" w:hAnsi="Times New Roman" w:cs="Times New Roman"/>
                <w:i/>
                <w:iCs/>
              </w:rPr>
              <w:t>: Bound Cointegration Result</w:t>
            </w:r>
          </w:p>
        </w:tc>
      </w:tr>
      <w:tr w:rsidR="00FD44B4" w:rsidRPr="00A82A0E" w14:paraId="4577D76E" w14:textId="77777777" w:rsidTr="008C25F5">
        <w:tc>
          <w:tcPr>
            <w:tcW w:w="4508" w:type="dxa"/>
            <w:tcBorders>
              <w:top w:val="single" w:sz="4" w:space="0" w:color="auto"/>
              <w:bottom w:val="single" w:sz="4" w:space="0" w:color="auto"/>
            </w:tcBorders>
            <w:shd w:val="clear" w:color="auto" w:fill="F2F2F2" w:themeFill="background1" w:themeFillShade="F2"/>
          </w:tcPr>
          <w:p w14:paraId="348E40F1" w14:textId="0C2626FD" w:rsidR="00FD44B4" w:rsidRPr="00A82A0E" w:rsidRDefault="00FD44B4" w:rsidP="008C25F5">
            <w:pPr>
              <w:jc w:val="center"/>
              <w:rPr>
                <w:rFonts w:ascii="Times New Roman" w:eastAsiaTheme="minorEastAsia" w:hAnsi="Times New Roman" w:cs="Times New Roman"/>
              </w:rPr>
            </w:pPr>
            <w:r>
              <w:rPr>
                <w:rFonts w:ascii="Times New Roman" w:eastAsiaTheme="minorEastAsia" w:hAnsi="Times New Roman" w:cs="Times New Roman"/>
              </w:rPr>
              <w:t>Dependent Variables</w:t>
            </w:r>
          </w:p>
        </w:tc>
        <w:tc>
          <w:tcPr>
            <w:tcW w:w="2254" w:type="dxa"/>
            <w:gridSpan w:val="2"/>
            <w:tcBorders>
              <w:top w:val="single" w:sz="4" w:space="0" w:color="auto"/>
              <w:bottom w:val="single" w:sz="4" w:space="0" w:color="auto"/>
            </w:tcBorders>
            <w:shd w:val="clear" w:color="auto" w:fill="F2F2F2" w:themeFill="background1" w:themeFillShade="F2"/>
          </w:tcPr>
          <w:p w14:paraId="26E68554" w14:textId="0BE8BC7F" w:rsidR="00FD44B4" w:rsidRPr="00A82A0E" w:rsidRDefault="00000000" w:rsidP="008C25F5">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2254" w:type="dxa"/>
            <w:gridSpan w:val="2"/>
            <w:tcBorders>
              <w:top w:val="single" w:sz="4" w:space="0" w:color="auto"/>
              <w:bottom w:val="single" w:sz="4" w:space="0" w:color="auto"/>
            </w:tcBorders>
            <w:shd w:val="clear" w:color="auto" w:fill="F2F2F2" w:themeFill="background1" w:themeFillShade="F2"/>
          </w:tcPr>
          <w:p w14:paraId="505E1C7D" w14:textId="0E8284B4" w:rsidR="00FD44B4" w:rsidRPr="00A82A0E" w:rsidRDefault="00000000" w:rsidP="008C25F5">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r>
      <w:tr w:rsidR="00FD44B4" w:rsidRPr="00A82A0E" w14:paraId="587ABDDE" w14:textId="77777777" w:rsidTr="008C25F5">
        <w:tc>
          <w:tcPr>
            <w:tcW w:w="4508" w:type="dxa"/>
            <w:tcBorders>
              <w:top w:val="single" w:sz="4" w:space="0" w:color="auto"/>
              <w:bottom w:val="single" w:sz="4" w:space="0" w:color="auto"/>
            </w:tcBorders>
            <w:shd w:val="clear" w:color="auto" w:fill="F2F2F2" w:themeFill="background1" w:themeFillShade="F2"/>
          </w:tcPr>
          <w:p w14:paraId="21905FA5" w14:textId="4B8A5B3D" w:rsidR="00FD44B4" w:rsidRPr="00A82A0E" w:rsidRDefault="00FD44B4" w:rsidP="008C25F5">
            <w:pPr>
              <w:jc w:val="center"/>
              <w:rPr>
                <w:rFonts w:ascii="Times New Roman" w:eastAsiaTheme="minorEastAsia" w:hAnsi="Times New Roman" w:cs="Times New Roman"/>
              </w:rPr>
            </w:pPr>
            <w:r w:rsidRPr="00A82A0E">
              <w:rPr>
                <w:rFonts w:ascii="Times New Roman" w:eastAsiaTheme="minorEastAsia" w:hAnsi="Times New Roman" w:cs="Times New Roman"/>
              </w:rPr>
              <w:t>F</w:t>
            </w:r>
            <w:r>
              <w:rPr>
                <w:rFonts w:ascii="Times New Roman" w:eastAsiaTheme="minorEastAsia" w:hAnsi="Times New Roman" w:cs="Times New Roman"/>
              </w:rPr>
              <w:t xml:space="preserve"> Statistics</w:t>
            </w:r>
          </w:p>
        </w:tc>
        <w:tc>
          <w:tcPr>
            <w:tcW w:w="2254" w:type="dxa"/>
            <w:gridSpan w:val="2"/>
            <w:tcBorders>
              <w:top w:val="single" w:sz="4" w:space="0" w:color="auto"/>
              <w:bottom w:val="single" w:sz="4" w:space="0" w:color="auto"/>
            </w:tcBorders>
            <w:shd w:val="clear" w:color="auto" w:fill="F2F2F2" w:themeFill="background1" w:themeFillShade="F2"/>
          </w:tcPr>
          <w:p w14:paraId="74611294" w14:textId="6E1387DE" w:rsidR="00FD44B4" w:rsidRPr="00A82A0E" w:rsidRDefault="00FD44B4" w:rsidP="008C25F5">
            <w:pPr>
              <w:jc w:val="center"/>
              <w:rPr>
                <w:rFonts w:ascii="Times New Roman" w:eastAsiaTheme="minorEastAsia" w:hAnsi="Times New Roman" w:cs="Times New Roman"/>
              </w:rPr>
            </w:pPr>
            <w:r w:rsidRPr="00394A68">
              <w:rPr>
                <w:rFonts w:ascii="Times New Roman" w:hAnsi="Times New Roman" w:cs="Times New Roman"/>
              </w:rPr>
              <w:t>7.579</w:t>
            </w:r>
            <w:r w:rsidR="008C25F5">
              <w:rPr>
                <w:rFonts w:ascii="Times New Roman" w:hAnsi="Times New Roman" w:cs="Times New Roman"/>
              </w:rPr>
              <w:t>***</w:t>
            </w:r>
          </w:p>
        </w:tc>
        <w:tc>
          <w:tcPr>
            <w:tcW w:w="2254" w:type="dxa"/>
            <w:gridSpan w:val="2"/>
            <w:tcBorders>
              <w:top w:val="single" w:sz="4" w:space="0" w:color="auto"/>
              <w:bottom w:val="single" w:sz="4" w:space="0" w:color="auto"/>
            </w:tcBorders>
            <w:shd w:val="clear" w:color="auto" w:fill="F2F2F2" w:themeFill="background1" w:themeFillShade="F2"/>
          </w:tcPr>
          <w:p w14:paraId="3AB1F7C3" w14:textId="2956BA28" w:rsidR="00FD44B4" w:rsidRPr="00A82A0E" w:rsidRDefault="00FD44B4" w:rsidP="008C25F5">
            <w:pPr>
              <w:jc w:val="center"/>
              <w:rPr>
                <w:rFonts w:ascii="Times New Roman" w:eastAsiaTheme="minorEastAsia" w:hAnsi="Times New Roman" w:cs="Times New Roman"/>
              </w:rPr>
            </w:pPr>
            <w:r w:rsidRPr="00FD44B4">
              <w:rPr>
                <w:rFonts w:ascii="Times New Roman" w:eastAsiaTheme="minorEastAsia" w:hAnsi="Times New Roman" w:cs="Times New Roman"/>
              </w:rPr>
              <w:t>8.527</w:t>
            </w:r>
            <w:r w:rsidR="008C25F5">
              <w:rPr>
                <w:rFonts w:ascii="Times New Roman" w:eastAsiaTheme="minorEastAsia" w:hAnsi="Times New Roman" w:cs="Times New Roman"/>
              </w:rPr>
              <w:t>***</w:t>
            </w:r>
          </w:p>
        </w:tc>
      </w:tr>
      <w:tr w:rsidR="008C25F5" w:rsidRPr="00A82A0E" w14:paraId="20A2B590" w14:textId="77777777" w:rsidTr="008C25F5">
        <w:trPr>
          <w:trHeight w:val="193"/>
        </w:trPr>
        <w:tc>
          <w:tcPr>
            <w:tcW w:w="4508" w:type="dxa"/>
            <w:vMerge w:val="restart"/>
            <w:tcBorders>
              <w:top w:val="single" w:sz="4" w:space="0" w:color="auto"/>
              <w:bottom w:val="single" w:sz="4" w:space="0" w:color="auto"/>
              <w:right w:val="nil"/>
            </w:tcBorders>
            <w:shd w:val="clear" w:color="auto" w:fill="F2F2F2" w:themeFill="background1" w:themeFillShade="F2"/>
            <w:vAlign w:val="center"/>
          </w:tcPr>
          <w:p w14:paraId="77D2D92B" w14:textId="77777777" w:rsidR="00FD44B4" w:rsidRPr="00A82A0E" w:rsidRDefault="00FD44B4" w:rsidP="008C25F5">
            <w:pPr>
              <w:jc w:val="center"/>
              <w:rPr>
                <w:rFonts w:ascii="Times New Roman" w:eastAsiaTheme="minorEastAsia" w:hAnsi="Times New Roman" w:cs="Times New Roman"/>
              </w:rPr>
            </w:pPr>
            <w:r w:rsidRPr="00A82A0E">
              <w:rPr>
                <w:rFonts w:ascii="Times New Roman" w:eastAsiaTheme="minorEastAsia" w:hAnsi="Times New Roman" w:cs="Times New Roman"/>
              </w:rPr>
              <w:t>Critical Value I (0)</w:t>
            </w:r>
          </w:p>
        </w:tc>
        <w:tc>
          <w:tcPr>
            <w:tcW w:w="1502" w:type="dxa"/>
            <w:tcBorders>
              <w:top w:val="single" w:sz="4" w:space="0" w:color="auto"/>
              <w:left w:val="nil"/>
              <w:bottom w:val="nil"/>
            </w:tcBorders>
            <w:shd w:val="clear" w:color="auto" w:fill="F2F2F2" w:themeFill="background1" w:themeFillShade="F2"/>
          </w:tcPr>
          <w:p w14:paraId="6EE2398F" w14:textId="7ABAE31E"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10%</w:t>
            </w:r>
          </w:p>
        </w:tc>
        <w:tc>
          <w:tcPr>
            <w:tcW w:w="1503" w:type="dxa"/>
            <w:gridSpan w:val="2"/>
            <w:tcBorders>
              <w:top w:val="single" w:sz="4" w:space="0" w:color="auto"/>
              <w:bottom w:val="nil"/>
            </w:tcBorders>
            <w:shd w:val="clear" w:color="auto" w:fill="F2F2F2" w:themeFill="background1" w:themeFillShade="F2"/>
          </w:tcPr>
          <w:p w14:paraId="77C7155D" w14:textId="38C2016C"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5%</w:t>
            </w:r>
          </w:p>
        </w:tc>
        <w:tc>
          <w:tcPr>
            <w:tcW w:w="1503" w:type="dxa"/>
            <w:tcBorders>
              <w:top w:val="single" w:sz="4" w:space="0" w:color="auto"/>
              <w:bottom w:val="nil"/>
            </w:tcBorders>
            <w:shd w:val="clear" w:color="auto" w:fill="F2F2F2" w:themeFill="background1" w:themeFillShade="F2"/>
          </w:tcPr>
          <w:p w14:paraId="2B8B78B6" w14:textId="626BB1D2"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w:t>
            </w:r>
          </w:p>
        </w:tc>
      </w:tr>
      <w:tr w:rsidR="008C25F5" w:rsidRPr="00A82A0E" w14:paraId="43D5D1D1" w14:textId="77777777" w:rsidTr="008C25F5">
        <w:trPr>
          <w:trHeight w:val="192"/>
        </w:trPr>
        <w:tc>
          <w:tcPr>
            <w:tcW w:w="4508" w:type="dxa"/>
            <w:vMerge/>
            <w:tcBorders>
              <w:top w:val="nil"/>
              <w:bottom w:val="single" w:sz="4" w:space="0" w:color="auto"/>
              <w:right w:val="nil"/>
            </w:tcBorders>
            <w:shd w:val="clear" w:color="auto" w:fill="F2F2F2" w:themeFill="background1" w:themeFillShade="F2"/>
          </w:tcPr>
          <w:p w14:paraId="1D1C07D1" w14:textId="77777777" w:rsidR="00FD44B4" w:rsidRPr="00A82A0E" w:rsidRDefault="00FD44B4" w:rsidP="008C25F5">
            <w:pPr>
              <w:jc w:val="center"/>
              <w:rPr>
                <w:rFonts w:ascii="Times New Roman" w:eastAsiaTheme="minorEastAsia" w:hAnsi="Times New Roman" w:cs="Times New Roman"/>
              </w:rPr>
            </w:pPr>
          </w:p>
        </w:tc>
        <w:tc>
          <w:tcPr>
            <w:tcW w:w="1502" w:type="dxa"/>
            <w:tcBorders>
              <w:top w:val="nil"/>
              <w:left w:val="nil"/>
              <w:bottom w:val="single" w:sz="4" w:space="0" w:color="auto"/>
            </w:tcBorders>
            <w:shd w:val="clear" w:color="auto" w:fill="F2F2F2" w:themeFill="background1" w:themeFillShade="F2"/>
          </w:tcPr>
          <w:p w14:paraId="5764A0BC" w14:textId="35B01BC0" w:rsidR="00FD44B4" w:rsidRPr="00A82A0E" w:rsidRDefault="008C25F5" w:rsidP="008C25F5">
            <w:pPr>
              <w:jc w:val="center"/>
              <w:rPr>
                <w:rFonts w:ascii="Times New Roman" w:eastAsiaTheme="minorEastAsia" w:hAnsi="Times New Roman" w:cs="Times New Roman"/>
              </w:rPr>
            </w:pPr>
            <w:r w:rsidRPr="008C25F5">
              <w:rPr>
                <w:rFonts w:ascii="Times New Roman" w:eastAsiaTheme="minorEastAsia" w:hAnsi="Times New Roman" w:cs="Times New Roman"/>
              </w:rPr>
              <w:t>3.17</w:t>
            </w:r>
          </w:p>
        </w:tc>
        <w:tc>
          <w:tcPr>
            <w:tcW w:w="1503" w:type="dxa"/>
            <w:gridSpan w:val="2"/>
            <w:tcBorders>
              <w:top w:val="nil"/>
              <w:bottom w:val="single" w:sz="4" w:space="0" w:color="auto"/>
            </w:tcBorders>
            <w:shd w:val="clear" w:color="auto" w:fill="F2F2F2" w:themeFill="background1" w:themeFillShade="F2"/>
          </w:tcPr>
          <w:p w14:paraId="4A7734E5" w14:textId="1B96C3DA"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3.79</w:t>
            </w:r>
          </w:p>
        </w:tc>
        <w:tc>
          <w:tcPr>
            <w:tcW w:w="1503" w:type="dxa"/>
            <w:tcBorders>
              <w:top w:val="nil"/>
              <w:bottom w:val="single" w:sz="4" w:space="0" w:color="auto"/>
            </w:tcBorders>
            <w:shd w:val="clear" w:color="auto" w:fill="F2F2F2" w:themeFill="background1" w:themeFillShade="F2"/>
          </w:tcPr>
          <w:p w14:paraId="5A3524E9" w14:textId="33C9AF75"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5.15</w:t>
            </w:r>
          </w:p>
        </w:tc>
      </w:tr>
      <w:tr w:rsidR="008C25F5" w:rsidRPr="00A82A0E" w14:paraId="2A0B2D21" w14:textId="77777777" w:rsidTr="008C25F5">
        <w:trPr>
          <w:trHeight w:val="192"/>
        </w:trPr>
        <w:tc>
          <w:tcPr>
            <w:tcW w:w="4508" w:type="dxa"/>
            <w:vMerge w:val="restart"/>
            <w:tcBorders>
              <w:top w:val="single" w:sz="4" w:space="0" w:color="auto"/>
              <w:bottom w:val="single" w:sz="4" w:space="0" w:color="auto"/>
              <w:right w:val="nil"/>
            </w:tcBorders>
            <w:shd w:val="clear" w:color="auto" w:fill="F2F2F2" w:themeFill="background1" w:themeFillShade="F2"/>
            <w:vAlign w:val="center"/>
          </w:tcPr>
          <w:p w14:paraId="7CDF0A3A" w14:textId="77777777" w:rsidR="00FD44B4" w:rsidRPr="00A82A0E" w:rsidRDefault="00FD44B4" w:rsidP="008C25F5">
            <w:pPr>
              <w:jc w:val="center"/>
              <w:rPr>
                <w:rFonts w:ascii="Times New Roman" w:eastAsiaTheme="minorEastAsia" w:hAnsi="Times New Roman" w:cs="Times New Roman"/>
              </w:rPr>
            </w:pPr>
            <w:r w:rsidRPr="00A82A0E">
              <w:rPr>
                <w:rFonts w:ascii="Times New Roman" w:eastAsiaTheme="minorEastAsia" w:hAnsi="Times New Roman" w:cs="Times New Roman"/>
              </w:rPr>
              <w:t>Critical Value I (1)</w:t>
            </w:r>
          </w:p>
        </w:tc>
        <w:tc>
          <w:tcPr>
            <w:tcW w:w="1502" w:type="dxa"/>
            <w:tcBorders>
              <w:top w:val="single" w:sz="4" w:space="0" w:color="auto"/>
              <w:left w:val="nil"/>
              <w:bottom w:val="nil"/>
            </w:tcBorders>
            <w:shd w:val="clear" w:color="auto" w:fill="F2F2F2" w:themeFill="background1" w:themeFillShade="F2"/>
          </w:tcPr>
          <w:p w14:paraId="139841F8" w14:textId="5891A8A5"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10%</w:t>
            </w:r>
          </w:p>
        </w:tc>
        <w:tc>
          <w:tcPr>
            <w:tcW w:w="1503" w:type="dxa"/>
            <w:gridSpan w:val="2"/>
            <w:tcBorders>
              <w:top w:val="single" w:sz="4" w:space="0" w:color="auto"/>
              <w:bottom w:val="nil"/>
            </w:tcBorders>
            <w:shd w:val="clear" w:color="auto" w:fill="F2F2F2" w:themeFill="background1" w:themeFillShade="F2"/>
          </w:tcPr>
          <w:p w14:paraId="532773FA" w14:textId="763362E5"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5%</w:t>
            </w:r>
          </w:p>
        </w:tc>
        <w:tc>
          <w:tcPr>
            <w:tcW w:w="1503" w:type="dxa"/>
            <w:tcBorders>
              <w:top w:val="single" w:sz="4" w:space="0" w:color="auto"/>
              <w:bottom w:val="nil"/>
            </w:tcBorders>
            <w:shd w:val="clear" w:color="auto" w:fill="F2F2F2" w:themeFill="background1" w:themeFillShade="F2"/>
          </w:tcPr>
          <w:p w14:paraId="2B991018" w14:textId="4134938B" w:rsidR="00FD44B4" w:rsidRPr="00A82A0E" w:rsidRDefault="008C25F5" w:rsidP="008C25F5">
            <w:pPr>
              <w:jc w:val="center"/>
              <w:rPr>
                <w:rFonts w:ascii="Times New Roman" w:eastAsiaTheme="minorEastAsia" w:hAnsi="Times New Roman" w:cs="Times New Roman"/>
              </w:rPr>
            </w:pPr>
            <w:r>
              <w:rPr>
                <w:rFonts w:ascii="Times New Roman" w:eastAsiaTheme="minorEastAsia" w:hAnsi="Times New Roman" w:cs="Times New Roman"/>
              </w:rPr>
              <w:t>***</w:t>
            </w:r>
            <w:r w:rsidR="00FD44B4" w:rsidRPr="00A82A0E">
              <w:rPr>
                <w:rFonts w:ascii="Times New Roman" w:eastAsiaTheme="minorEastAsia" w:hAnsi="Times New Roman" w:cs="Times New Roman"/>
              </w:rPr>
              <w:t>1%</w:t>
            </w:r>
          </w:p>
        </w:tc>
      </w:tr>
      <w:tr w:rsidR="008C25F5" w:rsidRPr="00A82A0E" w14:paraId="389CD826" w14:textId="77777777" w:rsidTr="008C25F5">
        <w:trPr>
          <w:trHeight w:val="192"/>
        </w:trPr>
        <w:tc>
          <w:tcPr>
            <w:tcW w:w="4508" w:type="dxa"/>
            <w:vMerge/>
            <w:tcBorders>
              <w:top w:val="nil"/>
              <w:bottom w:val="single" w:sz="4" w:space="0" w:color="auto"/>
              <w:right w:val="nil"/>
            </w:tcBorders>
            <w:shd w:val="clear" w:color="auto" w:fill="F2F2F2" w:themeFill="background1" w:themeFillShade="F2"/>
          </w:tcPr>
          <w:p w14:paraId="09CF1E9D" w14:textId="77777777" w:rsidR="00FD44B4" w:rsidRPr="00A82A0E" w:rsidRDefault="00FD44B4" w:rsidP="008C25F5">
            <w:pPr>
              <w:jc w:val="center"/>
              <w:rPr>
                <w:rFonts w:ascii="Times New Roman" w:eastAsiaTheme="minorEastAsia" w:hAnsi="Times New Roman" w:cs="Times New Roman"/>
              </w:rPr>
            </w:pPr>
          </w:p>
        </w:tc>
        <w:tc>
          <w:tcPr>
            <w:tcW w:w="1502" w:type="dxa"/>
            <w:tcBorders>
              <w:top w:val="nil"/>
              <w:left w:val="nil"/>
              <w:bottom w:val="single" w:sz="4" w:space="0" w:color="auto"/>
            </w:tcBorders>
            <w:shd w:val="clear" w:color="auto" w:fill="F2F2F2" w:themeFill="background1" w:themeFillShade="F2"/>
          </w:tcPr>
          <w:p w14:paraId="69D6156B" w14:textId="437328B7"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4.14</w:t>
            </w:r>
          </w:p>
        </w:tc>
        <w:tc>
          <w:tcPr>
            <w:tcW w:w="1503" w:type="dxa"/>
            <w:gridSpan w:val="2"/>
            <w:tcBorders>
              <w:top w:val="nil"/>
              <w:bottom w:val="single" w:sz="4" w:space="0" w:color="auto"/>
            </w:tcBorders>
            <w:shd w:val="clear" w:color="auto" w:fill="F2F2F2" w:themeFill="background1" w:themeFillShade="F2"/>
          </w:tcPr>
          <w:p w14:paraId="5500A667" w14:textId="7EF93FC0"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4.85</w:t>
            </w:r>
          </w:p>
        </w:tc>
        <w:tc>
          <w:tcPr>
            <w:tcW w:w="1503" w:type="dxa"/>
            <w:tcBorders>
              <w:top w:val="nil"/>
              <w:bottom w:val="single" w:sz="4" w:space="0" w:color="auto"/>
            </w:tcBorders>
            <w:shd w:val="clear" w:color="auto" w:fill="F2F2F2" w:themeFill="background1" w:themeFillShade="F2"/>
          </w:tcPr>
          <w:p w14:paraId="14FC92EA" w14:textId="49425A81" w:rsidR="00FD44B4" w:rsidRPr="00A82A0E" w:rsidRDefault="008C25F5" w:rsidP="008C25F5">
            <w:pPr>
              <w:jc w:val="center"/>
              <w:rPr>
                <w:rFonts w:ascii="Times New Roman" w:eastAsiaTheme="minorEastAsia" w:hAnsi="Times New Roman" w:cs="Times New Roman"/>
              </w:rPr>
            </w:pPr>
            <w:r w:rsidRPr="00394A68">
              <w:rPr>
                <w:rFonts w:ascii="Times New Roman" w:hAnsi="Times New Roman" w:cs="Times New Roman"/>
              </w:rPr>
              <w:t>6.36</w:t>
            </w:r>
          </w:p>
        </w:tc>
      </w:tr>
      <w:tr w:rsidR="00FD44B4" w:rsidRPr="00A82A0E" w14:paraId="1C368E55" w14:textId="77777777" w:rsidTr="008C25F5">
        <w:trPr>
          <w:trHeight w:val="192"/>
        </w:trPr>
        <w:tc>
          <w:tcPr>
            <w:tcW w:w="4508" w:type="dxa"/>
            <w:tcBorders>
              <w:top w:val="single" w:sz="4" w:space="0" w:color="auto"/>
              <w:bottom w:val="single" w:sz="4" w:space="0" w:color="auto"/>
            </w:tcBorders>
            <w:shd w:val="clear" w:color="auto" w:fill="F2F2F2" w:themeFill="background1" w:themeFillShade="F2"/>
          </w:tcPr>
          <w:p w14:paraId="741D0C08" w14:textId="77777777" w:rsidR="00FD44B4" w:rsidRPr="00A82A0E" w:rsidRDefault="00FD44B4" w:rsidP="008C25F5">
            <w:pPr>
              <w:jc w:val="center"/>
              <w:rPr>
                <w:rFonts w:ascii="Times New Roman" w:eastAsiaTheme="minorEastAsia" w:hAnsi="Times New Roman" w:cs="Times New Roman"/>
              </w:rPr>
            </w:pPr>
            <w:r>
              <w:rPr>
                <w:rFonts w:ascii="Times New Roman" w:eastAsiaTheme="minorEastAsia" w:hAnsi="Times New Roman" w:cs="Times New Roman"/>
              </w:rPr>
              <w:t>Null Hypothesis:</w:t>
            </w:r>
          </w:p>
        </w:tc>
        <w:tc>
          <w:tcPr>
            <w:tcW w:w="4508" w:type="dxa"/>
            <w:gridSpan w:val="4"/>
            <w:tcBorders>
              <w:top w:val="single" w:sz="4" w:space="0" w:color="auto"/>
              <w:bottom w:val="single" w:sz="4" w:space="0" w:color="auto"/>
            </w:tcBorders>
            <w:shd w:val="clear" w:color="auto" w:fill="F2F2F2" w:themeFill="background1" w:themeFillShade="F2"/>
          </w:tcPr>
          <w:p w14:paraId="19639422" w14:textId="77777777" w:rsidR="00FD44B4" w:rsidRPr="00BE685F" w:rsidRDefault="00FD44B4" w:rsidP="008C25F5">
            <w:pPr>
              <w:jc w:val="center"/>
              <w:rPr>
                <w:rFonts w:ascii="Times New Roman" w:eastAsiaTheme="minorEastAsia" w:hAnsi="Times New Roman" w:cs="Times New Roman"/>
              </w:rPr>
            </w:pPr>
            <w:r>
              <w:rPr>
                <w:rFonts w:ascii="Times New Roman" w:eastAsiaTheme="minorEastAsia" w:hAnsi="Times New Roman" w:cs="Times New Roman"/>
              </w:rPr>
              <w:t>No Cointegration</w:t>
            </w:r>
          </w:p>
        </w:tc>
      </w:tr>
    </w:tbl>
    <w:p w14:paraId="7F4B15DF" w14:textId="530BD13E" w:rsidR="00E00643" w:rsidRDefault="00C33237" w:rsidP="00E00643">
      <w:pPr>
        <w:spacing w:before="240" w:line="360" w:lineRule="auto"/>
        <w:jc w:val="both"/>
        <w:rPr>
          <w:rFonts w:ascii="Times New Roman" w:hAnsi="Times New Roman" w:cs="Times New Roman"/>
          <w:lang w:val="en-IN"/>
        </w:rPr>
      </w:pPr>
      <w:r>
        <w:rPr>
          <w:rFonts w:ascii="Times New Roman" w:hAnsi="Times New Roman" w:cs="Times New Roman"/>
          <w:lang w:val="en-IN"/>
        </w:rPr>
        <w:t>The lag for estimated ARDL models are: IIP (4,4,2) and Inflation (</w:t>
      </w:r>
      <w:r w:rsidR="00CF0413">
        <w:rPr>
          <w:rFonts w:ascii="Times New Roman" w:hAnsi="Times New Roman" w:cs="Times New Roman"/>
          <w:lang w:val="en-IN"/>
        </w:rPr>
        <w:t xml:space="preserve">4, 5, 5). </w:t>
      </w:r>
      <w:r w:rsidR="00E00643">
        <w:rPr>
          <w:rFonts w:ascii="Times New Roman" w:hAnsi="Times New Roman" w:cs="Times New Roman"/>
          <w:lang w:val="en-IN"/>
        </w:rPr>
        <w:t xml:space="preserve">The result of </w:t>
      </w:r>
      <w:r w:rsidR="00470B65">
        <w:rPr>
          <w:rFonts w:ascii="Times New Roman" w:hAnsi="Times New Roman" w:cs="Times New Roman"/>
          <w:lang w:val="en-IN"/>
        </w:rPr>
        <w:t xml:space="preserve">long run estimation is presented in table 5. </w:t>
      </w:r>
    </w:p>
    <w:tbl>
      <w:tblPr>
        <w:tblStyle w:val="GridTable5Dark"/>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3008"/>
        <w:gridCol w:w="3007"/>
        <w:gridCol w:w="3011"/>
      </w:tblGrid>
      <w:tr w:rsidR="00F42BC1" w14:paraId="0CE5DCCD" w14:textId="77777777" w:rsidTr="00F42BC1">
        <w:tc>
          <w:tcPr>
            <w:tcW w:w="5000" w:type="pct"/>
            <w:gridSpan w:val="3"/>
            <w:tcBorders>
              <w:bottom w:val="single" w:sz="4" w:space="0" w:color="auto"/>
            </w:tcBorders>
            <w:shd w:val="clear" w:color="auto" w:fill="F2F2F2" w:themeFill="background1" w:themeFillShade="F2"/>
          </w:tcPr>
          <w:p w14:paraId="792EA110" w14:textId="5994EC7E" w:rsidR="00F42BC1" w:rsidRPr="00F42BC1" w:rsidRDefault="00F42BC1" w:rsidP="00C2437B">
            <w:pPr>
              <w:jc w:val="center"/>
              <w:rPr>
                <w:rFonts w:ascii="Times New Roman" w:eastAsia="Times New Roman" w:hAnsi="Times New Roman" w:cs="Times New Roman"/>
                <w:i/>
                <w:iCs/>
              </w:rPr>
            </w:pPr>
            <w:r w:rsidRPr="00F42BC1">
              <w:rPr>
                <w:rFonts w:ascii="Times New Roman" w:eastAsia="Times New Roman" w:hAnsi="Times New Roman" w:cs="Times New Roman"/>
                <w:i/>
                <w:iCs/>
              </w:rPr>
              <w:t xml:space="preserve">Table 5: Estimates of the </w:t>
            </w:r>
            <w:r>
              <w:rPr>
                <w:rFonts w:ascii="Times New Roman" w:eastAsia="Times New Roman" w:hAnsi="Times New Roman" w:cs="Times New Roman"/>
                <w:i/>
                <w:iCs/>
              </w:rPr>
              <w:t>L</w:t>
            </w:r>
            <w:r w:rsidRPr="00F42BC1">
              <w:rPr>
                <w:rFonts w:ascii="Times New Roman" w:eastAsia="Times New Roman" w:hAnsi="Times New Roman" w:cs="Times New Roman"/>
                <w:i/>
                <w:iCs/>
              </w:rPr>
              <w:t>ong-</w:t>
            </w:r>
            <w:r>
              <w:rPr>
                <w:rFonts w:ascii="Times New Roman" w:eastAsia="Times New Roman" w:hAnsi="Times New Roman" w:cs="Times New Roman"/>
                <w:i/>
                <w:iCs/>
              </w:rPr>
              <w:t>R</w:t>
            </w:r>
            <w:r w:rsidRPr="00F42BC1">
              <w:rPr>
                <w:rFonts w:ascii="Times New Roman" w:eastAsia="Times New Roman" w:hAnsi="Times New Roman" w:cs="Times New Roman"/>
                <w:i/>
                <w:iCs/>
              </w:rPr>
              <w:t xml:space="preserve">un </w:t>
            </w:r>
            <w:r>
              <w:rPr>
                <w:rFonts w:ascii="Times New Roman" w:eastAsia="Times New Roman" w:hAnsi="Times New Roman" w:cs="Times New Roman"/>
                <w:i/>
                <w:iCs/>
              </w:rPr>
              <w:t>C</w:t>
            </w:r>
            <w:r w:rsidRPr="00F42BC1">
              <w:rPr>
                <w:rFonts w:ascii="Times New Roman" w:eastAsia="Times New Roman" w:hAnsi="Times New Roman" w:cs="Times New Roman"/>
                <w:i/>
                <w:iCs/>
              </w:rPr>
              <w:t xml:space="preserve">oefficients using ARDL </w:t>
            </w:r>
            <w:r>
              <w:rPr>
                <w:rFonts w:ascii="Times New Roman" w:eastAsia="Times New Roman" w:hAnsi="Times New Roman" w:cs="Times New Roman"/>
                <w:i/>
                <w:iCs/>
              </w:rPr>
              <w:t>M</w:t>
            </w:r>
            <w:r w:rsidRPr="00F42BC1">
              <w:rPr>
                <w:rFonts w:ascii="Times New Roman" w:eastAsia="Times New Roman" w:hAnsi="Times New Roman" w:cs="Times New Roman"/>
                <w:i/>
                <w:iCs/>
              </w:rPr>
              <w:t>ethod</w:t>
            </w:r>
          </w:p>
        </w:tc>
      </w:tr>
      <w:tr w:rsidR="00C2437B" w14:paraId="40EBD55D" w14:textId="77777777" w:rsidTr="00F42BC1">
        <w:tc>
          <w:tcPr>
            <w:tcW w:w="1666" w:type="pct"/>
            <w:tcBorders>
              <w:top w:val="single" w:sz="4" w:space="0" w:color="auto"/>
              <w:bottom w:val="single" w:sz="4" w:space="0" w:color="auto"/>
            </w:tcBorders>
            <w:shd w:val="clear" w:color="auto" w:fill="F2F2F2" w:themeFill="background1" w:themeFillShade="F2"/>
          </w:tcPr>
          <w:p w14:paraId="4D1F007E" w14:textId="77777777" w:rsidR="00C2437B" w:rsidRDefault="00C2437B" w:rsidP="00470B65">
            <w:pPr>
              <w:jc w:val="center"/>
              <w:rPr>
                <w:rFonts w:ascii="Times New Roman" w:hAnsi="Times New Roman" w:cs="Times New Roman"/>
              </w:rPr>
            </w:pPr>
            <w:r>
              <w:rPr>
                <w:rFonts w:ascii="Times New Roman" w:hAnsi="Times New Roman" w:cs="Times New Roman"/>
              </w:rPr>
              <w:t>Dependent Variable</w:t>
            </w:r>
          </w:p>
        </w:tc>
        <w:tc>
          <w:tcPr>
            <w:tcW w:w="1666" w:type="pct"/>
            <w:tcBorders>
              <w:top w:val="single" w:sz="4" w:space="0" w:color="auto"/>
              <w:bottom w:val="single" w:sz="4" w:space="0" w:color="auto"/>
            </w:tcBorders>
            <w:shd w:val="clear" w:color="auto" w:fill="F2F2F2" w:themeFill="background1" w:themeFillShade="F2"/>
          </w:tcPr>
          <w:p w14:paraId="3962D05E" w14:textId="3F8367D0" w:rsidR="00C2437B" w:rsidRPr="00C2437B" w:rsidRDefault="00000000" w:rsidP="00C2437B">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668" w:type="pct"/>
            <w:tcBorders>
              <w:top w:val="single" w:sz="4" w:space="0" w:color="auto"/>
              <w:bottom w:val="single" w:sz="4" w:space="0" w:color="auto"/>
            </w:tcBorders>
            <w:shd w:val="clear" w:color="auto" w:fill="F2F2F2" w:themeFill="background1" w:themeFillShade="F2"/>
          </w:tcPr>
          <w:p w14:paraId="1EE083E3" w14:textId="6DC9CC19" w:rsidR="00C2437B" w:rsidRPr="00C2437B" w:rsidRDefault="00000000" w:rsidP="00C2437B">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r>
      <w:tr w:rsidR="00C2437B" w14:paraId="6066C88E" w14:textId="77777777" w:rsidTr="00F42BC1">
        <w:tc>
          <w:tcPr>
            <w:tcW w:w="1666" w:type="pct"/>
            <w:tcBorders>
              <w:top w:val="single" w:sz="4" w:space="0" w:color="auto"/>
            </w:tcBorders>
            <w:shd w:val="clear" w:color="auto" w:fill="F2F2F2" w:themeFill="background1" w:themeFillShade="F2"/>
            <w:vAlign w:val="center"/>
          </w:tcPr>
          <w:p w14:paraId="32651FFC" w14:textId="53E787F0" w:rsidR="00C2437B" w:rsidRDefault="00000000" w:rsidP="00F42BC1">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1666" w:type="pct"/>
            <w:tcBorders>
              <w:top w:val="single" w:sz="4" w:space="0" w:color="auto"/>
            </w:tcBorders>
            <w:shd w:val="clear" w:color="auto" w:fill="F2F2F2" w:themeFill="background1" w:themeFillShade="F2"/>
            <w:vAlign w:val="center"/>
          </w:tcPr>
          <w:p w14:paraId="5A0C6806" w14:textId="407C369D" w:rsidR="00C2437B" w:rsidRDefault="00C2437B" w:rsidP="00F42BC1">
            <w:pPr>
              <w:jc w:val="center"/>
              <w:rPr>
                <w:rFonts w:ascii="Times New Roman" w:hAnsi="Times New Roman" w:cs="Times New Roman"/>
              </w:rPr>
            </w:pPr>
            <w:r>
              <w:rPr>
                <w:rFonts w:ascii="Times New Roman" w:hAnsi="Times New Roman" w:cs="Times New Roman"/>
              </w:rPr>
              <w:t>--</w:t>
            </w:r>
          </w:p>
        </w:tc>
        <w:tc>
          <w:tcPr>
            <w:tcW w:w="1668" w:type="pct"/>
            <w:tcBorders>
              <w:top w:val="single" w:sz="4" w:space="0" w:color="auto"/>
            </w:tcBorders>
            <w:shd w:val="clear" w:color="auto" w:fill="F2F2F2" w:themeFill="background1" w:themeFillShade="F2"/>
            <w:vAlign w:val="center"/>
          </w:tcPr>
          <w:p w14:paraId="23BE7084" w14:textId="77777777" w:rsidR="00F42BC1" w:rsidRDefault="00F42BC1" w:rsidP="00F42BC1">
            <w:pPr>
              <w:jc w:val="center"/>
              <w:rPr>
                <w:rFonts w:ascii="Times New Roman" w:hAnsi="Times New Roman" w:cs="Times New Roman"/>
              </w:rPr>
            </w:pPr>
            <w:r w:rsidRPr="00F42BC1">
              <w:rPr>
                <w:rFonts w:ascii="Times New Roman" w:hAnsi="Times New Roman" w:cs="Times New Roman"/>
              </w:rPr>
              <w:t>-0.013</w:t>
            </w:r>
            <w:r>
              <w:rPr>
                <w:rFonts w:ascii="Times New Roman" w:hAnsi="Times New Roman" w:cs="Times New Roman"/>
              </w:rPr>
              <w:t>*</w:t>
            </w:r>
          </w:p>
          <w:p w14:paraId="6FDDE4CB" w14:textId="0AE8BD87"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0.006</w:t>
            </w:r>
            <w:r>
              <w:rPr>
                <w:rFonts w:ascii="Times New Roman" w:hAnsi="Times New Roman" w:cs="Times New Roman"/>
              </w:rPr>
              <w:t>)</w:t>
            </w:r>
          </w:p>
        </w:tc>
      </w:tr>
      <w:tr w:rsidR="00C2437B" w14:paraId="16A11B5F" w14:textId="77777777" w:rsidTr="00F42BC1">
        <w:tc>
          <w:tcPr>
            <w:tcW w:w="1666" w:type="pct"/>
            <w:shd w:val="clear" w:color="auto" w:fill="F2F2F2" w:themeFill="background1" w:themeFillShade="F2"/>
            <w:vAlign w:val="center"/>
          </w:tcPr>
          <w:p w14:paraId="6228C9A6" w14:textId="349EC825" w:rsidR="00C2437B" w:rsidRDefault="00000000" w:rsidP="00F42BC1">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1666" w:type="pct"/>
            <w:shd w:val="clear" w:color="auto" w:fill="F2F2F2" w:themeFill="background1" w:themeFillShade="F2"/>
            <w:vAlign w:val="center"/>
          </w:tcPr>
          <w:p w14:paraId="2A600829" w14:textId="44564FE8" w:rsidR="00C2437B" w:rsidRDefault="00C2437B" w:rsidP="00F42BC1">
            <w:pPr>
              <w:jc w:val="center"/>
              <w:rPr>
                <w:rFonts w:ascii="Times New Roman" w:hAnsi="Times New Roman" w:cs="Times New Roman"/>
              </w:rPr>
            </w:pPr>
            <w:r w:rsidRPr="00394A68">
              <w:rPr>
                <w:rFonts w:ascii="Times New Roman" w:hAnsi="Times New Roman" w:cs="Times New Roman"/>
              </w:rPr>
              <w:t>-0.273</w:t>
            </w:r>
          </w:p>
          <w:p w14:paraId="38B66A21" w14:textId="4125DE0B"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0.35</w:t>
            </w:r>
            <w:r>
              <w:rPr>
                <w:rFonts w:ascii="Times New Roman" w:hAnsi="Times New Roman" w:cs="Times New Roman"/>
              </w:rPr>
              <w:t>5)</w:t>
            </w:r>
          </w:p>
        </w:tc>
        <w:tc>
          <w:tcPr>
            <w:tcW w:w="1668" w:type="pct"/>
            <w:shd w:val="clear" w:color="auto" w:fill="F2F2F2" w:themeFill="background1" w:themeFillShade="F2"/>
            <w:vAlign w:val="center"/>
          </w:tcPr>
          <w:p w14:paraId="5CAE21CB" w14:textId="504FD13C" w:rsidR="00C2437B" w:rsidRDefault="00F42BC1" w:rsidP="00F42BC1">
            <w:pPr>
              <w:jc w:val="center"/>
              <w:rPr>
                <w:rFonts w:ascii="Times New Roman" w:hAnsi="Times New Roman" w:cs="Times New Roman"/>
              </w:rPr>
            </w:pPr>
            <w:r>
              <w:rPr>
                <w:rFonts w:ascii="Times New Roman" w:hAnsi="Times New Roman" w:cs="Times New Roman"/>
              </w:rPr>
              <w:t>--</w:t>
            </w:r>
          </w:p>
        </w:tc>
      </w:tr>
      <w:tr w:rsidR="00C2437B" w14:paraId="54B8218D" w14:textId="77777777" w:rsidTr="00F42BC1">
        <w:tc>
          <w:tcPr>
            <w:tcW w:w="1666" w:type="pct"/>
            <w:shd w:val="clear" w:color="auto" w:fill="F2F2F2" w:themeFill="background1" w:themeFillShade="F2"/>
            <w:vAlign w:val="center"/>
          </w:tcPr>
          <w:p w14:paraId="3DA3CC53" w14:textId="18456196" w:rsidR="00C2437B" w:rsidRDefault="00000000" w:rsidP="00F42BC1">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1666" w:type="pct"/>
            <w:shd w:val="clear" w:color="auto" w:fill="F2F2F2" w:themeFill="background1" w:themeFillShade="F2"/>
            <w:vAlign w:val="center"/>
          </w:tcPr>
          <w:p w14:paraId="3E443EB0" w14:textId="77777777" w:rsidR="00C2437B" w:rsidRDefault="00C2437B" w:rsidP="00F42BC1">
            <w:pPr>
              <w:jc w:val="center"/>
              <w:rPr>
                <w:rFonts w:ascii="Times New Roman" w:hAnsi="Times New Roman" w:cs="Times New Roman"/>
              </w:rPr>
            </w:pPr>
            <w:r w:rsidRPr="00394A68">
              <w:rPr>
                <w:rFonts w:ascii="Times New Roman" w:hAnsi="Times New Roman" w:cs="Times New Roman"/>
              </w:rPr>
              <w:t>0.037</w:t>
            </w:r>
            <w:r>
              <w:rPr>
                <w:rFonts w:ascii="Times New Roman" w:hAnsi="Times New Roman" w:cs="Times New Roman"/>
              </w:rPr>
              <w:t>***</w:t>
            </w:r>
          </w:p>
          <w:p w14:paraId="3C1EEB0F" w14:textId="5B25C3BF"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0.036</w:t>
            </w:r>
            <w:r>
              <w:rPr>
                <w:rFonts w:ascii="Times New Roman" w:hAnsi="Times New Roman" w:cs="Times New Roman"/>
              </w:rPr>
              <w:t>)</w:t>
            </w:r>
          </w:p>
        </w:tc>
        <w:tc>
          <w:tcPr>
            <w:tcW w:w="1668" w:type="pct"/>
            <w:shd w:val="clear" w:color="auto" w:fill="F2F2F2" w:themeFill="background1" w:themeFillShade="F2"/>
            <w:vAlign w:val="center"/>
          </w:tcPr>
          <w:p w14:paraId="092C62A3" w14:textId="0F1A046F" w:rsidR="00C2437B" w:rsidRDefault="00F42BC1" w:rsidP="00F42BC1">
            <w:pPr>
              <w:jc w:val="center"/>
              <w:rPr>
                <w:rFonts w:ascii="Times New Roman" w:hAnsi="Times New Roman" w:cs="Times New Roman"/>
              </w:rPr>
            </w:pPr>
            <w:r w:rsidRPr="00F42BC1">
              <w:rPr>
                <w:rFonts w:ascii="Times New Roman" w:hAnsi="Times New Roman" w:cs="Times New Roman"/>
              </w:rPr>
              <w:t>0.00</w:t>
            </w:r>
            <w:r>
              <w:rPr>
                <w:rFonts w:ascii="Times New Roman" w:hAnsi="Times New Roman" w:cs="Times New Roman"/>
              </w:rPr>
              <w:t>3</w:t>
            </w:r>
            <w:r w:rsidR="00C2437B">
              <w:rPr>
                <w:rFonts w:ascii="Times New Roman" w:hAnsi="Times New Roman" w:cs="Times New Roman"/>
              </w:rPr>
              <w:t>**</w:t>
            </w:r>
          </w:p>
          <w:p w14:paraId="06D0C5EF" w14:textId="66E9AB67"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0.001</w:t>
            </w:r>
            <w:r>
              <w:rPr>
                <w:rFonts w:ascii="Times New Roman" w:hAnsi="Times New Roman" w:cs="Times New Roman"/>
              </w:rPr>
              <w:t>)</w:t>
            </w:r>
          </w:p>
        </w:tc>
      </w:tr>
      <w:tr w:rsidR="00C2437B" w14:paraId="4EA9A494" w14:textId="77777777" w:rsidTr="00F42BC1">
        <w:tc>
          <w:tcPr>
            <w:tcW w:w="1666" w:type="pct"/>
            <w:tcBorders>
              <w:bottom w:val="single" w:sz="4" w:space="0" w:color="auto"/>
            </w:tcBorders>
            <w:shd w:val="clear" w:color="auto" w:fill="F2F2F2" w:themeFill="background1" w:themeFillShade="F2"/>
            <w:vAlign w:val="center"/>
          </w:tcPr>
          <w:p w14:paraId="36EBFAD6" w14:textId="77777777" w:rsidR="00C2437B" w:rsidRDefault="00C2437B" w:rsidP="00F42BC1">
            <w:pPr>
              <w:jc w:val="center"/>
              <w:rPr>
                <w:rFonts w:ascii="Times New Roman" w:hAnsi="Times New Roman" w:cs="Times New Roman"/>
              </w:rPr>
            </w:pPr>
            <w:r>
              <w:rPr>
                <w:rFonts w:ascii="Times New Roman" w:hAnsi="Times New Roman" w:cs="Times New Roman"/>
              </w:rPr>
              <w:t>Constant</w:t>
            </w:r>
          </w:p>
        </w:tc>
        <w:tc>
          <w:tcPr>
            <w:tcW w:w="1666" w:type="pct"/>
            <w:tcBorders>
              <w:bottom w:val="single" w:sz="4" w:space="0" w:color="auto"/>
            </w:tcBorders>
            <w:shd w:val="clear" w:color="auto" w:fill="F2F2F2" w:themeFill="background1" w:themeFillShade="F2"/>
            <w:vAlign w:val="center"/>
          </w:tcPr>
          <w:p w14:paraId="67BC55E9" w14:textId="77777777" w:rsidR="00C2437B" w:rsidRDefault="00C2437B" w:rsidP="00F42BC1">
            <w:pPr>
              <w:jc w:val="center"/>
              <w:rPr>
                <w:rFonts w:ascii="Times New Roman" w:hAnsi="Times New Roman" w:cs="Times New Roman"/>
              </w:rPr>
            </w:pPr>
            <w:r w:rsidRPr="00394A68">
              <w:rPr>
                <w:rFonts w:ascii="Times New Roman" w:hAnsi="Times New Roman" w:cs="Times New Roman"/>
              </w:rPr>
              <w:t>3.30</w:t>
            </w:r>
            <w:r>
              <w:rPr>
                <w:rFonts w:ascii="Times New Roman" w:hAnsi="Times New Roman" w:cs="Times New Roman"/>
              </w:rPr>
              <w:t>6</w:t>
            </w:r>
          </w:p>
          <w:p w14:paraId="7F5B6F63" w14:textId="494FF2AC"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2.222</w:t>
            </w:r>
            <w:r>
              <w:rPr>
                <w:rFonts w:ascii="Times New Roman" w:hAnsi="Times New Roman" w:cs="Times New Roman"/>
              </w:rPr>
              <w:t>)</w:t>
            </w:r>
          </w:p>
        </w:tc>
        <w:tc>
          <w:tcPr>
            <w:tcW w:w="1668" w:type="pct"/>
            <w:tcBorders>
              <w:bottom w:val="single" w:sz="4" w:space="0" w:color="auto"/>
            </w:tcBorders>
            <w:shd w:val="clear" w:color="auto" w:fill="F2F2F2" w:themeFill="background1" w:themeFillShade="F2"/>
            <w:vAlign w:val="center"/>
          </w:tcPr>
          <w:p w14:paraId="71CD2B6A" w14:textId="676735EB" w:rsidR="00C2437B" w:rsidRDefault="00C2437B" w:rsidP="00F42BC1">
            <w:pPr>
              <w:jc w:val="center"/>
              <w:rPr>
                <w:rFonts w:ascii="Times New Roman" w:hAnsi="Times New Roman" w:cs="Times New Roman"/>
              </w:rPr>
            </w:pPr>
            <w:r w:rsidRPr="00C2437B">
              <w:rPr>
                <w:rFonts w:ascii="Times New Roman" w:hAnsi="Times New Roman" w:cs="Times New Roman"/>
              </w:rPr>
              <w:t>0.288</w:t>
            </w:r>
            <w:r>
              <w:rPr>
                <w:rFonts w:ascii="Times New Roman" w:hAnsi="Times New Roman" w:cs="Times New Roman"/>
              </w:rPr>
              <w:t>*</w:t>
            </w:r>
            <w:r w:rsidR="00F42BC1">
              <w:rPr>
                <w:rFonts w:ascii="Times New Roman" w:hAnsi="Times New Roman" w:cs="Times New Roman"/>
              </w:rPr>
              <w:t>*</w:t>
            </w:r>
          </w:p>
          <w:p w14:paraId="6707647C" w14:textId="2A039B3D"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0.116</w:t>
            </w:r>
            <w:r>
              <w:rPr>
                <w:rFonts w:ascii="Times New Roman" w:hAnsi="Times New Roman" w:cs="Times New Roman"/>
              </w:rPr>
              <w:t>)</w:t>
            </w:r>
          </w:p>
        </w:tc>
      </w:tr>
      <w:tr w:rsidR="00C2437B" w14:paraId="36B23DAB" w14:textId="77777777" w:rsidTr="00F42BC1">
        <w:tc>
          <w:tcPr>
            <w:tcW w:w="1666" w:type="pct"/>
            <w:tcBorders>
              <w:top w:val="single" w:sz="4" w:space="0" w:color="auto"/>
              <w:bottom w:val="single" w:sz="4" w:space="0" w:color="auto"/>
            </w:tcBorders>
            <w:shd w:val="clear" w:color="auto" w:fill="F2F2F2" w:themeFill="background1" w:themeFillShade="F2"/>
            <w:vAlign w:val="center"/>
          </w:tcPr>
          <w:p w14:paraId="5C49ABED" w14:textId="77777777" w:rsidR="00C2437B" w:rsidRDefault="00C2437B" w:rsidP="00F42BC1">
            <w:pPr>
              <w:jc w:val="center"/>
              <w:rPr>
                <w:rFonts w:ascii="Times New Roman" w:hAnsi="Times New Roman" w:cs="Times New Roman"/>
              </w:rPr>
            </w:pPr>
            <w:r>
              <w:rPr>
                <w:rFonts w:ascii="Times New Roman" w:hAnsi="Times New Roman" w:cs="Times New Roman"/>
              </w:rPr>
              <w:t>ECM</w:t>
            </w:r>
          </w:p>
        </w:tc>
        <w:tc>
          <w:tcPr>
            <w:tcW w:w="1666" w:type="pct"/>
            <w:tcBorders>
              <w:top w:val="single" w:sz="4" w:space="0" w:color="auto"/>
              <w:bottom w:val="single" w:sz="4" w:space="0" w:color="auto"/>
            </w:tcBorders>
            <w:shd w:val="clear" w:color="auto" w:fill="F2F2F2" w:themeFill="background1" w:themeFillShade="F2"/>
            <w:vAlign w:val="center"/>
          </w:tcPr>
          <w:p w14:paraId="1155875B" w14:textId="0C362309" w:rsidR="00C2437B" w:rsidRDefault="00C2437B" w:rsidP="00F42BC1">
            <w:pPr>
              <w:jc w:val="center"/>
              <w:rPr>
                <w:rFonts w:ascii="Times New Roman" w:hAnsi="Times New Roman" w:cs="Times New Roman"/>
              </w:rPr>
            </w:pPr>
            <w:r w:rsidRPr="00394A68">
              <w:rPr>
                <w:rFonts w:ascii="Times New Roman" w:hAnsi="Times New Roman" w:cs="Times New Roman"/>
              </w:rPr>
              <w:t>-0.45</w:t>
            </w:r>
            <w:r>
              <w:rPr>
                <w:rFonts w:ascii="Times New Roman" w:hAnsi="Times New Roman" w:cs="Times New Roman"/>
              </w:rPr>
              <w:t>8***</w:t>
            </w:r>
          </w:p>
          <w:p w14:paraId="193662E3" w14:textId="4C97238C" w:rsidR="00C2437B" w:rsidRDefault="00C2437B" w:rsidP="00F42BC1">
            <w:pPr>
              <w:jc w:val="center"/>
              <w:rPr>
                <w:rFonts w:ascii="Times New Roman" w:hAnsi="Times New Roman" w:cs="Times New Roman"/>
              </w:rPr>
            </w:pPr>
            <w:r>
              <w:rPr>
                <w:rFonts w:ascii="Times New Roman" w:hAnsi="Times New Roman" w:cs="Times New Roman"/>
              </w:rPr>
              <w:t>(</w:t>
            </w:r>
            <w:r w:rsidRPr="00394A68">
              <w:rPr>
                <w:rFonts w:ascii="Times New Roman" w:hAnsi="Times New Roman" w:cs="Times New Roman"/>
              </w:rPr>
              <w:t>0.095</w:t>
            </w:r>
            <w:r>
              <w:rPr>
                <w:rFonts w:ascii="Times New Roman" w:hAnsi="Times New Roman" w:cs="Times New Roman"/>
              </w:rPr>
              <w:t>)</w:t>
            </w:r>
          </w:p>
        </w:tc>
        <w:tc>
          <w:tcPr>
            <w:tcW w:w="1668" w:type="pct"/>
            <w:tcBorders>
              <w:top w:val="single" w:sz="4" w:space="0" w:color="auto"/>
              <w:bottom w:val="single" w:sz="4" w:space="0" w:color="auto"/>
            </w:tcBorders>
            <w:shd w:val="clear" w:color="auto" w:fill="F2F2F2" w:themeFill="background1" w:themeFillShade="F2"/>
            <w:vAlign w:val="center"/>
          </w:tcPr>
          <w:p w14:paraId="567C541D" w14:textId="1364061D" w:rsidR="00C2437B" w:rsidRDefault="00C2437B" w:rsidP="00F42BC1">
            <w:pPr>
              <w:jc w:val="center"/>
              <w:rPr>
                <w:rFonts w:ascii="Times New Roman" w:hAnsi="Times New Roman" w:cs="Times New Roman"/>
              </w:rPr>
            </w:pPr>
            <w:r w:rsidRPr="00C2437B">
              <w:rPr>
                <w:rFonts w:ascii="Times New Roman" w:hAnsi="Times New Roman" w:cs="Times New Roman"/>
              </w:rPr>
              <w:t>-0.053</w:t>
            </w:r>
            <w:r>
              <w:rPr>
                <w:rFonts w:ascii="Times New Roman" w:hAnsi="Times New Roman" w:cs="Times New Roman"/>
              </w:rPr>
              <w:t>***</w:t>
            </w:r>
          </w:p>
          <w:p w14:paraId="7AB3B878" w14:textId="4409F659" w:rsidR="00C2437B" w:rsidRDefault="00C2437B" w:rsidP="00F42BC1">
            <w:pPr>
              <w:jc w:val="center"/>
              <w:rPr>
                <w:rFonts w:ascii="Times New Roman" w:hAnsi="Times New Roman" w:cs="Times New Roman"/>
              </w:rPr>
            </w:pPr>
            <w:r>
              <w:rPr>
                <w:rFonts w:ascii="Times New Roman" w:hAnsi="Times New Roman" w:cs="Times New Roman"/>
              </w:rPr>
              <w:t>(</w:t>
            </w:r>
            <w:r w:rsidR="00F42BC1" w:rsidRPr="00F42BC1">
              <w:rPr>
                <w:rFonts w:ascii="Times New Roman" w:hAnsi="Times New Roman" w:cs="Times New Roman"/>
              </w:rPr>
              <w:t>0.01</w:t>
            </w:r>
            <w:r w:rsidR="00F42BC1">
              <w:rPr>
                <w:rFonts w:ascii="Times New Roman" w:hAnsi="Times New Roman" w:cs="Times New Roman"/>
              </w:rPr>
              <w:t>2</w:t>
            </w:r>
            <w:r>
              <w:rPr>
                <w:rFonts w:ascii="Times New Roman" w:hAnsi="Times New Roman" w:cs="Times New Roman"/>
              </w:rPr>
              <w:t>)</w:t>
            </w:r>
          </w:p>
        </w:tc>
      </w:tr>
      <w:tr w:rsidR="00C2437B" w14:paraId="5BE36D77" w14:textId="77777777" w:rsidTr="00F42BC1">
        <w:tc>
          <w:tcPr>
            <w:tcW w:w="1666" w:type="pct"/>
            <w:tcBorders>
              <w:top w:val="single" w:sz="4" w:space="0" w:color="auto"/>
              <w:bottom w:val="nil"/>
            </w:tcBorders>
            <w:shd w:val="clear" w:color="auto" w:fill="F2F2F2" w:themeFill="background1" w:themeFillShade="F2"/>
            <w:vAlign w:val="center"/>
          </w:tcPr>
          <w:p w14:paraId="6EF48AAE" w14:textId="77777777" w:rsidR="00C2437B" w:rsidRDefault="00C2437B" w:rsidP="00F42BC1">
            <w:pPr>
              <w:jc w:val="center"/>
              <w:rPr>
                <w:rFonts w:ascii="Times New Roman" w:hAnsi="Times New Roman" w:cs="Times New Roman"/>
              </w:rPr>
            </w:pPr>
            <w:r>
              <w:rPr>
                <w:rFonts w:ascii="Times New Roman" w:hAnsi="Times New Roman" w:cs="Times New Roman"/>
              </w:rPr>
              <w:t>R Square</w:t>
            </w:r>
          </w:p>
        </w:tc>
        <w:tc>
          <w:tcPr>
            <w:tcW w:w="1666" w:type="pct"/>
            <w:tcBorders>
              <w:top w:val="single" w:sz="4" w:space="0" w:color="auto"/>
              <w:bottom w:val="nil"/>
            </w:tcBorders>
            <w:shd w:val="clear" w:color="auto" w:fill="F2F2F2" w:themeFill="background1" w:themeFillShade="F2"/>
            <w:vAlign w:val="center"/>
          </w:tcPr>
          <w:p w14:paraId="367932F1" w14:textId="712C3489" w:rsidR="00C2437B" w:rsidRDefault="00C2437B" w:rsidP="00F42BC1">
            <w:pPr>
              <w:jc w:val="center"/>
              <w:rPr>
                <w:rFonts w:ascii="Times New Roman" w:hAnsi="Times New Roman" w:cs="Times New Roman"/>
              </w:rPr>
            </w:pPr>
            <w:r w:rsidRPr="00394A68">
              <w:rPr>
                <w:rFonts w:ascii="Times New Roman" w:hAnsi="Times New Roman" w:cs="Times New Roman"/>
              </w:rPr>
              <w:t>0.68</w:t>
            </w:r>
          </w:p>
        </w:tc>
        <w:tc>
          <w:tcPr>
            <w:tcW w:w="1668" w:type="pct"/>
            <w:tcBorders>
              <w:top w:val="single" w:sz="4" w:space="0" w:color="auto"/>
              <w:bottom w:val="nil"/>
            </w:tcBorders>
            <w:shd w:val="clear" w:color="auto" w:fill="F2F2F2" w:themeFill="background1" w:themeFillShade="F2"/>
            <w:vAlign w:val="center"/>
          </w:tcPr>
          <w:p w14:paraId="62A41998" w14:textId="55119CDB" w:rsidR="00C2437B" w:rsidRDefault="00C2437B" w:rsidP="00F42BC1">
            <w:pPr>
              <w:jc w:val="center"/>
              <w:rPr>
                <w:rFonts w:ascii="Times New Roman" w:hAnsi="Times New Roman" w:cs="Times New Roman"/>
              </w:rPr>
            </w:pPr>
            <w:r w:rsidRPr="00C2437B">
              <w:rPr>
                <w:rFonts w:ascii="Times New Roman" w:hAnsi="Times New Roman" w:cs="Times New Roman"/>
              </w:rPr>
              <w:t>0.6</w:t>
            </w:r>
            <w:r>
              <w:rPr>
                <w:rFonts w:ascii="Times New Roman" w:hAnsi="Times New Roman" w:cs="Times New Roman"/>
              </w:rPr>
              <w:t>8</w:t>
            </w:r>
          </w:p>
        </w:tc>
      </w:tr>
      <w:tr w:rsidR="00C2437B" w14:paraId="7916F10F" w14:textId="77777777" w:rsidTr="00F42BC1">
        <w:tc>
          <w:tcPr>
            <w:tcW w:w="1666" w:type="pct"/>
            <w:tcBorders>
              <w:top w:val="nil"/>
              <w:bottom w:val="single" w:sz="4" w:space="0" w:color="auto"/>
            </w:tcBorders>
            <w:shd w:val="clear" w:color="auto" w:fill="F2F2F2" w:themeFill="background1" w:themeFillShade="F2"/>
            <w:vAlign w:val="center"/>
          </w:tcPr>
          <w:p w14:paraId="3EEB4EF7" w14:textId="77777777" w:rsidR="00C2437B" w:rsidRDefault="00C2437B" w:rsidP="00F42BC1">
            <w:pPr>
              <w:jc w:val="center"/>
              <w:rPr>
                <w:rFonts w:ascii="Times New Roman" w:hAnsi="Times New Roman" w:cs="Times New Roman"/>
              </w:rPr>
            </w:pPr>
            <w:r>
              <w:rPr>
                <w:rFonts w:ascii="Times New Roman" w:hAnsi="Times New Roman" w:cs="Times New Roman"/>
              </w:rPr>
              <w:t>Adjusted R Square</w:t>
            </w:r>
          </w:p>
        </w:tc>
        <w:tc>
          <w:tcPr>
            <w:tcW w:w="1666" w:type="pct"/>
            <w:tcBorders>
              <w:top w:val="nil"/>
              <w:bottom w:val="single" w:sz="4" w:space="0" w:color="auto"/>
            </w:tcBorders>
            <w:shd w:val="clear" w:color="auto" w:fill="F2F2F2" w:themeFill="background1" w:themeFillShade="F2"/>
            <w:vAlign w:val="center"/>
          </w:tcPr>
          <w:p w14:paraId="64412050" w14:textId="44EECAA8" w:rsidR="00C2437B" w:rsidRDefault="00C2437B" w:rsidP="00F42BC1">
            <w:pPr>
              <w:jc w:val="center"/>
              <w:rPr>
                <w:rFonts w:ascii="Times New Roman" w:hAnsi="Times New Roman" w:cs="Times New Roman"/>
              </w:rPr>
            </w:pPr>
            <w:r w:rsidRPr="00394A68">
              <w:rPr>
                <w:rFonts w:ascii="Times New Roman" w:hAnsi="Times New Roman" w:cs="Times New Roman"/>
              </w:rPr>
              <w:t>0.6</w:t>
            </w:r>
            <w:r>
              <w:rPr>
                <w:rFonts w:ascii="Times New Roman" w:hAnsi="Times New Roman" w:cs="Times New Roman"/>
              </w:rPr>
              <w:t>6</w:t>
            </w:r>
          </w:p>
        </w:tc>
        <w:tc>
          <w:tcPr>
            <w:tcW w:w="1668" w:type="pct"/>
            <w:tcBorders>
              <w:top w:val="nil"/>
              <w:bottom w:val="single" w:sz="4" w:space="0" w:color="auto"/>
            </w:tcBorders>
            <w:shd w:val="clear" w:color="auto" w:fill="F2F2F2" w:themeFill="background1" w:themeFillShade="F2"/>
            <w:vAlign w:val="center"/>
          </w:tcPr>
          <w:p w14:paraId="31817AF3" w14:textId="712BECDE" w:rsidR="00C2437B" w:rsidRDefault="00C2437B" w:rsidP="00F42BC1">
            <w:pPr>
              <w:jc w:val="center"/>
              <w:rPr>
                <w:rFonts w:ascii="Times New Roman" w:hAnsi="Times New Roman" w:cs="Times New Roman"/>
              </w:rPr>
            </w:pPr>
            <w:r w:rsidRPr="00C2437B">
              <w:rPr>
                <w:rFonts w:ascii="Times New Roman" w:hAnsi="Times New Roman" w:cs="Times New Roman"/>
              </w:rPr>
              <w:t>0.59</w:t>
            </w:r>
          </w:p>
        </w:tc>
      </w:tr>
      <w:tr w:rsidR="00F42BC1" w14:paraId="5681400A" w14:textId="77777777" w:rsidTr="00F42BC1">
        <w:tc>
          <w:tcPr>
            <w:tcW w:w="5000" w:type="pct"/>
            <w:gridSpan w:val="3"/>
            <w:tcBorders>
              <w:top w:val="single" w:sz="4" w:space="0" w:color="auto"/>
              <w:bottom w:val="nil"/>
            </w:tcBorders>
            <w:shd w:val="clear" w:color="auto" w:fill="F2F2F2" w:themeFill="background1" w:themeFillShade="F2"/>
            <w:vAlign w:val="center"/>
          </w:tcPr>
          <w:p w14:paraId="57C25D47" w14:textId="56395FD2" w:rsidR="00F42BC1" w:rsidRPr="00C2437B" w:rsidRDefault="00F42BC1" w:rsidP="00BA6E7B">
            <w:pPr>
              <w:jc w:val="both"/>
              <w:rPr>
                <w:rFonts w:ascii="Times New Roman" w:hAnsi="Times New Roman" w:cs="Times New Roman"/>
              </w:rPr>
            </w:pPr>
            <w:r w:rsidRPr="00BA6E7B">
              <w:rPr>
                <w:rFonts w:ascii="Times New Roman" w:hAnsi="Times New Roman" w:cs="Times New Roman"/>
                <w:sz w:val="18"/>
                <w:szCs w:val="18"/>
              </w:rPr>
              <w:t>Note: ***, **, * represent 1%, 5% and 10% significance level respectively. The value inside parathesis is standard errors.</w:t>
            </w:r>
          </w:p>
        </w:tc>
      </w:tr>
    </w:tbl>
    <w:p w14:paraId="39C17129" w14:textId="4322EF7A" w:rsidR="00470B65" w:rsidRDefault="00DB2D30" w:rsidP="00E00643">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The result of long run estimation suggest that fuel inflation has a positive and significant impact on both Industrial production growth rate and CPI inflation rate. This means when global fuel prices rise it significantly increases both inflation rate and industrial production in the long run. Since relationship of fuel inflation and industrial production is same as correlation result it can be said that when fuel price increases it increases industrial production in both short and long run. This means in long run there happens a trade-off in the economy due to increase in the domestic prices, i.e., when global fuel prices increases it increases the inflation rate as can be seen from the model 2. This increase in prices puts pressure on producer to increase the production of the goods to stabilise the profit margin. This effect clearly shown by the positive relationship between fuel inflation and production growth rate. </w:t>
      </w:r>
    </w:p>
    <w:p w14:paraId="76504B42" w14:textId="7D6BB813" w:rsidR="004F2E76" w:rsidRDefault="004F2E76" w:rsidP="004F2E76">
      <w:pPr>
        <w:spacing w:line="360" w:lineRule="auto"/>
        <w:jc w:val="both"/>
        <w:rPr>
          <w:rFonts w:ascii="Times New Roman" w:hAnsi="Times New Roman" w:cs="Times New Roman"/>
          <w:lang w:val="en-IN"/>
        </w:rPr>
      </w:pPr>
      <w:r>
        <w:rPr>
          <w:rFonts w:ascii="Times New Roman" w:hAnsi="Times New Roman" w:cs="Times New Roman"/>
          <w:lang w:val="en-IN"/>
        </w:rPr>
        <w:t xml:space="preserve">However, the result also suggested that inflation rate has no significant impact on industrial production establishing the accuracy of the above trade-off. The industrial production have very negligible impact on inflation rate showing there is very small causal link between these two variables. </w:t>
      </w:r>
    </w:p>
    <w:p w14:paraId="13A4DCDA" w14:textId="6E507C3B" w:rsidR="004F2E76" w:rsidRDefault="004F2E76" w:rsidP="004F2E76">
      <w:pPr>
        <w:spacing w:line="360" w:lineRule="auto"/>
        <w:jc w:val="both"/>
        <w:rPr>
          <w:rFonts w:ascii="Times New Roman" w:hAnsi="Times New Roman" w:cs="Times New Roman"/>
          <w:lang w:val="en-IN"/>
        </w:rPr>
      </w:pPr>
      <w:r>
        <w:rPr>
          <w:rFonts w:ascii="Times New Roman" w:hAnsi="Times New Roman" w:cs="Times New Roman"/>
          <w:lang w:val="en-IN"/>
        </w:rPr>
        <w:t>The diagnostic test was conducted on both models and it was seen from their result that both the models are robust in nature.</w:t>
      </w:r>
    </w:p>
    <w:p w14:paraId="793A0984" w14:textId="2EA3C4AA" w:rsidR="004F2E76" w:rsidRDefault="004F2E76" w:rsidP="004F2E76">
      <w:pPr>
        <w:spacing w:line="360" w:lineRule="auto"/>
        <w:jc w:val="both"/>
        <w:rPr>
          <w:rFonts w:ascii="Times New Roman" w:hAnsi="Times New Roman" w:cs="Times New Roman"/>
          <w:lang w:val="en-IN"/>
        </w:rPr>
      </w:pPr>
      <w:r>
        <w:rPr>
          <w:rFonts w:ascii="Times New Roman" w:hAnsi="Times New Roman" w:cs="Times New Roman"/>
          <w:lang w:val="en-IN"/>
        </w:rPr>
        <w:t>To find the causal link between the variables, the Granger</w:t>
      </w:r>
      <w:r w:rsidR="00600E23">
        <w:rPr>
          <w:rFonts w:ascii="Times New Roman" w:hAnsi="Times New Roman" w:cs="Times New Roman"/>
          <w:lang w:val="en-IN"/>
        </w:rPr>
        <w:t xml:space="preserve"> </w:t>
      </w:r>
      <w:sdt>
        <w:sdtPr>
          <w:rPr>
            <w:rFonts w:ascii="Times New Roman" w:hAnsi="Times New Roman" w:cs="Times New Roman"/>
            <w:lang w:val="en-IN"/>
          </w:rPr>
          <w:id w:val="-1407444290"/>
          <w:citation/>
        </w:sdtPr>
        <w:sdtContent>
          <w:r w:rsidR="00600E23">
            <w:rPr>
              <w:rFonts w:ascii="Times New Roman" w:hAnsi="Times New Roman" w:cs="Times New Roman"/>
              <w:lang w:val="en-IN"/>
            </w:rPr>
            <w:fldChar w:fldCharType="begin"/>
          </w:r>
          <w:r w:rsidR="00D64E6B">
            <w:rPr>
              <w:rFonts w:ascii="Times New Roman" w:hAnsi="Times New Roman" w:cs="Times New Roman"/>
              <w:lang w:val="en-US"/>
            </w:rPr>
            <w:instrText xml:space="preserve">CITATION Gra86 \n  \t  \l 1033 </w:instrText>
          </w:r>
          <w:r w:rsidR="00600E23">
            <w:rPr>
              <w:rFonts w:ascii="Times New Roman" w:hAnsi="Times New Roman" w:cs="Times New Roman"/>
              <w:lang w:val="en-IN"/>
            </w:rPr>
            <w:fldChar w:fldCharType="separate"/>
          </w:r>
          <w:r w:rsidR="00D64E6B" w:rsidRPr="00D64E6B">
            <w:rPr>
              <w:rFonts w:ascii="Times New Roman" w:hAnsi="Times New Roman" w:cs="Times New Roman"/>
              <w:noProof/>
              <w:lang w:val="en-US"/>
            </w:rPr>
            <w:t>(1986)</w:t>
          </w:r>
          <w:r w:rsidR="00600E23">
            <w:rPr>
              <w:rFonts w:ascii="Times New Roman" w:hAnsi="Times New Roman" w:cs="Times New Roman"/>
              <w:lang w:val="en-IN"/>
            </w:rPr>
            <w:fldChar w:fldCharType="end"/>
          </w:r>
        </w:sdtContent>
      </w:sdt>
      <w:r>
        <w:rPr>
          <w:rFonts w:ascii="Times New Roman" w:hAnsi="Times New Roman" w:cs="Times New Roman"/>
          <w:lang w:val="en-IN"/>
        </w:rPr>
        <w:t xml:space="preserve"> Causality test was presented in the table 6.</w:t>
      </w:r>
    </w:p>
    <w:tbl>
      <w:tblPr>
        <w:tblStyle w:val="GridTable4"/>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6091"/>
        <w:gridCol w:w="850"/>
        <w:gridCol w:w="992"/>
        <w:gridCol w:w="1083"/>
      </w:tblGrid>
      <w:tr w:rsidR="00E311FF" w14:paraId="34F55B51" w14:textId="77777777" w:rsidTr="008E6634">
        <w:tc>
          <w:tcPr>
            <w:tcW w:w="9016" w:type="dxa"/>
            <w:gridSpan w:val="4"/>
            <w:tcBorders>
              <w:bottom w:val="single" w:sz="4" w:space="0" w:color="auto"/>
            </w:tcBorders>
            <w:shd w:val="clear" w:color="auto" w:fill="F2F2F2" w:themeFill="background1" w:themeFillShade="F2"/>
            <w:vAlign w:val="center"/>
          </w:tcPr>
          <w:p w14:paraId="65BD9476" w14:textId="71877FE4" w:rsidR="00E311FF" w:rsidRDefault="00E311FF" w:rsidP="008E6634">
            <w:pPr>
              <w:jc w:val="center"/>
              <w:rPr>
                <w:rFonts w:ascii="Times New Roman" w:hAnsi="Times New Roman" w:cs="Times New Roman"/>
                <w:lang w:val="en-IN"/>
              </w:rPr>
            </w:pPr>
            <w:r>
              <w:rPr>
                <w:rFonts w:ascii="Times New Roman" w:hAnsi="Times New Roman" w:cs="Times New Roman"/>
                <w:lang w:val="en-IN"/>
              </w:rPr>
              <w:t>Table 6: Pairwise Granger Causality Test</w:t>
            </w:r>
          </w:p>
        </w:tc>
      </w:tr>
      <w:tr w:rsidR="00E311FF" w14:paraId="46B3DB54" w14:textId="77777777" w:rsidTr="008E6634">
        <w:tc>
          <w:tcPr>
            <w:tcW w:w="6091" w:type="dxa"/>
            <w:tcBorders>
              <w:top w:val="single" w:sz="4" w:space="0" w:color="auto"/>
              <w:bottom w:val="single" w:sz="4" w:space="0" w:color="auto"/>
            </w:tcBorders>
            <w:shd w:val="clear" w:color="auto" w:fill="F2F2F2" w:themeFill="background1" w:themeFillShade="F2"/>
            <w:vAlign w:val="center"/>
          </w:tcPr>
          <w:p w14:paraId="43BD1435" w14:textId="08E65A2B" w:rsidR="00E311FF" w:rsidRDefault="00744ABF" w:rsidP="008E6634">
            <w:pPr>
              <w:jc w:val="center"/>
              <w:rPr>
                <w:rFonts w:ascii="Times New Roman" w:hAnsi="Times New Roman" w:cs="Times New Roman"/>
                <w:lang w:val="en-IN"/>
              </w:rPr>
            </w:pPr>
            <w:r>
              <w:rPr>
                <w:rFonts w:ascii="Times New Roman" w:hAnsi="Times New Roman" w:cs="Times New Roman"/>
                <w:lang w:val="en-IN"/>
              </w:rPr>
              <w:lastRenderedPageBreak/>
              <w:t>Null Hypothesis</w:t>
            </w:r>
          </w:p>
        </w:tc>
        <w:tc>
          <w:tcPr>
            <w:tcW w:w="850" w:type="dxa"/>
            <w:tcBorders>
              <w:top w:val="single" w:sz="4" w:space="0" w:color="auto"/>
              <w:bottom w:val="single" w:sz="4" w:space="0" w:color="auto"/>
            </w:tcBorders>
            <w:shd w:val="clear" w:color="auto" w:fill="F2F2F2" w:themeFill="background1" w:themeFillShade="F2"/>
            <w:vAlign w:val="center"/>
          </w:tcPr>
          <w:p w14:paraId="47BD10AB" w14:textId="5AB3B803" w:rsidR="00E311FF" w:rsidRDefault="00744ABF" w:rsidP="008E6634">
            <w:pPr>
              <w:jc w:val="center"/>
              <w:rPr>
                <w:rFonts w:ascii="Times New Roman" w:hAnsi="Times New Roman" w:cs="Times New Roman"/>
                <w:lang w:val="en-IN"/>
              </w:rPr>
            </w:pPr>
            <w:r>
              <w:rPr>
                <w:rFonts w:ascii="Times New Roman" w:hAnsi="Times New Roman" w:cs="Times New Roman"/>
                <w:lang w:val="en-IN"/>
              </w:rPr>
              <w:t>Obs.</w:t>
            </w:r>
          </w:p>
        </w:tc>
        <w:tc>
          <w:tcPr>
            <w:tcW w:w="992" w:type="dxa"/>
            <w:tcBorders>
              <w:top w:val="single" w:sz="4" w:space="0" w:color="auto"/>
              <w:bottom w:val="single" w:sz="4" w:space="0" w:color="auto"/>
            </w:tcBorders>
            <w:shd w:val="clear" w:color="auto" w:fill="F2F2F2" w:themeFill="background1" w:themeFillShade="F2"/>
            <w:vAlign w:val="center"/>
          </w:tcPr>
          <w:p w14:paraId="3B353AAD" w14:textId="77E98BA2" w:rsidR="00E311FF" w:rsidRDefault="00744ABF" w:rsidP="008E6634">
            <w:pPr>
              <w:jc w:val="center"/>
              <w:rPr>
                <w:rFonts w:ascii="Times New Roman" w:hAnsi="Times New Roman" w:cs="Times New Roman"/>
                <w:lang w:val="en-IN"/>
              </w:rPr>
            </w:pPr>
            <w:r>
              <w:rPr>
                <w:rFonts w:ascii="Times New Roman" w:hAnsi="Times New Roman" w:cs="Times New Roman"/>
                <w:lang w:val="en-IN"/>
              </w:rPr>
              <w:t>F-stats</w:t>
            </w:r>
          </w:p>
        </w:tc>
        <w:tc>
          <w:tcPr>
            <w:tcW w:w="1083" w:type="dxa"/>
            <w:tcBorders>
              <w:top w:val="single" w:sz="4" w:space="0" w:color="auto"/>
              <w:bottom w:val="single" w:sz="4" w:space="0" w:color="auto"/>
            </w:tcBorders>
            <w:shd w:val="clear" w:color="auto" w:fill="F2F2F2" w:themeFill="background1" w:themeFillShade="F2"/>
            <w:vAlign w:val="center"/>
          </w:tcPr>
          <w:p w14:paraId="0418CE6D" w14:textId="2B229C6A" w:rsidR="00E311FF" w:rsidRDefault="00744ABF" w:rsidP="008E6634">
            <w:pPr>
              <w:jc w:val="center"/>
              <w:rPr>
                <w:rFonts w:ascii="Times New Roman" w:hAnsi="Times New Roman" w:cs="Times New Roman"/>
                <w:lang w:val="en-IN"/>
              </w:rPr>
            </w:pPr>
            <w:r>
              <w:rPr>
                <w:rFonts w:ascii="Times New Roman" w:hAnsi="Times New Roman" w:cs="Times New Roman"/>
                <w:lang w:val="en-IN"/>
              </w:rPr>
              <w:t>Prob.</w:t>
            </w:r>
          </w:p>
        </w:tc>
      </w:tr>
      <w:tr w:rsidR="00744ABF" w14:paraId="25EAC62A" w14:textId="77777777" w:rsidTr="008E6634">
        <w:tc>
          <w:tcPr>
            <w:tcW w:w="6091" w:type="dxa"/>
            <w:tcBorders>
              <w:top w:val="single" w:sz="4" w:space="0" w:color="auto"/>
              <w:bottom w:val="nil"/>
            </w:tcBorders>
            <w:shd w:val="clear" w:color="auto" w:fill="F2F2F2" w:themeFill="background1" w:themeFillShade="F2"/>
            <w:vAlign w:val="center"/>
          </w:tcPr>
          <w:p w14:paraId="7CF1F409" w14:textId="61E23CAF" w:rsidR="00744ABF" w:rsidRDefault="00000000"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p>
        </w:tc>
        <w:tc>
          <w:tcPr>
            <w:tcW w:w="850" w:type="dxa"/>
            <w:vMerge w:val="restart"/>
            <w:tcBorders>
              <w:top w:val="single" w:sz="4" w:space="0" w:color="auto"/>
              <w:bottom w:val="nil"/>
            </w:tcBorders>
            <w:shd w:val="clear" w:color="auto" w:fill="F2F2F2" w:themeFill="background1" w:themeFillShade="F2"/>
            <w:vAlign w:val="center"/>
          </w:tcPr>
          <w:p w14:paraId="692C0B42" w14:textId="5C605CB6" w:rsidR="00744ABF" w:rsidRDefault="008E6634" w:rsidP="008E6634">
            <w:pPr>
              <w:jc w:val="center"/>
              <w:rPr>
                <w:rFonts w:ascii="Times New Roman" w:hAnsi="Times New Roman" w:cs="Times New Roman"/>
                <w:lang w:val="en-IN"/>
              </w:rPr>
            </w:pPr>
            <w:r>
              <w:rPr>
                <w:rFonts w:ascii="Times New Roman" w:hAnsi="Times New Roman" w:cs="Times New Roman"/>
                <w:lang w:val="en-IN"/>
              </w:rPr>
              <w:t>141</w:t>
            </w:r>
          </w:p>
        </w:tc>
        <w:tc>
          <w:tcPr>
            <w:tcW w:w="992" w:type="dxa"/>
            <w:tcBorders>
              <w:top w:val="single" w:sz="4" w:space="0" w:color="auto"/>
              <w:bottom w:val="nil"/>
            </w:tcBorders>
            <w:shd w:val="clear" w:color="auto" w:fill="F2F2F2" w:themeFill="background1" w:themeFillShade="F2"/>
            <w:vAlign w:val="center"/>
          </w:tcPr>
          <w:p w14:paraId="59B8C4E8" w14:textId="629607EF" w:rsidR="00744ABF" w:rsidRDefault="00744ABF" w:rsidP="008E6634">
            <w:pPr>
              <w:jc w:val="center"/>
              <w:rPr>
                <w:rFonts w:ascii="Times New Roman" w:hAnsi="Times New Roman" w:cs="Times New Roman"/>
                <w:lang w:val="en-IN"/>
              </w:rPr>
            </w:pPr>
            <w:r w:rsidRPr="00394A68">
              <w:rPr>
                <w:rFonts w:ascii="Times New Roman" w:hAnsi="Times New Roman" w:cs="Times New Roman"/>
              </w:rPr>
              <w:t>3.82</w:t>
            </w:r>
            <w:r>
              <w:rPr>
                <w:rFonts w:ascii="Times New Roman" w:hAnsi="Times New Roman" w:cs="Times New Roman"/>
              </w:rPr>
              <w:t>5</w:t>
            </w:r>
          </w:p>
        </w:tc>
        <w:tc>
          <w:tcPr>
            <w:tcW w:w="1083" w:type="dxa"/>
            <w:tcBorders>
              <w:top w:val="single" w:sz="4" w:space="0" w:color="auto"/>
              <w:bottom w:val="nil"/>
            </w:tcBorders>
            <w:shd w:val="clear" w:color="auto" w:fill="F2F2F2" w:themeFill="background1" w:themeFillShade="F2"/>
            <w:vAlign w:val="center"/>
          </w:tcPr>
          <w:p w14:paraId="2066E1A2" w14:textId="0C6C47EB" w:rsidR="00744ABF" w:rsidRDefault="00744ABF" w:rsidP="008E6634">
            <w:pPr>
              <w:jc w:val="center"/>
              <w:rPr>
                <w:rFonts w:ascii="Times New Roman" w:hAnsi="Times New Roman" w:cs="Times New Roman"/>
                <w:lang w:val="en-IN"/>
              </w:rPr>
            </w:pPr>
            <w:r w:rsidRPr="00394A68">
              <w:rPr>
                <w:rFonts w:ascii="Times New Roman" w:hAnsi="Times New Roman" w:cs="Times New Roman"/>
              </w:rPr>
              <w:t>0.052</w:t>
            </w:r>
          </w:p>
        </w:tc>
      </w:tr>
      <w:tr w:rsidR="00744ABF" w14:paraId="44791D3F" w14:textId="77777777" w:rsidTr="008E6634">
        <w:tc>
          <w:tcPr>
            <w:tcW w:w="6091" w:type="dxa"/>
            <w:tcBorders>
              <w:bottom w:val="single" w:sz="4" w:space="0" w:color="auto"/>
            </w:tcBorders>
            <w:shd w:val="clear" w:color="auto" w:fill="F2F2F2" w:themeFill="background1" w:themeFillShade="F2"/>
            <w:vAlign w:val="center"/>
          </w:tcPr>
          <w:p w14:paraId="3AC10995" w14:textId="741AD6F4" w:rsidR="00744ABF" w:rsidRDefault="00000000"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p>
        </w:tc>
        <w:tc>
          <w:tcPr>
            <w:tcW w:w="850" w:type="dxa"/>
            <w:vMerge/>
            <w:tcBorders>
              <w:bottom w:val="single" w:sz="4" w:space="0" w:color="auto"/>
            </w:tcBorders>
            <w:shd w:val="clear" w:color="auto" w:fill="F2F2F2" w:themeFill="background1" w:themeFillShade="F2"/>
            <w:vAlign w:val="center"/>
          </w:tcPr>
          <w:p w14:paraId="1A99682E" w14:textId="77777777" w:rsidR="00744ABF" w:rsidRDefault="00744ABF" w:rsidP="008E6634">
            <w:pPr>
              <w:jc w:val="center"/>
              <w:rPr>
                <w:rFonts w:ascii="Times New Roman" w:hAnsi="Times New Roman" w:cs="Times New Roman"/>
                <w:lang w:val="en-IN"/>
              </w:rPr>
            </w:pPr>
          </w:p>
        </w:tc>
        <w:tc>
          <w:tcPr>
            <w:tcW w:w="992" w:type="dxa"/>
            <w:tcBorders>
              <w:bottom w:val="single" w:sz="4" w:space="0" w:color="auto"/>
            </w:tcBorders>
            <w:shd w:val="clear" w:color="auto" w:fill="F2F2F2" w:themeFill="background1" w:themeFillShade="F2"/>
            <w:vAlign w:val="center"/>
          </w:tcPr>
          <w:p w14:paraId="0A3E7864" w14:textId="3A93DAEF" w:rsidR="00744ABF" w:rsidRDefault="00744ABF" w:rsidP="008E6634">
            <w:pPr>
              <w:jc w:val="center"/>
              <w:rPr>
                <w:rFonts w:ascii="Times New Roman" w:hAnsi="Times New Roman" w:cs="Times New Roman"/>
                <w:lang w:val="en-IN"/>
              </w:rPr>
            </w:pPr>
            <w:r w:rsidRPr="00394A68">
              <w:rPr>
                <w:rFonts w:ascii="Times New Roman" w:hAnsi="Times New Roman" w:cs="Times New Roman"/>
              </w:rPr>
              <w:t>6.41</w:t>
            </w:r>
            <w:r>
              <w:rPr>
                <w:rFonts w:ascii="Times New Roman" w:hAnsi="Times New Roman" w:cs="Times New Roman"/>
              </w:rPr>
              <w:t>4</w:t>
            </w:r>
          </w:p>
        </w:tc>
        <w:tc>
          <w:tcPr>
            <w:tcW w:w="1083" w:type="dxa"/>
            <w:tcBorders>
              <w:bottom w:val="single" w:sz="4" w:space="0" w:color="auto"/>
            </w:tcBorders>
            <w:shd w:val="clear" w:color="auto" w:fill="F2F2F2" w:themeFill="background1" w:themeFillShade="F2"/>
            <w:vAlign w:val="center"/>
          </w:tcPr>
          <w:p w14:paraId="199D5957" w14:textId="79CC27F1" w:rsidR="00744ABF" w:rsidRDefault="00744ABF" w:rsidP="008E6634">
            <w:pPr>
              <w:jc w:val="center"/>
              <w:rPr>
                <w:rFonts w:ascii="Times New Roman" w:hAnsi="Times New Roman" w:cs="Times New Roman"/>
                <w:lang w:val="en-IN"/>
              </w:rPr>
            </w:pPr>
            <w:r w:rsidRPr="00394A68">
              <w:rPr>
                <w:rFonts w:ascii="Times New Roman" w:hAnsi="Times New Roman" w:cs="Times New Roman"/>
              </w:rPr>
              <w:t>0.012</w:t>
            </w:r>
          </w:p>
        </w:tc>
      </w:tr>
      <w:tr w:rsidR="00744ABF" w14:paraId="4A10E349" w14:textId="77777777" w:rsidTr="008E6634">
        <w:tc>
          <w:tcPr>
            <w:tcW w:w="6091" w:type="dxa"/>
            <w:tcBorders>
              <w:top w:val="single" w:sz="4" w:space="0" w:color="auto"/>
              <w:bottom w:val="nil"/>
            </w:tcBorders>
            <w:shd w:val="clear" w:color="auto" w:fill="F2F2F2" w:themeFill="background1" w:themeFillShade="F2"/>
            <w:vAlign w:val="center"/>
          </w:tcPr>
          <w:p w14:paraId="7563CE07" w14:textId="0F771F21" w:rsidR="00744ABF" w:rsidRDefault="00000000"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p>
        </w:tc>
        <w:tc>
          <w:tcPr>
            <w:tcW w:w="850" w:type="dxa"/>
            <w:vMerge w:val="restart"/>
            <w:tcBorders>
              <w:top w:val="single" w:sz="4" w:space="0" w:color="auto"/>
              <w:bottom w:val="nil"/>
            </w:tcBorders>
            <w:shd w:val="clear" w:color="auto" w:fill="F2F2F2" w:themeFill="background1" w:themeFillShade="F2"/>
            <w:vAlign w:val="center"/>
          </w:tcPr>
          <w:p w14:paraId="10E3E213" w14:textId="3AECF1D4" w:rsidR="00744ABF" w:rsidRDefault="008E6634" w:rsidP="008E6634">
            <w:pPr>
              <w:jc w:val="center"/>
              <w:rPr>
                <w:rFonts w:ascii="Times New Roman" w:hAnsi="Times New Roman" w:cs="Times New Roman"/>
                <w:lang w:val="en-IN"/>
              </w:rPr>
            </w:pPr>
            <w:r>
              <w:rPr>
                <w:rFonts w:ascii="Times New Roman" w:hAnsi="Times New Roman" w:cs="Times New Roman"/>
                <w:lang w:val="en-IN"/>
              </w:rPr>
              <w:t>141</w:t>
            </w:r>
          </w:p>
        </w:tc>
        <w:tc>
          <w:tcPr>
            <w:tcW w:w="992" w:type="dxa"/>
            <w:tcBorders>
              <w:top w:val="single" w:sz="4" w:space="0" w:color="auto"/>
              <w:bottom w:val="nil"/>
            </w:tcBorders>
            <w:shd w:val="clear" w:color="auto" w:fill="F2F2F2" w:themeFill="background1" w:themeFillShade="F2"/>
            <w:vAlign w:val="center"/>
          </w:tcPr>
          <w:p w14:paraId="1164AC60" w14:textId="42081C67" w:rsidR="00744ABF" w:rsidRDefault="00744ABF" w:rsidP="008E6634">
            <w:pPr>
              <w:jc w:val="center"/>
              <w:rPr>
                <w:rFonts w:ascii="Times New Roman" w:hAnsi="Times New Roman" w:cs="Times New Roman"/>
                <w:lang w:val="en-IN"/>
              </w:rPr>
            </w:pPr>
            <w:r>
              <w:rPr>
                <w:rFonts w:ascii="Times New Roman" w:hAnsi="Times New Roman" w:cs="Times New Roman"/>
                <w:lang w:val="en-IN"/>
              </w:rPr>
              <w:t>0.000</w:t>
            </w:r>
          </w:p>
        </w:tc>
        <w:tc>
          <w:tcPr>
            <w:tcW w:w="1083" w:type="dxa"/>
            <w:tcBorders>
              <w:top w:val="single" w:sz="4" w:space="0" w:color="auto"/>
              <w:bottom w:val="nil"/>
            </w:tcBorders>
            <w:shd w:val="clear" w:color="auto" w:fill="F2F2F2" w:themeFill="background1" w:themeFillShade="F2"/>
            <w:vAlign w:val="center"/>
          </w:tcPr>
          <w:p w14:paraId="5E359E90" w14:textId="6D55124E" w:rsidR="00744ABF" w:rsidRDefault="00744ABF" w:rsidP="008E6634">
            <w:pPr>
              <w:jc w:val="center"/>
              <w:rPr>
                <w:rFonts w:ascii="Times New Roman" w:hAnsi="Times New Roman" w:cs="Times New Roman"/>
                <w:lang w:val="en-IN"/>
              </w:rPr>
            </w:pPr>
            <w:r w:rsidRPr="00394A68">
              <w:rPr>
                <w:rFonts w:ascii="Times New Roman" w:hAnsi="Times New Roman" w:cs="Times New Roman"/>
              </w:rPr>
              <w:t>0.97</w:t>
            </w:r>
            <w:r>
              <w:rPr>
                <w:rFonts w:ascii="Times New Roman" w:hAnsi="Times New Roman" w:cs="Times New Roman"/>
              </w:rPr>
              <w:t>7</w:t>
            </w:r>
          </w:p>
        </w:tc>
      </w:tr>
      <w:tr w:rsidR="00744ABF" w14:paraId="04F58BF5" w14:textId="77777777" w:rsidTr="008E6634">
        <w:tc>
          <w:tcPr>
            <w:tcW w:w="6091" w:type="dxa"/>
            <w:tcBorders>
              <w:bottom w:val="single" w:sz="4" w:space="0" w:color="auto"/>
            </w:tcBorders>
            <w:shd w:val="clear" w:color="auto" w:fill="F2F2F2" w:themeFill="background1" w:themeFillShade="F2"/>
            <w:vAlign w:val="center"/>
          </w:tcPr>
          <w:p w14:paraId="04EC53B8" w14:textId="157C9944" w:rsidR="00744ABF" w:rsidRDefault="00000000" w:rsidP="008E6634">
            <w:pPr>
              <w:jc w:val="center"/>
              <w:rPr>
                <w:rFonts w:ascii="Times New Roman" w:hAnsi="Times New Roman" w:cs="Times New Roman"/>
                <w:lang w:val="en-IN"/>
              </w:rPr>
            </w:pP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r w:rsidR="00744ABF">
              <w:rPr>
                <w:rFonts w:ascii="Times New Roman" w:eastAsiaTheme="minorEastAsia"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w:p>
        </w:tc>
        <w:tc>
          <w:tcPr>
            <w:tcW w:w="850" w:type="dxa"/>
            <w:vMerge/>
            <w:tcBorders>
              <w:bottom w:val="single" w:sz="4" w:space="0" w:color="auto"/>
            </w:tcBorders>
            <w:shd w:val="clear" w:color="auto" w:fill="F2F2F2" w:themeFill="background1" w:themeFillShade="F2"/>
            <w:vAlign w:val="center"/>
          </w:tcPr>
          <w:p w14:paraId="79547868" w14:textId="77777777" w:rsidR="00744ABF" w:rsidRDefault="00744ABF" w:rsidP="008E6634">
            <w:pPr>
              <w:jc w:val="center"/>
              <w:rPr>
                <w:rFonts w:ascii="Times New Roman" w:hAnsi="Times New Roman" w:cs="Times New Roman"/>
                <w:lang w:val="en-IN"/>
              </w:rPr>
            </w:pPr>
          </w:p>
        </w:tc>
        <w:tc>
          <w:tcPr>
            <w:tcW w:w="992" w:type="dxa"/>
            <w:tcBorders>
              <w:bottom w:val="single" w:sz="4" w:space="0" w:color="auto"/>
            </w:tcBorders>
            <w:shd w:val="clear" w:color="auto" w:fill="F2F2F2" w:themeFill="background1" w:themeFillShade="F2"/>
            <w:vAlign w:val="center"/>
          </w:tcPr>
          <w:p w14:paraId="389C2152" w14:textId="71925B0A" w:rsidR="00744ABF" w:rsidRDefault="00744ABF" w:rsidP="008E6634">
            <w:pPr>
              <w:jc w:val="center"/>
              <w:rPr>
                <w:rFonts w:ascii="Times New Roman" w:hAnsi="Times New Roman" w:cs="Times New Roman"/>
                <w:lang w:val="en-IN"/>
              </w:rPr>
            </w:pPr>
            <w:r w:rsidRPr="00394A68">
              <w:rPr>
                <w:rFonts w:ascii="Times New Roman" w:hAnsi="Times New Roman" w:cs="Times New Roman"/>
              </w:rPr>
              <w:t>0.56</w:t>
            </w:r>
            <w:r>
              <w:rPr>
                <w:rFonts w:ascii="Times New Roman" w:hAnsi="Times New Roman" w:cs="Times New Roman"/>
              </w:rPr>
              <w:t>4</w:t>
            </w:r>
          </w:p>
        </w:tc>
        <w:tc>
          <w:tcPr>
            <w:tcW w:w="1083" w:type="dxa"/>
            <w:tcBorders>
              <w:bottom w:val="single" w:sz="4" w:space="0" w:color="auto"/>
            </w:tcBorders>
            <w:shd w:val="clear" w:color="auto" w:fill="F2F2F2" w:themeFill="background1" w:themeFillShade="F2"/>
            <w:vAlign w:val="center"/>
          </w:tcPr>
          <w:p w14:paraId="58B72439" w14:textId="1C959F99" w:rsidR="00744ABF" w:rsidRDefault="00744ABF" w:rsidP="008E6634">
            <w:pPr>
              <w:jc w:val="center"/>
              <w:rPr>
                <w:rFonts w:ascii="Times New Roman" w:hAnsi="Times New Roman" w:cs="Times New Roman"/>
                <w:lang w:val="en-IN"/>
              </w:rPr>
            </w:pPr>
            <w:r w:rsidRPr="00394A68">
              <w:rPr>
                <w:rFonts w:ascii="Times New Roman" w:hAnsi="Times New Roman" w:cs="Times New Roman"/>
              </w:rPr>
              <w:t>0.454</w:t>
            </w:r>
          </w:p>
        </w:tc>
      </w:tr>
      <w:tr w:rsidR="00744ABF" w14:paraId="6E054EA5" w14:textId="77777777" w:rsidTr="008E6634">
        <w:tc>
          <w:tcPr>
            <w:tcW w:w="6091" w:type="dxa"/>
            <w:tcBorders>
              <w:top w:val="single" w:sz="4" w:space="0" w:color="auto"/>
            </w:tcBorders>
            <w:shd w:val="clear" w:color="auto" w:fill="F2F2F2" w:themeFill="background1" w:themeFillShade="F2"/>
            <w:vAlign w:val="center"/>
          </w:tcPr>
          <w:p w14:paraId="7B86449A" w14:textId="085CF811" w:rsidR="00744ABF" w:rsidRDefault="00000000" w:rsidP="008E6634">
            <w:pPr>
              <w:jc w:val="center"/>
              <w:rPr>
                <w:rFonts w:ascii="Times New Roman" w:eastAsia="Aptos" w:hAnsi="Times New Roman" w:cs="Times New Roman"/>
              </w:rPr>
            </w:pP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r w:rsidR="00744ABF">
              <w:rPr>
                <w:rFonts w:ascii="Times New Roman" w:eastAsia="Aptos"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p>
        </w:tc>
        <w:tc>
          <w:tcPr>
            <w:tcW w:w="850" w:type="dxa"/>
            <w:vMerge w:val="restart"/>
            <w:tcBorders>
              <w:top w:val="single" w:sz="4" w:space="0" w:color="auto"/>
            </w:tcBorders>
            <w:shd w:val="clear" w:color="auto" w:fill="F2F2F2" w:themeFill="background1" w:themeFillShade="F2"/>
            <w:vAlign w:val="center"/>
          </w:tcPr>
          <w:p w14:paraId="6902C021" w14:textId="21E178C1" w:rsidR="00744ABF" w:rsidRDefault="008E6634" w:rsidP="008E6634">
            <w:pPr>
              <w:jc w:val="center"/>
              <w:rPr>
                <w:rFonts w:ascii="Times New Roman" w:hAnsi="Times New Roman" w:cs="Times New Roman"/>
                <w:lang w:val="en-IN"/>
              </w:rPr>
            </w:pPr>
            <w:r>
              <w:rPr>
                <w:rFonts w:ascii="Times New Roman" w:hAnsi="Times New Roman" w:cs="Times New Roman"/>
                <w:lang w:val="en-IN"/>
              </w:rPr>
              <w:t>141</w:t>
            </w:r>
          </w:p>
        </w:tc>
        <w:tc>
          <w:tcPr>
            <w:tcW w:w="992" w:type="dxa"/>
            <w:tcBorders>
              <w:top w:val="single" w:sz="4" w:space="0" w:color="auto"/>
            </w:tcBorders>
            <w:shd w:val="clear" w:color="auto" w:fill="F2F2F2" w:themeFill="background1" w:themeFillShade="F2"/>
            <w:vAlign w:val="center"/>
          </w:tcPr>
          <w:p w14:paraId="29919951" w14:textId="6C458FDC" w:rsidR="00744ABF" w:rsidRDefault="00744ABF" w:rsidP="008E6634">
            <w:pPr>
              <w:jc w:val="center"/>
              <w:rPr>
                <w:rFonts w:ascii="Times New Roman" w:hAnsi="Times New Roman" w:cs="Times New Roman"/>
                <w:lang w:val="en-IN"/>
              </w:rPr>
            </w:pPr>
            <w:r w:rsidRPr="00394A68">
              <w:rPr>
                <w:rFonts w:ascii="Times New Roman" w:hAnsi="Times New Roman" w:cs="Times New Roman"/>
              </w:rPr>
              <w:t>0.054</w:t>
            </w:r>
          </w:p>
        </w:tc>
        <w:tc>
          <w:tcPr>
            <w:tcW w:w="1083" w:type="dxa"/>
            <w:tcBorders>
              <w:top w:val="single" w:sz="4" w:space="0" w:color="auto"/>
            </w:tcBorders>
            <w:shd w:val="clear" w:color="auto" w:fill="F2F2F2" w:themeFill="background1" w:themeFillShade="F2"/>
            <w:vAlign w:val="center"/>
          </w:tcPr>
          <w:p w14:paraId="51B37E68" w14:textId="4A4A3BBA" w:rsidR="00744ABF" w:rsidRDefault="00744ABF" w:rsidP="008E6634">
            <w:pPr>
              <w:jc w:val="center"/>
              <w:rPr>
                <w:rFonts w:ascii="Times New Roman" w:hAnsi="Times New Roman" w:cs="Times New Roman"/>
                <w:lang w:val="en-IN"/>
              </w:rPr>
            </w:pPr>
            <w:r w:rsidRPr="00394A68">
              <w:rPr>
                <w:rFonts w:ascii="Times New Roman" w:hAnsi="Times New Roman" w:cs="Times New Roman"/>
              </w:rPr>
              <w:t>0.816</w:t>
            </w:r>
          </w:p>
        </w:tc>
      </w:tr>
      <w:tr w:rsidR="00744ABF" w14:paraId="27DDE05A" w14:textId="77777777" w:rsidTr="008E6634">
        <w:tc>
          <w:tcPr>
            <w:tcW w:w="6091" w:type="dxa"/>
            <w:shd w:val="clear" w:color="auto" w:fill="F2F2F2" w:themeFill="background1" w:themeFillShade="F2"/>
            <w:vAlign w:val="center"/>
          </w:tcPr>
          <w:p w14:paraId="520CA7F5" w14:textId="58C64A1D" w:rsidR="00744ABF" w:rsidRDefault="00000000" w:rsidP="008E6634">
            <w:pPr>
              <w:jc w:val="center"/>
              <w:rPr>
                <w:rFonts w:ascii="Times New Roman" w:eastAsia="Aptos" w:hAnsi="Times New Roman" w:cs="Times New Roman"/>
              </w:rPr>
            </w:pPr>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w:r w:rsidR="00744ABF">
              <w:rPr>
                <w:rFonts w:ascii="Times New Roman" w:eastAsia="Aptos" w:hAnsi="Times New Roman" w:cs="Times New Roman"/>
              </w:rPr>
              <w:t xml:space="preserve"> granger cause </w:t>
            </w:r>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w:p>
        </w:tc>
        <w:tc>
          <w:tcPr>
            <w:tcW w:w="850" w:type="dxa"/>
            <w:vMerge/>
            <w:shd w:val="clear" w:color="auto" w:fill="F2F2F2" w:themeFill="background1" w:themeFillShade="F2"/>
            <w:vAlign w:val="center"/>
          </w:tcPr>
          <w:p w14:paraId="4A943F5D" w14:textId="77777777" w:rsidR="00744ABF" w:rsidRDefault="00744ABF" w:rsidP="008E6634">
            <w:pPr>
              <w:jc w:val="center"/>
              <w:rPr>
                <w:rFonts w:ascii="Times New Roman" w:hAnsi="Times New Roman" w:cs="Times New Roman"/>
                <w:lang w:val="en-IN"/>
              </w:rPr>
            </w:pPr>
          </w:p>
        </w:tc>
        <w:tc>
          <w:tcPr>
            <w:tcW w:w="992" w:type="dxa"/>
            <w:shd w:val="clear" w:color="auto" w:fill="F2F2F2" w:themeFill="background1" w:themeFillShade="F2"/>
            <w:vAlign w:val="center"/>
          </w:tcPr>
          <w:p w14:paraId="344FB910" w14:textId="2BBE2E00" w:rsidR="00744ABF" w:rsidRDefault="00744ABF" w:rsidP="008E6634">
            <w:pPr>
              <w:jc w:val="center"/>
              <w:rPr>
                <w:rFonts w:ascii="Times New Roman" w:hAnsi="Times New Roman" w:cs="Times New Roman"/>
                <w:lang w:val="en-IN"/>
              </w:rPr>
            </w:pPr>
            <w:r w:rsidRPr="00394A68">
              <w:rPr>
                <w:rFonts w:ascii="Times New Roman" w:hAnsi="Times New Roman" w:cs="Times New Roman"/>
              </w:rPr>
              <w:t>2.039</w:t>
            </w:r>
          </w:p>
        </w:tc>
        <w:tc>
          <w:tcPr>
            <w:tcW w:w="1083" w:type="dxa"/>
            <w:shd w:val="clear" w:color="auto" w:fill="F2F2F2" w:themeFill="background1" w:themeFillShade="F2"/>
            <w:vAlign w:val="center"/>
          </w:tcPr>
          <w:p w14:paraId="717B7253" w14:textId="6F56AC39" w:rsidR="00744ABF" w:rsidRDefault="00744ABF" w:rsidP="008E6634">
            <w:pPr>
              <w:jc w:val="center"/>
              <w:rPr>
                <w:rFonts w:ascii="Times New Roman" w:hAnsi="Times New Roman" w:cs="Times New Roman"/>
                <w:lang w:val="en-IN"/>
              </w:rPr>
            </w:pPr>
            <w:r w:rsidRPr="00394A68">
              <w:rPr>
                <w:rFonts w:ascii="Times New Roman" w:hAnsi="Times New Roman" w:cs="Times New Roman"/>
              </w:rPr>
              <w:t>0.15</w:t>
            </w:r>
            <w:r>
              <w:rPr>
                <w:rFonts w:ascii="Times New Roman" w:hAnsi="Times New Roman" w:cs="Times New Roman"/>
              </w:rPr>
              <w:t>6</w:t>
            </w:r>
          </w:p>
        </w:tc>
      </w:tr>
    </w:tbl>
    <w:p w14:paraId="50F5B5DB" w14:textId="07E8C12C" w:rsidR="00E311FF" w:rsidRDefault="00BE149D" w:rsidP="00BE149D">
      <w:pPr>
        <w:spacing w:before="240" w:line="360" w:lineRule="auto"/>
        <w:jc w:val="both"/>
        <w:rPr>
          <w:rFonts w:ascii="Times New Roman" w:hAnsi="Times New Roman" w:cs="Times New Roman"/>
          <w:lang w:val="en-IN"/>
        </w:rPr>
      </w:pPr>
      <w:r>
        <w:rPr>
          <w:rFonts w:ascii="Times New Roman" w:hAnsi="Times New Roman" w:cs="Times New Roman"/>
          <w:lang w:val="en-IN"/>
        </w:rPr>
        <w:t xml:space="preserve">The result of granger causality shows that there is bivariate causation between fuel inflation and industrial production growth proving all the above results. While all the other sets have shown no causation at all. This is also a significant prove to justify the result of correlation matrix. </w:t>
      </w:r>
    </w:p>
    <w:p w14:paraId="5AC9D9AA" w14:textId="437C3B7C" w:rsidR="00BE149D" w:rsidRDefault="00BE149D" w:rsidP="00BE149D">
      <w:pPr>
        <w:spacing w:before="240" w:line="360" w:lineRule="auto"/>
        <w:jc w:val="both"/>
        <w:rPr>
          <w:rFonts w:ascii="Times New Roman" w:hAnsi="Times New Roman" w:cs="Times New Roman"/>
          <w:b/>
          <w:bCs/>
          <w:lang w:val="en-IN"/>
        </w:rPr>
      </w:pPr>
      <w:r>
        <w:rPr>
          <w:rFonts w:ascii="Times New Roman" w:hAnsi="Times New Roman" w:cs="Times New Roman"/>
          <w:b/>
          <w:bCs/>
          <w:lang w:val="en-IN"/>
        </w:rPr>
        <w:t>Conclusion</w:t>
      </w:r>
    </w:p>
    <w:p w14:paraId="024917D5" w14:textId="4342379B" w:rsidR="00600E23" w:rsidRDefault="0022384F" w:rsidP="004F2E76">
      <w:pPr>
        <w:spacing w:line="360" w:lineRule="auto"/>
        <w:jc w:val="both"/>
        <w:rPr>
          <w:rFonts w:ascii="Times New Roman" w:hAnsi="Times New Roman" w:cs="Times New Roman"/>
          <w:lang w:val="en-IN"/>
        </w:rPr>
      </w:pPr>
      <w:r>
        <w:rPr>
          <w:rFonts w:ascii="Times New Roman" w:hAnsi="Times New Roman" w:cs="Times New Roman"/>
          <w:lang w:val="en-IN"/>
        </w:rPr>
        <w:t xml:space="preserve">This paper tried to establish link between three very important macroeconomic agents which can hamper the growth of any developed or developing economy. In today’s scenario the fuel has become very important source of energy and </w:t>
      </w:r>
      <w:r w:rsidR="004D61D7">
        <w:rPr>
          <w:rFonts w:ascii="Times New Roman" w:hAnsi="Times New Roman" w:cs="Times New Roman"/>
          <w:lang w:val="en-IN"/>
        </w:rPr>
        <w:t>changing</w:t>
      </w:r>
      <w:r>
        <w:rPr>
          <w:rFonts w:ascii="Times New Roman" w:hAnsi="Times New Roman" w:cs="Times New Roman"/>
          <w:lang w:val="en-IN"/>
        </w:rPr>
        <w:t xml:space="preserve"> global dynamics ha</w:t>
      </w:r>
      <w:r w:rsidR="004D61D7">
        <w:rPr>
          <w:rFonts w:ascii="Times New Roman" w:hAnsi="Times New Roman" w:cs="Times New Roman"/>
          <w:lang w:val="en-IN"/>
        </w:rPr>
        <w:t>d</w:t>
      </w:r>
      <w:r>
        <w:rPr>
          <w:rFonts w:ascii="Times New Roman" w:hAnsi="Times New Roman" w:cs="Times New Roman"/>
          <w:lang w:val="en-IN"/>
        </w:rPr>
        <w:t xml:space="preserve"> made its price highly volatile. For </w:t>
      </w:r>
      <w:proofErr w:type="spellStart"/>
      <w:r>
        <w:rPr>
          <w:rFonts w:ascii="Times New Roman" w:hAnsi="Times New Roman" w:cs="Times New Roman"/>
          <w:lang w:val="en-IN"/>
        </w:rPr>
        <w:t>a</w:t>
      </w:r>
      <w:proofErr w:type="spellEnd"/>
      <w:r>
        <w:rPr>
          <w:rFonts w:ascii="Times New Roman" w:hAnsi="Times New Roman" w:cs="Times New Roman"/>
          <w:lang w:val="en-IN"/>
        </w:rPr>
        <w:t xml:space="preserve"> oil-importing country like, India analysing its impact on real sector variables become</w:t>
      </w:r>
      <w:r w:rsidR="004D61D7">
        <w:rPr>
          <w:rFonts w:ascii="Times New Roman" w:hAnsi="Times New Roman" w:cs="Times New Roman"/>
          <w:lang w:val="en-IN"/>
        </w:rPr>
        <w:t>s</w:t>
      </w:r>
      <w:r>
        <w:rPr>
          <w:rFonts w:ascii="Times New Roman" w:hAnsi="Times New Roman" w:cs="Times New Roman"/>
          <w:lang w:val="en-IN"/>
        </w:rPr>
        <w:t xml:space="preserve"> very important. </w:t>
      </w:r>
      <w:r w:rsidR="004D61D7">
        <w:rPr>
          <w:rFonts w:ascii="Times New Roman" w:hAnsi="Times New Roman" w:cs="Times New Roman"/>
          <w:lang w:val="en-IN"/>
        </w:rPr>
        <w:t>In this study it was found that there is a significant trade-off between fuel inflation and Industrial output in India. It was also found that</w:t>
      </w:r>
      <w:r w:rsidR="00600E23">
        <w:rPr>
          <w:rFonts w:ascii="Times New Roman" w:hAnsi="Times New Roman" w:cs="Times New Roman"/>
          <w:lang w:val="en-IN"/>
        </w:rPr>
        <w:t xml:space="preserve"> Indian industrial production has a high correlation with international fuel prices which is supported by the granger causality test and it proved that India’s industrial production can also cause changes in Internation fuel prices. This means Indian policymaker have a very difficult trade-off to tackle as they are not very independent for controlling these prices. However they have one policy move, in terms, of diplomacy to minimise the price volatility in favour of India so that Indian does not have to face high inflation rate which can be bad for the economy.</w:t>
      </w:r>
    </w:p>
    <w:p w14:paraId="5E5C179D" w14:textId="0E02D355" w:rsidR="00155968" w:rsidRDefault="00155968" w:rsidP="004F2E76">
      <w:pPr>
        <w:spacing w:line="360" w:lineRule="auto"/>
        <w:jc w:val="both"/>
        <w:rPr>
          <w:rFonts w:ascii="Times New Roman" w:hAnsi="Times New Roman" w:cs="Times New Roman"/>
          <w:lang w:val="en-IN"/>
        </w:rPr>
      </w:pPr>
    </w:p>
    <w:p w14:paraId="3AE5E787" w14:textId="77777777" w:rsidR="00155968" w:rsidRPr="00270720" w:rsidRDefault="00155968" w:rsidP="00155968">
      <w:pPr>
        <w:rPr>
          <w:highlight w:val="yellow"/>
        </w:rPr>
      </w:pPr>
      <w:r w:rsidRPr="00270720">
        <w:rPr>
          <w:highlight w:val="yellow"/>
        </w:rPr>
        <w:t>Disclaimer (Artificial intelligence)</w:t>
      </w:r>
    </w:p>
    <w:p w14:paraId="20EFF671" w14:textId="77777777" w:rsidR="00155968" w:rsidRPr="00270720" w:rsidRDefault="00155968" w:rsidP="00155968">
      <w:pPr>
        <w:rPr>
          <w:highlight w:val="yellow"/>
        </w:rPr>
      </w:pPr>
    </w:p>
    <w:p w14:paraId="30CE2312" w14:textId="77777777" w:rsidR="00155968" w:rsidRPr="00270720" w:rsidRDefault="00155968" w:rsidP="00155968">
      <w:pPr>
        <w:rPr>
          <w:highlight w:val="yellow"/>
        </w:rPr>
      </w:pPr>
      <w:r w:rsidRPr="00270720">
        <w:rPr>
          <w:highlight w:val="yellow"/>
        </w:rPr>
        <w:t xml:space="preserve">Option 1: </w:t>
      </w:r>
    </w:p>
    <w:p w14:paraId="6F243118" w14:textId="77777777" w:rsidR="00155968" w:rsidRPr="00270720" w:rsidRDefault="00155968" w:rsidP="00155968">
      <w:pPr>
        <w:rPr>
          <w:highlight w:val="yellow"/>
        </w:rPr>
      </w:pPr>
    </w:p>
    <w:p w14:paraId="5A7C5177" w14:textId="77777777" w:rsidR="00155968" w:rsidRPr="00270720" w:rsidRDefault="00155968" w:rsidP="00155968">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E4E23DC" w14:textId="77777777" w:rsidR="00155968" w:rsidRPr="00270720" w:rsidRDefault="00155968" w:rsidP="00155968">
      <w:pPr>
        <w:rPr>
          <w:highlight w:val="yellow"/>
        </w:rPr>
      </w:pPr>
    </w:p>
    <w:p w14:paraId="46C2A2C3" w14:textId="77777777" w:rsidR="00155968" w:rsidRPr="00270720" w:rsidRDefault="00155968" w:rsidP="00155968">
      <w:pPr>
        <w:rPr>
          <w:highlight w:val="yellow"/>
        </w:rPr>
      </w:pPr>
      <w:r w:rsidRPr="00270720">
        <w:rPr>
          <w:highlight w:val="yellow"/>
        </w:rPr>
        <w:t xml:space="preserve">Option 2: </w:t>
      </w:r>
    </w:p>
    <w:p w14:paraId="33EAE5C9" w14:textId="77777777" w:rsidR="00155968" w:rsidRPr="00270720" w:rsidRDefault="00155968" w:rsidP="00155968">
      <w:pPr>
        <w:rPr>
          <w:highlight w:val="yellow"/>
        </w:rPr>
      </w:pPr>
    </w:p>
    <w:p w14:paraId="557E2CC8" w14:textId="77777777" w:rsidR="00155968" w:rsidRPr="00270720" w:rsidRDefault="00155968" w:rsidP="00155968">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w:t>
      </w:r>
      <w:r w:rsidRPr="00270720">
        <w:rPr>
          <w:highlight w:val="yellow"/>
        </w:rPr>
        <w:lastRenderedPageBreak/>
        <w:t>explanation will include the name, version, model, and source of the generative AI technology and as well as all input prompts provided to the generative AI technology</w:t>
      </w:r>
    </w:p>
    <w:p w14:paraId="6488C98C" w14:textId="77777777" w:rsidR="00155968" w:rsidRPr="00270720" w:rsidRDefault="00155968" w:rsidP="00155968">
      <w:pPr>
        <w:rPr>
          <w:highlight w:val="yellow"/>
        </w:rPr>
      </w:pPr>
    </w:p>
    <w:p w14:paraId="6EA8F857" w14:textId="77777777" w:rsidR="00155968" w:rsidRPr="00270720" w:rsidRDefault="00155968" w:rsidP="00155968">
      <w:pPr>
        <w:rPr>
          <w:highlight w:val="yellow"/>
        </w:rPr>
      </w:pPr>
      <w:r w:rsidRPr="00270720">
        <w:rPr>
          <w:highlight w:val="yellow"/>
        </w:rPr>
        <w:t>Details of the AI usage are given below:</w:t>
      </w:r>
    </w:p>
    <w:p w14:paraId="634C24CE" w14:textId="77777777" w:rsidR="00155968" w:rsidRPr="00270720" w:rsidRDefault="00155968" w:rsidP="00155968">
      <w:pPr>
        <w:rPr>
          <w:highlight w:val="yellow"/>
        </w:rPr>
      </w:pPr>
      <w:r w:rsidRPr="00270720">
        <w:rPr>
          <w:highlight w:val="yellow"/>
        </w:rPr>
        <w:t>1.</w:t>
      </w:r>
    </w:p>
    <w:p w14:paraId="7B2CCEC5" w14:textId="77777777" w:rsidR="00155968" w:rsidRPr="00270720" w:rsidRDefault="00155968" w:rsidP="00155968">
      <w:pPr>
        <w:rPr>
          <w:highlight w:val="yellow"/>
        </w:rPr>
      </w:pPr>
      <w:r w:rsidRPr="00270720">
        <w:rPr>
          <w:highlight w:val="yellow"/>
        </w:rPr>
        <w:t>2.</w:t>
      </w:r>
    </w:p>
    <w:p w14:paraId="010556E7" w14:textId="77777777" w:rsidR="00155968" w:rsidRPr="00270720" w:rsidRDefault="00155968" w:rsidP="00155968">
      <w:r w:rsidRPr="00270720">
        <w:rPr>
          <w:highlight w:val="yellow"/>
        </w:rPr>
        <w:t>3.</w:t>
      </w:r>
    </w:p>
    <w:p w14:paraId="1D720992" w14:textId="77777777" w:rsidR="00155968" w:rsidRDefault="00155968" w:rsidP="004F2E76">
      <w:pPr>
        <w:spacing w:line="360" w:lineRule="auto"/>
        <w:jc w:val="both"/>
        <w:rPr>
          <w:rFonts w:ascii="Times New Roman" w:hAnsi="Times New Roman" w:cs="Times New Roman"/>
          <w:lang w:val="en-IN"/>
        </w:rPr>
      </w:pPr>
    </w:p>
    <w:p w14:paraId="73C04A83" w14:textId="4A412BBF" w:rsidR="00CA31FE" w:rsidRPr="0053041D" w:rsidRDefault="00CA31FE" w:rsidP="00CA31FE">
      <w:pPr>
        <w:spacing w:after="120" w:line="360" w:lineRule="auto"/>
        <w:jc w:val="both"/>
        <w:rPr>
          <w:rFonts w:ascii="Times New Roman" w:hAnsi="Times New Roman" w:cs="Times New Roman"/>
        </w:rPr>
      </w:pPr>
    </w:p>
    <w:sdt>
      <w:sdtPr>
        <w:id w:val="-101499886"/>
        <w:docPartObj>
          <w:docPartGallery w:val="Bibliographies"/>
          <w:docPartUnique/>
        </w:docPartObj>
      </w:sdtPr>
      <w:sdtEndPr>
        <w:rPr>
          <w:b/>
          <w:bCs/>
        </w:rPr>
      </w:sdtEndPr>
      <w:sdtContent>
        <w:p w14:paraId="577505CF" w14:textId="26D3F48E" w:rsidR="00202033" w:rsidRPr="00407BF8" w:rsidRDefault="00202033" w:rsidP="00202033">
          <w:pPr>
            <w:spacing w:before="240" w:after="240"/>
            <w:jc w:val="both"/>
          </w:pPr>
          <w:r w:rsidRPr="00202033">
            <w:rPr>
              <w:rFonts w:ascii="Times New Roman" w:hAnsi="Times New Roman" w:cs="Times New Roman"/>
              <w:b/>
              <w:bCs/>
            </w:rPr>
            <w:t>References</w:t>
          </w:r>
        </w:p>
        <w:p w14:paraId="72E73070" w14:textId="3826F5BA" w:rsidR="0074516E" w:rsidRPr="0074516E"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Abeysinghe, T. (2001). Estimation of Direct and Indirect Impact of Oil Price on Growth. </w:t>
          </w:r>
          <w:r w:rsidRPr="00202033">
            <w:rPr>
              <w:rFonts w:ascii="Times New Roman" w:hAnsi="Times New Roman" w:cs="Times New Roman"/>
              <w:i/>
              <w:iCs/>
              <w:noProof/>
              <w:lang w:val="en-GB"/>
            </w:rPr>
            <w:t>Economics Letters, 73</w:t>
          </w:r>
          <w:r w:rsidRPr="00202033">
            <w:rPr>
              <w:rFonts w:ascii="Times New Roman" w:hAnsi="Times New Roman" w:cs="Times New Roman"/>
              <w:noProof/>
              <w:lang w:val="en-GB"/>
            </w:rPr>
            <w:t>(2), 147-153.</w:t>
          </w:r>
        </w:p>
        <w:p w14:paraId="0A91108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Ajeigbe, O. M., &amp; Olomola, P. A. (2021). Linkage between Oil Price, Exchange Rate and the Trading Performance of Quoted Industrial Sectors in Nigeria. </w:t>
          </w:r>
          <w:r w:rsidRPr="00202033">
            <w:rPr>
              <w:rFonts w:ascii="Times New Roman" w:hAnsi="Times New Roman" w:cs="Times New Roman"/>
              <w:i/>
              <w:iCs/>
              <w:noProof/>
              <w:lang w:val="en-GB"/>
            </w:rPr>
            <w:t>Academic Letters</w:t>
          </w:r>
          <w:r w:rsidRPr="00202033">
            <w:rPr>
              <w:rFonts w:ascii="Times New Roman" w:hAnsi="Times New Roman" w:cs="Times New Roman"/>
              <w:noProof/>
              <w:lang w:val="en-GB"/>
            </w:rPr>
            <w:t>.</w:t>
          </w:r>
        </w:p>
        <w:p w14:paraId="4836399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Akram, M. (2011). </w:t>
          </w:r>
          <w:r w:rsidRPr="00202033">
            <w:rPr>
              <w:rFonts w:ascii="Times New Roman" w:hAnsi="Times New Roman" w:cs="Times New Roman"/>
              <w:i/>
              <w:iCs/>
              <w:noProof/>
              <w:lang w:val="en-GB"/>
            </w:rPr>
            <w:t>Do Crude Oil Price Changes affect Economics Growth of India, Pakistan and Bangladesh? A Multivariate Time Series Analysis.</w:t>
          </w:r>
          <w:r w:rsidRPr="00202033">
            <w:rPr>
              <w:rFonts w:ascii="Times New Roman" w:hAnsi="Times New Roman" w:cs="Times New Roman"/>
              <w:noProof/>
              <w:lang w:val="en-GB"/>
            </w:rPr>
            <w:t xml:space="preserve"> Högskolan Dalarna: Dalarna University School of Technology and Business Studies.</w:t>
          </w:r>
        </w:p>
        <w:p w14:paraId="57258318"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Al-Hajj, E., Al-Mulali, U., &amp; Solarin, S. A. (2021). Exploring the Nexus between Oil Price Shocks and Sectoral Stock Returns: A New Evidence from Stock Exchange in Malaysia. </w:t>
          </w:r>
          <w:r w:rsidRPr="00202033">
            <w:rPr>
              <w:rFonts w:ascii="Times New Roman" w:hAnsi="Times New Roman" w:cs="Times New Roman"/>
              <w:i/>
              <w:iCs/>
              <w:noProof/>
              <w:lang w:val="en-GB"/>
            </w:rPr>
            <w:t>Economic Change and Restructuring, 54</w:t>
          </w:r>
          <w:r w:rsidRPr="00202033">
            <w:rPr>
              <w:rFonts w:ascii="Times New Roman" w:hAnsi="Times New Roman" w:cs="Times New Roman"/>
              <w:noProof/>
              <w:lang w:val="en-GB"/>
            </w:rPr>
            <w:t>, 199-217.</w:t>
          </w:r>
        </w:p>
        <w:p w14:paraId="3DD0720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Al-Risheq, S. M. (2016). </w:t>
          </w:r>
          <w:r w:rsidRPr="00202033">
            <w:rPr>
              <w:rFonts w:ascii="Times New Roman" w:hAnsi="Times New Roman" w:cs="Times New Roman"/>
              <w:i/>
              <w:iCs/>
              <w:noProof/>
              <w:lang w:val="en-GB"/>
            </w:rPr>
            <w:t>The Impact of Oil Prices on Industrial Production in Developing Countries.</w:t>
          </w:r>
          <w:r w:rsidRPr="00202033">
            <w:rPr>
              <w:rFonts w:ascii="Times New Roman" w:hAnsi="Times New Roman" w:cs="Times New Roman"/>
              <w:noProof/>
              <w:lang w:val="en-GB"/>
            </w:rPr>
            <w:t xml:space="preserve"> Ontario: University of Ottawa.</w:t>
          </w:r>
        </w:p>
        <w:p w14:paraId="4F1E409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Bacon, R. (2005). The impact of higher oil prices on low-income countries and on the poor: Impacts and Policies. </w:t>
          </w:r>
          <w:r w:rsidRPr="00202033">
            <w:rPr>
              <w:rFonts w:ascii="Times New Roman" w:hAnsi="Times New Roman" w:cs="Times New Roman"/>
              <w:i/>
              <w:iCs/>
              <w:noProof/>
              <w:lang w:val="en-GB"/>
            </w:rPr>
            <w:t>ESMAP Knowledge Exchange Series (1)</w:t>
          </w:r>
          <w:r w:rsidRPr="00202033">
            <w:rPr>
              <w:rFonts w:ascii="Times New Roman" w:hAnsi="Times New Roman" w:cs="Times New Roman"/>
              <w:noProof/>
              <w:lang w:val="en-GB"/>
            </w:rPr>
            <w:t>.</w:t>
          </w:r>
        </w:p>
        <w:p w14:paraId="71888061"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Bhar, R., &amp; Mallik, G. (2010). Inflation, Inflation Uncertainty and Output Growth in the USA. </w:t>
          </w:r>
          <w:r w:rsidRPr="00202033">
            <w:rPr>
              <w:rFonts w:ascii="Times New Roman" w:hAnsi="Times New Roman" w:cs="Times New Roman"/>
              <w:i/>
              <w:iCs/>
              <w:noProof/>
              <w:lang w:val="en-GB"/>
            </w:rPr>
            <w:t>Physica A: Statistical Mechanics and its Applications, 389</w:t>
          </w:r>
          <w:r w:rsidRPr="00202033">
            <w:rPr>
              <w:rFonts w:ascii="Times New Roman" w:hAnsi="Times New Roman" w:cs="Times New Roman"/>
              <w:noProof/>
              <w:lang w:val="en-GB"/>
            </w:rPr>
            <w:t>(23), 5503-5510.</w:t>
          </w:r>
        </w:p>
        <w:p w14:paraId="381BDC46"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Bjørnland, H. C. (2009). Oil Price Shocks and Stock Market Booms in an Oil Exporting Country. </w:t>
          </w:r>
          <w:r w:rsidRPr="00202033">
            <w:rPr>
              <w:rFonts w:ascii="Times New Roman" w:hAnsi="Times New Roman" w:cs="Times New Roman"/>
              <w:i/>
              <w:iCs/>
              <w:noProof/>
              <w:lang w:val="en-GB"/>
            </w:rPr>
            <w:t>Scottish Journal of Political Economy, 56</w:t>
          </w:r>
          <w:r w:rsidRPr="00202033">
            <w:rPr>
              <w:rFonts w:ascii="Times New Roman" w:hAnsi="Times New Roman" w:cs="Times New Roman"/>
              <w:noProof/>
              <w:lang w:val="en-GB"/>
            </w:rPr>
            <w:t>(2), 232-254.</w:t>
          </w:r>
        </w:p>
        <w:p w14:paraId="7529A57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Blanchard, O. (1989). </w:t>
          </w:r>
          <w:r w:rsidRPr="00202033">
            <w:rPr>
              <w:rFonts w:ascii="Times New Roman" w:hAnsi="Times New Roman" w:cs="Times New Roman"/>
              <w:i/>
              <w:iCs/>
              <w:noProof/>
              <w:lang w:val="en-GB"/>
            </w:rPr>
            <w:t>Lectures on macroeconomics.</w:t>
          </w:r>
          <w:r w:rsidRPr="00202033">
            <w:rPr>
              <w:rFonts w:ascii="Times New Roman" w:hAnsi="Times New Roman" w:cs="Times New Roman"/>
              <w:noProof/>
              <w:lang w:val="en-GB"/>
            </w:rPr>
            <w:t xml:space="preserve"> MIT Press.</w:t>
          </w:r>
        </w:p>
        <w:p w14:paraId="779C7758"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Burno, M., &amp; Sachs, J. (1982). Input price shocks and the slowdown in economic growth: The case of U. K. manufacturing. </w:t>
          </w:r>
          <w:r w:rsidRPr="00202033">
            <w:rPr>
              <w:rFonts w:ascii="Times New Roman" w:hAnsi="Times New Roman" w:cs="Times New Roman"/>
              <w:i/>
              <w:iCs/>
              <w:noProof/>
              <w:lang w:val="en-GB"/>
            </w:rPr>
            <w:t>NBER Working Paper Series, Working Paper No. 851</w:t>
          </w:r>
          <w:r w:rsidRPr="00202033">
            <w:rPr>
              <w:rFonts w:ascii="Times New Roman" w:hAnsi="Times New Roman" w:cs="Times New Roman"/>
              <w:noProof/>
              <w:lang w:val="en-GB"/>
            </w:rPr>
            <w:t>.</w:t>
          </w:r>
        </w:p>
        <w:p w14:paraId="0BECFA03"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Carlton, A. B. (2010). </w:t>
          </w:r>
          <w:r w:rsidRPr="00202033">
            <w:rPr>
              <w:rFonts w:ascii="Times New Roman" w:hAnsi="Times New Roman" w:cs="Times New Roman"/>
              <w:i/>
              <w:iCs/>
              <w:noProof/>
              <w:lang w:val="en-GB"/>
            </w:rPr>
            <w:t>Oil Price and Real-time Output Growth.</w:t>
          </w:r>
          <w:r w:rsidRPr="00202033">
            <w:rPr>
              <w:rFonts w:ascii="Times New Roman" w:hAnsi="Times New Roman" w:cs="Times New Roman"/>
              <w:noProof/>
              <w:lang w:val="en-GB"/>
            </w:rPr>
            <w:t xml:space="preserve"> University of Houston.</w:t>
          </w:r>
        </w:p>
        <w:p w14:paraId="2BFB68EC"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De, U. K., &amp; Mallik, G. (2024). Crude Oil Price, Manufacturing Index and Consumer Price Index: Is there any Temporal Link in India. </w:t>
          </w:r>
          <w:r w:rsidRPr="00202033">
            <w:rPr>
              <w:rFonts w:ascii="Times New Roman" w:hAnsi="Times New Roman" w:cs="Times New Roman"/>
              <w:i/>
              <w:iCs/>
              <w:noProof/>
              <w:lang w:val="en-GB"/>
            </w:rPr>
            <w:t>IIMB Management Review, 36</w:t>
          </w:r>
          <w:r w:rsidRPr="00202033">
            <w:rPr>
              <w:rFonts w:ascii="Times New Roman" w:hAnsi="Times New Roman" w:cs="Times New Roman"/>
              <w:noProof/>
              <w:lang w:val="en-GB"/>
            </w:rPr>
            <w:t>, 137-145.</w:t>
          </w:r>
        </w:p>
        <w:p w14:paraId="55762798" w14:textId="3308C7D6" w:rsidR="00202033" w:rsidRPr="00202033" w:rsidRDefault="00202033" w:rsidP="00202033">
          <w:pPr>
            <w:pStyle w:val="Bibliography"/>
            <w:spacing w:before="120" w:line="276" w:lineRule="auto"/>
            <w:ind w:left="720" w:hanging="720"/>
            <w:jc w:val="both"/>
            <w:rPr>
              <w:rFonts w:ascii="Times New Roman" w:hAnsi="Times New Roman" w:cs="Times New Roman"/>
              <w:noProof/>
              <w:kern w:val="0"/>
              <w:lang w:val="en-GB"/>
              <w14:ligatures w14:val="none"/>
            </w:rPr>
          </w:pPr>
          <w:r w:rsidRPr="00202033">
            <w:rPr>
              <w:rFonts w:ascii="Times New Roman" w:hAnsi="Times New Roman" w:cs="Times New Roman"/>
            </w:rPr>
            <w:fldChar w:fldCharType="begin"/>
          </w:r>
          <w:r w:rsidRPr="00202033">
            <w:rPr>
              <w:rFonts w:ascii="Times New Roman" w:hAnsi="Times New Roman" w:cs="Times New Roman"/>
            </w:rPr>
            <w:instrText xml:space="preserve"> BIBLIOGRAPHY </w:instrText>
          </w:r>
          <w:r w:rsidRPr="00202033">
            <w:rPr>
              <w:rFonts w:ascii="Times New Roman" w:hAnsi="Times New Roman" w:cs="Times New Roman"/>
            </w:rPr>
            <w:fldChar w:fldCharType="separate"/>
          </w:r>
          <w:r w:rsidRPr="00202033">
            <w:rPr>
              <w:rFonts w:ascii="Times New Roman" w:hAnsi="Times New Roman" w:cs="Times New Roman"/>
              <w:noProof/>
              <w:lang w:val="en-GB"/>
            </w:rPr>
            <w:t xml:space="preserve">Dickey, D. A., &amp; Fuller, W. A. (1981). Likelihood Ratio Statistics for Autoregressive Time Series with a Unit Root. </w:t>
          </w:r>
          <w:r w:rsidRPr="00202033">
            <w:rPr>
              <w:rFonts w:ascii="Times New Roman" w:hAnsi="Times New Roman" w:cs="Times New Roman"/>
              <w:i/>
              <w:iCs/>
              <w:noProof/>
              <w:lang w:val="en-GB"/>
            </w:rPr>
            <w:t>Econometrica, 49</w:t>
          </w:r>
          <w:r w:rsidRPr="00202033">
            <w:rPr>
              <w:rFonts w:ascii="Times New Roman" w:hAnsi="Times New Roman" w:cs="Times New Roman"/>
              <w:noProof/>
              <w:lang w:val="en-GB"/>
            </w:rPr>
            <w:t>, 1057–1072.</w:t>
          </w:r>
        </w:p>
        <w:p w14:paraId="5DC7358D"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lastRenderedPageBreak/>
            <w:t xml:space="preserve">Du, L., He, Y., &amp; Wei, C. (2010). The Relationship between Oil Price Shocks and China's Macro-economy: An Empirical Analysis. </w:t>
          </w:r>
          <w:r w:rsidRPr="00202033">
            <w:rPr>
              <w:rFonts w:ascii="Times New Roman" w:hAnsi="Times New Roman" w:cs="Times New Roman"/>
              <w:i/>
              <w:iCs/>
              <w:noProof/>
              <w:lang w:val="en-GB"/>
            </w:rPr>
            <w:t>Energy Policy, 38</w:t>
          </w:r>
          <w:r w:rsidRPr="00202033">
            <w:rPr>
              <w:rFonts w:ascii="Times New Roman" w:hAnsi="Times New Roman" w:cs="Times New Roman"/>
              <w:noProof/>
              <w:lang w:val="en-GB"/>
            </w:rPr>
            <w:t>(8), 4142-4151.</w:t>
          </w:r>
        </w:p>
        <w:p w14:paraId="4110598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Farzanegan, M. R., &amp; Markwardt, G. (2008). The Effects of Oil Price Shocks on the Iranian Economy. </w:t>
          </w:r>
          <w:r w:rsidRPr="00202033">
            <w:rPr>
              <w:rFonts w:ascii="Times New Roman" w:hAnsi="Times New Roman" w:cs="Times New Roman"/>
              <w:i/>
              <w:iCs/>
              <w:noProof/>
              <w:lang w:val="en-GB"/>
            </w:rPr>
            <w:t>Dresden Discussion Paper, 15/08</w:t>
          </w:r>
          <w:r w:rsidRPr="00202033">
            <w:rPr>
              <w:rFonts w:ascii="Times New Roman" w:hAnsi="Times New Roman" w:cs="Times New Roman"/>
              <w:noProof/>
              <w:lang w:val="en-GB"/>
            </w:rPr>
            <w:t>.</w:t>
          </w:r>
        </w:p>
        <w:p w14:paraId="4A76770A"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Gisser, M., &amp; Goodwin, T. H. (1986). Crude Oil and the Macroeconomy: Tests of Some Popular Notions. </w:t>
          </w:r>
          <w:r w:rsidRPr="00202033">
            <w:rPr>
              <w:rFonts w:ascii="Times New Roman" w:hAnsi="Times New Roman" w:cs="Times New Roman"/>
              <w:i/>
              <w:iCs/>
              <w:noProof/>
              <w:lang w:val="en-GB"/>
            </w:rPr>
            <w:t>Journal of Money, Credit and Banking, 18</w:t>
          </w:r>
          <w:r w:rsidRPr="00202033">
            <w:rPr>
              <w:rFonts w:ascii="Times New Roman" w:hAnsi="Times New Roman" w:cs="Times New Roman"/>
              <w:noProof/>
              <w:lang w:val="en-GB"/>
            </w:rPr>
            <w:t>(1), 95-103.</w:t>
          </w:r>
        </w:p>
        <w:p w14:paraId="6C150786"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Gokmenoglu, K., Azin, V., &amp; Taspinar, N. (2015). The Relationship between Industrial Production, GDP, Inflation and Oil Price: The Case of Turkey. </w:t>
          </w:r>
          <w:r w:rsidRPr="00202033">
            <w:rPr>
              <w:rFonts w:ascii="Times New Roman" w:hAnsi="Times New Roman" w:cs="Times New Roman"/>
              <w:i/>
              <w:iCs/>
              <w:noProof/>
              <w:lang w:val="en-GB"/>
            </w:rPr>
            <w:t>Procedia: Economics and Finance, 25</w:t>
          </w:r>
          <w:r w:rsidRPr="00202033">
            <w:rPr>
              <w:rFonts w:ascii="Times New Roman" w:hAnsi="Times New Roman" w:cs="Times New Roman"/>
              <w:noProof/>
              <w:lang w:val="en-GB"/>
            </w:rPr>
            <w:t>, 497-503.</w:t>
          </w:r>
        </w:p>
        <w:p w14:paraId="78576F9C"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Granger, C. (1986). Developments in the Study of Cointegrated Economic Variables. </w:t>
          </w:r>
          <w:r w:rsidRPr="00202033">
            <w:rPr>
              <w:rFonts w:ascii="Times New Roman" w:hAnsi="Times New Roman" w:cs="Times New Roman"/>
              <w:i/>
              <w:iCs/>
              <w:noProof/>
              <w:lang w:val="en-GB"/>
            </w:rPr>
            <w:t>Oxford Bulletin of Economics and Statistics, 48</w:t>
          </w:r>
          <w:r w:rsidRPr="00202033">
            <w:rPr>
              <w:rFonts w:ascii="Times New Roman" w:hAnsi="Times New Roman" w:cs="Times New Roman"/>
              <w:noProof/>
              <w:lang w:val="en-GB"/>
            </w:rPr>
            <w:t>(3), 213-228.</w:t>
          </w:r>
        </w:p>
        <w:p w14:paraId="012A6331"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Hamilton, J. D. (1983). Oil and the Macroeconomy since World War II. </w:t>
          </w:r>
          <w:r w:rsidRPr="00202033">
            <w:rPr>
              <w:rFonts w:ascii="Times New Roman" w:hAnsi="Times New Roman" w:cs="Times New Roman"/>
              <w:i/>
              <w:iCs/>
              <w:noProof/>
              <w:lang w:val="en-GB"/>
            </w:rPr>
            <w:t>Journal of Political Economy, 91</w:t>
          </w:r>
          <w:r w:rsidRPr="00202033">
            <w:rPr>
              <w:rFonts w:ascii="Times New Roman" w:hAnsi="Times New Roman" w:cs="Times New Roman"/>
              <w:noProof/>
              <w:lang w:val="en-GB"/>
            </w:rPr>
            <w:t>(2), 228-248.</w:t>
          </w:r>
        </w:p>
        <w:p w14:paraId="37EDEDBE"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Harrera, A. M., Lagalo, L. G., &amp; Wada, T. (2011). Oil Price Shocks and Industrial Production: Is the Relationship Linear? </w:t>
          </w:r>
          <w:r w:rsidRPr="00202033">
            <w:rPr>
              <w:rFonts w:ascii="Times New Roman" w:hAnsi="Times New Roman" w:cs="Times New Roman"/>
              <w:i/>
              <w:iCs/>
              <w:noProof/>
              <w:lang w:val="en-GB"/>
            </w:rPr>
            <w:t>Macroeconomic Dynamics, 15</w:t>
          </w:r>
          <w:r w:rsidRPr="00202033">
            <w:rPr>
              <w:rFonts w:ascii="Times New Roman" w:hAnsi="Times New Roman" w:cs="Times New Roman"/>
              <w:noProof/>
              <w:lang w:val="en-GB"/>
            </w:rPr>
            <w:t>(Suppl 3), 427-497.</w:t>
          </w:r>
        </w:p>
        <w:p w14:paraId="6204E32A"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Hooker, M. (1996). What happened to the Oil Price - Macroeconomy Relationships? </w:t>
          </w:r>
          <w:r w:rsidRPr="00202033">
            <w:rPr>
              <w:rFonts w:ascii="Times New Roman" w:hAnsi="Times New Roman" w:cs="Times New Roman"/>
              <w:i/>
              <w:iCs/>
              <w:noProof/>
              <w:lang w:val="en-GB"/>
            </w:rPr>
            <w:t>Journal of Monetary. Economics, 38</w:t>
          </w:r>
          <w:r w:rsidRPr="00202033">
            <w:rPr>
              <w:rFonts w:ascii="Times New Roman" w:hAnsi="Times New Roman" w:cs="Times New Roman"/>
              <w:noProof/>
              <w:lang w:val="en-GB"/>
            </w:rPr>
            <w:t>, 195-213.</w:t>
          </w:r>
        </w:p>
        <w:p w14:paraId="708BB16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Hsieh, W. (2008). Effects of Oil Price Shocks and Macroeconomic Conditions on Output Fluctuations for Korea. </w:t>
          </w:r>
          <w:r w:rsidRPr="00202033">
            <w:rPr>
              <w:rFonts w:ascii="Times New Roman" w:hAnsi="Times New Roman" w:cs="Times New Roman"/>
              <w:i/>
              <w:iCs/>
              <w:noProof/>
              <w:lang w:val="en-GB"/>
            </w:rPr>
            <w:t>Journal of International and Global Economic Studies, 1</w:t>
          </w:r>
          <w:r w:rsidRPr="00202033">
            <w:rPr>
              <w:rFonts w:ascii="Times New Roman" w:hAnsi="Times New Roman" w:cs="Times New Roman"/>
              <w:noProof/>
              <w:lang w:val="en-GB"/>
            </w:rPr>
            <w:t>(2), 84-91.</w:t>
          </w:r>
        </w:p>
        <w:p w14:paraId="0F750A9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Jiménez-Rodríguez, R., &amp; Sànchez, M. (2004). Oil Prices Shocks and Real GDP Growth: Empirical Evidence for some OECD Countries. </w:t>
          </w:r>
          <w:r w:rsidRPr="00202033">
            <w:rPr>
              <w:rFonts w:ascii="Times New Roman" w:hAnsi="Times New Roman" w:cs="Times New Roman"/>
              <w:i/>
              <w:iCs/>
              <w:noProof/>
              <w:lang w:val="en-GB"/>
            </w:rPr>
            <w:t>European Central Bank Working Paper Series, 362</w:t>
          </w:r>
          <w:r w:rsidRPr="00202033">
            <w:rPr>
              <w:rFonts w:ascii="Times New Roman" w:hAnsi="Times New Roman" w:cs="Times New Roman"/>
              <w:noProof/>
              <w:lang w:val="en-GB"/>
            </w:rPr>
            <w:t>.</w:t>
          </w:r>
        </w:p>
        <w:p w14:paraId="4CB88EAF"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Jiranyakul, K. (2017). The Response of Industrial Production to the Price of Oil: New Evidence for Thailand. </w:t>
          </w:r>
          <w:r w:rsidRPr="00202033">
            <w:rPr>
              <w:rFonts w:ascii="Times New Roman" w:hAnsi="Times New Roman" w:cs="Times New Roman"/>
              <w:i/>
              <w:iCs/>
              <w:noProof/>
              <w:lang w:val="en-GB"/>
            </w:rPr>
            <w:t>Turkish Economic Review, 4</w:t>
          </w:r>
          <w:r w:rsidRPr="00202033">
            <w:rPr>
              <w:rFonts w:ascii="Times New Roman" w:hAnsi="Times New Roman" w:cs="Times New Roman"/>
              <w:noProof/>
              <w:lang w:val="en-GB"/>
            </w:rPr>
            <w:t>(2), 193-204.</w:t>
          </w:r>
        </w:p>
        <w:p w14:paraId="358D714B"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Johnny, N., Timipere, E. T., Ayunku, P. E., &amp; Peter, E. G. (2018). Impact of Crude Oil Price Changes on Economic Growth in Nigeria (1980-2014). </w:t>
          </w:r>
          <w:r w:rsidRPr="00202033">
            <w:rPr>
              <w:rFonts w:ascii="Times New Roman" w:hAnsi="Times New Roman" w:cs="Times New Roman"/>
              <w:i/>
              <w:iCs/>
              <w:noProof/>
              <w:lang w:val="en-GB"/>
            </w:rPr>
            <w:t>International Journal of Social Relevance and Concern, 6</w:t>
          </w:r>
          <w:r w:rsidRPr="00202033">
            <w:rPr>
              <w:rFonts w:ascii="Times New Roman" w:hAnsi="Times New Roman" w:cs="Times New Roman"/>
              <w:noProof/>
              <w:lang w:val="en-GB"/>
            </w:rPr>
            <w:t>(5), 9-42.</w:t>
          </w:r>
        </w:p>
        <w:p w14:paraId="469A956E"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Kilian, L. (2008). Exogenous Oil Supply Shocks: How Big are ther and How much do they Matter for the U. S. Economy? </w:t>
          </w:r>
          <w:r w:rsidRPr="00202033">
            <w:rPr>
              <w:rFonts w:ascii="Times New Roman" w:hAnsi="Times New Roman" w:cs="Times New Roman"/>
              <w:i/>
              <w:iCs/>
              <w:noProof/>
              <w:lang w:val="en-GB"/>
            </w:rPr>
            <w:t>Review of Economics and Statistics, 90</w:t>
          </w:r>
          <w:r w:rsidRPr="00202033">
            <w:rPr>
              <w:rFonts w:ascii="Times New Roman" w:hAnsi="Times New Roman" w:cs="Times New Roman"/>
              <w:noProof/>
              <w:lang w:val="en-GB"/>
            </w:rPr>
            <w:t>(2), 216-240.</w:t>
          </w:r>
        </w:p>
        <w:p w14:paraId="0ABFFD6A"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Kisswani, A. (2017). </w:t>
          </w:r>
          <w:r w:rsidRPr="00202033">
            <w:rPr>
              <w:rFonts w:ascii="Times New Roman" w:hAnsi="Times New Roman" w:cs="Times New Roman"/>
              <w:i/>
              <w:iCs/>
              <w:noProof/>
              <w:lang w:val="en-GB"/>
            </w:rPr>
            <w:t>The Effect of Oil Prices on Workforce in Selected Organization for Economic Cooperation and Development (OECD) Countries.</w:t>
          </w:r>
          <w:r w:rsidRPr="00202033">
            <w:rPr>
              <w:rFonts w:ascii="Times New Roman" w:hAnsi="Times New Roman" w:cs="Times New Roman"/>
              <w:noProof/>
              <w:lang w:val="en-GB"/>
            </w:rPr>
            <w:t xml:space="preserve"> Las Vegas: University of Nevada.</w:t>
          </w:r>
        </w:p>
        <w:p w14:paraId="24A3B670"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Kumar, S. (2009). The Macroeconomic Effects of Oil Price Shocks: Empirical Evidence for India. </w:t>
          </w:r>
          <w:r w:rsidRPr="00202033">
            <w:rPr>
              <w:rFonts w:ascii="Times New Roman" w:hAnsi="Times New Roman" w:cs="Times New Roman"/>
              <w:i/>
              <w:iCs/>
              <w:noProof/>
              <w:lang w:val="en-GB"/>
            </w:rPr>
            <w:t>Economic Bulletin, 29</w:t>
          </w:r>
          <w:r w:rsidRPr="00202033">
            <w:rPr>
              <w:rFonts w:ascii="Times New Roman" w:hAnsi="Times New Roman" w:cs="Times New Roman"/>
              <w:noProof/>
              <w:lang w:val="en-GB"/>
            </w:rPr>
            <w:t>, 15-37.</w:t>
          </w:r>
        </w:p>
        <w:p w14:paraId="412D450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Malik, A. (2008). Crude Oil Price, Monetary Policy and Output: Case of Pakistan. </w:t>
          </w:r>
          <w:r w:rsidRPr="00202033">
            <w:rPr>
              <w:rFonts w:ascii="Times New Roman" w:hAnsi="Times New Roman" w:cs="Times New Roman"/>
              <w:i/>
              <w:iCs/>
              <w:noProof/>
              <w:lang w:val="en-GB"/>
            </w:rPr>
            <w:t>The Pakistan Development Review, 47</w:t>
          </w:r>
          <w:r w:rsidRPr="00202033">
            <w:rPr>
              <w:rFonts w:ascii="Times New Roman" w:hAnsi="Times New Roman" w:cs="Times New Roman"/>
              <w:noProof/>
              <w:lang w:val="en-GB"/>
            </w:rPr>
            <w:t>(4), 425-436.</w:t>
          </w:r>
        </w:p>
        <w:p w14:paraId="12C83C47"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lastRenderedPageBreak/>
            <w:t xml:space="preserve">Mork, K., Olsen, O., &amp; Mysen, H. (1994). Macroeconomic Responses to Oil Price increases and decreases in Seven OECD Countires. </w:t>
          </w:r>
          <w:r w:rsidRPr="00202033">
            <w:rPr>
              <w:rFonts w:ascii="Times New Roman" w:hAnsi="Times New Roman" w:cs="Times New Roman"/>
              <w:i/>
              <w:iCs/>
              <w:noProof/>
              <w:lang w:val="en-GB"/>
            </w:rPr>
            <w:t>Energy Journal, 15</w:t>
          </w:r>
          <w:r w:rsidRPr="00202033">
            <w:rPr>
              <w:rFonts w:ascii="Times New Roman" w:hAnsi="Times New Roman" w:cs="Times New Roman"/>
              <w:noProof/>
              <w:lang w:val="en-GB"/>
            </w:rPr>
            <w:t>, 19-35.</w:t>
          </w:r>
        </w:p>
        <w:p w14:paraId="40EDAC04"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Nawaz, M. (2012). The Impact of Exchange Rate on Output Level: Bounds Test Approach for Pakistan. </w:t>
          </w:r>
          <w:r w:rsidRPr="00202033">
            <w:rPr>
              <w:rFonts w:ascii="Times New Roman" w:hAnsi="Times New Roman" w:cs="Times New Roman"/>
              <w:i/>
              <w:iCs/>
              <w:noProof/>
              <w:lang w:val="en-GB"/>
            </w:rPr>
            <w:t>The Pakistan Development Review, 51</w:t>
          </w:r>
          <w:r w:rsidRPr="00202033">
            <w:rPr>
              <w:rFonts w:ascii="Times New Roman" w:hAnsi="Times New Roman" w:cs="Times New Roman"/>
              <w:noProof/>
              <w:lang w:val="en-GB"/>
            </w:rPr>
            <w:t>(4), 419-434.</w:t>
          </w:r>
        </w:p>
        <w:p w14:paraId="34BA70FD"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Pesaran, M. H., &amp; Shin, Y. (1999). An Autoregressive Distributed Lag Modelling Approach to Cointegration Analysis. (S. Strom, Ed.) </w:t>
          </w:r>
          <w:r w:rsidRPr="00202033">
            <w:rPr>
              <w:rFonts w:ascii="Times New Roman" w:hAnsi="Times New Roman" w:cs="Times New Roman"/>
              <w:i/>
              <w:iCs/>
              <w:noProof/>
              <w:lang w:val="en-GB"/>
            </w:rPr>
            <w:t>In Econometrics and Economic Theory in the 20th Century: The Ragnar Frisch Centennial Symposium</w:t>
          </w:r>
          <w:r w:rsidRPr="00202033">
            <w:rPr>
              <w:rFonts w:ascii="Times New Roman" w:hAnsi="Times New Roman" w:cs="Times New Roman"/>
              <w:noProof/>
              <w:lang w:val="en-GB"/>
            </w:rPr>
            <w:t>.</w:t>
          </w:r>
        </w:p>
        <w:p w14:paraId="1C710E89" w14:textId="77777777" w:rsidR="0074516E" w:rsidRPr="00202033" w:rsidRDefault="0074516E" w:rsidP="0074516E">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Pesaran, M. H., Shin, Y., &amp; Smith, R. J. (2001). Bounds Testing Approaches to the Analysis of Level Relationships. </w:t>
          </w:r>
          <w:r w:rsidRPr="00202033">
            <w:rPr>
              <w:rFonts w:ascii="Times New Roman" w:hAnsi="Times New Roman" w:cs="Times New Roman"/>
              <w:i/>
              <w:iCs/>
              <w:noProof/>
              <w:lang w:val="en-GB"/>
            </w:rPr>
            <w:t>Journal of Applied Econometrics, 16</w:t>
          </w:r>
          <w:r w:rsidRPr="00202033">
            <w:rPr>
              <w:rFonts w:ascii="Times New Roman" w:hAnsi="Times New Roman" w:cs="Times New Roman"/>
              <w:noProof/>
              <w:lang w:val="en-GB"/>
            </w:rPr>
            <w:t>(3), 289-326.</w:t>
          </w:r>
        </w:p>
        <w:p w14:paraId="30D9C491" w14:textId="77777777" w:rsidR="00202033" w:rsidRPr="00202033" w:rsidRDefault="00202033" w:rsidP="00202033">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Phillips, P., &amp; Parron, P. (1988). Testing for a unit root in time series regression. </w:t>
          </w:r>
          <w:r w:rsidRPr="00202033">
            <w:rPr>
              <w:rFonts w:ascii="Times New Roman" w:hAnsi="Times New Roman" w:cs="Times New Roman"/>
              <w:i/>
              <w:iCs/>
              <w:noProof/>
              <w:lang w:val="en-GB"/>
            </w:rPr>
            <w:t>Biometrika, 75</w:t>
          </w:r>
          <w:r w:rsidRPr="00202033">
            <w:rPr>
              <w:rFonts w:ascii="Times New Roman" w:hAnsi="Times New Roman" w:cs="Times New Roman"/>
              <w:noProof/>
              <w:lang w:val="en-GB"/>
            </w:rPr>
            <w:t>(2), 335-346.</w:t>
          </w:r>
        </w:p>
        <w:p w14:paraId="16A379E6"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Pinno, K., &amp; Serletis, A. (2013). Financial Speculation in the Oil Markets and the Determinants of the Price of Oil. </w:t>
          </w:r>
          <w:r w:rsidRPr="00202033">
            <w:rPr>
              <w:rFonts w:ascii="Times New Roman" w:hAnsi="Times New Roman" w:cs="Times New Roman"/>
              <w:i/>
              <w:iCs/>
              <w:noProof/>
              <w:lang w:val="en-GB"/>
            </w:rPr>
            <w:t>The Energy Journal, 34</w:t>
          </w:r>
          <w:r w:rsidRPr="00202033">
            <w:rPr>
              <w:rFonts w:ascii="Times New Roman" w:hAnsi="Times New Roman" w:cs="Times New Roman"/>
              <w:noProof/>
              <w:lang w:val="en-GB"/>
            </w:rPr>
            <w:t>(3), 191-216.</w:t>
          </w:r>
        </w:p>
        <w:p w14:paraId="3D9A1288"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Saari, M. Y., Dietzenbacher, E., &amp; Los, B. (2016). The Impacts of Petroleum Price Fluctuations on Income Distribution Across Ethnic Groups in Malaysia. </w:t>
          </w:r>
          <w:r w:rsidRPr="00202033">
            <w:rPr>
              <w:rFonts w:ascii="Times New Roman" w:hAnsi="Times New Roman" w:cs="Times New Roman"/>
              <w:i/>
              <w:iCs/>
              <w:noProof/>
              <w:lang w:val="en-GB"/>
            </w:rPr>
            <w:t>Ecological Economics, 130</w:t>
          </w:r>
          <w:r w:rsidRPr="00202033">
            <w:rPr>
              <w:rFonts w:ascii="Times New Roman" w:hAnsi="Times New Roman" w:cs="Times New Roman"/>
              <w:noProof/>
              <w:lang w:val="en-GB"/>
            </w:rPr>
            <w:t>, 25-36.</w:t>
          </w:r>
        </w:p>
        <w:p w14:paraId="6CD15A39"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Shaari, M. S., Pei, T. L., &amp; Rahim, H. A. (2013). Effects of Oil Price Shocks on the Economic Sectors in Malaysia. </w:t>
          </w:r>
          <w:r w:rsidRPr="00202033">
            <w:rPr>
              <w:rFonts w:ascii="Times New Roman" w:hAnsi="Times New Roman" w:cs="Times New Roman"/>
              <w:i/>
              <w:iCs/>
              <w:noProof/>
              <w:lang w:val="en-GB"/>
            </w:rPr>
            <w:t>International Journal of Energy Economics and Policy, 3</w:t>
          </w:r>
          <w:r w:rsidRPr="00202033">
            <w:rPr>
              <w:rFonts w:ascii="Times New Roman" w:hAnsi="Times New Roman" w:cs="Times New Roman"/>
              <w:noProof/>
              <w:lang w:val="en-GB"/>
            </w:rPr>
            <w:t>(4), 360-366.</w:t>
          </w:r>
        </w:p>
        <w:p w14:paraId="533D4839"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Varadhan, S., &amp; Verma, N. (2021, June 9). </w:t>
          </w:r>
          <w:r w:rsidRPr="00202033">
            <w:rPr>
              <w:rFonts w:ascii="Times New Roman" w:hAnsi="Times New Roman" w:cs="Times New Roman"/>
              <w:i/>
              <w:iCs/>
              <w:noProof/>
              <w:lang w:val="en-GB"/>
            </w:rPr>
            <w:t>India's Low-Income Frontline Worker burned by rising Fuel Prices.</w:t>
          </w:r>
          <w:r w:rsidRPr="00202033">
            <w:rPr>
              <w:rFonts w:ascii="Times New Roman" w:hAnsi="Times New Roman" w:cs="Times New Roman"/>
              <w:noProof/>
              <w:lang w:val="en-GB"/>
            </w:rPr>
            <w:t xml:space="preserve"> Retrieved from The Economic Times: https://auto.economictimes.indiatimes.com/ news/oil-and-lubes/indias-low-incomefrontline-workers- burned-by-rising-fuel-prices/83377715</w:t>
          </w:r>
        </w:p>
        <w:p w14:paraId="6EFF144C" w14:textId="77777777" w:rsidR="00477C95" w:rsidRPr="00202033" w:rsidRDefault="00477C95" w:rsidP="00477C95">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Zhang, D. (2008). Oil Shock and Economic Growth in Japan: A Nonlinear Approach. </w:t>
          </w:r>
          <w:r w:rsidRPr="00202033">
            <w:rPr>
              <w:rFonts w:ascii="Times New Roman" w:hAnsi="Times New Roman" w:cs="Times New Roman"/>
              <w:i/>
              <w:iCs/>
              <w:noProof/>
              <w:lang w:val="en-GB"/>
            </w:rPr>
            <w:t>Energy Economics, 30</w:t>
          </w:r>
          <w:r w:rsidRPr="00202033">
            <w:rPr>
              <w:rFonts w:ascii="Times New Roman" w:hAnsi="Times New Roman" w:cs="Times New Roman"/>
              <w:noProof/>
              <w:lang w:val="en-GB"/>
            </w:rPr>
            <w:t>(5), 2374-2390.</w:t>
          </w:r>
        </w:p>
        <w:p w14:paraId="2D56BA0E" w14:textId="77777777" w:rsidR="00202033" w:rsidRPr="00202033" w:rsidRDefault="00202033" w:rsidP="00202033">
          <w:pPr>
            <w:pStyle w:val="Bibliography"/>
            <w:spacing w:before="120" w:line="276" w:lineRule="auto"/>
            <w:ind w:left="720" w:hanging="720"/>
            <w:jc w:val="both"/>
            <w:rPr>
              <w:rFonts w:ascii="Times New Roman" w:hAnsi="Times New Roman" w:cs="Times New Roman"/>
              <w:noProof/>
              <w:lang w:val="en-GB"/>
            </w:rPr>
          </w:pPr>
          <w:r w:rsidRPr="00202033">
            <w:rPr>
              <w:rFonts w:ascii="Times New Roman" w:hAnsi="Times New Roman" w:cs="Times New Roman"/>
              <w:noProof/>
              <w:lang w:val="en-GB"/>
            </w:rPr>
            <w:t xml:space="preserve">Zivot, E., &amp; Andrews, D. W. (1992). Further Evidence on the Great Crash, the Oil-Price Shock, and the Unit-Root Hypothesis. </w:t>
          </w:r>
          <w:r w:rsidRPr="00202033">
            <w:rPr>
              <w:rFonts w:ascii="Times New Roman" w:hAnsi="Times New Roman" w:cs="Times New Roman"/>
              <w:i/>
              <w:iCs/>
              <w:noProof/>
              <w:lang w:val="en-GB"/>
            </w:rPr>
            <w:t>Journal of Business and Economic Statistics, 10</w:t>
          </w:r>
          <w:r w:rsidRPr="00202033">
            <w:rPr>
              <w:rFonts w:ascii="Times New Roman" w:hAnsi="Times New Roman" w:cs="Times New Roman"/>
              <w:noProof/>
              <w:lang w:val="en-GB"/>
            </w:rPr>
            <w:t>(3), 251-270.</w:t>
          </w:r>
        </w:p>
        <w:p w14:paraId="5F5A571B" w14:textId="77777777" w:rsidR="00C84970" w:rsidRDefault="00202033" w:rsidP="00202033">
          <w:pPr>
            <w:spacing w:before="120" w:line="276" w:lineRule="auto"/>
            <w:jc w:val="both"/>
            <w:rPr>
              <w:rFonts w:ascii="Times New Roman" w:hAnsi="Times New Roman" w:cs="Times New Roman"/>
              <w:b/>
              <w:bCs/>
            </w:rPr>
          </w:pPr>
          <w:r w:rsidRPr="00202033">
            <w:rPr>
              <w:rFonts w:ascii="Times New Roman" w:hAnsi="Times New Roman" w:cs="Times New Roman"/>
              <w:b/>
              <w:bCs/>
            </w:rPr>
            <w:fldChar w:fldCharType="end"/>
          </w:r>
        </w:p>
        <w:p w14:paraId="783EB10F" w14:textId="77777777" w:rsidR="00C84970" w:rsidRDefault="00C84970" w:rsidP="00202033">
          <w:pPr>
            <w:spacing w:before="120" w:line="276" w:lineRule="auto"/>
            <w:jc w:val="both"/>
          </w:pPr>
        </w:p>
        <w:p w14:paraId="741AD28C" w14:textId="77777777" w:rsidR="00C84970" w:rsidRDefault="00C84970" w:rsidP="00202033">
          <w:pPr>
            <w:spacing w:before="120" w:line="276" w:lineRule="auto"/>
            <w:jc w:val="both"/>
          </w:pPr>
        </w:p>
        <w:p w14:paraId="681856F0" w14:textId="181B8DC7" w:rsidR="00C56820" w:rsidRDefault="00000000" w:rsidP="00202033">
          <w:pPr>
            <w:spacing w:before="120" w:line="276" w:lineRule="auto"/>
            <w:jc w:val="both"/>
            <w:rPr>
              <w:b/>
              <w:bCs/>
            </w:rPr>
          </w:pPr>
        </w:p>
      </w:sdtContent>
    </w:sdt>
    <w:p w14:paraId="2443F9D6" w14:textId="77777777" w:rsidR="00C84970" w:rsidRDefault="00C84970" w:rsidP="00202033">
      <w:pPr>
        <w:spacing w:before="120" w:line="276" w:lineRule="auto"/>
        <w:jc w:val="both"/>
        <w:rPr>
          <w:b/>
          <w:bCs/>
        </w:rPr>
      </w:pPr>
    </w:p>
    <w:p w14:paraId="12763DBB" w14:textId="4A4BB203" w:rsidR="00C84970" w:rsidRDefault="00C84970" w:rsidP="00202033">
      <w:pPr>
        <w:spacing w:before="120" w:line="276" w:lineRule="auto"/>
        <w:jc w:val="both"/>
      </w:pPr>
      <w:r w:rsidRPr="00C84970">
        <w:t>Appendix</w:t>
      </w:r>
    </w:p>
    <w:tbl>
      <w:tblPr>
        <w:tblStyle w:val="GridTable5Dark"/>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4508"/>
        <w:gridCol w:w="4508"/>
      </w:tblGrid>
      <w:tr w:rsidR="00C84970" w14:paraId="1D3577D6" w14:textId="77777777" w:rsidTr="001A3104">
        <w:tc>
          <w:tcPr>
            <w:tcW w:w="9016" w:type="dxa"/>
            <w:gridSpan w:val="2"/>
            <w:tcBorders>
              <w:bottom w:val="single" w:sz="4" w:space="0" w:color="auto"/>
            </w:tcBorders>
            <w:shd w:val="clear" w:color="auto" w:fill="F2F2F2" w:themeFill="background1" w:themeFillShade="F2"/>
            <w:vAlign w:val="center"/>
          </w:tcPr>
          <w:p w14:paraId="10FEE21F" w14:textId="77777777" w:rsidR="00C84970" w:rsidRPr="000A01C7" w:rsidRDefault="00C84970" w:rsidP="001A3104">
            <w:pPr>
              <w:jc w:val="center"/>
              <w:rPr>
                <w:rFonts w:ascii="Times New Roman" w:hAnsi="Times New Roman" w:cs="Times New Roman"/>
                <w:i/>
                <w:iCs/>
                <w:vertAlign w:val="superscript"/>
              </w:rPr>
            </w:pPr>
            <w:r w:rsidRPr="000A01C7">
              <w:rPr>
                <w:rFonts w:ascii="Times New Roman" w:hAnsi="Times New Roman" w:cs="Times New Roman"/>
                <w:i/>
                <w:iCs/>
              </w:rPr>
              <w:t xml:space="preserve">Appendix Table: Unit Root Breakpoints from </w:t>
            </w:r>
            <w:proofErr w:type="spellStart"/>
            <w:r w:rsidRPr="000A01C7">
              <w:rPr>
                <w:rFonts w:ascii="Times New Roman" w:hAnsi="Times New Roman" w:cs="Times New Roman"/>
                <w:i/>
                <w:iCs/>
              </w:rPr>
              <w:t>Zivot</w:t>
            </w:r>
            <w:proofErr w:type="spellEnd"/>
            <w:r w:rsidRPr="000A01C7">
              <w:rPr>
                <w:rFonts w:ascii="Times New Roman" w:hAnsi="Times New Roman" w:cs="Times New Roman"/>
                <w:i/>
                <w:iCs/>
              </w:rPr>
              <w:t xml:space="preserve"> and Andrews Test</w:t>
            </w:r>
            <w:r>
              <w:rPr>
                <w:rFonts w:ascii="Times New Roman" w:hAnsi="Times New Roman" w:cs="Times New Roman"/>
                <w:i/>
                <w:iCs/>
                <w:vertAlign w:val="superscript"/>
              </w:rPr>
              <w:t>*</w:t>
            </w:r>
          </w:p>
        </w:tc>
      </w:tr>
      <w:tr w:rsidR="00C84970" w14:paraId="77E86F14" w14:textId="77777777" w:rsidTr="001A3104">
        <w:tc>
          <w:tcPr>
            <w:tcW w:w="4508" w:type="dxa"/>
            <w:tcBorders>
              <w:top w:val="single" w:sz="4" w:space="0" w:color="auto"/>
              <w:bottom w:val="single" w:sz="4" w:space="0" w:color="auto"/>
            </w:tcBorders>
            <w:shd w:val="clear" w:color="auto" w:fill="F2F2F2" w:themeFill="background1" w:themeFillShade="F2"/>
            <w:vAlign w:val="center"/>
          </w:tcPr>
          <w:p w14:paraId="2743058A" w14:textId="77777777" w:rsidR="00C84970" w:rsidRDefault="00C84970" w:rsidP="001A3104">
            <w:pPr>
              <w:jc w:val="center"/>
              <w:rPr>
                <w:rFonts w:ascii="Times New Roman" w:hAnsi="Times New Roman" w:cs="Times New Roman"/>
              </w:rPr>
            </w:pPr>
            <w:r>
              <w:rPr>
                <w:rFonts w:ascii="Times New Roman" w:hAnsi="Times New Roman" w:cs="Times New Roman"/>
              </w:rPr>
              <w:t>Variables</w:t>
            </w:r>
          </w:p>
        </w:tc>
        <w:tc>
          <w:tcPr>
            <w:tcW w:w="4508" w:type="dxa"/>
            <w:tcBorders>
              <w:top w:val="single" w:sz="4" w:space="0" w:color="auto"/>
              <w:bottom w:val="single" w:sz="4" w:space="0" w:color="auto"/>
            </w:tcBorders>
            <w:shd w:val="clear" w:color="auto" w:fill="F2F2F2" w:themeFill="background1" w:themeFillShade="F2"/>
            <w:vAlign w:val="center"/>
          </w:tcPr>
          <w:p w14:paraId="51384CD5" w14:textId="77777777" w:rsidR="00C84970" w:rsidRDefault="00C84970" w:rsidP="001A3104">
            <w:pPr>
              <w:jc w:val="center"/>
              <w:rPr>
                <w:rFonts w:ascii="Times New Roman" w:hAnsi="Times New Roman" w:cs="Times New Roman"/>
              </w:rPr>
            </w:pPr>
            <w:r>
              <w:rPr>
                <w:rFonts w:ascii="Times New Roman" w:hAnsi="Times New Roman" w:cs="Times New Roman"/>
              </w:rPr>
              <w:t>Break Dates</w:t>
            </w:r>
          </w:p>
        </w:tc>
      </w:tr>
      <w:tr w:rsidR="00C84970" w14:paraId="5CFBB713" w14:textId="77777777" w:rsidTr="001A3104">
        <w:tc>
          <w:tcPr>
            <w:tcW w:w="4508" w:type="dxa"/>
            <w:tcBorders>
              <w:top w:val="single" w:sz="4" w:space="0" w:color="auto"/>
            </w:tcBorders>
            <w:shd w:val="clear" w:color="auto" w:fill="F2F2F2" w:themeFill="background1" w:themeFillShade="F2"/>
            <w:vAlign w:val="center"/>
          </w:tcPr>
          <w:p w14:paraId="2AFA3B18" w14:textId="77777777" w:rsidR="00C84970" w:rsidRDefault="00000000" w:rsidP="001A3104">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IIP</m:t>
                    </m:r>
                  </m:e>
                  <m:sub>
                    <m:r>
                      <w:rPr>
                        <w:rFonts w:ascii="Cambria Math" w:hAnsi="Cambria Math" w:cs="Times New Roman"/>
                      </w:rPr>
                      <m:t>t</m:t>
                    </m:r>
                  </m:sub>
                </m:sSub>
              </m:oMath>
            </m:oMathPara>
          </w:p>
        </w:tc>
        <w:tc>
          <w:tcPr>
            <w:tcW w:w="4508" w:type="dxa"/>
            <w:tcBorders>
              <w:top w:val="single" w:sz="4" w:space="0" w:color="auto"/>
            </w:tcBorders>
            <w:shd w:val="clear" w:color="auto" w:fill="F2F2F2" w:themeFill="background1" w:themeFillShade="F2"/>
            <w:vAlign w:val="center"/>
          </w:tcPr>
          <w:p w14:paraId="5CB9BFB0" w14:textId="77777777" w:rsidR="00C84970" w:rsidRDefault="00C84970" w:rsidP="001A3104">
            <w:pPr>
              <w:jc w:val="center"/>
              <w:rPr>
                <w:rFonts w:ascii="Times New Roman" w:hAnsi="Times New Roman" w:cs="Times New Roman"/>
              </w:rPr>
            </w:pPr>
            <w:r>
              <w:rPr>
                <w:rFonts w:ascii="Times New Roman" w:hAnsi="Times New Roman" w:cs="Times New Roman"/>
              </w:rPr>
              <w:t>February 2021</w:t>
            </w:r>
          </w:p>
        </w:tc>
      </w:tr>
      <w:tr w:rsidR="00C84970" w14:paraId="4B39BAA8" w14:textId="77777777" w:rsidTr="001A3104">
        <w:tc>
          <w:tcPr>
            <w:tcW w:w="4508" w:type="dxa"/>
            <w:shd w:val="clear" w:color="auto" w:fill="F2F2F2" w:themeFill="background1" w:themeFillShade="F2"/>
            <w:vAlign w:val="center"/>
          </w:tcPr>
          <w:p w14:paraId="3FAB4292" w14:textId="77777777" w:rsidR="00C84970" w:rsidRDefault="00000000" w:rsidP="001A3104">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m:t>
                    </m:r>
                  </m:sub>
                </m:sSub>
              </m:oMath>
            </m:oMathPara>
          </w:p>
        </w:tc>
        <w:tc>
          <w:tcPr>
            <w:tcW w:w="4508" w:type="dxa"/>
            <w:shd w:val="clear" w:color="auto" w:fill="F2F2F2" w:themeFill="background1" w:themeFillShade="F2"/>
            <w:vAlign w:val="center"/>
          </w:tcPr>
          <w:p w14:paraId="2825BFBF" w14:textId="77777777" w:rsidR="00C84970" w:rsidRDefault="00C84970" w:rsidP="001A3104">
            <w:pPr>
              <w:jc w:val="center"/>
              <w:rPr>
                <w:rFonts w:ascii="Times New Roman" w:hAnsi="Times New Roman" w:cs="Times New Roman"/>
              </w:rPr>
            </w:pPr>
            <w:r>
              <w:rPr>
                <w:rFonts w:ascii="Times New Roman" w:hAnsi="Times New Roman" w:cs="Times New Roman"/>
              </w:rPr>
              <w:t>November 2013</w:t>
            </w:r>
          </w:p>
        </w:tc>
      </w:tr>
      <w:tr w:rsidR="00C84970" w14:paraId="789D7DE4" w14:textId="77777777" w:rsidTr="001A3104">
        <w:tc>
          <w:tcPr>
            <w:tcW w:w="4508" w:type="dxa"/>
            <w:tcBorders>
              <w:bottom w:val="single" w:sz="4" w:space="0" w:color="auto"/>
            </w:tcBorders>
            <w:shd w:val="clear" w:color="auto" w:fill="F2F2F2" w:themeFill="background1" w:themeFillShade="F2"/>
            <w:vAlign w:val="center"/>
          </w:tcPr>
          <w:p w14:paraId="00BAA8AF" w14:textId="77777777" w:rsidR="00C84970" w:rsidRDefault="00000000" w:rsidP="001A3104">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COP</m:t>
                    </m:r>
                  </m:e>
                  <m:sub>
                    <m:r>
                      <w:rPr>
                        <w:rFonts w:ascii="Cambria Math" w:hAnsi="Cambria Math" w:cs="Times New Roman"/>
                      </w:rPr>
                      <m:t>t</m:t>
                    </m:r>
                  </m:sub>
                </m:sSub>
              </m:oMath>
            </m:oMathPara>
          </w:p>
        </w:tc>
        <w:tc>
          <w:tcPr>
            <w:tcW w:w="4508" w:type="dxa"/>
            <w:tcBorders>
              <w:bottom w:val="single" w:sz="4" w:space="0" w:color="auto"/>
            </w:tcBorders>
            <w:shd w:val="clear" w:color="auto" w:fill="F2F2F2" w:themeFill="background1" w:themeFillShade="F2"/>
            <w:vAlign w:val="center"/>
          </w:tcPr>
          <w:p w14:paraId="13E5F966" w14:textId="77777777" w:rsidR="00C84970" w:rsidRDefault="00C84970" w:rsidP="001A3104">
            <w:pPr>
              <w:jc w:val="center"/>
              <w:rPr>
                <w:rFonts w:ascii="Times New Roman" w:hAnsi="Times New Roman" w:cs="Times New Roman"/>
              </w:rPr>
            </w:pPr>
            <w:r>
              <w:rPr>
                <w:rFonts w:ascii="Times New Roman" w:hAnsi="Times New Roman" w:cs="Times New Roman"/>
              </w:rPr>
              <w:t>January 2021</w:t>
            </w:r>
          </w:p>
        </w:tc>
      </w:tr>
      <w:tr w:rsidR="00C84970" w14:paraId="37D794E0" w14:textId="77777777" w:rsidTr="001A3104">
        <w:tc>
          <w:tcPr>
            <w:tcW w:w="9016" w:type="dxa"/>
            <w:gridSpan w:val="2"/>
            <w:tcBorders>
              <w:top w:val="single" w:sz="4" w:space="0" w:color="auto"/>
              <w:bottom w:val="nil"/>
            </w:tcBorders>
            <w:shd w:val="clear" w:color="auto" w:fill="F2F2F2" w:themeFill="background1" w:themeFillShade="F2"/>
            <w:vAlign w:val="center"/>
          </w:tcPr>
          <w:p w14:paraId="4CF3963E" w14:textId="77777777" w:rsidR="00C84970" w:rsidRPr="000A01C7" w:rsidRDefault="00C84970" w:rsidP="001A3104">
            <w:pPr>
              <w:rPr>
                <w:rFonts w:ascii="Times New Roman" w:hAnsi="Times New Roman" w:cs="Times New Roman"/>
                <w:sz w:val="18"/>
                <w:szCs w:val="18"/>
              </w:rPr>
            </w:pPr>
            <w:r>
              <w:rPr>
                <w:rFonts w:ascii="Times New Roman" w:hAnsi="Times New Roman" w:cs="Times New Roman"/>
                <w:sz w:val="18"/>
                <w:szCs w:val="18"/>
                <w:vertAlign w:val="superscript"/>
              </w:rPr>
              <w:t>*</w:t>
            </w:r>
            <w:r>
              <w:rPr>
                <w:rFonts w:ascii="Times New Roman" w:hAnsi="Times New Roman" w:cs="Times New Roman"/>
                <w:sz w:val="18"/>
                <w:szCs w:val="18"/>
              </w:rPr>
              <w:t>The Break dates was shown for the original data and the break dates from differenced data was not presented.</w:t>
            </w:r>
          </w:p>
        </w:tc>
      </w:tr>
    </w:tbl>
    <w:p w14:paraId="50BFD634" w14:textId="77777777" w:rsidR="00C84970" w:rsidRPr="00202033" w:rsidRDefault="00C84970" w:rsidP="00202033">
      <w:pPr>
        <w:spacing w:before="120" w:line="276" w:lineRule="auto"/>
        <w:jc w:val="both"/>
      </w:pPr>
    </w:p>
    <w:sectPr w:rsidR="00C84970" w:rsidRPr="002020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95B0" w14:textId="77777777" w:rsidR="00C96CCC" w:rsidRDefault="00C96CCC" w:rsidP="001D65B3">
      <w:r>
        <w:separator/>
      </w:r>
    </w:p>
  </w:endnote>
  <w:endnote w:type="continuationSeparator" w:id="0">
    <w:p w14:paraId="3A99A4E1" w14:textId="77777777" w:rsidR="00C96CCC" w:rsidRDefault="00C96CCC" w:rsidP="001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8271" w14:textId="77777777" w:rsidR="00B952F8" w:rsidRDefault="00B9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1E30" w14:textId="77777777" w:rsidR="00B952F8" w:rsidRDefault="00B9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3115" w14:textId="77777777" w:rsidR="00B952F8" w:rsidRDefault="00B9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B292" w14:textId="77777777" w:rsidR="00C96CCC" w:rsidRDefault="00C96CCC" w:rsidP="001D65B3">
      <w:r>
        <w:separator/>
      </w:r>
    </w:p>
  </w:footnote>
  <w:footnote w:type="continuationSeparator" w:id="0">
    <w:p w14:paraId="4F13097C" w14:textId="77777777" w:rsidR="00C96CCC" w:rsidRDefault="00C96CCC" w:rsidP="001D65B3">
      <w:r>
        <w:continuationSeparator/>
      </w:r>
    </w:p>
  </w:footnote>
  <w:footnote w:id="1">
    <w:p w14:paraId="6BA64750" w14:textId="761C7B64" w:rsidR="001D65B3" w:rsidRPr="002045B3" w:rsidRDefault="001D65B3" w:rsidP="001D65B3">
      <w:pPr>
        <w:pStyle w:val="FootnoteText"/>
        <w:jc w:val="both"/>
        <w:rPr>
          <w:lang w:val="en-US"/>
        </w:rPr>
      </w:pPr>
      <w:r>
        <w:rPr>
          <w:rStyle w:val="FootnoteReference"/>
        </w:rPr>
        <w:footnoteRef/>
      </w:r>
      <w:r w:rsidRPr="002045B3">
        <w:rPr>
          <w:rFonts w:ascii="Times New Roman" w:hAnsi="Times New Roman" w:cs="Times New Roman"/>
        </w:rPr>
        <w:t>Source:</w:t>
      </w:r>
      <w:r>
        <w:t xml:space="preserve"> </w:t>
      </w:r>
      <w:r w:rsidRPr="002045B3">
        <w:rPr>
          <w:rFonts w:ascii="Times New Roman" w:hAnsi="Times New Roman" w:cs="Times New Roman"/>
        </w:rPr>
        <w:fldChar w:fldCharType="begin"/>
      </w:r>
      <w:r w:rsidRPr="002045B3">
        <w:rPr>
          <w:rFonts w:ascii="Times New Roman" w:hAnsi="Times New Roman" w:cs="Times New Roman"/>
        </w:rPr>
        <w:instrText xml:space="preserve"> ADDIN ZOTERO_ITEM CSL_CITATION {"citationID":"8xQq24Tg","properties":{"formattedCitation":"Refined Petroleum Oil Exports 2022, https://www.worldstopexports.com/refined-oil-exports-by-country/ (last visited Jul 14, 2024).","plainCitation":"Refined Petroleum Oil Exports 2022, https://www.worldstopexports.com/refined-oil-exports-by-country/ (last visited Jul 14, 2024).","noteIndex":1},"citationItems":[{"id":201,"uris":["http://zotero.org/users/13842099/items/X88U26MR"],"itemData":{"id":201,"type":"webpage","title":"Refined Petroleum Oil Exports 2022","URL":"https://www.worldstopexports.com/refined-oil-exports-by-country/","accessed":{"date-parts":[["2024",7,14]]}}}],"schema":"https://github.com/citation-style-language/schema/raw/master/csl-citation.json"} </w:instrText>
      </w:r>
      <w:r w:rsidRPr="002045B3">
        <w:rPr>
          <w:rFonts w:ascii="Times New Roman" w:hAnsi="Times New Roman" w:cs="Times New Roman"/>
        </w:rPr>
        <w:fldChar w:fldCharType="separate"/>
      </w:r>
      <w:r w:rsidRPr="002045B3">
        <w:rPr>
          <w:rFonts w:ascii="Times New Roman" w:hAnsi="Times New Roman" w:cs="Times New Roman"/>
          <w:noProof/>
        </w:rPr>
        <w:t>Refined Petroleum Oil Exports 2022, https://www.worldstopexports.com/refined-oil-exports-by-country/.</w:t>
      </w:r>
      <w:r w:rsidRPr="002045B3">
        <w:rPr>
          <w:rFonts w:ascii="Times New Roman" w:hAnsi="Times New Roman" w:cs="Times New Roman"/>
        </w:rPr>
        <w:fldChar w:fldCharType="end"/>
      </w:r>
    </w:p>
  </w:footnote>
  <w:footnote w:id="2">
    <w:p w14:paraId="657D8776" w14:textId="2A41464E" w:rsidR="000816FD" w:rsidRPr="00B33A8C" w:rsidRDefault="000816FD" w:rsidP="00B33A8C">
      <w:pPr>
        <w:pStyle w:val="FootnoteText"/>
        <w:jc w:val="both"/>
        <w:rPr>
          <w:rFonts w:ascii="Times New Roman" w:hAnsi="Times New Roman" w:cs="Times New Roman"/>
          <w:lang w:val="en-US"/>
        </w:rPr>
      </w:pPr>
      <w:r>
        <w:rPr>
          <w:rStyle w:val="FootnoteReference"/>
        </w:rPr>
        <w:footnoteRef/>
      </w:r>
      <w:r>
        <w:t xml:space="preserve"> </w:t>
      </w:r>
      <w:r w:rsidRPr="00B33A8C">
        <w:rPr>
          <w:rFonts w:ascii="Times New Roman" w:hAnsi="Times New Roman" w:cs="Times New Roman"/>
          <w:lang w:val="en-US"/>
        </w:rPr>
        <w:t>Core Inflation Rate excludes inflation caused by the Food and Energy Sector. CPI Combined in</w:t>
      </w:r>
      <w:r w:rsidR="00B33A8C" w:rsidRPr="00B33A8C">
        <w:rPr>
          <w:rFonts w:ascii="Times New Roman" w:hAnsi="Times New Roman" w:cs="Times New Roman"/>
          <w:lang w:val="en-US"/>
        </w:rPr>
        <w:t xml:space="preserve">cludes 48.24 weightage for Food and Beverages and 6.84 weightage for Fuel and Light. While 44.92 weights include items that comes under Core inflation.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B192" w14:textId="1BEC09E5" w:rsidR="00B952F8" w:rsidRDefault="00C33237">
    <w:pPr>
      <w:pStyle w:val="Header"/>
    </w:pPr>
    <w:r>
      <w:rPr>
        <w:noProof/>
      </w:rPr>
    </w:r>
    <w:r w:rsidR="00C33237">
      <w:rPr>
        <w:noProof/>
      </w:rPr>
      <w:pict w14:anchorId="742E1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1188" o:spid="_x0000_s1033"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2E48" w14:textId="03492D72" w:rsidR="00B952F8" w:rsidRDefault="00C33237">
    <w:pPr>
      <w:pStyle w:val="Header"/>
    </w:pPr>
    <w:r>
      <w:rPr>
        <w:noProof/>
      </w:rPr>
    </w:r>
    <w:r w:rsidR="00C33237">
      <w:rPr>
        <w:noProof/>
      </w:rPr>
      <w:pict w14:anchorId="2CE67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1189" o:spid="_x0000_s1032"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672C" w14:textId="48DC34AA" w:rsidR="00B952F8" w:rsidRDefault="00C33237">
    <w:pPr>
      <w:pStyle w:val="Header"/>
    </w:pPr>
    <w:r>
      <w:rPr>
        <w:noProof/>
      </w:rPr>
    </w:r>
    <w:r w:rsidR="00C33237">
      <w:rPr>
        <w:noProof/>
      </w:rPr>
      <w:pict w14:anchorId="13587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1187" o:spid="_x0000_s1031"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B3"/>
    <w:rsid w:val="000001F1"/>
    <w:rsid w:val="0001176C"/>
    <w:rsid w:val="00015EFB"/>
    <w:rsid w:val="00022BA3"/>
    <w:rsid w:val="000234EF"/>
    <w:rsid w:val="00064D8D"/>
    <w:rsid w:val="00066E9F"/>
    <w:rsid w:val="00070A7D"/>
    <w:rsid w:val="000816FD"/>
    <w:rsid w:val="000846EC"/>
    <w:rsid w:val="000A0124"/>
    <w:rsid w:val="000A01C7"/>
    <w:rsid w:val="000B576C"/>
    <w:rsid w:val="000F12C3"/>
    <w:rsid w:val="00111138"/>
    <w:rsid w:val="00111903"/>
    <w:rsid w:val="0011519B"/>
    <w:rsid w:val="0014419F"/>
    <w:rsid w:val="00155968"/>
    <w:rsid w:val="0016063D"/>
    <w:rsid w:val="001767B7"/>
    <w:rsid w:val="00186E13"/>
    <w:rsid w:val="001C0D67"/>
    <w:rsid w:val="001D418D"/>
    <w:rsid w:val="001D65B3"/>
    <w:rsid w:val="001F6276"/>
    <w:rsid w:val="00202033"/>
    <w:rsid w:val="0022384F"/>
    <w:rsid w:val="0023176D"/>
    <w:rsid w:val="00240926"/>
    <w:rsid w:val="0024291E"/>
    <w:rsid w:val="00262646"/>
    <w:rsid w:val="00297203"/>
    <w:rsid w:val="002B11D1"/>
    <w:rsid w:val="002C53B9"/>
    <w:rsid w:val="002E21FE"/>
    <w:rsid w:val="002F32B8"/>
    <w:rsid w:val="00315EBA"/>
    <w:rsid w:val="00332299"/>
    <w:rsid w:val="00332453"/>
    <w:rsid w:val="003616FA"/>
    <w:rsid w:val="003A0200"/>
    <w:rsid w:val="00407BF8"/>
    <w:rsid w:val="0045513A"/>
    <w:rsid w:val="00470B65"/>
    <w:rsid w:val="00476B80"/>
    <w:rsid w:val="00477C95"/>
    <w:rsid w:val="004A1D22"/>
    <w:rsid w:val="004D61D7"/>
    <w:rsid w:val="004D64A2"/>
    <w:rsid w:val="004F2E76"/>
    <w:rsid w:val="00504903"/>
    <w:rsid w:val="0053041D"/>
    <w:rsid w:val="005359EF"/>
    <w:rsid w:val="00592DE8"/>
    <w:rsid w:val="00593D51"/>
    <w:rsid w:val="005A23D4"/>
    <w:rsid w:val="005E1ED9"/>
    <w:rsid w:val="00600E23"/>
    <w:rsid w:val="00624301"/>
    <w:rsid w:val="00633760"/>
    <w:rsid w:val="006360E7"/>
    <w:rsid w:val="0064259E"/>
    <w:rsid w:val="00645045"/>
    <w:rsid w:val="0070496E"/>
    <w:rsid w:val="00720910"/>
    <w:rsid w:val="00736ABF"/>
    <w:rsid w:val="00744ABF"/>
    <w:rsid w:val="0074516E"/>
    <w:rsid w:val="007532BC"/>
    <w:rsid w:val="007672AF"/>
    <w:rsid w:val="007E650A"/>
    <w:rsid w:val="00823535"/>
    <w:rsid w:val="00837146"/>
    <w:rsid w:val="00837A2A"/>
    <w:rsid w:val="0085709C"/>
    <w:rsid w:val="00861D2F"/>
    <w:rsid w:val="00874583"/>
    <w:rsid w:val="00877E02"/>
    <w:rsid w:val="008B4CBE"/>
    <w:rsid w:val="008C25F5"/>
    <w:rsid w:val="008E2EE6"/>
    <w:rsid w:val="008E6634"/>
    <w:rsid w:val="00954B61"/>
    <w:rsid w:val="009A3D7C"/>
    <w:rsid w:val="009B2528"/>
    <w:rsid w:val="009B45CA"/>
    <w:rsid w:val="009E518F"/>
    <w:rsid w:val="009F1CC9"/>
    <w:rsid w:val="00A11FE8"/>
    <w:rsid w:val="00A21EAB"/>
    <w:rsid w:val="00A3098C"/>
    <w:rsid w:val="00A356CF"/>
    <w:rsid w:val="00A5289D"/>
    <w:rsid w:val="00A73904"/>
    <w:rsid w:val="00A86EB3"/>
    <w:rsid w:val="00A9072E"/>
    <w:rsid w:val="00A95E72"/>
    <w:rsid w:val="00AA3D48"/>
    <w:rsid w:val="00AF0A0F"/>
    <w:rsid w:val="00B16B5B"/>
    <w:rsid w:val="00B33A8C"/>
    <w:rsid w:val="00B36815"/>
    <w:rsid w:val="00B50196"/>
    <w:rsid w:val="00B5046F"/>
    <w:rsid w:val="00B952F8"/>
    <w:rsid w:val="00BA6E7B"/>
    <w:rsid w:val="00BE147A"/>
    <w:rsid w:val="00BE149D"/>
    <w:rsid w:val="00C0344F"/>
    <w:rsid w:val="00C034D7"/>
    <w:rsid w:val="00C21C48"/>
    <w:rsid w:val="00C2437B"/>
    <w:rsid w:val="00C33237"/>
    <w:rsid w:val="00C43939"/>
    <w:rsid w:val="00C45240"/>
    <w:rsid w:val="00C46798"/>
    <w:rsid w:val="00C538FB"/>
    <w:rsid w:val="00C56820"/>
    <w:rsid w:val="00C73D73"/>
    <w:rsid w:val="00C84970"/>
    <w:rsid w:val="00C870FE"/>
    <w:rsid w:val="00C96CCC"/>
    <w:rsid w:val="00CA31FE"/>
    <w:rsid w:val="00CD6BDA"/>
    <w:rsid w:val="00CF0413"/>
    <w:rsid w:val="00D06EF6"/>
    <w:rsid w:val="00D100B8"/>
    <w:rsid w:val="00D26A22"/>
    <w:rsid w:val="00D51549"/>
    <w:rsid w:val="00D64E6B"/>
    <w:rsid w:val="00D96967"/>
    <w:rsid w:val="00DB2D30"/>
    <w:rsid w:val="00DB6A21"/>
    <w:rsid w:val="00DC47B2"/>
    <w:rsid w:val="00DE70FD"/>
    <w:rsid w:val="00DF62CB"/>
    <w:rsid w:val="00E00643"/>
    <w:rsid w:val="00E311FF"/>
    <w:rsid w:val="00E33A4B"/>
    <w:rsid w:val="00E459F4"/>
    <w:rsid w:val="00E52043"/>
    <w:rsid w:val="00E843F5"/>
    <w:rsid w:val="00E95798"/>
    <w:rsid w:val="00EC3518"/>
    <w:rsid w:val="00EE79FB"/>
    <w:rsid w:val="00F40ADE"/>
    <w:rsid w:val="00F42BC1"/>
    <w:rsid w:val="00F63592"/>
    <w:rsid w:val="00F77262"/>
    <w:rsid w:val="00F81770"/>
    <w:rsid w:val="00F91214"/>
    <w:rsid w:val="00FA430C"/>
    <w:rsid w:val="00FC1268"/>
    <w:rsid w:val="00FD44B4"/>
    <w:rsid w:val="00FE45A5"/>
    <w:rsid w:val="00FE73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B4433"/>
  <w15:chartTrackingRefBased/>
  <w15:docId w15:val="{0E2BBEC4-3DA6-F24E-A0D5-3741B081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B3"/>
    <w:rPr>
      <w:lang w:val="en-GB"/>
    </w:rPr>
  </w:style>
  <w:style w:type="paragraph" w:styleId="Heading1">
    <w:name w:val="heading 1"/>
    <w:basedOn w:val="Normal"/>
    <w:next w:val="Normal"/>
    <w:link w:val="Heading1Char"/>
    <w:uiPriority w:val="9"/>
    <w:qFormat/>
    <w:rsid w:val="001D6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5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5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5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5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ody"/>
    <w:basedOn w:val="Normal"/>
    <w:next w:val="Normal"/>
    <w:autoRedefine/>
    <w:uiPriority w:val="39"/>
    <w:unhideWhenUsed/>
    <w:qFormat/>
    <w:rsid w:val="00AF0A0F"/>
    <w:pPr>
      <w:spacing w:before="120" w:line="259" w:lineRule="auto"/>
    </w:pPr>
    <w:rPr>
      <w:rFonts w:ascii="Times New Roman" w:hAnsi="Times New Roman"/>
      <w:bCs/>
      <w:iCs/>
      <w:color w:val="000000" w:themeColor="text1"/>
      <w:lang w:bidi="hi-IN"/>
    </w:rPr>
  </w:style>
  <w:style w:type="paragraph" w:styleId="Bibliography">
    <w:name w:val="Bibliography"/>
    <w:basedOn w:val="Normal"/>
    <w:next w:val="Normal"/>
    <w:uiPriority w:val="37"/>
    <w:unhideWhenUsed/>
    <w:rsid w:val="00EE79FB"/>
    <w:rPr>
      <w:lang w:val="en-IN"/>
    </w:rPr>
  </w:style>
  <w:style w:type="character" w:customStyle="1" w:styleId="Heading1Char">
    <w:name w:val="Heading 1 Char"/>
    <w:basedOn w:val="DefaultParagraphFont"/>
    <w:link w:val="Heading1"/>
    <w:uiPriority w:val="9"/>
    <w:rsid w:val="001D65B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D65B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D65B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D65B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D65B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D65B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D65B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D65B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D65B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D65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B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D65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5B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D65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65B3"/>
    <w:rPr>
      <w:i/>
      <w:iCs/>
      <w:color w:val="404040" w:themeColor="text1" w:themeTint="BF"/>
      <w:lang w:val="en-GB"/>
    </w:rPr>
  </w:style>
  <w:style w:type="paragraph" w:styleId="ListParagraph">
    <w:name w:val="List Paragraph"/>
    <w:basedOn w:val="Normal"/>
    <w:uiPriority w:val="34"/>
    <w:qFormat/>
    <w:rsid w:val="001D65B3"/>
    <w:pPr>
      <w:ind w:left="720"/>
      <w:contextualSpacing/>
    </w:pPr>
  </w:style>
  <w:style w:type="character" w:styleId="IntenseEmphasis">
    <w:name w:val="Intense Emphasis"/>
    <w:basedOn w:val="DefaultParagraphFont"/>
    <w:uiPriority w:val="21"/>
    <w:qFormat/>
    <w:rsid w:val="001D65B3"/>
    <w:rPr>
      <w:i/>
      <w:iCs/>
      <w:color w:val="0F4761" w:themeColor="accent1" w:themeShade="BF"/>
    </w:rPr>
  </w:style>
  <w:style w:type="paragraph" w:styleId="IntenseQuote">
    <w:name w:val="Intense Quote"/>
    <w:basedOn w:val="Normal"/>
    <w:next w:val="Normal"/>
    <w:link w:val="IntenseQuoteChar"/>
    <w:uiPriority w:val="30"/>
    <w:qFormat/>
    <w:rsid w:val="001D6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5B3"/>
    <w:rPr>
      <w:i/>
      <w:iCs/>
      <w:color w:val="0F4761" w:themeColor="accent1" w:themeShade="BF"/>
      <w:lang w:val="en-GB"/>
    </w:rPr>
  </w:style>
  <w:style w:type="character" w:styleId="IntenseReference">
    <w:name w:val="Intense Reference"/>
    <w:basedOn w:val="DefaultParagraphFont"/>
    <w:uiPriority w:val="32"/>
    <w:qFormat/>
    <w:rsid w:val="001D65B3"/>
    <w:rPr>
      <w:b/>
      <w:bCs/>
      <w:smallCaps/>
      <w:color w:val="0F4761" w:themeColor="accent1" w:themeShade="BF"/>
      <w:spacing w:val="5"/>
    </w:rPr>
  </w:style>
  <w:style w:type="paragraph" w:styleId="FootnoteText">
    <w:name w:val="footnote text"/>
    <w:basedOn w:val="Normal"/>
    <w:link w:val="FootnoteTextChar"/>
    <w:uiPriority w:val="99"/>
    <w:semiHidden/>
    <w:unhideWhenUsed/>
    <w:rsid w:val="001D65B3"/>
    <w:rPr>
      <w:sz w:val="20"/>
      <w:szCs w:val="20"/>
    </w:rPr>
  </w:style>
  <w:style w:type="character" w:customStyle="1" w:styleId="FootnoteTextChar">
    <w:name w:val="Footnote Text Char"/>
    <w:basedOn w:val="DefaultParagraphFont"/>
    <w:link w:val="FootnoteText"/>
    <w:uiPriority w:val="99"/>
    <w:semiHidden/>
    <w:rsid w:val="001D65B3"/>
    <w:rPr>
      <w:sz w:val="20"/>
      <w:szCs w:val="20"/>
      <w:lang w:val="en-GB"/>
    </w:rPr>
  </w:style>
  <w:style w:type="character" w:styleId="FootnoteReference">
    <w:name w:val="footnote reference"/>
    <w:basedOn w:val="DefaultParagraphFont"/>
    <w:uiPriority w:val="99"/>
    <w:semiHidden/>
    <w:unhideWhenUsed/>
    <w:rsid w:val="001D65B3"/>
    <w:rPr>
      <w:vertAlign w:val="superscript"/>
    </w:rPr>
  </w:style>
  <w:style w:type="character" w:styleId="Hyperlink">
    <w:name w:val="Hyperlink"/>
    <w:basedOn w:val="DefaultParagraphFont"/>
    <w:uiPriority w:val="99"/>
    <w:unhideWhenUsed/>
    <w:rsid w:val="001D65B3"/>
    <w:rPr>
      <w:color w:val="467886" w:themeColor="hyperlink"/>
      <w:u w:val="single"/>
    </w:rPr>
  </w:style>
  <w:style w:type="table" w:styleId="PlainTable3">
    <w:name w:val="Plain Table 3"/>
    <w:basedOn w:val="TableNormal"/>
    <w:uiPriority w:val="43"/>
    <w:rsid w:val="002317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23176D"/>
    <w:rPr>
      <w:color w:val="666666"/>
    </w:rPr>
  </w:style>
  <w:style w:type="table" w:styleId="TableGrid">
    <w:name w:val="Table Grid"/>
    <w:basedOn w:val="TableNormal"/>
    <w:uiPriority w:val="39"/>
    <w:rsid w:val="0082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235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8235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1">
    <w:name w:val="Table Grid1"/>
    <w:basedOn w:val="TableNormal"/>
    <w:next w:val="TableGrid"/>
    <w:uiPriority w:val="39"/>
    <w:rsid w:val="00DE70FD"/>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E663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952F8"/>
    <w:pPr>
      <w:tabs>
        <w:tab w:val="center" w:pos="4680"/>
        <w:tab w:val="right" w:pos="9360"/>
      </w:tabs>
    </w:pPr>
  </w:style>
  <w:style w:type="character" w:customStyle="1" w:styleId="HeaderChar">
    <w:name w:val="Header Char"/>
    <w:basedOn w:val="DefaultParagraphFont"/>
    <w:link w:val="Header"/>
    <w:uiPriority w:val="99"/>
    <w:rsid w:val="00B952F8"/>
    <w:rPr>
      <w:lang w:val="en-GB"/>
    </w:rPr>
  </w:style>
  <w:style w:type="paragraph" w:styleId="Footer">
    <w:name w:val="footer"/>
    <w:basedOn w:val="Normal"/>
    <w:link w:val="FooterChar"/>
    <w:uiPriority w:val="99"/>
    <w:unhideWhenUsed/>
    <w:rsid w:val="00B952F8"/>
    <w:pPr>
      <w:tabs>
        <w:tab w:val="center" w:pos="4680"/>
        <w:tab w:val="right" w:pos="9360"/>
      </w:tabs>
    </w:pPr>
  </w:style>
  <w:style w:type="character" w:customStyle="1" w:styleId="FooterChar">
    <w:name w:val="Footer Char"/>
    <w:basedOn w:val="DefaultParagraphFont"/>
    <w:link w:val="Footer"/>
    <w:uiPriority w:val="99"/>
    <w:rsid w:val="00B952F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624">
      <w:bodyDiv w:val="1"/>
      <w:marLeft w:val="0"/>
      <w:marRight w:val="0"/>
      <w:marTop w:val="0"/>
      <w:marBottom w:val="0"/>
      <w:divBdr>
        <w:top w:val="none" w:sz="0" w:space="0" w:color="auto"/>
        <w:left w:val="none" w:sz="0" w:space="0" w:color="auto"/>
        <w:bottom w:val="none" w:sz="0" w:space="0" w:color="auto"/>
        <w:right w:val="none" w:sz="0" w:space="0" w:color="auto"/>
      </w:divBdr>
    </w:div>
    <w:div w:id="63963141">
      <w:bodyDiv w:val="1"/>
      <w:marLeft w:val="0"/>
      <w:marRight w:val="0"/>
      <w:marTop w:val="0"/>
      <w:marBottom w:val="0"/>
      <w:divBdr>
        <w:top w:val="none" w:sz="0" w:space="0" w:color="auto"/>
        <w:left w:val="none" w:sz="0" w:space="0" w:color="auto"/>
        <w:bottom w:val="none" w:sz="0" w:space="0" w:color="auto"/>
        <w:right w:val="none" w:sz="0" w:space="0" w:color="auto"/>
      </w:divBdr>
    </w:div>
    <w:div w:id="87238633">
      <w:bodyDiv w:val="1"/>
      <w:marLeft w:val="0"/>
      <w:marRight w:val="0"/>
      <w:marTop w:val="0"/>
      <w:marBottom w:val="0"/>
      <w:divBdr>
        <w:top w:val="none" w:sz="0" w:space="0" w:color="auto"/>
        <w:left w:val="none" w:sz="0" w:space="0" w:color="auto"/>
        <w:bottom w:val="none" w:sz="0" w:space="0" w:color="auto"/>
        <w:right w:val="none" w:sz="0" w:space="0" w:color="auto"/>
      </w:divBdr>
    </w:div>
    <w:div w:id="116684357">
      <w:bodyDiv w:val="1"/>
      <w:marLeft w:val="0"/>
      <w:marRight w:val="0"/>
      <w:marTop w:val="0"/>
      <w:marBottom w:val="0"/>
      <w:divBdr>
        <w:top w:val="none" w:sz="0" w:space="0" w:color="auto"/>
        <w:left w:val="none" w:sz="0" w:space="0" w:color="auto"/>
        <w:bottom w:val="none" w:sz="0" w:space="0" w:color="auto"/>
        <w:right w:val="none" w:sz="0" w:space="0" w:color="auto"/>
      </w:divBdr>
    </w:div>
    <w:div w:id="138037305">
      <w:bodyDiv w:val="1"/>
      <w:marLeft w:val="0"/>
      <w:marRight w:val="0"/>
      <w:marTop w:val="0"/>
      <w:marBottom w:val="0"/>
      <w:divBdr>
        <w:top w:val="none" w:sz="0" w:space="0" w:color="auto"/>
        <w:left w:val="none" w:sz="0" w:space="0" w:color="auto"/>
        <w:bottom w:val="none" w:sz="0" w:space="0" w:color="auto"/>
        <w:right w:val="none" w:sz="0" w:space="0" w:color="auto"/>
      </w:divBdr>
    </w:div>
    <w:div w:id="142703199">
      <w:bodyDiv w:val="1"/>
      <w:marLeft w:val="0"/>
      <w:marRight w:val="0"/>
      <w:marTop w:val="0"/>
      <w:marBottom w:val="0"/>
      <w:divBdr>
        <w:top w:val="none" w:sz="0" w:space="0" w:color="auto"/>
        <w:left w:val="none" w:sz="0" w:space="0" w:color="auto"/>
        <w:bottom w:val="none" w:sz="0" w:space="0" w:color="auto"/>
        <w:right w:val="none" w:sz="0" w:space="0" w:color="auto"/>
      </w:divBdr>
      <w:divsChild>
        <w:div w:id="1946765537">
          <w:marLeft w:val="0"/>
          <w:marRight w:val="0"/>
          <w:marTop w:val="0"/>
          <w:marBottom w:val="0"/>
          <w:divBdr>
            <w:top w:val="none" w:sz="0" w:space="0" w:color="auto"/>
            <w:left w:val="none" w:sz="0" w:space="0" w:color="auto"/>
            <w:bottom w:val="none" w:sz="0" w:space="0" w:color="auto"/>
            <w:right w:val="none" w:sz="0" w:space="0" w:color="auto"/>
          </w:divBdr>
          <w:divsChild>
            <w:div w:id="368994458">
              <w:marLeft w:val="0"/>
              <w:marRight w:val="0"/>
              <w:marTop w:val="0"/>
              <w:marBottom w:val="0"/>
              <w:divBdr>
                <w:top w:val="none" w:sz="0" w:space="0" w:color="auto"/>
                <w:left w:val="none" w:sz="0" w:space="0" w:color="auto"/>
                <w:bottom w:val="none" w:sz="0" w:space="0" w:color="auto"/>
                <w:right w:val="none" w:sz="0" w:space="0" w:color="auto"/>
              </w:divBdr>
              <w:divsChild>
                <w:div w:id="1124234205">
                  <w:marLeft w:val="0"/>
                  <w:marRight w:val="0"/>
                  <w:marTop w:val="0"/>
                  <w:marBottom w:val="0"/>
                  <w:divBdr>
                    <w:top w:val="none" w:sz="0" w:space="0" w:color="auto"/>
                    <w:left w:val="none" w:sz="0" w:space="0" w:color="auto"/>
                    <w:bottom w:val="none" w:sz="0" w:space="0" w:color="auto"/>
                    <w:right w:val="none" w:sz="0" w:space="0" w:color="auto"/>
                  </w:divBdr>
                  <w:divsChild>
                    <w:div w:id="74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8109">
      <w:bodyDiv w:val="1"/>
      <w:marLeft w:val="0"/>
      <w:marRight w:val="0"/>
      <w:marTop w:val="0"/>
      <w:marBottom w:val="0"/>
      <w:divBdr>
        <w:top w:val="none" w:sz="0" w:space="0" w:color="auto"/>
        <w:left w:val="none" w:sz="0" w:space="0" w:color="auto"/>
        <w:bottom w:val="none" w:sz="0" w:space="0" w:color="auto"/>
        <w:right w:val="none" w:sz="0" w:space="0" w:color="auto"/>
      </w:divBdr>
    </w:div>
    <w:div w:id="152838162">
      <w:bodyDiv w:val="1"/>
      <w:marLeft w:val="0"/>
      <w:marRight w:val="0"/>
      <w:marTop w:val="0"/>
      <w:marBottom w:val="0"/>
      <w:divBdr>
        <w:top w:val="none" w:sz="0" w:space="0" w:color="auto"/>
        <w:left w:val="none" w:sz="0" w:space="0" w:color="auto"/>
        <w:bottom w:val="none" w:sz="0" w:space="0" w:color="auto"/>
        <w:right w:val="none" w:sz="0" w:space="0" w:color="auto"/>
      </w:divBdr>
    </w:div>
    <w:div w:id="162939333">
      <w:bodyDiv w:val="1"/>
      <w:marLeft w:val="0"/>
      <w:marRight w:val="0"/>
      <w:marTop w:val="0"/>
      <w:marBottom w:val="0"/>
      <w:divBdr>
        <w:top w:val="none" w:sz="0" w:space="0" w:color="auto"/>
        <w:left w:val="none" w:sz="0" w:space="0" w:color="auto"/>
        <w:bottom w:val="none" w:sz="0" w:space="0" w:color="auto"/>
        <w:right w:val="none" w:sz="0" w:space="0" w:color="auto"/>
      </w:divBdr>
    </w:div>
    <w:div w:id="170533264">
      <w:bodyDiv w:val="1"/>
      <w:marLeft w:val="0"/>
      <w:marRight w:val="0"/>
      <w:marTop w:val="0"/>
      <w:marBottom w:val="0"/>
      <w:divBdr>
        <w:top w:val="none" w:sz="0" w:space="0" w:color="auto"/>
        <w:left w:val="none" w:sz="0" w:space="0" w:color="auto"/>
        <w:bottom w:val="none" w:sz="0" w:space="0" w:color="auto"/>
        <w:right w:val="none" w:sz="0" w:space="0" w:color="auto"/>
      </w:divBdr>
    </w:div>
    <w:div w:id="177043610">
      <w:bodyDiv w:val="1"/>
      <w:marLeft w:val="0"/>
      <w:marRight w:val="0"/>
      <w:marTop w:val="0"/>
      <w:marBottom w:val="0"/>
      <w:divBdr>
        <w:top w:val="none" w:sz="0" w:space="0" w:color="auto"/>
        <w:left w:val="none" w:sz="0" w:space="0" w:color="auto"/>
        <w:bottom w:val="none" w:sz="0" w:space="0" w:color="auto"/>
        <w:right w:val="none" w:sz="0" w:space="0" w:color="auto"/>
      </w:divBdr>
    </w:div>
    <w:div w:id="226962818">
      <w:bodyDiv w:val="1"/>
      <w:marLeft w:val="0"/>
      <w:marRight w:val="0"/>
      <w:marTop w:val="0"/>
      <w:marBottom w:val="0"/>
      <w:divBdr>
        <w:top w:val="none" w:sz="0" w:space="0" w:color="auto"/>
        <w:left w:val="none" w:sz="0" w:space="0" w:color="auto"/>
        <w:bottom w:val="none" w:sz="0" w:space="0" w:color="auto"/>
        <w:right w:val="none" w:sz="0" w:space="0" w:color="auto"/>
      </w:divBdr>
      <w:divsChild>
        <w:div w:id="1696544208">
          <w:marLeft w:val="0"/>
          <w:marRight w:val="0"/>
          <w:marTop w:val="0"/>
          <w:marBottom w:val="0"/>
          <w:divBdr>
            <w:top w:val="none" w:sz="0" w:space="0" w:color="auto"/>
            <w:left w:val="none" w:sz="0" w:space="0" w:color="auto"/>
            <w:bottom w:val="none" w:sz="0" w:space="0" w:color="auto"/>
            <w:right w:val="none" w:sz="0" w:space="0" w:color="auto"/>
          </w:divBdr>
          <w:divsChild>
            <w:div w:id="496464713">
              <w:marLeft w:val="0"/>
              <w:marRight w:val="0"/>
              <w:marTop w:val="0"/>
              <w:marBottom w:val="0"/>
              <w:divBdr>
                <w:top w:val="none" w:sz="0" w:space="0" w:color="auto"/>
                <w:left w:val="none" w:sz="0" w:space="0" w:color="auto"/>
                <w:bottom w:val="none" w:sz="0" w:space="0" w:color="auto"/>
                <w:right w:val="none" w:sz="0" w:space="0" w:color="auto"/>
              </w:divBdr>
              <w:divsChild>
                <w:div w:id="1166943569">
                  <w:marLeft w:val="0"/>
                  <w:marRight w:val="0"/>
                  <w:marTop w:val="0"/>
                  <w:marBottom w:val="0"/>
                  <w:divBdr>
                    <w:top w:val="none" w:sz="0" w:space="0" w:color="auto"/>
                    <w:left w:val="none" w:sz="0" w:space="0" w:color="auto"/>
                    <w:bottom w:val="none" w:sz="0" w:space="0" w:color="auto"/>
                    <w:right w:val="none" w:sz="0" w:space="0" w:color="auto"/>
                  </w:divBdr>
                  <w:divsChild>
                    <w:div w:id="1782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94193">
      <w:bodyDiv w:val="1"/>
      <w:marLeft w:val="0"/>
      <w:marRight w:val="0"/>
      <w:marTop w:val="0"/>
      <w:marBottom w:val="0"/>
      <w:divBdr>
        <w:top w:val="none" w:sz="0" w:space="0" w:color="auto"/>
        <w:left w:val="none" w:sz="0" w:space="0" w:color="auto"/>
        <w:bottom w:val="none" w:sz="0" w:space="0" w:color="auto"/>
        <w:right w:val="none" w:sz="0" w:space="0" w:color="auto"/>
      </w:divBdr>
    </w:div>
    <w:div w:id="255142440">
      <w:bodyDiv w:val="1"/>
      <w:marLeft w:val="0"/>
      <w:marRight w:val="0"/>
      <w:marTop w:val="0"/>
      <w:marBottom w:val="0"/>
      <w:divBdr>
        <w:top w:val="none" w:sz="0" w:space="0" w:color="auto"/>
        <w:left w:val="none" w:sz="0" w:space="0" w:color="auto"/>
        <w:bottom w:val="none" w:sz="0" w:space="0" w:color="auto"/>
        <w:right w:val="none" w:sz="0" w:space="0" w:color="auto"/>
      </w:divBdr>
    </w:div>
    <w:div w:id="276062490">
      <w:bodyDiv w:val="1"/>
      <w:marLeft w:val="0"/>
      <w:marRight w:val="0"/>
      <w:marTop w:val="0"/>
      <w:marBottom w:val="0"/>
      <w:divBdr>
        <w:top w:val="none" w:sz="0" w:space="0" w:color="auto"/>
        <w:left w:val="none" w:sz="0" w:space="0" w:color="auto"/>
        <w:bottom w:val="none" w:sz="0" w:space="0" w:color="auto"/>
        <w:right w:val="none" w:sz="0" w:space="0" w:color="auto"/>
      </w:divBdr>
    </w:div>
    <w:div w:id="285235172">
      <w:bodyDiv w:val="1"/>
      <w:marLeft w:val="0"/>
      <w:marRight w:val="0"/>
      <w:marTop w:val="0"/>
      <w:marBottom w:val="0"/>
      <w:divBdr>
        <w:top w:val="none" w:sz="0" w:space="0" w:color="auto"/>
        <w:left w:val="none" w:sz="0" w:space="0" w:color="auto"/>
        <w:bottom w:val="none" w:sz="0" w:space="0" w:color="auto"/>
        <w:right w:val="none" w:sz="0" w:space="0" w:color="auto"/>
      </w:divBdr>
    </w:div>
    <w:div w:id="293609860">
      <w:bodyDiv w:val="1"/>
      <w:marLeft w:val="0"/>
      <w:marRight w:val="0"/>
      <w:marTop w:val="0"/>
      <w:marBottom w:val="0"/>
      <w:divBdr>
        <w:top w:val="none" w:sz="0" w:space="0" w:color="auto"/>
        <w:left w:val="none" w:sz="0" w:space="0" w:color="auto"/>
        <w:bottom w:val="none" w:sz="0" w:space="0" w:color="auto"/>
        <w:right w:val="none" w:sz="0" w:space="0" w:color="auto"/>
      </w:divBdr>
    </w:div>
    <w:div w:id="328099449">
      <w:bodyDiv w:val="1"/>
      <w:marLeft w:val="0"/>
      <w:marRight w:val="0"/>
      <w:marTop w:val="0"/>
      <w:marBottom w:val="0"/>
      <w:divBdr>
        <w:top w:val="none" w:sz="0" w:space="0" w:color="auto"/>
        <w:left w:val="none" w:sz="0" w:space="0" w:color="auto"/>
        <w:bottom w:val="none" w:sz="0" w:space="0" w:color="auto"/>
        <w:right w:val="none" w:sz="0" w:space="0" w:color="auto"/>
      </w:divBdr>
    </w:div>
    <w:div w:id="329017902">
      <w:bodyDiv w:val="1"/>
      <w:marLeft w:val="0"/>
      <w:marRight w:val="0"/>
      <w:marTop w:val="0"/>
      <w:marBottom w:val="0"/>
      <w:divBdr>
        <w:top w:val="none" w:sz="0" w:space="0" w:color="auto"/>
        <w:left w:val="none" w:sz="0" w:space="0" w:color="auto"/>
        <w:bottom w:val="none" w:sz="0" w:space="0" w:color="auto"/>
        <w:right w:val="none" w:sz="0" w:space="0" w:color="auto"/>
      </w:divBdr>
    </w:div>
    <w:div w:id="363137864">
      <w:bodyDiv w:val="1"/>
      <w:marLeft w:val="0"/>
      <w:marRight w:val="0"/>
      <w:marTop w:val="0"/>
      <w:marBottom w:val="0"/>
      <w:divBdr>
        <w:top w:val="none" w:sz="0" w:space="0" w:color="auto"/>
        <w:left w:val="none" w:sz="0" w:space="0" w:color="auto"/>
        <w:bottom w:val="none" w:sz="0" w:space="0" w:color="auto"/>
        <w:right w:val="none" w:sz="0" w:space="0" w:color="auto"/>
      </w:divBdr>
    </w:div>
    <w:div w:id="364986061">
      <w:bodyDiv w:val="1"/>
      <w:marLeft w:val="0"/>
      <w:marRight w:val="0"/>
      <w:marTop w:val="0"/>
      <w:marBottom w:val="0"/>
      <w:divBdr>
        <w:top w:val="none" w:sz="0" w:space="0" w:color="auto"/>
        <w:left w:val="none" w:sz="0" w:space="0" w:color="auto"/>
        <w:bottom w:val="none" w:sz="0" w:space="0" w:color="auto"/>
        <w:right w:val="none" w:sz="0" w:space="0" w:color="auto"/>
      </w:divBdr>
    </w:div>
    <w:div w:id="373622089">
      <w:bodyDiv w:val="1"/>
      <w:marLeft w:val="0"/>
      <w:marRight w:val="0"/>
      <w:marTop w:val="0"/>
      <w:marBottom w:val="0"/>
      <w:divBdr>
        <w:top w:val="none" w:sz="0" w:space="0" w:color="auto"/>
        <w:left w:val="none" w:sz="0" w:space="0" w:color="auto"/>
        <w:bottom w:val="none" w:sz="0" w:space="0" w:color="auto"/>
        <w:right w:val="none" w:sz="0" w:space="0" w:color="auto"/>
      </w:divBdr>
      <w:divsChild>
        <w:div w:id="912350775">
          <w:marLeft w:val="0"/>
          <w:marRight w:val="0"/>
          <w:marTop w:val="0"/>
          <w:marBottom w:val="0"/>
          <w:divBdr>
            <w:top w:val="none" w:sz="0" w:space="0" w:color="auto"/>
            <w:left w:val="none" w:sz="0" w:space="0" w:color="auto"/>
            <w:bottom w:val="none" w:sz="0" w:space="0" w:color="auto"/>
            <w:right w:val="none" w:sz="0" w:space="0" w:color="auto"/>
          </w:divBdr>
          <w:divsChild>
            <w:div w:id="134415989">
              <w:marLeft w:val="0"/>
              <w:marRight w:val="0"/>
              <w:marTop w:val="0"/>
              <w:marBottom w:val="0"/>
              <w:divBdr>
                <w:top w:val="none" w:sz="0" w:space="0" w:color="auto"/>
                <w:left w:val="none" w:sz="0" w:space="0" w:color="auto"/>
                <w:bottom w:val="none" w:sz="0" w:space="0" w:color="auto"/>
                <w:right w:val="none" w:sz="0" w:space="0" w:color="auto"/>
              </w:divBdr>
              <w:divsChild>
                <w:div w:id="1252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48595">
      <w:bodyDiv w:val="1"/>
      <w:marLeft w:val="0"/>
      <w:marRight w:val="0"/>
      <w:marTop w:val="0"/>
      <w:marBottom w:val="0"/>
      <w:divBdr>
        <w:top w:val="none" w:sz="0" w:space="0" w:color="auto"/>
        <w:left w:val="none" w:sz="0" w:space="0" w:color="auto"/>
        <w:bottom w:val="none" w:sz="0" w:space="0" w:color="auto"/>
        <w:right w:val="none" w:sz="0" w:space="0" w:color="auto"/>
      </w:divBdr>
    </w:div>
    <w:div w:id="447355083">
      <w:bodyDiv w:val="1"/>
      <w:marLeft w:val="0"/>
      <w:marRight w:val="0"/>
      <w:marTop w:val="0"/>
      <w:marBottom w:val="0"/>
      <w:divBdr>
        <w:top w:val="none" w:sz="0" w:space="0" w:color="auto"/>
        <w:left w:val="none" w:sz="0" w:space="0" w:color="auto"/>
        <w:bottom w:val="none" w:sz="0" w:space="0" w:color="auto"/>
        <w:right w:val="none" w:sz="0" w:space="0" w:color="auto"/>
      </w:divBdr>
    </w:div>
    <w:div w:id="464547139">
      <w:bodyDiv w:val="1"/>
      <w:marLeft w:val="0"/>
      <w:marRight w:val="0"/>
      <w:marTop w:val="0"/>
      <w:marBottom w:val="0"/>
      <w:divBdr>
        <w:top w:val="none" w:sz="0" w:space="0" w:color="auto"/>
        <w:left w:val="none" w:sz="0" w:space="0" w:color="auto"/>
        <w:bottom w:val="none" w:sz="0" w:space="0" w:color="auto"/>
        <w:right w:val="none" w:sz="0" w:space="0" w:color="auto"/>
      </w:divBdr>
    </w:div>
    <w:div w:id="471797997">
      <w:bodyDiv w:val="1"/>
      <w:marLeft w:val="0"/>
      <w:marRight w:val="0"/>
      <w:marTop w:val="0"/>
      <w:marBottom w:val="0"/>
      <w:divBdr>
        <w:top w:val="none" w:sz="0" w:space="0" w:color="auto"/>
        <w:left w:val="none" w:sz="0" w:space="0" w:color="auto"/>
        <w:bottom w:val="none" w:sz="0" w:space="0" w:color="auto"/>
        <w:right w:val="none" w:sz="0" w:space="0" w:color="auto"/>
      </w:divBdr>
    </w:div>
    <w:div w:id="503593960">
      <w:bodyDiv w:val="1"/>
      <w:marLeft w:val="0"/>
      <w:marRight w:val="0"/>
      <w:marTop w:val="0"/>
      <w:marBottom w:val="0"/>
      <w:divBdr>
        <w:top w:val="none" w:sz="0" w:space="0" w:color="auto"/>
        <w:left w:val="none" w:sz="0" w:space="0" w:color="auto"/>
        <w:bottom w:val="none" w:sz="0" w:space="0" w:color="auto"/>
        <w:right w:val="none" w:sz="0" w:space="0" w:color="auto"/>
      </w:divBdr>
    </w:div>
    <w:div w:id="529686979">
      <w:bodyDiv w:val="1"/>
      <w:marLeft w:val="0"/>
      <w:marRight w:val="0"/>
      <w:marTop w:val="0"/>
      <w:marBottom w:val="0"/>
      <w:divBdr>
        <w:top w:val="none" w:sz="0" w:space="0" w:color="auto"/>
        <w:left w:val="none" w:sz="0" w:space="0" w:color="auto"/>
        <w:bottom w:val="none" w:sz="0" w:space="0" w:color="auto"/>
        <w:right w:val="none" w:sz="0" w:space="0" w:color="auto"/>
      </w:divBdr>
    </w:div>
    <w:div w:id="531891338">
      <w:bodyDiv w:val="1"/>
      <w:marLeft w:val="0"/>
      <w:marRight w:val="0"/>
      <w:marTop w:val="0"/>
      <w:marBottom w:val="0"/>
      <w:divBdr>
        <w:top w:val="none" w:sz="0" w:space="0" w:color="auto"/>
        <w:left w:val="none" w:sz="0" w:space="0" w:color="auto"/>
        <w:bottom w:val="none" w:sz="0" w:space="0" w:color="auto"/>
        <w:right w:val="none" w:sz="0" w:space="0" w:color="auto"/>
      </w:divBdr>
    </w:div>
    <w:div w:id="543953337">
      <w:bodyDiv w:val="1"/>
      <w:marLeft w:val="0"/>
      <w:marRight w:val="0"/>
      <w:marTop w:val="0"/>
      <w:marBottom w:val="0"/>
      <w:divBdr>
        <w:top w:val="none" w:sz="0" w:space="0" w:color="auto"/>
        <w:left w:val="none" w:sz="0" w:space="0" w:color="auto"/>
        <w:bottom w:val="none" w:sz="0" w:space="0" w:color="auto"/>
        <w:right w:val="none" w:sz="0" w:space="0" w:color="auto"/>
      </w:divBdr>
    </w:div>
    <w:div w:id="575432399">
      <w:bodyDiv w:val="1"/>
      <w:marLeft w:val="0"/>
      <w:marRight w:val="0"/>
      <w:marTop w:val="0"/>
      <w:marBottom w:val="0"/>
      <w:divBdr>
        <w:top w:val="none" w:sz="0" w:space="0" w:color="auto"/>
        <w:left w:val="none" w:sz="0" w:space="0" w:color="auto"/>
        <w:bottom w:val="none" w:sz="0" w:space="0" w:color="auto"/>
        <w:right w:val="none" w:sz="0" w:space="0" w:color="auto"/>
      </w:divBdr>
    </w:div>
    <w:div w:id="603002743">
      <w:bodyDiv w:val="1"/>
      <w:marLeft w:val="0"/>
      <w:marRight w:val="0"/>
      <w:marTop w:val="0"/>
      <w:marBottom w:val="0"/>
      <w:divBdr>
        <w:top w:val="none" w:sz="0" w:space="0" w:color="auto"/>
        <w:left w:val="none" w:sz="0" w:space="0" w:color="auto"/>
        <w:bottom w:val="none" w:sz="0" w:space="0" w:color="auto"/>
        <w:right w:val="none" w:sz="0" w:space="0" w:color="auto"/>
      </w:divBdr>
    </w:div>
    <w:div w:id="613824984">
      <w:bodyDiv w:val="1"/>
      <w:marLeft w:val="0"/>
      <w:marRight w:val="0"/>
      <w:marTop w:val="0"/>
      <w:marBottom w:val="0"/>
      <w:divBdr>
        <w:top w:val="none" w:sz="0" w:space="0" w:color="auto"/>
        <w:left w:val="none" w:sz="0" w:space="0" w:color="auto"/>
        <w:bottom w:val="none" w:sz="0" w:space="0" w:color="auto"/>
        <w:right w:val="none" w:sz="0" w:space="0" w:color="auto"/>
      </w:divBdr>
    </w:div>
    <w:div w:id="622417739">
      <w:bodyDiv w:val="1"/>
      <w:marLeft w:val="0"/>
      <w:marRight w:val="0"/>
      <w:marTop w:val="0"/>
      <w:marBottom w:val="0"/>
      <w:divBdr>
        <w:top w:val="none" w:sz="0" w:space="0" w:color="auto"/>
        <w:left w:val="none" w:sz="0" w:space="0" w:color="auto"/>
        <w:bottom w:val="none" w:sz="0" w:space="0" w:color="auto"/>
        <w:right w:val="none" w:sz="0" w:space="0" w:color="auto"/>
      </w:divBdr>
    </w:div>
    <w:div w:id="632371253">
      <w:bodyDiv w:val="1"/>
      <w:marLeft w:val="0"/>
      <w:marRight w:val="0"/>
      <w:marTop w:val="0"/>
      <w:marBottom w:val="0"/>
      <w:divBdr>
        <w:top w:val="none" w:sz="0" w:space="0" w:color="auto"/>
        <w:left w:val="none" w:sz="0" w:space="0" w:color="auto"/>
        <w:bottom w:val="none" w:sz="0" w:space="0" w:color="auto"/>
        <w:right w:val="none" w:sz="0" w:space="0" w:color="auto"/>
      </w:divBdr>
    </w:div>
    <w:div w:id="638457554">
      <w:bodyDiv w:val="1"/>
      <w:marLeft w:val="0"/>
      <w:marRight w:val="0"/>
      <w:marTop w:val="0"/>
      <w:marBottom w:val="0"/>
      <w:divBdr>
        <w:top w:val="none" w:sz="0" w:space="0" w:color="auto"/>
        <w:left w:val="none" w:sz="0" w:space="0" w:color="auto"/>
        <w:bottom w:val="none" w:sz="0" w:space="0" w:color="auto"/>
        <w:right w:val="none" w:sz="0" w:space="0" w:color="auto"/>
      </w:divBdr>
    </w:div>
    <w:div w:id="643002999">
      <w:bodyDiv w:val="1"/>
      <w:marLeft w:val="0"/>
      <w:marRight w:val="0"/>
      <w:marTop w:val="0"/>
      <w:marBottom w:val="0"/>
      <w:divBdr>
        <w:top w:val="none" w:sz="0" w:space="0" w:color="auto"/>
        <w:left w:val="none" w:sz="0" w:space="0" w:color="auto"/>
        <w:bottom w:val="none" w:sz="0" w:space="0" w:color="auto"/>
        <w:right w:val="none" w:sz="0" w:space="0" w:color="auto"/>
      </w:divBdr>
    </w:div>
    <w:div w:id="662273265">
      <w:bodyDiv w:val="1"/>
      <w:marLeft w:val="0"/>
      <w:marRight w:val="0"/>
      <w:marTop w:val="0"/>
      <w:marBottom w:val="0"/>
      <w:divBdr>
        <w:top w:val="none" w:sz="0" w:space="0" w:color="auto"/>
        <w:left w:val="none" w:sz="0" w:space="0" w:color="auto"/>
        <w:bottom w:val="none" w:sz="0" w:space="0" w:color="auto"/>
        <w:right w:val="none" w:sz="0" w:space="0" w:color="auto"/>
      </w:divBdr>
    </w:div>
    <w:div w:id="667681573">
      <w:bodyDiv w:val="1"/>
      <w:marLeft w:val="0"/>
      <w:marRight w:val="0"/>
      <w:marTop w:val="0"/>
      <w:marBottom w:val="0"/>
      <w:divBdr>
        <w:top w:val="none" w:sz="0" w:space="0" w:color="auto"/>
        <w:left w:val="none" w:sz="0" w:space="0" w:color="auto"/>
        <w:bottom w:val="none" w:sz="0" w:space="0" w:color="auto"/>
        <w:right w:val="none" w:sz="0" w:space="0" w:color="auto"/>
      </w:divBdr>
    </w:div>
    <w:div w:id="713849379">
      <w:bodyDiv w:val="1"/>
      <w:marLeft w:val="0"/>
      <w:marRight w:val="0"/>
      <w:marTop w:val="0"/>
      <w:marBottom w:val="0"/>
      <w:divBdr>
        <w:top w:val="none" w:sz="0" w:space="0" w:color="auto"/>
        <w:left w:val="none" w:sz="0" w:space="0" w:color="auto"/>
        <w:bottom w:val="none" w:sz="0" w:space="0" w:color="auto"/>
        <w:right w:val="none" w:sz="0" w:space="0" w:color="auto"/>
      </w:divBdr>
    </w:div>
    <w:div w:id="730467822">
      <w:bodyDiv w:val="1"/>
      <w:marLeft w:val="0"/>
      <w:marRight w:val="0"/>
      <w:marTop w:val="0"/>
      <w:marBottom w:val="0"/>
      <w:divBdr>
        <w:top w:val="none" w:sz="0" w:space="0" w:color="auto"/>
        <w:left w:val="none" w:sz="0" w:space="0" w:color="auto"/>
        <w:bottom w:val="none" w:sz="0" w:space="0" w:color="auto"/>
        <w:right w:val="none" w:sz="0" w:space="0" w:color="auto"/>
      </w:divBdr>
    </w:div>
    <w:div w:id="733235196">
      <w:bodyDiv w:val="1"/>
      <w:marLeft w:val="0"/>
      <w:marRight w:val="0"/>
      <w:marTop w:val="0"/>
      <w:marBottom w:val="0"/>
      <w:divBdr>
        <w:top w:val="none" w:sz="0" w:space="0" w:color="auto"/>
        <w:left w:val="none" w:sz="0" w:space="0" w:color="auto"/>
        <w:bottom w:val="none" w:sz="0" w:space="0" w:color="auto"/>
        <w:right w:val="none" w:sz="0" w:space="0" w:color="auto"/>
      </w:divBdr>
    </w:div>
    <w:div w:id="755203045">
      <w:bodyDiv w:val="1"/>
      <w:marLeft w:val="0"/>
      <w:marRight w:val="0"/>
      <w:marTop w:val="0"/>
      <w:marBottom w:val="0"/>
      <w:divBdr>
        <w:top w:val="none" w:sz="0" w:space="0" w:color="auto"/>
        <w:left w:val="none" w:sz="0" w:space="0" w:color="auto"/>
        <w:bottom w:val="none" w:sz="0" w:space="0" w:color="auto"/>
        <w:right w:val="none" w:sz="0" w:space="0" w:color="auto"/>
      </w:divBdr>
    </w:div>
    <w:div w:id="759301405">
      <w:bodyDiv w:val="1"/>
      <w:marLeft w:val="0"/>
      <w:marRight w:val="0"/>
      <w:marTop w:val="0"/>
      <w:marBottom w:val="0"/>
      <w:divBdr>
        <w:top w:val="none" w:sz="0" w:space="0" w:color="auto"/>
        <w:left w:val="none" w:sz="0" w:space="0" w:color="auto"/>
        <w:bottom w:val="none" w:sz="0" w:space="0" w:color="auto"/>
        <w:right w:val="none" w:sz="0" w:space="0" w:color="auto"/>
      </w:divBdr>
    </w:div>
    <w:div w:id="800615492">
      <w:bodyDiv w:val="1"/>
      <w:marLeft w:val="0"/>
      <w:marRight w:val="0"/>
      <w:marTop w:val="0"/>
      <w:marBottom w:val="0"/>
      <w:divBdr>
        <w:top w:val="none" w:sz="0" w:space="0" w:color="auto"/>
        <w:left w:val="none" w:sz="0" w:space="0" w:color="auto"/>
        <w:bottom w:val="none" w:sz="0" w:space="0" w:color="auto"/>
        <w:right w:val="none" w:sz="0" w:space="0" w:color="auto"/>
      </w:divBdr>
    </w:div>
    <w:div w:id="815415218">
      <w:bodyDiv w:val="1"/>
      <w:marLeft w:val="0"/>
      <w:marRight w:val="0"/>
      <w:marTop w:val="0"/>
      <w:marBottom w:val="0"/>
      <w:divBdr>
        <w:top w:val="none" w:sz="0" w:space="0" w:color="auto"/>
        <w:left w:val="none" w:sz="0" w:space="0" w:color="auto"/>
        <w:bottom w:val="none" w:sz="0" w:space="0" w:color="auto"/>
        <w:right w:val="none" w:sz="0" w:space="0" w:color="auto"/>
      </w:divBdr>
    </w:div>
    <w:div w:id="822619593">
      <w:bodyDiv w:val="1"/>
      <w:marLeft w:val="0"/>
      <w:marRight w:val="0"/>
      <w:marTop w:val="0"/>
      <w:marBottom w:val="0"/>
      <w:divBdr>
        <w:top w:val="none" w:sz="0" w:space="0" w:color="auto"/>
        <w:left w:val="none" w:sz="0" w:space="0" w:color="auto"/>
        <w:bottom w:val="none" w:sz="0" w:space="0" w:color="auto"/>
        <w:right w:val="none" w:sz="0" w:space="0" w:color="auto"/>
      </w:divBdr>
    </w:div>
    <w:div w:id="835728266">
      <w:bodyDiv w:val="1"/>
      <w:marLeft w:val="0"/>
      <w:marRight w:val="0"/>
      <w:marTop w:val="0"/>
      <w:marBottom w:val="0"/>
      <w:divBdr>
        <w:top w:val="none" w:sz="0" w:space="0" w:color="auto"/>
        <w:left w:val="none" w:sz="0" w:space="0" w:color="auto"/>
        <w:bottom w:val="none" w:sz="0" w:space="0" w:color="auto"/>
        <w:right w:val="none" w:sz="0" w:space="0" w:color="auto"/>
      </w:divBdr>
    </w:div>
    <w:div w:id="836530597">
      <w:bodyDiv w:val="1"/>
      <w:marLeft w:val="0"/>
      <w:marRight w:val="0"/>
      <w:marTop w:val="0"/>
      <w:marBottom w:val="0"/>
      <w:divBdr>
        <w:top w:val="none" w:sz="0" w:space="0" w:color="auto"/>
        <w:left w:val="none" w:sz="0" w:space="0" w:color="auto"/>
        <w:bottom w:val="none" w:sz="0" w:space="0" w:color="auto"/>
        <w:right w:val="none" w:sz="0" w:space="0" w:color="auto"/>
      </w:divBdr>
    </w:div>
    <w:div w:id="930430930">
      <w:bodyDiv w:val="1"/>
      <w:marLeft w:val="0"/>
      <w:marRight w:val="0"/>
      <w:marTop w:val="0"/>
      <w:marBottom w:val="0"/>
      <w:divBdr>
        <w:top w:val="none" w:sz="0" w:space="0" w:color="auto"/>
        <w:left w:val="none" w:sz="0" w:space="0" w:color="auto"/>
        <w:bottom w:val="none" w:sz="0" w:space="0" w:color="auto"/>
        <w:right w:val="none" w:sz="0" w:space="0" w:color="auto"/>
      </w:divBdr>
    </w:div>
    <w:div w:id="935094964">
      <w:bodyDiv w:val="1"/>
      <w:marLeft w:val="0"/>
      <w:marRight w:val="0"/>
      <w:marTop w:val="0"/>
      <w:marBottom w:val="0"/>
      <w:divBdr>
        <w:top w:val="none" w:sz="0" w:space="0" w:color="auto"/>
        <w:left w:val="none" w:sz="0" w:space="0" w:color="auto"/>
        <w:bottom w:val="none" w:sz="0" w:space="0" w:color="auto"/>
        <w:right w:val="none" w:sz="0" w:space="0" w:color="auto"/>
      </w:divBdr>
    </w:div>
    <w:div w:id="944725506">
      <w:bodyDiv w:val="1"/>
      <w:marLeft w:val="0"/>
      <w:marRight w:val="0"/>
      <w:marTop w:val="0"/>
      <w:marBottom w:val="0"/>
      <w:divBdr>
        <w:top w:val="none" w:sz="0" w:space="0" w:color="auto"/>
        <w:left w:val="none" w:sz="0" w:space="0" w:color="auto"/>
        <w:bottom w:val="none" w:sz="0" w:space="0" w:color="auto"/>
        <w:right w:val="none" w:sz="0" w:space="0" w:color="auto"/>
      </w:divBdr>
    </w:div>
    <w:div w:id="965357690">
      <w:bodyDiv w:val="1"/>
      <w:marLeft w:val="0"/>
      <w:marRight w:val="0"/>
      <w:marTop w:val="0"/>
      <w:marBottom w:val="0"/>
      <w:divBdr>
        <w:top w:val="none" w:sz="0" w:space="0" w:color="auto"/>
        <w:left w:val="none" w:sz="0" w:space="0" w:color="auto"/>
        <w:bottom w:val="none" w:sz="0" w:space="0" w:color="auto"/>
        <w:right w:val="none" w:sz="0" w:space="0" w:color="auto"/>
      </w:divBdr>
    </w:div>
    <w:div w:id="970091753">
      <w:bodyDiv w:val="1"/>
      <w:marLeft w:val="0"/>
      <w:marRight w:val="0"/>
      <w:marTop w:val="0"/>
      <w:marBottom w:val="0"/>
      <w:divBdr>
        <w:top w:val="none" w:sz="0" w:space="0" w:color="auto"/>
        <w:left w:val="none" w:sz="0" w:space="0" w:color="auto"/>
        <w:bottom w:val="none" w:sz="0" w:space="0" w:color="auto"/>
        <w:right w:val="none" w:sz="0" w:space="0" w:color="auto"/>
      </w:divBdr>
    </w:div>
    <w:div w:id="976911450">
      <w:bodyDiv w:val="1"/>
      <w:marLeft w:val="0"/>
      <w:marRight w:val="0"/>
      <w:marTop w:val="0"/>
      <w:marBottom w:val="0"/>
      <w:divBdr>
        <w:top w:val="none" w:sz="0" w:space="0" w:color="auto"/>
        <w:left w:val="none" w:sz="0" w:space="0" w:color="auto"/>
        <w:bottom w:val="none" w:sz="0" w:space="0" w:color="auto"/>
        <w:right w:val="none" w:sz="0" w:space="0" w:color="auto"/>
      </w:divBdr>
    </w:div>
    <w:div w:id="983697227">
      <w:bodyDiv w:val="1"/>
      <w:marLeft w:val="0"/>
      <w:marRight w:val="0"/>
      <w:marTop w:val="0"/>
      <w:marBottom w:val="0"/>
      <w:divBdr>
        <w:top w:val="none" w:sz="0" w:space="0" w:color="auto"/>
        <w:left w:val="none" w:sz="0" w:space="0" w:color="auto"/>
        <w:bottom w:val="none" w:sz="0" w:space="0" w:color="auto"/>
        <w:right w:val="none" w:sz="0" w:space="0" w:color="auto"/>
      </w:divBdr>
    </w:div>
    <w:div w:id="995962378">
      <w:bodyDiv w:val="1"/>
      <w:marLeft w:val="0"/>
      <w:marRight w:val="0"/>
      <w:marTop w:val="0"/>
      <w:marBottom w:val="0"/>
      <w:divBdr>
        <w:top w:val="none" w:sz="0" w:space="0" w:color="auto"/>
        <w:left w:val="none" w:sz="0" w:space="0" w:color="auto"/>
        <w:bottom w:val="none" w:sz="0" w:space="0" w:color="auto"/>
        <w:right w:val="none" w:sz="0" w:space="0" w:color="auto"/>
      </w:divBdr>
    </w:div>
    <w:div w:id="1006251698">
      <w:bodyDiv w:val="1"/>
      <w:marLeft w:val="0"/>
      <w:marRight w:val="0"/>
      <w:marTop w:val="0"/>
      <w:marBottom w:val="0"/>
      <w:divBdr>
        <w:top w:val="none" w:sz="0" w:space="0" w:color="auto"/>
        <w:left w:val="none" w:sz="0" w:space="0" w:color="auto"/>
        <w:bottom w:val="none" w:sz="0" w:space="0" w:color="auto"/>
        <w:right w:val="none" w:sz="0" w:space="0" w:color="auto"/>
      </w:divBdr>
      <w:divsChild>
        <w:div w:id="1433743625">
          <w:marLeft w:val="0"/>
          <w:marRight w:val="0"/>
          <w:marTop w:val="0"/>
          <w:marBottom w:val="0"/>
          <w:divBdr>
            <w:top w:val="none" w:sz="0" w:space="0" w:color="auto"/>
            <w:left w:val="none" w:sz="0" w:space="0" w:color="auto"/>
            <w:bottom w:val="none" w:sz="0" w:space="0" w:color="auto"/>
            <w:right w:val="none" w:sz="0" w:space="0" w:color="auto"/>
          </w:divBdr>
          <w:divsChild>
            <w:div w:id="1672098648">
              <w:marLeft w:val="0"/>
              <w:marRight w:val="0"/>
              <w:marTop w:val="0"/>
              <w:marBottom w:val="0"/>
              <w:divBdr>
                <w:top w:val="none" w:sz="0" w:space="0" w:color="auto"/>
                <w:left w:val="none" w:sz="0" w:space="0" w:color="auto"/>
                <w:bottom w:val="none" w:sz="0" w:space="0" w:color="auto"/>
                <w:right w:val="none" w:sz="0" w:space="0" w:color="auto"/>
              </w:divBdr>
              <w:divsChild>
                <w:div w:id="7848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60394">
      <w:bodyDiv w:val="1"/>
      <w:marLeft w:val="0"/>
      <w:marRight w:val="0"/>
      <w:marTop w:val="0"/>
      <w:marBottom w:val="0"/>
      <w:divBdr>
        <w:top w:val="none" w:sz="0" w:space="0" w:color="auto"/>
        <w:left w:val="none" w:sz="0" w:space="0" w:color="auto"/>
        <w:bottom w:val="none" w:sz="0" w:space="0" w:color="auto"/>
        <w:right w:val="none" w:sz="0" w:space="0" w:color="auto"/>
      </w:divBdr>
    </w:div>
    <w:div w:id="1048458412">
      <w:bodyDiv w:val="1"/>
      <w:marLeft w:val="0"/>
      <w:marRight w:val="0"/>
      <w:marTop w:val="0"/>
      <w:marBottom w:val="0"/>
      <w:divBdr>
        <w:top w:val="none" w:sz="0" w:space="0" w:color="auto"/>
        <w:left w:val="none" w:sz="0" w:space="0" w:color="auto"/>
        <w:bottom w:val="none" w:sz="0" w:space="0" w:color="auto"/>
        <w:right w:val="none" w:sz="0" w:space="0" w:color="auto"/>
      </w:divBdr>
    </w:div>
    <w:div w:id="1096560450">
      <w:bodyDiv w:val="1"/>
      <w:marLeft w:val="0"/>
      <w:marRight w:val="0"/>
      <w:marTop w:val="0"/>
      <w:marBottom w:val="0"/>
      <w:divBdr>
        <w:top w:val="none" w:sz="0" w:space="0" w:color="auto"/>
        <w:left w:val="none" w:sz="0" w:space="0" w:color="auto"/>
        <w:bottom w:val="none" w:sz="0" w:space="0" w:color="auto"/>
        <w:right w:val="none" w:sz="0" w:space="0" w:color="auto"/>
      </w:divBdr>
    </w:div>
    <w:div w:id="1147429231">
      <w:bodyDiv w:val="1"/>
      <w:marLeft w:val="0"/>
      <w:marRight w:val="0"/>
      <w:marTop w:val="0"/>
      <w:marBottom w:val="0"/>
      <w:divBdr>
        <w:top w:val="none" w:sz="0" w:space="0" w:color="auto"/>
        <w:left w:val="none" w:sz="0" w:space="0" w:color="auto"/>
        <w:bottom w:val="none" w:sz="0" w:space="0" w:color="auto"/>
        <w:right w:val="none" w:sz="0" w:space="0" w:color="auto"/>
      </w:divBdr>
    </w:div>
    <w:div w:id="1177816459">
      <w:bodyDiv w:val="1"/>
      <w:marLeft w:val="0"/>
      <w:marRight w:val="0"/>
      <w:marTop w:val="0"/>
      <w:marBottom w:val="0"/>
      <w:divBdr>
        <w:top w:val="none" w:sz="0" w:space="0" w:color="auto"/>
        <w:left w:val="none" w:sz="0" w:space="0" w:color="auto"/>
        <w:bottom w:val="none" w:sz="0" w:space="0" w:color="auto"/>
        <w:right w:val="none" w:sz="0" w:space="0" w:color="auto"/>
      </w:divBdr>
    </w:div>
    <w:div w:id="1187981273">
      <w:bodyDiv w:val="1"/>
      <w:marLeft w:val="0"/>
      <w:marRight w:val="0"/>
      <w:marTop w:val="0"/>
      <w:marBottom w:val="0"/>
      <w:divBdr>
        <w:top w:val="none" w:sz="0" w:space="0" w:color="auto"/>
        <w:left w:val="none" w:sz="0" w:space="0" w:color="auto"/>
        <w:bottom w:val="none" w:sz="0" w:space="0" w:color="auto"/>
        <w:right w:val="none" w:sz="0" w:space="0" w:color="auto"/>
      </w:divBdr>
    </w:div>
    <w:div w:id="1212304195">
      <w:bodyDiv w:val="1"/>
      <w:marLeft w:val="0"/>
      <w:marRight w:val="0"/>
      <w:marTop w:val="0"/>
      <w:marBottom w:val="0"/>
      <w:divBdr>
        <w:top w:val="none" w:sz="0" w:space="0" w:color="auto"/>
        <w:left w:val="none" w:sz="0" w:space="0" w:color="auto"/>
        <w:bottom w:val="none" w:sz="0" w:space="0" w:color="auto"/>
        <w:right w:val="none" w:sz="0" w:space="0" w:color="auto"/>
      </w:divBdr>
    </w:div>
    <w:div w:id="1219050478">
      <w:bodyDiv w:val="1"/>
      <w:marLeft w:val="0"/>
      <w:marRight w:val="0"/>
      <w:marTop w:val="0"/>
      <w:marBottom w:val="0"/>
      <w:divBdr>
        <w:top w:val="none" w:sz="0" w:space="0" w:color="auto"/>
        <w:left w:val="none" w:sz="0" w:space="0" w:color="auto"/>
        <w:bottom w:val="none" w:sz="0" w:space="0" w:color="auto"/>
        <w:right w:val="none" w:sz="0" w:space="0" w:color="auto"/>
      </w:divBdr>
    </w:div>
    <w:div w:id="1241789063">
      <w:bodyDiv w:val="1"/>
      <w:marLeft w:val="0"/>
      <w:marRight w:val="0"/>
      <w:marTop w:val="0"/>
      <w:marBottom w:val="0"/>
      <w:divBdr>
        <w:top w:val="none" w:sz="0" w:space="0" w:color="auto"/>
        <w:left w:val="none" w:sz="0" w:space="0" w:color="auto"/>
        <w:bottom w:val="none" w:sz="0" w:space="0" w:color="auto"/>
        <w:right w:val="none" w:sz="0" w:space="0" w:color="auto"/>
      </w:divBdr>
    </w:div>
    <w:div w:id="1242985729">
      <w:bodyDiv w:val="1"/>
      <w:marLeft w:val="0"/>
      <w:marRight w:val="0"/>
      <w:marTop w:val="0"/>
      <w:marBottom w:val="0"/>
      <w:divBdr>
        <w:top w:val="none" w:sz="0" w:space="0" w:color="auto"/>
        <w:left w:val="none" w:sz="0" w:space="0" w:color="auto"/>
        <w:bottom w:val="none" w:sz="0" w:space="0" w:color="auto"/>
        <w:right w:val="none" w:sz="0" w:space="0" w:color="auto"/>
      </w:divBdr>
    </w:div>
    <w:div w:id="1274629012">
      <w:bodyDiv w:val="1"/>
      <w:marLeft w:val="0"/>
      <w:marRight w:val="0"/>
      <w:marTop w:val="0"/>
      <w:marBottom w:val="0"/>
      <w:divBdr>
        <w:top w:val="none" w:sz="0" w:space="0" w:color="auto"/>
        <w:left w:val="none" w:sz="0" w:space="0" w:color="auto"/>
        <w:bottom w:val="none" w:sz="0" w:space="0" w:color="auto"/>
        <w:right w:val="none" w:sz="0" w:space="0" w:color="auto"/>
      </w:divBdr>
    </w:div>
    <w:div w:id="1300187300">
      <w:bodyDiv w:val="1"/>
      <w:marLeft w:val="0"/>
      <w:marRight w:val="0"/>
      <w:marTop w:val="0"/>
      <w:marBottom w:val="0"/>
      <w:divBdr>
        <w:top w:val="none" w:sz="0" w:space="0" w:color="auto"/>
        <w:left w:val="none" w:sz="0" w:space="0" w:color="auto"/>
        <w:bottom w:val="none" w:sz="0" w:space="0" w:color="auto"/>
        <w:right w:val="none" w:sz="0" w:space="0" w:color="auto"/>
      </w:divBdr>
    </w:div>
    <w:div w:id="1328560833">
      <w:bodyDiv w:val="1"/>
      <w:marLeft w:val="0"/>
      <w:marRight w:val="0"/>
      <w:marTop w:val="0"/>
      <w:marBottom w:val="0"/>
      <w:divBdr>
        <w:top w:val="none" w:sz="0" w:space="0" w:color="auto"/>
        <w:left w:val="none" w:sz="0" w:space="0" w:color="auto"/>
        <w:bottom w:val="none" w:sz="0" w:space="0" w:color="auto"/>
        <w:right w:val="none" w:sz="0" w:space="0" w:color="auto"/>
      </w:divBdr>
    </w:div>
    <w:div w:id="1354456810">
      <w:bodyDiv w:val="1"/>
      <w:marLeft w:val="0"/>
      <w:marRight w:val="0"/>
      <w:marTop w:val="0"/>
      <w:marBottom w:val="0"/>
      <w:divBdr>
        <w:top w:val="none" w:sz="0" w:space="0" w:color="auto"/>
        <w:left w:val="none" w:sz="0" w:space="0" w:color="auto"/>
        <w:bottom w:val="none" w:sz="0" w:space="0" w:color="auto"/>
        <w:right w:val="none" w:sz="0" w:space="0" w:color="auto"/>
      </w:divBdr>
    </w:div>
    <w:div w:id="1354498254">
      <w:bodyDiv w:val="1"/>
      <w:marLeft w:val="0"/>
      <w:marRight w:val="0"/>
      <w:marTop w:val="0"/>
      <w:marBottom w:val="0"/>
      <w:divBdr>
        <w:top w:val="none" w:sz="0" w:space="0" w:color="auto"/>
        <w:left w:val="none" w:sz="0" w:space="0" w:color="auto"/>
        <w:bottom w:val="none" w:sz="0" w:space="0" w:color="auto"/>
        <w:right w:val="none" w:sz="0" w:space="0" w:color="auto"/>
      </w:divBdr>
    </w:div>
    <w:div w:id="1358307842">
      <w:bodyDiv w:val="1"/>
      <w:marLeft w:val="0"/>
      <w:marRight w:val="0"/>
      <w:marTop w:val="0"/>
      <w:marBottom w:val="0"/>
      <w:divBdr>
        <w:top w:val="none" w:sz="0" w:space="0" w:color="auto"/>
        <w:left w:val="none" w:sz="0" w:space="0" w:color="auto"/>
        <w:bottom w:val="none" w:sz="0" w:space="0" w:color="auto"/>
        <w:right w:val="none" w:sz="0" w:space="0" w:color="auto"/>
      </w:divBdr>
      <w:divsChild>
        <w:div w:id="149061476">
          <w:marLeft w:val="0"/>
          <w:marRight w:val="0"/>
          <w:marTop w:val="0"/>
          <w:marBottom w:val="0"/>
          <w:divBdr>
            <w:top w:val="none" w:sz="0" w:space="0" w:color="auto"/>
            <w:left w:val="none" w:sz="0" w:space="0" w:color="auto"/>
            <w:bottom w:val="none" w:sz="0" w:space="0" w:color="auto"/>
            <w:right w:val="none" w:sz="0" w:space="0" w:color="auto"/>
          </w:divBdr>
          <w:divsChild>
            <w:div w:id="773936808">
              <w:marLeft w:val="0"/>
              <w:marRight w:val="0"/>
              <w:marTop w:val="0"/>
              <w:marBottom w:val="0"/>
              <w:divBdr>
                <w:top w:val="none" w:sz="0" w:space="0" w:color="auto"/>
                <w:left w:val="none" w:sz="0" w:space="0" w:color="auto"/>
                <w:bottom w:val="none" w:sz="0" w:space="0" w:color="auto"/>
                <w:right w:val="none" w:sz="0" w:space="0" w:color="auto"/>
              </w:divBdr>
              <w:divsChild>
                <w:div w:id="6773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3264">
      <w:bodyDiv w:val="1"/>
      <w:marLeft w:val="0"/>
      <w:marRight w:val="0"/>
      <w:marTop w:val="0"/>
      <w:marBottom w:val="0"/>
      <w:divBdr>
        <w:top w:val="none" w:sz="0" w:space="0" w:color="auto"/>
        <w:left w:val="none" w:sz="0" w:space="0" w:color="auto"/>
        <w:bottom w:val="none" w:sz="0" w:space="0" w:color="auto"/>
        <w:right w:val="none" w:sz="0" w:space="0" w:color="auto"/>
      </w:divBdr>
    </w:div>
    <w:div w:id="1389108251">
      <w:bodyDiv w:val="1"/>
      <w:marLeft w:val="0"/>
      <w:marRight w:val="0"/>
      <w:marTop w:val="0"/>
      <w:marBottom w:val="0"/>
      <w:divBdr>
        <w:top w:val="none" w:sz="0" w:space="0" w:color="auto"/>
        <w:left w:val="none" w:sz="0" w:space="0" w:color="auto"/>
        <w:bottom w:val="none" w:sz="0" w:space="0" w:color="auto"/>
        <w:right w:val="none" w:sz="0" w:space="0" w:color="auto"/>
      </w:divBdr>
    </w:div>
    <w:div w:id="1414936614">
      <w:bodyDiv w:val="1"/>
      <w:marLeft w:val="0"/>
      <w:marRight w:val="0"/>
      <w:marTop w:val="0"/>
      <w:marBottom w:val="0"/>
      <w:divBdr>
        <w:top w:val="none" w:sz="0" w:space="0" w:color="auto"/>
        <w:left w:val="none" w:sz="0" w:space="0" w:color="auto"/>
        <w:bottom w:val="none" w:sz="0" w:space="0" w:color="auto"/>
        <w:right w:val="none" w:sz="0" w:space="0" w:color="auto"/>
      </w:divBdr>
    </w:div>
    <w:div w:id="1418484072">
      <w:bodyDiv w:val="1"/>
      <w:marLeft w:val="0"/>
      <w:marRight w:val="0"/>
      <w:marTop w:val="0"/>
      <w:marBottom w:val="0"/>
      <w:divBdr>
        <w:top w:val="none" w:sz="0" w:space="0" w:color="auto"/>
        <w:left w:val="none" w:sz="0" w:space="0" w:color="auto"/>
        <w:bottom w:val="none" w:sz="0" w:space="0" w:color="auto"/>
        <w:right w:val="none" w:sz="0" w:space="0" w:color="auto"/>
      </w:divBdr>
    </w:div>
    <w:div w:id="1429354871">
      <w:bodyDiv w:val="1"/>
      <w:marLeft w:val="0"/>
      <w:marRight w:val="0"/>
      <w:marTop w:val="0"/>
      <w:marBottom w:val="0"/>
      <w:divBdr>
        <w:top w:val="none" w:sz="0" w:space="0" w:color="auto"/>
        <w:left w:val="none" w:sz="0" w:space="0" w:color="auto"/>
        <w:bottom w:val="none" w:sz="0" w:space="0" w:color="auto"/>
        <w:right w:val="none" w:sz="0" w:space="0" w:color="auto"/>
      </w:divBdr>
    </w:div>
    <w:div w:id="1471048650">
      <w:bodyDiv w:val="1"/>
      <w:marLeft w:val="0"/>
      <w:marRight w:val="0"/>
      <w:marTop w:val="0"/>
      <w:marBottom w:val="0"/>
      <w:divBdr>
        <w:top w:val="none" w:sz="0" w:space="0" w:color="auto"/>
        <w:left w:val="none" w:sz="0" w:space="0" w:color="auto"/>
        <w:bottom w:val="none" w:sz="0" w:space="0" w:color="auto"/>
        <w:right w:val="none" w:sz="0" w:space="0" w:color="auto"/>
      </w:divBdr>
    </w:div>
    <w:div w:id="1475636854">
      <w:bodyDiv w:val="1"/>
      <w:marLeft w:val="0"/>
      <w:marRight w:val="0"/>
      <w:marTop w:val="0"/>
      <w:marBottom w:val="0"/>
      <w:divBdr>
        <w:top w:val="none" w:sz="0" w:space="0" w:color="auto"/>
        <w:left w:val="none" w:sz="0" w:space="0" w:color="auto"/>
        <w:bottom w:val="none" w:sz="0" w:space="0" w:color="auto"/>
        <w:right w:val="none" w:sz="0" w:space="0" w:color="auto"/>
      </w:divBdr>
    </w:div>
    <w:div w:id="1477792957">
      <w:bodyDiv w:val="1"/>
      <w:marLeft w:val="0"/>
      <w:marRight w:val="0"/>
      <w:marTop w:val="0"/>
      <w:marBottom w:val="0"/>
      <w:divBdr>
        <w:top w:val="none" w:sz="0" w:space="0" w:color="auto"/>
        <w:left w:val="none" w:sz="0" w:space="0" w:color="auto"/>
        <w:bottom w:val="none" w:sz="0" w:space="0" w:color="auto"/>
        <w:right w:val="none" w:sz="0" w:space="0" w:color="auto"/>
      </w:divBdr>
    </w:div>
    <w:div w:id="1483959328">
      <w:bodyDiv w:val="1"/>
      <w:marLeft w:val="0"/>
      <w:marRight w:val="0"/>
      <w:marTop w:val="0"/>
      <w:marBottom w:val="0"/>
      <w:divBdr>
        <w:top w:val="none" w:sz="0" w:space="0" w:color="auto"/>
        <w:left w:val="none" w:sz="0" w:space="0" w:color="auto"/>
        <w:bottom w:val="none" w:sz="0" w:space="0" w:color="auto"/>
        <w:right w:val="none" w:sz="0" w:space="0" w:color="auto"/>
      </w:divBdr>
    </w:div>
    <w:div w:id="1502282477">
      <w:bodyDiv w:val="1"/>
      <w:marLeft w:val="0"/>
      <w:marRight w:val="0"/>
      <w:marTop w:val="0"/>
      <w:marBottom w:val="0"/>
      <w:divBdr>
        <w:top w:val="none" w:sz="0" w:space="0" w:color="auto"/>
        <w:left w:val="none" w:sz="0" w:space="0" w:color="auto"/>
        <w:bottom w:val="none" w:sz="0" w:space="0" w:color="auto"/>
        <w:right w:val="none" w:sz="0" w:space="0" w:color="auto"/>
      </w:divBdr>
    </w:div>
    <w:div w:id="1520200657">
      <w:bodyDiv w:val="1"/>
      <w:marLeft w:val="0"/>
      <w:marRight w:val="0"/>
      <w:marTop w:val="0"/>
      <w:marBottom w:val="0"/>
      <w:divBdr>
        <w:top w:val="none" w:sz="0" w:space="0" w:color="auto"/>
        <w:left w:val="none" w:sz="0" w:space="0" w:color="auto"/>
        <w:bottom w:val="none" w:sz="0" w:space="0" w:color="auto"/>
        <w:right w:val="none" w:sz="0" w:space="0" w:color="auto"/>
      </w:divBdr>
    </w:div>
    <w:div w:id="1530725943">
      <w:bodyDiv w:val="1"/>
      <w:marLeft w:val="0"/>
      <w:marRight w:val="0"/>
      <w:marTop w:val="0"/>
      <w:marBottom w:val="0"/>
      <w:divBdr>
        <w:top w:val="none" w:sz="0" w:space="0" w:color="auto"/>
        <w:left w:val="none" w:sz="0" w:space="0" w:color="auto"/>
        <w:bottom w:val="none" w:sz="0" w:space="0" w:color="auto"/>
        <w:right w:val="none" w:sz="0" w:space="0" w:color="auto"/>
      </w:divBdr>
    </w:div>
    <w:div w:id="1536232674">
      <w:bodyDiv w:val="1"/>
      <w:marLeft w:val="0"/>
      <w:marRight w:val="0"/>
      <w:marTop w:val="0"/>
      <w:marBottom w:val="0"/>
      <w:divBdr>
        <w:top w:val="none" w:sz="0" w:space="0" w:color="auto"/>
        <w:left w:val="none" w:sz="0" w:space="0" w:color="auto"/>
        <w:bottom w:val="none" w:sz="0" w:space="0" w:color="auto"/>
        <w:right w:val="none" w:sz="0" w:space="0" w:color="auto"/>
      </w:divBdr>
    </w:div>
    <w:div w:id="1567181105">
      <w:bodyDiv w:val="1"/>
      <w:marLeft w:val="0"/>
      <w:marRight w:val="0"/>
      <w:marTop w:val="0"/>
      <w:marBottom w:val="0"/>
      <w:divBdr>
        <w:top w:val="none" w:sz="0" w:space="0" w:color="auto"/>
        <w:left w:val="none" w:sz="0" w:space="0" w:color="auto"/>
        <w:bottom w:val="none" w:sz="0" w:space="0" w:color="auto"/>
        <w:right w:val="none" w:sz="0" w:space="0" w:color="auto"/>
      </w:divBdr>
      <w:divsChild>
        <w:div w:id="1913731426">
          <w:marLeft w:val="0"/>
          <w:marRight w:val="0"/>
          <w:marTop w:val="0"/>
          <w:marBottom w:val="0"/>
          <w:divBdr>
            <w:top w:val="none" w:sz="0" w:space="0" w:color="auto"/>
            <w:left w:val="none" w:sz="0" w:space="0" w:color="auto"/>
            <w:bottom w:val="none" w:sz="0" w:space="0" w:color="auto"/>
            <w:right w:val="none" w:sz="0" w:space="0" w:color="auto"/>
          </w:divBdr>
          <w:divsChild>
            <w:div w:id="1095008164">
              <w:marLeft w:val="0"/>
              <w:marRight w:val="0"/>
              <w:marTop w:val="0"/>
              <w:marBottom w:val="0"/>
              <w:divBdr>
                <w:top w:val="none" w:sz="0" w:space="0" w:color="auto"/>
                <w:left w:val="none" w:sz="0" w:space="0" w:color="auto"/>
                <w:bottom w:val="none" w:sz="0" w:space="0" w:color="auto"/>
                <w:right w:val="none" w:sz="0" w:space="0" w:color="auto"/>
              </w:divBdr>
              <w:divsChild>
                <w:div w:id="1064719798">
                  <w:marLeft w:val="0"/>
                  <w:marRight w:val="0"/>
                  <w:marTop w:val="0"/>
                  <w:marBottom w:val="0"/>
                  <w:divBdr>
                    <w:top w:val="none" w:sz="0" w:space="0" w:color="auto"/>
                    <w:left w:val="none" w:sz="0" w:space="0" w:color="auto"/>
                    <w:bottom w:val="none" w:sz="0" w:space="0" w:color="auto"/>
                    <w:right w:val="none" w:sz="0" w:space="0" w:color="auto"/>
                  </w:divBdr>
                </w:div>
                <w:div w:id="13521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374">
          <w:marLeft w:val="0"/>
          <w:marRight w:val="0"/>
          <w:marTop w:val="0"/>
          <w:marBottom w:val="0"/>
          <w:divBdr>
            <w:top w:val="none" w:sz="0" w:space="0" w:color="auto"/>
            <w:left w:val="none" w:sz="0" w:space="0" w:color="auto"/>
            <w:bottom w:val="none" w:sz="0" w:space="0" w:color="auto"/>
            <w:right w:val="none" w:sz="0" w:space="0" w:color="auto"/>
          </w:divBdr>
          <w:divsChild>
            <w:div w:id="1202088455">
              <w:marLeft w:val="0"/>
              <w:marRight w:val="0"/>
              <w:marTop w:val="0"/>
              <w:marBottom w:val="0"/>
              <w:divBdr>
                <w:top w:val="none" w:sz="0" w:space="0" w:color="auto"/>
                <w:left w:val="none" w:sz="0" w:space="0" w:color="auto"/>
                <w:bottom w:val="none" w:sz="0" w:space="0" w:color="auto"/>
                <w:right w:val="none" w:sz="0" w:space="0" w:color="auto"/>
              </w:divBdr>
              <w:divsChild>
                <w:div w:id="165755680">
                  <w:marLeft w:val="0"/>
                  <w:marRight w:val="0"/>
                  <w:marTop w:val="0"/>
                  <w:marBottom w:val="0"/>
                  <w:divBdr>
                    <w:top w:val="none" w:sz="0" w:space="0" w:color="auto"/>
                    <w:left w:val="none" w:sz="0" w:space="0" w:color="auto"/>
                    <w:bottom w:val="none" w:sz="0" w:space="0" w:color="auto"/>
                    <w:right w:val="none" w:sz="0" w:space="0" w:color="auto"/>
                  </w:divBdr>
                </w:div>
                <w:div w:id="1351957777">
                  <w:marLeft w:val="0"/>
                  <w:marRight w:val="0"/>
                  <w:marTop w:val="0"/>
                  <w:marBottom w:val="0"/>
                  <w:divBdr>
                    <w:top w:val="none" w:sz="0" w:space="0" w:color="auto"/>
                    <w:left w:val="none" w:sz="0" w:space="0" w:color="auto"/>
                    <w:bottom w:val="none" w:sz="0" w:space="0" w:color="auto"/>
                    <w:right w:val="none" w:sz="0" w:space="0" w:color="auto"/>
                  </w:divBdr>
                </w:div>
              </w:divsChild>
            </w:div>
            <w:div w:id="742993994">
              <w:marLeft w:val="0"/>
              <w:marRight w:val="0"/>
              <w:marTop w:val="0"/>
              <w:marBottom w:val="0"/>
              <w:divBdr>
                <w:top w:val="none" w:sz="0" w:space="0" w:color="auto"/>
                <w:left w:val="none" w:sz="0" w:space="0" w:color="auto"/>
                <w:bottom w:val="none" w:sz="0" w:space="0" w:color="auto"/>
                <w:right w:val="none" w:sz="0" w:space="0" w:color="auto"/>
              </w:divBdr>
              <w:divsChild>
                <w:div w:id="886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0058">
      <w:bodyDiv w:val="1"/>
      <w:marLeft w:val="0"/>
      <w:marRight w:val="0"/>
      <w:marTop w:val="0"/>
      <w:marBottom w:val="0"/>
      <w:divBdr>
        <w:top w:val="none" w:sz="0" w:space="0" w:color="auto"/>
        <w:left w:val="none" w:sz="0" w:space="0" w:color="auto"/>
        <w:bottom w:val="none" w:sz="0" w:space="0" w:color="auto"/>
        <w:right w:val="none" w:sz="0" w:space="0" w:color="auto"/>
      </w:divBdr>
    </w:div>
    <w:div w:id="1591162786">
      <w:bodyDiv w:val="1"/>
      <w:marLeft w:val="0"/>
      <w:marRight w:val="0"/>
      <w:marTop w:val="0"/>
      <w:marBottom w:val="0"/>
      <w:divBdr>
        <w:top w:val="none" w:sz="0" w:space="0" w:color="auto"/>
        <w:left w:val="none" w:sz="0" w:space="0" w:color="auto"/>
        <w:bottom w:val="none" w:sz="0" w:space="0" w:color="auto"/>
        <w:right w:val="none" w:sz="0" w:space="0" w:color="auto"/>
      </w:divBdr>
    </w:div>
    <w:div w:id="1600870704">
      <w:bodyDiv w:val="1"/>
      <w:marLeft w:val="0"/>
      <w:marRight w:val="0"/>
      <w:marTop w:val="0"/>
      <w:marBottom w:val="0"/>
      <w:divBdr>
        <w:top w:val="none" w:sz="0" w:space="0" w:color="auto"/>
        <w:left w:val="none" w:sz="0" w:space="0" w:color="auto"/>
        <w:bottom w:val="none" w:sz="0" w:space="0" w:color="auto"/>
        <w:right w:val="none" w:sz="0" w:space="0" w:color="auto"/>
      </w:divBdr>
    </w:div>
    <w:div w:id="1615861079">
      <w:bodyDiv w:val="1"/>
      <w:marLeft w:val="0"/>
      <w:marRight w:val="0"/>
      <w:marTop w:val="0"/>
      <w:marBottom w:val="0"/>
      <w:divBdr>
        <w:top w:val="none" w:sz="0" w:space="0" w:color="auto"/>
        <w:left w:val="none" w:sz="0" w:space="0" w:color="auto"/>
        <w:bottom w:val="none" w:sz="0" w:space="0" w:color="auto"/>
        <w:right w:val="none" w:sz="0" w:space="0" w:color="auto"/>
      </w:divBdr>
      <w:divsChild>
        <w:div w:id="669061248">
          <w:marLeft w:val="0"/>
          <w:marRight w:val="0"/>
          <w:marTop w:val="0"/>
          <w:marBottom w:val="0"/>
          <w:divBdr>
            <w:top w:val="none" w:sz="0" w:space="0" w:color="auto"/>
            <w:left w:val="none" w:sz="0" w:space="0" w:color="auto"/>
            <w:bottom w:val="none" w:sz="0" w:space="0" w:color="auto"/>
            <w:right w:val="none" w:sz="0" w:space="0" w:color="auto"/>
          </w:divBdr>
          <w:divsChild>
            <w:div w:id="1788894005">
              <w:marLeft w:val="0"/>
              <w:marRight w:val="0"/>
              <w:marTop w:val="0"/>
              <w:marBottom w:val="0"/>
              <w:divBdr>
                <w:top w:val="none" w:sz="0" w:space="0" w:color="auto"/>
                <w:left w:val="none" w:sz="0" w:space="0" w:color="auto"/>
                <w:bottom w:val="none" w:sz="0" w:space="0" w:color="auto"/>
                <w:right w:val="none" w:sz="0" w:space="0" w:color="auto"/>
              </w:divBdr>
              <w:divsChild>
                <w:div w:id="30344582">
                  <w:marLeft w:val="0"/>
                  <w:marRight w:val="0"/>
                  <w:marTop w:val="0"/>
                  <w:marBottom w:val="0"/>
                  <w:divBdr>
                    <w:top w:val="none" w:sz="0" w:space="0" w:color="auto"/>
                    <w:left w:val="none" w:sz="0" w:space="0" w:color="auto"/>
                    <w:bottom w:val="none" w:sz="0" w:space="0" w:color="auto"/>
                    <w:right w:val="none" w:sz="0" w:space="0" w:color="auto"/>
                  </w:divBdr>
                </w:div>
                <w:div w:id="20879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908">
          <w:marLeft w:val="0"/>
          <w:marRight w:val="0"/>
          <w:marTop w:val="0"/>
          <w:marBottom w:val="0"/>
          <w:divBdr>
            <w:top w:val="none" w:sz="0" w:space="0" w:color="auto"/>
            <w:left w:val="none" w:sz="0" w:space="0" w:color="auto"/>
            <w:bottom w:val="none" w:sz="0" w:space="0" w:color="auto"/>
            <w:right w:val="none" w:sz="0" w:space="0" w:color="auto"/>
          </w:divBdr>
          <w:divsChild>
            <w:div w:id="818574553">
              <w:marLeft w:val="0"/>
              <w:marRight w:val="0"/>
              <w:marTop w:val="0"/>
              <w:marBottom w:val="0"/>
              <w:divBdr>
                <w:top w:val="none" w:sz="0" w:space="0" w:color="auto"/>
                <w:left w:val="none" w:sz="0" w:space="0" w:color="auto"/>
                <w:bottom w:val="none" w:sz="0" w:space="0" w:color="auto"/>
                <w:right w:val="none" w:sz="0" w:space="0" w:color="auto"/>
              </w:divBdr>
              <w:divsChild>
                <w:div w:id="2120563471">
                  <w:marLeft w:val="0"/>
                  <w:marRight w:val="0"/>
                  <w:marTop w:val="0"/>
                  <w:marBottom w:val="0"/>
                  <w:divBdr>
                    <w:top w:val="none" w:sz="0" w:space="0" w:color="auto"/>
                    <w:left w:val="none" w:sz="0" w:space="0" w:color="auto"/>
                    <w:bottom w:val="none" w:sz="0" w:space="0" w:color="auto"/>
                    <w:right w:val="none" w:sz="0" w:space="0" w:color="auto"/>
                  </w:divBdr>
                </w:div>
                <w:div w:id="907224768">
                  <w:marLeft w:val="0"/>
                  <w:marRight w:val="0"/>
                  <w:marTop w:val="0"/>
                  <w:marBottom w:val="0"/>
                  <w:divBdr>
                    <w:top w:val="none" w:sz="0" w:space="0" w:color="auto"/>
                    <w:left w:val="none" w:sz="0" w:space="0" w:color="auto"/>
                    <w:bottom w:val="none" w:sz="0" w:space="0" w:color="auto"/>
                    <w:right w:val="none" w:sz="0" w:space="0" w:color="auto"/>
                  </w:divBdr>
                </w:div>
              </w:divsChild>
            </w:div>
            <w:div w:id="1043019599">
              <w:marLeft w:val="0"/>
              <w:marRight w:val="0"/>
              <w:marTop w:val="0"/>
              <w:marBottom w:val="0"/>
              <w:divBdr>
                <w:top w:val="none" w:sz="0" w:space="0" w:color="auto"/>
                <w:left w:val="none" w:sz="0" w:space="0" w:color="auto"/>
                <w:bottom w:val="none" w:sz="0" w:space="0" w:color="auto"/>
                <w:right w:val="none" w:sz="0" w:space="0" w:color="auto"/>
              </w:divBdr>
              <w:divsChild>
                <w:div w:id="1263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1208">
      <w:bodyDiv w:val="1"/>
      <w:marLeft w:val="0"/>
      <w:marRight w:val="0"/>
      <w:marTop w:val="0"/>
      <w:marBottom w:val="0"/>
      <w:divBdr>
        <w:top w:val="none" w:sz="0" w:space="0" w:color="auto"/>
        <w:left w:val="none" w:sz="0" w:space="0" w:color="auto"/>
        <w:bottom w:val="none" w:sz="0" w:space="0" w:color="auto"/>
        <w:right w:val="none" w:sz="0" w:space="0" w:color="auto"/>
      </w:divBdr>
    </w:div>
    <w:div w:id="1689795528">
      <w:bodyDiv w:val="1"/>
      <w:marLeft w:val="0"/>
      <w:marRight w:val="0"/>
      <w:marTop w:val="0"/>
      <w:marBottom w:val="0"/>
      <w:divBdr>
        <w:top w:val="none" w:sz="0" w:space="0" w:color="auto"/>
        <w:left w:val="none" w:sz="0" w:space="0" w:color="auto"/>
        <w:bottom w:val="none" w:sz="0" w:space="0" w:color="auto"/>
        <w:right w:val="none" w:sz="0" w:space="0" w:color="auto"/>
      </w:divBdr>
    </w:div>
    <w:div w:id="1753624747">
      <w:bodyDiv w:val="1"/>
      <w:marLeft w:val="0"/>
      <w:marRight w:val="0"/>
      <w:marTop w:val="0"/>
      <w:marBottom w:val="0"/>
      <w:divBdr>
        <w:top w:val="none" w:sz="0" w:space="0" w:color="auto"/>
        <w:left w:val="none" w:sz="0" w:space="0" w:color="auto"/>
        <w:bottom w:val="none" w:sz="0" w:space="0" w:color="auto"/>
        <w:right w:val="none" w:sz="0" w:space="0" w:color="auto"/>
      </w:divBdr>
    </w:div>
    <w:div w:id="1784381046">
      <w:bodyDiv w:val="1"/>
      <w:marLeft w:val="0"/>
      <w:marRight w:val="0"/>
      <w:marTop w:val="0"/>
      <w:marBottom w:val="0"/>
      <w:divBdr>
        <w:top w:val="none" w:sz="0" w:space="0" w:color="auto"/>
        <w:left w:val="none" w:sz="0" w:space="0" w:color="auto"/>
        <w:bottom w:val="none" w:sz="0" w:space="0" w:color="auto"/>
        <w:right w:val="none" w:sz="0" w:space="0" w:color="auto"/>
      </w:divBdr>
    </w:div>
    <w:div w:id="1813478552">
      <w:bodyDiv w:val="1"/>
      <w:marLeft w:val="0"/>
      <w:marRight w:val="0"/>
      <w:marTop w:val="0"/>
      <w:marBottom w:val="0"/>
      <w:divBdr>
        <w:top w:val="none" w:sz="0" w:space="0" w:color="auto"/>
        <w:left w:val="none" w:sz="0" w:space="0" w:color="auto"/>
        <w:bottom w:val="none" w:sz="0" w:space="0" w:color="auto"/>
        <w:right w:val="none" w:sz="0" w:space="0" w:color="auto"/>
      </w:divBdr>
    </w:div>
    <w:div w:id="1838106329">
      <w:bodyDiv w:val="1"/>
      <w:marLeft w:val="0"/>
      <w:marRight w:val="0"/>
      <w:marTop w:val="0"/>
      <w:marBottom w:val="0"/>
      <w:divBdr>
        <w:top w:val="none" w:sz="0" w:space="0" w:color="auto"/>
        <w:left w:val="none" w:sz="0" w:space="0" w:color="auto"/>
        <w:bottom w:val="none" w:sz="0" w:space="0" w:color="auto"/>
        <w:right w:val="none" w:sz="0" w:space="0" w:color="auto"/>
      </w:divBdr>
    </w:div>
    <w:div w:id="1862162524">
      <w:bodyDiv w:val="1"/>
      <w:marLeft w:val="0"/>
      <w:marRight w:val="0"/>
      <w:marTop w:val="0"/>
      <w:marBottom w:val="0"/>
      <w:divBdr>
        <w:top w:val="none" w:sz="0" w:space="0" w:color="auto"/>
        <w:left w:val="none" w:sz="0" w:space="0" w:color="auto"/>
        <w:bottom w:val="none" w:sz="0" w:space="0" w:color="auto"/>
        <w:right w:val="none" w:sz="0" w:space="0" w:color="auto"/>
      </w:divBdr>
    </w:div>
    <w:div w:id="1867209187">
      <w:bodyDiv w:val="1"/>
      <w:marLeft w:val="0"/>
      <w:marRight w:val="0"/>
      <w:marTop w:val="0"/>
      <w:marBottom w:val="0"/>
      <w:divBdr>
        <w:top w:val="none" w:sz="0" w:space="0" w:color="auto"/>
        <w:left w:val="none" w:sz="0" w:space="0" w:color="auto"/>
        <w:bottom w:val="none" w:sz="0" w:space="0" w:color="auto"/>
        <w:right w:val="none" w:sz="0" w:space="0" w:color="auto"/>
      </w:divBdr>
    </w:div>
    <w:div w:id="1868829980">
      <w:bodyDiv w:val="1"/>
      <w:marLeft w:val="0"/>
      <w:marRight w:val="0"/>
      <w:marTop w:val="0"/>
      <w:marBottom w:val="0"/>
      <w:divBdr>
        <w:top w:val="none" w:sz="0" w:space="0" w:color="auto"/>
        <w:left w:val="none" w:sz="0" w:space="0" w:color="auto"/>
        <w:bottom w:val="none" w:sz="0" w:space="0" w:color="auto"/>
        <w:right w:val="none" w:sz="0" w:space="0" w:color="auto"/>
      </w:divBdr>
    </w:div>
    <w:div w:id="1884632656">
      <w:bodyDiv w:val="1"/>
      <w:marLeft w:val="0"/>
      <w:marRight w:val="0"/>
      <w:marTop w:val="0"/>
      <w:marBottom w:val="0"/>
      <w:divBdr>
        <w:top w:val="none" w:sz="0" w:space="0" w:color="auto"/>
        <w:left w:val="none" w:sz="0" w:space="0" w:color="auto"/>
        <w:bottom w:val="none" w:sz="0" w:space="0" w:color="auto"/>
        <w:right w:val="none" w:sz="0" w:space="0" w:color="auto"/>
      </w:divBdr>
    </w:div>
    <w:div w:id="1917011418">
      <w:bodyDiv w:val="1"/>
      <w:marLeft w:val="0"/>
      <w:marRight w:val="0"/>
      <w:marTop w:val="0"/>
      <w:marBottom w:val="0"/>
      <w:divBdr>
        <w:top w:val="none" w:sz="0" w:space="0" w:color="auto"/>
        <w:left w:val="none" w:sz="0" w:space="0" w:color="auto"/>
        <w:bottom w:val="none" w:sz="0" w:space="0" w:color="auto"/>
        <w:right w:val="none" w:sz="0" w:space="0" w:color="auto"/>
      </w:divBdr>
    </w:div>
    <w:div w:id="1928073588">
      <w:bodyDiv w:val="1"/>
      <w:marLeft w:val="0"/>
      <w:marRight w:val="0"/>
      <w:marTop w:val="0"/>
      <w:marBottom w:val="0"/>
      <w:divBdr>
        <w:top w:val="none" w:sz="0" w:space="0" w:color="auto"/>
        <w:left w:val="none" w:sz="0" w:space="0" w:color="auto"/>
        <w:bottom w:val="none" w:sz="0" w:space="0" w:color="auto"/>
        <w:right w:val="none" w:sz="0" w:space="0" w:color="auto"/>
      </w:divBdr>
    </w:div>
    <w:div w:id="1936134510">
      <w:bodyDiv w:val="1"/>
      <w:marLeft w:val="0"/>
      <w:marRight w:val="0"/>
      <w:marTop w:val="0"/>
      <w:marBottom w:val="0"/>
      <w:divBdr>
        <w:top w:val="none" w:sz="0" w:space="0" w:color="auto"/>
        <w:left w:val="none" w:sz="0" w:space="0" w:color="auto"/>
        <w:bottom w:val="none" w:sz="0" w:space="0" w:color="auto"/>
        <w:right w:val="none" w:sz="0" w:space="0" w:color="auto"/>
      </w:divBdr>
    </w:div>
    <w:div w:id="1941795626">
      <w:bodyDiv w:val="1"/>
      <w:marLeft w:val="0"/>
      <w:marRight w:val="0"/>
      <w:marTop w:val="0"/>
      <w:marBottom w:val="0"/>
      <w:divBdr>
        <w:top w:val="none" w:sz="0" w:space="0" w:color="auto"/>
        <w:left w:val="none" w:sz="0" w:space="0" w:color="auto"/>
        <w:bottom w:val="none" w:sz="0" w:space="0" w:color="auto"/>
        <w:right w:val="none" w:sz="0" w:space="0" w:color="auto"/>
      </w:divBdr>
    </w:div>
    <w:div w:id="1965503126">
      <w:bodyDiv w:val="1"/>
      <w:marLeft w:val="0"/>
      <w:marRight w:val="0"/>
      <w:marTop w:val="0"/>
      <w:marBottom w:val="0"/>
      <w:divBdr>
        <w:top w:val="none" w:sz="0" w:space="0" w:color="auto"/>
        <w:left w:val="none" w:sz="0" w:space="0" w:color="auto"/>
        <w:bottom w:val="none" w:sz="0" w:space="0" w:color="auto"/>
        <w:right w:val="none" w:sz="0" w:space="0" w:color="auto"/>
      </w:divBdr>
      <w:divsChild>
        <w:div w:id="736512749">
          <w:marLeft w:val="0"/>
          <w:marRight w:val="0"/>
          <w:marTop w:val="0"/>
          <w:marBottom w:val="0"/>
          <w:divBdr>
            <w:top w:val="none" w:sz="0" w:space="0" w:color="auto"/>
            <w:left w:val="none" w:sz="0" w:space="0" w:color="auto"/>
            <w:bottom w:val="none" w:sz="0" w:space="0" w:color="auto"/>
            <w:right w:val="none" w:sz="0" w:space="0" w:color="auto"/>
          </w:divBdr>
          <w:divsChild>
            <w:div w:id="44182222">
              <w:marLeft w:val="0"/>
              <w:marRight w:val="0"/>
              <w:marTop w:val="0"/>
              <w:marBottom w:val="0"/>
              <w:divBdr>
                <w:top w:val="none" w:sz="0" w:space="0" w:color="auto"/>
                <w:left w:val="none" w:sz="0" w:space="0" w:color="auto"/>
                <w:bottom w:val="none" w:sz="0" w:space="0" w:color="auto"/>
                <w:right w:val="none" w:sz="0" w:space="0" w:color="auto"/>
              </w:divBdr>
              <w:divsChild>
                <w:div w:id="4061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865">
      <w:bodyDiv w:val="1"/>
      <w:marLeft w:val="0"/>
      <w:marRight w:val="0"/>
      <w:marTop w:val="0"/>
      <w:marBottom w:val="0"/>
      <w:divBdr>
        <w:top w:val="none" w:sz="0" w:space="0" w:color="auto"/>
        <w:left w:val="none" w:sz="0" w:space="0" w:color="auto"/>
        <w:bottom w:val="none" w:sz="0" w:space="0" w:color="auto"/>
        <w:right w:val="none" w:sz="0" w:space="0" w:color="auto"/>
      </w:divBdr>
    </w:div>
    <w:div w:id="2004508098">
      <w:bodyDiv w:val="1"/>
      <w:marLeft w:val="0"/>
      <w:marRight w:val="0"/>
      <w:marTop w:val="0"/>
      <w:marBottom w:val="0"/>
      <w:divBdr>
        <w:top w:val="none" w:sz="0" w:space="0" w:color="auto"/>
        <w:left w:val="none" w:sz="0" w:space="0" w:color="auto"/>
        <w:bottom w:val="none" w:sz="0" w:space="0" w:color="auto"/>
        <w:right w:val="none" w:sz="0" w:space="0" w:color="auto"/>
      </w:divBdr>
    </w:div>
    <w:div w:id="2013294644">
      <w:bodyDiv w:val="1"/>
      <w:marLeft w:val="0"/>
      <w:marRight w:val="0"/>
      <w:marTop w:val="0"/>
      <w:marBottom w:val="0"/>
      <w:divBdr>
        <w:top w:val="none" w:sz="0" w:space="0" w:color="auto"/>
        <w:left w:val="none" w:sz="0" w:space="0" w:color="auto"/>
        <w:bottom w:val="none" w:sz="0" w:space="0" w:color="auto"/>
        <w:right w:val="none" w:sz="0" w:space="0" w:color="auto"/>
      </w:divBdr>
    </w:div>
    <w:div w:id="2056150939">
      <w:bodyDiv w:val="1"/>
      <w:marLeft w:val="0"/>
      <w:marRight w:val="0"/>
      <w:marTop w:val="0"/>
      <w:marBottom w:val="0"/>
      <w:divBdr>
        <w:top w:val="none" w:sz="0" w:space="0" w:color="auto"/>
        <w:left w:val="none" w:sz="0" w:space="0" w:color="auto"/>
        <w:bottom w:val="none" w:sz="0" w:space="0" w:color="auto"/>
        <w:right w:val="none" w:sz="0" w:space="0" w:color="auto"/>
      </w:divBdr>
    </w:div>
    <w:div w:id="2073385925">
      <w:bodyDiv w:val="1"/>
      <w:marLeft w:val="0"/>
      <w:marRight w:val="0"/>
      <w:marTop w:val="0"/>
      <w:marBottom w:val="0"/>
      <w:divBdr>
        <w:top w:val="none" w:sz="0" w:space="0" w:color="auto"/>
        <w:left w:val="none" w:sz="0" w:space="0" w:color="auto"/>
        <w:bottom w:val="none" w:sz="0" w:space="0" w:color="auto"/>
        <w:right w:val="none" w:sz="0" w:space="0" w:color="auto"/>
      </w:divBdr>
    </w:div>
    <w:div w:id="2077967067">
      <w:bodyDiv w:val="1"/>
      <w:marLeft w:val="0"/>
      <w:marRight w:val="0"/>
      <w:marTop w:val="0"/>
      <w:marBottom w:val="0"/>
      <w:divBdr>
        <w:top w:val="none" w:sz="0" w:space="0" w:color="auto"/>
        <w:left w:val="none" w:sz="0" w:space="0" w:color="auto"/>
        <w:bottom w:val="none" w:sz="0" w:space="0" w:color="auto"/>
        <w:right w:val="none" w:sz="0" w:space="0" w:color="auto"/>
      </w:divBdr>
    </w:div>
    <w:div w:id="2078480541">
      <w:bodyDiv w:val="1"/>
      <w:marLeft w:val="0"/>
      <w:marRight w:val="0"/>
      <w:marTop w:val="0"/>
      <w:marBottom w:val="0"/>
      <w:divBdr>
        <w:top w:val="none" w:sz="0" w:space="0" w:color="auto"/>
        <w:left w:val="none" w:sz="0" w:space="0" w:color="auto"/>
        <w:bottom w:val="none" w:sz="0" w:space="0" w:color="auto"/>
        <w:right w:val="none" w:sz="0" w:space="0" w:color="auto"/>
      </w:divBdr>
    </w:div>
    <w:div w:id="2079551601">
      <w:bodyDiv w:val="1"/>
      <w:marLeft w:val="0"/>
      <w:marRight w:val="0"/>
      <w:marTop w:val="0"/>
      <w:marBottom w:val="0"/>
      <w:divBdr>
        <w:top w:val="none" w:sz="0" w:space="0" w:color="auto"/>
        <w:left w:val="none" w:sz="0" w:space="0" w:color="auto"/>
        <w:bottom w:val="none" w:sz="0" w:space="0" w:color="auto"/>
        <w:right w:val="none" w:sz="0" w:space="0" w:color="auto"/>
      </w:divBdr>
    </w:div>
    <w:div w:id="2081634515">
      <w:bodyDiv w:val="1"/>
      <w:marLeft w:val="0"/>
      <w:marRight w:val="0"/>
      <w:marTop w:val="0"/>
      <w:marBottom w:val="0"/>
      <w:divBdr>
        <w:top w:val="none" w:sz="0" w:space="0" w:color="auto"/>
        <w:left w:val="none" w:sz="0" w:space="0" w:color="auto"/>
        <w:bottom w:val="none" w:sz="0" w:space="0" w:color="auto"/>
        <w:right w:val="none" w:sz="0" w:space="0" w:color="auto"/>
      </w:divBdr>
    </w:div>
    <w:div w:id="2081780612">
      <w:bodyDiv w:val="1"/>
      <w:marLeft w:val="0"/>
      <w:marRight w:val="0"/>
      <w:marTop w:val="0"/>
      <w:marBottom w:val="0"/>
      <w:divBdr>
        <w:top w:val="none" w:sz="0" w:space="0" w:color="auto"/>
        <w:left w:val="none" w:sz="0" w:space="0" w:color="auto"/>
        <w:bottom w:val="none" w:sz="0" w:space="0" w:color="auto"/>
        <w:right w:val="none" w:sz="0" w:space="0" w:color="auto"/>
      </w:divBdr>
    </w:div>
    <w:div w:id="2091075422">
      <w:bodyDiv w:val="1"/>
      <w:marLeft w:val="0"/>
      <w:marRight w:val="0"/>
      <w:marTop w:val="0"/>
      <w:marBottom w:val="0"/>
      <w:divBdr>
        <w:top w:val="none" w:sz="0" w:space="0" w:color="auto"/>
        <w:left w:val="none" w:sz="0" w:space="0" w:color="auto"/>
        <w:bottom w:val="none" w:sz="0" w:space="0" w:color="auto"/>
        <w:right w:val="none" w:sz="0" w:space="0" w:color="auto"/>
      </w:divBdr>
    </w:div>
    <w:div w:id="2091465316">
      <w:bodyDiv w:val="1"/>
      <w:marLeft w:val="0"/>
      <w:marRight w:val="0"/>
      <w:marTop w:val="0"/>
      <w:marBottom w:val="0"/>
      <w:divBdr>
        <w:top w:val="none" w:sz="0" w:space="0" w:color="auto"/>
        <w:left w:val="none" w:sz="0" w:space="0" w:color="auto"/>
        <w:bottom w:val="none" w:sz="0" w:space="0" w:color="auto"/>
        <w:right w:val="none" w:sz="0" w:space="0" w:color="auto"/>
      </w:divBdr>
    </w:div>
    <w:div w:id="2119448097">
      <w:bodyDiv w:val="1"/>
      <w:marLeft w:val="0"/>
      <w:marRight w:val="0"/>
      <w:marTop w:val="0"/>
      <w:marBottom w:val="0"/>
      <w:divBdr>
        <w:top w:val="none" w:sz="0" w:space="0" w:color="auto"/>
        <w:left w:val="none" w:sz="0" w:space="0" w:color="auto"/>
        <w:bottom w:val="none" w:sz="0" w:space="0" w:color="auto"/>
        <w:right w:val="none" w:sz="0" w:space="0" w:color="auto"/>
      </w:divBdr>
    </w:div>
    <w:div w:id="2125077624">
      <w:bodyDiv w:val="1"/>
      <w:marLeft w:val="0"/>
      <w:marRight w:val="0"/>
      <w:marTop w:val="0"/>
      <w:marBottom w:val="0"/>
      <w:divBdr>
        <w:top w:val="none" w:sz="0" w:space="0" w:color="auto"/>
        <w:left w:val="none" w:sz="0" w:space="0" w:color="auto"/>
        <w:bottom w:val="none" w:sz="0" w:space="0" w:color="auto"/>
        <w:right w:val="none" w:sz="0" w:space="0" w:color="auto"/>
      </w:divBdr>
    </w:div>
    <w:div w:id="21305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Dic81</b:Tag>
    <b:SourceType>JournalArticle</b:SourceType>
    <b:Guid>{686C133A-96B8-9B42-9E15-F583C51CB420}</b:Guid>
    <b:Title>Likelihood Ratio Statistics for Autoregressive Time Series with a Unit Root</b:Title>
    <b:JournalName>Econometrica</b:JournalName>
    <b:Year>1981</b:Year>
    <b:Pages>1057–1072</b:Pages>
    <b:Author>
      <b:Author>
        <b:NameList>
          <b:Person>
            <b:Last>Dickey</b:Last>
            <b:Middle>A.</b:Middle>
            <b:First>D.</b:First>
          </b:Person>
          <b:Person>
            <b:Last>Fuller</b:Last>
            <b:Middle>A.</b:Middle>
            <b:First>W.</b:First>
          </b:Person>
        </b:NameList>
      </b:Author>
    </b:Author>
    <b:Volume>49</b:Volume>
    <b:RefOrder>34</b:RefOrder>
  </b:Source>
  <b:Source>
    <b:Tag>Phi88</b:Tag>
    <b:SourceType>JournalArticle</b:SourceType>
    <b:Guid>{354259D4-1FA6-46F0-A965-CED9886CE849}</b:Guid>
    <b:Title>Testing for a unit root in time series regression</b:Title>
    <b:Year>1988</b:Year>
    <b:Volume>75</b:Volume>
    <b:Issue>2</b:Issue>
    <b:Author>
      <b:Author>
        <b:NameList>
          <b:Person>
            <b:Last>Phillips</b:Last>
            <b:First>P.C.B.</b:First>
          </b:Person>
          <b:Person>
            <b:Last>Parron</b:Last>
            <b:First>P.</b:First>
          </b:Person>
        </b:NameList>
      </b:Author>
    </b:Author>
    <b:JournalName>Biometrika</b:JournalName>
    <b:Pages>335-346</b:Pages>
    <b:RefOrder>35</b:RefOrder>
  </b:Source>
  <b:Source>
    <b:Tag>Ziv92</b:Tag>
    <b:SourceType>JournalArticle</b:SourceType>
    <b:Guid>{C3B3B82C-5AB0-4365-B913-B82A1A00AED6}</b:Guid>
    <b:Title>Further Evidence on the Great Crash, the Oil-Price Shock, and the Unit-Root Hypothesis</b:Title>
    <b:Year>1992</b:Year>
    <b:Volume>10</b:Volume>
    <b:Issue>3</b:Issue>
    <b:Author>
      <b:Author>
        <b:NameList>
          <b:Person>
            <b:Last>Zivot</b:Last>
            <b:First>E.</b:First>
          </b:Person>
          <b:Person>
            <b:Last>Andrews</b:Last>
            <b:Middle>W.K.</b:Middle>
            <b:First>Donald</b:First>
          </b:Person>
        </b:NameList>
      </b:Author>
    </b:Author>
    <b:JournalName>Journal of Business and Economic Statistics</b:JournalName>
    <b:Pages>251-270</b:Pages>
    <b:RefOrder>36</b:RefOrder>
  </b:Source>
  <b:Source>
    <b:Tag>Pes011</b:Tag>
    <b:SourceType>JournalArticle</b:SourceType>
    <b:Guid>{FF9C173D-99B6-4467-ABDB-A666380808B7}</b:Guid>
    <b:Title>Bounds Testing Approaches to the Analysis of Level Relationships</b:Title>
    <b:Year>2001</b:Year>
    <b:Pages>289-326</b:Pages>
    <b:Author>
      <b:Author>
        <b:NameList>
          <b:Person>
            <b:Last>Pesaran</b:Last>
            <b:Middle>H.</b:Middle>
            <b:First>M.</b:First>
          </b:Person>
          <b:Person>
            <b:Last>Shin</b:Last>
            <b:First>Y.</b:First>
          </b:Person>
          <b:Person>
            <b:Last>Smith</b:Last>
            <b:Middle>J.</b:Middle>
            <b:First>R.</b:First>
          </b:Person>
        </b:NameList>
      </b:Author>
    </b:Author>
    <b:JournalName>Journal of Applied Econometrics</b:JournalName>
    <b:Volume>16</b:Volume>
    <b:Issue>3</b:Issue>
    <b:RefOrder>38</b:RefOrder>
  </b:Source>
  <b:Source>
    <b:Tag>Pes99</b:Tag>
    <b:SourceType>JournalArticle</b:SourceType>
    <b:Guid>{334290DD-D900-4EFB-B9C0-B46FE500A5E6}</b:Guid>
    <b:Title>An Autoregressive Distributed Lag Modelling Approach to Cointegration Analysis</b:Title>
    <b:JournalName>In Econometrics and Economic Theory in the 20th Century: The Ragnar Frisch Centennial Symposium</b:JournalName>
    <b:Year>1999</b:Year>
    <b:Author>
      <b:Author>
        <b:NameList>
          <b:Person>
            <b:Last>Pesaran</b:Last>
            <b:Middle>H.</b:Middle>
            <b:First>M.</b:First>
          </b:Person>
          <b:Person>
            <b:Last>Shin</b:Last>
            <b:First>Y.</b:First>
          </b:Person>
        </b:NameList>
      </b:Author>
      <b:Editor>
        <b:NameList>
          <b:Person>
            <b:Last>Strom</b:Last>
            <b:First>Steinar</b:First>
          </b:Person>
        </b:NameList>
      </b:Editor>
    </b:Author>
    <b:City>Cambridge</b:City>
    <b:Publisher>Cambridge University Press</b:Publisher>
    <b:RefOrder>37</b:RefOrder>
  </b:Source>
  <b:Source>
    <b:Tag>Gra86</b:Tag>
    <b:SourceType>JournalArticle</b:SourceType>
    <b:Guid>{F3D6D55F-8F45-41FE-857B-47C0473640FB}</b:Guid>
    <b:Title>Developments in the Study of Cointegrated Economic Variables</b:Title>
    <b:Year>1986</b:Year>
    <b:Volume>48</b:Volume>
    <b:Issue>3</b:Issue>
    <b:Author>
      <b:Author>
        <b:NameList>
          <b:Person>
            <b:Last>Granger</b:Last>
            <b:First>C.W.J.</b:First>
          </b:Person>
        </b:NameList>
      </b:Author>
    </b:Author>
    <b:JournalName>Oxford Bulletin of Economics and Statistics</b:JournalName>
    <b:Pages>213-228</b:Pages>
    <b:RefOrder>39</b:RefOrder>
  </b:Source>
  <b:Source>
    <b:Tag>Bac05</b:Tag>
    <b:SourceType>ArticleInAPeriodical</b:SourceType>
    <b:Guid>{DA0D35C2-43C3-8545-BED7-D93E12772335}</b:Guid>
    <b:Title>The impact of higher oil prices on low-income countries and on the poor: Impacts and Policies</b:Title>
    <b:Year>2005</b:Year>
    <b:Author>
      <b:Author>
        <b:NameList>
          <b:Person>
            <b:Last>Bacon</b:Last>
            <b:First>R.</b:First>
          </b:Person>
        </b:NameList>
      </b:Author>
    </b:Author>
    <b:PeriodicalTitle>ESMAP Knowledge Exchange Series (1)</b:PeriodicalTitle>
    <b:RefOrder>1</b:RefOrder>
  </b:Source>
  <b:Source>
    <b:Tag>Bur82</b:Tag>
    <b:SourceType>JournalArticle</b:SourceType>
    <b:Guid>{2C975643-B525-584D-B09E-3A68F9FAD400}</b:Guid>
    <b:Title>Input price shocks and the slowdown in economic growth: The case of U. K. manufacturing</b:Title>
    <b:Year>1982</b:Year>
    <b:Author>
      <b:Author>
        <b:NameList>
          <b:Person>
            <b:Last>Burno</b:Last>
            <b:First>M.</b:First>
          </b:Person>
          <b:Person>
            <b:Last>Sachs</b:Last>
            <b:First>J.</b:First>
          </b:Person>
        </b:NameList>
      </b:Author>
    </b:Author>
    <b:Publisher>National Bureau of Economic Research</b:Publisher>
    <b:ThesisType>Working Paper</b:ThesisType>
    <b:JournalName>NBER Working Paper Series</b:JournalName>
    <b:Volume>Working Paper No. 851</b:Volume>
    <b:RefOrder>5</b:RefOrder>
  </b:Source>
  <b:Source>
    <b:Tag>Car10</b:Tag>
    <b:SourceType>Report</b:SourceType>
    <b:Guid>{525D3A57-8A19-8A4E-87B6-008C58E86C69}</b:Guid>
    <b:Title>Oil Price and Real-time Output Growth</b:Title>
    <b:Year>2010</b:Year>
    <b:Author>
      <b:Author>
        <b:NameList>
          <b:Person>
            <b:Last>Carlton</b:Last>
            <b:Middle>B.</b:Middle>
            <b:First>A.</b:First>
          </b:Person>
        </b:NameList>
      </b:Author>
    </b:Author>
    <b:Publisher>University of Houston</b:Publisher>
    <b:ThesisType>Working Paper</b:ThesisType>
    <b:RefOrder>2</b:RefOrder>
  </b:Source>
  <b:Source>
    <b:Tag>DuL10</b:Tag>
    <b:SourceType>JournalArticle</b:SourceType>
    <b:Guid>{FB85F553-7509-A249-A588-076A2951B137}</b:Guid>
    <b:Title>The Relationship between Oil Price Shocks and China's Macro-economy: An Empirical Analysis</b:Title>
    <b:Year>2010</b:Year>
    <b:Author>
      <b:Author>
        <b:NameList>
          <b:Person>
            <b:Last>Du</b:Last>
            <b:First>L.</b:First>
          </b:Person>
          <b:Person>
            <b:Last>He</b:Last>
            <b:First>Y.</b:First>
          </b:Person>
          <b:Person>
            <b:Last>Wei</b:Last>
            <b:First>C.</b:First>
          </b:Person>
        </b:NameList>
      </b:Author>
    </b:Author>
    <b:JournalName>Energy Policy</b:JournalName>
    <b:Pages>4142-4151</b:Pages>
    <b:Volume>38</b:Volume>
    <b:Issue>8</b:Issue>
    <b:RefOrder>6</b:RefOrder>
  </b:Source>
  <b:Source>
    <b:Tag>Ham83</b:Tag>
    <b:SourceType>JournalArticle</b:SourceType>
    <b:Guid>{0DDE032C-15BE-B841-8E94-FE009D36FEDD}</b:Guid>
    <b:Title>Oil and the Macroeconomy since World War II</b:Title>
    <b:JournalName>Journal of Political Economy</b:JournalName>
    <b:Year>1983</b:Year>
    <b:Pages>228-248</b:Pages>
    <b:Author>
      <b:Author>
        <b:NameList>
          <b:Person>
            <b:Last>Hamilton</b:Last>
            <b:Middle>D.</b:Middle>
            <b:First>J.</b:First>
          </b:Person>
        </b:NameList>
      </b:Author>
    </b:Author>
    <b:Volume>91</b:Volume>
    <b:Issue>2</b:Issue>
    <b:RefOrder>3</b:RefOrder>
  </b:Source>
  <b:Source>
    <b:Tag>Mor94</b:Tag>
    <b:SourceType>JournalArticle</b:SourceType>
    <b:Guid>{E9BA3F69-2B2D-1748-9AE5-BA582BBBEAB9}</b:Guid>
    <b:Title>Macroeconomic Responses to Oil Price increases and decreases in Seven OECD Countires</b:Title>
    <b:JournalName>Energy Journal</b:JournalName>
    <b:Year>1994</b:Year>
    <b:Pages>19-35</b:Pages>
    <b:Author>
      <b:Author>
        <b:NameList>
          <b:Person>
            <b:Last>Mork</b:Last>
            <b:First>K.</b:First>
          </b:Person>
          <b:Person>
            <b:Last>Olsen</b:Last>
            <b:First>O.</b:First>
          </b:Person>
          <b:Person>
            <b:Last>Mysen</b:Last>
            <b:First>H.</b:First>
          </b:Person>
        </b:NameList>
      </b:Author>
    </b:Author>
    <b:Volume>15</b:Volume>
    <b:RefOrder>4</b:RefOrder>
  </b:Source>
  <b:Source>
    <b:Tag>Hoo96</b:Tag>
    <b:SourceType>JournalArticle</b:SourceType>
    <b:Guid>{E2C95E90-9A97-BC4F-A367-9965E18A583D}</b:Guid>
    <b:Title>What happened to the Oil Price - Macroeconomy Relationships?</b:Title>
    <b:JournalName>Journal of Monetary. Economics</b:JournalName>
    <b:Year>1996</b:Year>
    <b:Pages>195-213</b:Pages>
    <b:Author>
      <b:Author>
        <b:NameList>
          <b:Person>
            <b:Last>Hooker</b:Last>
            <b:First>M.</b:First>
          </b:Person>
        </b:NameList>
      </b:Author>
    </b:Author>
    <b:Volume>38</b:Volume>
    <b:RefOrder>7</b:RefOrder>
  </b:Source>
  <b:Source>
    <b:Tag>Hsi02</b:Tag>
    <b:SourceType>JournalArticle</b:SourceType>
    <b:Guid>{AB845814-CDE4-654C-815A-2F66E64EBA10}</b:Guid>
    <b:Title>Effects of Oil Price Shocks and Macroeconomic Conditions on Output Fluctuations for Korea</b:Title>
    <b:JournalName>Journal of International and Global Economic Studies</b:JournalName>
    <b:Year>2008</b:Year>
    <b:Pages>84-91</b:Pages>
    <b:Author>
      <b:Author>
        <b:NameList>
          <b:Person>
            <b:Last>Hsieh</b:Last>
            <b:First>W.</b:First>
          </b:Person>
        </b:NameList>
      </b:Author>
    </b:Author>
    <b:Volume>1</b:Volume>
    <b:Issue>2</b:Issue>
    <b:RefOrder>8</b:RefOrder>
  </b:Source>
  <b:Source>
    <b:Tag>Kum09</b:Tag>
    <b:SourceType>JournalArticle</b:SourceType>
    <b:Guid>{1B8695DE-FACC-FD4A-8377-5B34F8C86354}</b:Guid>
    <b:Title>The Macroeconomic Effects of Oil Price Shocks: Empirical Evidence for India</b:Title>
    <b:JournalName>Economic Bulletin</b:JournalName>
    <b:Year>2009</b:Year>
    <b:Pages>15-37</b:Pages>
    <b:Author>
      <b:Author>
        <b:NameList>
          <b:Person>
            <b:Last>Kumar</b:Last>
            <b:First>S.</b:First>
          </b:Person>
        </b:NameList>
      </b:Author>
    </b:Author>
    <b:Volume>29</b:Volume>
    <b:RefOrder>9</b:RefOrder>
  </b:Source>
  <b:Source>
    <b:Tag>Mal08</b:Tag>
    <b:SourceType>JournalArticle</b:SourceType>
    <b:Guid>{01A36E64-F467-874D-B66E-9F5979654FDC}</b:Guid>
    <b:Title>Crude Oil Price, Monetary Policy and Output: Case of Pakistan</b:Title>
    <b:JournalName>The Pakistan Development Review</b:JournalName>
    <b:Year>2008</b:Year>
    <b:Pages>425-436</b:Pages>
    <b:Author>
      <b:Author>
        <b:NameList>
          <b:Person>
            <b:Last>Malik</b:Last>
            <b:First>A.</b:First>
          </b:Person>
        </b:NameList>
      </b:Author>
    </b:Author>
    <b:Volume>47</b:Volume>
    <b:Issue>4</b:Issue>
    <b:RefOrder>10</b:RefOrder>
  </b:Source>
  <b:Source>
    <b:Tag>Bla89</b:Tag>
    <b:SourceType>Book</b:SourceType>
    <b:Guid>{D4169E77-EE6F-F54A-AF3D-84A8D284B282}</b:Guid>
    <b:Title>Lectures on macroeconomics</b:Title>
    <b:Year>1989</b:Year>
    <b:Author>
      <b:Author>
        <b:NameList>
          <b:Person>
            <b:Last>Blanchard</b:Last>
            <b:First>Olivier</b:First>
          </b:Person>
        </b:NameList>
      </b:Author>
    </b:Author>
    <b:Publisher>MIT Press</b:Publisher>
    <b:RefOrder>40</b:RefOrder>
  </b:Source>
  <b:Source>
    <b:Tag>Kis17</b:Tag>
    <b:SourceType>Report</b:SourceType>
    <b:Guid>{3C7F35F6-59AC-E143-AD3E-A9F43813AF3A}</b:Guid>
    <b:Title>The Effect of Oil Prices on Workforce in Selected Organization for Economic Cooperation and Development (OECD) Countries</b:Title>
    <b:Publisher>University of Nevada</b:Publisher>
    <b:City>Las Vegas</b:City>
    <b:Year>2017</b:Year>
    <b:Author>
      <b:Author>
        <b:NameList>
          <b:Person>
            <b:Last>Kisswani</b:Last>
            <b:First>A.</b:First>
          </b:Person>
        </b:NameList>
      </b:Author>
    </b:Author>
    <b:Comments>https://doi.org/ 10.34917/11889711</b:Comments>
    <b:RefOrder>12</b:RefOrder>
  </b:Source>
  <b:Source>
    <b:Tag>Sha131</b:Tag>
    <b:SourceType>JournalArticle</b:SourceType>
    <b:Guid>{BA50FFDF-0CAD-DD42-8DBF-9BC03EFC975F}</b:Guid>
    <b:Title>Effects of Oil Price Shocks on the Economic Sectors in Malaysia</b:Title>
    <b:Year>2013</b:Year>
    <b:Author>
      <b:Author>
        <b:NameList>
          <b:Person>
            <b:Last>Shaari</b:Last>
            <b:Middle>S.</b:Middle>
            <b:First>M.</b:First>
          </b:Person>
          <b:Person>
            <b:Last>Pei</b:Last>
            <b:Middle>L.</b:Middle>
            <b:First>T.</b:First>
          </b:Person>
          <b:Person>
            <b:Last>Rahim</b:Last>
            <b:Middle>A.</b:Middle>
            <b:First>H.</b:First>
          </b:Person>
        </b:NameList>
      </b:Author>
    </b:Author>
    <b:JournalName>International Journal of Energy Economics and Policy</b:JournalName>
    <b:Pages>360-366</b:Pages>
    <b:Volume>3</b:Volume>
    <b:Issue>4</b:Issue>
    <b:RefOrder>13</b:RefOrder>
  </b:Source>
  <b:Source>
    <b:Tag>Var21</b:Tag>
    <b:SourceType>DocumentFromInternetSite</b:SourceType>
    <b:Guid>{70864BB6-5CBB-C347-9DB7-407D06361667}</b:Guid>
    <b:Title>India's Low-Income Frontline Worker burned by rising Fuel Prices</b:Title>
    <b:JournalName>The Economic Times</b:JournalName>
    <b:Year>2021</b:Year>
    <b:Author>
      <b:Author>
        <b:NameList>
          <b:Person>
            <b:Last>Varadhan</b:Last>
            <b:First>S.</b:First>
          </b:Person>
          <b:Person>
            <b:Last>Verma</b:Last>
            <b:First>N.</b:First>
          </b:Person>
        </b:NameList>
      </b:Author>
    </b:Author>
    <b:Month>June</b:Month>
    <b:Day>9</b:Day>
    <b:InternetSiteTitle>The Economic Times</b:InternetSiteTitle>
    <b:URL> https://auto.economictimes.indiatimes.com/ news/oil-and-lubes/indias-low-incomefrontline-workers- burned-by-rising-fuel-prices/83377715</b:URL>
    <b:RefOrder>14</b:RefOrder>
  </b:Source>
  <b:Source>
    <b:Tag>Abe01</b:Tag>
    <b:SourceType>JournalArticle</b:SourceType>
    <b:Guid>{71D4F2C0-A220-E148-B4C0-A40132CF30F7}</b:Guid>
    <b:Title>Estimation of Direct and Indirect Impact of Oil Price on Growth</b:Title>
    <b:Year>2001</b:Year>
    <b:JournalName>Economics Letters</b:JournalName>
    <b:Pages>147-153</b:Pages>
    <b:Author>
      <b:Author>
        <b:NameList>
          <b:Person>
            <b:Last>Abeysinghe</b:Last>
            <b:First>T.</b:First>
          </b:Person>
        </b:NameList>
      </b:Author>
    </b:Author>
    <b:Volume>73</b:Volume>
    <b:Issue>2</b:Issue>
    <b:RefOrder>15</b:RefOrder>
  </b:Source>
  <b:Source>
    <b:Tag>Gis86</b:Tag>
    <b:SourceType>JournalArticle</b:SourceType>
    <b:Guid>{4143BA3B-17B7-6744-8F3B-19664AD0A206}</b:Guid>
    <b:Title>Crude Oil and the Macroeconomy: Tests of Some Popular Notions</b:Title>
    <b:JournalName>Journal of Money, Credit and Banking</b:JournalName>
    <b:Year>1986</b:Year>
    <b:Pages>95-103</b:Pages>
    <b:Author>
      <b:Author>
        <b:NameList>
          <b:Person>
            <b:Last>Gisser</b:Last>
            <b:First>M.</b:First>
          </b:Person>
          <b:Person>
            <b:Last>Goodwin</b:Last>
            <b:Middle>H.</b:Middle>
            <b:First>T.</b:First>
          </b:Person>
        </b:NameList>
      </b:Author>
    </b:Author>
    <b:Volume>18</b:Volume>
    <b:Issue>1</b:Issue>
    <b:RefOrder>16</b:RefOrder>
  </b:Source>
  <b:Source>
    <b:Tag>Jim04</b:Tag>
    <b:SourceType>JournalArticle</b:SourceType>
    <b:Guid>{19F4F832-6D9A-9A4F-9D40-EE920D31CD6D}</b:Guid>
    <b:Title>Oil Prices Shocks and Real GDP Growth: Empirical Evidence for some OECD Countries</b:Title>
    <b:JournalName>European Central Bank Working Paper Series</b:JournalName>
    <b:Year>2004</b:Year>
    <b:Author>
      <b:Author>
        <b:NameList>
          <b:Person>
            <b:Last>Jiménez-Rodríguez</b:Last>
            <b:First>R.</b:First>
          </b:Person>
          <b:Person>
            <b:Last>Sànchez</b:Last>
            <b:First>M.</b:First>
          </b:Person>
        </b:NameList>
      </b:Author>
    </b:Author>
    <b:Volume>362</b:Volume>
    <b:RefOrder>17</b:RefOrder>
  </b:Source>
  <b:Source>
    <b:Tag>Kil08</b:Tag>
    <b:SourceType>JournalArticle</b:SourceType>
    <b:Guid>{4186EE4C-B649-6945-993C-8692FA72576B}</b:Guid>
    <b:Title>Exogenous Oil Supply Shocks: How Big are ther and How much do they Matter for the U. S. Economy?</b:Title>
    <b:JournalName>Review of Economics and Statistics</b:JournalName>
    <b:Year>2008</b:Year>
    <b:Pages>216-240</b:Pages>
    <b:Author>
      <b:Author>
        <b:NameList>
          <b:Person>
            <b:Last>Kilian</b:Last>
            <b:First>L.</b:First>
          </b:Person>
        </b:NameList>
      </b:Author>
    </b:Author>
    <b:Volume>90</b:Volume>
    <b:Issue>2</b:Issue>
    <b:RefOrder>18</b:RefOrder>
  </b:Source>
  <b:Source>
    <b:Tag>Zha08</b:Tag>
    <b:SourceType>JournalArticle</b:SourceType>
    <b:Guid>{B57233D1-09D5-B14E-B707-475D75D5DD3F}</b:Guid>
    <b:Title>Oil Shock and Economic Growth in Japan: A Nonlinear Approach</b:Title>
    <b:JournalName>Energy Economics</b:JournalName>
    <b:Year>2008</b:Year>
    <b:Pages>2374-2390</b:Pages>
    <b:Author>
      <b:Author>
        <b:NameList>
          <b:Person>
            <b:Last>Zhang</b:Last>
            <b:First>D.</b:First>
          </b:Person>
        </b:NameList>
      </b:Author>
    </b:Author>
    <b:Volume>30</b:Volume>
    <b:Issue>5</b:Issue>
    <b:RefOrder>19</b:RefOrder>
  </b:Source>
  <b:Source>
    <b:Tag>AlR16</b:Tag>
    <b:SourceType>Report</b:SourceType>
    <b:Guid>{8F464797-2E2B-F443-B85E-9B7E5E7D0D2C}</b:Guid>
    <b:Title>The Impact of Oil Prices on Industrial Production in Developing Countries</b:Title>
    <b:Year>2016</b:Year>
    <b:Author>
      <b:Author>
        <b:NameList>
          <b:Person>
            <b:Last>Al-Risheq</b:Last>
            <b:Middle>M.</b:Middle>
            <b:First>S.</b:First>
          </b:Person>
        </b:NameList>
      </b:Author>
    </b:Author>
    <b:Publisher>University of Ottawa</b:Publisher>
    <b:City>Ontario</b:City>
    <b:Comments>https://ruor.uottawa.ca/ bitstream/10393/35792/1/Al-Risheq_Suhair%20M_2016_researchpaper.pdf</b:Comments>
    <b:RefOrder>20</b:RefOrder>
  </b:Source>
  <b:Source>
    <b:Tag>Naw12</b:Tag>
    <b:SourceType>JournalArticle</b:SourceType>
    <b:Guid>{09FEE6BF-645E-FD46-BCA0-0A57DF292424}</b:Guid>
    <b:Title>The Impact of Exchange Rate on Output Level: Bounds Test Approach for Pakistan</b:Title>
    <b:Year>2012</b:Year>
    <b:Author>
      <b:Author>
        <b:NameList>
          <b:Person>
            <b:Last>Nawaz</b:Last>
            <b:First>M.</b:First>
          </b:Person>
        </b:NameList>
      </b:Author>
    </b:Author>
    <b:JournalName>The Pakistan Development Review</b:JournalName>
    <b:Pages>419-434</b:Pages>
    <b:Volume>51</b:Volume>
    <b:Issue>4</b:Issue>
    <b:RefOrder>21</b:RefOrder>
  </b:Source>
  <b:Source>
    <b:Tag>Saa16</b:Tag>
    <b:SourceType>JournalArticle</b:SourceType>
    <b:Guid>{5B900A82-7546-784A-B545-2D58D12C61F6}</b:Guid>
    <b:Title>The Impacts of Petroleum Price Fluctuations on Income Distribution Across Ethnic Groups in Malaysia</b:Title>
    <b:JournalName>Ecological Economics</b:JournalName>
    <b:Year>2016</b:Year>
    <b:Pages>25-36</b:Pages>
    <b:Author>
      <b:Author>
        <b:NameList>
          <b:Person>
            <b:Last>Saari</b:Last>
            <b:Middle>Y.</b:Middle>
            <b:First>M.</b:First>
          </b:Person>
          <b:Person>
            <b:Last>Dietzenbacher</b:Last>
            <b:First>E.</b:First>
          </b:Person>
          <b:Person>
            <b:Last>Los</b:Last>
            <b:First>B.</b:First>
          </b:Person>
        </b:NameList>
      </b:Author>
    </b:Author>
    <b:Volume>130</b:Volume>
    <b:Comments>https://doi.org/ 10.1016/j.ecolecon.2016.05.021</b:Comments>
    <b:RefOrder>22</b:RefOrder>
  </b:Source>
  <b:Source>
    <b:Tag>AlH21</b:Tag>
    <b:SourceType>JournalArticle</b:SourceType>
    <b:Guid>{672C83F9-6241-394B-B969-5585461431BB}</b:Guid>
    <b:Title>Exploring the Nexus between Oil Price Shocks and Sectoral Stock Returns: A New Evidence from Stock Exchange in Malaysia</b:Title>
    <b:JournalName>Economic Change and Restructuring</b:JournalName>
    <b:Year>2021</b:Year>
    <b:Pages>199-217</b:Pages>
    <b:Author>
      <b:Author>
        <b:NameList>
          <b:Person>
            <b:Last>Al-Hajj</b:Last>
            <b:First>E.</b:First>
          </b:Person>
          <b:Person>
            <b:Last>Al-Mulali</b:Last>
            <b:First>U.</b:First>
          </b:Person>
          <b:Person>
            <b:Last>Solarin</b:Last>
            <b:Middle>A.</b:Middle>
            <b:First>S.</b:First>
          </b:Person>
        </b:NameList>
      </b:Author>
    </b:Author>
    <b:Volume>54</b:Volume>
    <b:RefOrder>23</b:RefOrder>
  </b:Source>
  <b:Source>
    <b:Tag>Har11</b:Tag>
    <b:SourceType>JournalArticle</b:SourceType>
    <b:Guid>{A26095E1-6ABA-B747-9196-848768F0CA92}</b:Guid>
    <b:Title>Oil Price Shocks and Industrial Production: Is the Relationship Linear?</b:Title>
    <b:JournalName>Macroeconomic Dynamics</b:JournalName>
    <b:Year>2011</b:Year>
    <b:Pages>427-497</b:Pages>
    <b:Author>
      <b:Author>
        <b:NameList>
          <b:Person>
            <b:Last>Harrera</b:Last>
            <b:Middle>M.</b:Middle>
            <b:First>A.</b:First>
          </b:Person>
          <b:Person>
            <b:Last>Lagalo</b:Last>
            <b:Middle>G.</b:Middle>
            <b:First>L.</b:First>
          </b:Person>
          <b:Person>
            <b:Last>Wada</b:Last>
            <b:First>T.</b:First>
          </b:Person>
        </b:NameList>
      </b:Author>
    </b:Author>
    <b:Volume>15</b:Volume>
    <b:Issue>Suppl 3</b:Issue>
    <b:Comments> https://doi.org/10.1017/S1365100511000290</b:Comments>
    <b:RefOrder>24</b:RefOrder>
  </b:Source>
  <b:Source>
    <b:Tag>Joh18</b:Tag>
    <b:SourceType>JournalArticle</b:SourceType>
    <b:Guid>{DD5FF4BD-F950-3D49-BD83-569BB53D5ED3}</b:Guid>
    <b:Title>Impact of Crude Oil Price Changes on Economic Growth in Nigeria (1980-2014)</b:Title>
    <b:JournalName>International Journal of Social Relevance and Concern</b:JournalName>
    <b:Year>2018</b:Year>
    <b:Pages>9-42</b:Pages>
    <b:Author>
      <b:Author>
        <b:NameList>
          <b:Person>
            <b:Last>Johnny</b:Last>
            <b:First>N.</b:First>
          </b:Person>
          <b:Person>
            <b:Last>Timipere</b:Last>
            <b:Middle>T.</b:Middle>
            <b:First>E.</b:First>
          </b:Person>
          <b:Person>
            <b:Last>Ayunku</b:Last>
            <b:Middle>E.</b:Middle>
            <b:First>P.</b:First>
          </b:Person>
          <b:Person>
            <b:Last>Peter</b:Last>
            <b:Middle>G.</b:Middle>
            <b:First>E.</b:First>
          </b:Person>
        </b:NameList>
      </b:Author>
    </b:Author>
    <b:Volume>6</b:Volume>
    <b:Issue>5</b:Issue>
    <b:RefOrder>25</b:RefOrder>
  </b:Source>
  <b:Source>
    <b:Tag>Bjø09</b:Tag>
    <b:SourceType>JournalArticle</b:SourceType>
    <b:Guid>{886B1A53-F655-D04B-B2B7-83E5D50B88AB}</b:Guid>
    <b:Title>Oil Price Shocks and Stock Market Booms in an Oil Exporting Country</b:Title>
    <b:JournalName>Scottish Journal of Political Economy</b:JournalName>
    <b:Year>2009</b:Year>
    <b:Pages>232-254</b:Pages>
    <b:Author>
      <b:Author>
        <b:NameList>
          <b:Person>
            <b:Last>Bjørnland</b:Last>
            <b:Middle>C.</b:Middle>
            <b:First>H.</b:First>
          </b:Person>
        </b:NameList>
      </b:Author>
    </b:Author>
    <b:Volume>56</b:Volume>
    <b:Issue>2</b:Issue>
    <b:RefOrder>26</b:RefOrder>
  </b:Source>
  <b:Source>
    <b:Tag>Far08</b:Tag>
    <b:SourceType>JournalArticle</b:SourceType>
    <b:Guid>{A509A1B7-D7AA-0147-AFFC-BB007FF54FB6}</b:Guid>
    <b:Title>The Effects of Oil Price Shocks on the Iranian Economy</b:Title>
    <b:JournalName>Dresden Discussion Paper</b:JournalName>
    <b:Year>2008</b:Year>
    <b:Author>
      <b:Author>
        <b:NameList>
          <b:Person>
            <b:Last>Farzanegan</b:Last>
            <b:Middle>R.</b:Middle>
            <b:First>M.</b:First>
          </b:Person>
          <b:Person>
            <b:Last>Markwardt</b:Last>
            <b:First>G.</b:First>
          </b:Person>
        </b:NameList>
      </b:Author>
    </b:Author>
    <b:Volume>15/08</b:Volume>
    <b:RefOrder>27</b:RefOrder>
  </b:Source>
  <b:Source>
    <b:Tag>Jir17</b:Tag>
    <b:SourceType>JournalArticle</b:SourceType>
    <b:Guid>{92715573-015E-E644-A5C6-C590EBE52FB5}</b:Guid>
    <b:Title>The Response of Industrial Production to the Price of Oil: New Evidence for Thailand</b:Title>
    <b:JournalName>Turkish Economic Review</b:JournalName>
    <b:Year>2017</b:Year>
    <b:Pages>193-204</b:Pages>
    <b:Author>
      <b:Author>
        <b:NameList>
          <b:Person>
            <b:Last>Jiranyakul</b:Last>
            <b:First>K.</b:First>
          </b:Person>
        </b:NameList>
      </b:Author>
    </b:Author>
    <b:Volume>4</b:Volume>
    <b:Issue>2</b:Issue>
    <b:RefOrder>28</b:RefOrder>
  </b:Source>
  <b:Source>
    <b:Tag>Pin13</b:Tag>
    <b:SourceType>JournalArticle</b:SourceType>
    <b:Guid>{9458EC0A-3C35-A04D-B7B2-CBF7B661BC55}</b:Guid>
    <b:Title>Financial Speculation in the Oil Markets and the Determinants of the Price of Oil</b:Title>
    <b:JournalName>The Energy Journal</b:JournalName>
    <b:Year>2013</b:Year>
    <b:Pages>191-216</b:Pages>
    <b:Author>
      <b:Author>
        <b:NameList>
          <b:Person>
            <b:Last>Pinno</b:Last>
            <b:First>K.</b:First>
          </b:Person>
          <b:Person>
            <b:Last>Serletis</b:Last>
            <b:First>A.</b:First>
          </b:Person>
        </b:NameList>
      </b:Author>
    </b:Author>
    <b:Volume>34</b:Volume>
    <b:Issue>3</b:Issue>
    <b:RefOrder>29</b:RefOrder>
  </b:Source>
  <b:Source>
    <b:Tag>Dal11</b:Tag>
    <b:SourceType>Report</b:SourceType>
    <b:Guid>{A95D7136-5DD8-1D49-878C-3D17FCA7715F}</b:Guid>
    <b:Title>Do Crude Oil Price Changes affect Economics Growth of India, Pakistan and Bangladesh? A Multivariate Time Series Analysis</b:Title>
    <b:Year>2011</b:Year>
    <b:Author>
      <b:Author>
        <b:NameList>
          <b:Person>
            <b:Last>Akram</b:Last>
            <b:First>M.</b:First>
          </b:Person>
        </b:NameList>
      </b:Author>
    </b:Author>
    <b:Publisher>Dalarna University School of Technology and Business Studies</b:Publisher>
    <b:City>Högskolan Dalarna</b:City>
    <b:ThesisType>Economics D-Level Thesis</b:ThesisType>
    <b:RefOrder>11</b:RefOrder>
  </b:Source>
  <b:Source>
    <b:Tag>Gok15</b:Tag>
    <b:SourceType>JournalArticle</b:SourceType>
    <b:Guid>{A7623603-1180-BF49-8EA6-D28239934D96}</b:Guid>
    <b:Title>The Relationship between Industrial Production, GDP, Inflation and Oil Price: The Case of Turkey</b:Title>
    <b:JournalName>Procedia: Economics and Finance</b:JournalName>
    <b:Year>2015</b:Year>
    <b:Pages>497-503</b:Pages>
    <b:Author>
      <b:Author>
        <b:NameList>
          <b:Person>
            <b:Last>Gokmenoglu</b:Last>
            <b:First>K.</b:First>
          </b:Person>
          <b:Person>
            <b:Last>Azin</b:Last>
            <b:First>V.</b:First>
          </b:Person>
          <b:Person>
            <b:Last>Taspinar</b:Last>
            <b:First>N.</b:First>
          </b:Person>
        </b:NameList>
      </b:Author>
    </b:Author>
    <b:Volume>25</b:Volume>
    <b:RefOrder>30</b:RefOrder>
  </b:Source>
  <b:Source>
    <b:Tag>Bha10</b:Tag>
    <b:SourceType>JournalArticle</b:SourceType>
    <b:Guid>{80ABA321-55C6-7C42-A7A5-C0310E30FC7C}</b:Guid>
    <b:Title>Inflation, Inflation Uncertainty and Output Growth in the USA</b:Title>
    <b:JournalName>Physica A: Statistical Mechanics and its Applications</b:JournalName>
    <b:Year>2010</b:Year>
    <b:Pages>5503-5510</b:Pages>
    <b:Author>
      <b:Author>
        <b:NameList>
          <b:Person>
            <b:Last>Bhar</b:Last>
            <b:First>R.</b:First>
          </b:Person>
          <b:Person>
            <b:Last>Mallik</b:Last>
            <b:First>G.</b:First>
          </b:Person>
        </b:NameList>
      </b:Author>
    </b:Author>
    <b:Volume>389</b:Volume>
    <b:Issue>23</b:Issue>
    <b:RefOrder>31</b:RefOrder>
  </b:Source>
  <b:Source>
    <b:Tag>Aje21</b:Tag>
    <b:SourceType>JournalArticle</b:SourceType>
    <b:Guid>{CC4C4055-E36D-B742-A97E-AF18D623CD6A}</b:Guid>
    <b:Title>Linkage between Oil Price, Exchange Rate and the Trading Performance of Quoted Industrial Sectors in Nigeria</b:Title>
    <b:JournalName>Academic Letters</b:JournalName>
    <b:Year>2021</b:Year>
    <b:Author>
      <b:Author>
        <b:NameList>
          <b:Person>
            <b:Last>Ajeigbe</b:Last>
            <b:Middle>M.</b:Middle>
            <b:First>O.</b:First>
          </b:Person>
          <b:Person>
            <b:Last>Olomola</b:Last>
            <b:Middle>A.</b:Middle>
            <b:First>P.</b:First>
          </b:Person>
        </b:NameList>
      </b:Author>
    </b:Author>
    <b:Comments>https://doi.org/10.20935/ AL1295.</b:Comments>
    <b:RefOrder>32</b:RefOrder>
  </b:Source>
  <b:Source>
    <b:Tag>DeU24</b:Tag>
    <b:SourceType>JournalArticle</b:SourceType>
    <b:Guid>{13AE5F91-6DF8-2241-AB47-78B537FEC826}</b:Guid>
    <b:Title>Crude Oil Price, Manufacturing Index and Consumer Price Index: Is there any Temporal Link in India</b:Title>
    <b:JournalName>IIMB Management Review</b:JournalName>
    <b:Year>2024</b:Year>
    <b:Pages>137-145</b:Pages>
    <b:Author>
      <b:Author>
        <b:NameList>
          <b:Person>
            <b:Last>De</b:Last>
            <b:Middle>K.</b:Middle>
            <b:First>U.</b:First>
          </b:Person>
          <b:Person>
            <b:Last>Mallik</b:Last>
            <b:First>G.</b:First>
          </b:Person>
        </b:NameList>
      </b:Author>
    </b:Author>
    <b:Volume>36</b:Volume>
    <b:RefOrder>33</b:RefOrder>
  </b:Source>
</b:Sources>
</file>

<file path=customXml/itemProps1.xml><?xml version="1.0" encoding="utf-8"?>
<ds:datastoreItem xmlns:ds="http://schemas.openxmlformats.org/officeDocument/2006/customXml" ds:itemID="{C5DF8E05-A1D4-4C8C-A138-AD982DEC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Agarwal</dc:creator>
  <cp:keywords/>
  <dc:description/>
  <cp:lastModifiedBy>Shivam Agarwal</cp:lastModifiedBy>
  <cp:revision>28</cp:revision>
  <dcterms:created xsi:type="dcterms:W3CDTF">2024-10-17T09:28:00Z</dcterms:created>
  <dcterms:modified xsi:type="dcterms:W3CDTF">2025-10-20T19:27:00Z</dcterms:modified>
</cp:coreProperties>
</file>