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CBC75" w14:textId="7BB55CF7" w:rsidR="000F54FC" w:rsidRPr="00AB3E42" w:rsidRDefault="002E11B2" w:rsidP="002E11B2">
      <w:pPr>
        <w:ind w:left="720"/>
        <w:jc w:val="both"/>
        <w:rPr>
          <w:rFonts w:ascii="Arial Narrow" w:eastAsia="Times New Roman" w:hAnsi="Arial Narrow" w:cs="Times New Roman"/>
          <w:b/>
          <w:kern w:val="0"/>
          <w:lang w:val="en-US"/>
          <w14:ligatures w14:val="none"/>
        </w:rPr>
      </w:pPr>
      <w:r w:rsidRPr="00AB3E42">
        <w:rPr>
          <w:rFonts w:ascii="Arial Narrow" w:eastAsia="Times New Roman" w:hAnsi="Arial Narrow" w:cs="Times New Roman"/>
          <w:b/>
          <w:bCs/>
          <w:kern w:val="0"/>
          <w:lang w:val="en-US"/>
          <w14:ligatures w14:val="none"/>
        </w:rPr>
        <w:t>FACTORS SHAPING THE ADOPTION OF LPG FOR COOKING IN URBAN TANZANIA: EVIDENCE FROM GEITA MUNICIPAL.</w:t>
      </w:r>
    </w:p>
    <w:p w14:paraId="3DB5915B" w14:textId="0BEBD8DD" w:rsidR="00C45BCB" w:rsidRPr="00AB3E42" w:rsidRDefault="004602F5" w:rsidP="006E0B6E">
      <w:pPr>
        <w:spacing w:after="0"/>
        <w:jc w:val="left"/>
        <w:rPr>
          <w:rFonts w:ascii="Arial Narrow" w:eastAsia="TimesNewRomanPSMT" w:hAnsi="Arial Narrow" w:cstheme="majorHAnsi"/>
          <w:b/>
          <w:bCs/>
          <w:kern w:val="0"/>
        </w:rPr>
      </w:pPr>
      <w:r w:rsidRPr="00AB3E42">
        <w:rPr>
          <w:rFonts w:ascii="Arial Narrow" w:eastAsia="TimesNewRomanPSMT" w:hAnsi="Arial Narrow" w:cstheme="majorHAnsi"/>
          <w:b/>
          <w:bCs/>
          <w:kern w:val="0"/>
        </w:rPr>
        <w:t>Abstract</w:t>
      </w:r>
    </w:p>
    <w:p w14:paraId="6EC146B4" w14:textId="57E65CD2" w:rsidR="002E11B2" w:rsidRPr="00AB3E42" w:rsidRDefault="002E11B2" w:rsidP="000F2C92">
      <w:pPr>
        <w:pStyle w:val="NormalWeb"/>
        <w:spacing w:before="120" w:beforeAutospacing="0" w:after="120" w:afterAutospacing="0" w:line="360" w:lineRule="auto"/>
        <w:jc w:val="both"/>
        <w:rPr>
          <w:rFonts w:ascii="Arial Narrow" w:hAnsi="Arial Narrow" w:cstheme="majorHAnsi"/>
        </w:rPr>
      </w:pPr>
      <w:r w:rsidRPr="00AB3E42">
        <w:rPr>
          <w:rFonts w:ascii="Arial Narrow" w:hAnsi="Arial Narrow" w:cstheme="majorHAnsi"/>
        </w:rPr>
        <w:t>The global shift towards sustainable energy systems positions the adoption of Liquefied Petroleum Gas (LPG) as a critical objective. However, a significant disparity exists between these international efforts and the persistent dominance of traditional biomass fuels, such as firewood and charcoal, in Tanzanian households. This study examines the socio-economic determinants of LPG adoption for cooking in urban Tanzania, focusing on Kalangalala Ward, Geita Municipal Council. Grounded in the framework of UN Sustainable Development Goal 7, the research seeks to identify pathways to affordable and clean energy access. Employing a mixed-methods approach, data were collected from 87 respondents including households, food vendors, a</w:t>
      </w:r>
      <w:bookmarkStart w:id="0" w:name="_GoBack"/>
      <w:bookmarkEnd w:id="0"/>
      <w:r w:rsidRPr="00AB3E42">
        <w:rPr>
          <w:rFonts w:ascii="Arial Narrow" w:hAnsi="Arial Narrow" w:cstheme="majorHAnsi"/>
        </w:rPr>
        <w:t>nd key informants through structured questionnaires, interviews, and observation. A logistic regression analysis identified several factors with a statistically significant positive influence on LPG adoption (p &lt; 0.05): higher household income, greater awareness of LPG benefits, advanced education levels, positive attitudes towards LPG, and the availability of suppliers. Conversely, major adoption barriers included the high initial cost, ongoing refill expenses, safety concerns, and cultural preferences for traditional fuels. Notably, proximity to a refilling station (within 1 km for all respondents) was not a significant factor (p &gt; 0.05). The study concludes that while awareness of LPG's benefits is high, financial barriers are the primary constraint. It is recommended that policymakers and stakeholders develop strategies to lower the upfront and recurrent costs of LPG to foster its consistent use and support a sustainable energy transition in the region</w:t>
      </w:r>
    </w:p>
    <w:p w14:paraId="70655A3B" w14:textId="43F85A59" w:rsidR="00AA1BD6" w:rsidRPr="00AB3E42" w:rsidRDefault="00CF36C2" w:rsidP="000F2C92">
      <w:pPr>
        <w:pStyle w:val="NormalWeb"/>
        <w:spacing w:before="120" w:beforeAutospacing="0" w:after="120" w:afterAutospacing="0" w:line="360" w:lineRule="auto"/>
        <w:jc w:val="both"/>
        <w:rPr>
          <w:rFonts w:ascii="Arial Narrow" w:hAnsi="Arial Narrow" w:cstheme="majorHAnsi"/>
        </w:rPr>
      </w:pPr>
      <w:r w:rsidRPr="00AB3E42">
        <w:rPr>
          <w:rFonts w:ascii="Arial Narrow" w:hAnsi="Arial Narrow" w:cstheme="majorHAnsi"/>
          <w:b/>
          <w:bCs/>
        </w:rPr>
        <w:t>Keywords</w:t>
      </w:r>
      <w:r w:rsidRPr="00AB3E42">
        <w:rPr>
          <w:rFonts w:ascii="Arial Narrow" w:hAnsi="Arial Narrow" w:cstheme="majorHAnsi"/>
        </w:rPr>
        <w:t xml:space="preserve">: </w:t>
      </w:r>
      <w:r w:rsidR="00FD57A5" w:rsidRPr="00AB3E42">
        <w:rPr>
          <w:rFonts w:ascii="Arial Narrow" w:hAnsi="Arial Narrow" w:cstheme="majorHAnsi"/>
          <w:b/>
          <w:bCs/>
        </w:rPr>
        <w:t xml:space="preserve">LPG </w:t>
      </w:r>
      <w:r w:rsidR="002E11B2" w:rsidRPr="00AB3E42">
        <w:rPr>
          <w:rFonts w:ascii="Arial Narrow" w:hAnsi="Arial Narrow" w:cstheme="majorHAnsi"/>
          <w:b/>
          <w:bCs/>
        </w:rPr>
        <w:t>Adoption</w:t>
      </w:r>
      <w:r w:rsidR="002E11B2" w:rsidRPr="00AB3E42">
        <w:rPr>
          <w:rFonts w:ascii="Arial Narrow" w:hAnsi="Arial Narrow" w:cstheme="majorHAnsi"/>
        </w:rPr>
        <w:t>,</w:t>
      </w:r>
      <w:r w:rsidRPr="00AB3E42">
        <w:rPr>
          <w:rFonts w:ascii="Arial Narrow" w:hAnsi="Arial Narrow" w:cstheme="majorHAnsi"/>
        </w:rPr>
        <w:t xml:space="preserve"> </w:t>
      </w:r>
      <w:r w:rsidR="00FD57A5" w:rsidRPr="00AB3E42">
        <w:rPr>
          <w:rFonts w:ascii="Arial Narrow" w:hAnsi="Arial Narrow" w:cstheme="majorHAnsi"/>
          <w:b/>
          <w:bCs/>
        </w:rPr>
        <w:t>Socio-economic Factors</w:t>
      </w:r>
      <w:r w:rsidRPr="00AB3E42">
        <w:rPr>
          <w:rFonts w:ascii="Arial Narrow" w:hAnsi="Arial Narrow" w:cstheme="majorHAnsi"/>
        </w:rPr>
        <w:t xml:space="preserve">, </w:t>
      </w:r>
      <w:r w:rsidR="00FD57A5" w:rsidRPr="00AB3E42">
        <w:rPr>
          <w:rFonts w:ascii="Arial Narrow" w:hAnsi="Arial Narrow" w:cstheme="majorHAnsi"/>
          <w:b/>
          <w:bCs/>
        </w:rPr>
        <w:t>Cooking</w:t>
      </w:r>
      <w:r w:rsidRPr="00AB3E42">
        <w:rPr>
          <w:rFonts w:ascii="Arial Narrow" w:hAnsi="Arial Narrow" w:cstheme="majorHAnsi"/>
        </w:rPr>
        <w:t xml:space="preserve">, </w:t>
      </w:r>
      <w:r w:rsidR="00FD57A5" w:rsidRPr="00AB3E42">
        <w:rPr>
          <w:rFonts w:ascii="Arial Narrow" w:hAnsi="Arial Narrow" w:cstheme="majorHAnsi"/>
          <w:b/>
          <w:bCs/>
        </w:rPr>
        <w:t>Urban Tanzania</w:t>
      </w:r>
    </w:p>
    <w:p w14:paraId="6C4FBE31" w14:textId="094EC17C" w:rsidR="004954D6" w:rsidRPr="00AB3E42" w:rsidRDefault="004954D6" w:rsidP="00CF36C2">
      <w:pPr>
        <w:spacing w:before="0" w:after="0" w:line="240" w:lineRule="auto"/>
        <w:jc w:val="both"/>
        <w:rPr>
          <w:rFonts w:ascii="Arial Narrow" w:hAnsi="Arial Narrow" w:cstheme="majorHAnsi"/>
        </w:rPr>
      </w:pPr>
    </w:p>
    <w:p w14:paraId="2D616A3F" w14:textId="0D35AF35" w:rsidR="0028568F" w:rsidRPr="00AB3E42" w:rsidRDefault="0028568F" w:rsidP="00CF36C2">
      <w:pPr>
        <w:spacing w:before="0" w:after="0" w:line="240" w:lineRule="auto"/>
        <w:jc w:val="both"/>
        <w:rPr>
          <w:rFonts w:ascii="Arial Narrow" w:hAnsi="Arial Narrow" w:cstheme="majorHAnsi"/>
        </w:rPr>
      </w:pPr>
    </w:p>
    <w:p w14:paraId="5F8F4032" w14:textId="159EA3FF" w:rsidR="0028568F" w:rsidRPr="00AB3E42" w:rsidRDefault="0028568F" w:rsidP="00CF36C2">
      <w:pPr>
        <w:spacing w:before="0" w:after="0" w:line="240" w:lineRule="auto"/>
        <w:jc w:val="both"/>
        <w:rPr>
          <w:rFonts w:ascii="Arial Narrow" w:hAnsi="Arial Narrow" w:cstheme="majorHAnsi"/>
        </w:rPr>
      </w:pPr>
    </w:p>
    <w:p w14:paraId="02061B59" w14:textId="3F53D12A" w:rsidR="0028568F" w:rsidRPr="00AB3E42" w:rsidRDefault="0028568F" w:rsidP="00CF36C2">
      <w:pPr>
        <w:spacing w:before="0" w:after="0" w:line="240" w:lineRule="auto"/>
        <w:jc w:val="both"/>
        <w:rPr>
          <w:rFonts w:ascii="Arial Narrow" w:hAnsi="Arial Narrow" w:cstheme="majorHAnsi"/>
        </w:rPr>
      </w:pPr>
    </w:p>
    <w:p w14:paraId="0D8C1C11" w14:textId="531D808E" w:rsidR="0028568F" w:rsidRPr="00AB3E42" w:rsidRDefault="0028568F" w:rsidP="00CF36C2">
      <w:pPr>
        <w:spacing w:before="0" w:after="0" w:line="240" w:lineRule="auto"/>
        <w:jc w:val="both"/>
        <w:rPr>
          <w:rFonts w:ascii="Arial Narrow" w:hAnsi="Arial Narrow" w:cstheme="majorHAnsi"/>
        </w:rPr>
      </w:pPr>
    </w:p>
    <w:p w14:paraId="2DD9B342" w14:textId="77777777" w:rsidR="0028568F" w:rsidRPr="00AB3E42" w:rsidRDefault="0028568F" w:rsidP="00CF36C2">
      <w:pPr>
        <w:spacing w:before="0" w:after="0" w:line="240" w:lineRule="auto"/>
        <w:jc w:val="both"/>
        <w:rPr>
          <w:rFonts w:ascii="Arial Narrow" w:hAnsi="Arial Narrow" w:cstheme="majorHAnsi"/>
        </w:rPr>
      </w:pPr>
    </w:p>
    <w:p w14:paraId="79962DB7" w14:textId="0A289D74" w:rsidR="00C45BCB" w:rsidRPr="00AB3E42" w:rsidRDefault="00C45BCB" w:rsidP="0031352D">
      <w:pPr>
        <w:spacing w:before="100" w:beforeAutospacing="1" w:after="100" w:afterAutospacing="1" w:line="240" w:lineRule="auto"/>
        <w:jc w:val="left"/>
        <w:outlineLvl w:val="3"/>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t>Introduction</w:t>
      </w:r>
    </w:p>
    <w:p w14:paraId="0142604E" w14:textId="17168123" w:rsidR="009120F4" w:rsidRPr="00AB3E42" w:rsidRDefault="009120F4" w:rsidP="009120F4">
      <w:pPr>
        <w:spacing w:before="0" w:after="0"/>
        <w:jc w:val="both"/>
        <w:rPr>
          <w:rFonts w:ascii="Arial Narrow" w:eastAsia="Times New Roman" w:hAnsi="Arial Narrow" w:cs="Times New Roman"/>
          <w:kern w:val="0"/>
          <w:lang w:val="en-US"/>
          <w14:ligatures w14:val="none"/>
        </w:rPr>
      </w:pPr>
      <w:r w:rsidRPr="00AB3E42">
        <w:rPr>
          <w:rFonts w:ascii="Arial Narrow" w:eastAsia="Times New Roman" w:hAnsi="Arial Narrow" w:cstheme="majorHAnsi"/>
          <w:b/>
          <w:bCs/>
          <w:kern w:val="0"/>
          <w:lang w:eastAsia="en-GB"/>
          <w14:ligatures w14:val="none"/>
        </w:rPr>
        <w:t xml:space="preserve"> </w:t>
      </w:r>
      <w:r w:rsidRPr="00AB3E42">
        <w:rPr>
          <w:rFonts w:ascii="Arial Narrow" w:eastAsia="Times New Roman" w:hAnsi="Arial Narrow" w:cs="Times New Roman"/>
          <w:kern w:val="0"/>
          <w:lang w:val="en-US"/>
          <w14:ligatures w14:val="none"/>
        </w:rPr>
        <w:t xml:space="preserve">Adoption of Liquefied Petroleum Gas (LPG) has been considered globally as a crucial step in accomplishing sustainable energy transitions. Sustainable Development Goal (SDG) goal 7 of the United Nation (UN) places a strong emphasis on making sure that everyone has access to modern, reliable, affordable, and dependable energy </w:t>
      </w:r>
      <w:r w:rsidRPr="00AB3E42">
        <w:rPr>
          <w:rFonts w:ascii="Arial Narrow" w:eastAsia="Times New Roman" w:hAnsi="Arial Narrow" w:cs="Times New Roman"/>
          <w:kern w:val="0"/>
          <w:lang w:val="en-US"/>
          <w14:ligatures w14:val="none"/>
        </w:rPr>
        <w:fldChar w:fldCharType="begin"/>
      </w:r>
      <w:r w:rsidRPr="00AB3E42">
        <w:rPr>
          <w:rFonts w:ascii="Arial Narrow" w:eastAsia="Times New Roman" w:hAnsi="Arial Narrow" w:cs="Times New Roman"/>
          <w:kern w:val="0"/>
          <w:lang w:val="en-US"/>
          <w14:ligatures w14:val="none"/>
        </w:rPr>
        <w:instrText>ADDIN CSL_CITATION {"citationItems":[{"id":"ITEM-1","itemData":{"author":[{"dropping-particle":"","family":"Nations","given":"United","non-dropping-particle":"","parse-names":false,"suffix":""}],"id":"ITEM-1","issued":{"date-parts":[["0"]]},"title":"Transforming our world: the 2030 agenda for sustainable development","type":"article-journal"},"uris":["http://www.mendeley.com/documents/?uuid=d19f02df-b881-4e9a-9750-0ccec512bb34"]}],"mendeley":{"formattedCitation":"(Nations, n.d.)","plainTextFormattedCitation":"(Nations, n.d.)","previouslyFormattedCitation":"(Nations, n.d.)"},"properties":{"noteIndex":0},"schema":"https://github.com/citation-style-language/schema/raw/master/csl-citation.json"}</w:instrText>
      </w:r>
      <w:r w:rsidRPr="00AB3E42">
        <w:rPr>
          <w:rFonts w:ascii="Arial Narrow" w:eastAsia="Times New Roman" w:hAnsi="Arial Narrow" w:cs="Times New Roman"/>
          <w:kern w:val="0"/>
          <w:lang w:val="en-US"/>
          <w14:ligatures w14:val="none"/>
        </w:rPr>
        <w:fldChar w:fldCharType="separate"/>
      </w:r>
      <w:r w:rsidRPr="00AB3E42">
        <w:rPr>
          <w:rFonts w:ascii="Arial Narrow" w:eastAsia="Times New Roman" w:hAnsi="Arial Narrow" w:cs="Times New Roman"/>
          <w:noProof/>
          <w:kern w:val="0"/>
          <w:lang w:val="en-US"/>
          <w14:ligatures w14:val="none"/>
        </w:rPr>
        <w:t>(United Nation, 2015)</w:t>
      </w:r>
      <w:r w:rsidRPr="00AB3E42">
        <w:rPr>
          <w:rFonts w:ascii="Arial Narrow" w:eastAsia="Times New Roman" w:hAnsi="Arial Narrow" w:cs="Times New Roman"/>
          <w:kern w:val="0"/>
          <w:lang w:val="en-US"/>
          <w14:ligatures w14:val="none"/>
        </w:rPr>
        <w:fldChar w:fldCharType="end"/>
      </w:r>
      <w:r w:rsidRPr="00AB3E42">
        <w:rPr>
          <w:rFonts w:ascii="Arial Narrow" w:eastAsia="Times New Roman" w:hAnsi="Arial Narrow" w:cs="Times New Roman"/>
          <w:kern w:val="0"/>
          <w:lang w:val="en-US"/>
          <w14:ligatures w14:val="none"/>
        </w:rPr>
        <w:t xml:space="preserve">. Adoption of LPG is essential in lowering dependency on traditional biomass, </w:t>
      </w:r>
      <w:r w:rsidRPr="00AB3E42">
        <w:rPr>
          <w:rFonts w:ascii="Arial Narrow" w:eastAsia="Times New Roman" w:hAnsi="Arial Narrow" w:cs="Times New Roman"/>
          <w:kern w:val="0"/>
          <w:lang w:val="en-US"/>
          <w14:ligatures w14:val="none"/>
        </w:rPr>
        <w:lastRenderedPageBreak/>
        <w:t xml:space="preserve">which still accounts for over 2.4 billion people globally who uses firewood and charcoal </w:t>
      </w:r>
      <w:r w:rsidRPr="00AB3E42">
        <w:rPr>
          <w:rFonts w:ascii="Arial Narrow" w:eastAsia="Times New Roman" w:hAnsi="Arial Narrow" w:cs="Times New Roman"/>
          <w:kern w:val="0"/>
          <w:lang w:val="en-US"/>
          <w14:ligatures w14:val="none"/>
        </w:rPr>
        <w:fldChar w:fldCharType="begin"/>
      </w:r>
      <w:r w:rsidRPr="00AB3E42">
        <w:rPr>
          <w:rFonts w:ascii="Arial Narrow" w:eastAsia="Times New Roman" w:hAnsi="Arial Narrow" w:cs="Times New Roman"/>
          <w:kern w:val="0"/>
          <w:lang w:val="en-US"/>
          <w14:ligatures w14:val="none"/>
        </w:rPr>
        <w:instrText>ADDIN CSL_CITATION {"citationItems":[{"id":"ITEM-1","itemData":{"id":"ITEM-1","issued":{"date-parts":[["0"]]},"title":"Household Energy and Health Household Energy and Health","type":"article-journal"},"uris":["http://www.mendeley.com/documents/?uuid=ee360eff-e9ab-40e9-ac4f-6d2987feea0c"]}],"mendeley":{"formattedCitation":"(&lt;i&gt;Household Energy and Health Household Energy and Health&lt;/i&gt;, n.d.)","plainTextFormattedCitation":"(Household Energy and Health Household Energy and Health, n.d.)","previouslyFormattedCitation":"(&lt;i&gt;Household Energy and Health Household Energy and Health&lt;/i&gt;, n.d.)"},"properties":{"noteIndex":0},"schema":"https://github.com/citation-style-language/schema/raw/master/csl-citation.json"}</w:instrText>
      </w:r>
      <w:r w:rsidRPr="00AB3E42">
        <w:rPr>
          <w:rFonts w:ascii="Arial Narrow" w:eastAsia="Times New Roman" w:hAnsi="Arial Narrow" w:cs="Times New Roman"/>
          <w:kern w:val="0"/>
          <w:lang w:val="en-US"/>
          <w14:ligatures w14:val="none"/>
        </w:rPr>
        <w:fldChar w:fldCharType="separate"/>
      </w:r>
      <w:r w:rsidRPr="00AB3E42">
        <w:rPr>
          <w:rFonts w:ascii="Arial Narrow" w:eastAsia="Times New Roman" w:hAnsi="Arial Narrow" w:cs="Times New Roman"/>
          <w:noProof/>
          <w:kern w:val="0"/>
          <w:lang w:val="en-US"/>
          <w14:ligatures w14:val="none"/>
        </w:rPr>
        <w:t>(</w:t>
      </w:r>
      <w:r w:rsidR="00BB64A7">
        <w:rPr>
          <w:rFonts w:ascii="Arial Narrow" w:eastAsia="Times New Roman" w:hAnsi="Arial Narrow" w:cs="Times New Roman"/>
          <w:kern w:val="0"/>
          <w:lang w:val="en-US"/>
          <w14:ligatures w14:val="none"/>
        </w:rPr>
        <w:t>Younger et al</w:t>
      </w:r>
      <w:r w:rsidRPr="00AB3E42">
        <w:rPr>
          <w:rFonts w:ascii="Arial Narrow" w:eastAsia="Times New Roman" w:hAnsi="Arial Narrow" w:cs="Times New Roman"/>
          <w:kern w:val="0"/>
          <w:lang w:val="en-US"/>
          <w14:ligatures w14:val="none"/>
        </w:rPr>
        <w:t>, 2022</w:t>
      </w:r>
      <w:r w:rsidRPr="00AB3E42">
        <w:rPr>
          <w:rFonts w:ascii="Arial Narrow" w:eastAsia="Times New Roman" w:hAnsi="Arial Narrow" w:cs="Times New Roman"/>
          <w:noProof/>
          <w:kern w:val="0"/>
          <w:lang w:val="en-US"/>
          <w14:ligatures w14:val="none"/>
        </w:rPr>
        <w:t>)</w:t>
      </w:r>
      <w:r w:rsidRPr="00AB3E42">
        <w:rPr>
          <w:rFonts w:ascii="Arial Narrow" w:eastAsia="Times New Roman" w:hAnsi="Arial Narrow" w:cs="Times New Roman"/>
          <w:kern w:val="0"/>
          <w:lang w:val="en-US"/>
          <w14:ligatures w14:val="none"/>
        </w:rPr>
        <w:fldChar w:fldCharType="end"/>
      </w:r>
      <w:r w:rsidRPr="00AB3E42">
        <w:rPr>
          <w:rFonts w:ascii="Arial Narrow" w:eastAsia="Times New Roman" w:hAnsi="Arial Narrow" w:cs="Times New Roman"/>
          <w:kern w:val="0"/>
          <w:lang w:val="en-US"/>
          <w14:ligatures w14:val="none"/>
        </w:rPr>
        <w:t xml:space="preserve">. According to </w:t>
      </w:r>
      <w:r w:rsidRPr="00AB3E42">
        <w:rPr>
          <w:rFonts w:ascii="Arial Narrow" w:eastAsia="Times New Roman" w:hAnsi="Arial Narrow" w:cs="Times New Roman"/>
          <w:kern w:val="0"/>
          <w:lang w:val="en-US"/>
          <w14:ligatures w14:val="none"/>
        </w:rPr>
        <w:fldChar w:fldCharType="begin"/>
      </w:r>
      <w:r w:rsidRPr="00AB3E42">
        <w:rPr>
          <w:rFonts w:ascii="Arial Narrow" w:eastAsia="Times New Roman" w:hAnsi="Arial Narrow" w:cs="Times New Roman"/>
          <w:kern w:val="0"/>
          <w:lang w:val="en-US"/>
          <w14:ligatures w14:val="none"/>
        </w:rPr>
        <w:instrText>ADDIN CSL_CITATION {"citationItems":[{"id":"ITEM-1","itemData":{"DOI":"10.1016/S2214-109X(20)30343-0","ISSN":"2214-109X","author":[{"dropping-particle":"","family":"Lee","given":"Kuan Ken","non-dropping-particle":"","parse-names":false,"suffix":""},{"dropping-particle":"","family":"Bing","given":"Rong","non-dropping-particle":"","parse-names":false,"suffix":""},{"dropping-particle":"","family":"Kiang","given":"Joanne","non-dropping-particle":"","parse-names":false,"suffix":""},{"dropping-particle":"","family":"Bashir","given":"Sophia","non-dropping-particle":"","parse-names":false,"suffix":""},{"dropping-particle":"","family":"Spath","given":"Nicholas","non-dropping-particle":"","parse-names":false,"suffix":""},{"dropping-particle":"","family":"Stelzle","given":"Dominik","non-dropping-particle":"","parse-names":false,"suffix":""},{"dropping-particle":"","family":"Mortimer","given":"Kevin","non-dropping-particle":"","parse-names":false,"suffix":""},{"dropping-particle":"","family":"Bularga","given":"Anda","non-dropping-particle":"","parse-names":false,"suffix":""},{"dropping-particle":"","family":"Doudesis","given":"Dimitrios","non-dropping-particle":"","parse-names":false,"suffix":""},{"dropping-particle":"","family":"Joshi","given":"Shruti S","non-dropping-particle":"","parse-names":false,"suffix":""},{"dropping-particle":"","family":"Strachan","given":"Fiona","non-dropping-particle":"","parse-names":false,"suffix":""},{"dropping-particle":"","family":"Gumy","given":"Sophie","non-dropping-particle":"","parse-names":false,"suffix":""},{"dropping-particle":"","family":"Adair-rohani","given":"Heather","non-dropping-particle":"","parse-names":false,"suffix":""},{"dropping-particle":"","family":"Attia","given":"Engi F","non-dropping-particle":"","parse-names":false,"suffix":""},{"dropping-particle":"","family":"Chung","given":"Michael H","non-dropping-particle":"","parse-names":false,"suffix":""},{"dropping-particle":"","family":"Miller","given":"Mark R","non-dropping-particle":"","parse-names":false,"suffix":""},{"dropping-particle":"","family":"Newby","given":"David E","non-dropping-particle":"","parse-names":false,"suffix":""}],"container-title":"The Lancet Global Health","id":"ITEM-1","issue":"11","issued":{"date-parts":[["2020"]]},"page":"e1427-e1434","publisher":"The Author(s). Published by Elsevier Ltd. This is an Open Access article under the CC BY 4.0 license","title":"Articles Adverse health effects associated with household air pollution : a systematic review , meta-analysis , and burden estimation study","type":"article-journal","volume":"8"},"uris":["http://www.mendeley.com/documents/?uuid=c685113e-7d62-4a39-87a8-0bff97e70a8c"]}],"mendeley":{"formattedCitation":"(Lee et al., 2020)","manualFormatting":"Lee et al., (2020)","plainTextFormattedCitation":"(Lee et al., 2020)","previouslyFormattedCitation":"(Lee et al., 2020)"},"properties":{"noteIndex":0},"schema":"https://github.com/citation-style-language/schema/raw/master/csl-citation.json"}</w:instrText>
      </w:r>
      <w:r w:rsidRPr="00AB3E42">
        <w:rPr>
          <w:rFonts w:ascii="Arial Narrow" w:eastAsia="Times New Roman" w:hAnsi="Arial Narrow" w:cs="Times New Roman"/>
          <w:kern w:val="0"/>
          <w:lang w:val="en-US"/>
          <w14:ligatures w14:val="none"/>
        </w:rPr>
        <w:fldChar w:fldCharType="separate"/>
      </w:r>
      <w:r w:rsidRPr="00AB3E42">
        <w:rPr>
          <w:rFonts w:ascii="Arial Narrow" w:eastAsia="Times New Roman" w:hAnsi="Arial Narrow" w:cs="Times New Roman"/>
          <w:noProof/>
          <w:kern w:val="0"/>
          <w:lang w:val="en-US"/>
          <w14:ligatures w14:val="none"/>
        </w:rPr>
        <w:t xml:space="preserve">Lee </w:t>
      </w:r>
      <w:r w:rsidRPr="00AB3E42">
        <w:rPr>
          <w:rFonts w:ascii="Arial Narrow" w:eastAsia="Times New Roman" w:hAnsi="Arial Narrow" w:cs="Times New Roman"/>
          <w:i/>
          <w:iCs/>
          <w:noProof/>
          <w:kern w:val="0"/>
          <w:lang w:val="en-US"/>
          <w14:ligatures w14:val="none"/>
        </w:rPr>
        <w:t>et al.</w:t>
      </w:r>
      <w:r w:rsidRPr="00AB3E42">
        <w:rPr>
          <w:rFonts w:ascii="Arial Narrow" w:eastAsia="Times New Roman" w:hAnsi="Arial Narrow" w:cs="Times New Roman"/>
          <w:noProof/>
          <w:kern w:val="0"/>
          <w:lang w:val="en-US"/>
          <w14:ligatures w14:val="none"/>
        </w:rPr>
        <w:t xml:space="preserve"> (2020)</w:t>
      </w:r>
      <w:r w:rsidRPr="00AB3E42">
        <w:rPr>
          <w:rFonts w:ascii="Arial Narrow" w:eastAsia="Times New Roman" w:hAnsi="Arial Narrow" w:cs="Times New Roman"/>
          <w:kern w:val="0"/>
          <w:lang w:val="en-US"/>
          <w14:ligatures w14:val="none"/>
        </w:rPr>
        <w:fldChar w:fldCharType="end"/>
      </w:r>
      <w:r w:rsidR="00BB64A7">
        <w:rPr>
          <w:rFonts w:ascii="Arial Narrow" w:eastAsia="Times New Roman" w:hAnsi="Arial Narrow" w:cs="Times New Roman"/>
          <w:kern w:val="0"/>
          <w:lang w:val="en-US"/>
          <w14:ligatures w14:val="none"/>
        </w:rPr>
        <w:t xml:space="preserve"> and Younger et al,</w:t>
      </w:r>
      <w:r w:rsidRPr="00AB3E42">
        <w:rPr>
          <w:rFonts w:ascii="Arial Narrow" w:eastAsia="Times New Roman" w:hAnsi="Arial Narrow" w:cs="Times New Roman"/>
          <w:kern w:val="0"/>
          <w:lang w:val="en-US"/>
          <w14:ligatures w14:val="none"/>
        </w:rPr>
        <w:t xml:space="preserve"> (2022 ) estimates that almost 3 billion people worldwide rely on polluting fuels such as wood, coal, crop waste, animal dung, or charcoal paired with inefficient stoves for cooking and heating. This dependence adds to indoor air pollution, which is estimated to cause more than 3.8 million deaths each year globally </w:t>
      </w:r>
      <w:r w:rsidRPr="009F7C31">
        <w:rPr>
          <w:rFonts w:ascii="Arial Narrow" w:eastAsia="Times New Roman" w:hAnsi="Arial Narrow" w:cs="Times New Roman"/>
          <w:kern w:val="0"/>
          <w:lang w:val="en-US"/>
          <w14:ligatures w14:val="none"/>
        </w:rPr>
        <w:fldChar w:fldCharType="begin"/>
      </w:r>
      <w:r w:rsidRPr="009F7C31">
        <w:rPr>
          <w:rFonts w:ascii="Arial Narrow" w:eastAsia="Times New Roman" w:hAnsi="Arial Narrow" w:cs="Times New Roman"/>
          <w:kern w:val="0"/>
          <w:lang w:val="en-US"/>
          <w14:ligatures w14:val="none"/>
        </w:rPr>
        <w:instrText>ADDIN CSL_CITATION {"citationItems":[{"id":"ITEM-1","itemData":{"author":[{"dropping-particle":"","family":"Investigator","given":"Principal","non-dropping-particle":"","parse-names":false,"suffix":""}],"id":"ITEM-1","issued":{"date-parts":[["0"]]},"title":"No Title","type":"article-journal"},"uris":["http://www.mendeley.com/documents/?uuid=b72da5f1-41e1-4486-adbe-848f9faaeb8b"]}],"mendeley":{"formattedCitation":"(Investigator, n.d.)","manualFormatting":"(Indian institute of technology,2023.)","plainTextFormattedCitation":"(Investigator, n.d.)","previouslyFormattedCitation":"(Investigator, n.d.)"},"properties":{"noteIndex":0},"schema":"https://github.com/citation-style-language/schema/raw/master/csl-citation.json"}</w:instrText>
      </w:r>
      <w:r w:rsidRPr="009F7C31">
        <w:rPr>
          <w:rFonts w:ascii="Arial Narrow" w:eastAsia="Times New Roman" w:hAnsi="Arial Narrow" w:cs="Times New Roman"/>
          <w:kern w:val="0"/>
          <w:lang w:val="en-US"/>
          <w14:ligatures w14:val="none"/>
        </w:rPr>
        <w:fldChar w:fldCharType="separate"/>
      </w:r>
      <w:r w:rsidRPr="009F7C31">
        <w:rPr>
          <w:rFonts w:ascii="Arial Narrow" w:eastAsia="Times New Roman" w:hAnsi="Arial Narrow" w:cs="Times New Roman"/>
          <w:noProof/>
          <w:kern w:val="0"/>
          <w:lang w:val="en-US"/>
          <w14:ligatures w14:val="none"/>
        </w:rPr>
        <w:t>(</w:t>
      </w:r>
      <w:r w:rsidR="009F7C31" w:rsidRPr="009F7C31">
        <w:rPr>
          <w:rFonts w:ascii="Arial Narrow" w:hAnsi="Arial Narrow"/>
        </w:rPr>
        <w:t>Stoner et al, 2021</w:t>
      </w:r>
      <w:r w:rsidRPr="009F7C31">
        <w:rPr>
          <w:rFonts w:ascii="Arial Narrow" w:eastAsia="Times New Roman" w:hAnsi="Arial Narrow" w:cs="Times New Roman"/>
          <w:noProof/>
          <w:kern w:val="0"/>
          <w:lang w:val="en-US"/>
          <w14:ligatures w14:val="none"/>
        </w:rPr>
        <w:t>)</w:t>
      </w:r>
      <w:r w:rsidRPr="009F7C31">
        <w:rPr>
          <w:rFonts w:ascii="Arial Narrow" w:eastAsia="Times New Roman" w:hAnsi="Arial Narrow" w:cs="Times New Roman"/>
          <w:kern w:val="0"/>
          <w:lang w:val="en-US"/>
          <w14:ligatures w14:val="none"/>
        </w:rPr>
        <w:fldChar w:fldCharType="end"/>
      </w:r>
      <w:r w:rsidRPr="009F7C31">
        <w:rPr>
          <w:rFonts w:ascii="Arial Narrow" w:eastAsia="Times New Roman" w:hAnsi="Arial Narrow" w:cs="Times New Roman"/>
          <w:kern w:val="0"/>
          <w:lang w:val="en-US"/>
          <w14:ligatures w14:val="none"/>
        </w:rPr>
        <w:t>.</w:t>
      </w:r>
    </w:p>
    <w:p w14:paraId="6A754A67" w14:textId="58D0235B" w:rsidR="009120F4" w:rsidRPr="00AB3E42" w:rsidRDefault="009120F4" w:rsidP="009120F4">
      <w:pPr>
        <w:spacing w:before="0" w:after="0"/>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kern w:val="0"/>
          <w:lang w:val="en-US"/>
          <w14:ligatures w14:val="none"/>
        </w:rPr>
        <w:t xml:space="preserve">In Latin America, Brazil and Mexico have implemented comprehensive LPG subsidy programs, ensuring affordability and accessibility </w:t>
      </w:r>
      <w:r w:rsidRPr="00AB3E42">
        <w:rPr>
          <w:rFonts w:ascii="Arial Narrow" w:eastAsia="Times New Roman" w:hAnsi="Arial Narrow" w:cs="Times New Roman"/>
          <w:kern w:val="0"/>
          <w:lang w:val="en-US"/>
          <w14:ligatures w14:val="none"/>
        </w:rPr>
        <w:fldChar w:fldCharType="begin"/>
      </w:r>
      <w:r w:rsidRPr="00AB3E42">
        <w:rPr>
          <w:rFonts w:ascii="Arial Narrow" w:eastAsia="Times New Roman" w:hAnsi="Arial Narrow" w:cs="Times New Roman"/>
          <w:kern w:val="0"/>
          <w:lang w:val="en-US"/>
          <w14:ligatures w14:val="none"/>
        </w:rPr>
        <w:instrText>ADDIN CSL_CITATION {"citationItems":[{"id":"ITEM-1","itemData":{"DOI":"10.1016/j.enpol.2017.04.046","ISSN":"03014215","abstract":"The use of solid fuels (USF) for cooking is a key environmental health risk factor, affecting more than 2.8 billion people globally. The Sustainable /Development Goal seven (SDG7) aspires to ensure access to affordable, reliable, sustainable and modern energy for all by 2030. This will require transition toward modern cooking fuels such as Liquefied Petroleum Gas (LPG) and electricity. In Latin American and the Caribbean (LAC), 90 million people still rely on solid fuels for cooking. Access and price have been identified as the main factors that limit substitution of solid fuels by clean fuels. In this paper, we present an exploratory analysis of the effects of subsidy policies for LPG in reducing USF in LAC countries when controlling for indicators of socioeconomic development and urbanization. In LAC, subsidies to LPG have substantially contributed to accelerate the transition from USF to clean fuels for cooking. Targeted subsidies should be considered as a policy option to implement the SDG7 on clean energy. Making clean energy accessible to all has the co-benefits of preventing diseases and premature deaths. Understanding the transition processes from USF to cleaner fuels made by LAC countries can better inform policy making in other regions.","author":[{"dropping-particle":"","family":"Troncoso","given":"Karin","non-dropping-particle":"","parse-names":false,"suffix":""},{"dropping-particle":"","family":"Soares da Silva","given":"Agnes","non-dropping-particle":"","parse-names":false,"suffix":""}],"container-title":"Energy Policy","id":"ITEM-1","issue":"April","issued":{"date-parts":[["2017"]]},"page":"188-196","publisher":"Elsevier Ltd","title":"LPG fuel subsidies in Latin America and the use of solid fuels to cook","type":"article-journal","volume":"107"},"uris":["http://www.mendeley.com/documents/?uuid=6cdcdd83-9dc0-4cf4-8af6-0d41d0a8c456"]}],"mendeley":{"formattedCitation":"(Troncoso &amp; Soares da Silva, 2017)","plainTextFormattedCitation":"(Troncoso &amp; Soares da Silva, 2017)","previouslyFormattedCitation":"(Troncoso &amp; Soares da Silva, 2017)"},"properties":{"noteIndex":0},"schema":"https://github.com/citation-style-language/schema/raw/master/csl-citation.json"}</w:instrText>
      </w:r>
      <w:r w:rsidRPr="00AB3E42">
        <w:rPr>
          <w:rFonts w:ascii="Arial Narrow" w:eastAsia="Times New Roman" w:hAnsi="Arial Narrow" w:cs="Times New Roman"/>
          <w:kern w:val="0"/>
          <w:lang w:val="en-US"/>
          <w14:ligatures w14:val="none"/>
        </w:rPr>
        <w:fldChar w:fldCharType="separate"/>
      </w:r>
      <w:r w:rsidRPr="00AB3E42">
        <w:rPr>
          <w:rFonts w:ascii="Arial Narrow" w:eastAsia="Times New Roman" w:hAnsi="Arial Narrow" w:cs="Times New Roman"/>
          <w:noProof/>
          <w:kern w:val="0"/>
          <w:lang w:val="en-US"/>
          <w14:ligatures w14:val="none"/>
        </w:rPr>
        <w:t>(Troncoso and Soares da Silva, 2017)</w:t>
      </w:r>
      <w:r w:rsidRPr="00AB3E42">
        <w:rPr>
          <w:rFonts w:ascii="Arial Narrow" w:eastAsia="Times New Roman" w:hAnsi="Arial Narrow" w:cs="Times New Roman"/>
          <w:kern w:val="0"/>
          <w:lang w:val="en-US"/>
          <w14:ligatures w14:val="none"/>
        </w:rPr>
        <w:fldChar w:fldCharType="end"/>
      </w:r>
      <w:r w:rsidRPr="00AB3E42">
        <w:rPr>
          <w:rFonts w:ascii="Arial Narrow" w:eastAsia="Times New Roman" w:hAnsi="Arial Narrow" w:cs="Times New Roman"/>
          <w:kern w:val="0"/>
          <w:lang w:val="en-US"/>
          <w14:ligatures w14:val="none"/>
        </w:rPr>
        <w:t xml:space="preserve">. The </w:t>
      </w:r>
      <w:r w:rsidRPr="00AB3E42">
        <w:rPr>
          <w:rFonts w:ascii="Arial Narrow" w:eastAsia="Times New Roman" w:hAnsi="Arial Narrow" w:cs="Times New Roman"/>
          <w:bCs/>
          <w:kern w:val="0"/>
          <w:lang w:val="en-US"/>
          <w14:ligatures w14:val="none"/>
        </w:rPr>
        <w:t>Global LPG Partnership (GLPGP)</w:t>
      </w:r>
      <w:r w:rsidRPr="00AB3E42">
        <w:rPr>
          <w:rFonts w:ascii="Arial Narrow" w:eastAsia="Times New Roman" w:hAnsi="Arial Narrow" w:cs="Times New Roman"/>
          <w:kern w:val="0"/>
          <w:lang w:val="en-US"/>
          <w14:ligatures w14:val="none"/>
        </w:rPr>
        <w:t xml:space="preserve"> continues to support governments in developing robust LPG ecosystems, highlighting the health, environmental, and gender equity benefits of switching to LPG </w:t>
      </w:r>
      <w:r w:rsidRPr="00AB3E42">
        <w:rPr>
          <w:rFonts w:ascii="Arial Narrow" w:eastAsia="Times New Roman" w:hAnsi="Arial Narrow" w:cs="Times New Roman"/>
          <w:kern w:val="0"/>
          <w:lang w:val="en-US"/>
          <w14:ligatures w14:val="none"/>
        </w:rPr>
        <w:fldChar w:fldCharType="begin"/>
      </w:r>
      <w:r w:rsidRPr="00AB3E42">
        <w:rPr>
          <w:rFonts w:ascii="Arial Narrow" w:eastAsia="Times New Roman" w:hAnsi="Arial Narrow" w:cs="Times New Roman"/>
          <w:kern w:val="0"/>
          <w:lang w:val="en-US"/>
          <w14:ligatures w14:val="none"/>
        </w:rPr>
        <w:instrText>ADDIN CSL_CITATION {"citationItems":[{"id":"ITEM-1","itemData":{"author":[{"dropping-particle":"","family":"Chen","given":"Kimball","non-dropping-particle":"","parse-names":false,"suffix":""}],"id":"ITEM-1","issue":"March","issued":{"date-parts":[["2023"]]},"title":"THE IMPORTANCE OF LPG TO AFRICA AND THE PROSPECTS FOR LPG DECARBONIZATION THROUGH IMPLEMENTATION OF BIOLPG","type":"article-journal"},"uris":["http://www.mendeley.com/documents/?uuid=46e00494-362c-4720-a248-129985b742c5"]}],"mendeley":{"formattedCitation":"(Chen, 2023)","plainTextFormattedCitation":"(Chen, 2023)","previouslyFormattedCitation":"(Chen, 2023)"},"properties":{"noteIndex":0},"schema":"https://github.com/citation-style-language/schema/raw/master/csl-citation.json"}</w:instrText>
      </w:r>
      <w:r w:rsidRPr="00AB3E42">
        <w:rPr>
          <w:rFonts w:ascii="Arial Narrow" w:eastAsia="Times New Roman" w:hAnsi="Arial Narrow" w:cs="Times New Roman"/>
          <w:kern w:val="0"/>
          <w:lang w:val="en-US"/>
          <w14:ligatures w14:val="none"/>
        </w:rPr>
        <w:fldChar w:fldCharType="separate"/>
      </w:r>
      <w:r w:rsidR="003D36D6">
        <w:rPr>
          <w:rFonts w:ascii="Arial Narrow" w:eastAsia="Times New Roman" w:hAnsi="Arial Narrow" w:cs="Times New Roman"/>
          <w:noProof/>
          <w:kern w:val="0"/>
          <w:lang w:val="en-US"/>
          <w14:ligatures w14:val="none"/>
        </w:rPr>
        <w:t>(Chen, 2021</w:t>
      </w:r>
      <w:r w:rsidRPr="00AB3E42">
        <w:rPr>
          <w:rFonts w:ascii="Arial Narrow" w:eastAsia="Times New Roman" w:hAnsi="Arial Narrow" w:cs="Times New Roman"/>
          <w:noProof/>
          <w:kern w:val="0"/>
          <w:lang w:val="en-US"/>
          <w14:ligatures w14:val="none"/>
        </w:rPr>
        <w:t>)</w:t>
      </w:r>
      <w:r w:rsidRPr="00AB3E42">
        <w:rPr>
          <w:rFonts w:ascii="Arial Narrow" w:eastAsia="Times New Roman" w:hAnsi="Arial Narrow" w:cs="Times New Roman"/>
          <w:kern w:val="0"/>
          <w:lang w:val="en-US"/>
          <w14:ligatures w14:val="none"/>
        </w:rPr>
        <w:fldChar w:fldCharType="end"/>
      </w:r>
      <w:r w:rsidRPr="00AB3E42">
        <w:rPr>
          <w:rFonts w:ascii="Arial Narrow" w:eastAsia="Times New Roman" w:hAnsi="Arial Narrow" w:cs="Times New Roman"/>
          <w:kern w:val="0"/>
          <w:lang w:val="en-US"/>
          <w14:ligatures w14:val="none"/>
        </w:rPr>
        <w:t>.</w:t>
      </w:r>
    </w:p>
    <w:p w14:paraId="30B448DB" w14:textId="661E8F98" w:rsidR="009120F4" w:rsidRPr="00AB3E42" w:rsidRDefault="009120F4" w:rsidP="009120F4">
      <w:pPr>
        <w:spacing w:before="0" w:after="0"/>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kern w:val="0"/>
          <w:lang w:val="en-US"/>
          <w14:ligatures w14:val="none"/>
        </w:rPr>
        <w:t xml:space="preserve">Nearly 80% of Sub-Saharan African households cook with firewood or charcoal, which contributes to deforestation, degraded soil, and serious health hazards </w:t>
      </w:r>
      <w:r w:rsidRPr="00AB3E42">
        <w:rPr>
          <w:rFonts w:ascii="Arial Narrow" w:eastAsia="Times New Roman" w:hAnsi="Arial Narrow" w:cs="Times New Roman"/>
          <w:kern w:val="0"/>
          <w:lang w:val="en-US"/>
          <w14:ligatures w14:val="none"/>
        </w:rPr>
        <w:fldChar w:fldCharType="begin"/>
      </w:r>
      <w:r w:rsidRPr="00AB3E42">
        <w:rPr>
          <w:rFonts w:ascii="Arial Narrow" w:eastAsia="Times New Roman" w:hAnsi="Arial Narrow" w:cs="Times New Roman"/>
          <w:kern w:val="0"/>
          <w:lang w:val="en-US"/>
          <w14:ligatures w14:val="none"/>
        </w:rPr>
        <w:instrText>ADDIN CSL_CITATION {"citationItems":[{"id":"ITEM-1","itemData":{"author":[{"dropping-particle":"","family":"Agency","given":"International Energy","non-dropping-particle":"","parse-names":false,"suffix":""}],"id":"ITEM-1","issued":{"date-parts":[["2022"]]},"title":"Africa Energy Outlook 2022","type":"article-journal"},"uris":["http://www.mendeley.com/documents/?uuid=8f3529cf-f373-4edf-a8c7-e89056ce527f"]}],"mendeley":{"formattedCitation":"(Agency, 2022)","plainTextFormattedCitation":"(Agency, 2022)","previouslyFormattedCitation":"(Agency, 2022)"},"properties":{"noteIndex":0},"schema":"https://github.com/citation-style-language/schema/raw/master/csl-citation.json"}</w:instrText>
      </w:r>
      <w:r w:rsidRPr="00AB3E42">
        <w:rPr>
          <w:rFonts w:ascii="Arial Narrow" w:eastAsia="Times New Roman" w:hAnsi="Arial Narrow" w:cs="Times New Roman"/>
          <w:kern w:val="0"/>
          <w:lang w:val="en-US"/>
          <w14:ligatures w14:val="none"/>
        </w:rPr>
        <w:fldChar w:fldCharType="separate"/>
      </w:r>
      <w:r w:rsidRPr="00AB3E42">
        <w:rPr>
          <w:rFonts w:ascii="Arial Narrow" w:eastAsia="Times New Roman" w:hAnsi="Arial Narrow" w:cs="Times New Roman"/>
          <w:noProof/>
          <w:kern w:val="0"/>
          <w:lang w:val="en-US"/>
          <w14:ligatures w14:val="none"/>
        </w:rPr>
        <w:t>(</w:t>
      </w:r>
      <w:r w:rsidR="00872781" w:rsidRPr="00AB3E42">
        <w:rPr>
          <w:rFonts w:ascii="Arial Narrow" w:eastAsia="Times New Roman" w:hAnsi="Arial Narrow" w:cs="Times New Roman"/>
          <w:noProof/>
          <w:kern w:val="0"/>
          <w:lang w:val="en-US"/>
          <w14:ligatures w14:val="none"/>
        </w:rPr>
        <w:t>IEA</w:t>
      </w:r>
      <w:r w:rsidRPr="00AB3E42">
        <w:rPr>
          <w:rFonts w:ascii="Arial Narrow" w:eastAsia="Times New Roman" w:hAnsi="Arial Narrow" w:cs="Times New Roman"/>
          <w:noProof/>
          <w:kern w:val="0"/>
          <w:lang w:val="en-US"/>
          <w14:ligatures w14:val="none"/>
        </w:rPr>
        <w:t>, 2022)</w:t>
      </w:r>
      <w:r w:rsidRPr="00AB3E42">
        <w:rPr>
          <w:rFonts w:ascii="Arial Narrow" w:eastAsia="Times New Roman" w:hAnsi="Arial Narrow" w:cs="Times New Roman"/>
          <w:kern w:val="0"/>
          <w:lang w:val="en-US"/>
          <w14:ligatures w14:val="none"/>
        </w:rPr>
        <w:fldChar w:fldCharType="end"/>
      </w:r>
      <w:r w:rsidRPr="00AB3E42">
        <w:rPr>
          <w:rFonts w:ascii="Arial Narrow" w:eastAsia="Times New Roman" w:hAnsi="Arial Narrow" w:cs="Times New Roman"/>
          <w:kern w:val="0"/>
          <w:lang w:val="en-US"/>
          <w14:ligatures w14:val="none"/>
        </w:rPr>
        <w:t xml:space="preserve">. For example, Senegal has used financial incentives and public awareness campaigns to boost adoption rates, and Ghana's Cylinder Recirculation Model (CRM) seeks to encourage LPG usage by establishing a safer, standardized supply chain </w:t>
      </w:r>
      <w:r w:rsidRPr="00AB3E42">
        <w:rPr>
          <w:rFonts w:ascii="Arial Narrow" w:eastAsia="Times New Roman" w:hAnsi="Arial Narrow" w:cs="Times New Roman"/>
          <w:kern w:val="0"/>
          <w:lang w:val="en-US"/>
          <w14:ligatures w14:val="none"/>
        </w:rPr>
        <w:fldChar w:fldCharType="begin"/>
      </w:r>
      <w:r w:rsidRPr="00AB3E42">
        <w:rPr>
          <w:rFonts w:ascii="Arial Narrow" w:eastAsia="Times New Roman" w:hAnsi="Arial Narrow" w:cs="Times New Roman"/>
          <w:kern w:val="0"/>
          <w:lang w:val="en-US"/>
          <w14:ligatures w14:val="none"/>
        </w:rPr>
        <w:instrText>ADDIN CSL_CITATION {"citationItems":[{"id":"ITEM-1","itemData":{"author":[{"dropping-particle":"","family":"Agency","given":"International Energy","non-dropping-particle":"","parse-names":false,"suffix":""}],"id":"ITEM-1","issued":{"date-parts":[["2022"]]},"title":"Africa Energy Outlook 2022","type":"article-journal"},"uris":["http://www.mendeley.com/documents/?uuid=8f3529cf-f373-4edf-a8c7-e89056ce527f"]}],"mendeley":{"formattedCitation":"(Agency, 2022)","plainTextFormattedCitation":"(Agency, 2022)","previouslyFormattedCitation":"(Agency, 2022)"},"properties":{"noteIndex":0},"schema":"https://github.com/citation-style-language/schema/raw/master/csl-citation.json"}</w:instrText>
      </w:r>
      <w:r w:rsidRPr="00AB3E42">
        <w:rPr>
          <w:rFonts w:ascii="Arial Narrow" w:eastAsia="Times New Roman" w:hAnsi="Arial Narrow" w:cs="Times New Roman"/>
          <w:kern w:val="0"/>
          <w:lang w:val="en-US"/>
          <w14:ligatures w14:val="none"/>
        </w:rPr>
        <w:fldChar w:fldCharType="separate"/>
      </w:r>
      <w:r w:rsidRPr="00AB3E42">
        <w:rPr>
          <w:rFonts w:ascii="Arial Narrow" w:eastAsia="Times New Roman" w:hAnsi="Arial Narrow" w:cs="Times New Roman"/>
          <w:noProof/>
          <w:kern w:val="0"/>
          <w:lang w:val="en-US"/>
          <w14:ligatures w14:val="none"/>
        </w:rPr>
        <w:t>(</w:t>
      </w:r>
      <w:r w:rsidR="00872781" w:rsidRPr="00AB3E42">
        <w:rPr>
          <w:rFonts w:ascii="Arial Narrow" w:eastAsia="Times New Roman" w:hAnsi="Arial Narrow" w:cs="Times New Roman"/>
          <w:noProof/>
          <w:kern w:val="0"/>
          <w:lang w:val="en-US"/>
          <w14:ligatures w14:val="none"/>
        </w:rPr>
        <w:t>IEA</w:t>
      </w:r>
      <w:r w:rsidRPr="00AB3E42">
        <w:rPr>
          <w:rFonts w:ascii="Arial Narrow" w:eastAsia="Times New Roman" w:hAnsi="Arial Narrow" w:cs="Times New Roman"/>
          <w:noProof/>
          <w:kern w:val="0"/>
          <w:lang w:val="en-US"/>
          <w14:ligatures w14:val="none"/>
        </w:rPr>
        <w:t>, 2022)</w:t>
      </w:r>
      <w:r w:rsidRPr="00AB3E42">
        <w:rPr>
          <w:rFonts w:ascii="Arial Narrow" w:eastAsia="Times New Roman" w:hAnsi="Arial Narrow" w:cs="Times New Roman"/>
          <w:kern w:val="0"/>
          <w:lang w:val="en-US"/>
          <w14:ligatures w14:val="none"/>
        </w:rPr>
        <w:fldChar w:fldCharType="end"/>
      </w:r>
      <w:r w:rsidRPr="00AB3E42">
        <w:rPr>
          <w:rFonts w:ascii="Arial Narrow" w:eastAsia="Times New Roman" w:hAnsi="Arial Narrow" w:cs="Times New Roman"/>
          <w:kern w:val="0"/>
          <w:lang w:val="en-US"/>
          <w14:ligatures w14:val="none"/>
        </w:rPr>
        <w:t>.</w:t>
      </w:r>
    </w:p>
    <w:p w14:paraId="0F5BCD08" w14:textId="77777777" w:rsidR="009120F4" w:rsidRPr="00AB3E42" w:rsidRDefault="009120F4" w:rsidP="009120F4">
      <w:pPr>
        <w:spacing w:before="0" w:after="160"/>
        <w:jc w:val="both"/>
        <w:rPr>
          <w:rFonts w:ascii="Arial Narrow" w:eastAsia="Calibri" w:hAnsi="Arial Narrow" w:cs="Times New Roman"/>
          <w:kern w:val="0"/>
          <w:lang w:val="en-US"/>
          <w14:ligatures w14:val="none"/>
        </w:rPr>
      </w:pPr>
    </w:p>
    <w:p w14:paraId="4FD56CB8" w14:textId="77777777" w:rsidR="009120F4" w:rsidRPr="00AB3E42" w:rsidRDefault="009120F4" w:rsidP="009120F4">
      <w:pPr>
        <w:spacing w:before="0" w:after="160"/>
        <w:jc w:val="both"/>
        <w:rPr>
          <w:rFonts w:ascii="Arial Narrow" w:eastAsia="Times New Roman" w:hAnsi="Arial Narrow" w:cs="Times New Roman"/>
          <w:kern w:val="0"/>
          <w:lang w:val="en-US"/>
          <w14:ligatures w14:val="none"/>
        </w:rPr>
      </w:pPr>
      <w:r w:rsidRPr="00AB3E42">
        <w:rPr>
          <w:rFonts w:ascii="Arial Narrow" w:eastAsia="Calibri" w:hAnsi="Arial Narrow" w:cs="Times New Roman"/>
          <w:kern w:val="0"/>
          <w:lang w:val="en-US"/>
          <w14:ligatures w14:val="none"/>
        </w:rPr>
        <w:t>According to the Tanzania Household Budget Survey (HBS) of 2017-18 the main source of energy for cooking in Tanzania Mainland is firewood (60.9%) followed by charcoal (28.8%), industrial gas (3.2%), Electricity (2.1%), paraffin (1.3%) and solar (1.1% of households). Use of firewood as the main source of energy for cooking is more common in Rural Areas (84.8% of households) than in Urban Areas (17.4%). Furthermore, according</w:t>
      </w:r>
      <w:r w:rsidRPr="00AB3E42">
        <w:rPr>
          <w:rFonts w:ascii="Arial Narrow" w:eastAsia="Times New Roman" w:hAnsi="Arial Narrow" w:cs="Times New Roman"/>
          <w:kern w:val="0"/>
          <w:lang w:val="en-US"/>
          <w14:ligatures w14:val="none"/>
        </w:rPr>
        <w:t xml:space="preserve"> HBS 2017-18</w:t>
      </w:r>
      <w:r w:rsidRPr="00AB3E42">
        <w:rPr>
          <w:rFonts w:ascii="Arial Narrow" w:eastAsia="Calibri" w:hAnsi="Arial Narrow" w:cs="Times New Roman"/>
          <w:kern w:val="0"/>
          <w:lang w:val="en-US"/>
          <w14:ligatures w14:val="none"/>
        </w:rPr>
        <w:t xml:space="preserve"> </w:t>
      </w:r>
      <w:r w:rsidRPr="00AB3E42">
        <w:rPr>
          <w:rFonts w:ascii="Arial Narrow" w:eastAsia="Times New Roman" w:hAnsi="Arial Narrow" w:cs="Times New Roman"/>
          <w:kern w:val="0"/>
          <w:lang w:val="en-US"/>
          <w14:ligatures w14:val="none"/>
        </w:rPr>
        <w:t>increased earnings, urbanization, and easier access to supply chains have all contributed to the increased use of LPG in cities like Dar es Salaam and Arusha. To make LPG goods more inexpensive, the Tanzanian government has made subsidy and lowered import taxes on LPG cylinders (EWURA, 2023).</w:t>
      </w:r>
    </w:p>
    <w:p w14:paraId="49B8AD41" w14:textId="02EFC4D0" w:rsidR="009120F4" w:rsidRPr="00AB3E42" w:rsidRDefault="00766982" w:rsidP="009120F4">
      <w:pPr>
        <w:spacing w:before="100" w:beforeAutospacing="1" w:after="100" w:afterAutospacing="1"/>
        <w:jc w:val="both"/>
        <w:rPr>
          <w:rFonts w:ascii="Arial Narrow" w:eastAsia="Times New Roman" w:hAnsi="Arial Narrow" w:cs="Times New Roman"/>
          <w:kern w:val="0"/>
          <w:lang w:val="en-US"/>
          <w14:ligatures w14:val="none"/>
        </w:rPr>
      </w:pPr>
      <w:r>
        <w:rPr>
          <w:rFonts w:ascii="Arial Narrow" w:eastAsia="Times New Roman" w:hAnsi="Arial Narrow" w:cs="Times New Roman"/>
          <w:kern w:val="0"/>
          <w:lang w:val="en-US"/>
          <w14:ligatures w14:val="none"/>
        </w:rPr>
        <w:t xml:space="preserve">According to </w:t>
      </w:r>
      <w:r w:rsidRPr="00766982">
        <w:rPr>
          <w:rFonts w:ascii="Calibri" w:eastAsia="Calibri" w:hAnsi="Calibri" w:cs="Times New Roman"/>
          <w:lang w:val="en-US"/>
        </w:rPr>
        <w:t>Rugaimukamu</w:t>
      </w:r>
      <w:r>
        <w:rPr>
          <w:rFonts w:ascii="Arial Narrow" w:eastAsia="Times New Roman" w:hAnsi="Arial Narrow" w:cs="Times New Roman"/>
          <w:kern w:val="0"/>
          <w:lang w:val="en-US"/>
          <w14:ligatures w14:val="none"/>
        </w:rPr>
        <w:t xml:space="preserve"> (</w:t>
      </w:r>
      <w:r w:rsidR="004D19FC">
        <w:rPr>
          <w:rFonts w:ascii="Arial Narrow" w:eastAsia="Times New Roman" w:hAnsi="Arial Narrow" w:cs="Times New Roman"/>
          <w:kern w:val="0"/>
          <w:lang w:val="en-US"/>
          <w14:ligatures w14:val="none"/>
        </w:rPr>
        <w:t>2022</w:t>
      </w:r>
      <w:r w:rsidR="004D19FC" w:rsidRPr="00AB3E42">
        <w:rPr>
          <w:rFonts w:ascii="Arial Narrow" w:eastAsia="Times New Roman" w:hAnsi="Arial Narrow" w:cs="Times New Roman"/>
          <w:kern w:val="0"/>
          <w:lang w:val="en-US"/>
          <w14:ligatures w14:val="none"/>
        </w:rPr>
        <w:t>),</w:t>
      </w:r>
      <w:r w:rsidR="009120F4" w:rsidRPr="00AB3E42">
        <w:rPr>
          <w:rFonts w:ascii="Arial Narrow" w:eastAsia="Times New Roman" w:hAnsi="Arial Narrow" w:cs="Times New Roman"/>
          <w:kern w:val="0"/>
          <w:lang w:val="en-US"/>
          <w14:ligatures w14:val="none"/>
        </w:rPr>
        <w:t xml:space="preserve"> private sector participation in provision of LPG cylinders in rural and urban areas has increased its </w:t>
      </w:r>
      <w:r w:rsidR="004D19FC" w:rsidRPr="00AB3E42">
        <w:rPr>
          <w:rFonts w:ascii="Arial Narrow" w:eastAsia="Times New Roman" w:hAnsi="Arial Narrow" w:cs="Times New Roman"/>
          <w:kern w:val="0"/>
          <w:lang w:val="en-US"/>
          <w14:ligatures w14:val="none"/>
        </w:rPr>
        <w:t>availability;</w:t>
      </w:r>
      <w:r w:rsidR="009120F4" w:rsidRPr="00AB3E42">
        <w:rPr>
          <w:rFonts w:ascii="Arial Narrow" w:eastAsia="Times New Roman" w:hAnsi="Arial Narrow" w:cs="Times New Roman"/>
          <w:kern w:val="0"/>
          <w:lang w:val="en-US"/>
          <w14:ligatures w14:val="none"/>
        </w:rPr>
        <w:t xml:space="preserve"> with companies like Oryx, </w:t>
      </w:r>
      <w:proofErr w:type="spellStart"/>
      <w:r w:rsidR="009120F4" w:rsidRPr="00AB3E42">
        <w:rPr>
          <w:rFonts w:ascii="Arial Narrow" w:eastAsia="Times New Roman" w:hAnsi="Arial Narrow" w:cs="Times New Roman"/>
          <w:kern w:val="0"/>
          <w:lang w:val="en-US"/>
          <w14:ligatures w14:val="none"/>
        </w:rPr>
        <w:t>Mihan</w:t>
      </w:r>
      <w:proofErr w:type="spellEnd"/>
      <w:r w:rsidR="009120F4" w:rsidRPr="00AB3E42">
        <w:rPr>
          <w:rFonts w:ascii="Arial Narrow" w:eastAsia="Times New Roman" w:hAnsi="Arial Narrow" w:cs="Times New Roman"/>
          <w:kern w:val="0"/>
          <w:lang w:val="en-US"/>
          <w14:ligatures w14:val="none"/>
        </w:rPr>
        <w:t xml:space="preserve">, Orange, lake and </w:t>
      </w:r>
      <w:proofErr w:type="spellStart"/>
      <w:r w:rsidR="009120F4" w:rsidRPr="00AB3E42">
        <w:rPr>
          <w:rFonts w:ascii="Arial Narrow" w:eastAsia="Times New Roman" w:hAnsi="Arial Narrow" w:cs="Times New Roman"/>
          <w:kern w:val="0"/>
          <w:lang w:val="en-US"/>
          <w14:ligatures w14:val="none"/>
        </w:rPr>
        <w:t>Taifa</w:t>
      </w:r>
      <w:proofErr w:type="spellEnd"/>
      <w:r w:rsidR="009120F4" w:rsidRPr="00AB3E42">
        <w:rPr>
          <w:rFonts w:ascii="Arial Narrow" w:eastAsia="Times New Roman" w:hAnsi="Arial Narrow" w:cs="Times New Roman"/>
          <w:kern w:val="0"/>
          <w:lang w:val="en-US"/>
          <w14:ligatures w14:val="none"/>
        </w:rPr>
        <w:t xml:space="preserve"> Gas have expanding LPG distribution networks. However, challenges on the uses of LPG is persisting due to small number of households which are using LPG in rural areas while LPG adoption is higher in urban areas, many peri-urban and rural households struggle with affordability, lack of infrastructure, and limited awareness of the benefits of LPG compared to traditional fuels (</w:t>
      </w:r>
      <w:proofErr w:type="spellStart"/>
      <w:r w:rsidR="009120F4" w:rsidRPr="00AB3E42">
        <w:rPr>
          <w:rFonts w:ascii="Arial Narrow" w:eastAsia="Times New Roman" w:hAnsi="Arial Narrow" w:cs="Times New Roman"/>
          <w:kern w:val="0"/>
          <w:lang w:val="en-US"/>
          <w14:ligatures w14:val="none"/>
        </w:rPr>
        <w:t>Ngunguru</w:t>
      </w:r>
      <w:proofErr w:type="spellEnd"/>
      <w:r w:rsidR="009120F4" w:rsidRPr="00AB3E42">
        <w:rPr>
          <w:rFonts w:ascii="Arial Narrow" w:eastAsia="Times New Roman" w:hAnsi="Arial Narrow" w:cs="Times New Roman"/>
          <w:kern w:val="0"/>
          <w:lang w:val="en-US"/>
          <w14:ligatures w14:val="none"/>
        </w:rPr>
        <w:t xml:space="preserve"> and </w:t>
      </w:r>
      <w:proofErr w:type="spellStart"/>
      <w:r w:rsidR="009120F4" w:rsidRPr="00AB3E42">
        <w:rPr>
          <w:rFonts w:ascii="Arial Narrow" w:eastAsia="Times New Roman" w:hAnsi="Arial Narrow" w:cs="Times New Roman"/>
          <w:kern w:val="0"/>
          <w:lang w:val="en-US"/>
          <w14:ligatures w14:val="none"/>
        </w:rPr>
        <w:t>Lema</w:t>
      </w:r>
      <w:proofErr w:type="spellEnd"/>
      <w:r w:rsidR="009120F4" w:rsidRPr="00AB3E42">
        <w:rPr>
          <w:rFonts w:ascii="Arial Narrow" w:eastAsia="Times New Roman" w:hAnsi="Arial Narrow" w:cs="Times New Roman"/>
          <w:kern w:val="0"/>
          <w:lang w:val="en-US"/>
          <w14:ligatures w14:val="none"/>
        </w:rPr>
        <w:t>, 2020).</w:t>
      </w:r>
    </w:p>
    <w:p w14:paraId="4CDB6B5B" w14:textId="53BC50FD" w:rsidR="009120F4" w:rsidRPr="00AB3E42" w:rsidRDefault="009120F4" w:rsidP="009120F4">
      <w:pPr>
        <w:spacing w:before="100" w:beforeAutospacing="1" w:after="100" w:afterAutospacing="1"/>
        <w:jc w:val="both"/>
        <w:rPr>
          <w:rFonts w:ascii="Arial Narrow" w:eastAsia="Times New Roman" w:hAnsi="Arial Narrow" w:cs="Times New Roman"/>
        </w:rPr>
      </w:pPr>
      <w:r w:rsidRPr="00AB3E42">
        <w:rPr>
          <w:rFonts w:ascii="Arial Narrow" w:eastAsia="Times New Roman" w:hAnsi="Arial Narrow" w:cs="Times New Roman"/>
        </w:rPr>
        <w:lastRenderedPageBreak/>
        <w:t xml:space="preserve">Geita Municipal Council, including, where charcoal and firewood account for 98% of household energy use, while LPG adoption is as low as 0.1% (NBS, 2019). This heavy reliance contributes to severe indoor air pollution, linked to respiratory diseases and over 3.2 million deaths globally per year </w:t>
      </w:r>
      <w:r w:rsidR="00BB64A7">
        <w:rPr>
          <w:rFonts w:ascii="Arial Narrow" w:eastAsia="Times New Roman" w:hAnsi="Arial Narrow" w:cs="Times New Roman"/>
        </w:rPr>
        <w:t>(Younger et al</w:t>
      </w:r>
      <w:r w:rsidRPr="00AB3E42">
        <w:rPr>
          <w:rFonts w:ascii="Arial Narrow" w:eastAsia="Times New Roman" w:hAnsi="Arial Narrow" w:cs="Times New Roman"/>
        </w:rPr>
        <w:t>, 2022). Additionally, the growing population and urban expansion</w:t>
      </w:r>
      <w:r w:rsidR="00C942F2">
        <w:rPr>
          <w:rFonts w:ascii="Arial Narrow" w:eastAsia="Times New Roman" w:hAnsi="Arial Narrow" w:cs="Times New Roman"/>
        </w:rPr>
        <w:t xml:space="preserve"> </w:t>
      </w:r>
      <w:r w:rsidRPr="00AB3E42">
        <w:rPr>
          <w:rFonts w:ascii="Arial Narrow" w:eastAsia="Times New Roman" w:hAnsi="Arial Narrow" w:cs="Times New Roman"/>
        </w:rPr>
        <w:t>have increased energy demands, exacerbating the environmental impact, especially through deforestation driven by fuelwood harvesting (</w:t>
      </w:r>
      <w:proofErr w:type="spellStart"/>
      <w:r w:rsidR="003D36D6">
        <w:rPr>
          <w:rFonts w:ascii="Arial Narrow" w:eastAsia="Times New Roman" w:hAnsi="Arial Narrow" w:cs="Times New Roman"/>
        </w:rPr>
        <w:t>Sumari</w:t>
      </w:r>
      <w:proofErr w:type="spellEnd"/>
      <w:r w:rsidR="003D36D6">
        <w:rPr>
          <w:rFonts w:ascii="Arial Narrow" w:eastAsia="Times New Roman" w:hAnsi="Arial Narrow" w:cs="Times New Roman"/>
        </w:rPr>
        <w:t xml:space="preserve"> et al</w:t>
      </w:r>
      <w:r w:rsidRPr="00AB3E42">
        <w:rPr>
          <w:rFonts w:ascii="Arial Narrow" w:eastAsia="Times New Roman" w:hAnsi="Arial Narrow" w:cs="Times New Roman"/>
        </w:rPr>
        <w:t xml:space="preserve">, </w:t>
      </w:r>
      <w:r w:rsidR="003D36D6">
        <w:rPr>
          <w:rFonts w:ascii="Arial Narrow" w:eastAsia="Times New Roman" w:hAnsi="Arial Narrow" w:cs="Times New Roman"/>
        </w:rPr>
        <w:t>2023</w:t>
      </w:r>
      <w:r w:rsidRPr="00AB3E42">
        <w:rPr>
          <w:rFonts w:ascii="Arial Narrow" w:eastAsia="Times New Roman" w:hAnsi="Arial Narrow" w:cs="Times New Roman"/>
        </w:rPr>
        <w:t>). Although Liquefied Petroleum Gas (LPG) offers a cleaner, more efficient cooking alternative, its adoption remains minimal due to challenges such as high upfront costs, traditional preferences, fear of accident, price fluctuations, and limited public awareness (EWURA, 2022).</w:t>
      </w:r>
    </w:p>
    <w:p w14:paraId="18B26C9C" w14:textId="481F1C72" w:rsidR="009120F4" w:rsidRPr="00AB3E42" w:rsidRDefault="009120F4" w:rsidP="009120F4">
      <w:pPr>
        <w:spacing w:before="100" w:beforeAutospacing="1" w:after="100" w:afterAutospacing="1"/>
        <w:jc w:val="both"/>
        <w:outlineLvl w:val="3"/>
        <w:rPr>
          <w:rFonts w:ascii="Arial Narrow" w:eastAsia="Times New Roman" w:hAnsi="Arial Narrow" w:cs="Times New Roman"/>
        </w:rPr>
      </w:pPr>
      <w:r w:rsidRPr="00AB3E42">
        <w:rPr>
          <w:rFonts w:ascii="Arial Narrow" w:eastAsia="Times New Roman" w:hAnsi="Arial Narrow" w:cs="Times New Roman"/>
        </w:rPr>
        <w:t xml:space="preserve">The magnitude of this issue extends beyond health and environmental concerns to social and economic dimensions. Economically, households relying on firewood and charcoal often spend a substantial portion of their income on fuel, limiting funds for other essential needs (Clean Cooking Alliance, 2022). Socially, women and children are disproportionately affected, as they are mainly responsible for fuel collection and cooking, which exposes them to health risks and restricts their education and income-generating opportunities (Ubaid </w:t>
      </w:r>
      <w:r w:rsidRPr="00AB3E42">
        <w:rPr>
          <w:rFonts w:ascii="Arial Narrow" w:eastAsia="Times New Roman" w:hAnsi="Arial Narrow" w:cs="Times New Roman"/>
          <w:i/>
        </w:rPr>
        <w:t>et al</w:t>
      </w:r>
      <w:r w:rsidRPr="00AB3E42">
        <w:rPr>
          <w:rFonts w:ascii="Arial Narrow" w:eastAsia="Times New Roman" w:hAnsi="Arial Narrow" w:cs="Times New Roman"/>
        </w:rPr>
        <w:t xml:space="preserve">., 2021). </w:t>
      </w:r>
    </w:p>
    <w:p w14:paraId="0FFD5B64" w14:textId="77777777" w:rsidR="009120F4" w:rsidRPr="00AB3E42" w:rsidRDefault="009120F4" w:rsidP="009120F4">
      <w:pPr>
        <w:spacing w:before="100" w:beforeAutospacing="1" w:after="100" w:afterAutospacing="1"/>
        <w:jc w:val="both"/>
        <w:outlineLvl w:val="3"/>
        <w:rPr>
          <w:rFonts w:ascii="Arial Narrow" w:eastAsia="Times New Roman" w:hAnsi="Arial Narrow" w:cs="Times New Roman"/>
        </w:rPr>
      </w:pPr>
      <w:r w:rsidRPr="00AB3E42">
        <w:rPr>
          <w:rFonts w:ascii="Arial Narrow" w:eastAsia="Times New Roman" w:hAnsi="Arial Narrow" w:cs="Times New Roman"/>
        </w:rPr>
        <w:t xml:space="preserve">Despite government policies and donor-led efforts to promote LPG, existing literature such as by Msuya and Mwakaje (2023) tends to focus on rural energy access and overlooks localized urban contexts like. There remains a clear research gap in understanding how socio-economic factors such as income, education, and infrastructure influence LPG adoption in smaller urban settings. This gap is reinforced by studies in Dodoma and Kinondoni by Ndunguru and Lema (2020) as well as Sulley </w:t>
      </w:r>
      <w:r w:rsidRPr="00AB3E42">
        <w:rPr>
          <w:rFonts w:ascii="Arial Narrow" w:eastAsia="Times New Roman" w:hAnsi="Arial Narrow" w:cs="Times New Roman"/>
          <w:i/>
          <w:iCs/>
        </w:rPr>
        <w:t>et al.</w:t>
      </w:r>
      <w:r w:rsidRPr="00AB3E42">
        <w:rPr>
          <w:rFonts w:ascii="Arial Narrow" w:eastAsia="Times New Roman" w:hAnsi="Arial Narrow" w:cs="Times New Roman"/>
        </w:rPr>
        <w:t xml:space="preserve"> (2023) that stress the need for broader urban research.</w:t>
      </w:r>
    </w:p>
    <w:p w14:paraId="05A7C015" w14:textId="77777777" w:rsidR="009120F4" w:rsidRPr="00AB3E42" w:rsidRDefault="009120F4" w:rsidP="009120F4">
      <w:pPr>
        <w:spacing w:before="100" w:beforeAutospacing="1" w:after="100" w:afterAutospacing="1"/>
        <w:jc w:val="both"/>
        <w:rPr>
          <w:rFonts w:ascii="Arial Narrow" w:eastAsia="Times New Roman" w:hAnsi="Arial Narrow" w:cs="Times New Roman"/>
          <w:kern w:val="0"/>
          <w:lang w:val="en-US"/>
          <w14:ligatures w14:val="none"/>
        </w:rPr>
      </w:pPr>
    </w:p>
    <w:p w14:paraId="0F809450" w14:textId="77777777" w:rsidR="009120F4" w:rsidRPr="00AB3E42" w:rsidRDefault="009120F4" w:rsidP="009120F4">
      <w:pPr>
        <w:spacing w:before="0" w:after="160"/>
        <w:jc w:val="both"/>
        <w:rPr>
          <w:rFonts w:ascii="Arial Narrow" w:eastAsia="Calibri" w:hAnsi="Arial Narrow" w:cs="Times New Roman"/>
          <w:kern w:val="0"/>
          <w:lang w:val="en-US"/>
          <w14:ligatures w14:val="none"/>
        </w:rPr>
      </w:pPr>
    </w:p>
    <w:p w14:paraId="52C67AC2" w14:textId="77777777" w:rsidR="009120F4" w:rsidRPr="00AB3E42" w:rsidRDefault="009120F4" w:rsidP="009120F4">
      <w:pPr>
        <w:rPr>
          <w:rFonts w:ascii="Arial Narrow" w:hAnsi="Arial Narrow"/>
        </w:rPr>
      </w:pPr>
    </w:p>
    <w:p w14:paraId="10FB0CD9" w14:textId="0549F4D6" w:rsidR="009120F4" w:rsidRPr="00AB3E42" w:rsidRDefault="009120F4" w:rsidP="009120F4">
      <w:pPr>
        <w:spacing w:before="100" w:beforeAutospacing="1" w:after="100" w:afterAutospacing="1" w:line="240" w:lineRule="auto"/>
        <w:jc w:val="left"/>
        <w:outlineLvl w:val="3"/>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t xml:space="preserve"> </w:t>
      </w:r>
    </w:p>
    <w:p w14:paraId="3BCAE0D6" w14:textId="58787FAB" w:rsidR="00C45BCB" w:rsidRPr="00AB3E42" w:rsidRDefault="00C45BCB" w:rsidP="0097413C">
      <w:pPr>
        <w:spacing w:before="100" w:beforeAutospacing="1" w:after="100" w:afterAutospacing="1"/>
        <w:jc w:val="both"/>
        <w:outlineLvl w:val="3"/>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t>Methods</w:t>
      </w:r>
    </w:p>
    <w:p w14:paraId="21FD959F" w14:textId="33BFF10E" w:rsidR="008B4D06" w:rsidRPr="00AB3E42" w:rsidRDefault="0097413C" w:rsidP="00691084">
      <w:pPr>
        <w:spacing w:before="0" w:after="0"/>
        <w:jc w:val="both"/>
        <w:rPr>
          <w:rFonts w:ascii="Arial Narrow" w:hAnsi="Arial Narrow" w:cstheme="majorHAnsi"/>
          <w:lang w:val="en-US" w:eastAsia="en-GB"/>
        </w:rPr>
      </w:pPr>
      <w:r w:rsidRPr="00AB3E42">
        <w:rPr>
          <w:rFonts w:ascii="Arial Narrow" w:hAnsi="Arial Narrow" w:cstheme="majorHAnsi"/>
          <w:lang w:val="en-US" w:eastAsia="en-GB"/>
        </w:rPr>
        <w:t xml:space="preserve">The study </w:t>
      </w:r>
      <w:r w:rsidR="00FE6892" w:rsidRPr="00AB3E42">
        <w:rPr>
          <w:rFonts w:ascii="Arial Narrow" w:hAnsi="Arial Narrow" w:cstheme="majorHAnsi"/>
          <w:lang w:val="en-US" w:eastAsia="en-GB"/>
        </w:rPr>
        <w:t>used</w:t>
      </w:r>
      <w:r w:rsidRPr="00AB3E42">
        <w:rPr>
          <w:rFonts w:ascii="Arial Narrow" w:hAnsi="Arial Narrow" w:cstheme="majorHAnsi"/>
          <w:lang w:val="en-US" w:eastAsia="en-GB"/>
        </w:rPr>
        <w:t xml:space="preserve"> cross-</w:t>
      </w:r>
      <w:r w:rsidR="00FE6892" w:rsidRPr="00AB3E42">
        <w:rPr>
          <w:rFonts w:ascii="Arial Narrow" w:hAnsi="Arial Narrow" w:cstheme="majorHAnsi"/>
          <w:lang w:val="en-US" w:eastAsia="en-GB"/>
        </w:rPr>
        <w:t xml:space="preserve">sectional research design to thoroughly investigate the factors shaping the adoption of LPG for cooking in urban Tanzania Evidence from Geita Municipal. The cross-section </w:t>
      </w:r>
      <w:r w:rsidRPr="00AB3E42">
        <w:rPr>
          <w:rFonts w:ascii="Arial Narrow" w:hAnsi="Arial Narrow" w:cstheme="majorHAnsi"/>
          <w:lang w:val="en-US" w:eastAsia="en-GB"/>
        </w:rPr>
        <w:t>design</w:t>
      </w:r>
      <w:r w:rsidR="00FE6892" w:rsidRPr="00AB3E42">
        <w:rPr>
          <w:rFonts w:ascii="Arial Narrow" w:hAnsi="Arial Narrow" w:cstheme="majorHAnsi"/>
          <w:lang w:val="en-US" w:eastAsia="en-GB"/>
        </w:rPr>
        <w:t xml:space="preserve"> was</w:t>
      </w:r>
      <w:r w:rsidRPr="00AB3E42">
        <w:rPr>
          <w:rFonts w:ascii="Arial Narrow" w:hAnsi="Arial Narrow" w:cstheme="majorHAnsi"/>
          <w:lang w:val="en-US" w:eastAsia="en-GB"/>
        </w:rPr>
        <w:t xml:space="preserve"> </w:t>
      </w:r>
      <w:r w:rsidR="00FE6892" w:rsidRPr="00AB3E42">
        <w:rPr>
          <w:rFonts w:ascii="Arial Narrow" w:hAnsi="Arial Narrow" w:cstheme="majorHAnsi"/>
          <w:lang w:val="en-US" w:eastAsia="en-GB"/>
        </w:rPr>
        <w:t xml:space="preserve">chosen </w:t>
      </w:r>
      <w:r w:rsidR="00FE6892" w:rsidRPr="00AB3E42">
        <w:rPr>
          <w:rFonts w:ascii="Arial Narrow" w:hAnsi="Arial Narrow" w:cstheme="majorHAnsi"/>
          <w:lang w:val="en-US" w:eastAsia="en-GB"/>
        </w:rPr>
        <w:lastRenderedPageBreak/>
        <w:t>because allow</w:t>
      </w:r>
      <w:r w:rsidRPr="00AB3E42">
        <w:rPr>
          <w:rFonts w:ascii="Arial Narrow" w:hAnsi="Arial Narrow" w:cstheme="majorHAnsi"/>
          <w:lang w:val="en-US" w:eastAsia="en-GB"/>
        </w:rPr>
        <w:t xml:space="preserve"> collection of data at a single point in time,</w:t>
      </w:r>
      <w:r w:rsidR="00FE6892" w:rsidRPr="00AB3E42">
        <w:rPr>
          <w:rFonts w:ascii="Arial Narrow" w:hAnsi="Arial Narrow" w:cstheme="majorHAnsi"/>
          <w:lang w:val="en-US" w:eastAsia="en-GB"/>
        </w:rPr>
        <w:t xml:space="preserve"> this design ensure the efficient data collection </w:t>
      </w:r>
      <w:r w:rsidR="00510446">
        <w:rPr>
          <w:rFonts w:ascii="Arial Narrow" w:hAnsi="Arial Narrow" w:cs="Times New Roman"/>
          <w:lang w:val="en-US" w:eastAsia="en-GB"/>
        </w:rPr>
        <w:t>without prolonged observation.</w:t>
      </w:r>
      <w:r w:rsidR="00510446" w:rsidRPr="00AB3E42">
        <w:rPr>
          <w:rFonts w:ascii="Arial Narrow" w:hAnsi="Arial Narrow" w:cs="Times New Roman"/>
        </w:rPr>
        <w:t xml:space="preserve"> It</w:t>
      </w:r>
      <w:r w:rsidR="00DA0443" w:rsidRPr="00AB3E42">
        <w:rPr>
          <w:rFonts w:ascii="Arial Narrow" w:hAnsi="Arial Narrow" w:cs="Times New Roman"/>
        </w:rPr>
        <w:t xml:space="preserve"> facilitates the analysis of multiple variables, which is crucial for understanding the factors influencing market outlet selection. The cross-sectional method ensured that the study addressed its objectives while maintaining high external validity and timely completion</w:t>
      </w:r>
      <w:r w:rsidR="00DA0443" w:rsidRPr="00AB3E42">
        <w:rPr>
          <w:rFonts w:ascii="Arial Narrow" w:hAnsi="Arial Narrow"/>
        </w:rPr>
        <w:t>.</w:t>
      </w:r>
    </w:p>
    <w:p w14:paraId="500EE8EE" w14:textId="77777777" w:rsidR="004B1E29" w:rsidRPr="00AB3E42" w:rsidRDefault="004B1E29" w:rsidP="0097413C">
      <w:pPr>
        <w:spacing w:before="0" w:after="0"/>
        <w:jc w:val="both"/>
        <w:rPr>
          <w:rFonts w:ascii="Arial Narrow" w:hAnsi="Arial Narrow" w:cs="Times New Roman"/>
        </w:rPr>
      </w:pPr>
    </w:p>
    <w:p w14:paraId="4BBA6EC8" w14:textId="7C03B2DE" w:rsidR="0097413C" w:rsidRPr="00AB3E42" w:rsidRDefault="00DA0443" w:rsidP="0097413C">
      <w:pPr>
        <w:spacing w:before="0" w:after="0"/>
        <w:jc w:val="both"/>
        <w:rPr>
          <w:rFonts w:ascii="Arial Narrow" w:hAnsi="Arial Narrow" w:cstheme="majorHAnsi"/>
          <w:lang w:val="en-US" w:eastAsia="en-GB"/>
        </w:rPr>
      </w:pPr>
      <w:r w:rsidRPr="00AB3E42">
        <w:rPr>
          <w:rFonts w:ascii="Arial Narrow" w:hAnsi="Arial Narrow" w:cs="Times New Roman"/>
        </w:rPr>
        <w:t xml:space="preserve">The research took place in the Geita Municipal of Tanzania </w:t>
      </w:r>
      <w:r w:rsidR="0097413C" w:rsidRPr="00AB3E42">
        <w:rPr>
          <w:rFonts w:ascii="Arial Narrow" w:hAnsi="Arial Narrow" w:cs="Times New Roman"/>
          <w:lang w:val="en-US" w:eastAsia="en-GB"/>
        </w:rPr>
        <w:t>s</w:t>
      </w:r>
      <w:r w:rsidRPr="00AB3E42">
        <w:rPr>
          <w:rFonts w:ascii="Arial Narrow" w:hAnsi="Arial Narrow" w:cs="Times New Roman"/>
          <w:lang w:val="en-US" w:eastAsia="en-GB"/>
        </w:rPr>
        <w:t xml:space="preserve">pecifically in Kalangalala Ward. </w:t>
      </w:r>
      <w:r w:rsidR="0097413C" w:rsidRPr="00AB3E42">
        <w:rPr>
          <w:rFonts w:ascii="Arial Narrow" w:hAnsi="Arial Narrow" w:cs="Times New Roman"/>
          <w:lang w:val="en-US" w:eastAsia="en-GB"/>
        </w:rPr>
        <w:t>Geita</w:t>
      </w:r>
      <w:r w:rsidR="0097413C" w:rsidRPr="00AB3E42">
        <w:rPr>
          <w:rFonts w:ascii="Arial Narrow" w:hAnsi="Arial Narrow" w:cstheme="majorHAnsi"/>
          <w:lang w:val="en-US" w:eastAsia="en-GB"/>
        </w:rPr>
        <w:t xml:space="preserve"> </w:t>
      </w:r>
      <w:r w:rsidR="0097413C" w:rsidRPr="00AB3E42">
        <w:rPr>
          <w:rFonts w:ascii="Arial Narrow" w:hAnsi="Arial Narrow" w:cs="Times New Roman"/>
          <w:lang w:val="en-US" w:eastAsia="en-GB"/>
        </w:rPr>
        <w:t>Region is located in the northwestern part of Tanzania and is known for its mining activities, primarily involving gold extraction. The Municipal had a unique socio-economic landscape where the adoption of Liquefied Petroleum Gas (LPG) could have significantly impacted cooking practices that traditionally relied on biomass. Kalangalala Ward was selected due to its lower level of LPG adoption, largely attributed to a high dependence on firewood and charcoal.</w:t>
      </w:r>
    </w:p>
    <w:p w14:paraId="08E0A440" w14:textId="0D84DA89" w:rsidR="006A5127" w:rsidRPr="00AB3E42" w:rsidRDefault="006A5127" w:rsidP="0097413C">
      <w:pPr>
        <w:jc w:val="both"/>
        <w:rPr>
          <w:rFonts w:ascii="Arial Narrow" w:hAnsi="Arial Narrow" w:cstheme="majorHAnsi"/>
          <w:lang w:val="en-US" w:eastAsia="en-GB"/>
        </w:rPr>
      </w:pPr>
      <w:r w:rsidRPr="00AB3E42">
        <w:rPr>
          <w:rFonts w:ascii="Arial Narrow" w:hAnsi="Arial Narrow" w:cstheme="majorHAnsi"/>
          <w:lang w:eastAsia="en-GB"/>
        </w:rPr>
        <w:t>The study</w:t>
      </w:r>
      <w:r w:rsidR="004B1E29" w:rsidRPr="00AB3E42">
        <w:rPr>
          <w:rFonts w:ascii="Arial Narrow" w:hAnsi="Arial Narrow" w:cstheme="majorHAnsi"/>
          <w:lang w:eastAsia="en-GB"/>
        </w:rPr>
        <w:t xml:space="preserve"> focused</w:t>
      </w:r>
      <w:r w:rsidRPr="00AB3E42">
        <w:rPr>
          <w:rFonts w:ascii="Arial Narrow" w:hAnsi="Arial Narrow" w:cstheme="majorHAnsi"/>
          <w:lang w:eastAsia="en-GB"/>
        </w:rPr>
        <w:t xml:space="preserve"> </w:t>
      </w:r>
      <w:r w:rsidR="0097413C" w:rsidRPr="00AB3E42">
        <w:rPr>
          <w:rFonts w:ascii="Arial Narrow" w:hAnsi="Arial Narrow" w:cstheme="majorHAnsi"/>
          <w:lang w:val="en-US" w:eastAsia="en-GB"/>
        </w:rPr>
        <w:t xml:space="preserve">individual households and food </w:t>
      </w:r>
      <w:r w:rsidR="001950F9" w:rsidRPr="00AB3E42">
        <w:rPr>
          <w:rFonts w:ascii="Arial Narrow" w:hAnsi="Arial Narrow" w:cstheme="majorHAnsi"/>
          <w:lang w:val="en-US" w:eastAsia="en-GB"/>
        </w:rPr>
        <w:t>venders,</w:t>
      </w:r>
      <w:r w:rsidR="0097413C" w:rsidRPr="00AB3E42">
        <w:rPr>
          <w:rFonts w:ascii="Arial Narrow" w:hAnsi="Arial Narrow" w:cstheme="majorHAnsi"/>
          <w:lang w:val="en-US" w:eastAsia="en-GB"/>
        </w:rPr>
        <w:t xml:space="preserve"> </w:t>
      </w:r>
      <w:r w:rsidR="004B1E29" w:rsidRPr="00AB3E42">
        <w:rPr>
          <w:rFonts w:ascii="Arial Narrow" w:hAnsi="Arial Narrow" w:cstheme="majorHAnsi"/>
          <w:lang w:val="en-US" w:eastAsia="en-GB"/>
        </w:rPr>
        <w:t>engaged on Geita Municipal primary</w:t>
      </w:r>
      <w:r w:rsidR="0097413C" w:rsidRPr="00AB3E42">
        <w:rPr>
          <w:rFonts w:ascii="Arial Narrow" w:hAnsi="Arial Narrow" w:cstheme="majorHAnsi"/>
          <w:lang w:val="en-US" w:eastAsia="en-GB"/>
        </w:rPr>
        <w:t xml:space="preserve"> </w:t>
      </w:r>
      <w:bookmarkStart w:id="1" w:name="_Hlk211075014"/>
      <w:r w:rsidR="004B1E29" w:rsidRPr="00AB3E42">
        <w:rPr>
          <w:rFonts w:ascii="Arial Narrow" w:hAnsi="Arial Narrow" w:cstheme="majorHAnsi"/>
          <w:lang w:val="en-US" w:eastAsia="en-GB"/>
        </w:rPr>
        <w:t>Kalangalanga ward specifically</w:t>
      </w:r>
      <w:r w:rsidR="004B1E29" w:rsidRPr="00AB3E42">
        <w:rPr>
          <w:rFonts w:ascii="Arial Narrow" w:hAnsi="Arial Narrow"/>
        </w:rPr>
        <w:t xml:space="preserve">, it targeted households and food vendors who use LPG foe cooking food for client and family members. This age range is significant as it encompasses individuals transitioning into adulthood and making crucial decisions about their livelihoods and career paths. </w:t>
      </w:r>
      <w:r w:rsidR="001950F9" w:rsidRPr="00AB3E42">
        <w:rPr>
          <w:rFonts w:ascii="Arial Narrow" w:hAnsi="Arial Narrow" w:cstheme="majorHAnsi"/>
          <w:lang w:val="en-US" w:eastAsia="en-GB"/>
        </w:rPr>
        <w:t>The study involves 95 households and food vendors from Geita Municipal especially Kalangalanga ward that presented on table (1).</w:t>
      </w:r>
    </w:p>
    <w:p w14:paraId="250D05BA" w14:textId="77777777" w:rsidR="0097413C" w:rsidRPr="00AB3E42" w:rsidRDefault="0097413C" w:rsidP="0097413C">
      <w:pPr>
        <w:jc w:val="both"/>
        <w:rPr>
          <w:rFonts w:ascii="Arial Narrow" w:hAnsi="Arial Narrow" w:cstheme="majorHAnsi"/>
          <w:b/>
          <w:bCs/>
          <w:lang w:val="en-US" w:eastAsia="en-GB"/>
        </w:rPr>
      </w:pPr>
      <w:bookmarkStart w:id="2" w:name="_Toc207001067"/>
      <w:bookmarkEnd w:id="1"/>
      <w:r w:rsidRPr="00AB3E42">
        <w:rPr>
          <w:rFonts w:ascii="Arial Narrow" w:hAnsi="Arial Narrow" w:cstheme="majorHAnsi"/>
          <w:b/>
          <w:bCs/>
          <w:lang w:val="en-US" w:eastAsia="en-GB"/>
        </w:rPr>
        <w:t xml:space="preserve">Table </w:t>
      </w:r>
      <w:r w:rsidRPr="00AB3E42">
        <w:rPr>
          <w:rFonts w:ascii="Arial Narrow" w:hAnsi="Arial Narrow" w:cstheme="majorHAnsi"/>
          <w:b/>
          <w:bCs/>
          <w:lang w:val="en-US" w:eastAsia="en-GB"/>
        </w:rPr>
        <w:fldChar w:fldCharType="begin"/>
      </w:r>
      <w:r w:rsidRPr="00AB3E42">
        <w:rPr>
          <w:rFonts w:ascii="Arial Narrow" w:hAnsi="Arial Narrow" w:cstheme="majorHAnsi"/>
          <w:b/>
          <w:bCs/>
          <w:lang w:val="en-US" w:eastAsia="en-GB"/>
        </w:rPr>
        <w:instrText xml:space="preserve"> SEQ Table \* ARABIC </w:instrText>
      </w:r>
      <w:r w:rsidRPr="00AB3E42">
        <w:rPr>
          <w:rFonts w:ascii="Arial Narrow" w:hAnsi="Arial Narrow" w:cstheme="majorHAnsi"/>
          <w:b/>
          <w:bCs/>
          <w:lang w:val="en-US" w:eastAsia="en-GB"/>
        </w:rPr>
        <w:fldChar w:fldCharType="separate"/>
      </w:r>
      <w:r w:rsidRPr="00AB3E42">
        <w:rPr>
          <w:rFonts w:ascii="Arial Narrow" w:hAnsi="Arial Narrow" w:cstheme="majorHAnsi"/>
          <w:b/>
          <w:bCs/>
          <w:lang w:val="en-US" w:eastAsia="en-GB"/>
        </w:rPr>
        <w:t>1</w:t>
      </w:r>
      <w:r w:rsidRPr="00AB3E42">
        <w:rPr>
          <w:rFonts w:ascii="Arial Narrow" w:hAnsi="Arial Narrow" w:cstheme="majorHAnsi"/>
          <w:b/>
          <w:bCs/>
          <w:lang w:eastAsia="en-GB"/>
        </w:rPr>
        <w:fldChar w:fldCharType="end"/>
      </w:r>
      <w:r w:rsidRPr="00AB3E42">
        <w:rPr>
          <w:rFonts w:ascii="Arial Narrow" w:hAnsi="Arial Narrow" w:cstheme="majorHAnsi"/>
          <w:b/>
          <w:bCs/>
          <w:lang w:val="en-US" w:eastAsia="en-GB"/>
        </w:rPr>
        <w:t>: Respondent composition</w:t>
      </w:r>
      <w:bookmarkEnd w:id="2"/>
      <w:r w:rsidRPr="00AB3E42">
        <w:rPr>
          <w:rFonts w:ascii="Arial Narrow" w:hAnsi="Arial Narrow" w:cstheme="majorHAnsi"/>
          <w:b/>
          <w:bCs/>
          <w:lang w:val="en-US"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72"/>
      </w:tblGrid>
      <w:tr w:rsidR="0097413C" w:rsidRPr="00AB3E42" w14:paraId="30037070" w14:textId="77777777" w:rsidTr="00510446">
        <w:tc>
          <w:tcPr>
            <w:tcW w:w="4688" w:type="dxa"/>
            <w:tcBorders>
              <w:top w:val="single" w:sz="4" w:space="0" w:color="auto"/>
              <w:bottom w:val="single" w:sz="4" w:space="0" w:color="auto"/>
            </w:tcBorders>
          </w:tcPr>
          <w:p w14:paraId="7FA187A2" w14:textId="77777777" w:rsidR="0097413C" w:rsidRPr="00AB3E42" w:rsidRDefault="0097413C" w:rsidP="006A5127">
            <w:pPr>
              <w:spacing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 xml:space="preserve">Category </w:t>
            </w:r>
          </w:p>
        </w:tc>
        <w:tc>
          <w:tcPr>
            <w:tcW w:w="4672" w:type="dxa"/>
            <w:tcBorders>
              <w:top w:val="single" w:sz="4" w:space="0" w:color="auto"/>
              <w:bottom w:val="single" w:sz="4" w:space="0" w:color="auto"/>
            </w:tcBorders>
          </w:tcPr>
          <w:p w14:paraId="72DD5499" w14:textId="77777777" w:rsidR="0097413C" w:rsidRPr="00AB3E42" w:rsidRDefault="0097413C" w:rsidP="006A5127">
            <w:pPr>
              <w:spacing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Sample size</w:t>
            </w:r>
          </w:p>
        </w:tc>
      </w:tr>
      <w:tr w:rsidR="0097413C" w:rsidRPr="00AB3E42" w14:paraId="5EB742C4" w14:textId="77777777" w:rsidTr="00510446">
        <w:tc>
          <w:tcPr>
            <w:tcW w:w="4688" w:type="dxa"/>
            <w:tcBorders>
              <w:top w:val="single" w:sz="4" w:space="0" w:color="auto"/>
            </w:tcBorders>
          </w:tcPr>
          <w:p w14:paraId="0EFD4019" w14:textId="77777777" w:rsidR="0097413C" w:rsidRPr="00AB3E42" w:rsidRDefault="0097413C" w:rsidP="006A5127">
            <w:pPr>
              <w:spacing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 xml:space="preserve">Households </w:t>
            </w:r>
          </w:p>
        </w:tc>
        <w:tc>
          <w:tcPr>
            <w:tcW w:w="4672" w:type="dxa"/>
            <w:tcBorders>
              <w:top w:val="single" w:sz="4" w:space="0" w:color="auto"/>
            </w:tcBorders>
          </w:tcPr>
          <w:p w14:paraId="2490B688" w14:textId="77777777" w:rsidR="0097413C" w:rsidRPr="00AB3E42" w:rsidRDefault="0097413C" w:rsidP="006A5127">
            <w:pPr>
              <w:spacing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63</w:t>
            </w:r>
          </w:p>
        </w:tc>
      </w:tr>
      <w:tr w:rsidR="0097413C" w:rsidRPr="00AB3E42" w14:paraId="12FA3501" w14:textId="77777777" w:rsidTr="00510446">
        <w:tc>
          <w:tcPr>
            <w:tcW w:w="4688" w:type="dxa"/>
          </w:tcPr>
          <w:p w14:paraId="37893E5B" w14:textId="77777777" w:rsidR="0097413C" w:rsidRPr="00AB3E42" w:rsidRDefault="0097413C" w:rsidP="006A5127">
            <w:pPr>
              <w:spacing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 xml:space="preserve">Food venders </w:t>
            </w:r>
          </w:p>
        </w:tc>
        <w:tc>
          <w:tcPr>
            <w:tcW w:w="4672" w:type="dxa"/>
          </w:tcPr>
          <w:p w14:paraId="272A0B24" w14:textId="77777777" w:rsidR="0097413C" w:rsidRPr="00AB3E42" w:rsidRDefault="0097413C" w:rsidP="006A5127">
            <w:pPr>
              <w:spacing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24</w:t>
            </w:r>
          </w:p>
        </w:tc>
      </w:tr>
      <w:tr w:rsidR="0097413C" w:rsidRPr="00AB3E42" w14:paraId="118DA74F" w14:textId="77777777" w:rsidTr="00510446">
        <w:tc>
          <w:tcPr>
            <w:tcW w:w="4688" w:type="dxa"/>
            <w:tcBorders>
              <w:top w:val="single" w:sz="4" w:space="0" w:color="auto"/>
              <w:bottom w:val="single" w:sz="4" w:space="0" w:color="auto"/>
            </w:tcBorders>
          </w:tcPr>
          <w:p w14:paraId="166A5815" w14:textId="77777777" w:rsidR="0097413C" w:rsidRPr="00AB3E42" w:rsidRDefault="0097413C" w:rsidP="006A5127">
            <w:pPr>
              <w:spacing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Total</w:t>
            </w:r>
          </w:p>
        </w:tc>
        <w:tc>
          <w:tcPr>
            <w:tcW w:w="4672" w:type="dxa"/>
            <w:tcBorders>
              <w:top w:val="single" w:sz="4" w:space="0" w:color="auto"/>
              <w:bottom w:val="single" w:sz="4" w:space="0" w:color="auto"/>
            </w:tcBorders>
          </w:tcPr>
          <w:p w14:paraId="08C1E57D" w14:textId="7CF8A3B1" w:rsidR="0097413C" w:rsidRPr="00AB3E42" w:rsidRDefault="00510446" w:rsidP="006A5127">
            <w:pPr>
              <w:spacing w:line="276" w:lineRule="auto"/>
              <w:jc w:val="both"/>
              <w:rPr>
                <w:rFonts w:ascii="Arial Narrow" w:hAnsi="Arial Narrow" w:cstheme="majorHAnsi"/>
                <w:b/>
                <w:bCs/>
                <w:lang w:val="en-US" w:eastAsia="en-GB"/>
              </w:rPr>
            </w:pPr>
            <w:r>
              <w:rPr>
                <w:rFonts w:ascii="Arial Narrow" w:hAnsi="Arial Narrow" w:cstheme="majorHAnsi"/>
                <w:b/>
                <w:bCs/>
                <w:lang w:val="en-US" w:eastAsia="en-GB"/>
              </w:rPr>
              <w:t>87</w:t>
            </w:r>
          </w:p>
        </w:tc>
      </w:tr>
    </w:tbl>
    <w:p w14:paraId="13A36DD9" w14:textId="0F4CBEDD" w:rsidR="0071610A" w:rsidRPr="00AB3E42" w:rsidRDefault="00685DFB" w:rsidP="006A5127">
      <w:pPr>
        <w:spacing w:before="0" w:after="0" w:line="276" w:lineRule="auto"/>
        <w:jc w:val="both"/>
        <w:rPr>
          <w:rFonts w:ascii="Arial Narrow" w:hAnsi="Arial Narrow" w:cstheme="majorHAnsi"/>
          <w:b/>
          <w:lang w:eastAsia="en-GB"/>
        </w:rPr>
      </w:pPr>
      <w:r w:rsidRPr="00AB3E42">
        <w:rPr>
          <w:rFonts w:ascii="Arial Narrow" w:hAnsi="Arial Narrow" w:cstheme="majorHAnsi"/>
          <w:b/>
          <w:lang w:eastAsia="en-GB"/>
        </w:rPr>
        <w:t>Source: Study Construction, 202</w:t>
      </w:r>
      <w:r w:rsidR="0097413C" w:rsidRPr="00AB3E42">
        <w:rPr>
          <w:rFonts w:ascii="Arial Narrow" w:hAnsi="Arial Narrow" w:cstheme="majorHAnsi"/>
          <w:b/>
          <w:lang w:eastAsia="en-GB"/>
        </w:rPr>
        <w:t>5</w:t>
      </w:r>
    </w:p>
    <w:p w14:paraId="0E42D1EB" w14:textId="77777777" w:rsidR="006A5127" w:rsidRPr="00AB3E42" w:rsidRDefault="006A5127" w:rsidP="006A5127">
      <w:pPr>
        <w:spacing w:before="0" w:after="0" w:line="276" w:lineRule="auto"/>
        <w:jc w:val="both"/>
        <w:rPr>
          <w:rFonts w:ascii="Arial Narrow" w:hAnsi="Arial Narrow" w:cstheme="majorHAnsi"/>
          <w:b/>
          <w:bCs/>
          <w:lang w:val="en-US" w:eastAsia="en-GB"/>
        </w:rPr>
      </w:pPr>
    </w:p>
    <w:p w14:paraId="68F5BE56" w14:textId="233597BC" w:rsidR="006A5127" w:rsidRPr="00AB3E42" w:rsidRDefault="001950F9" w:rsidP="006A5127">
      <w:pPr>
        <w:jc w:val="both"/>
        <w:rPr>
          <w:rFonts w:ascii="Arial Narrow" w:hAnsi="Arial Narrow"/>
        </w:rPr>
      </w:pPr>
      <w:r w:rsidRPr="00AB3E42">
        <w:rPr>
          <w:rFonts w:ascii="Arial Narrow" w:hAnsi="Arial Narrow" w:cstheme="majorHAnsi"/>
          <w:lang w:val="en-US" w:eastAsia="en-GB"/>
        </w:rPr>
        <w:t xml:space="preserve">The study used </w:t>
      </w:r>
      <w:r w:rsidR="006A5127" w:rsidRPr="00AB3E42">
        <w:rPr>
          <w:rFonts w:ascii="Arial Narrow" w:hAnsi="Arial Narrow" w:cstheme="majorHAnsi"/>
          <w:lang w:val="en-US" w:eastAsia="en-GB"/>
        </w:rPr>
        <w:t xml:space="preserve">simple random </w:t>
      </w:r>
      <w:r w:rsidRPr="00AB3E42">
        <w:rPr>
          <w:rFonts w:ascii="Arial Narrow" w:hAnsi="Arial Narrow" w:cstheme="majorHAnsi"/>
          <w:lang w:val="en-US" w:eastAsia="en-GB"/>
        </w:rPr>
        <w:t xml:space="preserve">sampling </w:t>
      </w:r>
      <w:r w:rsidR="006A5127" w:rsidRPr="00AB3E42">
        <w:rPr>
          <w:rFonts w:ascii="Arial Narrow" w:hAnsi="Arial Narrow" w:cstheme="majorHAnsi"/>
          <w:lang w:val="en-US" w:eastAsia="en-GB"/>
        </w:rPr>
        <w:t xml:space="preserve">to select </w:t>
      </w:r>
      <w:r w:rsidRPr="00AB3E42">
        <w:rPr>
          <w:rFonts w:ascii="Arial Narrow" w:hAnsi="Arial Narrow" w:cstheme="majorHAnsi"/>
          <w:lang w:val="en-US" w:eastAsia="en-GB"/>
        </w:rPr>
        <w:t>household’s</w:t>
      </w:r>
      <w:r w:rsidR="006A5127" w:rsidRPr="00AB3E42">
        <w:rPr>
          <w:rFonts w:ascii="Arial Narrow" w:hAnsi="Arial Narrow" w:cstheme="majorHAnsi"/>
          <w:lang w:val="en-US" w:eastAsia="en-GB"/>
        </w:rPr>
        <w:t xml:space="preserve"> </w:t>
      </w:r>
      <w:r w:rsidRPr="00AB3E42">
        <w:rPr>
          <w:rFonts w:ascii="Arial Narrow" w:hAnsi="Arial Narrow" w:cstheme="majorHAnsi"/>
          <w:lang w:val="en-US" w:eastAsia="en-GB"/>
        </w:rPr>
        <w:t>food vendors</w:t>
      </w:r>
      <w:r w:rsidR="006A5127" w:rsidRPr="00AB3E42">
        <w:rPr>
          <w:rFonts w:ascii="Arial Narrow" w:hAnsi="Arial Narrow" w:cstheme="majorHAnsi"/>
          <w:lang w:val="en-US" w:eastAsia="en-GB"/>
        </w:rPr>
        <w:t xml:space="preserve"> to represent the entire population. </w:t>
      </w:r>
      <w:r w:rsidRPr="00AB3E42">
        <w:rPr>
          <w:rFonts w:ascii="Arial Narrow" w:hAnsi="Arial Narrow" w:cstheme="majorHAnsi"/>
          <w:lang w:val="en-US" w:eastAsia="en-GB"/>
        </w:rPr>
        <w:t>The population obtained from one location in Kalangalanga ward. The simple randomly were selected f</w:t>
      </w:r>
      <w:r w:rsidR="00C20B8A" w:rsidRPr="00AB3E42">
        <w:rPr>
          <w:rFonts w:ascii="Arial Narrow" w:hAnsi="Arial Narrow" w:cstheme="majorHAnsi"/>
          <w:lang w:val="en-US" w:eastAsia="en-GB"/>
        </w:rPr>
        <w:t xml:space="preserve">rom households and food vendors. </w:t>
      </w:r>
      <w:r w:rsidR="00C20B8A" w:rsidRPr="00AB3E42">
        <w:rPr>
          <w:rFonts w:ascii="Arial Narrow" w:hAnsi="Arial Narrow"/>
        </w:rPr>
        <w:t>This method ensured that each group had an equal chance of being chosen and reduced any bias in the selection process.</w:t>
      </w:r>
    </w:p>
    <w:p w14:paraId="5A0AC556" w14:textId="77777777" w:rsidR="00C20B8A" w:rsidRPr="00AB3E42" w:rsidRDefault="00C20B8A" w:rsidP="006A5127">
      <w:pPr>
        <w:jc w:val="both"/>
        <w:rPr>
          <w:rFonts w:ascii="Arial Narrow" w:hAnsi="Arial Narrow" w:cstheme="majorHAnsi"/>
          <w:lang w:val="en-US" w:eastAsia="en-GB"/>
        </w:rPr>
      </w:pPr>
    </w:p>
    <w:p w14:paraId="5777C249" w14:textId="0487BE10" w:rsidR="003F6A39" w:rsidRPr="00AB3E42" w:rsidRDefault="003940C2" w:rsidP="00C20B8A">
      <w:pPr>
        <w:spacing w:before="0"/>
        <w:jc w:val="both"/>
        <w:rPr>
          <w:rFonts w:ascii="Arial Narrow" w:hAnsi="Arial Narrow" w:cstheme="majorHAnsi"/>
          <w:lang w:val="en-US" w:eastAsia="en-GB"/>
        </w:rPr>
      </w:pPr>
      <w:r w:rsidRPr="00AB3E42">
        <w:rPr>
          <w:rFonts w:ascii="Arial Narrow" w:hAnsi="Arial Narrow" w:cstheme="majorHAnsi"/>
          <w:lang w:eastAsia="en-GB"/>
        </w:rPr>
        <w:t>The d</w:t>
      </w:r>
      <w:r w:rsidR="008B4D06" w:rsidRPr="00AB3E42">
        <w:rPr>
          <w:rFonts w:ascii="Arial Narrow" w:hAnsi="Arial Narrow" w:cstheme="majorHAnsi"/>
          <w:lang w:eastAsia="en-GB"/>
        </w:rPr>
        <w:t xml:space="preserve">ata </w:t>
      </w:r>
      <w:r w:rsidR="00636AF3" w:rsidRPr="00AB3E42">
        <w:rPr>
          <w:rFonts w:ascii="Arial Narrow" w:hAnsi="Arial Narrow" w:cstheme="majorHAnsi"/>
          <w:lang w:eastAsia="en-GB"/>
        </w:rPr>
        <w:t>wa</w:t>
      </w:r>
      <w:r w:rsidR="008B4D06" w:rsidRPr="00AB3E42">
        <w:rPr>
          <w:rFonts w:ascii="Arial Narrow" w:hAnsi="Arial Narrow" w:cstheme="majorHAnsi"/>
          <w:lang w:eastAsia="en-GB"/>
        </w:rPr>
        <w:t>s mai</w:t>
      </w:r>
      <w:r w:rsidRPr="00AB3E42">
        <w:rPr>
          <w:rFonts w:ascii="Arial Narrow" w:hAnsi="Arial Narrow" w:cstheme="majorHAnsi"/>
          <w:lang w:eastAsia="en-GB"/>
        </w:rPr>
        <w:t>n</w:t>
      </w:r>
      <w:r w:rsidR="008B4D06" w:rsidRPr="00AB3E42">
        <w:rPr>
          <w:rFonts w:ascii="Arial Narrow" w:hAnsi="Arial Narrow" w:cstheme="majorHAnsi"/>
          <w:lang w:eastAsia="en-GB"/>
        </w:rPr>
        <w:t xml:space="preserve">ly </w:t>
      </w:r>
      <w:r w:rsidRPr="00AB3E42">
        <w:rPr>
          <w:rFonts w:ascii="Arial Narrow" w:hAnsi="Arial Narrow" w:cstheme="majorHAnsi"/>
          <w:lang w:eastAsia="en-GB"/>
        </w:rPr>
        <w:t>ga</w:t>
      </w:r>
      <w:r w:rsidR="008B4D06" w:rsidRPr="00AB3E42">
        <w:rPr>
          <w:rFonts w:ascii="Arial Narrow" w:hAnsi="Arial Narrow" w:cstheme="majorHAnsi"/>
          <w:lang w:eastAsia="en-GB"/>
        </w:rPr>
        <w:t>t</w:t>
      </w:r>
      <w:r w:rsidRPr="00AB3E42">
        <w:rPr>
          <w:rFonts w:ascii="Arial Narrow" w:hAnsi="Arial Narrow" w:cstheme="majorHAnsi"/>
          <w:lang w:eastAsia="en-GB"/>
        </w:rPr>
        <w:t>her</w:t>
      </w:r>
      <w:r w:rsidR="008B4D06" w:rsidRPr="00AB3E42">
        <w:rPr>
          <w:rFonts w:ascii="Arial Narrow" w:hAnsi="Arial Narrow" w:cstheme="majorHAnsi"/>
          <w:lang w:eastAsia="en-GB"/>
        </w:rPr>
        <w:t>ed through a structured</w:t>
      </w:r>
      <w:r w:rsidR="006A5127" w:rsidRPr="00AB3E42">
        <w:rPr>
          <w:rFonts w:ascii="Arial Narrow" w:hAnsi="Arial Narrow" w:cstheme="majorHAnsi"/>
          <w:lang w:eastAsia="en-GB"/>
        </w:rPr>
        <w:t xml:space="preserve"> interview</w:t>
      </w:r>
      <w:r w:rsidRPr="00AB3E42">
        <w:rPr>
          <w:rFonts w:ascii="Arial Narrow" w:hAnsi="Arial Narrow" w:cstheme="majorHAnsi"/>
          <w:lang w:eastAsia="en-GB"/>
        </w:rPr>
        <w:t xml:space="preserve">. </w:t>
      </w:r>
      <w:r w:rsidR="006A5127" w:rsidRPr="00AB3E42">
        <w:rPr>
          <w:rFonts w:ascii="Arial Narrow" w:hAnsi="Arial Narrow" w:cstheme="majorHAnsi"/>
          <w:lang w:val="en-US" w:eastAsia="en-GB"/>
        </w:rPr>
        <w:t xml:space="preserve">Structured interviews were conducted with selected cooked food vendors and household respondents using structured questionnaires for quantitative data. The questionnaires included closed-ended questions that assessed demographic information, </w:t>
      </w:r>
      <w:r w:rsidR="006A5127" w:rsidRPr="00AB3E42">
        <w:rPr>
          <w:rFonts w:ascii="Arial Narrow" w:hAnsi="Arial Narrow" w:cstheme="majorHAnsi"/>
          <w:lang w:val="en-US" w:eastAsia="en-GB"/>
        </w:rPr>
        <w:lastRenderedPageBreak/>
        <w:t>frequency of LPG usage, and cost implications. Semi-structured interviews were also conducted for qualitative data with key informants, including local government officials, LPG suppliers, and policymakers. Key informant interviews provided broader perspectives on market dynamics and poli</w:t>
      </w:r>
      <w:r w:rsidR="00C20B8A" w:rsidRPr="00AB3E42">
        <w:rPr>
          <w:rFonts w:ascii="Arial Narrow" w:hAnsi="Arial Narrow" w:cstheme="majorHAnsi"/>
          <w:lang w:val="en-US" w:eastAsia="en-GB"/>
        </w:rPr>
        <w:t>cy implications related to LPG.</w:t>
      </w:r>
    </w:p>
    <w:p w14:paraId="3D7ACD67" w14:textId="2C4CCC04" w:rsidR="006F099F" w:rsidRPr="00AB3E42" w:rsidRDefault="00F61141" w:rsidP="00424168">
      <w:pPr>
        <w:spacing w:before="0" w:after="0"/>
        <w:jc w:val="both"/>
        <w:rPr>
          <w:rFonts w:ascii="Arial Narrow" w:hAnsi="Arial Narrow" w:cstheme="majorHAnsi"/>
        </w:rPr>
      </w:pPr>
      <w:r w:rsidRPr="00AB3E42">
        <w:rPr>
          <w:rFonts w:ascii="Arial Narrow" w:hAnsi="Arial Narrow" w:cstheme="majorHAnsi"/>
        </w:rPr>
        <w:t>In t</w:t>
      </w:r>
      <w:r w:rsidR="006F099F" w:rsidRPr="00AB3E42">
        <w:rPr>
          <w:rFonts w:ascii="Arial Narrow" w:hAnsi="Arial Narrow" w:cstheme="majorHAnsi"/>
        </w:rPr>
        <w:t>his study</w:t>
      </w:r>
      <w:r w:rsidRPr="00AB3E42">
        <w:rPr>
          <w:rFonts w:ascii="Arial Narrow" w:hAnsi="Arial Narrow" w:cstheme="majorHAnsi"/>
        </w:rPr>
        <w:t>,</w:t>
      </w:r>
      <w:r w:rsidR="006F099F" w:rsidRPr="00AB3E42">
        <w:rPr>
          <w:rFonts w:ascii="Arial Narrow" w:hAnsi="Arial Narrow" w:cstheme="majorHAnsi"/>
        </w:rPr>
        <w:t xml:space="preserve"> </w:t>
      </w:r>
      <w:r w:rsidRPr="00AB3E42">
        <w:rPr>
          <w:rFonts w:ascii="Arial Narrow" w:hAnsi="Arial Narrow" w:cstheme="majorHAnsi"/>
        </w:rPr>
        <w:t>w</w:t>
      </w:r>
      <w:r w:rsidR="006F099F" w:rsidRPr="00AB3E42">
        <w:rPr>
          <w:rFonts w:ascii="Arial Narrow" w:hAnsi="Arial Narrow" w:cstheme="majorHAnsi"/>
        </w:rPr>
        <w:t>e</w:t>
      </w:r>
      <w:r w:rsidRPr="00AB3E42">
        <w:rPr>
          <w:rFonts w:ascii="Arial Narrow" w:hAnsi="Arial Narrow" w:cstheme="majorHAnsi"/>
        </w:rPr>
        <w:t xml:space="preserve"> us</w:t>
      </w:r>
      <w:r w:rsidR="006F099F" w:rsidRPr="00AB3E42">
        <w:rPr>
          <w:rFonts w:ascii="Arial Narrow" w:hAnsi="Arial Narrow" w:cstheme="majorHAnsi"/>
        </w:rPr>
        <w:t xml:space="preserve">ed the logistic </w:t>
      </w:r>
      <w:r w:rsidR="00C73318" w:rsidRPr="00AB3E42">
        <w:rPr>
          <w:rFonts w:ascii="Arial Narrow" w:hAnsi="Arial Narrow" w:cstheme="majorHAnsi"/>
        </w:rPr>
        <w:t>regression model</w:t>
      </w:r>
      <w:r w:rsidR="006F099F" w:rsidRPr="00AB3E42">
        <w:rPr>
          <w:rFonts w:ascii="Arial Narrow" w:hAnsi="Arial Narrow" w:cstheme="majorHAnsi"/>
        </w:rPr>
        <w:t xml:space="preserve"> to </w:t>
      </w:r>
      <w:r w:rsidR="0032098F" w:rsidRPr="00AB3E42">
        <w:rPr>
          <w:rFonts w:ascii="Arial Narrow" w:hAnsi="Arial Narrow" w:cstheme="majorHAnsi"/>
        </w:rPr>
        <w:t>analyse</w:t>
      </w:r>
      <w:r w:rsidR="006F099F" w:rsidRPr="00AB3E42">
        <w:rPr>
          <w:rFonts w:ascii="Arial Narrow" w:hAnsi="Arial Narrow" w:cstheme="majorHAnsi"/>
        </w:rPr>
        <w:t xml:space="preserve"> the factors </w:t>
      </w:r>
      <w:r w:rsidRPr="00AB3E42">
        <w:rPr>
          <w:rFonts w:ascii="Arial Narrow" w:hAnsi="Arial Narrow" w:cstheme="majorHAnsi"/>
        </w:rPr>
        <w:t xml:space="preserve">that </w:t>
      </w:r>
      <w:r w:rsidR="006F099F" w:rsidRPr="00AB3E42">
        <w:rPr>
          <w:rFonts w:ascii="Arial Narrow" w:hAnsi="Arial Narrow" w:cstheme="majorHAnsi"/>
        </w:rPr>
        <w:t>influenc</w:t>
      </w:r>
      <w:r w:rsidRPr="00AB3E42">
        <w:rPr>
          <w:rFonts w:ascii="Arial Narrow" w:hAnsi="Arial Narrow" w:cstheme="majorHAnsi"/>
        </w:rPr>
        <w:t xml:space="preserve">e the </w:t>
      </w:r>
      <w:r w:rsidR="00C73318" w:rsidRPr="00AB3E42">
        <w:rPr>
          <w:rFonts w:ascii="Arial Narrow" w:hAnsi="Arial Narrow" w:cstheme="majorHAnsi"/>
          <w:bCs/>
          <w:lang w:val="en-US"/>
        </w:rPr>
        <w:t>influencing the adoption of LPG in the study area</w:t>
      </w:r>
      <w:r w:rsidRPr="00AB3E42">
        <w:rPr>
          <w:rFonts w:ascii="Arial Narrow" w:hAnsi="Arial Narrow" w:cstheme="majorHAnsi"/>
        </w:rPr>
        <w:t>. W</w:t>
      </w:r>
      <w:r w:rsidR="006F099F" w:rsidRPr="00AB3E42">
        <w:rPr>
          <w:rFonts w:ascii="Arial Narrow" w:hAnsi="Arial Narrow" w:cstheme="majorHAnsi"/>
        </w:rPr>
        <w:t>e</w:t>
      </w:r>
      <w:r w:rsidRPr="00AB3E42">
        <w:rPr>
          <w:rFonts w:ascii="Arial Narrow" w:hAnsi="Arial Narrow" w:cstheme="majorHAnsi"/>
        </w:rPr>
        <w:t xml:space="preserve"> </w:t>
      </w:r>
      <w:r w:rsidR="006F099F" w:rsidRPr="00AB3E42">
        <w:rPr>
          <w:rFonts w:ascii="Arial Narrow" w:hAnsi="Arial Narrow" w:cstheme="majorHAnsi"/>
        </w:rPr>
        <w:t>c</w:t>
      </w:r>
      <w:r w:rsidRPr="00AB3E42">
        <w:rPr>
          <w:rFonts w:ascii="Arial Narrow" w:hAnsi="Arial Narrow" w:cstheme="majorHAnsi"/>
        </w:rPr>
        <w:t>h</w:t>
      </w:r>
      <w:r w:rsidR="006F099F" w:rsidRPr="00AB3E42">
        <w:rPr>
          <w:rFonts w:ascii="Arial Narrow" w:hAnsi="Arial Narrow" w:cstheme="majorHAnsi"/>
        </w:rPr>
        <w:t>o</w:t>
      </w:r>
      <w:r w:rsidRPr="00AB3E42">
        <w:rPr>
          <w:rFonts w:ascii="Arial Narrow" w:hAnsi="Arial Narrow" w:cstheme="majorHAnsi"/>
        </w:rPr>
        <w:t>se</w:t>
      </w:r>
      <w:r w:rsidR="006F099F" w:rsidRPr="00AB3E42">
        <w:rPr>
          <w:rFonts w:ascii="Arial Narrow" w:hAnsi="Arial Narrow" w:cstheme="majorHAnsi"/>
        </w:rPr>
        <w:t xml:space="preserve"> </w:t>
      </w:r>
      <w:r w:rsidRPr="00AB3E42">
        <w:rPr>
          <w:rFonts w:ascii="Arial Narrow" w:hAnsi="Arial Narrow" w:cstheme="majorHAnsi"/>
        </w:rPr>
        <w:t>t</w:t>
      </w:r>
      <w:r w:rsidR="006F099F" w:rsidRPr="00AB3E42">
        <w:rPr>
          <w:rFonts w:ascii="Arial Narrow" w:hAnsi="Arial Narrow" w:cstheme="majorHAnsi"/>
        </w:rPr>
        <w:t xml:space="preserve">his model </w:t>
      </w:r>
      <w:r w:rsidRPr="00AB3E42">
        <w:rPr>
          <w:rFonts w:ascii="Arial Narrow" w:hAnsi="Arial Narrow" w:cstheme="majorHAnsi"/>
        </w:rPr>
        <w:t>b</w:t>
      </w:r>
      <w:r w:rsidR="006F099F" w:rsidRPr="00AB3E42">
        <w:rPr>
          <w:rFonts w:ascii="Arial Narrow" w:hAnsi="Arial Narrow" w:cstheme="majorHAnsi"/>
        </w:rPr>
        <w:t>ecau</w:t>
      </w:r>
      <w:r w:rsidRPr="00AB3E42">
        <w:rPr>
          <w:rFonts w:ascii="Arial Narrow" w:hAnsi="Arial Narrow" w:cstheme="majorHAnsi"/>
        </w:rPr>
        <w:t>s</w:t>
      </w:r>
      <w:r w:rsidR="006F099F" w:rsidRPr="00AB3E42">
        <w:rPr>
          <w:rFonts w:ascii="Arial Narrow" w:hAnsi="Arial Narrow" w:cstheme="majorHAnsi"/>
        </w:rPr>
        <w:t xml:space="preserve">e the dependent variable involves </w:t>
      </w:r>
      <w:r w:rsidR="00C73318" w:rsidRPr="00AB3E42">
        <w:rPr>
          <w:rFonts w:ascii="Arial Narrow" w:hAnsi="Arial Narrow" w:cstheme="majorHAnsi"/>
        </w:rPr>
        <w:t xml:space="preserve">binary </w:t>
      </w:r>
      <w:r w:rsidR="003F6A39" w:rsidRPr="00AB3E42">
        <w:rPr>
          <w:rFonts w:ascii="Arial Narrow" w:hAnsi="Arial Narrow" w:cstheme="majorHAnsi"/>
        </w:rPr>
        <w:t xml:space="preserve">base on </w:t>
      </w:r>
      <w:r w:rsidR="003F6A39" w:rsidRPr="00AB3E42">
        <w:rPr>
          <w:rFonts w:ascii="Arial Narrow" w:hAnsi="Arial Narrow" w:cstheme="majorHAnsi"/>
          <w:lang w:val="en-US"/>
        </w:rPr>
        <w:t>adoption</w:t>
      </w:r>
      <w:r w:rsidR="00C73318" w:rsidRPr="00AB3E42">
        <w:rPr>
          <w:rFonts w:ascii="Arial Narrow" w:hAnsi="Arial Narrow" w:cstheme="majorHAnsi"/>
          <w:lang w:val="en-US"/>
        </w:rPr>
        <w:t xml:space="preserve"> status of LPG (1 = Adopted, 0 = Not adopted).</w:t>
      </w:r>
      <w:r w:rsidR="006F099F" w:rsidRPr="00AB3E42">
        <w:rPr>
          <w:rFonts w:ascii="Arial Narrow" w:hAnsi="Arial Narrow" w:cstheme="majorHAnsi"/>
        </w:rPr>
        <w:t xml:space="preserve"> </w:t>
      </w:r>
      <w:r w:rsidRPr="00AB3E42">
        <w:rPr>
          <w:rFonts w:ascii="Arial Narrow" w:hAnsi="Arial Narrow" w:cstheme="majorHAnsi"/>
        </w:rPr>
        <w:t>Since e</w:t>
      </w:r>
      <w:r w:rsidR="006F099F" w:rsidRPr="00AB3E42">
        <w:rPr>
          <w:rFonts w:ascii="Arial Narrow" w:hAnsi="Arial Narrow" w:cstheme="majorHAnsi"/>
        </w:rPr>
        <w:t xml:space="preserve">ach </w:t>
      </w:r>
      <w:r w:rsidR="003F6A39" w:rsidRPr="00AB3E42">
        <w:rPr>
          <w:rFonts w:ascii="Arial Narrow" w:hAnsi="Arial Narrow" w:cstheme="majorHAnsi"/>
        </w:rPr>
        <w:t>1 = represents adopted and 0 = represent Note adopted, the</w:t>
      </w:r>
      <w:r w:rsidR="006F099F" w:rsidRPr="00AB3E42">
        <w:rPr>
          <w:rFonts w:ascii="Arial Narrow" w:hAnsi="Arial Narrow" w:cstheme="majorHAnsi"/>
        </w:rPr>
        <w:t xml:space="preserve"> LR model </w:t>
      </w:r>
      <w:r w:rsidRPr="00AB3E42">
        <w:rPr>
          <w:rFonts w:ascii="Arial Narrow" w:hAnsi="Arial Narrow" w:cstheme="majorHAnsi"/>
        </w:rPr>
        <w:t xml:space="preserve">is </w:t>
      </w:r>
      <w:r w:rsidR="006F099F" w:rsidRPr="00AB3E42">
        <w:rPr>
          <w:rFonts w:ascii="Arial Narrow" w:hAnsi="Arial Narrow" w:cstheme="majorHAnsi"/>
        </w:rPr>
        <w:t>suitable for th</w:t>
      </w:r>
      <w:r w:rsidRPr="00AB3E42">
        <w:rPr>
          <w:rFonts w:ascii="Arial Narrow" w:hAnsi="Arial Narrow" w:cstheme="majorHAnsi"/>
        </w:rPr>
        <w:t>is</w:t>
      </w:r>
      <w:r w:rsidR="006F099F" w:rsidRPr="00AB3E42">
        <w:rPr>
          <w:rFonts w:ascii="Arial Narrow" w:hAnsi="Arial Narrow" w:cstheme="majorHAnsi"/>
        </w:rPr>
        <w:t xml:space="preserve"> analysis</w:t>
      </w:r>
      <w:r w:rsidRPr="00AB3E42">
        <w:rPr>
          <w:rFonts w:ascii="Arial Narrow" w:hAnsi="Arial Narrow" w:cstheme="majorHAnsi"/>
        </w:rPr>
        <w:t>.</w:t>
      </w:r>
    </w:p>
    <w:p w14:paraId="335B201E" w14:textId="77777777" w:rsidR="00C20B8A" w:rsidRPr="00AB3E42" w:rsidRDefault="00C20B8A" w:rsidP="003F6A39">
      <w:pPr>
        <w:spacing w:before="0" w:after="0"/>
        <w:jc w:val="both"/>
        <w:rPr>
          <w:rFonts w:ascii="Arial Narrow" w:hAnsi="Arial Narrow" w:cstheme="majorHAnsi"/>
          <w:b/>
          <w:bCs/>
        </w:rPr>
      </w:pPr>
    </w:p>
    <w:p w14:paraId="51D5BB4D" w14:textId="3BD9E6CD" w:rsidR="003F6A39" w:rsidRPr="00AB3E42" w:rsidRDefault="003F6A39" w:rsidP="003F6A39">
      <w:pPr>
        <w:spacing w:before="0" w:after="0"/>
        <w:jc w:val="both"/>
        <w:rPr>
          <w:rFonts w:ascii="Arial Narrow" w:hAnsi="Arial Narrow" w:cstheme="majorHAnsi"/>
          <w:b/>
          <w:bCs/>
        </w:rPr>
      </w:pPr>
      <w:r w:rsidRPr="00AB3E42">
        <w:rPr>
          <w:rFonts w:ascii="Arial Narrow" w:hAnsi="Arial Narrow" w:cstheme="majorHAnsi"/>
          <w:bCs/>
        </w:rPr>
        <w:t xml:space="preserve">The </w:t>
      </w:r>
      <w:r w:rsidR="00C20B8A" w:rsidRPr="00AB3E42">
        <w:rPr>
          <w:rFonts w:ascii="Arial Narrow" w:hAnsi="Arial Narrow" w:cstheme="majorHAnsi"/>
          <w:bCs/>
        </w:rPr>
        <w:t xml:space="preserve">study utilized </w:t>
      </w:r>
      <w:r w:rsidRPr="00AB3E42">
        <w:rPr>
          <w:rFonts w:ascii="Arial Narrow" w:hAnsi="Arial Narrow" w:cstheme="majorHAnsi"/>
          <w:bCs/>
        </w:rPr>
        <w:t xml:space="preserve">LR model to estimate the probability </w:t>
      </w:r>
      <w:r w:rsidR="0028568F" w:rsidRPr="00AB3E42">
        <w:rPr>
          <w:rFonts w:ascii="Arial Narrow" w:hAnsi="Arial Narrow" w:cstheme="majorHAnsi"/>
          <w:bCs/>
        </w:rPr>
        <w:t>of individual</w:t>
      </w:r>
      <w:r w:rsidRPr="00AB3E42">
        <w:rPr>
          <w:rFonts w:ascii="Arial Narrow" w:hAnsi="Arial Narrow" w:cstheme="majorHAnsi"/>
          <w:bCs/>
        </w:rPr>
        <w:t xml:space="preserve"> household to </w:t>
      </w:r>
      <w:r w:rsidR="0031352D" w:rsidRPr="00AB3E42">
        <w:rPr>
          <w:rFonts w:ascii="Arial Narrow" w:hAnsi="Arial Narrow" w:cstheme="majorHAnsi"/>
          <w:bCs/>
        </w:rPr>
        <w:t>adopt or Not</w:t>
      </w:r>
      <w:r w:rsidRPr="00AB3E42">
        <w:rPr>
          <w:rFonts w:ascii="Arial Narrow" w:hAnsi="Arial Narrow" w:cstheme="majorHAnsi"/>
          <w:bCs/>
        </w:rPr>
        <w:t xml:space="preserve"> </w:t>
      </w:r>
      <w:r w:rsidR="0031352D" w:rsidRPr="00AB3E42">
        <w:rPr>
          <w:rFonts w:ascii="Arial Narrow" w:hAnsi="Arial Narrow" w:cstheme="majorHAnsi"/>
          <w:bCs/>
        </w:rPr>
        <w:t xml:space="preserve">adopt LPG </w:t>
      </w:r>
      <w:r w:rsidR="0031352D" w:rsidRPr="00AB3E42">
        <w:rPr>
          <w:rFonts w:ascii="Arial Narrow" w:eastAsia="Calibri" w:hAnsi="Arial Narrow" w:cs="Times New Roman"/>
          <w:kern w:val="0"/>
          <w:lang w:val="en-US"/>
          <w14:ligatures w14:val="none"/>
        </w:rPr>
        <w:t>β</w:t>
      </w:r>
      <w:r w:rsidR="0031352D" w:rsidRPr="00AB3E42">
        <w:rPr>
          <w:rFonts w:ascii="Arial Narrow" w:hAnsi="Arial Narrow" w:cstheme="majorHAnsi"/>
          <w:bCs/>
        </w:rPr>
        <w:t xml:space="preserve"> relative</w:t>
      </w:r>
      <w:r w:rsidRPr="00AB3E42">
        <w:rPr>
          <w:rFonts w:ascii="Arial Narrow" w:hAnsi="Arial Narrow" w:cstheme="majorHAnsi"/>
          <w:bCs/>
        </w:rPr>
        <w:t xml:space="preserve"> to a reference category based on a set of explanatory variables. </w:t>
      </w:r>
    </w:p>
    <w:p w14:paraId="2EBCEBB9" w14:textId="77777777" w:rsidR="003F6A39" w:rsidRPr="00AB3E42" w:rsidRDefault="003F6A39" w:rsidP="00424168">
      <w:pPr>
        <w:spacing w:before="0" w:after="0"/>
        <w:jc w:val="both"/>
        <w:rPr>
          <w:rFonts w:ascii="Arial Narrow" w:hAnsi="Arial Narrow" w:cstheme="majorHAnsi"/>
          <w:b/>
          <w:bCs/>
        </w:rPr>
      </w:pPr>
    </w:p>
    <w:p w14:paraId="33FE4A0F" w14:textId="2AF5C446" w:rsidR="003F6A39" w:rsidRPr="00AB3E42" w:rsidRDefault="003F6A39" w:rsidP="003F6A39">
      <w:pPr>
        <w:spacing w:before="0" w:after="100" w:afterAutospacing="1"/>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Y=β0</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w:t>
      </w:r>
      <w:bookmarkStart w:id="3" w:name="_Hlk211076579"/>
      <w:r w:rsidRPr="00AB3E42">
        <w:rPr>
          <w:rFonts w:ascii="Arial Narrow" w:eastAsia="Calibri" w:hAnsi="Arial Narrow" w:cs="Times New Roman"/>
          <w:kern w:val="0"/>
          <w:lang w:val="en-US"/>
          <w14:ligatures w14:val="none"/>
        </w:rPr>
        <w:t>β</w:t>
      </w:r>
      <w:bookmarkEnd w:id="3"/>
      <w:r w:rsidRPr="00AB3E42">
        <w:rPr>
          <w:rFonts w:ascii="Arial Narrow" w:eastAsia="Calibri" w:hAnsi="Arial Narrow" w:cs="Times New Roman"/>
          <w:kern w:val="0"/>
          <w:lang w:val="en-US"/>
          <w14:ligatures w14:val="none"/>
        </w:rPr>
        <w:t>1</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X1</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+β2</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X2</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+β3</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X3</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+β4</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X4</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+β5</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X5</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+β6</w:t>
      </w:r>
      <w:r w:rsidRPr="00AB3E42">
        <w:rPr>
          <w:rFonts w:ascii="Arial" w:eastAsia="Calibri" w:hAnsi="Arial" w:cs="Arial"/>
          <w:kern w:val="0"/>
          <w:lang w:val="en-US"/>
          <w14:ligatures w14:val="none"/>
        </w:rPr>
        <w:t>​</w:t>
      </w:r>
      <w:r w:rsidRPr="00AB3E42">
        <w:rPr>
          <w:rFonts w:ascii="Arial Narrow" w:eastAsia="Calibri" w:hAnsi="Arial Narrow" w:cs="Times New Roman"/>
          <w:kern w:val="0"/>
          <w:lang w:val="en-US"/>
          <w14:ligatures w14:val="none"/>
        </w:rPr>
        <w:t>X6</w:t>
      </w:r>
      <w:r w:rsidRPr="00AB3E42">
        <w:rPr>
          <w:rFonts w:ascii="Arial" w:eastAsia="Calibri" w:hAnsi="Arial" w:cs="Arial"/>
          <w:kern w:val="0"/>
          <w:lang w:val="en-US"/>
          <w14:ligatures w14:val="none"/>
        </w:rPr>
        <w:t>​​</w:t>
      </w:r>
      <w:r w:rsidR="00C20B8A" w:rsidRPr="00AB3E42">
        <w:rPr>
          <w:rFonts w:ascii="Arial Narrow" w:eastAsia="Calibri" w:hAnsi="Arial Narrow" w:cs="Times New Roman"/>
          <w:kern w:val="0"/>
          <w:lang w:val="en-US"/>
          <w14:ligatures w14:val="none"/>
        </w:rPr>
        <w:t>+ε</w:t>
      </w:r>
    </w:p>
    <w:p w14:paraId="6B704A0A" w14:textId="77777777" w:rsidR="003F6A39" w:rsidRPr="00AB3E42" w:rsidRDefault="003F6A39" w:rsidP="003F6A39">
      <w:pPr>
        <w:spacing w:before="0" w:after="100" w:afterAutospacing="1"/>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kern w:val="0"/>
          <w:lang w:val="en-US"/>
          <w14:ligatures w14:val="none"/>
        </w:rPr>
        <w:t>Where:</w:t>
      </w:r>
    </w:p>
    <w:p w14:paraId="4DD54B6E" w14:textId="77777777" w:rsidR="003F6A39" w:rsidRPr="00AB3E42" w:rsidRDefault="003F6A39" w:rsidP="003F6A39">
      <w:pPr>
        <w:numPr>
          <w:ilvl w:val="0"/>
          <w:numId w:val="24"/>
        </w:numPr>
        <w:spacing w:before="0" w:after="100" w:afterAutospacing="1" w:line="259" w:lineRule="auto"/>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b/>
          <w:bCs/>
          <w:kern w:val="0"/>
          <w:lang w:val="en-US"/>
          <w14:ligatures w14:val="none"/>
        </w:rPr>
        <w:t>Y</w:t>
      </w:r>
      <w:r w:rsidRPr="00AB3E42">
        <w:rPr>
          <w:rFonts w:ascii="Arial Narrow" w:eastAsia="Times New Roman" w:hAnsi="Arial Narrow" w:cs="Times New Roman"/>
          <w:kern w:val="0"/>
          <w:lang w:val="en-US"/>
          <w14:ligatures w14:val="none"/>
        </w:rPr>
        <w:t xml:space="preserve"> = Adoption of LPG</w:t>
      </w:r>
    </w:p>
    <w:p w14:paraId="0ABBA716" w14:textId="77777777" w:rsidR="003F6A39" w:rsidRPr="00AB3E42" w:rsidRDefault="003F6A39" w:rsidP="003F6A39">
      <w:pPr>
        <w:numPr>
          <w:ilvl w:val="0"/>
          <w:numId w:val="24"/>
        </w:numPr>
        <w:spacing w:before="0" w:after="100" w:afterAutospacing="1" w:line="259" w:lineRule="auto"/>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b/>
          <w:bCs/>
          <w:kern w:val="0"/>
          <w:lang w:val="en-US"/>
          <w14:ligatures w14:val="none"/>
        </w:rPr>
        <w:t>β</w:t>
      </w:r>
      <w:r w:rsidRPr="00AB3E42">
        <w:rPr>
          <w:rFonts w:ascii="Cambria Math" w:eastAsia="Times New Roman" w:hAnsi="Cambria Math" w:cs="Cambria Math"/>
          <w:b/>
          <w:bCs/>
          <w:kern w:val="0"/>
          <w:lang w:val="en-US"/>
          <w14:ligatures w14:val="none"/>
        </w:rPr>
        <w:t>₀</w:t>
      </w:r>
      <w:r w:rsidRPr="00AB3E42">
        <w:rPr>
          <w:rFonts w:ascii="Arial Narrow" w:eastAsia="Times New Roman" w:hAnsi="Arial Narrow" w:cs="Times New Roman"/>
          <w:kern w:val="0"/>
          <w:lang w:val="en-US"/>
          <w14:ligatures w14:val="none"/>
        </w:rPr>
        <w:t xml:space="preserve"> = Constant (intercept)</w:t>
      </w:r>
    </w:p>
    <w:p w14:paraId="5C05AE96" w14:textId="77777777" w:rsidR="003F6A39" w:rsidRPr="00AB3E42" w:rsidRDefault="003F6A39" w:rsidP="003F6A39">
      <w:pPr>
        <w:numPr>
          <w:ilvl w:val="0"/>
          <w:numId w:val="24"/>
        </w:numPr>
        <w:spacing w:before="0" w:after="100" w:afterAutospacing="1" w:line="259" w:lineRule="auto"/>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b/>
          <w:bCs/>
          <w:kern w:val="0"/>
          <w:lang w:val="en-US"/>
          <w14:ligatures w14:val="none"/>
        </w:rPr>
        <w:t>β</w:t>
      </w:r>
      <w:r w:rsidRPr="00AB3E42">
        <w:rPr>
          <w:rFonts w:ascii="Cambria Math" w:eastAsia="Times New Roman" w:hAnsi="Cambria Math" w:cs="Cambria Math"/>
          <w:b/>
          <w:bCs/>
          <w:kern w:val="0"/>
          <w:lang w:val="en-US"/>
          <w14:ligatures w14:val="none"/>
        </w:rPr>
        <w:t>₁</w:t>
      </w:r>
      <w:r w:rsidRPr="00AB3E42">
        <w:rPr>
          <w:rFonts w:ascii="Arial Narrow" w:eastAsia="Times New Roman" w:hAnsi="Arial Narrow" w:cs="Times New Roman"/>
          <w:b/>
          <w:bCs/>
          <w:kern w:val="0"/>
          <w:lang w:val="en-US"/>
          <w14:ligatures w14:val="none"/>
        </w:rPr>
        <w:t xml:space="preserve"> to </w:t>
      </w:r>
      <w:r w:rsidRPr="00AB3E42">
        <w:rPr>
          <w:rFonts w:ascii="Arial Narrow" w:eastAsia="Times New Roman" w:hAnsi="Arial Narrow" w:cs="Arial Narrow"/>
          <w:b/>
          <w:bCs/>
          <w:kern w:val="0"/>
          <w:lang w:val="en-US"/>
          <w14:ligatures w14:val="none"/>
        </w:rPr>
        <w:t>β</w:t>
      </w:r>
      <w:r w:rsidRPr="00AB3E42">
        <w:rPr>
          <w:rFonts w:ascii="Arial Narrow" w:eastAsia="Times New Roman" w:hAnsi="Arial Narrow" w:cs="Times New Roman"/>
          <w:b/>
          <w:bCs/>
          <w:kern w:val="0"/>
          <w:vertAlign w:val="subscript"/>
          <w:lang w:val="en-US"/>
          <w14:ligatures w14:val="none"/>
        </w:rPr>
        <w:t>6</w:t>
      </w:r>
      <w:r w:rsidRPr="00AB3E42">
        <w:rPr>
          <w:rFonts w:ascii="Arial Narrow" w:eastAsia="Times New Roman" w:hAnsi="Arial Narrow" w:cs="Times New Roman"/>
          <w:kern w:val="0"/>
          <w:lang w:val="en-US"/>
          <w14:ligatures w14:val="none"/>
        </w:rPr>
        <w:t xml:space="preserve"> = Coefficients of the independent variables</w:t>
      </w:r>
    </w:p>
    <w:p w14:paraId="6107A827" w14:textId="77777777" w:rsidR="003F6A39" w:rsidRPr="00AB3E42" w:rsidRDefault="003F6A39" w:rsidP="003F6A39">
      <w:pPr>
        <w:numPr>
          <w:ilvl w:val="0"/>
          <w:numId w:val="24"/>
        </w:numPr>
        <w:spacing w:before="0" w:after="100" w:afterAutospacing="1" w:line="259" w:lineRule="auto"/>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b/>
          <w:bCs/>
          <w:kern w:val="0"/>
          <w:lang w:val="en-US"/>
          <w14:ligatures w14:val="none"/>
        </w:rPr>
        <w:t>ε</w:t>
      </w:r>
      <w:r w:rsidRPr="00AB3E42">
        <w:rPr>
          <w:rFonts w:ascii="Arial Narrow" w:eastAsia="Times New Roman" w:hAnsi="Arial Narrow" w:cs="Times New Roman"/>
          <w:kern w:val="0"/>
          <w:lang w:val="en-US"/>
          <w14:ligatures w14:val="none"/>
        </w:rPr>
        <w:t xml:space="preserve"> = Error term</w:t>
      </w:r>
    </w:p>
    <w:p w14:paraId="25F9C2E1" w14:textId="3FC9BFEC" w:rsidR="006706A6" w:rsidRPr="00AB3E42" w:rsidRDefault="00E7395F" w:rsidP="00C50ADE">
      <w:pPr>
        <w:spacing w:before="0" w:after="0"/>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This study a</w:t>
      </w:r>
      <w:r w:rsidR="006F099F" w:rsidRPr="00AB3E42">
        <w:rPr>
          <w:rFonts w:ascii="Arial Narrow" w:eastAsia="Times New Roman" w:hAnsi="Arial Narrow" w:cstheme="majorHAnsi"/>
          <w:kern w:val="0"/>
          <w:lang w:eastAsia="en-GB"/>
          <w14:ligatures w14:val="none"/>
        </w:rPr>
        <w:t>nalys</w:t>
      </w:r>
      <w:r w:rsidRPr="00AB3E42">
        <w:rPr>
          <w:rFonts w:ascii="Arial Narrow" w:eastAsia="Times New Roman" w:hAnsi="Arial Narrow" w:cstheme="majorHAnsi"/>
          <w:kern w:val="0"/>
          <w:lang w:eastAsia="en-GB"/>
          <w14:ligatures w14:val="none"/>
        </w:rPr>
        <w:t>e</w:t>
      </w:r>
      <w:r w:rsidR="00F000E2" w:rsidRPr="00AB3E42">
        <w:rPr>
          <w:rFonts w:ascii="Arial Narrow" w:eastAsia="Times New Roman" w:hAnsi="Arial Narrow" w:cstheme="majorHAnsi"/>
          <w:kern w:val="0"/>
          <w:lang w:eastAsia="en-GB"/>
          <w14:ligatures w14:val="none"/>
        </w:rPr>
        <w:t>s</w:t>
      </w:r>
      <w:r w:rsidR="006F099F" w:rsidRPr="00AB3E42">
        <w:rPr>
          <w:rFonts w:ascii="Arial Narrow" w:eastAsia="Times New Roman" w:hAnsi="Arial Narrow" w:cstheme="majorHAnsi"/>
          <w:kern w:val="0"/>
          <w:lang w:eastAsia="en-GB"/>
          <w14:ligatures w14:val="none"/>
        </w:rPr>
        <w:t xml:space="preserve"> how demographic</w:t>
      </w:r>
      <w:r w:rsidR="006706A6" w:rsidRPr="00AB3E42">
        <w:rPr>
          <w:rFonts w:ascii="Arial Narrow" w:eastAsia="Times New Roman" w:hAnsi="Arial Narrow" w:cstheme="majorHAnsi"/>
          <w:kern w:val="0"/>
          <w:lang w:eastAsia="en-GB"/>
          <w14:ligatures w14:val="none"/>
        </w:rPr>
        <w:t xml:space="preserve"> and social </w:t>
      </w:r>
      <w:r w:rsidR="006F099F" w:rsidRPr="00AB3E42">
        <w:rPr>
          <w:rFonts w:ascii="Arial Narrow" w:eastAsia="Times New Roman" w:hAnsi="Arial Narrow" w:cstheme="majorHAnsi"/>
          <w:kern w:val="0"/>
          <w:lang w:eastAsia="en-GB"/>
          <w14:ligatures w14:val="none"/>
        </w:rPr>
        <w:t xml:space="preserve">factors influence </w:t>
      </w:r>
      <w:r w:rsidR="006706A6" w:rsidRPr="00AB3E42">
        <w:rPr>
          <w:rFonts w:ascii="Arial Narrow" w:eastAsia="Times New Roman" w:hAnsi="Arial Narrow" w:cstheme="majorHAnsi"/>
          <w:kern w:val="0"/>
          <w:lang w:eastAsia="en-GB"/>
          <w14:ligatures w14:val="none"/>
        </w:rPr>
        <w:t xml:space="preserve">adoption of LPG among individual household in Geita Municipal specifically in  </w:t>
      </w:r>
      <w:r w:rsidR="006F099F" w:rsidRPr="00AB3E42">
        <w:rPr>
          <w:rFonts w:ascii="Arial Narrow" w:eastAsia="Times New Roman" w:hAnsi="Arial Narrow" w:cstheme="majorHAnsi"/>
          <w:kern w:val="0"/>
          <w:lang w:eastAsia="en-GB"/>
          <w14:ligatures w14:val="none"/>
        </w:rPr>
        <w:t xml:space="preserve"> </w:t>
      </w:r>
      <w:r w:rsidR="006706A6" w:rsidRPr="00AB3E42">
        <w:rPr>
          <w:rFonts w:ascii="Arial Narrow" w:eastAsia="Times New Roman" w:hAnsi="Arial Narrow" w:cstheme="majorHAnsi"/>
          <w:kern w:val="0"/>
          <w:lang w:val="en-US" w:eastAsia="en-GB"/>
          <w14:ligatures w14:val="none"/>
        </w:rPr>
        <w:t>Kalangalala Ward</w:t>
      </w:r>
      <w:r w:rsidR="006706A6" w:rsidRPr="00AB3E42">
        <w:rPr>
          <w:rFonts w:ascii="Arial Narrow" w:eastAsia="Times New Roman" w:hAnsi="Arial Narrow" w:cstheme="majorHAnsi"/>
          <w:kern w:val="0"/>
          <w:lang w:eastAsia="en-GB"/>
          <w14:ligatures w14:val="none"/>
        </w:rPr>
        <w:t xml:space="preserve"> </w:t>
      </w:r>
    </w:p>
    <w:p w14:paraId="6DF351B2" w14:textId="5759AAC9" w:rsidR="0006399A" w:rsidRPr="00AB3E42" w:rsidRDefault="006F099F" w:rsidP="00C50ADE">
      <w:pPr>
        <w:spacing w:before="0" w:after="0"/>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 xml:space="preserve">The variables in the study are specified </w:t>
      </w:r>
      <w:r w:rsidR="00E7395F" w:rsidRPr="00AB3E42">
        <w:rPr>
          <w:rFonts w:ascii="Arial Narrow" w:eastAsia="Times New Roman" w:hAnsi="Arial Narrow" w:cstheme="majorHAnsi"/>
          <w:kern w:val="0"/>
          <w:lang w:eastAsia="en-GB"/>
          <w14:ligatures w14:val="none"/>
        </w:rPr>
        <w:t>in T</w:t>
      </w:r>
      <w:r w:rsidRPr="00AB3E42">
        <w:rPr>
          <w:rFonts w:ascii="Arial Narrow" w:eastAsia="Times New Roman" w:hAnsi="Arial Narrow" w:cstheme="majorHAnsi"/>
          <w:kern w:val="0"/>
          <w:lang w:eastAsia="en-GB"/>
          <w14:ligatures w14:val="none"/>
        </w:rPr>
        <w:t>a</w:t>
      </w:r>
      <w:r w:rsidR="00E7395F" w:rsidRPr="00AB3E42">
        <w:rPr>
          <w:rFonts w:ascii="Arial Narrow" w:eastAsia="Times New Roman" w:hAnsi="Arial Narrow" w:cstheme="majorHAnsi"/>
          <w:kern w:val="0"/>
          <w:lang w:eastAsia="en-GB"/>
          <w14:ligatures w14:val="none"/>
        </w:rPr>
        <w:t>ble</w:t>
      </w:r>
      <w:r w:rsidRPr="00AB3E42">
        <w:rPr>
          <w:rFonts w:ascii="Arial Narrow" w:eastAsia="Times New Roman" w:hAnsi="Arial Narrow" w:cstheme="majorHAnsi"/>
          <w:kern w:val="0"/>
          <w:lang w:eastAsia="en-GB"/>
          <w14:ligatures w14:val="none"/>
        </w:rPr>
        <w:t xml:space="preserve"> </w:t>
      </w:r>
      <w:r w:rsidR="00E7395F" w:rsidRPr="00AB3E42">
        <w:rPr>
          <w:rFonts w:ascii="Arial Narrow" w:eastAsia="Times New Roman" w:hAnsi="Arial Narrow" w:cstheme="majorHAnsi"/>
          <w:kern w:val="0"/>
          <w:lang w:eastAsia="en-GB"/>
          <w14:ligatures w14:val="none"/>
        </w:rPr>
        <w:t>2</w:t>
      </w:r>
      <w:r w:rsidRPr="00AB3E42">
        <w:rPr>
          <w:rFonts w:ascii="Arial Narrow" w:eastAsia="Times New Roman" w:hAnsi="Arial Narrow" w:cstheme="majorHAnsi"/>
          <w:kern w:val="0"/>
          <w:lang w:eastAsia="en-GB"/>
          <w14:ligatures w14:val="none"/>
        </w:rPr>
        <w:t>:</w:t>
      </w:r>
    </w:p>
    <w:p w14:paraId="43F7AEE7" w14:textId="46D6F6E0" w:rsidR="00A45C92" w:rsidRPr="00AB3E42" w:rsidRDefault="00A45C92" w:rsidP="00A45C92">
      <w:pPr>
        <w:spacing w:before="0" w:after="0"/>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 xml:space="preserve">Table 2: Summary of Variables and Their Descriptions for </w:t>
      </w:r>
      <w:r w:rsidR="006706A6" w:rsidRPr="00AB3E42">
        <w:rPr>
          <w:rFonts w:ascii="Arial Narrow" w:eastAsia="Times New Roman" w:hAnsi="Arial Narrow" w:cstheme="majorHAnsi"/>
          <w:kern w:val="0"/>
          <w:lang w:eastAsia="en-GB"/>
          <w14:ligatures w14:val="none"/>
        </w:rPr>
        <w:t>Adoption of LPG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1644"/>
        <w:gridCol w:w="2626"/>
        <w:gridCol w:w="1389"/>
        <w:gridCol w:w="3190"/>
      </w:tblGrid>
      <w:tr w:rsidR="003B0422" w:rsidRPr="00AB3E42" w14:paraId="01444A3F" w14:textId="77777777" w:rsidTr="00C53C88">
        <w:trPr>
          <w:tblHeader/>
        </w:trPr>
        <w:tc>
          <w:tcPr>
            <w:tcW w:w="273" w:type="pct"/>
            <w:tcBorders>
              <w:top w:val="single" w:sz="4" w:space="0" w:color="auto"/>
              <w:bottom w:val="single" w:sz="4" w:space="0" w:color="auto"/>
            </w:tcBorders>
            <w:vAlign w:val="center"/>
          </w:tcPr>
          <w:p w14:paraId="0F1BE3C4" w14:textId="77777777" w:rsidR="00BC034C" w:rsidRPr="00AB3E42" w:rsidRDefault="00BC034C" w:rsidP="00A220FA">
            <w:pPr>
              <w:jc w:val="both"/>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t>SN</w:t>
            </w:r>
          </w:p>
        </w:tc>
        <w:tc>
          <w:tcPr>
            <w:tcW w:w="878" w:type="pct"/>
            <w:tcBorders>
              <w:top w:val="single" w:sz="4" w:space="0" w:color="auto"/>
              <w:bottom w:val="single" w:sz="4" w:space="0" w:color="auto"/>
            </w:tcBorders>
            <w:vAlign w:val="center"/>
          </w:tcPr>
          <w:p w14:paraId="3BFD8974" w14:textId="77777777" w:rsidR="00BC034C" w:rsidRPr="00AB3E42" w:rsidRDefault="00BC034C" w:rsidP="00A220FA">
            <w:pPr>
              <w:jc w:val="left"/>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t>Variable Name</w:t>
            </w:r>
          </w:p>
        </w:tc>
        <w:tc>
          <w:tcPr>
            <w:tcW w:w="1403" w:type="pct"/>
            <w:tcBorders>
              <w:top w:val="single" w:sz="4" w:space="0" w:color="auto"/>
              <w:bottom w:val="single" w:sz="4" w:space="0" w:color="auto"/>
            </w:tcBorders>
            <w:vAlign w:val="center"/>
          </w:tcPr>
          <w:p w14:paraId="088F0A46" w14:textId="77777777" w:rsidR="00BC034C" w:rsidRPr="00AB3E42" w:rsidRDefault="00BC034C" w:rsidP="00A220FA">
            <w:pPr>
              <w:jc w:val="both"/>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t>Description</w:t>
            </w:r>
          </w:p>
        </w:tc>
        <w:tc>
          <w:tcPr>
            <w:tcW w:w="742" w:type="pct"/>
            <w:tcBorders>
              <w:top w:val="single" w:sz="4" w:space="0" w:color="auto"/>
              <w:bottom w:val="single" w:sz="4" w:space="0" w:color="auto"/>
            </w:tcBorders>
            <w:vAlign w:val="center"/>
          </w:tcPr>
          <w:p w14:paraId="7289DED1" w14:textId="77777777" w:rsidR="00BC034C" w:rsidRPr="00AB3E42" w:rsidRDefault="00BC034C" w:rsidP="00A220FA">
            <w:pPr>
              <w:jc w:val="both"/>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t>Type</w:t>
            </w:r>
          </w:p>
        </w:tc>
        <w:tc>
          <w:tcPr>
            <w:tcW w:w="1704" w:type="pct"/>
            <w:tcBorders>
              <w:top w:val="single" w:sz="4" w:space="0" w:color="auto"/>
              <w:bottom w:val="single" w:sz="4" w:space="0" w:color="auto"/>
            </w:tcBorders>
            <w:vAlign w:val="center"/>
          </w:tcPr>
          <w:p w14:paraId="2E35EB64" w14:textId="77777777" w:rsidR="00BC034C" w:rsidRPr="00AB3E42" w:rsidRDefault="00BC034C" w:rsidP="00A220FA">
            <w:pPr>
              <w:jc w:val="both"/>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t>Expected Influence</w:t>
            </w:r>
          </w:p>
        </w:tc>
      </w:tr>
      <w:tr w:rsidR="003B0422" w:rsidRPr="00AB3E42" w14:paraId="68757D02" w14:textId="77777777" w:rsidTr="00C53C88">
        <w:tc>
          <w:tcPr>
            <w:tcW w:w="273" w:type="pct"/>
            <w:tcBorders>
              <w:top w:val="single" w:sz="4" w:space="0" w:color="auto"/>
              <w:bottom w:val="single" w:sz="4" w:space="0" w:color="auto"/>
            </w:tcBorders>
            <w:vAlign w:val="center"/>
          </w:tcPr>
          <w:p w14:paraId="33E103AB"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1</w:t>
            </w:r>
          </w:p>
        </w:tc>
        <w:tc>
          <w:tcPr>
            <w:tcW w:w="878" w:type="pct"/>
            <w:tcBorders>
              <w:top w:val="single" w:sz="4" w:space="0" w:color="auto"/>
              <w:bottom w:val="single" w:sz="4" w:space="0" w:color="auto"/>
            </w:tcBorders>
            <w:vAlign w:val="center"/>
          </w:tcPr>
          <w:p w14:paraId="5A56741D" w14:textId="61B78436" w:rsidR="00BC034C" w:rsidRPr="00AB3E42" w:rsidRDefault="006706A6"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Adoption status</w:t>
            </w:r>
          </w:p>
        </w:tc>
        <w:tc>
          <w:tcPr>
            <w:tcW w:w="1403" w:type="pct"/>
            <w:tcBorders>
              <w:top w:val="single" w:sz="4" w:space="0" w:color="auto"/>
              <w:bottom w:val="single" w:sz="4" w:space="0" w:color="auto"/>
            </w:tcBorders>
            <w:vAlign w:val="center"/>
          </w:tcPr>
          <w:p w14:paraId="41B15C55" w14:textId="07D1732E" w:rsidR="00BC034C" w:rsidRPr="00AB3E42" w:rsidRDefault="00BC034C"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 xml:space="preserve">Dependent variable indicating </w:t>
            </w:r>
            <w:r w:rsidR="006706A6" w:rsidRPr="00AB3E42">
              <w:rPr>
                <w:rFonts w:ascii="Arial Narrow" w:eastAsia="Times New Roman" w:hAnsi="Arial Narrow" w:cstheme="majorHAnsi"/>
                <w:kern w:val="0"/>
                <w:lang w:val="en-US" w:eastAsia="en-GB"/>
                <w14:ligatures w14:val="none"/>
              </w:rPr>
              <w:t>(1 = Adopted, 0 = Not adopted)</w:t>
            </w:r>
          </w:p>
        </w:tc>
        <w:tc>
          <w:tcPr>
            <w:tcW w:w="742" w:type="pct"/>
            <w:tcBorders>
              <w:top w:val="single" w:sz="4" w:space="0" w:color="auto"/>
              <w:bottom w:val="single" w:sz="4" w:space="0" w:color="auto"/>
            </w:tcBorders>
            <w:vAlign w:val="center"/>
          </w:tcPr>
          <w:p w14:paraId="4C2FF84D"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Categorical</w:t>
            </w:r>
          </w:p>
        </w:tc>
        <w:tc>
          <w:tcPr>
            <w:tcW w:w="1704" w:type="pct"/>
            <w:tcBorders>
              <w:top w:val="single" w:sz="4" w:space="0" w:color="auto"/>
              <w:bottom w:val="single" w:sz="4" w:space="0" w:color="auto"/>
            </w:tcBorders>
            <w:vAlign w:val="center"/>
          </w:tcPr>
          <w:p w14:paraId="6755907D"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N/A</w:t>
            </w:r>
          </w:p>
        </w:tc>
      </w:tr>
      <w:tr w:rsidR="003B0422" w:rsidRPr="00AB3E42" w14:paraId="11EB73B2" w14:textId="77777777" w:rsidTr="00C53C88">
        <w:tc>
          <w:tcPr>
            <w:tcW w:w="273" w:type="pct"/>
            <w:tcBorders>
              <w:top w:val="single" w:sz="4" w:space="0" w:color="auto"/>
              <w:bottom w:val="single" w:sz="4" w:space="0" w:color="auto"/>
            </w:tcBorders>
            <w:vAlign w:val="center"/>
          </w:tcPr>
          <w:p w14:paraId="7E499E9F"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2</w:t>
            </w:r>
          </w:p>
        </w:tc>
        <w:tc>
          <w:tcPr>
            <w:tcW w:w="878" w:type="pct"/>
            <w:tcBorders>
              <w:top w:val="single" w:sz="4" w:space="0" w:color="auto"/>
              <w:bottom w:val="single" w:sz="4" w:space="0" w:color="auto"/>
            </w:tcBorders>
            <w:vAlign w:val="center"/>
          </w:tcPr>
          <w:p w14:paraId="6957455A" w14:textId="63FA0DC6" w:rsidR="00BC034C" w:rsidRPr="00AB3E42" w:rsidRDefault="006706A6"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Household income</w:t>
            </w:r>
          </w:p>
        </w:tc>
        <w:tc>
          <w:tcPr>
            <w:tcW w:w="1403" w:type="pct"/>
            <w:tcBorders>
              <w:top w:val="single" w:sz="4" w:space="0" w:color="auto"/>
              <w:bottom w:val="single" w:sz="4" w:space="0" w:color="auto"/>
            </w:tcBorders>
            <w:vAlign w:val="center"/>
          </w:tcPr>
          <w:p w14:paraId="540C76D2" w14:textId="48CDE360"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1 = High income, 0 = Low income</w:t>
            </w:r>
          </w:p>
        </w:tc>
        <w:tc>
          <w:tcPr>
            <w:tcW w:w="742" w:type="pct"/>
            <w:tcBorders>
              <w:top w:val="single" w:sz="4" w:space="0" w:color="auto"/>
              <w:bottom w:val="single" w:sz="4" w:space="0" w:color="auto"/>
            </w:tcBorders>
            <w:vAlign w:val="center"/>
          </w:tcPr>
          <w:p w14:paraId="7D372A0E" w14:textId="3742D98B"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Binary (0/1)</w:t>
            </w:r>
          </w:p>
        </w:tc>
        <w:tc>
          <w:tcPr>
            <w:tcW w:w="1704" w:type="pct"/>
            <w:tcBorders>
              <w:top w:val="single" w:sz="4" w:space="0" w:color="auto"/>
              <w:bottom w:val="single" w:sz="4" w:space="0" w:color="auto"/>
            </w:tcBorders>
            <w:vAlign w:val="center"/>
          </w:tcPr>
          <w:p w14:paraId="48555E23" w14:textId="53ECF59E" w:rsidR="00BC034C" w:rsidRPr="00AB3E42" w:rsidRDefault="00EC77AC" w:rsidP="00EC77AC">
            <w:pPr>
              <w:jc w:val="left"/>
              <w:rPr>
                <w:rFonts w:ascii="Arial Narrow" w:eastAsia="Times New Roman" w:hAnsi="Arial Narrow" w:cstheme="majorHAnsi"/>
                <w:kern w:val="0"/>
                <w:lang w:eastAsia="en-GB"/>
                <w14:ligatures w14:val="none"/>
              </w:rPr>
            </w:pPr>
            <w:r>
              <w:rPr>
                <w:rFonts w:ascii="Arial Narrow" w:eastAsia="Times New Roman" w:hAnsi="Arial Narrow" w:cstheme="majorHAnsi"/>
                <w:kern w:val="0"/>
                <w:lang w:eastAsia="en-GB"/>
                <w14:ligatures w14:val="none"/>
              </w:rPr>
              <w:t>Households with high income</w:t>
            </w:r>
            <w:r w:rsidR="00BC034C" w:rsidRPr="00AB3E42">
              <w:rPr>
                <w:rFonts w:ascii="Arial Narrow" w:eastAsia="Times New Roman" w:hAnsi="Arial Narrow" w:cstheme="majorHAnsi"/>
                <w:kern w:val="0"/>
                <w:lang w:eastAsia="en-GB"/>
                <w14:ligatures w14:val="none"/>
              </w:rPr>
              <w:t xml:space="preserve"> may have more </w:t>
            </w:r>
            <w:r>
              <w:rPr>
                <w:rFonts w:ascii="Arial Narrow" w:eastAsia="Times New Roman" w:hAnsi="Arial Narrow" w:cstheme="majorHAnsi"/>
                <w:kern w:val="0"/>
                <w:lang w:eastAsia="en-GB"/>
                <w14:ligatures w14:val="none"/>
              </w:rPr>
              <w:t xml:space="preserve">access to adopt </w:t>
            </w:r>
            <w:r w:rsidR="00BC034C" w:rsidRPr="00AB3E42">
              <w:rPr>
                <w:rFonts w:ascii="Arial Narrow" w:eastAsia="Times New Roman" w:hAnsi="Arial Narrow" w:cstheme="majorHAnsi"/>
                <w:kern w:val="0"/>
                <w:lang w:eastAsia="en-GB"/>
                <w14:ligatures w14:val="none"/>
              </w:rPr>
              <w:t xml:space="preserve"> </w:t>
            </w:r>
            <w:r>
              <w:rPr>
                <w:rFonts w:ascii="Arial Narrow" w:eastAsia="Times New Roman" w:hAnsi="Arial Narrow" w:cstheme="majorHAnsi"/>
                <w:kern w:val="0"/>
                <w:lang w:eastAsia="en-GB"/>
                <w14:ligatures w14:val="none"/>
              </w:rPr>
              <w:t>LPG than those have low income</w:t>
            </w:r>
          </w:p>
        </w:tc>
      </w:tr>
      <w:tr w:rsidR="003B0422" w:rsidRPr="00AB3E42" w14:paraId="351C141B" w14:textId="77777777" w:rsidTr="00EF059A">
        <w:tc>
          <w:tcPr>
            <w:tcW w:w="273" w:type="pct"/>
            <w:tcBorders>
              <w:top w:val="single" w:sz="4" w:space="0" w:color="auto"/>
              <w:bottom w:val="single" w:sz="4" w:space="0" w:color="auto"/>
            </w:tcBorders>
            <w:vAlign w:val="center"/>
          </w:tcPr>
          <w:p w14:paraId="10C225A5"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3</w:t>
            </w:r>
          </w:p>
        </w:tc>
        <w:tc>
          <w:tcPr>
            <w:tcW w:w="878" w:type="pct"/>
            <w:tcBorders>
              <w:top w:val="single" w:sz="4" w:space="0" w:color="auto"/>
              <w:bottom w:val="single" w:sz="4" w:space="0" w:color="auto"/>
            </w:tcBorders>
            <w:vAlign w:val="center"/>
          </w:tcPr>
          <w:p w14:paraId="032AE457" w14:textId="2E3AF0D6" w:rsidR="00BC034C" w:rsidRPr="00AB3E42" w:rsidRDefault="006706A6"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Education level</w:t>
            </w:r>
          </w:p>
        </w:tc>
        <w:tc>
          <w:tcPr>
            <w:tcW w:w="1403" w:type="pct"/>
            <w:tcBorders>
              <w:top w:val="single" w:sz="4" w:space="0" w:color="auto"/>
              <w:bottom w:val="single" w:sz="4" w:space="0" w:color="auto"/>
            </w:tcBorders>
            <w:vAlign w:val="center"/>
          </w:tcPr>
          <w:p w14:paraId="1F869654" w14:textId="14CC25BC"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1 = Secondary or higher, 0 = Primary or none</w:t>
            </w:r>
          </w:p>
        </w:tc>
        <w:tc>
          <w:tcPr>
            <w:tcW w:w="742" w:type="pct"/>
            <w:tcBorders>
              <w:top w:val="single" w:sz="4" w:space="0" w:color="auto"/>
              <w:bottom w:val="single" w:sz="4" w:space="0" w:color="auto"/>
            </w:tcBorders>
            <w:vAlign w:val="center"/>
          </w:tcPr>
          <w:p w14:paraId="0941DB41" w14:textId="36A90D33"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Binary (0/1)</w:t>
            </w:r>
          </w:p>
        </w:tc>
        <w:tc>
          <w:tcPr>
            <w:tcW w:w="1704" w:type="pct"/>
            <w:tcBorders>
              <w:top w:val="single" w:sz="4" w:space="0" w:color="auto"/>
              <w:bottom w:val="single" w:sz="4" w:space="0" w:color="auto"/>
            </w:tcBorders>
            <w:vAlign w:val="center"/>
          </w:tcPr>
          <w:p w14:paraId="3E8502B6" w14:textId="3BF7F272" w:rsidR="00BC034C" w:rsidRPr="00AB3E42" w:rsidRDefault="00AD7236" w:rsidP="00AD7236">
            <w:pPr>
              <w:jc w:val="both"/>
              <w:rPr>
                <w:rFonts w:ascii="Arial Narrow" w:eastAsia="Times New Roman" w:hAnsi="Arial Narrow" w:cstheme="majorHAnsi"/>
                <w:kern w:val="0"/>
                <w:lang w:eastAsia="en-GB"/>
                <w14:ligatures w14:val="none"/>
              </w:rPr>
            </w:pPr>
            <w:r>
              <w:rPr>
                <w:rFonts w:ascii="Arial Narrow" w:eastAsia="Times New Roman" w:hAnsi="Arial Narrow" w:cstheme="majorHAnsi"/>
                <w:kern w:val="0"/>
                <w:lang w:eastAsia="en-GB"/>
                <w14:ligatures w14:val="none"/>
              </w:rPr>
              <w:t>Highly</w:t>
            </w:r>
            <w:r w:rsidR="00EC77AC">
              <w:rPr>
                <w:rFonts w:ascii="Arial Narrow" w:eastAsia="Times New Roman" w:hAnsi="Arial Narrow" w:cstheme="majorHAnsi"/>
                <w:kern w:val="0"/>
                <w:lang w:eastAsia="en-GB"/>
                <w14:ligatures w14:val="none"/>
              </w:rPr>
              <w:t xml:space="preserve"> educated households </w:t>
            </w:r>
            <w:r>
              <w:rPr>
                <w:rFonts w:ascii="Arial Narrow" w:eastAsia="Times New Roman" w:hAnsi="Arial Narrow" w:cstheme="majorHAnsi"/>
                <w:kern w:val="0"/>
                <w:lang w:eastAsia="en-GB"/>
                <w14:ligatures w14:val="none"/>
              </w:rPr>
              <w:t>are more likely</w:t>
            </w:r>
            <w:r w:rsidR="00EC77AC">
              <w:rPr>
                <w:rFonts w:ascii="Arial Narrow" w:eastAsia="Times New Roman" w:hAnsi="Arial Narrow" w:cstheme="majorHAnsi"/>
                <w:kern w:val="0"/>
                <w:lang w:eastAsia="en-GB"/>
                <w14:ligatures w14:val="none"/>
              </w:rPr>
              <w:t xml:space="preserve"> to adopt LPG than </w:t>
            </w:r>
            <w:r>
              <w:rPr>
                <w:rFonts w:ascii="Arial Narrow" w:eastAsia="Times New Roman" w:hAnsi="Arial Narrow" w:cstheme="majorHAnsi"/>
                <w:kern w:val="0"/>
                <w:lang w:eastAsia="en-GB"/>
                <w14:ligatures w14:val="none"/>
              </w:rPr>
              <w:t xml:space="preserve">primary </w:t>
            </w:r>
            <w:r w:rsidR="00EC77AC">
              <w:rPr>
                <w:rFonts w:ascii="Arial Narrow" w:eastAsia="Times New Roman" w:hAnsi="Arial Narrow" w:cstheme="majorHAnsi"/>
                <w:kern w:val="0"/>
                <w:lang w:eastAsia="en-GB"/>
                <w14:ligatures w14:val="none"/>
              </w:rPr>
              <w:t>educated households</w:t>
            </w:r>
          </w:p>
        </w:tc>
      </w:tr>
      <w:tr w:rsidR="003B0422" w:rsidRPr="00AB3E42" w14:paraId="4566FC8C" w14:textId="77777777" w:rsidTr="00EF059A">
        <w:tc>
          <w:tcPr>
            <w:tcW w:w="273" w:type="pct"/>
            <w:tcBorders>
              <w:top w:val="single" w:sz="4" w:space="0" w:color="auto"/>
              <w:bottom w:val="single" w:sz="4" w:space="0" w:color="auto"/>
            </w:tcBorders>
            <w:vAlign w:val="center"/>
          </w:tcPr>
          <w:p w14:paraId="113C2B26"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4</w:t>
            </w:r>
          </w:p>
        </w:tc>
        <w:tc>
          <w:tcPr>
            <w:tcW w:w="878" w:type="pct"/>
            <w:tcBorders>
              <w:top w:val="single" w:sz="4" w:space="0" w:color="auto"/>
              <w:bottom w:val="single" w:sz="4" w:space="0" w:color="auto"/>
            </w:tcBorders>
            <w:vAlign w:val="center"/>
          </w:tcPr>
          <w:p w14:paraId="4C501464" w14:textId="44009D11" w:rsidR="00BC034C" w:rsidRPr="00AB3E42" w:rsidRDefault="006706A6"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Availability of LPG suppliers</w:t>
            </w:r>
          </w:p>
        </w:tc>
        <w:tc>
          <w:tcPr>
            <w:tcW w:w="1403" w:type="pct"/>
            <w:tcBorders>
              <w:top w:val="single" w:sz="4" w:space="0" w:color="auto"/>
              <w:bottom w:val="single" w:sz="4" w:space="0" w:color="auto"/>
            </w:tcBorders>
            <w:vAlign w:val="center"/>
          </w:tcPr>
          <w:p w14:paraId="372B1406" w14:textId="5E3D156E"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1 = Available, 0 = Not available</w:t>
            </w:r>
          </w:p>
        </w:tc>
        <w:tc>
          <w:tcPr>
            <w:tcW w:w="742" w:type="pct"/>
            <w:tcBorders>
              <w:top w:val="single" w:sz="4" w:space="0" w:color="auto"/>
              <w:bottom w:val="single" w:sz="4" w:space="0" w:color="auto"/>
            </w:tcBorders>
            <w:vAlign w:val="center"/>
          </w:tcPr>
          <w:p w14:paraId="0AABFFE7"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Binary (0/1)</w:t>
            </w:r>
          </w:p>
        </w:tc>
        <w:tc>
          <w:tcPr>
            <w:tcW w:w="1704" w:type="pct"/>
            <w:tcBorders>
              <w:top w:val="single" w:sz="4" w:space="0" w:color="auto"/>
              <w:bottom w:val="single" w:sz="4" w:space="0" w:color="auto"/>
            </w:tcBorders>
            <w:vAlign w:val="center"/>
          </w:tcPr>
          <w:p w14:paraId="0384EC9B" w14:textId="624930D8" w:rsidR="00BC034C" w:rsidRPr="00AB3E42" w:rsidRDefault="007F6C5E" w:rsidP="00AD7236">
            <w:pPr>
              <w:jc w:val="left"/>
              <w:rPr>
                <w:rFonts w:ascii="Arial Narrow" w:eastAsia="Times New Roman" w:hAnsi="Arial Narrow" w:cstheme="majorHAnsi"/>
                <w:kern w:val="0"/>
                <w:lang w:eastAsia="en-GB"/>
                <w14:ligatures w14:val="none"/>
              </w:rPr>
            </w:pPr>
            <w:r>
              <w:rPr>
                <w:rFonts w:ascii="Arial Narrow" w:eastAsia="Times New Roman" w:hAnsi="Arial Narrow" w:cstheme="majorHAnsi"/>
                <w:kern w:val="0"/>
                <w:lang w:eastAsia="en-GB"/>
                <w14:ligatures w14:val="none"/>
              </w:rPr>
              <w:t>Households with A</w:t>
            </w:r>
            <w:r w:rsidR="00AD7236">
              <w:rPr>
                <w:rFonts w:ascii="Arial Narrow" w:eastAsia="Times New Roman" w:hAnsi="Arial Narrow" w:cstheme="majorHAnsi"/>
                <w:kern w:val="0"/>
                <w:lang w:eastAsia="en-GB"/>
                <w14:ligatures w14:val="none"/>
              </w:rPr>
              <w:t>vailable</w:t>
            </w:r>
            <w:r>
              <w:rPr>
                <w:rFonts w:ascii="Arial Narrow" w:eastAsia="Times New Roman" w:hAnsi="Arial Narrow" w:cstheme="majorHAnsi"/>
                <w:kern w:val="0"/>
                <w:lang w:eastAsia="en-GB"/>
                <w14:ligatures w14:val="none"/>
              </w:rPr>
              <w:t xml:space="preserve"> of LPG suppliers intend to adopt LPG </w:t>
            </w:r>
            <w:r w:rsidR="00AD7236">
              <w:rPr>
                <w:rFonts w:ascii="Arial Narrow" w:eastAsia="Times New Roman" w:hAnsi="Arial Narrow" w:cstheme="majorHAnsi"/>
                <w:kern w:val="0"/>
                <w:lang w:eastAsia="en-GB"/>
                <w14:ligatures w14:val="none"/>
              </w:rPr>
              <w:lastRenderedPageBreak/>
              <w:t>than</w:t>
            </w:r>
            <w:r>
              <w:rPr>
                <w:rFonts w:ascii="Arial Narrow" w:eastAsia="Times New Roman" w:hAnsi="Arial Narrow" w:cstheme="majorHAnsi"/>
                <w:kern w:val="0"/>
                <w:lang w:eastAsia="en-GB"/>
                <w14:ligatures w14:val="none"/>
              </w:rPr>
              <w:t xml:space="preserve"> household</w:t>
            </w:r>
            <w:r w:rsidR="00884044">
              <w:rPr>
                <w:rFonts w:ascii="Arial Narrow" w:eastAsia="Times New Roman" w:hAnsi="Arial Narrow" w:cstheme="majorHAnsi"/>
                <w:kern w:val="0"/>
                <w:lang w:eastAsia="en-GB"/>
                <w14:ligatures w14:val="none"/>
              </w:rPr>
              <w:t>s</w:t>
            </w:r>
            <w:r w:rsidR="00AD7236">
              <w:rPr>
                <w:rFonts w:ascii="Arial Narrow" w:eastAsia="Times New Roman" w:hAnsi="Arial Narrow" w:cstheme="majorHAnsi"/>
                <w:kern w:val="0"/>
                <w:lang w:eastAsia="en-GB"/>
                <w14:ligatures w14:val="none"/>
              </w:rPr>
              <w:t xml:space="preserve"> with</w:t>
            </w:r>
            <w:r>
              <w:rPr>
                <w:rFonts w:ascii="Arial Narrow" w:eastAsia="Times New Roman" w:hAnsi="Arial Narrow" w:cstheme="majorHAnsi"/>
                <w:kern w:val="0"/>
                <w:lang w:eastAsia="en-GB"/>
                <w14:ligatures w14:val="none"/>
              </w:rPr>
              <w:t xml:space="preserve"> </w:t>
            </w:r>
            <w:r w:rsidR="00AD7236">
              <w:rPr>
                <w:rFonts w:ascii="Arial Narrow" w:eastAsia="Times New Roman" w:hAnsi="Arial Narrow" w:cstheme="majorHAnsi"/>
                <w:kern w:val="0"/>
                <w:lang w:eastAsia="en-GB"/>
                <w14:ligatures w14:val="none"/>
              </w:rPr>
              <w:t>not</w:t>
            </w:r>
            <w:r w:rsidR="00884044">
              <w:rPr>
                <w:rFonts w:ascii="Arial Narrow" w:eastAsia="Times New Roman" w:hAnsi="Arial Narrow" w:cstheme="majorHAnsi"/>
                <w:kern w:val="0"/>
                <w:lang w:eastAsia="en-GB"/>
                <w14:ligatures w14:val="none"/>
              </w:rPr>
              <w:t xml:space="preserve"> </w:t>
            </w:r>
            <w:r w:rsidR="00AD7236">
              <w:rPr>
                <w:rFonts w:ascii="Arial Narrow" w:eastAsia="Times New Roman" w:hAnsi="Arial Narrow" w:cstheme="majorHAnsi"/>
                <w:kern w:val="0"/>
                <w:lang w:eastAsia="en-GB"/>
                <w14:ligatures w14:val="none"/>
              </w:rPr>
              <w:t>availability</w:t>
            </w:r>
            <w:r>
              <w:rPr>
                <w:rFonts w:ascii="Arial Narrow" w:eastAsia="Times New Roman" w:hAnsi="Arial Narrow" w:cstheme="majorHAnsi"/>
                <w:kern w:val="0"/>
                <w:lang w:eastAsia="en-GB"/>
                <w14:ligatures w14:val="none"/>
              </w:rPr>
              <w:t xml:space="preserve"> of LPG suppliers.</w:t>
            </w:r>
          </w:p>
        </w:tc>
      </w:tr>
      <w:tr w:rsidR="003B0422" w:rsidRPr="00AB3E42" w14:paraId="0EF1908E" w14:textId="77777777" w:rsidTr="00EF059A">
        <w:tc>
          <w:tcPr>
            <w:tcW w:w="273" w:type="pct"/>
            <w:tcBorders>
              <w:top w:val="single" w:sz="4" w:space="0" w:color="auto"/>
              <w:bottom w:val="single" w:sz="4" w:space="0" w:color="auto"/>
            </w:tcBorders>
            <w:vAlign w:val="center"/>
          </w:tcPr>
          <w:p w14:paraId="1AF3547D" w14:textId="77777777"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lastRenderedPageBreak/>
              <w:t>5</w:t>
            </w:r>
          </w:p>
        </w:tc>
        <w:tc>
          <w:tcPr>
            <w:tcW w:w="878" w:type="pct"/>
            <w:tcBorders>
              <w:top w:val="single" w:sz="4" w:space="0" w:color="auto"/>
              <w:bottom w:val="single" w:sz="4" w:space="0" w:color="auto"/>
            </w:tcBorders>
            <w:vAlign w:val="center"/>
          </w:tcPr>
          <w:p w14:paraId="03FCF9C9" w14:textId="21462CF3" w:rsidR="00BC034C" w:rsidRPr="00AB3E42" w:rsidRDefault="006706A6"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Proximity to LPG station</w:t>
            </w:r>
          </w:p>
        </w:tc>
        <w:tc>
          <w:tcPr>
            <w:tcW w:w="1403" w:type="pct"/>
            <w:tcBorders>
              <w:top w:val="single" w:sz="4" w:space="0" w:color="auto"/>
              <w:bottom w:val="single" w:sz="4" w:space="0" w:color="auto"/>
            </w:tcBorders>
            <w:vAlign w:val="center"/>
          </w:tcPr>
          <w:p w14:paraId="1B07343E" w14:textId="042645C9"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imes New Roman"/>
                <w:kern w:val="0"/>
                <w:lang w:val="en-US"/>
                <w14:ligatures w14:val="none"/>
              </w:rPr>
              <w:t>1 = Near, 0 = Far</w:t>
            </w:r>
          </w:p>
        </w:tc>
        <w:tc>
          <w:tcPr>
            <w:tcW w:w="742" w:type="pct"/>
            <w:tcBorders>
              <w:top w:val="single" w:sz="4" w:space="0" w:color="auto"/>
              <w:bottom w:val="single" w:sz="4" w:space="0" w:color="auto"/>
            </w:tcBorders>
            <w:vAlign w:val="center"/>
          </w:tcPr>
          <w:p w14:paraId="7E6BE60B" w14:textId="241E1D2E"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Binary (0/1)</w:t>
            </w:r>
          </w:p>
        </w:tc>
        <w:tc>
          <w:tcPr>
            <w:tcW w:w="1704" w:type="pct"/>
            <w:tcBorders>
              <w:top w:val="single" w:sz="4" w:space="0" w:color="auto"/>
              <w:bottom w:val="single" w:sz="4" w:space="0" w:color="auto"/>
            </w:tcBorders>
            <w:vAlign w:val="center"/>
          </w:tcPr>
          <w:p w14:paraId="0C6524B1" w14:textId="5EFD6059" w:rsidR="00BC034C" w:rsidRPr="00AB3E42" w:rsidRDefault="00AD7236" w:rsidP="00AD7236">
            <w:pPr>
              <w:jc w:val="both"/>
              <w:rPr>
                <w:rFonts w:ascii="Arial Narrow" w:eastAsia="Times New Roman" w:hAnsi="Arial Narrow" w:cstheme="majorHAnsi"/>
                <w:kern w:val="0"/>
                <w:lang w:eastAsia="en-GB"/>
                <w14:ligatures w14:val="none"/>
              </w:rPr>
            </w:pPr>
            <w:r>
              <w:rPr>
                <w:rFonts w:ascii="Arial Narrow" w:eastAsia="Times New Roman" w:hAnsi="Arial Narrow" w:cstheme="majorHAnsi"/>
                <w:kern w:val="0"/>
                <w:lang w:eastAsia="en-GB"/>
                <w14:ligatures w14:val="none"/>
              </w:rPr>
              <w:t>Households living near to LPG station are expected to adopt LPG than those living far from LPG station</w:t>
            </w:r>
            <w:r w:rsidR="00152082">
              <w:rPr>
                <w:rFonts w:ascii="Arial Narrow" w:eastAsia="Times New Roman" w:hAnsi="Arial Narrow" w:cstheme="majorHAnsi"/>
                <w:kern w:val="0"/>
                <w:lang w:eastAsia="en-GB"/>
                <w14:ligatures w14:val="none"/>
              </w:rPr>
              <w:t>.</w:t>
            </w:r>
          </w:p>
        </w:tc>
      </w:tr>
      <w:tr w:rsidR="003B0422" w:rsidRPr="00AB3E42" w14:paraId="584643F0" w14:textId="77777777" w:rsidTr="00EF059A">
        <w:tc>
          <w:tcPr>
            <w:tcW w:w="273" w:type="pct"/>
            <w:tcBorders>
              <w:top w:val="single" w:sz="4" w:space="0" w:color="auto"/>
              <w:bottom w:val="single" w:sz="4" w:space="0" w:color="auto"/>
            </w:tcBorders>
            <w:vAlign w:val="center"/>
          </w:tcPr>
          <w:p w14:paraId="3E356100" w14:textId="0B6A64D5"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6</w:t>
            </w:r>
          </w:p>
        </w:tc>
        <w:tc>
          <w:tcPr>
            <w:tcW w:w="878" w:type="pct"/>
            <w:tcBorders>
              <w:top w:val="single" w:sz="4" w:space="0" w:color="auto"/>
              <w:bottom w:val="single" w:sz="4" w:space="0" w:color="auto"/>
            </w:tcBorders>
            <w:vAlign w:val="center"/>
          </w:tcPr>
          <w:p w14:paraId="20D70455" w14:textId="200444C9" w:rsidR="00BC034C" w:rsidRPr="00AB3E42" w:rsidRDefault="006706A6"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Attitudes to LPG usage</w:t>
            </w:r>
          </w:p>
        </w:tc>
        <w:tc>
          <w:tcPr>
            <w:tcW w:w="1403" w:type="pct"/>
            <w:tcBorders>
              <w:top w:val="single" w:sz="4" w:space="0" w:color="auto"/>
              <w:bottom w:val="single" w:sz="4" w:space="0" w:color="auto"/>
            </w:tcBorders>
            <w:vAlign w:val="center"/>
          </w:tcPr>
          <w:p w14:paraId="73CE07B8" w14:textId="7CC4128D"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1 = Positive, 0 = Negative</w:t>
            </w:r>
          </w:p>
        </w:tc>
        <w:tc>
          <w:tcPr>
            <w:tcW w:w="742" w:type="pct"/>
            <w:tcBorders>
              <w:top w:val="single" w:sz="4" w:space="0" w:color="auto"/>
              <w:bottom w:val="single" w:sz="4" w:space="0" w:color="auto"/>
            </w:tcBorders>
            <w:vAlign w:val="center"/>
          </w:tcPr>
          <w:p w14:paraId="420B0BB0" w14:textId="6C1A86F7"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Binary (0/1)</w:t>
            </w:r>
          </w:p>
        </w:tc>
        <w:tc>
          <w:tcPr>
            <w:tcW w:w="1704" w:type="pct"/>
            <w:tcBorders>
              <w:top w:val="single" w:sz="4" w:space="0" w:color="auto"/>
              <w:bottom w:val="single" w:sz="4" w:space="0" w:color="auto"/>
            </w:tcBorders>
            <w:vAlign w:val="center"/>
          </w:tcPr>
          <w:p w14:paraId="3CCC43DE" w14:textId="7312492D" w:rsidR="00BC034C" w:rsidRPr="00AB3E42" w:rsidRDefault="00AD7236" w:rsidP="00A220FA">
            <w:pPr>
              <w:jc w:val="both"/>
              <w:rPr>
                <w:rFonts w:ascii="Arial Narrow" w:eastAsia="Times New Roman" w:hAnsi="Arial Narrow" w:cstheme="majorHAnsi"/>
                <w:kern w:val="0"/>
                <w:lang w:eastAsia="en-GB"/>
                <w14:ligatures w14:val="none"/>
              </w:rPr>
            </w:pPr>
            <w:r>
              <w:rPr>
                <w:rFonts w:ascii="Arial Narrow" w:eastAsia="Times New Roman" w:hAnsi="Arial Narrow" w:cstheme="majorHAnsi"/>
                <w:kern w:val="0"/>
                <w:lang w:eastAsia="en-GB"/>
                <w14:ligatures w14:val="none"/>
              </w:rPr>
              <w:t>Positive attitude to LPG usage of households may access to adopt LPG than those have negative attitude to LPG usage.</w:t>
            </w:r>
          </w:p>
        </w:tc>
      </w:tr>
      <w:tr w:rsidR="003B0422" w:rsidRPr="00AB3E42" w14:paraId="752E3D3B" w14:textId="77777777" w:rsidTr="00EF059A">
        <w:tc>
          <w:tcPr>
            <w:tcW w:w="273" w:type="pct"/>
            <w:tcBorders>
              <w:top w:val="single" w:sz="4" w:space="0" w:color="auto"/>
              <w:bottom w:val="single" w:sz="4" w:space="0" w:color="auto"/>
            </w:tcBorders>
            <w:vAlign w:val="center"/>
          </w:tcPr>
          <w:p w14:paraId="610B1D86" w14:textId="387E49DE" w:rsidR="00BC034C" w:rsidRPr="00AB3E42" w:rsidRDefault="00BC034C"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7</w:t>
            </w:r>
          </w:p>
        </w:tc>
        <w:tc>
          <w:tcPr>
            <w:tcW w:w="878" w:type="pct"/>
            <w:tcBorders>
              <w:top w:val="single" w:sz="4" w:space="0" w:color="auto"/>
              <w:bottom w:val="single" w:sz="4" w:space="0" w:color="auto"/>
            </w:tcBorders>
            <w:vAlign w:val="center"/>
          </w:tcPr>
          <w:p w14:paraId="02789340" w14:textId="5485D0F4" w:rsidR="00BC034C" w:rsidRPr="00AB3E42" w:rsidRDefault="006706A6" w:rsidP="00A220FA">
            <w:pPr>
              <w:jc w:val="left"/>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Awareness of LPG benefits</w:t>
            </w:r>
          </w:p>
        </w:tc>
        <w:tc>
          <w:tcPr>
            <w:tcW w:w="1403" w:type="pct"/>
            <w:tcBorders>
              <w:top w:val="single" w:sz="4" w:space="0" w:color="auto"/>
              <w:bottom w:val="single" w:sz="4" w:space="0" w:color="auto"/>
            </w:tcBorders>
            <w:vAlign w:val="center"/>
          </w:tcPr>
          <w:p w14:paraId="66B5A223" w14:textId="04D2105A"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1 = Aware, 0 = Unaware</w:t>
            </w:r>
          </w:p>
        </w:tc>
        <w:tc>
          <w:tcPr>
            <w:tcW w:w="742" w:type="pct"/>
            <w:tcBorders>
              <w:top w:val="single" w:sz="4" w:space="0" w:color="auto"/>
              <w:bottom w:val="single" w:sz="4" w:space="0" w:color="auto"/>
            </w:tcBorders>
            <w:vAlign w:val="center"/>
          </w:tcPr>
          <w:p w14:paraId="611A1925" w14:textId="2414CA9A" w:rsidR="00BC034C" w:rsidRPr="00AB3E42" w:rsidRDefault="000E7B6E" w:rsidP="00A220FA">
            <w:pPr>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Binary (0/1)</w:t>
            </w:r>
          </w:p>
        </w:tc>
        <w:tc>
          <w:tcPr>
            <w:tcW w:w="1704" w:type="pct"/>
            <w:tcBorders>
              <w:top w:val="single" w:sz="4" w:space="0" w:color="auto"/>
              <w:bottom w:val="single" w:sz="4" w:space="0" w:color="auto"/>
            </w:tcBorders>
            <w:vAlign w:val="center"/>
          </w:tcPr>
          <w:p w14:paraId="414377A8" w14:textId="01B8857C" w:rsidR="00BC034C" w:rsidRPr="00AB3E42" w:rsidRDefault="00152082" w:rsidP="00A220FA">
            <w:pPr>
              <w:jc w:val="both"/>
              <w:rPr>
                <w:rFonts w:ascii="Arial Narrow" w:eastAsia="Times New Roman" w:hAnsi="Arial Narrow" w:cstheme="majorHAnsi"/>
                <w:kern w:val="0"/>
                <w:lang w:eastAsia="en-GB"/>
                <w14:ligatures w14:val="none"/>
              </w:rPr>
            </w:pPr>
            <w:r>
              <w:rPr>
                <w:rFonts w:ascii="Arial Narrow" w:eastAsia="Times New Roman" w:hAnsi="Arial Narrow" w:cstheme="majorHAnsi"/>
                <w:kern w:val="0"/>
                <w:lang w:eastAsia="en-GB"/>
                <w14:ligatures w14:val="none"/>
              </w:rPr>
              <w:t>Households who aware of LPG benefit intend to adopt LPG than those who are unaware to benefits of LPG</w:t>
            </w:r>
          </w:p>
        </w:tc>
      </w:tr>
    </w:tbl>
    <w:p w14:paraId="4F366AD0" w14:textId="36F883B1" w:rsidR="006F099F" w:rsidRPr="00AB3E42" w:rsidRDefault="006F099F" w:rsidP="006F099F">
      <w:pPr>
        <w:spacing w:before="100" w:beforeAutospacing="1" w:after="100" w:afterAutospacing="1"/>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Source: Study Construction, 202</w:t>
      </w:r>
      <w:r w:rsidR="006706A6" w:rsidRPr="00AB3E42">
        <w:rPr>
          <w:rFonts w:ascii="Arial Narrow" w:eastAsia="Times New Roman" w:hAnsi="Arial Narrow" w:cstheme="majorHAnsi"/>
          <w:kern w:val="0"/>
          <w:lang w:eastAsia="en-GB"/>
          <w14:ligatures w14:val="none"/>
        </w:rPr>
        <w:t>5</w:t>
      </w:r>
    </w:p>
    <w:p w14:paraId="29CA1385" w14:textId="503F14CB" w:rsidR="00131CEF" w:rsidRPr="00AB3E42" w:rsidRDefault="00C20B8A" w:rsidP="000A0F37">
      <w:pPr>
        <w:spacing w:line="240" w:lineRule="auto"/>
        <w:jc w:val="left"/>
        <w:outlineLvl w:val="3"/>
        <w:rPr>
          <w:rFonts w:ascii="Arial Narrow" w:eastAsia="Times New Roman" w:hAnsi="Arial Narrow" w:cstheme="majorHAnsi"/>
          <w:b/>
          <w:bCs/>
          <w:kern w:val="0"/>
          <w:lang w:eastAsia="en-GB"/>
          <w14:ligatures w14:val="none"/>
        </w:rPr>
      </w:pPr>
      <w:r w:rsidRPr="00AB3E42">
        <w:rPr>
          <w:rFonts w:ascii="Arial Narrow" w:eastAsia="Times New Roman" w:hAnsi="Arial Narrow" w:cstheme="majorHAnsi"/>
          <w:b/>
          <w:bCs/>
          <w:kern w:val="0"/>
          <w:lang w:eastAsia="en-GB"/>
          <w14:ligatures w14:val="none"/>
        </w:rPr>
        <w:t xml:space="preserve">Data analysis and findings </w:t>
      </w:r>
    </w:p>
    <w:p w14:paraId="6175C96D" w14:textId="540B909B" w:rsidR="0006399A" w:rsidRPr="00AB3E42" w:rsidRDefault="0054267B" w:rsidP="005B50F1">
      <w:pPr>
        <w:jc w:val="both"/>
        <w:rPr>
          <w:rFonts w:ascii="Arial Narrow" w:hAnsi="Arial Narrow" w:cstheme="majorHAnsi"/>
          <w:lang w:eastAsia="en-GB"/>
        </w:rPr>
      </w:pPr>
      <w:r w:rsidRPr="00AB3E42">
        <w:rPr>
          <w:rFonts w:ascii="Arial Narrow" w:hAnsi="Arial Narrow" w:cstheme="majorHAnsi"/>
          <w:lang w:eastAsia="en-GB"/>
        </w:rPr>
        <w:t xml:space="preserve">Descriptive statistics </w:t>
      </w:r>
      <w:r w:rsidR="005B50F1" w:rsidRPr="00AB3E42">
        <w:rPr>
          <w:rFonts w:ascii="Arial Narrow" w:hAnsi="Arial Narrow" w:cstheme="majorHAnsi"/>
          <w:lang w:eastAsia="en-GB"/>
        </w:rPr>
        <w:t>were</w:t>
      </w:r>
      <w:r w:rsidRPr="00AB3E42">
        <w:rPr>
          <w:rFonts w:ascii="Arial Narrow" w:hAnsi="Arial Narrow" w:cstheme="majorHAnsi"/>
          <w:lang w:eastAsia="en-GB"/>
        </w:rPr>
        <w:t xml:space="preserve"> calculated to pr</w:t>
      </w:r>
      <w:r w:rsidR="00D471F6" w:rsidRPr="00AB3E42">
        <w:rPr>
          <w:rFonts w:ascii="Arial Narrow" w:hAnsi="Arial Narrow" w:cstheme="majorHAnsi"/>
          <w:lang w:eastAsia="en-GB"/>
        </w:rPr>
        <w:t>ovid</w:t>
      </w:r>
      <w:r w:rsidRPr="00AB3E42">
        <w:rPr>
          <w:rFonts w:ascii="Arial Narrow" w:hAnsi="Arial Narrow" w:cstheme="majorHAnsi"/>
          <w:lang w:eastAsia="en-GB"/>
        </w:rPr>
        <w:t>e a clear demographic overview, including percent</w:t>
      </w:r>
      <w:r w:rsidR="00D471F6" w:rsidRPr="00AB3E42">
        <w:rPr>
          <w:rFonts w:ascii="Arial Narrow" w:hAnsi="Arial Narrow" w:cstheme="majorHAnsi"/>
          <w:lang w:eastAsia="en-GB"/>
        </w:rPr>
        <w:t>age</w:t>
      </w:r>
      <w:r w:rsidRPr="00AB3E42">
        <w:rPr>
          <w:rFonts w:ascii="Arial Narrow" w:hAnsi="Arial Narrow" w:cstheme="majorHAnsi"/>
          <w:lang w:eastAsia="en-GB"/>
        </w:rPr>
        <w:t xml:space="preserve"> and frequency distributions. These statistics </w:t>
      </w:r>
      <w:r w:rsidR="00D471F6" w:rsidRPr="00AB3E42">
        <w:rPr>
          <w:rFonts w:ascii="Arial Narrow" w:hAnsi="Arial Narrow" w:cstheme="majorHAnsi"/>
          <w:lang w:eastAsia="en-GB"/>
        </w:rPr>
        <w:t>lay</w:t>
      </w:r>
      <w:r w:rsidRPr="00AB3E42">
        <w:rPr>
          <w:rFonts w:ascii="Arial Narrow" w:hAnsi="Arial Narrow" w:cstheme="majorHAnsi"/>
          <w:lang w:eastAsia="en-GB"/>
        </w:rPr>
        <w:t xml:space="preserve"> </w:t>
      </w:r>
      <w:r w:rsidR="00D471F6" w:rsidRPr="00AB3E42">
        <w:rPr>
          <w:rFonts w:ascii="Arial Narrow" w:hAnsi="Arial Narrow" w:cstheme="majorHAnsi"/>
          <w:lang w:eastAsia="en-GB"/>
        </w:rPr>
        <w:t>the</w:t>
      </w:r>
      <w:r w:rsidRPr="00AB3E42">
        <w:rPr>
          <w:rFonts w:ascii="Arial Narrow" w:hAnsi="Arial Narrow" w:cstheme="majorHAnsi"/>
          <w:lang w:eastAsia="en-GB"/>
        </w:rPr>
        <w:t xml:space="preserve"> </w:t>
      </w:r>
      <w:r w:rsidR="00D471F6" w:rsidRPr="00AB3E42">
        <w:rPr>
          <w:rFonts w:ascii="Arial Narrow" w:hAnsi="Arial Narrow" w:cstheme="majorHAnsi"/>
          <w:lang w:eastAsia="en-GB"/>
        </w:rPr>
        <w:t>gr</w:t>
      </w:r>
      <w:r w:rsidRPr="00AB3E42">
        <w:rPr>
          <w:rFonts w:ascii="Arial Narrow" w:hAnsi="Arial Narrow" w:cstheme="majorHAnsi"/>
          <w:lang w:eastAsia="en-GB"/>
        </w:rPr>
        <w:t>ound</w:t>
      </w:r>
      <w:r w:rsidR="00D471F6" w:rsidRPr="00AB3E42">
        <w:rPr>
          <w:rFonts w:ascii="Arial Narrow" w:hAnsi="Arial Narrow" w:cstheme="majorHAnsi"/>
          <w:lang w:eastAsia="en-GB"/>
        </w:rPr>
        <w:t>w</w:t>
      </w:r>
      <w:r w:rsidRPr="00AB3E42">
        <w:rPr>
          <w:rFonts w:ascii="Arial Narrow" w:hAnsi="Arial Narrow" w:cstheme="majorHAnsi"/>
          <w:lang w:eastAsia="en-GB"/>
        </w:rPr>
        <w:t>o</w:t>
      </w:r>
      <w:r w:rsidR="00D471F6" w:rsidRPr="00AB3E42">
        <w:rPr>
          <w:rFonts w:ascii="Arial Narrow" w:hAnsi="Arial Narrow" w:cstheme="majorHAnsi"/>
          <w:lang w:eastAsia="en-GB"/>
        </w:rPr>
        <w:t>rk</w:t>
      </w:r>
      <w:r w:rsidRPr="00AB3E42">
        <w:rPr>
          <w:rFonts w:ascii="Arial Narrow" w:hAnsi="Arial Narrow" w:cstheme="majorHAnsi"/>
          <w:lang w:eastAsia="en-GB"/>
        </w:rPr>
        <w:t xml:space="preserve"> for understanding the characteristics of the</w:t>
      </w:r>
      <w:r w:rsidR="002866F3" w:rsidRPr="00AB3E42">
        <w:rPr>
          <w:rFonts w:ascii="Arial Narrow" w:hAnsi="Arial Narrow" w:cstheme="majorHAnsi"/>
          <w:lang w:eastAsia="en-GB"/>
        </w:rPr>
        <w:t xml:space="preserve"> Individual Household in</w:t>
      </w:r>
      <w:r w:rsidRPr="00AB3E42">
        <w:rPr>
          <w:rFonts w:ascii="Arial Narrow" w:hAnsi="Arial Narrow" w:cstheme="majorHAnsi"/>
          <w:lang w:eastAsia="en-GB"/>
        </w:rPr>
        <w:t xml:space="preserve"> the study a</w:t>
      </w:r>
      <w:r w:rsidR="00D471F6" w:rsidRPr="00AB3E42">
        <w:rPr>
          <w:rFonts w:ascii="Arial Narrow" w:hAnsi="Arial Narrow" w:cstheme="majorHAnsi"/>
          <w:lang w:eastAsia="en-GB"/>
        </w:rPr>
        <w:t>nd</w:t>
      </w:r>
      <w:r w:rsidRPr="00AB3E42">
        <w:rPr>
          <w:rFonts w:ascii="Arial Narrow" w:hAnsi="Arial Narrow" w:cstheme="majorHAnsi"/>
          <w:lang w:eastAsia="en-GB"/>
        </w:rPr>
        <w:t xml:space="preserve"> explain how these demographic factors may influence their </w:t>
      </w:r>
      <w:r w:rsidR="002866F3" w:rsidRPr="00AB3E42">
        <w:rPr>
          <w:rFonts w:ascii="Arial Narrow" w:hAnsi="Arial Narrow" w:cstheme="majorHAnsi"/>
          <w:lang w:eastAsia="en-GB"/>
        </w:rPr>
        <w:t>Adoption of LPG</w:t>
      </w:r>
      <w:r w:rsidRPr="00AB3E42">
        <w:rPr>
          <w:rFonts w:ascii="Arial Narrow" w:hAnsi="Arial Narrow" w:cstheme="majorHAnsi"/>
          <w:lang w:eastAsia="en-GB"/>
        </w:rPr>
        <w:t xml:space="preserve">. </w:t>
      </w:r>
      <w:r w:rsidR="005A3ABA" w:rsidRPr="00AB3E42">
        <w:rPr>
          <w:rFonts w:ascii="Arial Narrow" w:hAnsi="Arial Narrow" w:cstheme="majorHAnsi"/>
          <w:lang w:eastAsia="en-GB"/>
        </w:rPr>
        <w:t xml:space="preserve">The results are presented in Table </w:t>
      </w:r>
      <w:r w:rsidR="0006399A" w:rsidRPr="00AB3E42">
        <w:rPr>
          <w:rFonts w:ascii="Arial Narrow" w:hAnsi="Arial Narrow" w:cstheme="majorHAnsi"/>
          <w:lang w:eastAsia="en-GB"/>
        </w:rPr>
        <w:t>3</w:t>
      </w:r>
      <w:r w:rsidR="005A3ABA" w:rsidRPr="00AB3E42">
        <w:rPr>
          <w:rFonts w:ascii="Arial Narrow" w:hAnsi="Arial Narrow" w:cstheme="majorHAnsi"/>
          <w:lang w:eastAsia="en-GB"/>
        </w:rPr>
        <w:t>: -</w:t>
      </w:r>
    </w:p>
    <w:p w14:paraId="462106A1" w14:textId="77777777" w:rsidR="000E7B6E" w:rsidRPr="00AB3E42" w:rsidRDefault="000E7B6E" w:rsidP="000E7B6E">
      <w:pPr>
        <w:jc w:val="both"/>
        <w:rPr>
          <w:rFonts w:ascii="Arial Narrow" w:hAnsi="Arial Narrow" w:cstheme="majorHAnsi"/>
          <w:b/>
          <w:bCs/>
          <w:lang w:val="en-US" w:eastAsia="en-GB"/>
        </w:rPr>
      </w:pPr>
      <w:r w:rsidRPr="00AB3E42">
        <w:rPr>
          <w:rFonts w:ascii="Arial Narrow" w:hAnsi="Arial Narrow" w:cstheme="majorHAnsi"/>
          <w:b/>
          <w:bCs/>
          <w:lang w:val="en-US" w:eastAsia="en-GB"/>
        </w:rPr>
        <w:t xml:space="preserve">Table </w:t>
      </w:r>
      <w:r w:rsidRPr="00AB3E42">
        <w:rPr>
          <w:rFonts w:ascii="Arial Narrow" w:hAnsi="Arial Narrow" w:cstheme="majorHAnsi"/>
          <w:b/>
          <w:bCs/>
          <w:lang w:val="en-US" w:eastAsia="en-GB"/>
        </w:rPr>
        <w:fldChar w:fldCharType="begin"/>
      </w:r>
      <w:r w:rsidRPr="00AB3E42">
        <w:rPr>
          <w:rFonts w:ascii="Arial Narrow" w:hAnsi="Arial Narrow" w:cstheme="majorHAnsi"/>
          <w:b/>
          <w:bCs/>
          <w:lang w:val="en-US" w:eastAsia="en-GB"/>
        </w:rPr>
        <w:instrText xml:space="preserve"> SEQ Table \* ARABIC </w:instrText>
      </w:r>
      <w:r w:rsidRPr="00AB3E42">
        <w:rPr>
          <w:rFonts w:ascii="Arial Narrow" w:hAnsi="Arial Narrow" w:cstheme="majorHAnsi"/>
          <w:b/>
          <w:bCs/>
          <w:lang w:val="en-US" w:eastAsia="en-GB"/>
        </w:rPr>
        <w:fldChar w:fldCharType="separate"/>
      </w:r>
      <w:r w:rsidRPr="00AB3E42">
        <w:rPr>
          <w:rFonts w:ascii="Arial Narrow" w:hAnsi="Arial Narrow" w:cstheme="majorHAnsi"/>
          <w:b/>
          <w:bCs/>
          <w:lang w:val="en-US" w:eastAsia="en-GB"/>
        </w:rPr>
        <w:t>3</w:t>
      </w:r>
      <w:r w:rsidRPr="00AB3E42">
        <w:rPr>
          <w:rFonts w:ascii="Arial Narrow" w:hAnsi="Arial Narrow" w:cstheme="majorHAnsi"/>
          <w:b/>
          <w:bCs/>
          <w:lang w:eastAsia="en-GB"/>
        </w:rPr>
        <w:fldChar w:fldCharType="end"/>
      </w:r>
      <w:r w:rsidRPr="00AB3E42">
        <w:rPr>
          <w:rFonts w:ascii="Arial Narrow" w:hAnsi="Arial Narrow" w:cstheme="majorHAnsi"/>
          <w:b/>
          <w:bCs/>
          <w:lang w:val="en-US" w:eastAsia="en-GB"/>
        </w:rPr>
        <w:t xml:space="preserve">: Demographic characteristics of respondents in </w:t>
      </w:r>
      <w:bookmarkStart w:id="4" w:name="_Hlk211078295"/>
      <w:r w:rsidRPr="00AB3E42">
        <w:rPr>
          <w:rFonts w:ascii="Arial Narrow" w:hAnsi="Arial Narrow" w:cstheme="majorHAnsi"/>
          <w:b/>
          <w:bCs/>
          <w:lang w:val="en-US" w:eastAsia="en-GB"/>
        </w:rPr>
        <w:t>Kalangalala Ward</w:t>
      </w:r>
      <w:bookmarkEnd w:id="4"/>
    </w:p>
    <w:tbl>
      <w:tblPr>
        <w:tblW w:w="8302" w:type="dxa"/>
        <w:tblBorders>
          <w:bottom w:val="single" w:sz="4" w:space="0" w:color="auto"/>
        </w:tblBorders>
        <w:tblLook w:val="04A0" w:firstRow="1" w:lastRow="0" w:firstColumn="1" w:lastColumn="0" w:noHBand="0" w:noVBand="1"/>
      </w:tblPr>
      <w:tblGrid>
        <w:gridCol w:w="408"/>
        <w:gridCol w:w="3940"/>
        <w:gridCol w:w="2229"/>
        <w:gridCol w:w="1725"/>
      </w:tblGrid>
      <w:tr w:rsidR="000E7B6E" w:rsidRPr="00AB3E42" w14:paraId="2F5EB2C6" w14:textId="77777777" w:rsidTr="0028568F">
        <w:trPr>
          <w:trHeight w:val="239"/>
        </w:trPr>
        <w:tc>
          <w:tcPr>
            <w:tcW w:w="0" w:type="auto"/>
            <w:gridSpan w:val="2"/>
            <w:tcBorders>
              <w:top w:val="single" w:sz="4" w:space="0" w:color="auto"/>
              <w:bottom w:val="single" w:sz="4" w:space="0" w:color="auto"/>
            </w:tcBorders>
            <w:vAlign w:val="bottom"/>
            <w:hideMark/>
          </w:tcPr>
          <w:p w14:paraId="7C082D6B"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 xml:space="preserve">    Variable</w:t>
            </w:r>
          </w:p>
        </w:tc>
        <w:tc>
          <w:tcPr>
            <w:tcW w:w="0" w:type="auto"/>
            <w:tcBorders>
              <w:top w:val="single" w:sz="4" w:space="0" w:color="auto"/>
              <w:bottom w:val="single" w:sz="4" w:space="0" w:color="auto"/>
            </w:tcBorders>
            <w:vAlign w:val="bottom"/>
            <w:hideMark/>
          </w:tcPr>
          <w:p w14:paraId="60C36764"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 xml:space="preserve">Frequency </w:t>
            </w:r>
          </w:p>
        </w:tc>
        <w:tc>
          <w:tcPr>
            <w:tcW w:w="0" w:type="auto"/>
            <w:tcBorders>
              <w:top w:val="single" w:sz="4" w:space="0" w:color="auto"/>
              <w:bottom w:val="single" w:sz="4" w:space="0" w:color="auto"/>
            </w:tcBorders>
            <w:vAlign w:val="bottom"/>
            <w:hideMark/>
          </w:tcPr>
          <w:p w14:paraId="43625B8B"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Percent</w:t>
            </w:r>
          </w:p>
        </w:tc>
      </w:tr>
      <w:tr w:rsidR="000E7B6E" w:rsidRPr="00AB3E42" w14:paraId="7A1BD603" w14:textId="77777777" w:rsidTr="0028568F">
        <w:trPr>
          <w:trHeight w:val="239"/>
        </w:trPr>
        <w:tc>
          <w:tcPr>
            <w:tcW w:w="0" w:type="auto"/>
            <w:vMerge w:val="restart"/>
            <w:tcBorders>
              <w:top w:val="single" w:sz="4" w:space="0" w:color="auto"/>
            </w:tcBorders>
            <w:hideMark/>
          </w:tcPr>
          <w:p w14:paraId="5EFD1026"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top w:val="single" w:sz="4" w:space="0" w:color="auto"/>
            </w:tcBorders>
            <w:hideMark/>
          </w:tcPr>
          <w:p w14:paraId="2D6160D1"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 xml:space="preserve">Gender                                                                                                            </w:t>
            </w:r>
          </w:p>
          <w:p w14:paraId="0BCBF1B1"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Female</w:t>
            </w:r>
          </w:p>
        </w:tc>
        <w:tc>
          <w:tcPr>
            <w:tcW w:w="0" w:type="auto"/>
            <w:tcBorders>
              <w:top w:val="single" w:sz="4" w:space="0" w:color="auto"/>
            </w:tcBorders>
            <w:noWrap/>
            <w:hideMark/>
          </w:tcPr>
          <w:p w14:paraId="2A03DCE2" w14:textId="77777777" w:rsidR="000E7B6E" w:rsidRPr="00AB3E42" w:rsidRDefault="000E7B6E" w:rsidP="000E7B6E">
            <w:pPr>
              <w:spacing w:before="0" w:after="0" w:line="276" w:lineRule="auto"/>
              <w:jc w:val="both"/>
              <w:rPr>
                <w:rFonts w:ascii="Arial Narrow" w:hAnsi="Arial Narrow" w:cstheme="majorHAnsi"/>
                <w:bCs/>
                <w:lang w:val="en-US" w:eastAsia="en-GB"/>
              </w:rPr>
            </w:pPr>
          </w:p>
          <w:p w14:paraId="713D8BD0"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59</w:t>
            </w:r>
          </w:p>
        </w:tc>
        <w:tc>
          <w:tcPr>
            <w:tcW w:w="0" w:type="auto"/>
            <w:tcBorders>
              <w:top w:val="single" w:sz="4" w:space="0" w:color="auto"/>
            </w:tcBorders>
            <w:noWrap/>
            <w:hideMark/>
          </w:tcPr>
          <w:p w14:paraId="61298FDD" w14:textId="77777777" w:rsidR="000E7B6E" w:rsidRPr="00AB3E42" w:rsidRDefault="000E7B6E" w:rsidP="000E7B6E">
            <w:pPr>
              <w:spacing w:before="0" w:after="0" w:line="276" w:lineRule="auto"/>
              <w:jc w:val="both"/>
              <w:rPr>
                <w:rFonts w:ascii="Arial Narrow" w:hAnsi="Arial Narrow" w:cstheme="majorHAnsi"/>
                <w:bCs/>
                <w:lang w:val="en-US" w:eastAsia="en-GB"/>
              </w:rPr>
            </w:pPr>
          </w:p>
          <w:p w14:paraId="1281014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67.8</w:t>
            </w:r>
          </w:p>
        </w:tc>
      </w:tr>
      <w:tr w:rsidR="000E7B6E" w:rsidRPr="00AB3E42" w14:paraId="345E7C4B" w14:textId="77777777" w:rsidTr="0028568F">
        <w:trPr>
          <w:trHeight w:val="239"/>
        </w:trPr>
        <w:tc>
          <w:tcPr>
            <w:tcW w:w="0" w:type="auto"/>
            <w:vMerge/>
            <w:vAlign w:val="center"/>
            <w:hideMark/>
          </w:tcPr>
          <w:p w14:paraId="18EE38A3"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nil"/>
            </w:tcBorders>
            <w:hideMark/>
          </w:tcPr>
          <w:p w14:paraId="05FF8F53"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Male</w:t>
            </w:r>
          </w:p>
        </w:tc>
        <w:tc>
          <w:tcPr>
            <w:tcW w:w="0" w:type="auto"/>
            <w:tcBorders>
              <w:bottom w:val="nil"/>
            </w:tcBorders>
            <w:noWrap/>
            <w:hideMark/>
          </w:tcPr>
          <w:p w14:paraId="382A08EB"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28</w:t>
            </w:r>
          </w:p>
        </w:tc>
        <w:tc>
          <w:tcPr>
            <w:tcW w:w="0" w:type="auto"/>
            <w:tcBorders>
              <w:bottom w:val="nil"/>
            </w:tcBorders>
            <w:noWrap/>
            <w:hideMark/>
          </w:tcPr>
          <w:p w14:paraId="3FA4E7D4"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32.2</w:t>
            </w:r>
          </w:p>
        </w:tc>
      </w:tr>
      <w:tr w:rsidR="000E7B6E" w:rsidRPr="00AB3E42" w14:paraId="63AB1AAF" w14:textId="77777777" w:rsidTr="0028568F">
        <w:trPr>
          <w:trHeight w:val="50"/>
        </w:trPr>
        <w:tc>
          <w:tcPr>
            <w:tcW w:w="0" w:type="auto"/>
            <w:vMerge/>
            <w:vAlign w:val="center"/>
            <w:hideMark/>
          </w:tcPr>
          <w:p w14:paraId="27D31FA4"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single" w:sz="4" w:space="0" w:color="auto"/>
            </w:tcBorders>
            <w:hideMark/>
          </w:tcPr>
          <w:p w14:paraId="69719A9C"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Total</w:t>
            </w:r>
          </w:p>
        </w:tc>
        <w:tc>
          <w:tcPr>
            <w:tcW w:w="0" w:type="auto"/>
            <w:tcBorders>
              <w:bottom w:val="single" w:sz="4" w:space="0" w:color="auto"/>
            </w:tcBorders>
            <w:noWrap/>
            <w:hideMark/>
          </w:tcPr>
          <w:p w14:paraId="4645502D"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87</w:t>
            </w:r>
          </w:p>
        </w:tc>
        <w:tc>
          <w:tcPr>
            <w:tcW w:w="0" w:type="auto"/>
            <w:tcBorders>
              <w:bottom w:val="single" w:sz="4" w:space="0" w:color="auto"/>
            </w:tcBorders>
            <w:noWrap/>
            <w:hideMark/>
          </w:tcPr>
          <w:p w14:paraId="6C21B1B3"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100.0</w:t>
            </w:r>
          </w:p>
        </w:tc>
      </w:tr>
      <w:tr w:rsidR="000E7B6E" w:rsidRPr="00AB3E42" w14:paraId="40A9AE29" w14:textId="77777777" w:rsidTr="0028568F">
        <w:trPr>
          <w:trHeight w:val="239"/>
        </w:trPr>
        <w:tc>
          <w:tcPr>
            <w:tcW w:w="0" w:type="auto"/>
            <w:gridSpan w:val="4"/>
            <w:vAlign w:val="center"/>
            <w:hideMark/>
          </w:tcPr>
          <w:p w14:paraId="362B92C0"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 xml:space="preserve">    Age</w:t>
            </w:r>
          </w:p>
        </w:tc>
      </w:tr>
      <w:tr w:rsidR="000E7B6E" w:rsidRPr="00AB3E42" w14:paraId="2EF8CB18" w14:textId="77777777" w:rsidTr="0028568F">
        <w:trPr>
          <w:trHeight w:val="383"/>
        </w:trPr>
        <w:tc>
          <w:tcPr>
            <w:tcW w:w="0" w:type="auto"/>
            <w:vMerge w:val="restart"/>
            <w:hideMark/>
          </w:tcPr>
          <w:p w14:paraId="488B2FA3"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1EAF6AC4"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18-25 years</w:t>
            </w:r>
          </w:p>
        </w:tc>
        <w:tc>
          <w:tcPr>
            <w:tcW w:w="0" w:type="auto"/>
            <w:noWrap/>
            <w:hideMark/>
          </w:tcPr>
          <w:p w14:paraId="4A9F9FEB"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10</w:t>
            </w:r>
          </w:p>
        </w:tc>
        <w:tc>
          <w:tcPr>
            <w:tcW w:w="0" w:type="auto"/>
            <w:noWrap/>
            <w:hideMark/>
          </w:tcPr>
          <w:p w14:paraId="68C6D57B"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11.5</w:t>
            </w:r>
          </w:p>
        </w:tc>
      </w:tr>
      <w:tr w:rsidR="000E7B6E" w:rsidRPr="00AB3E42" w14:paraId="68186425" w14:textId="77777777" w:rsidTr="0028568F">
        <w:trPr>
          <w:trHeight w:val="383"/>
        </w:trPr>
        <w:tc>
          <w:tcPr>
            <w:tcW w:w="0" w:type="auto"/>
            <w:vMerge/>
            <w:vAlign w:val="center"/>
            <w:hideMark/>
          </w:tcPr>
          <w:p w14:paraId="1994116B"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606CE41A"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25 - 50 years</w:t>
            </w:r>
          </w:p>
        </w:tc>
        <w:tc>
          <w:tcPr>
            <w:tcW w:w="0" w:type="auto"/>
            <w:noWrap/>
            <w:hideMark/>
          </w:tcPr>
          <w:p w14:paraId="4C77960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76</w:t>
            </w:r>
          </w:p>
        </w:tc>
        <w:tc>
          <w:tcPr>
            <w:tcW w:w="0" w:type="auto"/>
            <w:noWrap/>
            <w:hideMark/>
          </w:tcPr>
          <w:p w14:paraId="22C48469"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87.4</w:t>
            </w:r>
          </w:p>
        </w:tc>
      </w:tr>
      <w:tr w:rsidR="000E7B6E" w:rsidRPr="00AB3E42" w14:paraId="34F6C78D" w14:textId="77777777" w:rsidTr="0028568F">
        <w:trPr>
          <w:trHeight w:val="383"/>
        </w:trPr>
        <w:tc>
          <w:tcPr>
            <w:tcW w:w="0" w:type="auto"/>
            <w:vMerge/>
            <w:vAlign w:val="center"/>
            <w:hideMark/>
          </w:tcPr>
          <w:p w14:paraId="0AC6BB88"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nil"/>
            </w:tcBorders>
            <w:hideMark/>
          </w:tcPr>
          <w:p w14:paraId="05150CF4"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above 50 years</w:t>
            </w:r>
          </w:p>
        </w:tc>
        <w:tc>
          <w:tcPr>
            <w:tcW w:w="0" w:type="auto"/>
            <w:tcBorders>
              <w:bottom w:val="nil"/>
            </w:tcBorders>
            <w:noWrap/>
            <w:hideMark/>
          </w:tcPr>
          <w:p w14:paraId="139E9721"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w:t>
            </w:r>
          </w:p>
        </w:tc>
        <w:tc>
          <w:tcPr>
            <w:tcW w:w="0" w:type="auto"/>
            <w:tcBorders>
              <w:bottom w:val="nil"/>
            </w:tcBorders>
            <w:noWrap/>
            <w:hideMark/>
          </w:tcPr>
          <w:p w14:paraId="46188017"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1.1</w:t>
            </w:r>
          </w:p>
        </w:tc>
      </w:tr>
      <w:tr w:rsidR="000E7B6E" w:rsidRPr="00AB3E42" w14:paraId="0549ECFD" w14:textId="77777777" w:rsidTr="0028568F">
        <w:trPr>
          <w:trHeight w:val="239"/>
        </w:trPr>
        <w:tc>
          <w:tcPr>
            <w:tcW w:w="0" w:type="auto"/>
            <w:vMerge/>
            <w:vAlign w:val="center"/>
            <w:hideMark/>
          </w:tcPr>
          <w:p w14:paraId="7A5233DA"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single" w:sz="4" w:space="0" w:color="auto"/>
            </w:tcBorders>
            <w:hideMark/>
          </w:tcPr>
          <w:p w14:paraId="3E9C24E9"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Total</w:t>
            </w:r>
          </w:p>
        </w:tc>
        <w:tc>
          <w:tcPr>
            <w:tcW w:w="0" w:type="auto"/>
            <w:tcBorders>
              <w:bottom w:val="single" w:sz="4" w:space="0" w:color="auto"/>
            </w:tcBorders>
            <w:noWrap/>
            <w:hideMark/>
          </w:tcPr>
          <w:p w14:paraId="0740DC15"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87</w:t>
            </w:r>
          </w:p>
        </w:tc>
        <w:tc>
          <w:tcPr>
            <w:tcW w:w="0" w:type="auto"/>
            <w:tcBorders>
              <w:bottom w:val="single" w:sz="4" w:space="0" w:color="auto"/>
            </w:tcBorders>
            <w:noWrap/>
            <w:hideMark/>
          </w:tcPr>
          <w:p w14:paraId="5E47D882"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100.0</w:t>
            </w:r>
          </w:p>
        </w:tc>
      </w:tr>
      <w:tr w:rsidR="000E7B6E" w:rsidRPr="00AB3E42" w14:paraId="4F0751A5" w14:textId="77777777" w:rsidTr="0028568F">
        <w:trPr>
          <w:trHeight w:val="239"/>
        </w:trPr>
        <w:tc>
          <w:tcPr>
            <w:tcW w:w="0" w:type="auto"/>
            <w:gridSpan w:val="4"/>
            <w:vAlign w:val="center"/>
            <w:hideMark/>
          </w:tcPr>
          <w:p w14:paraId="00155FC2"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 xml:space="preserve">    Education level</w:t>
            </w:r>
          </w:p>
        </w:tc>
      </w:tr>
      <w:tr w:rsidR="000E7B6E" w:rsidRPr="00AB3E42" w14:paraId="1122C4B1" w14:textId="77777777" w:rsidTr="0028568F">
        <w:trPr>
          <w:trHeight w:val="239"/>
        </w:trPr>
        <w:tc>
          <w:tcPr>
            <w:tcW w:w="0" w:type="auto"/>
            <w:vMerge w:val="restart"/>
            <w:hideMark/>
          </w:tcPr>
          <w:p w14:paraId="66D3FB4F"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6D5D0167"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Primary</w:t>
            </w:r>
          </w:p>
        </w:tc>
        <w:tc>
          <w:tcPr>
            <w:tcW w:w="0" w:type="auto"/>
            <w:noWrap/>
            <w:hideMark/>
          </w:tcPr>
          <w:p w14:paraId="240BC85A"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17</w:t>
            </w:r>
          </w:p>
        </w:tc>
        <w:tc>
          <w:tcPr>
            <w:tcW w:w="0" w:type="auto"/>
            <w:noWrap/>
            <w:hideMark/>
          </w:tcPr>
          <w:p w14:paraId="7311E8F4"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19.5</w:t>
            </w:r>
          </w:p>
        </w:tc>
      </w:tr>
      <w:tr w:rsidR="000E7B6E" w:rsidRPr="00AB3E42" w14:paraId="630789A9" w14:textId="77777777" w:rsidTr="0028568F">
        <w:trPr>
          <w:trHeight w:val="239"/>
        </w:trPr>
        <w:tc>
          <w:tcPr>
            <w:tcW w:w="0" w:type="auto"/>
            <w:vMerge/>
            <w:vAlign w:val="center"/>
            <w:hideMark/>
          </w:tcPr>
          <w:p w14:paraId="7DE06B13"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2578C19F"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Secondary</w:t>
            </w:r>
          </w:p>
        </w:tc>
        <w:tc>
          <w:tcPr>
            <w:tcW w:w="0" w:type="auto"/>
            <w:noWrap/>
            <w:hideMark/>
          </w:tcPr>
          <w:p w14:paraId="24A8C535"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43</w:t>
            </w:r>
          </w:p>
        </w:tc>
        <w:tc>
          <w:tcPr>
            <w:tcW w:w="0" w:type="auto"/>
            <w:noWrap/>
            <w:hideMark/>
          </w:tcPr>
          <w:p w14:paraId="79A250ED"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49.4</w:t>
            </w:r>
          </w:p>
        </w:tc>
      </w:tr>
      <w:tr w:rsidR="000E7B6E" w:rsidRPr="00AB3E42" w14:paraId="538686F1" w14:textId="77777777" w:rsidTr="0028568F">
        <w:trPr>
          <w:trHeight w:val="383"/>
        </w:trPr>
        <w:tc>
          <w:tcPr>
            <w:tcW w:w="0" w:type="auto"/>
            <w:vMerge/>
            <w:vAlign w:val="center"/>
            <w:hideMark/>
          </w:tcPr>
          <w:p w14:paraId="3338F216"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nil"/>
            </w:tcBorders>
            <w:hideMark/>
          </w:tcPr>
          <w:p w14:paraId="2AABF9BB"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college/university</w:t>
            </w:r>
          </w:p>
        </w:tc>
        <w:tc>
          <w:tcPr>
            <w:tcW w:w="0" w:type="auto"/>
            <w:tcBorders>
              <w:bottom w:val="nil"/>
            </w:tcBorders>
            <w:noWrap/>
            <w:hideMark/>
          </w:tcPr>
          <w:p w14:paraId="22983634"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27</w:t>
            </w:r>
          </w:p>
        </w:tc>
        <w:tc>
          <w:tcPr>
            <w:tcW w:w="0" w:type="auto"/>
            <w:tcBorders>
              <w:bottom w:val="nil"/>
            </w:tcBorders>
            <w:noWrap/>
            <w:hideMark/>
          </w:tcPr>
          <w:p w14:paraId="4464365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31.0</w:t>
            </w:r>
          </w:p>
        </w:tc>
      </w:tr>
      <w:tr w:rsidR="000E7B6E" w:rsidRPr="00AB3E42" w14:paraId="18E30CEA" w14:textId="77777777" w:rsidTr="0028568F">
        <w:trPr>
          <w:trHeight w:val="239"/>
        </w:trPr>
        <w:tc>
          <w:tcPr>
            <w:tcW w:w="0" w:type="auto"/>
            <w:vMerge/>
            <w:vAlign w:val="center"/>
            <w:hideMark/>
          </w:tcPr>
          <w:p w14:paraId="6AF3C0BD"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single" w:sz="4" w:space="0" w:color="auto"/>
            </w:tcBorders>
            <w:hideMark/>
          </w:tcPr>
          <w:p w14:paraId="2435EFCC"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Total</w:t>
            </w:r>
          </w:p>
        </w:tc>
        <w:tc>
          <w:tcPr>
            <w:tcW w:w="0" w:type="auto"/>
            <w:tcBorders>
              <w:bottom w:val="single" w:sz="4" w:space="0" w:color="auto"/>
            </w:tcBorders>
            <w:noWrap/>
            <w:hideMark/>
          </w:tcPr>
          <w:p w14:paraId="443D368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87</w:t>
            </w:r>
          </w:p>
        </w:tc>
        <w:tc>
          <w:tcPr>
            <w:tcW w:w="0" w:type="auto"/>
            <w:tcBorders>
              <w:bottom w:val="single" w:sz="4" w:space="0" w:color="auto"/>
            </w:tcBorders>
            <w:noWrap/>
            <w:hideMark/>
          </w:tcPr>
          <w:p w14:paraId="7B62D06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100.0</w:t>
            </w:r>
          </w:p>
        </w:tc>
      </w:tr>
      <w:tr w:rsidR="000E7B6E" w:rsidRPr="00AB3E42" w14:paraId="342D1EA1" w14:textId="77777777" w:rsidTr="0028568F">
        <w:trPr>
          <w:trHeight w:val="239"/>
        </w:trPr>
        <w:tc>
          <w:tcPr>
            <w:tcW w:w="0" w:type="auto"/>
            <w:gridSpan w:val="4"/>
            <w:vAlign w:val="center"/>
            <w:hideMark/>
          </w:tcPr>
          <w:p w14:paraId="597337B6"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 xml:space="preserve">    Household size/number of customer</w:t>
            </w:r>
          </w:p>
        </w:tc>
      </w:tr>
      <w:tr w:rsidR="000E7B6E" w:rsidRPr="00AB3E42" w14:paraId="2E02A43D" w14:textId="77777777" w:rsidTr="0028568F">
        <w:trPr>
          <w:trHeight w:val="383"/>
        </w:trPr>
        <w:tc>
          <w:tcPr>
            <w:tcW w:w="0" w:type="auto"/>
            <w:vMerge w:val="restart"/>
            <w:hideMark/>
          </w:tcPr>
          <w:p w14:paraId="41FCD457"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1B6ADCE2"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1 - 3 members</w:t>
            </w:r>
          </w:p>
        </w:tc>
        <w:tc>
          <w:tcPr>
            <w:tcW w:w="0" w:type="auto"/>
            <w:noWrap/>
            <w:hideMark/>
          </w:tcPr>
          <w:p w14:paraId="6DA88452"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34</w:t>
            </w:r>
          </w:p>
        </w:tc>
        <w:tc>
          <w:tcPr>
            <w:tcW w:w="0" w:type="auto"/>
            <w:noWrap/>
            <w:hideMark/>
          </w:tcPr>
          <w:p w14:paraId="74E91CCC"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39.1</w:t>
            </w:r>
          </w:p>
        </w:tc>
      </w:tr>
      <w:tr w:rsidR="000E7B6E" w:rsidRPr="00AB3E42" w14:paraId="3FA6C8FF" w14:textId="77777777" w:rsidTr="0028568F">
        <w:trPr>
          <w:trHeight w:val="383"/>
        </w:trPr>
        <w:tc>
          <w:tcPr>
            <w:tcW w:w="0" w:type="auto"/>
            <w:vMerge/>
            <w:vAlign w:val="center"/>
            <w:hideMark/>
          </w:tcPr>
          <w:p w14:paraId="366381D1"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2277F79C"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4 - 6 members</w:t>
            </w:r>
          </w:p>
        </w:tc>
        <w:tc>
          <w:tcPr>
            <w:tcW w:w="0" w:type="auto"/>
            <w:noWrap/>
            <w:hideMark/>
          </w:tcPr>
          <w:p w14:paraId="6F62D67D"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25</w:t>
            </w:r>
          </w:p>
        </w:tc>
        <w:tc>
          <w:tcPr>
            <w:tcW w:w="0" w:type="auto"/>
            <w:noWrap/>
            <w:hideMark/>
          </w:tcPr>
          <w:p w14:paraId="3DCB69C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28.7</w:t>
            </w:r>
          </w:p>
        </w:tc>
      </w:tr>
      <w:tr w:rsidR="000E7B6E" w:rsidRPr="00AB3E42" w14:paraId="4E3E81E1" w14:textId="77777777" w:rsidTr="0028568F">
        <w:trPr>
          <w:trHeight w:val="383"/>
        </w:trPr>
        <w:tc>
          <w:tcPr>
            <w:tcW w:w="0" w:type="auto"/>
            <w:vMerge/>
            <w:vAlign w:val="center"/>
            <w:hideMark/>
          </w:tcPr>
          <w:p w14:paraId="7C79AB36"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62AA28E2"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6- 8 members</w:t>
            </w:r>
          </w:p>
        </w:tc>
        <w:tc>
          <w:tcPr>
            <w:tcW w:w="0" w:type="auto"/>
            <w:noWrap/>
            <w:hideMark/>
          </w:tcPr>
          <w:p w14:paraId="34EF4017"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4</w:t>
            </w:r>
          </w:p>
        </w:tc>
        <w:tc>
          <w:tcPr>
            <w:tcW w:w="0" w:type="auto"/>
            <w:noWrap/>
            <w:hideMark/>
          </w:tcPr>
          <w:p w14:paraId="597A91F6"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4.6</w:t>
            </w:r>
          </w:p>
        </w:tc>
      </w:tr>
      <w:tr w:rsidR="000E7B6E" w:rsidRPr="00AB3E42" w14:paraId="2DEB2506" w14:textId="77777777" w:rsidTr="0028568F">
        <w:trPr>
          <w:trHeight w:val="383"/>
        </w:trPr>
        <w:tc>
          <w:tcPr>
            <w:tcW w:w="0" w:type="auto"/>
            <w:vMerge/>
            <w:vAlign w:val="center"/>
            <w:hideMark/>
          </w:tcPr>
          <w:p w14:paraId="4F0963B6"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nil"/>
            </w:tcBorders>
            <w:hideMark/>
          </w:tcPr>
          <w:p w14:paraId="36432831"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above 20 members</w:t>
            </w:r>
          </w:p>
        </w:tc>
        <w:tc>
          <w:tcPr>
            <w:tcW w:w="0" w:type="auto"/>
            <w:tcBorders>
              <w:bottom w:val="nil"/>
            </w:tcBorders>
            <w:noWrap/>
            <w:hideMark/>
          </w:tcPr>
          <w:p w14:paraId="4969A8E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24</w:t>
            </w:r>
          </w:p>
        </w:tc>
        <w:tc>
          <w:tcPr>
            <w:tcW w:w="0" w:type="auto"/>
            <w:tcBorders>
              <w:bottom w:val="nil"/>
            </w:tcBorders>
            <w:noWrap/>
            <w:hideMark/>
          </w:tcPr>
          <w:p w14:paraId="75829716"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27.6</w:t>
            </w:r>
          </w:p>
        </w:tc>
      </w:tr>
      <w:tr w:rsidR="000E7B6E" w:rsidRPr="00AB3E42" w14:paraId="408010BF" w14:textId="77777777" w:rsidTr="0028568F">
        <w:trPr>
          <w:trHeight w:val="239"/>
        </w:trPr>
        <w:tc>
          <w:tcPr>
            <w:tcW w:w="0" w:type="auto"/>
            <w:vMerge/>
            <w:vAlign w:val="center"/>
            <w:hideMark/>
          </w:tcPr>
          <w:p w14:paraId="30F81EBD"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single" w:sz="4" w:space="0" w:color="auto"/>
            </w:tcBorders>
            <w:hideMark/>
          </w:tcPr>
          <w:p w14:paraId="39BFFE0B"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Total</w:t>
            </w:r>
          </w:p>
        </w:tc>
        <w:tc>
          <w:tcPr>
            <w:tcW w:w="0" w:type="auto"/>
            <w:tcBorders>
              <w:bottom w:val="single" w:sz="4" w:space="0" w:color="auto"/>
            </w:tcBorders>
            <w:noWrap/>
            <w:hideMark/>
          </w:tcPr>
          <w:p w14:paraId="1581CD7B"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87</w:t>
            </w:r>
          </w:p>
        </w:tc>
        <w:tc>
          <w:tcPr>
            <w:tcW w:w="0" w:type="auto"/>
            <w:tcBorders>
              <w:bottom w:val="single" w:sz="4" w:space="0" w:color="auto"/>
            </w:tcBorders>
            <w:noWrap/>
            <w:hideMark/>
          </w:tcPr>
          <w:p w14:paraId="2FB4A739"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100.0</w:t>
            </w:r>
          </w:p>
        </w:tc>
      </w:tr>
      <w:tr w:rsidR="000E7B6E" w:rsidRPr="00AB3E42" w14:paraId="3FB5BC0C" w14:textId="77777777" w:rsidTr="0028568F">
        <w:trPr>
          <w:trHeight w:val="239"/>
        </w:trPr>
        <w:tc>
          <w:tcPr>
            <w:tcW w:w="0" w:type="auto"/>
            <w:gridSpan w:val="4"/>
            <w:vAlign w:val="center"/>
            <w:hideMark/>
          </w:tcPr>
          <w:p w14:paraId="0C0F3D77"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Cs/>
                <w:lang w:val="en-US" w:eastAsia="en-GB"/>
              </w:rPr>
              <w:t xml:space="preserve">    </w:t>
            </w:r>
            <w:r w:rsidRPr="00AB3E42">
              <w:rPr>
                <w:rFonts w:ascii="Arial Narrow" w:hAnsi="Arial Narrow" w:cstheme="majorHAnsi"/>
                <w:b/>
                <w:bCs/>
                <w:lang w:val="en-US" w:eastAsia="en-GB"/>
              </w:rPr>
              <w:t>Occupation</w:t>
            </w:r>
          </w:p>
        </w:tc>
      </w:tr>
      <w:tr w:rsidR="000E7B6E" w:rsidRPr="00AB3E42" w14:paraId="0C3876AA" w14:textId="77777777" w:rsidTr="0028568F">
        <w:trPr>
          <w:trHeight w:val="239"/>
        </w:trPr>
        <w:tc>
          <w:tcPr>
            <w:tcW w:w="0" w:type="auto"/>
            <w:vMerge w:val="restart"/>
            <w:hideMark/>
          </w:tcPr>
          <w:p w14:paraId="39FBEC94"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10AFC9E7"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Business</w:t>
            </w:r>
          </w:p>
        </w:tc>
        <w:tc>
          <w:tcPr>
            <w:tcW w:w="0" w:type="auto"/>
            <w:noWrap/>
            <w:hideMark/>
          </w:tcPr>
          <w:p w14:paraId="42E1581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60</w:t>
            </w:r>
          </w:p>
        </w:tc>
        <w:tc>
          <w:tcPr>
            <w:tcW w:w="0" w:type="auto"/>
            <w:noWrap/>
            <w:hideMark/>
          </w:tcPr>
          <w:p w14:paraId="59FE4F63"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69.0</w:t>
            </w:r>
          </w:p>
        </w:tc>
      </w:tr>
      <w:tr w:rsidR="000E7B6E" w:rsidRPr="00AB3E42" w14:paraId="5A8DAB93" w14:textId="77777777" w:rsidTr="0028568F">
        <w:trPr>
          <w:trHeight w:val="239"/>
        </w:trPr>
        <w:tc>
          <w:tcPr>
            <w:tcW w:w="0" w:type="auto"/>
            <w:vMerge/>
            <w:vAlign w:val="center"/>
            <w:hideMark/>
          </w:tcPr>
          <w:p w14:paraId="6D2D083C"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73A1D3A4"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Farming</w:t>
            </w:r>
          </w:p>
        </w:tc>
        <w:tc>
          <w:tcPr>
            <w:tcW w:w="0" w:type="auto"/>
            <w:noWrap/>
            <w:hideMark/>
          </w:tcPr>
          <w:p w14:paraId="22411F82"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8</w:t>
            </w:r>
          </w:p>
        </w:tc>
        <w:tc>
          <w:tcPr>
            <w:tcW w:w="0" w:type="auto"/>
            <w:noWrap/>
            <w:hideMark/>
          </w:tcPr>
          <w:p w14:paraId="37628B7A"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9.2</w:t>
            </w:r>
          </w:p>
        </w:tc>
      </w:tr>
      <w:tr w:rsidR="000E7B6E" w:rsidRPr="00AB3E42" w14:paraId="773897F4" w14:textId="77777777" w:rsidTr="0028568F">
        <w:trPr>
          <w:trHeight w:val="383"/>
        </w:trPr>
        <w:tc>
          <w:tcPr>
            <w:tcW w:w="0" w:type="auto"/>
            <w:vMerge/>
            <w:vAlign w:val="center"/>
            <w:hideMark/>
          </w:tcPr>
          <w:p w14:paraId="07FC0198"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nil"/>
            </w:tcBorders>
            <w:hideMark/>
          </w:tcPr>
          <w:p w14:paraId="69D5D9DD"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employment formal</w:t>
            </w:r>
          </w:p>
        </w:tc>
        <w:tc>
          <w:tcPr>
            <w:tcW w:w="0" w:type="auto"/>
            <w:tcBorders>
              <w:bottom w:val="nil"/>
            </w:tcBorders>
            <w:noWrap/>
            <w:hideMark/>
          </w:tcPr>
          <w:p w14:paraId="4C13F596"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19</w:t>
            </w:r>
          </w:p>
        </w:tc>
        <w:tc>
          <w:tcPr>
            <w:tcW w:w="0" w:type="auto"/>
            <w:tcBorders>
              <w:bottom w:val="nil"/>
            </w:tcBorders>
            <w:noWrap/>
            <w:hideMark/>
          </w:tcPr>
          <w:p w14:paraId="34C15076"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21.8</w:t>
            </w:r>
          </w:p>
        </w:tc>
      </w:tr>
      <w:tr w:rsidR="000E7B6E" w:rsidRPr="00AB3E42" w14:paraId="38EDA382" w14:textId="77777777" w:rsidTr="0028568F">
        <w:trPr>
          <w:trHeight w:val="239"/>
        </w:trPr>
        <w:tc>
          <w:tcPr>
            <w:tcW w:w="0" w:type="auto"/>
            <w:vMerge/>
            <w:vAlign w:val="center"/>
            <w:hideMark/>
          </w:tcPr>
          <w:p w14:paraId="512A6AB8"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tcBorders>
              <w:bottom w:val="single" w:sz="4" w:space="0" w:color="auto"/>
            </w:tcBorders>
            <w:hideMark/>
          </w:tcPr>
          <w:p w14:paraId="634CF114"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Total</w:t>
            </w:r>
          </w:p>
        </w:tc>
        <w:tc>
          <w:tcPr>
            <w:tcW w:w="0" w:type="auto"/>
            <w:tcBorders>
              <w:bottom w:val="single" w:sz="4" w:space="0" w:color="auto"/>
            </w:tcBorders>
            <w:noWrap/>
            <w:hideMark/>
          </w:tcPr>
          <w:p w14:paraId="19C97D1C"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87</w:t>
            </w:r>
          </w:p>
        </w:tc>
        <w:tc>
          <w:tcPr>
            <w:tcW w:w="0" w:type="auto"/>
            <w:tcBorders>
              <w:bottom w:val="single" w:sz="4" w:space="0" w:color="auto"/>
            </w:tcBorders>
            <w:noWrap/>
            <w:hideMark/>
          </w:tcPr>
          <w:p w14:paraId="61D163C7"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100.0</w:t>
            </w:r>
          </w:p>
        </w:tc>
      </w:tr>
      <w:tr w:rsidR="000E7B6E" w:rsidRPr="00AB3E42" w14:paraId="0197CE07" w14:textId="77777777" w:rsidTr="0028568F">
        <w:trPr>
          <w:trHeight w:val="239"/>
        </w:trPr>
        <w:tc>
          <w:tcPr>
            <w:tcW w:w="0" w:type="auto"/>
            <w:gridSpan w:val="4"/>
            <w:vAlign w:val="center"/>
            <w:hideMark/>
          </w:tcPr>
          <w:p w14:paraId="0FA68061"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 xml:space="preserve">    Monthly income</w:t>
            </w:r>
          </w:p>
        </w:tc>
      </w:tr>
      <w:tr w:rsidR="000E7B6E" w:rsidRPr="00AB3E42" w14:paraId="3D29B716" w14:textId="77777777" w:rsidTr="0028568F">
        <w:trPr>
          <w:trHeight w:val="383"/>
        </w:trPr>
        <w:tc>
          <w:tcPr>
            <w:tcW w:w="0" w:type="auto"/>
            <w:vMerge w:val="restart"/>
            <w:hideMark/>
          </w:tcPr>
          <w:p w14:paraId="37C78C47"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7D5D604C"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below 500,000</w:t>
            </w:r>
          </w:p>
        </w:tc>
        <w:tc>
          <w:tcPr>
            <w:tcW w:w="0" w:type="auto"/>
            <w:noWrap/>
            <w:hideMark/>
          </w:tcPr>
          <w:p w14:paraId="02444D7B"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47</w:t>
            </w:r>
          </w:p>
        </w:tc>
        <w:tc>
          <w:tcPr>
            <w:tcW w:w="0" w:type="auto"/>
            <w:noWrap/>
            <w:hideMark/>
          </w:tcPr>
          <w:p w14:paraId="115D238E"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54.0</w:t>
            </w:r>
          </w:p>
        </w:tc>
      </w:tr>
      <w:tr w:rsidR="000E7B6E" w:rsidRPr="00AB3E42" w14:paraId="183F56D5" w14:textId="77777777" w:rsidTr="0028568F">
        <w:trPr>
          <w:trHeight w:val="383"/>
        </w:trPr>
        <w:tc>
          <w:tcPr>
            <w:tcW w:w="0" w:type="auto"/>
            <w:vMerge/>
            <w:vAlign w:val="center"/>
            <w:hideMark/>
          </w:tcPr>
          <w:p w14:paraId="04618FD4"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2DD75A69"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5000,000 - 1,000,000</w:t>
            </w:r>
          </w:p>
        </w:tc>
        <w:tc>
          <w:tcPr>
            <w:tcW w:w="0" w:type="auto"/>
            <w:noWrap/>
            <w:hideMark/>
          </w:tcPr>
          <w:p w14:paraId="39B42FEF"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22</w:t>
            </w:r>
          </w:p>
        </w:tc>
        <w:tc>
          <w:tcPr>
            <w:tcW w:w="0" w:type="auto"/>
            <w:noWrap/>
            <w:hideMark/>
          </w:tcPr>
          <w:p w14:paraId="509FA9BB"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25.3</w:t>
            </w:r>
          </w:p>
        </w:tc>
      </w:tr>
      <w:tr w:rsidR="000E7B6E" w:rsidRPr="00AB3E42" w14:paraId="734904C2" w14:textId="77777777" w:rsidTr="0028568F">
        <w:trPr>
          <w:trHeight w:val="576"/>
        </w:trPr>
        <w:tc>
          <w:tcPr>
            <w:tcW w:w="0" w:type="auto"/>
            <w:vMerge/>
            <w:vAlign w:val="center"/>
            <w:hideMark/>
          </w:tcPr>
          <w:p w14:paraId="50F2F26F"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134B69FD"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1,000,000 - 2,000,000</w:t>
            </w:r>
          </w:p>
        </w:tc>
        <w:tc>
          <w:tcPr>
            <w:tcW w:w="0" w:type="auto"/>
            <w:noWrap/>
            <w:hideMark/>
          </w:tcPr>
          <w:p w14:paraId="4F2DC455"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17</w:t>
            </w:r>
          </w:p>
        </w:tc>
        <w:tc>
          <w:tcPr>
            <w:tcW w:w="0" w:type="auto"/>
            <w:noWrap/>
            <w:hideMark/>
          </w:tcPr>
          <w:p w14:paraId="29D1DE47"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19.5</w:t>
            </w:r>
          </w:p>
        </w:tc>
      </w:tr>
      <w:tr w:rsidR="000E7B6E" w:rsidRPr="00AB3E42" w14:paraId="2A5DDCEF" w14:textId="77777777" w:rsidTr="0028568F">
        <w:trPr>
          <w:trHeight w:val="383"/>
        </w:trPr>
        <w:tc>
          <w:tcPr>
            <w:tcW w:w="0" w:type="auto"/>
            <w:vMerge/>
            <w:vAlign w:val="center"/>
            <w:hideMark/>
          </w:tcPr>
          <w:p w14:paraId="534884CE"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201BB645"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above 2,000,000</w:t>
            </w:r>
          </w:p>
        </w:tc>
        <w:tc>
          <w:tcPr>
            <w:tcW w:w="0" w:type="auto"/>
            <w:noWrap/>
            <w:hideMark/>
          </w:tcPr>
          <w:p w14:paraId="622C29F7"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w:t>
            </w:r>
          </w:p>
        </w:tc>
        <w:tc>
          <w:tcPr>
            <w:tcW w:w="0" w:type="auto"/>
            <w:noWrap/>
            <w:hideMark/>
          </w:tcPr>
          <w:p w14:paraId="5352CBB6" w14:textId="77777777" w:rsidR="000E7B6E" w:rsidRPr="00AB3E42" w:rsidRDefault="000E7B6E" w:rsidP="000E7B6E">
            <w:pPr>
              <w:spacing w:before="0" w:after="0" w:line="276" w:lineRule="auto"/>
              <w:jc w:val="both"/>
              <w:rPr>
                <w:rFonts w:ascii="Arial Narrow" w:hAnsi="Arial Narrow" w:cstheme="majorHAnsi"/>
                <w:bCs/>
                <w:lang w:val="en-US" w:eastAsia="en-GB"/>
              </w:rPr>
            </w:pPr>
            <w:r w:rsidRPr="00AB3E42">
              <w:rPr>
                <w:rFonts w:ascii="Arial Narrow" w:hAnsi="Arial Narrow" w:cstheme="majorHAnsi"/>
                <w:bCs/>
                <w:lang w:val="en-US" w:eastAsia="en-GB"/>
              </w:rPr>
              <w:t>1.1</w:t>
            </w:r>
          </w:p>
        </w:tc>
      </w:tr>
      <w:tr w:rsidR="000E7B6E" w:rsidRPr="00AB3E42" w14:paraId="7F490F20" w14:textId="77777777" w:rsidTr="0028568F">
        <w:trPr>
          <w:trHeight w:val="239"/>
        </w:trPr>
        <w:tc>
          <w:tcPr>
            <w:tcW w:w="0" w:type="auto"/>
            <w:vMerge/>
            <w:vAlign w:val="center"/>
            <w:hideMark/>
          </w:tcPr>
          <w:p w14:paraId="6DF1922A" w14:textId="77777777" w:rsidR="000E7B6E" w:rsidRPr="00AB3E42" w:rsidRDefault="000E7B6E" w:rsidP="000E7B6E">
            <w:pPr>
              <w:spacing w:before="0" w:after="0" w:line="276" w:lineRule="auto"/>
              <w:jc w:val="both"/>
              <w:rPr>
                <w:rFonts w:ascii="Arial Narrow" w:hAnsi="Arial Narrow" w:cstheme="majorHAnsi"/>
                <w:bCs/>
                <w:lang w:val="en-US" w:eastAsia="en-GB"/>
              </w:rPr>
            </w:pPr>
          </w:p>
        </w:tc>
        <w:tc>
          <w:tcPr>
            <w:tcW w:w="0" w:type="auto"/>
            <w:hideMark/>
          </w:tcPr>
          <w:p w14:paraId="67815130"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Total</w:t>
            </w:r>
          </w:p>
        </w:tc>
        <w:tc>
          <w:tcPr>
            <w:tcW w:w="0" w:type="auto"/>
            <w:noWrap/>
            <w:hideMark/>
          </w:tcPr>
          <w:p w14:paraId="6714890F"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87</w:t>
            </w:r>
          </w:p>
        </w:tc>
        <w:tc>
          <w:tcPr>
            <w:tcW w:w="0" w:type="auto"/>
            <w:noWrap/>
            <w:hideMark/>
          </w:tcPr>
          <w:p w14:paraId="19DAF080" w14:textId="77777777" w:rsidR="000E7B6E" w:rsidRPr="00AB3E42" w:rsidRDefault="000E7B6E" w:rsidP="000E7B6E">
            <w:pPr>
              <w:spacing w:before="0" w:after="0" w:line="276" w:lineRule="auto"/>
              <w:jc w:val="both"/>
              <w:rPr>
                <w:rFonts w:ascii="Arial Narrow" w:hAnsi="Arial Narrow" w:cstheme="majorHAnsi"/>
                <w:b/>
                <w:bCs/>
                <w:lang w:val="en-US" w:eastAsia="en-GB"/>
              </w:rPr>
            </w:pPr>
            <w:r w:rsidRPr="00AB3E42">
              <w:rPr>
                <w:rFonts w:ascii="Arial Narrow" w:hAnsi="Arial Narrow" w:cstheme="majorHAnsi"/>
                <w:b/>
                <w:bCs/>
                <w:lang w:val="en-US" w:eastAsia="en-GB"/>
              </w:rPr>
              <w:t>100.0</w:t>
            </w:r>
          </w:p>
        </w:tc>
      </w:tr>
    </w:tbl>
    <w:p w14:paraId="1B4C79F5" w14:textId="3EE28015" w:rsidR="00002AEB" w:rsidRPr="00AB3E42" w:rsidRDefault="00A85ABA" w:rsidP="005333E7">
      <w:pPr>
        <w:jc w:val="both"/>
        <w:rPr>
          <w:rFonts w:ascii="Arial Narrow" w:hAnsi="Arial Narrow" w:cstheme="majorHAnsi"/>
          <w:lang w:eastAsia="en-GB"/>
        </w:rPr>
      </w:pPr>
      <w:r w:rsidRPr="00AB3E42">
        <w:rPr>
          <w:rFonts w:ascii="Arial Narrow" w:hAnsi="Arial Narrow" w:cstheme="majorHAnsi"/>
          <w:lang w:eastAsia="en-GB"/>
        </w:rPr>
        <w:t xml:space="preserve">Source: Survey </w:t>
      </w:r>
      <w:r w:rsidR="00F901A9" w:rsidRPr="00AB3E42">
        <w:rPr>
          <w:rFonts w:ascii="Arial Narrow" w:hAnsi="Arial Narrow" w:cstheme="majorHAnsi"/>
          <w:lang w:eastAsia="en-GB"/>
        </w:rPr>
        <w:t>f</w:t>
      </w:r>
      <w:r w:rsidRPr="00AB3E42">
        <w:rPr>
          <w:rFonts w:ascii="Arial Narrow" w:hAnsi="Arial Narrow" w:cstheme="majorHAnsi"/>
          <w:lang w:eastAsia="en-GB"/>
        </w:rPr>
        <w:t>indings, 202</w:t>
      </w:r>
      <w:r w:rsidR="002866F3" w:rsidRPr="00AB3E42">
        <w:rPr>
          <w:rFonts w:ascii="Arial Narrow" w:hAnsi="Arial Narrow" w:cstheme="majorHAnsi"/>
          <w:lang w:eastAsia="en-GB"/>
        </w:rPr>
        <w:t>5</w:t>
      </w:r>
    </w:p>
    <w:p w14:paraId="691A581A" w14:textId="73B5B3E7" w:rsidR="002866F3" w:rsidRPr="00AB3E42" w:rsidRDefault="00C20B8A" w:rsidP="002866F3">
      <w:pPr>
        <w:spacing w:before="100" w:beforeAutospacing="1" w:after="100" w:afterAutospacing="1"/>
        <w:jc w:val="both"/>
        <w:outlineLvl w:val="3"/>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Table 3</w:t>
      </w:r>
      <w:r w:rsidR="002866F3" w:rsidRPr="00AB3E42">
        <w:rPr>
          <w:rFonts w:ascii="Arial Narrow" w:eastAsia="Times New Roman" w:hAnsi="Arial Narrow" w:cstheme="majorHAnsi"/>
          <w:kern w:val="0"/>
          <w:lang w:val="en-US" w:eastAsia="en-GB"/>
          <w14:ligatures w14:val="none"/>
        </w:rPr>
        <w:t xml:space="preserve"> Indicate</w:t>
      </w:r>
      <w:r w:rsidR="0031352D" w:rsidRPr="00AB3E42">
        <w:rPr>
          <w:rFonts w:ascii="Arial Narrow" w:eastAsia="Times New Roman" w:hAnsi="Arial Narrow" w:cstheme="majorHAnsi"/>
          <w:kern w:val="0"/>
          <w:lang w:val="en-US" w:eastAsia="en-GB"/>
          <w14:ligatures w14:val="none"/>
        </w:rPr>
        <w:t xml:space="preserve"> gender, majority</w:t>
      </w:r>
      <w:r w:rsidR="002866F3" w:rsidRPr="00AB3E42">
        <w:rPr>
          <w:rFonts w:ascii="Arial Narrow" w:eastAsia="Times New Roman" w:hAnsi="Arial Narrow" w:cstheme="majorHAnsi"/>
          <w:kern w:val="0"/>
          <w:lang w:val="en-US" w:eastAsia="en-GB"/>
          <w14:ligatures w14:val="none"/>
        </w:rPr>
        <w:t xml:space="preserve"> of respondents 59 (67.1%) were female, and 28 (32%) were male because most of household in Geita Municipal Council the female is responsible for the cooking specifically using LPG. This implies that LPG implementers from household and food venders were having more female. This provides the evidence that the female respondents are the ones who tend to participate more on cooking activities</w:t>
      </w:r>
      <w:r w:rsidR="00CF05D0" w:rsidRPr="00AB3E42">
        <w:rPr>
          <w:rFonts w:ascii="Arial Narrow" w:eastAsia="Times New Roman" w:hAnsi="Arial Narrow" w:cstheme="majorHAnsi"/>
          <w:kern w:val="0"/>
          <w:lang w:val="en-US" w:eastAsia="en-GB"/>
          <w14:ligatures w14:val="none"/>
        </w:rPr>
        <w:t>,</w:t>
      </w:r>
      <w:r w:rsidR="002866F3" w:rsidRPr="00AB3E42">
        <w:rPr>
          <w:rFonts w:ascii="Arial Narrow" w:eastAsia="Times New Roman" w:hAnsi="Arial Narrow" w:cstheme="majorHAnsi"/>
          <w:kern w:val="0"/>
          <w:lang w:val="en-US" w:eastAsia="en-GB"/>
          <w14:ligatures w14:val="none"/>
        </w:rPr>
        <w:t xml:space="preserve"> comparing to the male respondents which are low comparing to the female</w:t>
      </w:r>
      <w:r w:rsidR="00CF05D0" w:rsidRPr="00AB3E42">
        <w:rPr>
          <w:rFonts w:ascii="Arial Narrow" w:eastAsia="Times New Roman" w:hAnsi="Arial Narrow" w:cstheme="majorHAnsi"/>
          <w:kern w:val="0"/>
          <w:lang w:val="en-US" w:eastAsia="en-GB"/>
          <w14:ligatures w14:val="none"/>
        </w:rPr>
        <w:t xml:space="preserve"> respondents in the study area</w:t>
      </w:r>
      <w:r w:rsidR="002866F3" w:rsidRPr="00AB3E42">
        <w:rPr>
          <w:rFonts w:ascii="Arial Narrow" w:eastAsia="Times New Roman" w:hAnsi="Arial Narrow" w:cstheme="majorHAnsi"/>
          <w:kern w:val="0"/>
          <w:lang w:val="en-US" w:eastAsia="en-GB"/>
          <w14:ligatures w14:val="none"/>
        </w:rPr>
        <w:t xml:space="preserve">. </w:t>
      </w:r>
      <w:r w:rsidRPr="00AB3E42">
        <w:rPr>
          <w:rFonts w:ascii="Arial Narrow" w:eastAsia="Times New Roman" w:hAnsi="Arial Narrow" w:cstheme="majorHAnsi"/>
          <w:kern w:val="0"/>
          <w:lang w:val="en-US" w:eastAsia="en-GB"/>
          <w14:ligatures w14:val="none"/>
        </w:rPr>
        <w:t>Also observed on various studies Yasmin</w:t>
      </w:r>
      <w:r w:rsidR="002866F3" w:rsidRPr="00AB3E42">
        <w:rPr>
          <w:rFonts w:ascii="Arial Narrow" w:eastAsia="Times New Roman" w:hAnsi="Arial Narrow" w:cstheme="majorHAnsi"/>
          <w:kern w:val="0"/>
          <w:lang w:val="en-US" w:eastAsia="en-GB"/>
          <w14:ligatures w14:val="none"/>
        </w:rPr>
        <w:t xml:space="preserve"> and Grundmann (2020) emphasize that women’s involvement is critical for successful clean cooking transitions. Subsidies for gender access significantly influence LPG adoption in rural Tanzania (Jamaldin, 2025).</w:t>
      </w:r>
    </w:p>
    <w:p w14:paraId="176F61CC" w14:textId="2F80E0EE" w:rsidR="002866F3" w:rsidRPr="00AB3E42" w:rsidRDefault="00C20B8A" w:rsidP="002866F3">
      <w:pPr>
        <w:spacing w:before="100" w:beforeAutospacing="1" w:after="100" w:afterAutospacing="1"/>
        <w:jc w:val="both"/>
        <w:outlineLvl w:val="3"/>
        <w:rPr>
          <w:rFonts w:ascii="Arial Narrow" w:eastAsia="Times New Roman" w:hAnsi="Arial Narrow" w:cstheme="majorHAnsi"/>
          <w:iCs/>
          <w:kern w:val="0"/>
          <w:lang w:val="en-US" w:eastAsia="en-GB"/>
          <w14:ligatures w14:val="none"/>
        </w:rPr>
      </w:pPr>
      <w:r w:rsidRPr="00AB3E42">
        <w:rPr>
          <w:rFonts w:ascii="Arial Narrow" w:eastAsia="Times New Roman" w:hAnsi="Arial Narrow" w:cstheme="majorHAnsi"/>
          <w:kern w:val="0"/>
          <w:lang w:val="en-US" w:eastAsia="en-GB"/>
          <w14:ligatures w14:val="none"/>
        </w:rPr>
        <w:t>Regarding Age Reveal</w:t>
      </w:r>
      <w:r w:rsidR="002866F3" w:rsidRPr="00AB3E42">
        <w:rPr>
          <w:rFonts w:ascii="Arial Narrow" w:eastAsia="Times New Roman" w:hAnsi="Arial Narrow" w:cstheme="majorHAnsi"/>
          <w:kern w:val="0"/>
          <w:lang w:val="en-US" w:eastAsia="en-GB"/>
          <w14:ligatures w14:val="none"/>
        </w:rPr>
        <w:t xml:space="preserve"> 76 (87.4%) aged between 25- 50 years, followed by 10 (11.5%) aged between 18-25 with very few 1 (1%) aged above 50 years. This implies household and food venders were in an age group of economically productive. This age group is typically characterized by greater adaptability and resilience as they seek convenien</w:t>
      </w:r>
      <w:r w:rsidR="00CF05D0" w:rsidRPr="00AB3E42">
        <w:rPr>
          <w:rFonts w:ascii="Arial Narrow" w:eastAsia="Times New Roman" w:hAnsi="Arial Narrow" w:cstheme="majorHAnsi"/>
          <w:kern w:val="0"/>
          <w:lang w:val="en-US" w:eastAsia="en-GB"/>
          <w14:ligatures w14:val="none"/>
        </w:rPr>
        <w:t xml:space="preserve">t and efficient cooking methods supported by </w:t>
      </w:r>
      <w:r w:rsidR="002866F3" w:rsidRPr="00AB3E42">
        <w:rPr>
          <w:rFonts w:ascii="Arial Narrow" w:eastAsia="Times New Roman" w:hAnsi="Arial Narrow" w:cstheme="majorHAnsi"/>
          <w:kern w:val="0"/>
          <w:lang w:val="en-US" w:eastAsia="en-GB"/>
          <w14:ligatures w14:val="none"/>
        </w:rPr>
        <w:t xml:space="preserve">Johnson </w:t>
      </w:r>
      <w:r w:rsidR="002866F3" w:rsidRPr="00AB3E42">
        <w:rPr>
          <w:rFonts w:ascii="Arial Narrow" w:eastAsia="Times New Roman" w:hAnsi="Arial Narrow" w:cstheme="majorHAnsi"/>
          <w:i/>
          <w:iCs/>
          <w:kern w:val="0"/>
          <w:lang w:val="en-US" w:eastAsia="en-GB"/>
          <w14:ligatures w14:val="none"/>
        </w:rPr>
        <w:t>et al.</w:t>
      </w:r>
      <w:r w:rsidR="002866F3" w:rsidRPr="00AB3E42">
        <w:rPr>
          <w:rFonts w:ascii="Arial Narrow" w:eastAsia="Times New Roman" w:hAnsi="Arial Narrow" w:cstheme="majorHAnsi"/>
          <w:kern w:val="0"/>
          <w:lang w:val="en-US" w:eastAsia="en-GB"/>
          <w14:ligatures w14:val="none"/>
        </w:rPr>
        <w:t xml:space="preserve"> (2019) reported similar age distributions in rural African households where younger adults drive energy transitions. Also Sharma and Rahman (2025) noted that multigenerational households often face internal conflicts over cooking fuel choices, affecting adoption rates. </w:t>
      </w:r>
    </w:p>
    <w:p w14:paraId="6BDE83F5" w14:textId="1DC42A9E" w:rsidR="002866F3" w:rsidRPr="00AB3E42" w:rsidRDefault="002866F3" w:rsidP="002866F3">
      <w:pPr>
        <w:spacing w:before="100" w:beforeAutospacing="1" w:after="100" w:afterAutospacing="1"/>
        <w:jc w:val="both"/>
        <w:outlineLvl w:val="3"/>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lastRenderedPageBreak/>
        <w:t>Level of education reveal that majority of respondents 43 (49.4%) were secondary, followed by 27 (31.0%) were college/university and 17 (19.5%) were primary (Table 3). This implies that majority of respondents at the study area are educated and tend to understand more about the need of LPG and its importance.</w:t>
      </w:r>
      <w:r w:rsidR="00CF05D0" w:rsidRPr="00AB3E42">
        <w:rPr>
          <w:rFonts w:ascii="Arial Narrow" w:eastAsia="Times New Roman" w:hAnsi="Arial Narrow" w:cstheme="majorHAnsi"/>
          <w:kern w:val="0"/>
          <w:lang w:val="en-US" w:eastAsia="en-GB"/>
          <w14:ligatures w14:val="none"/>
        </w:rPr>
        <w:t xml:space="preserve"> </w:t>
      </w:r>
      <w:r w:rsidRPr="00AB3E42">
        <w:rPr>
          <w:rFonts w:ascii="Arial Narrow" w:eastAsia="Times New Roman" w:hAnsi="Arial Narrow" w:cstheme="majorHAnsi"/>
          <w:kern w:val="0"/>
          <w:lang w:val="en-US" w:eastAsia="en-GB"/>
          <w14:ligatures w14:val="none"/>
        </w:rPr>
        <w:t>supported by Rahut (2019) found education to be a key driver for clean cooking adoption in East Africa, where higher education increased awareness and acceptance of LPG. Ndunguru and Lema (2021) highlighted education and household expenditure (income) are significant factors affecting LPG adoption.</w:t>
      </w:r>
    </w:p>
    <w:p w14:paraId="30E7DEFF" w14:textId="39503FF7" w:rsidR="002866F3" w:rsidRPr="00AB3E42" w:rsidRDefault="00CF05D0" w:rsidP="002866F3">
      <w:pPr>
        <w:spacing w:before="100" w:beforeAutospacing="1" w:after="100" w:afterAutospacing="1"/>
        <w:jc w:val="both"/>
        <w:outlineLvl w:val="3"/>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Household size</w:t>
      </w:r>
      <w:r w:rsidR="002866F3" w:rsidRPr="00AB3E42">
        <w:rPr>
          <w:rFonts w:ascii="Arial Narrow" w:eastAsia="Times New Roman" w:hAnsi="Arial Narrow" w:cstheme="majorHAnsi"/>
          <w:kern w:val="0"/>
          <w:lang w:val="en-US" w:eastAsia="en-GB"/>
          <w14:ligatures w14:val="none"/>
        </w:rPr>
        <w:t xml:space="preserve"> indicate that most majority (39.1%) were ranging from 1-3 members, (28.7%) were with members ranging from 4-6 member of household, (27.6%) were with members ranging from above 20-food venders and (4.6%) were with members ranging from 6-8 members. This</w:t>
      </w:r>
      <w:r w:rsidRPr="00AB3E42">
        <w:rPr>
          <w:rFonts w:ascii="Arial Narrow" w:eastAsia="Times New Roman" w:hAnsi="Arial Narrow" w:cstheme="majorHAnsi"/>
          <w:kern w:val="0"/>
          <w:lang w:val="en-US" w:eastAsia="en-GB"/>
          <w14:ligatures w14:val="none"/>
        </w:rPr>
        <w:t xml:space="preserve"> indicate</w:t>
      </w:r>
      <w:r w:rsidR="002866F3" w:rsidRPr="00AB3E42">
        <w:rPr>
          <w:rFonts w:ascii="Arial Narrow" w:eastAsia="Times New Roman" w:hAnsi="Arial Narrow" w:cstheme="majorHAnsi"/>
          <w:kern w:val="0"/>
          <w:lang w:val="en-US" w:eastAsia="en-GB"/>
          <w14:ligatures w14:val="none"/>
        </w:rPr>
        <w:t xml:space="preserve"> that there is difference use of LPG according to the size of the household and they differ on food vender in terms of the client. Households with a small size tend to adopt LPG easily while food venders those who have a high size and a high number of clients, tend to use LPG as its different from those who have a low size and low client don’t adopt easily. supporte</w:t>
      </w:r>
      <w:r w:rsidR="006A5FA3" w:rsidRPr="00AB3E42">
        <w:rPr>
          <w:rFonts w:ascii="Arial Narrow" w:eastAsia="Times New Roman" w:hAnsi="Arial Narrow" w:cstheme="majorHAnsi"/>
          <w:kern w:val="0"/>
          <w:lang w:val="en-US" w:eastAsia="en-GB"/>
          <w14:ligatures w14:val="none"/>
        </w:rPr>
        <w:t>d by Dongzagla and Adams (2022).</w:t>
      </w:r>
    </w:p>
    <w:p w14:paraId="37705F36" w14:textId="5CB50AEF" w:rsidR="002866F3" w:rsidRPr="00AB3E42" w:rsidRDefault="00CF05D0" w:rsidP="002866F3">
      <w:pPr>
        <w:spacing w:before="100" w:beforeAutospacing="1" w:after="100" w:afterAutospacing="1"/>
        <w:jc w:val="both"/>
        <w:outlineLvl w:val="3"/>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val="en-US" w:eastAsia="en-GB"/>
          <w14:ligatures w14:val="none"/>
        </w:rPr>
        <w:t>Regarding occupation</w:t>
      </w:r>
      <w:r w:rsidR="002866F3" w:rsidRPr="00AB3E42">
        <w:rPr>
          <w:rFonts w:ascii="Arial Narrow" w:eastAsia="Times New Roman" w:hAnsi="Arial Narrow" w:cstheme="majorHAnsi"/>
          <w:kern w:val="0"/>
          <w:lang w:val="en-US" w:eastAsia="en-GB"/>
          <w14:ligatures w14:val="none"/>
        </w:rPr>
        <w:t xml:space="preserve"> reveal that 60 (69.0%) respondents deal with business, followed with 19 (21.8%) based on formal employment, and with very few 8 (9.2%) deal with farming activities. </w:t>
      </w:r>
      <w:r w:rsidR="002866F3" w:rsidRPr="00AB3E42">
        <w:rPr>
          <w:rFonts w:ascii="Arial Narrow" w:eastAsia="Times New Roman" w:hAnsi="Arial Narrow" w:cstheme="majorHAnsi"/>
          <w:kern w:val="0"/>
          <w:lang w:eastAsia="en-GB"/>
          <w14:ligatures w14:val="none"/>
        </w:rPr>
        <w:t xml:space="preserve">This indicate that business owners tend to implement LPG in order to save the time on their activities so as to meet the intended goals according to the </w:t>
      </w:r>
      <w:r w:rsidRPr="00AB3E42">
        <w:rPr>
          <w:rFonts w:ascii="Arial Narrow" w:eastAsia="Times New Roman" w:hAnsi="Arial Narrow" w:cstheme="majorHAnsi"/>
          <w:kern w:val="0"/>
          <w:lang w:eastAsia="en-GB"/>
          <w14:ligatures w14:val="none"/>
        </w:rPr>
        <w:t>plan.</w:t>
      </w:r>
      <w:r w:rsidRPr="00AB3E42">
        <w:rPr>
          <w:rFonts w:ascii="Arial Narrow" w:eastAsia="Times New Roman" w:hAnsi="Arial Narrow" w:cstheme="majorHAnsi"/>
          <w:kern w:val="0"/>
          <w:lang w:val="en-US" w:eastAsia="en-GB"/>
          <w14:ligatures w14:val="none"/>
        </w:rPr>
        <w:t xml:space="preserve"> Shupler</w:t>
      </w:r>
      <w:r w:rsidR="002866F3" w:rsidRPr="00AB3E42">
        <w:rPr>
          <w:rFonts w:ascii="Arial Narrow" w:eastAsia="Times New Roman" w:hAnsi="Arial Narrow" w:cstheme="majorHAnsi"/>
          <w:kern w:val="0"/>
          <w:lang w:val="en-US" w:eastAsia="en-GB"/>
          <w14:ligatures w14:val="none"/>
        </w:rPr>
        <w:t xml:space="preserve"> </w:t>
      </w:r>
      <w:r w:rsidR="002866F3" w:rsidRPr="00AB3E42">
        <w:rPr>
          <w:rFonts w:ascii="Arial Narrow" w:eastAsia="Times New Roman" w:hAnsi="Arial Narrow" w:cstheme="majorHAnsi"/>
          <w:i/>
          <w:kern w:val="0"/>
          <w:lang w:val="en-US" w:eastAsia="en-GB"/>
          <w14:ligatures w14:val="none"/>
        </w:rPr>
        <w:t>et al.</w:t>
      </w:r>
      <w:r w:rsidR="002866F3" w:rsidRPr="00AB3E42">
        <w:rPr>
          <w:rFonts w:ascii="Arial Narrow" w:eastAsia="Times New Roman" w:hAnsi="Arial Narrow" w:cstheme="majorHAnsi"/>
          <w:kern w:val="0"/>
          <w:lang w:val="en-US" w:eastAsia="en-GB"/>
          <w14:ligatures w14:val="none"/>
        </w:rPr>
        <w:t xml:space="preserve"> (2024) documented that informal food businesses actively seek LPG adoption to meet operational needs and comply with health regulations, supporting the positive association between occupation and LPG use. Ismail </w:t>
      </w:r>
      <w:r w:rsidR="002866F3" w:rsidRPr="00AB3E42">
        <w:rPr>
          <w:rFonts w:ascii="Arial Narrow" w:eastAsia="Times New Roman" w:hAnsi="Arial Narrow" w:cstheme="majorHAnsi"/>
          <w:i/>
          <w:iCs/>
          <w:kern w:val="0"/>
          <w:lang w:val="en-US" w:eastAsia="en-GB"/>
          <w14:ligatures w14:val="none"/>
        </w:rPr>
        <w:t xml:space="preserve">et al. </w:t>
      </w:r>
      <w:r w:rsidR="002866F3" w:rsidRPr="00AB3E42">
        <w:rPr>
          <w:rFonts w:ascii="Arial Narrow" w:eastAsia="Times New Roman" w:hAnsi="Arial Narrow" w:cstheme="majorHAnsi"/>
          <w:kern w:val="0"/>
          <w:lang w:val="en-US" w:eastAsia="en-GB"/>
          <w14:ligatures w14:val="none"/>
        </w:rPr>
        <w:t>(2022) also narrated that workers tend to save time for cooking, and people who have a good job tend to adopt the LPG compared to those with no occupation.</w:t>
      </w:r>
    </w:p>
    <w:p w14:paraId="76F3F96E" w14:textId="2C53BE1B" w:rsidR="002866F3" w:rsidRPr="00AB3E42" w:rsidRDefault="00CF05D0" w:rsidP="002866F3">
      <w:pPr>
        <w:spacing w:before="100" w:beforeAutospacing="1" w:after="100" w:afterAutospacing="1"/>
        <w:jc w:val="both"/>
        <w:outlineLvl w:val="3"/>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Household income</w:t>
      </w:r>
      <w:r w:rsidR="002866F3" w:rsidRPr="00AB3E42">
        <w:rPr>
          <w:rFonts w:ascii="Arial Narrow" w:eastAsia="Times New Roman" w:hAnsi="Arial Narrow" w:cstheme="majorHAnsi"/>
          <w:kern w:val="0"/>
          <w:lang w:val="en-US" w:eastAsia="en-GB"/>
          <w14:ligatures w14:val="none"/>
        </w:rPr>
        <w:t xml:space="preserve"> indicates that out of 87 respondents about 47 (54.0%) earn below 500,000 followed by 22 (25.3%), followed by 1</w:t>
      </w:r>
      <w:r w:rsidR="008338BC" w:rsidRPr="00AB3E42">
        <w:rPr>
          <w:rFonts w:ascii="Arial Narrow" w:eastAsia="Times New Roman" w:hAnsi="Arial Narrow" w:cstheme="majorHAnsi"/>
          <w:kern w:val="0"/>
          <w:lang w:val="en-US" w:eastAsia="en-GB"/>
          <w14:ligatures w14:val="none"/>
        </w:rPr>
        <w:t xml:space="preserve">7 (19.5%) and very few 1 (1.1%). </w:t>
      </w:r>
      <w:r w:rsidR="002866F3" w:rsidRPr="00AB3E42">
        <w:rPr>
          <w:rFonts w:ascii="Arial Narrow" w:eastAsia="Times New Roman" w:hAnsi="Arial Narrow" w:cstheme="majorHAnsi"/>
          <w:kern w:val="0"/>
          <w:lang w:val="en-US" w:eastAsia="en-GB"/>
          <w14:ligatures w14:val="none"/>
        </w:rPr>
        <w:t>This implies that those household and food venders possess the high income they tend to implement LPG than those people who have low income. On study area indicated that most of respondent they earn below 500,000 that give challenge of affordability to get initial cost and refill cost, often opting for cheaper but harmful traditional fuels. These findings, supported by Karimu</w:t>
      </w:r>
      <w:r w:rsidR="002866F3" w:rsidRPr="00AB3E42">
        <w:rPr>
          <w:rFonts w:ascii="Arial Narrow" w:eastAsia="Times New Roman" w:hAnsi="Arial Narrow" w:cstheme="majorHAnsi"/>
          <w:i/>
          <w:iCs/>
          <w:kern w:val="0"/>
          <w:lang w:val="en-US" w:eastAsia="en-GB"/>
          <w14:ligatures w14:val="none"/>
        </w:rPr>
        <w:t xml:space="preserve"> et al.</w:t>
      </w:r>
      <w:r w:rsidR="002866F3" w:rsidRPr="00AB3E42">
        <w:rPr>
          <w:rFonts w:ascii="Arial Narrow" w:eastAsia="Times New Roman" w:hAnsi="Arial Narrow" w:cstheme="majorHAnsi"/>
          <w:kern w:val="0"/>
          <w:lang w:val="en-US" w:eastAsia="en-GB"/>
          <w14:ligatures w14:val="none"/>
        </w:rPr>
        <w:t xml:space="preserve"> (2022), urban households with better socio-economic and demographic factors tend to be more likely to adopt the LPG as the main cooking fuel, with variation on response rates based on income. This means that the higher income household they tend to use LPG for their cooking compared to those with low income. Also, Jamaldin (2025) stated higher household income is positively associated with the adoption and use of liquefied petroleum gas (LPG) for cooking in many low- and middle-income countries</w:t>
      </w:r>
    </w:p>
    <w:p w14:paraId="11E04360" w14:textId="77777777" w:rsidR="00D27652" w:rsidRPr="00AB3E42" w:rsidRDefault="00D27652" w:rsidP="00D27652">
      <w:pPr>
        <w:spacing w:before="100" w:beforeAutospacing="1" w:after="100" w:afterAutospacing="1"/>
        <w:jc w:val="both"/>
        <w:outlineLvl w:val="3"/>
        <w:rPr>
          <w:rFonts w:ascii="Arial Narrow" w:hAnsi="Arial Narrow" w:cstheme="majorHAnsi"/>
          <w:b/>
          <w:bCs/>
          <w:lang w:eastAsia="en-GB"/>
        </w:rPr>
      </w:pPr>
      <w:r w:rsidRPr="00AB3E42">
        <w:rPr>
          <w:rFonts w:ascii="Arial Narrow" w:hAnsi="Arial Narrow" w:cstheme="majorHAnsi"/>
          <w:b/>
          <w:bCs/>
          <w:lang w:eastAsia="en-GB"/>
        </w:rPr>
        <w:lastRenderedPageBreak/>
        <w:t xml:space="preserve">Table 4: Logistic Regression Results for </w:t>
      </w:r>
      <w:r w:rsidRPr="00AB3E42">
        <w:rPr>
          <w:rFonts w:ascii="Arial Narrow" w:hAnsi="Arial Narrow" w:cstheme="majorHAnsi"/>
          <w:b/>
          <w:bCs/>
          <w:lang w:val="en-US" w:eastAsia="en-GB"/>
        </w:rPr>
        <w:t>Factors Influence the Adoption of LPG Uses</w:t>
      </w:r>
    </w:p>
    <w:tbl>
      <w:tblPr>
        <w:tblW w:w="9267" w:type="dxa"/>
        <w:tblInd w:w="108" w:type="dxa"/>
        <w:tblLook w:val="04A0" w:firstRow="1" w:lastRow="0" w:firstColumn="1" w:lastColumn="0" w:noHBand="0" w:noVBand="1"/>
      </w:tblPr>
      <w:tblGrid>
        <w:gridCol w:w="1544"/>
        <w:gridCol w:w="950"/>
        <w:gridCol w:w="950"/>
        <w:gridCol w:w="950"/>
        <w:gridCol w:w="950"/>
        <w:gridCol w:w="950"/>
        <w:gridCol w:w="950"/>
        <w:gridCol w:w="874"/>
        <w:gridCol w:w="1149"/>
      </w:tblGrid>
      <w:tr w:rsidR="00D27652" w:rsidRPr="00AB3E42" w14:paraId="253C34CF" w14:textId="77777777" w:rsidTr="00BE18AB">
        <w:trPr>
          <w:trHeight w:val="600"/>
        </w:trPr>
        <w:tc>
          <w:tcPr>
            <w:tcW w:w="1544" w:type="dxa"/>
            <w:vMerge w:val="restart"/>
            <w:tcBorders>
              <w:top w:val="single" w:sz="8" w:space="0" w:color="auto"/>
              <w:left w:val="nil"/>
              <w:bottom w:val="single" w:sz="8" w:space="0" w:color="000000"/>
              <w:right w:val="nil"/>
            </w:tcBorders>
            <w:noWrap/>
            <w:vAlign w:val="center"/>
            <w:hideMark/>
          </w:tcPr>
          <w:p w14:paraId="6385767D"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Factors</w:t>
            </w:r>
          </w:p>
        </w:tc>
        <w:tc>
          <w:tcPr>
            <w:tcW w:w="950" w:type="dxa"/>
            <w:vMerge w:val="restart"/>
            <w:tcBorders>
              <w:top w:val="single" w:sz="8" w:space="0" w:color="auto"/>
              <w:left w:val="nil"/>
              <w:bottom w:val="single" w:sz="8" w:space="0" w:color="000000"/>
              <w:right w:val="nil"/>
            </w:tcBorders>
            <w:noWrap/>
            <w:vAlign w:val="center"/>
            <w:hideMark/>
          </w:tcPr>
          <w:p w14:paraId="121F9798"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Β</w:t>
            </w:r>
          </w:p>
        </w:tc>
        <w:tc>
          <w:tcPr>
            <w:tcW w:w="950" w:type="dxa"/>
            <w:vMerge w:val="restart"/>
            <w:tcBorders>
              <w:top w:val="single" w:sz="8" w:space="0" w:color="auto"/>
              <w:left w:val="nil"/>
              <w:bottom w:val="single" w:sz="8" w:space="0" w:color="000000"/>
              <w:right w:val="nil"/>
            </w:tcBorders>
            <w:noWrap/>
            <w:vAlign w:val="center"/>
            <w:hideMark/>
          </w:tcPr>
          <w:p w14:paraId="61075132"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S.E.</w:t>
            </w:r>
          </w:p>
        </w:tc>
        <w:tc>
          <w:tcPr>
            <w:tcW w:w="950" w:type="dxa"/>
            <w:vMerge w:val="restart"/>
            <w:tcBorders>
              <w:top w:val="single" w:sz="8" w:space="0" w:color="auto"/>
              <w:left w:val="nil"/>
              <w:bottom w:val="single" w:sz="8" w:space="0" w:color="000000"/>
              <w:right w:val="nil"/>
            </w:tcBorders>
            <w:noWrap/>
            <w:vAlign w:val="center"/>
            <w:hideMark/>
          </w:tcPr>
          <w:p w14:paraId="70C2E718"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Wald</w:t>
            </w:r>
          </w:p>
        </w:tc>
        <w:tc>
          <w:tcPr>
            <w:tcW w:w="950" w:type="dxa"/>
            <w:vMerge w:val="restart"/>
            <w:tcBorders>
              <w:top w:val="single" w:sz="8" w:space="0" w:color="auto"/>
              <w:left w:val="nil"/>
              <w:bottom w:val="single" w:sz="8" w:space="0" w:color="000000"/>
              <w:right w:val="nil"/>
            </w:tcBorders>
            <w:noWrap/>
            <w:vAlign w:val="center"/>
            <w:hideMark/>
          </w:tcPr>
          <w:p w14:paraId="00286E32"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Df</w:t>
            </w:r>
          </w:p>
        </w:tc>
        <w:tc>
          <w:tcPr>
            <w:tcW w:w="950" w:type="dxa"/>
            <w:vMerge w:val="restart"/>
            <w:tcBorders>
              <w:top w:val="single" w:sz="8" w:space="0" w:color="auto"/>
              <w:left w:val="nil"/>
              <w:bottom w:val="single" w:sz="8" w:space="0" w:color="000000"/>
              <w:right w:val="nil"/>
            </w:tcBorders>
            <w:noWrap/>
            <w:vAlign w:val="center"/>
            <w:hideMark/>
          </w:tcPr>
          <w:p w14:paraId="2A182BFD"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p-value</w:t>
            </w:r>
          </w:p>
        </w:tc>
        <w:tc>
          <w:tcPr>
            <w:tcW w:w="950" w:type="dxa"/>
            <w:vMerge w:val="restart"/>
            <w:tcBorders>
              <w:top w:val="single" w:sz="8" w:space="0" w:color="auto"/>
              <w:left w:val="nil"/>
              <w:bottom w:val="single" w:sz="8" w:space="0" w:color="000000"/>
              <w:right w:val="nil"/>
            </w:tcBorders>
            <w:noWrap/>
            <w:vAlign w:val="center"/>
            <w:hideMark/>
          </w:tcPr>
          <w:p w14:paraId="7C5C48BF"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Exp(β)</w:t>
            </w:r>
          </w:p>
        </w:tc>
        <w:tc>
          <w:tcPr>
            <w:tcW w:w="2018" w:type="dxa"/>
            <w:gridSpan w:val="2"/>
            <w:tcBorders>
              <w:top w:val="single" w:sz="8" w:space="0" w:color="auto"/>
              <w:left w:val="nil"/>
              <w:bottom w:val="single" w:sz="8" w:space="0" w:color="auto"/>
              <w:right w:val="nil"/>
            </w:tcBorders>
            <w:vAlign w:val="center"/>
            <w:hideMark/>
          </w:tcPr>
          <w:p w14:paraId="7B5FCCAE"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C.I. for 95% EXP(β)</w:t>
            </w:r>
          </w:p>
        </w:tc>
      </w:tr>
      <w:tr w:rsidR="00D27652" w:rsidRPr="00AB3E42" w14:paraId="1E0C334B" w14:textId="77777777" w:rsidTr="00BE18AB">
        <w:trPr>
          <w:trHeight w:val="197"/>
        </w:trPr>
        <w:tc>
          <w:tcPr>
            <w:tcW w:w="1544" w:type="dxa"/>
            <w:vMerge/>
            <w:tcBorders>
              <w:top w:val="single" w:sz="8" w:space="0" w:color="auto"/>
              <w:left w:val="nil"/>
              <w:bottom w:val="single" w:sz="8" w:space="0" w:color="000000"/>
              <w:right w:val="nil"/>
            </w:tcBorders>
            <w:vAlign w:val="center"/>
            <w:hideMark/>
          </w:tcPr>
          <w:p w14:paraId="11C2BDF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p>
        </w:tc>
        <w:tc>
          <w:tcPr>
            <w:tcW w:w="950" w:type="dxa"/>
            <w:vMerge/>
            <w:tcBorders>
              <w:top w:val="single" w:sz="8" w:space="0" w:color="auto"/>
              <w:left w:val="nil"/>
              <w:bottom w:val="single" w:sz="8" w:space="0" w:color="000000"/>
              <w:right w:val="nil"/>
            </w:tcBorders>
            <w:vAlign w:val="center"/>
            <w:hideMark/>
          </w:tcPr>
          <w:p w14:paraId="76FDB119"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p>
        </w:tc>
        <w:tc>
          <w:tcPr>
            <w:tcW w:w="950" w:type="dxa"/>
            <w:vMerge/>
            <w:tcBorders>
              <w:top w:val="single" w:sz="8" w:space="0" w:color="auto"/>
              <w:left w:val="nil"/>
              <w:bottom w:val="single" w:sz="8" w:space="0" w:color="000000"/>
              <w:right w:val="nil"/>
            </w:tcBorders>
            <w:vAlign w:val="center"/>
            <w:hideMark/>
          </w:tcPr>
          <w:p w14:paraId="7D7FF128"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p>
        </w:tc>
        <w:tc>
          <w:tcPr>
            <w:tcW w:w="950" w:type="dxa"/>
            <w:vMerge/>
            <w:tcBorders>
              <w:top w:val="single" w:sz="8" w:space="0" w:color="auto"/>
              <w:left w:val="nil"/>
              <w:bottom w:val="single" w:sz="8" w:space="0" w:color="000000"/>
              <w:right w:val="nil"/>
            </w:tcBorders>
            <w:vAlign w:val="center"/>
            <w:hideMark/>
          </w:tcPr>
          <w:p w14:paraId="30538D15"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p>
        </w:tc>
        <w:tc>
          <w:tcPr>
            <w:tcW w:w="950" w:type="dxa"/>
            <w:vMerge/>
            <w:tcBorders>
              <w:top w:val="single" w:sz="8" w:space="0" w:color="auto"/>
              <w:left w:val="nil"/>
              <w:bottom w:val="single" w:sz="8" w:space="0" w:color="000000"/>
              <w:right w:val="nil"/>
            </w:tcBorders>
            <w:vAlign w:val="center"/>
            <w:hideMark/>
          </w:tcPr>
          <w:p w14:paraId="10583AB8"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p>
        </w:tc>
        <w:tc>
          <w:tcPr>
            <w:tcW w:w="950" w:type="dxa"/>
            <w:vMerge/>
            <w:tcBorders>
              <w:top w:val="single" w:sz="8" w:space="0" w:color="auto"/>
              <w:left w:val="nil"/>
              <w:bottom w:val="single" w:sz="8" w:space="0" w:color="000000"/>
              <w:right w:val="nil"/>
            </w:tcBorders>
            <w:vAlign w:val="center"/>
            <w:hideMark/>
          </w:tcPr>
          <w:p w14:paraId="23D16163"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p>
        </w:tc>
        <w:tc>
          <w:tcPr>
            <w:tcW w:w="950" w:type="dxa"/>
            <w:vMerge/>
            <w:tcBorders>
              <w:top w:val="single" w:sz="8" w:space="0" w:color="auto"/>
              <w:left w:val="nil"/>
              <w:bottom w:val="single" w:sz="8" w:space="0" w:color="000000"/>
              <w:right w:val="nil"/>
            </w:tcBorders>
            <w:vAlign w:val="center"/>
            <w:hideMark/>
          </w:tcPr>
          <w:p w14:paraId="3291E3D0"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p>
        </w:tc>
        <w:tc>
          <w:tcPr>
            <w:tcW w:w="874" w:type="dxa"/>
            <w:tcBorders>
              <w:top w:val="nil"/>
              <w:left w:val="nil"/>
              <w:bottom w:val="single" w:sz="8" w:space="0" w:color="auto"/>
              <w:right w:val="nil"/>
            </w:tcBorders>
            <w:noWrap/>
            <w:vAlign w:val="center"/>
            <w:hideMark/>
          </w:tcPr>
          <w:p w14:paraId="21DD7C07"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Lower</w:t>
            </w:r>
          </w:p>
        </w:tc>
        <w:tc>
          <w:tcPr>
            <w:tcW w:w="1143" w:type="dxa"/>
            <w:tcBorders>
              <w:top w:val="nil"/>
              <w:left w:val="nil"/>
              <w:bottom w:val="single" w:sz="8" w:space="0" w:color="auto"/>
              <w:right w:val="nil"/>
            </w:tcBorders>
            <w:noWrap/>
            <w:vAlign w:val="center"/>
            <w:hideMark/>
          </w:tcPr>
          <w:p w14:paraId="48EBEDBC" w14:textId="77777777" w:rsidR="00D27652" w:rsidRPr="00AB3E42" w:rsidRDefault="00D27652" w:rsidP="00BE18AB">
            <w:pPr>
              <w:spacing w:before="0" w:after="0" w:line="276" w:lineRule="auto"/>
              <w:jc w:val="both"/>
              <w:rPr>
                <w:rFonts w:ascii="Arial Narrow" w:eastAsia="Times New Roman" w:hAnsi="Arial Narrow" w:cstheme="majorHAnsi"/>
                <w:b/>
                <w:bCs/>
                <w:kern w:val="0"/>
                <w:lang w:val="en-US" w:eastAsia="en-GB"/>
                <w14:ligatures w14:val="none"/>
              </w:rPr>
            </w:pPr>
            <w:r w:rsidRPr="00AB3E42">
              <w:rPr>
                <w:rFonts w:ascii="Arial Narrow" w:eastAsia="Times New Roman" w:hAnsi="Arial Narrow" w:cstheme="majorHAnsi"/>
                <w:b/>
                <w:bCs/>
                <w:kern w:val="0"/>
                <w:lang w:val="en-US" w:eastAsia="en-GB"/>
                <w14:ligatures w14:val="none"/>
              </w:rPr>
              <w:t>Upper</w:t>
            </w:r>
          </w:p>
        </w:tc>
      </w:tr>
      <w:tr w:rsidR="00D27652" w:rsidRPr="00AB3E42" w14:paraId="63E6CFD8" w14:textId="77777777" w:rsidTr="00BE18AB">
        <w:trPr>
          <w:trHeight w:val="310"/>
        </w:trPr>
        <w:tc>
          <w:tcPr>
            <w:tcW w:w="1544" w:type="dxa"/>
            <w:tcBorders>
              <w:top w:val="nil"/>
              <w:left w:val="nil"/>
              <w:bottom w:val="nil"/>
              <w:right w:val="nil"/>
            </w:tcBorders>
            <w:noWrap/>
            <w:vAlign w:val="center"/>
            <w:hideMark/>
          </w:tcPr>
          <w:p w14:paraId="55189099"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Awareness</w:t>
            </w:r>
          </w:p>
        </w:tc>
        <w:tc>
          <w:tcPr>
            <w:tcW w:w="950" w:type="dxa"/>
            <w:tcBorders>
              <w:top w:val="nil"/>
              <w:left w:val="nil"/>
              <w:bottom w:val="nil"/>
              <w:right w:val="nil"/>
            </w:tcBorders>
            <w:noWrap/>
            <w:vAlign w:val="center"/>
            <w:hideMark/>
          </w:tcPr>
          <w:p w14:paraId="2A701AF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4.131</w:t>
            </w:r>
          </w:p>
        </w:tc>
        <w:tc>
          <w:tcPr>
            <w:tcW w:w="950" w:type="dxa"/>
            <w:tcBorders>
              <w:top w:val="nil"/>
              <w:left w:val="nil"/>
              <w:bottom w:val="nil"/>
              <w:right w:val="nil"/>
            </w:tcBorders>
            <w:noWrap/>
            <w:vAlign w:val="center"/>
            <w:hideMark/>
          </w:tcPr>
          <w:p w14:paraId="29C675D4"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1.518</w:t>
            </w:r>
          </w:p>
        </w:tc>
        <w:tc>
          <w:tcPr>
            <w:tcW w:w="950" w:type="dxa"/>
            <w:tcBorders>
              <w:top w:val="nil"/>
              <w:left w:val="nil"/>
              <w:bottom w:val="nil"/>
              <w:right w:val="nil"/>
            </w:tcBorders>
            <w:noWrap/>
            <w:vAlign w:val="center"/>
            <w:hideMark/>
          </w:tcPr>
          <w:p w14:paraId="3DA31D88"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7.409</w:t>
            </w:r>
          </w:p>
        </w:tc>
        <w:tc>
          <w:tcPr>
            <w:tcW w:w="950" w:type="dxa"/>
            <w:tcBorders>
              <w:top w:val="nil"/>
              <w:left w:val="nil"/>
              <w:bottom w:val="nil"/>
              <w:right w:val="nil"/>
            </w:tcBorders>
            <w:noWrap/>
            <w:vAlign w:val="center"/>
            <w:hideMark/>
          </w:tcPr>
          <w:p w14:paraId="35B0CA3E"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w:t>
            </w:r>
          </w:p>
        </w:tc>
        <w:tc>
          <w:tcPr>
            <w:tcW w:w="950" w:type="dxa"/>
            <w:tcBorders>
              <w:top w:val="nil"/>
              <w:left w:val="nil"/>
              <w:bottom w:val="nil"/>
              <w:right w:val="nil"/>
            </w:tcBorders>
            <w:noWrap/>
            <w:vAlign w:val="center"/>
            <w:hideMark/>
          </w:tcPr>
          <w:p w14:paraId="5A4B6C36"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0.006</w:t>
            </w:r>
          </w:p>
        </w:tc>
        <w:tc>
          <w:tcPr>
            <w:tcW w:w="950" w:type="dxa"/>
            <w:tcBorders>
              <w:top w:val="nil"/>
              <w:left w:val="nil"/>
              <w:bottom w:val="nil"/>
              <w:right w:val="nil"/>
            </w:tcBorders>
            <w:noWrap/>
            <w:vAlign w:val="center"/>
            <w:hideMark/>
          </w:tcPr>
          <w:p w14:paraId="1A833C98"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62.256</w:t>
            </w:r>
          </w:p>
        </w:tc>
        <w:tc>
          <w:tcPr>
            <w:tcW w:w="874" w:type="dxa"/>
            <w:tcBorders>
              <w:top w:val="nil"/>
              <w:left w:val="nil"/>
              <w:bottom w:val="nil"/>
              <w:right w:val="nil"/>
            </w:tcBorders>
            <w:noWrap/>
            <w:vAlign w:val="center"/>
            <w:hideMark/>
          </w:tcPr>
          <w:p w14:paraId="37B8590E"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3.179</w:t>
            </w:r>
          </w:p>
        </w:tc>
        <w:tc>
          <w:tcPr>
            <w:tcW w:w="1143" w:type="dxa"/>
            <w:tcBorders>
              <w:top w:val="nil"/>
              <w:left w:val="nil"/>
              <w:bottom w:val="nil"/>
              <w:right w:val="nil"/>
            </w:tcBorders>
            <w:noWrap/>
            <w:vAlign w:val="center"/>
            <w:hideMark/>
          </w:tcPr>
          <w:p w14:paraId="363D2CA7"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1219.311</w:t>
            </w:r>
          </w:p>
        </w:tc>
      </w:tr>
      <w:tr w:rsidR="00D27652" w:rsidRPr="00AB3E42" w14:paraId="724E7079" w14:textId="77777777" w:rsidTr="00BE18AB">
        <w:trPr>
          <w:trHeight w:val="310"/>
        </w:trPr>
        <w:tc>
          <w:tcPr>
            <w:tcW w:w="1544" w:type="dxa"/>
            <w:tcBorders>
              <w:top w:val="nil"/>
              <w:left w:val="nil"/>
              <w:bottom w:val="nil"/>
              <w:right w:val="nil"/>
            </w:tcBorders>
            <w:noWrap/>
            <w:vAlign w:val="center"/>
            <w:hideMark/>
          </w:tcPr>
          <w:p w14:paraId="28C06EC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Proximity</w:t>
            </w:r>
          </w:p>
        </w:tc>
        <w:tc>
          <w:tcPr>
            <w:tcW w:w="950" w:type="dxa"/>
            <w:tcBorders>
              <w:top w:val="nil"/>
              <w:left w:val="nil"/>
              <w:bottom w:val="nil"/>
              <w:right w:val="nil"/>
            </w:tcBorders>
            <w:noWrap/>
            <w:vAlign w:val="center"/>
            <w:hideMark/>
          </w:tcPr>
          <w:p w14:paraId="7965C16B"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-0.976</w:t>
            </w:r>
          </w:p>
        </w:tc>
        <w:tc>
          <w:tcPr>
            <w:tcW w:w="950" w:type="dxa"/>
            <w:tcBorders>
              <w:top w:val="nil"/>
              <w:left w:val="nil"/>
              <w:bottom w:val="nil"/>
              <w:right w:val="nil"/>
            </w:tcBorders>
            <w:noWrap/>
            <w:vAlign w:val="center"/>
            <w:hideMark/>
          </w:tcPr>
          <w:p w14:paraId="4FBA27DF"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1.134</w:t>
            </w:r>
          </w:p>
        </w:tc>
        <w:tc>
          <w:tcPr>
            <w:tcW w:w="950" w:type="dxa"/>
            <w:tcBorders>
              <w:top w:val="nil"/>
              <w:left w:val="nil"/>
              <w:bottom w:val="nil"/>
              <w:right w:val="nil"/>
            </w:tcBorders>
            <w:noWrap/>
            <w:vAlign w:val="center"/>
            <w:hideMark/>
          </w:tcPr>
          <w:p w14:paraId="3398758C"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0.741</w:t>
            </w:r>
          </w:p>
        </w:tc>
        <w:tc>
          <w:tcPr>
            <w:tcW w:w="950" w:type="dxa"/>
            <w:tcBorders>
              <w:top w:val="nil"/>
              <w:left w:val="nil"/>
              <w:bottom w:val="nil"/>
              <w:right w:val="nil"/>
            </w:tcBorders>
            <w:noWrap/>
            <w:vAlign w:val="center"/>
            <w:hideMark/>
          </w:tcPr>
          <w:p w14:paraId="7AE24609"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w:t>
            </w:r>
          </w:p>
        </w:tc>
        <w:tc>
          <w:tcPr>
            <w:tcW w:w="950" w:type="dxa"/>
            <w:tcBorders>
              <w:top w:val="nil"/>
              <w:left w:val="nil"/>
              <w:bottom w:val="nil"/>
              <w:right w:val="nil"/>
            </w:tcBorders>
            <w:noWrap/>
            <w:vAlign w:val="center"/>
            <w:hideMark/>
          </w:tcPr>
          <w:p w14:paraId="55A5C0BA"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0.389</w:t>
            </w:r>
          </w:p>
        </w:tc>
        <w:tc>
          <w:tcPr>
            <w:tcW w:w="950" w:type="dxa"/>
            <w:tcBorders>
              <w:top w:val="nil"/>
              <w:left w:val="nil"/>
              <w:bottom w:val="nil"/>
              <w:right w:val="nil"/>
            </w:tcBorders>
            <w:noWrap/>
            <w:vAlign w:val="center"/>
            <w:hideMark/>
          </w:tcPr>
          <w:p w14:paraId="52DF8A58"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0.377</w:t>
            </w:r>
          </w:p>
        </w:tc>
        <w:tc>
          <w:tcPr>
            <w:tcW w:w="874" w:type="dxa"/>
            <w:tcBorders>
              <w:top w:val="nil"/>
              <w:left w:val="nil"/>
              <w:bottom w:val="nil"/>
              <w:right w:val="nil"/>
            </w:tcBorders>
            <w:noWrap/>
            <w:vAlign w:val="center"/>
            <w:hideMark/>
          </w:tcPr>
          <w:p w14:paraId="64CB2596"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0.041</w:t>
            </w:r>
          </w:p>
        </w:tc>
        <w:tc>
          <w:tcPr>
            <w:tcW w:w="1143" w:type="dxa"/>
            <w:tcBorders>
              <w:top w:val="nil"/>
              <w:left w:val="nil"/>
              <w:bottom w:val="nil"/>
              <w:right w:val="nil"/>
            </w:tcBorders>
            <w:noWrap/>
            <w:vAlign w:val="center"/>
            <w:hideMark/>
          </w:tcPr>
          <w:p w14:paraId="606DE09A"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3.48</w:t>
            </w:r>
          </w:p>
        </w:tc>
      </w:tr>
      <w:tr w:rsidR="00D27652" w:rsidRPr="00AB3E42" w14:paraId="6F29DCEB" w14:textId="77777777" w:rsidTr="00BE18AB">
        <w:trPr>
          <w:trHeight w:val="310"/>
        </w:trPr>
        <w:tc>
          <w:tcPr>
            <w:tcW w:w="1544" w:type="dxa"/>
            <w:tcBorders>
              <w:top w:val="nil"/>
              <w:left w:val="nil"/>
              <w:bottom w:val="nil"/>
              <w:right w:val="nil"/>
            </w:tcBorders>
            <w:noWrap/>
            <w:vAlign w:val="center"/>
            <w:hideMark/>
          </w:tcPr>
          <w:p w14:paraId="463DCDD0"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Attitude</w:t>
            </w:r>
          </w:p>
        </w:tc>
        <w:tc>
          <w:tcPr>
            <w:tcW w:w="950" w:type="dxa"/>
            <w:tcBorders>
              <w:top w:val="nil"/>
              <w:left w:val="nil"/>
              <w:bottom w:val="nil"/>
              <w:right w:val="nil"/>
            </w:tcBorders>
            <w:noWrap/>
            <w:vAlign w:val="center"/>
            <w:hideMark/>
          </w:tcPr>
          <w:p w14:paraId="4C0D8824"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-2.011</w:t>
            </w:r>
          </w:p>
        </w:tc>
        <w:tc>
          <w:tcPr>
            <w:tcW w:w="950" w:type="dxa"/>
            <w:tcBorders>
              <w:top w:val="nil"/>
              <w:left w:val="nil"/>
              <w:bottom w:val="nil"/>
              <w:right w:val="nil"/>
            </w:tcBorders>
            <w:noWrap/>
            <w:vAlign w:val="center"/>
            <w:hideMark/>
          </w:tcPr>
          <w:p w14:paraId="3E2CB647"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0.936</w:t>
            </w:r>
          </w:p>
        </w:tc>
        <w:tc>
          <w:tcPr>
            <w:tcW w:w="950" w:type="dxa"/>
            <w:tcBorders>
              <w:top w:val="nil"/>
              <w:left w:val="nil"/>
              <w:bottom w:val="nil"/>
              <w:right w:val="nil"/>
            </w:tcBorders>
            <w:noWrap/>
            <w:vAlign w:val="center"/>
            <w:hideMark/>
          </w:tcPr>
          <w:p w14:paraId="54599C88"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4.622</w:t>
            </w:r>
          </w:p>
        </w:tc>
        <w:tc>
          <w:tcPr>
            <w:tcW w:w="950" w:type="dxa"/>
            <w:tcBorders>
              <w:top w:val="nil"/>
              <w:left w:val="nil"/>
              <w:bottom w:val="nil"/>
              <w:right w:val="nil"/>
            </w:tcBorders>
            <w:noWrap/>
            <w:vAlign w:val="center"/>
            <w:hideMark/>
          </w:tcPr>
          <w:p w14:paraId="0CD6E5FA"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w:t>
            </w:r>
          </w:p>
        </w:tc>
        <w:tc>
          <w:tcPr>
            <w:tcW w:w="950" w:type="dxa"/>
            <w:tcBorders>
              <w:top w:val="nil"/>
              <w:left w:val="nil"/>
              <w:bottom w:val="nil"/>
              <w:right w:val="nil"/>
            </w:tcBorders>
            <w:noWrap/>
            <w:vAlign w:val="center"/>
            <w:hideMark/>
          </w:tcPr>
          <w:p w14:paraId="2B414FC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0.032</w:t>
            </w:r>
          </w:p>
        </w:tc>
        <w:tc>
          <w:tcPr>
            <w:tcW w:w="950" w:type="dxa"/>
            <w:tcBorders>
              <w:top w:val="nil"/>
              <w:left w:val="nil"/>
              <w:bottom w:val="nil"/>
              <w:right w:val="nil"/>
            </w:tcBorders>
            <w:noWrap/>
            <w:vAlign w:val="center"/>
            <w:hideMark/>
          </w:tcPr>
          <w:p w14:paraId="039D9834"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0.134</w:t>
            </w:r>
          </w:p>
        </w:tc>
        <w:tc>
          <w:tcPr>
            <w:tcW w:w="874" w:type="dxa"/>
            <w:tcBorders>
              <w:top w:val="nil"/>
              <w:left w:val="nil"/>
              <w:bottom w:val="nil"/>
              <w:right w:val="nil"/>
            </w:tcBorders>
            <w:noWrap/>
            <w:vAlign w:val="center"/>
            <w:hideMark/>
          </w:tcPr>
          <w:p w14:paraId="4FE4A46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0.021</w:t>
            </w:r>
          </w:p>
        </w:tc>
        <w:tc>
          <w:tcPr>
            <w:tcW w:w="1143" w:type="dxa"/>
            <w:tcBorders>
              <w:top w:val="nil"/>
              <w:left w:val="nil"/>
              <w:bottom w:val="nil"/>
              <w:right w:val="nil"/>
            </w:tcBorders>
            <w:noWrap/>
            <w:vAlign w:val="center"/>
            <w:hideMark/>
          </w:tcPr>
          <w:p w14:paraId="118324DD"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0.837</w:t>
            </w:r>
          </w:p>
        </w:tc>
      </w:tr>
      <w:tr w:rsidR="00D27652" w:rsidRPr="00AB3E42" w14:paraId="6F33FA45" w14:textId="77777777" w:rsidTr="00BE18AB">
        <w:trPr>
          <w:trHeight w:val="310"/>
        </w:trPr>
        <w:tc>
          <w:tcPr>
            <w:tcW w:w="1544" w:type="dxa"/>
            <w:tcBorders>
              <w:top w:val="nil"/>
              <w:left w:val="nil"/>
              <w:bottom w:val="nil"/>
              <w:right w:val="nil"/>
            </w:tcBorders>
            <w:noWrap/>
            <w:vAlign w:val="center"/>
            <w:hideMark/>
          </w:tcPr>
          <w:p w14:paraId="340D0AC6"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Availability</w:t>
            </w:r>
          </w:p>
        </w:tc>
        <w:tc>
          <w:tcPr>
            <w:tcW w:w="950" w:type="dxa"/>
            <w:tcBorders>
              <w:top w:val="nil"/>
              <w:left w:val="nil"/>
              <w:bottom w:val="nil"/>
              <w:right w:val="nil"/>
            </w:tcBorders>
            <w:noWrap/>
            <w:vAlign w:val="center"/>
            <w:hideMark/>
          </w:tcPr>
          <w:p w14:paraId="73631AE1"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-3.337</w:t>
            </w:r>
          </w:p>
        </w:tc>
        <w:tc>
          <w:tcPr>
            <w:tcW w:w="950" w:type="dxa"/>
            <w:tcBorders>
              <w:top w:val="nil"/>
              <w:left w:val="nil"/>
              <w:bottom w:val="nil"/>
              <w:right w:val="nil"/>
            </w:tcBorders>
            <w:noWrap/>
            <w:vAlign w:val="center"/>
            <w:hideMark/>
          </w:tcPr>
          <w:p w14:paraId="3C0B187C"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1.567</w:t>
            </w:r>
          </w:p>
        </w:tc>
        <w:tc>
          <w:tcPr>
            <w:tcW w:w="950" w:type="dxa"/>
            <w:tcBorders>
              <w:top w:val="nil"/>
              <w:left w:val="nil"/>
              <w:bottom w:val="nil"/>
              <w:right w:val="nil"/>
            </w:tcBorders>
            <w:noWrap/>
            <w:vAlign w:val="center"/>
            <w:hideMark/>
          </w:tcPr>
          <w:p w14:paraId="10B7128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4.533</w:t>
            </w:r>
          </w:p>
        </w:tc>
        <w:tc>
          <w:tcPr>
            <w:tcW w:w="950" w:type="dxa"/>
            <w:tcBorders>
              <w:top w:val="nil"/>
              <w:left w:val="nil"/>
              <w:bottom w:val="nil"/>
              <w:right w:val="nil"/>
            </w:tcBorders>
            <w:noWrap/>
            <w:vAlign w:val="center"/>
            <w:hideMark/>
          </w:tcPr>
          <w:p w14:paraId="5A4DC750"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w:t>
            </w:r>
          </w:p>
        </w:tc>
        <w:tc>
          <w:tcPr>
            <w:tcW w:w="950" w:type="dxa"/>
            <w:tcBorders>
              <w:top w:val="nil"/>
              <w:left w:val="nil"/>
              <w:bottom w:val="nil"/>
              <w:right w:val="nil"/>
            </w:tcBorders>
            <w:noWrap/>
            <w:vAlign w:val="center"/>
            <w:hideMark/>
          </w:tcPr>
          <w:p w14:paraId="74E429D7"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0.033</w:t>
            </w:r>
          </w:p>
        </w:tc>
        <w:tc>
          <w:tcPr>
            <w:tcW w:w="950" w:type="dxa"/>
            <w:tcBorders>
              <w:top w:val="nil"/>
              <w:left w:val="nil"/>
              <w:bottom w:val="nil"/>
              <w:right w:val="nil"/>
            </w:tcBorders>
            <w:noWrap/>
            <w:vAlign w:val="center"/>
            <w:hideMark/>
          </w:tcPr>
          <w:p w14:paraId="70261EE1"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0.036</w:t>
            </w:r>
          </w:p>
        </w:tc>
        <w:tc>
          <w:tcPr>
            <w:tcW w:w="874" w:type="dxa"/>
            <w:tcBorders>
              <w:top w:val="nil"/>
              <w:left w:val="nil"/>
              <w:bottom w:val="nil"/>
              <w:right w:val="nil"/>
            </w:tcBorders>
            <w:noWrap/>
            <w:vAlign w:val="center"/>
            <w:hideMark/>
          </w:tcPr>
          <w:p w14:paraId="017B8EA9"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0.002</w:t>
            </w:r>
          </w:p>
        </w:tc>
        <w:tc>
          <w:tcPr>
            <w:tcW w:w="1143" w:type="dxa"/>
            <w:tcBorders>
              <w:top w:val="nil"/>
              <w:left w:val="nil"/>
              <w:bottom w:val="nil"/>
              <w:right w:val="nil"/>
            </w:tcBorders>
            <w:noWrap/>
            <w:vAlign w:val="center"/>
            <w:hideMark/>
          </w:tcPr>
          <w:p w14:paraId="7C1C92AD"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0.767</w:t>
            </w:r>
          </w:p>
        </w:tc>
      </w:tr>
      <w:tr w:rsidR="00D27652" w:rsidRPr="00AB3E42" w14:paraId="0762D073" w14:textId="77777777" w:rsidTr="00BE18AB">
        <w:trPr>
          <w:trHeight w:val="310"/>
        </w:trPr>
        <w:tc>
          <w:tcPr>
            <w:tcW w:w="1544" w:type="dxa"/>
            <w:tcBorders>
              <w:top w:val="nil"/>
              <w:left w:val="nil"/>
              <w:bottom w:val="nil"/>
              <w:right w:val="nil"/>
            </w:tcBorders>
            <w:noWrap/>
            <w:vAlign w:val="center"/>
            <w:hideMark/>
          </w:tcPr>
          <w:p w14:paraId="38152560"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Income</w:t>
            </w:r>
          </w:p>
        </w:tc>
        <w:tc>
          <w:tcPr>
            <w:tcW w:w="950" w:type="dxa"/>
            <w:tcBorders>
              <w:top w:val="nil"/>
              <w:left w:val="nil"/>
              <w:bottom w:val="nil"/>
              <w:right w:val="nil"/>
            </w:tcBorders>
            <w:noWrap/>
            <w:vAlign w:val="center"/>
            <w:hideMark/>
          </w:tcPr>
          <w:p w14:paraId="1E47948A"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4.173</w:t>
            </w:r>
          </w:p>
        </w:tc>
        <w:tc>
          <w:tcPr>
            <w:tcW w:w="950" w:type="dxa"/>
            <w:tcBorders>
              <w:top w:val="nil"/>
              <w:left w:val="nil"/>
              <w:bottom w:val="nil"/>
              <w:right w:val="nil"/>
            </w:tcBorders>
            <w:noWrap/>
            <w:vAlign w:val="center"/>
            <w:hideMark/>
          </w:tcPr>
          <w:p w14:paraId="3B1A429B"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1.595</w:t>
            </w:r>
          </w:p>
        </w:tc>
        <w:tc>
          <w:tcPr>
            <w:tcW w:w="950" w:type="dxa"/>
            <w:tcBorders>
              <w:top w:val="nil"/>
              <w:left w:val="nil"/>
              <w:bottom w:val="nil"/>
              <w:right w:val="nil"/>
            </w:tcBorders>
            <w:noWrap/>
            <w:vAlign w:val="center"/>
            <w:hideMark/>
          </w:tcPr>
          <w:p w14:paraId="797A114B"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6.843</w:t>
            </w:r>
          </w:p>
        </w:tc>
        <w:tc>
          <w:tcPr>
            <w:tcW w:w="950" w:type="dxa"/>
            <w:tcBorders>
              <w:top w:val="nil"/>
              <w:left w:val="nil"/>
              <w:bottom w:val="nil"/>
              <w:right w:val="nil"/>
            </w:tcBorders>
            <w:noWrap/>
            <w:vAlign w:val="center"/>
            <w:hideMark/>
          </w:tcPr>
          <w:p w14:paraId="5AF6540B"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w:t>
            </w:r>
          </w:p>
        </w:tc>
        <w:tc>
          <w:tcPr>
            <w:tcW w:w="950" w:type="dxa"/>
            <w:tcBorders>
              <w:top w:val="nil"/>
              <w:left w:val="nil"/>
              <w:bottom w:val="nil"/>
              <w:right w:val="nil"/>
            </w:tcBorders>
            <w:noWrap/>
            <w:vAlign w:val="center"/>
            <w:hideMark/>
          </w:tcPr>
          <w:p w14:paraId="3703161E"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0.009</w:t>
            </w:r>
          </w:p>
        </w:tc>
        <w:tc>
          <w:tcPr>
            <w:tcW w:w="950" w:type="dxa"/>
            <w:tcBorders>
              <w:top w:val="nil"/>
              <w:left w:val="nil"/>
              <w:bottom w:val="nil"/>
              <w:right w:val="nil"/>
            </w:tcBorders>
            <w:noWrap/>
            <w:vAlign w:val="center"/>
            <w:hideMark/>
          </w:tcPr>
          <w:p w14:paraId="0C745ADD"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64.941</w:t>
            </w:r>
          </w:p>
        </w:tc>
        <w:tc>
          <w:tcPr>
            <w:tcW w:w="874" w:type="dxa"/>
            <w:tcBorders>
              <w:top w:val="nil"/>
              <w:left w:val="nil"/>
              <w:bottom w:val="nil"/>
              <w:right w:val="nil"/>
            </w:tcBorders>
            <w:noWrap/>
            <w:vAlign w:val="center"/>
            <w:hideMark/>
          </w:tcPr>
          <w:p w14:paraId="66CE7B38"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2.847</w:t>
            </w:r>
          </w:p>
        </w:tc>
        <w:tc>
          <w:tcPr>
            <w:tcW w:w="1143" w:type="dxa"/>
            <w:tcBorders>
              <w:top w:val="nil"/>
              <w:left w:val="nil"/>
              <w:bottom w:val="nil"/>
              <w:right w:val="nil"/>
            </w:tcBorders>
            <w:noWrap/>
            <w:vAlign w:val="center"/>
            <w:hideMark/>
          </w:tcPr>
          <w:p w14:paraId="1A59F04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1481.092</w:t>
            </w:r>
          </w:p>
        </w:tc>
      </w:tr>
      <w:tr w:rsidR="00D27652" w:rsidRPr="00AB3E42" w14:paraId="19C4E4D7" w14:textId="77777777" w:rsidTr="00BE18AB">
        <w:trPr>
          <w:trHeight w:val="310"/>
        </w:trPr>
        <w:tc>
          <w:tcPr>
            <w:tcW w:w="1544" w:type="dxa"/>
            <w:tcBorders>
              <w:top w:val="nil"/>
              <w:left w:val="nil"/>
              <w:bottom w:val="nil"/>
              <w:right w:val="nil"/>
            </w:tcBorders>
            <w:noWrap/>
            <w:vAlign w:val="center"/>
            <w:hideMark/>
          </w:tcPr>
          <w:p w14:paraId="74E36F4A"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education level</w:t>
            </w:r>
          </w:p>
        </w:tc>
        <w:tc>
          <w:tcPr>
            <w:tcW w:w="950" w:type="dxa"/>
            <w:tcBorders>
              <w:top w:val="nil"/>
              <w:left w:val="nil"/>
              <w:bottom w:val="nil"/>
              <w:right w:val="nil"/>
            </w:tcBorders>
            <w:noWrap/>
            <w:vAlign w:val="center"/>
            <w:hideMark/>
          </w:tcPr>
          <w:p w14:paraId="54316DD5"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2.735</w:t>
            </w:r>
          </w:p>
        </w:tc>
        <w:tc>
          <w:tcPr>
            <w:tcW w:w="950" w:type="dxa"/>
            <w:tcBorders>
              <w:top w:val="nil"/>
              <w:left w:val="nil"/>
              <w:bottom w:val="nil"/>
              <w:right w:val="nil"/>
            </w:tcBorders>
            <w:noWrap/>
            <w:vAlign w:val="center"/>
            <w:hideMark/>
          </w:tcPr>
          <w:p w14:paraId="074F5947"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1.402</w:t>
            </w:r>
          </w:p>
        </w:tc>
        <w:tc>
          <w:tcPr>
            <w:tcW w:w="950" w:type="dxa"/>
            <w:tcBorders>
              <w:top w:val="nil"/>
              <w:left w:val="nil"/>
              <w:bottom w:val="nil"/>
              <w:right w:val="nil"/>
            </w:tcBorders>
            <w:noWrap/>
            <w:vAlign w:val="center"/>
            <w:hideMark/>
          </w:tcPr>
          <w:p w14:paraId="0A20A48E"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3.805</w:t>
            </w:r>
          </w:p>
        </w:tc>
        <w:tc>
          <w:tcPr>
            <w:tcW w:w="950" w:type="dxa"/>
            <w:tcBorders>
              <w:top w:val="nil"/>
              <w:left w:val="nil"/>
              <w:bottom w:val="nil"/>
              <w:right w:val="nil"/>
            </w:tcBorders>
            <w:noWrap/>
            <w:vAlign w:val="center"/>
            <w:hideMark/>
          </w:tcPr>
          <w:p w14:paraId="21559210"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w:t>
            </w:r>
          </w:p>
        </w:tc>
        <w:tc>
          <w:tcPr>
            <w:tcW w:w="950" w:type="dxa"/>
            <w:tcBorders>
              <w:top w:val="nil"/>
              <w:left w:val="nil"/>
              <w:bottom w:val="nil"/>
              <w:right w:val="nil"/>
            </w:tcBorders>
            <w:noWrap/>
            <w:vAlign w:val="center"/>
            <w:hideMark/>
          </w:tcPr>
          <w:p w14:paraId="6AD1254F"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0.005</w:t>
            </w:r>
          </w:p>
        </w:tc>
        <w:tc>
          <w:tcPr>
            <w:tcW w:w="950" w:type="dxa"/>
            <w:tcBorders>
              <w:top w:val="nil"/>
              <w:left w:val="nil"/>
              <w:bottom w:val="nil"/>
              <w:right w:val="nil"/>
            </w:tcBorders>
            <w:noWrap/>
            <w:vAlign w:val="center"/>
            <w:hideMark/>
          </w:tcPr>
          <w:p w14:paraId="74913C0F"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15.413</w:t>
            </w:r>
          </w:p>
        </w:tc>
        <w:tc>
          <w:tcPr>
            <w:tcW w:w="874" w:type="dxa"/>
            <w:tcBorders>
              <w:top w:val="nil"/>
              <w:left w:val="nil"/>
              <w:bottom w:val="nil"/>
              <w:right w:val="nil"/>
            </w:tcBorders>
            <w:noWrap/>
            <w:vAlign w:val="center"/>
            <w:hideMark/>
          </w:tcPr>
          <w:p w14:paraId="02BA0F1A"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0.987</w:t>
            </w:r>
          </w:p>
        </w:tc>
        <w:tc>
          <w:tcPr>
            <w:tcW w:w="1143" w:type="dxa"/>
            <w:tcBorders>
              <w:top w:val="nil"/>
              <w:left w:val="nil"/>
              <w:bottom w:val="nil"/>
              <w:right w:val="nil"/>
            </w:tcBorders>
            <w:noWrap/>
            <w:vAlign w:val="center"/>
            <w:hideMark/>
          </w:tcPr>
          <w:p w14:paraId="36E21177"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240.671</w:t>
            </w:r>
          </w:p>
        </w:tc>
      </w:tr>
      <w:tr w:rsidR="00D27652" w:rsidRPr="00AB3E42" w14:paraId="4250D818" w14:textId="77777777" w:rsidTr="00BE18AB">
        <w:trPr>
          <w:trHeight w:val="320"/>
        </w:trPr>
        <w:tc>
          <w:tcPr>
            <w:tcW w:w="1544" w:type="dxa"/>
            <w:tcBorders>
              <w:top w:val="nil"/>
              <w:left w:val="nil"/>
              <w:bottom w:val="single" w:sz="8" w:space="0" w:color="auto"/>
              <w:right w:val="nil"/>
            </w:tcBorders>
            <w:noWrap/>
            <w:vAlign w:val="center"/>
            <w:hideMark/>
          </w:tcPr>
          <w:p w14:paraId="318BD815"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Constant</w:t>
            </w:r>
          </w:p>
        </w:tc>
        <w:tc>
          <w:tcPr>
            <w:tcW w:w="950" w:type="dxa"/>
            <w:tcBorders>
              <w:top w:val="nil"/>
              <w:left w:val="nil"/>
              <w:bottom w:val="single" w:sz="8" w:space="0" w:color="auto"/>
              <w:right w:val="nil"/>
            </w:tcBorders>
            <w:noWrap/>
            <w:vAlign w:val="center"/>
            <w:hideMark/>
          </w:tcPr>
          <w:p w14:paraId="5CED7E8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1.028</w:t>
            </w:r>
          </w:p>
        </w:tc>
        <w:tc>
          <w:tcPr>
            <w:tcW w:w="950" w:type="dxa"/>
            <w:tcBorders>
              <w:top w:val="nil"/>
              <w:left w:val="nil"/>
              <w:bottom w:val="single" w:sz="8" w:space="0" w:color="auto"/>
              <w:right w:val="nil"/>
            </w:tcBorders>
            <w:noWrap/>
            <w:vAlign w:val="center"/>
            <w:hideMark/>
          </w:tcPr>
          <w:p w14:paraId="1E1B3C1D"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0.41</w:t>
            </w:r>
          </w:p>
        </w:tc>
        <w:tc>
          <w:tcPr>
            <w:tcW w:w="950" w:type="dxa"/>
            <w:tcBorders>
              <w:top w:val="nil"/>
              <w:left w:val="nil"/>
              <w:bottom w:val="single" w:sz="8" w:space="0" w:color="auto"/>
              <w:right w:val="nil"/>
            </w:tcBorders>
            <w:noWrap/>
            <w:vAlign w:val="center"/>
            <w:hideMark/>
          </w:tcPr>
          <w:p w14:paraId="15DDD3D1"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6.277</w:t>
            </w:r>
          </w:p>
        </w:tc>
        <w:tc>
          <w:tcPr>
            <w:tcW w:w="950" w:type="dxa"/>
            <w:tcBorders>
              <w:top w:val="nil"/>
              <w:left w:val="nil"/>
              <w:bottom w:val="single" w:sz="8" w:space="0" w:color="auto"/>
              <w:right w:val="nil"/>
            </w:tcBorders>
            <w:noWrap/>
            <w:vAlign w:val="center"/>
            <w:hideMark/>
          </w:tcPr>
          <w:p w14:paraId="7A13C400"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1</w:t>
            </w:r>
          </w:p>
        </w:tc>
        <w:tc>
          <w:tcPr>
            <w:tcW w:w="950" w:type="dxa"/>
            <w:tcBorders>
              <w:top w:val="nil"/>
              <w:left w:val="nil"/>
              <w:bottom w:val="single" w:sz="8" w:space="0" w:color="auto"/>
              <w:right w:val="nil"/>
            </w:tcBorders>
            <w:noWrap/>
            <w:vAlign w:val="center"/>
            <w:hideMark/>
          </w:tcPr>
          <w:p w14:paraId="6353345A"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0.012</w:t>
            </w:r>
          </w:p>
        </w:tc>
        <w:tc>
          <w:tcPr>
            <w:tcW w:w="950" w:type="dxa"/>
            <w:tcBorders>
              <w:top w:val="nil"/>
              <w:left w:val="nil"/>
              <w:bottom w:val="single" w:sz="8" w:space="0" w:color="auto"/>
              <w:right w:val="nil"/>
            </w:tcBorders>
            <w:noWrap/>
            <w:vAlign w:val="center"/>
            <w:hideMark/>
          </w:tcPr>
          <w:p w14:paraId="0A0C4062"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2.794</w:t>
            </w:r>
          </w:p>
        </w:tc>
        <w:tc>
          <w:tcPr>
            <w:tcW w:w="874" w:type="dxa"/>
            <w:tcBorders>
              <w:top w:val="nil"/>
              <w:left w:val="nil"/>
              <w:bottom w:val="single" w:sz="8" w:space="0" w:color="auto"/>
              <w:right w:val="nil"/>
            </w:tcBorders>
            <w:noWrap/>
            <w:vAlign w:val="center"/>
            <w:hideMark/>
          </w:tcPr>
          <w:p w14:paraId="130EA15B"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 </w:t>
            </w:r>
          </w:p>
        </w:tc>
        <w:tc>
          <w:tcPr>
            <w:tcW w:w="1143" w:type="dxa"/>
            <w:tcBorders>
              <w:top w:val="nil"/>
              <w:left w:val="nil"/>
              <w:bottom w:val="single" w:sz="8" w:space="0" w:color="auto"/>
              <w:right w:val="nil"/>
            </w:tcBorders>
            <w:noWrap/>
            <w:vAlign w:val="center"/>
            <w:hideMark/>
          </w:tcPr>
          <w:p w14:paraId="3350EAEA"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 </w:t>
            </w:r>
          </w:p>
        </w:tc>
      </w:tr>
      <w:tr w:rsidR="00D27652" w:rsidRPr="00AB3E42" w14:paraId="46F1248A" w14:textId="77777777" w:rsidTr="00BE18AB">
        <w:trPr>
          <w:trHeight w:val="310"/>
        </w:trPr>
        <w:tc>
          <w:tcPr>
            <w:tcW w:w="9267" w:type="dxa"/>
            <w:gridSpan w:val="9"/>
            <w:tcBorders>
              <w:top w:val="single" w:sz="8" w:space="0" w:color="auto"/>
              <w:left w:val="nil"/>
              <w:bottom w:val="single" w:sz="8" w:space="0" w:color="auto"/>
              <w:right w:val="nil"/>
            </w:tcBorders>
            <w:vAlign w:val="center"/>
            <w:hideMark/>
          </w:tcPr>
          <w:p w14:paraId="327ED654" w14:textId="77777777" w:rsidR="00D27652" w:rsidRPr="00AB3E42" w:rsidRDefault="00D27652" w:rsidP="00BE18AB">
            <w:pPr>
              <w:spacing w:before="0" w:after="0" w:line="276" w:lineRule="auto"/>
              <w:jc w:val="both"/>
              <w:rPr>
                <w:rFonts w:ascii="Arial Narrow" w:eastAsia="Times New Roman" w:hAnsi="Arial Narrow" w:cstheme="majorHAnsi"/>
                <w:kern w:val="0"/>
                <w:lang w:val="en-US" w:eastAsia="en-GB"/>
                <w14:ligatures w14:val="none"/>
              </w:rPr>
            </w:pPr>
            <w:r w:rsidRPr="00AB3E42">
              <w:rPr>
                <w:rFonts w:ascii="Arial Narrow" w:eastAsia="Times New Roman" w:hAnsi="Arial Narrow" w:cstheme="majorHAnsi"/>
                <w:kern w:val="0"/>
                <w:lang w:val="en-US" w:eastAsia="en-GB"/>
                <w14:ligatures w14:val="none"/>
              </w:rPr>
              <w:t>Nagelkerke R-Square = 0.459</w:t>
            </w:r>
          </w:p>
        </w:tc>
      </w:tr>
    </w:tbl>
    <w:p w14:paraId="2C139BAC" w14:textId="77777777" w:rsidR="00D27652" w:rsidRPr="00AB3E42" w:rsidRDefault="00D27652" w:rsidP="00D27652">
      <w:pPr>
        <w:spacing w:after="0"/>
        <w:jc w:val="both"/>
        <w:rPr>
          <w:rFonts w:ascii="Arial Narrow" w:eastAsia="Times New Roman" w:hAnsi="Arial Narrow" w:cstheme="majorHAnsi"/>
          <w:kern w:val="0"/>
          <w:lang w:eastAsia="en-GB"/>
          <w14:ligatures w14:val="none"/>
        </w:rPr>
      </w:pPr>
      <w:r w:rsidRPr="00AB3E42">
        <w:rPr>
          <w:rFonts w:ascii="Arial Narrow" w:eastAsia="Times New Roman" w:hAnsi="Arial Narrow" w:cstheme="majorHAnsi"/>
          <w:kern w:val="0"/>
          <w:lang w:eastAsia="en-GB"/>
          <w14:ligatures w14:val="none"/>
        </w:rPr>
        <w:t>Source: Study findings, 2025</w:t>
      </w:r>
    </w:p>
    <w:p w14:paraId="284000A3" w14:textId="39347682" w:rsidR="00503A0C" w:rsidRPr="00AB3E42" w:rsidRDefault="00056F9B" w:rsidP="00503A0C">
      <w:pPr>
        <w:spacing w:before="100" w:beforeAutospacing="1" w:after="100" w:afterAutospacing="1"/>
        <w:jc w:val="both"/>
        <w:outlineLvl w:val="3"/>
        <w:rPr>
          <w:rFonts w:ascii="Arial Narrow" w:hAnsi="Arial Narrow" w:cstheme="majorHAnsi"/>
          <w:lang w:val="en-US" w:eastAsia="en-GB"/>
        </w:rPr>
      </w:pPr>
      <w:r w:rsidRPr="00AB3E42">
        <w:rPr>
          <w:rFonts w:ascii="Arial Narrow" w:hAnsi="Arial Narrow" w:cstheme="majorHAnsi"/>
          <w:lang w:eastAsia="en-GB"/>
        </w:rPr>
        <w:t>In t</w:t>
      </w:r>
      <w:r w:rsidR="000C0E26" w:rsidRPr="00AB3E42">
        <w:rPr>
          <w:rFonts w:ascii="Arial Narrow" w:hAnsi="Arial Narrow" w:cstheme="majorHAnsi"/>
          <w:lang w:eastAsia="en-GB"/>
        </w:rPr>
        <w:t>his study</w:t>
      </w:r>
      <w:r w:rsidRPr="00AB3E42">
        <w:rPr>
          <w:rFonts w:ascii="Arial Narrow" w:hAnsi="Arial Narrow" w:cstheme="majorHAnsi"/>
          <w:lang w:eastAsia="en-GB"/>
        </w:rPr>
        <w:t>,</w:t>
      </w:r>
      <w:r w:rsidR="000C0E26" w:rsidRPr="00AB3E42">
        <w:rPr>
          <w:rFonts w:ascii="Arial Narrow" w:hAnsi="Arial Narrow" w:cstheme="majorHAnsi"/>
          <w:lang w:eastAsia="en-GB"/>
        </w:rPr>
        <w:t xml:space="preserve"> </w:t>
      </w:r>
      <w:r w:rsidRPr="00AB3E42">
        <w:rPr>
          <w:rFonts w:ascii="Arial Narrow" w:hAnsi="Arial Narrow" w:cstheme="majorHAnsi"/>
          <w:lang w:eastAsia="en-GB"/>
        </w:rPr>
        <w:t>w</w:t>
      </w:r>
      <w:r w:rsidR="000C0E26" w:rsidRPr="00AB3E42">
        <w:rPr>
          <w:rFonts w:ascii="Arial Narrow" w:hAnsi="Arial Narrow" w:cstheme="majorHAnsi"/>
          <w:lang w:eastAsia="en-GB"/>
        </w:rPr>
        <w:t>e</w:t>
      </w:r>
      <w:r w:rsidRPr="00AB3E42">
        <w:rPr>
          <w:rFonts w:ascii="Arial Narrow" w:hAnsi="Arial Narrow" w:cstheme="majorHAnsi"/>
          <w:lang w:eastAsia="en-GB"/>
        </w:rPr>
        <w:t xml:space="preserve"> us</w:t>
      </w:r>
      <w:r w:rsidR="000C0E26" w:rsidRPr="00AB3E42">
        <w:rPr>
          <w:rFonts w:ascii="Arial Narrow" w:hAnsi="Arial Narrow" w:cstheme="majorHAnsi"/>
          <w:lang w:eastAsia="en-GB"/>
        </w:rPr>
        <w:t xml:space="preserve">e the LR model to </w:t>
      </w:r>
      <w:r w:rsidR="002866F3" w:rsidRPr="00AB3E42">
        <w:rPr>
          <w:rFonts w:ascii="Arial Narrow" w:hAnsi="Arial Narrow" w:cstheme="majorHAnsi"/>
          <w:lang w:eastAsia="en-GB"/>
        </w:rPr>
        <w:t>analyse</w:t>
      </w:r>
      <w:r w:rsidRPr="00AB3E42">
        <w:rPr>
          <w:rFonts w:ascii="Arial Narrow" w:hAnsi="Arial Narrow" w:cstheme="majorHAnsi"/>
          <w:lang w:eastAsia="en-GB"/>
        </w:rPr>
        <w:t xml:space="preserve"> the f</w:t>
      </w:r>
      <w:r w:rsidR="000C0E26" w:rsidRPr="00AB3E42">
        <w:rPr>
          <w:rFonts w:ascii="Arial Narrow" w:hAnsi="Arial Narrow" w:cstheme="majorHAnsi"/>
          <w:lang w:eastAsia="en-GB"/>
        </w:rPr>
        <w:t>a</w:t>
      </w:r>
      <w:r w:rsidRPr="00AB3E42">
        <w:rPr>
          <w:rFonts w:ascii="Arial Narrow" w:hAnsi="Arial Narrow" w:cstheme="majorHAnsi"/>
          <w:lang w:eastAsia="en-GB"/>
        </w:rPr>
        <w:t xml:space="preserve">ctors </w:t>
      </w:r>
      <w:r w:rsidR="000C0E26" w:rsidRPr="00AB3E42">
        <w:rPr>
          <w:rFonts w:ascii="Arial Narrow" w:hAnsi="Arial Narrow" w:cstheme="majorHAnsi"/>
          <w:lang w:eastAsia="en-GB"/>
        </w:rPr>
        <w:t>in</w:t>
      </w:r>
      <w:r w:rsidRPr="00AB3E42">
        <w:rPr>
          <w:rFonts w:ascii="Arial Narrow" w:hAnsi="Arial Narrow" w:cstheme="majorHAnsi"/>
          <w:lang w:eastAsia="en-GB"/>
        </w:rPr>
        <w:t>flu</w:t>
      </w:r>
      <w:r w:rsidR="000C0E26" w:rsidRPr="00AB3E42">
        <w:rPr>
          <w:rFonts w:ascii="Arial Narrow" w:hAnsi="Arial Narrow" w:cstheme="majorHAnsi"/>
          <w:lang w:eastAsia="en-GB"/>
        </w:rPr>
        <w:t>e</w:t>
      </w:r>
      <w:r w:rsidRPr="00AB3E42">
        <w:rPr>
          <w:rFonts w:ascii="Arial Narrow" w:hAnsi="Arial Narrow" w:cstheme="majorHAnsi"/>
          <w:lang w:eastAsia="en-GB"/>
        </w:rPr>
        <w:t>ncing</w:t>
      </w:r>
      <w:r w:rsidR="000C0E26" w:rsidRPr="00AB3E42">
        <w:rPr>
          <w:rFonts w:ascii="Arial Narrow" w:hAnsi="Arial Narrow" w:cstheme="majorHAnsi"/>
          <w:lang w:eastAsia="en-GB"/>
        </w:rPr>
        <w:t xml:space="preserve"> the </w:t>
      </w:r>
      <w:r w:rsidR="002866F3" w:rsidRPr="00AB3E42">
        <w:rPr>
          <w:rFonts w:ascii="Arial Narrow" w:hAnsi="Arial Narrow" w:cstheme="majorHAnsi"/>
          <w:lang w:eastAsia="en-GB"/>
        </w:rPr>
        <w:t>Adoption of LPG in</w:t>
      </w:r>
      <w:r w:rsidRPr="00AB3E42">
        <w:rPr>
          <w:rFonts w:ascii="Arial Narrow" w:hAnsi="Arial Narrow" w:cstheme="majorHAnsi"/>
          <w:lang w:eastAsia="en-GB"/>
        </w:rPr>
        <w:t xml:space="preserve"> the </w:t>
      </w:r>
      <w:r w:rsidR="000C0E26" w:rsidRPr="00AB3E42">
        <w:rPr>
          <w:rFonts w:ascii="Arial Narrow" w:hAnsi="Arial Narrow" w:cstheme="majorHAnsi"/>
          <w:lang w:eastAsia="en-GB"/>
        </w:rPr>
        <w:t>s</w:t>
      </w:r>
      <w:r w:rsidRPr="00AB3E42">
        <w:rPr>
          <w:rFonts w:ascii="Arial Narrow" w:hAnsi="Arial Narrow" w:cstheme="majorHAnsi"/>
          <w:lang w:eastAsia="en-GB"/>
        </w:rPr>
        <w:t>tudy</w:t>
      </w:r>
      <w:r w:rsidR="000C0E26" w:rsidRPr="00AB3E42">
        <w:rPr>
          <w:rFonts w:ascii="Arial Narrow" w:hAnsi="Arial Narrow" w:cstheme="majorHAnsi"/>
          <w:lang w:eastAsia="en-GB"/>
        </w:rPr>
        <w:t xml:space="preserve"> </w:t>
      </w:r>
      <w:r w:rsidRPr="00AB3E42">
        <w:rPr>
          <w:rFonts w:ascii="Arial Narrow" w:hAnsi="Arial Narrow" w:cstheme="majorHAnsi"/>
          <w:lang w:eastAsia="en-GB"/>
        </w:rPr>
        <w:t>a</w:t>
      </w:r>
      <w:r w:rsidR="000C0E26" w:rsidRPr="00AB3E42">
        <w:rPr>
          <w:rFonts w:ascii="Arial Narrow" w:hAnsi="Arial Narrow" w:cstheme="majorHAnsi"/>
          <w:lang w:eastAsia="en-GB"/>
        </w:rPr>
        <w:t xml:space="preserve">rea. The </w:t>
      </w:r>
      <w:r w:rsidR="00503A0C" w:rsidRPr="00AB3E42">
        <w:rPr>
          <w:rFonts w:ascii="Arial Narrow" w:hAnsi="Arial Narrow" w:cstheme="majorHAnsi"/>
          <w:lang w:eastAsia="en-GB"/>
        </w:rPr>
        <w:t>factors considered</w:t>
      </w:r>
      <w:r w:rsidRPr="00AB3E42">
        <w:rPr>
          <w:rFonts w:ascii="Arial Narrow" w:hAnsi="Arial Narrow" w:cstheme="majorHAnsi"/>
          <w:lang w:eastAsia="en-GB"/>
        </w:rPr>
        <w:t xml:space="preserve"> in</w:t>
      </w:r>
      <w:r w:rsidR="00D41D20" w:rsidRPr="00AB3E42">
        <w:rPr>
          <w:rFonts w:ascii="Arial Narrow" w:hAnsi="Arial Narrow" w:cstheme="majorHAnsi"/>
          <w:lang w:eastAsia="en-GB"/>
        </w:rPr>
        <w:t xml:space="preserve"> the study </w:t>
      </w:r>
      <w:r w:rsidRPr="00AB3E42">
        <w:rPr>
          <w:rFonts w:ascii="Arial Narrow" w:hAnsi="Arial Narrow" w:cstheme="majorHAnsi"/>
          <w:lang w:eastAsia="en-GB"/>
        </w:rPr>
        <w:t xml:space="preserve">are </w:t>
      </w:r>
      <w:r w:rsidR="00503A0C" w:rsidRPr="00AB3E42">
        <w:rPr>
          <w:rFonts w:ascii="Arial Narrow" w:hAnsi="Arial Narrow" w:cstheme="majorHAnsi"/>
          <w:lang w:val="en-US" w:eastAsia="en-GB"/>
        </w:rPr>
        <w:t xml:space="preserve">The variables used were, awareness of LPG benefits, proximity to refill station, attitude towards LPG uses, availability of LPG suppliers, income, and education </w:t>
      </w:r>
      <w:r w:rsidR="00D27652" w:rsidRPr="00AB3E42">
        <w:rPr>
          <w:rFonts w:ascii="Arial Narrow" w:hAnsi="Arial Narrow" w:cstheme="majorHAnsi"/>
          <w:lang w:val="en-US" w:eastAsia="en-GB"/>
        </w:rPr>
        <w:t>level. The</w:t>
      </w:r>
      <w:r w:rsidR="00503A0C" w:rsidRPr="00AB3E42">
        <w:rPr>
          <w:rFonts w:ascii="Arial Narrow" w:hAnsi="Arial Narrow" w:cstheme="majorHAnsi"/>
          <w:lang w:val="en-US" w:eastAsia="en-GB"/>
        </w:rPr>
        <w:t xml:space="preserve"> result in Table 4 shows that the data from 87 respondents were analyzed. The likelihood ratio (LR) chi-square [LR Chi</w:t>
      </w:r>
      <w:r w:rsidR="00503A0C" w:rsidRPr="00AB3E42">
        <w:rPr>
          <w:rFonts w:ascii="Arial Narrow" w:hAnsi="Arial Narrow" w:cstheme="majorHAnsi"/>
          <w:vertAlign w:val="superscript"/>
          <w:lang w:val="en-US" w:eastAsia="en-GB"/>
        </w:rPr>
        <w:t>2</w:t>
      </w:r>
      <w:r w:rsidR="00503A0C" w:rsidRPr="00AB3E42">
        <w:rPr>
          <w:rFonts w:ascii="Arial Narrow" w:hAnsi="Arial Narrow" w:cstheme="majorHAnsi"/>
          <w:lang w:val="en-US" w:eastAsia="en-GB"/>
        </w:rPr>
        <w:t>(5)] value is 32.600. A significant LR chi-square test indicates that the proposed model is better than the null model (i.e., a model without any independent variable) in predicting the outcome variable. Furthermore, the LR chi-square test p-value = 0.0000 is less than 0.05, it means that the independent variables predict the outcome variable.</w:t>
      </w:r>
    </w:p>
    <w:p w14:paraId="2D09D230" w14:textId="6851235B" w:rsidR="00503A0C" w:rsidRPr="00AB3E42" w:rsidRDefault="00503A0C" w:rsidP="00503A0C">
      <w:pPr>
        <w:spacing w:before="100" w:beforeAutospacing="1" w:after="100" w:afterAutospacing="1"/>
        <w:jc w:val="both"/>
        <w:outlineLvl w:val="3"/>
        <w:rPr>
          <w:rFonts w:ascii="Arial Narrow" w:hAnsi="Arial Narrow" w:cstheme="majorHAnsi"/>
          <w:lang w:val="en-US" w:eastAsia="en-GB"/>
        </w:rPr>
      </w:pPr>
      <w:bookmarkStart w:id="5" w:name="_Hlk207130934"/>
      <w:r w:rsidRPr="00AB3E42">
        <w:rPr>
          <w:rFonts w:ascii="Arial Narrow" w:hAnsi="Arial Narrow" w:cstheme="majorHAnsi"/>
          <w:lang w:val="en-US" w:eastAsia="en-GB"/>
        </w:rPr>
        <w:t>The model explained 45.9% of the variance in adoption (Nagelkerke R² = 0.459), indicating a moderate explanatory power. Results showed that awareness (β = 4.131, p = 0.006, OR = 62.256) and income (β = 4.173, p = 0.009, OR = 64.941) were strong positive predictors of LPG adoption, suggesting that households with higher awareness and income were over 60 times more likely to adopt LPG compared to their counterparts. Education level (β = 2.735, p = 0.005, OR = 15.413) was significant, indicating a tendency for more educated households to adopt LPG. On the other hand, attitude (β = -2.011, p = 0.032, OR = 0.134) and availability (β = -3.337, p = 0.033, OR = 0.036) had less significant effects, implying that unfavorable perceptions significantly reduced the likelihood of adoption while availability is also influenced by other factors. Proximity (β = -0.976, p = 0.389, OR = 0.377) was not statistically significant, suggesting that distance to suppliers did not play a major role. The findings highlight that adoption of LPG is primarily facilitated by awareness, income, and education, while negative attitudes and limited availability serve as key barriers.</w:t>
      </w:r>
      <w:bookmarkEnd w:id="5"/>
    </w:p>
    <w:p w14:paraId="03E47D8E" w14:textId="0BC63AF2" w:rsidR="00503A0C" w:rsidRPr="00AB3E42" w:rsidRDefault="00503A0C" w:rsidP="00503A0C">
      <w:pPr>
        <w:spacing w:before="100" w:beforeAutospacing="1" w:after="100" w:afterAutospacing="1"/>
        <w:jc w:val="both"/>
        <w:outlineLvl w:val="2"/>
        <w:rPr>
          <w:rFonts w:ascii="Arial Narrow" w:eastAsia="Times New Roman" w:hAnsi="Arial Narrow" w:cs="Times New Roman"/>
          <w:b/>
          <w:bCs/>
          <w:kern w:val="0"/>
          <w:lang w:val="en-US"/>
          <w14:ligatures w14:val="none"/>
        </w:rPr>
      </w:pPr>
      <w:bookmarkStart w:id="6" w:name="_Toc208433495"/>
      <w:r w:rsidRPr="00AB3E42">
        <w:rPr>
          <w:rFonts w:ascii="Arial Narrow" w:eastAsia="Times New Roman" w:hAnsi="Arial Narrow" w:cs="Times New Roman"/>
          <w:b/>
          <w:bCs/>
          <w:kern w:val="0"/>
          <w:lang w:val="en-US"/>
          <w14:ligatures w14:val="none"/>
        </w:rPr>
        <w:lastRenderedPageBreak/>
        <w:t>Awareness of LPG benefits</w:t>
      </w:r>
      <w:bookmarkEnd w:id="6"/>
    </w:p>
    <w:p w14:paraId="0C941469" w14:textId="3C19AFED" w:rsidR="00503A0C" w:rsidRPr="00AB3E42" w:rsidRDefault="00D27652" w:rsidP="00503A0C">
      <w:pPr>
        <w:spacing w:before="0" w:after="160"/>
        <w:jc w:val="both"/>
        <w:rPr>
          <w:rFonts w:ascii="Arial Narrow" w:eastAsia="Calibri" w:hAnsi="Arial Narrow" w:cs="Times New Roman"/>
          <w:kern w:val="0"/>
          <w:lang w:val="en-US"/>
          <w14:ligatures w14:val="none"/>
        </w:rPr>
      </w:pPr>
      <w:bookmarkStart w:id="7" w:name="_Hlk206308251"/>
      <w:r w:rsidRPr="00AB3E42">
        <w:rPr>
          <w:rFonts w:ascii="Arial Narrow" w:eastAsia="Calibri" w:hAnsi="Arial Narrow" w:cs="Times New Roman"/>
          <w:kern w:val="0"/>
          <w:lang w:val="en-US"/>
          <w14:ligatures w14:val="none"/>
        </w:rPr>
        <w:t>Awareness of LPG benefits</w:t>
      </w:r>
      <w:r w:rsidR="00503A0C" w:rsidRPr="00AB3E42">
        <w:rPr>
          <w:rFonts w:ascii="Arial Narrow" w:eastAsia="Calibri" w:hAnsi="Arial Narrow" w:cs="Times New Roman"/>
          <w:kern w:val="0"/>
          <w:lang w:val="en-US"/>
          <w14:ligatures w14:val="none"/>
        </w:rPr>
        <w:t xml:space="preserve"> show that the odd ratio (OR) awareness of LPG benefits 62.256 (95% CI: 3.176-1219.311), which is statistically significant (P=0.006) times 4.131 more likelihood to influence adoption of LPG in Kalangalala Ward. This implies that the awareness of LPG benefit to the households and food vender’s influences adoption of LPG in the study area, with an odds ratio (OR) of 62.256 and a statistically significant p-value of 0.006. This suggests that awareness of households and food venders is more likely to influence HH and Food vendor adopt the LPG because they understand the impo</w:t>
      </w:r>
      <w:r w:rsidRPr="00AB3E42">
        <w:rPr>
          <w:rFonts w:ascii="Arial Narrow" w:eastAsia="Calibri" w:hAnsi="Arial Narrow" w:cs="Times New Roman"/>
          <w:kern w:val="0"/>
          <w:lang w:val="en-US"/>
          <w14:ligatures w14:val="none"/>
        </w:rPr>
        <w:t>rtance and benefits of the LPG. These</w:t>
      </w:r>
      <w:r w:rsidR="00503A0C" w:rsidRPr="00AB3E42">
        <w:rPr>
          <w:rFonts w:ascii="Arial Narrow" w:eastAsia="Calibri" w:hAnsi="Arial Narrow" w:cs="Times New Roman"/>
          <w:kern w:val="0"/>
          <w:lang w:val="en-US"/>
          <w14:ligatures w14:val="none"/>
        </w:rPr>
        <w:t xml:space="preserve"> findings supported by Kumar </w:t>
      </w:r>
      <w:r w:rsidR="00503A0C" w:rsidRPr="00AB3E42">
        <w:rPr>
          <w:rFonts w:ascii="Arial Narrow" w:eastAsia="Calibri" w:hAnsi="Arial Narrow" w:cs="Times New Roman"/>
          <w:i/>
          <w:iCs/>
          <w:kern w:val="0"/>
          <w:lang w:val="en-US"/>
          <w14:ligatures w14:val="none"/>
        </w:rPr>
        <w:t>et al.</w:t>
      </w:r>
      <w:r w:rsidR="00503A0C" w:rsidRPr="00AB3E42">
        <w:rPr>
          <w:rFonts w:ascii="Arial Narrow" w:eastAsia="Calibri" w:hAnsi="Arial Narrow" w:cs="Times New Roman"/>
          <w:kern w:val="0"/>
          <w:lang w:val="en-US"/>
          <w14:ligatures w14:val="none"/>
        </w:rPr>
        <w:t xml:space="preserve"> (2020) LPG adoption is strongly associated with attending awareness campaigns on clean cooking benefits, awareness campaigns on clean cooking benefits are strongly associated with LPG adoption in rural poor households in India, while easy availability of biomass and concerns about safety reduce adoption.</w:t>
      </w:r>
    </w:p>
    <w:p w14:paraId="4EBAF840" w14:textId="6EC4AC58" w:rsidR="00503A0C" w:rsidRPr="00AB3E42" w:rsidRDefault="00503A0C" w:rsidP="00EE670F">
      <w:pPr>
        <w:spacing w:before="0" w:after="160" w:line="259" w:lineRule="auto"/>
        <w:jc w:val="left"/>
        <w:rPr>
          <w:rFonts w:ascii="Arial Narrow" w:eastAsia="Times New Roman" w:hAnsi="Arial Narrow" w:cs="Times New Roman"/>
          <w:b/>
          <w:bCs/>
          <w:kern w:val="0"/>
          <w:lang w:val="en-US"/>
          <w14:ligatures w14:val="none"/>
        </w:rPr>
      </w:pPr>
      <w:bookmarkStart w:id="8" w:name="_Toc208433496"/>
      <w:bookmarkEnd w:id="7"/>
      <w:r w:rsidRPr="00AB3E42">
        <w:rPr>
          <w:rFonts w:ascii="Arial Narrow" w:eastAsia="Times New Roman" w:hAnsi="Arial Narrow" w:cs="Times New Roman"/>
          <w:b/>
          <w:bCs/>
          <w:kern w:val="0"/>
          <w:lang w:val="en-US"/>
          <w14:ligatures w14:val="none"/>
        </w:rPr>
        <w:t>Proximity to refilling station</w:t>
      </w:r>
      <w:bookmarkEnd w:id="8"/>
      <w:r w:rsidRPr="00AB3E42">
        <w:rPr>
          <w:rFonts w:ascii="Arial Narrow" w:eastAsia="Times New Roman" w:hAnsi="Arial Narrow" w:cs="Times New Roman"/>
          <w:b/>
          <w:bCs/>
          <w:kern w:val="0"/>
          <w:lang w:val="en-US"/>
          <w14:ligatures w14:val="none"/>
        </w:rPr>
        <w:t xml:space="preserve"> </w:t>
      </w:r>
    </w:p>
    <w:p w14:paraId="6CC9B13F" w14:textId="68D36236" w:rsidR="00503A0C" w:rsidRPr="00AB3E42" w:rsidRDefault="00EE670F" w:rsidP="00503A0C">
      <w:pPr>
        <w:spacing w:before="0" w:after="16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Proximity to refill cost indicate</w:t>
      </w:r>
      <w:r w:rsidR="00503A0C" w:rsidRPr="00AB3E42">
        <w:rPr>
          <w:rFonts w:ascii="Arial Narrow" w:eastAsia="Calibri" w:hAnsi="Arial Narrow" w:cs="Times New Roman"/>
          <w:kern w:val="0"/>
          <w:lang w:val="en-US"/>
          <w14:ligatures w14:val="none"/>
        </w:rPr>
        <w:t xml:space="preserve"> that odd ratio (OR) proximity to refilling station 0.377 (95% CI: 0.041-3.480), which is not statistically significant (P=0.389) times -976 less likelihood to influence adoption of LPG in Kalangalala Ward. This implies that the proximity to refilling station to the households and food vendors does not influences adoption of LPG in the ward, with an odds ratio (OR) of 0.377 and not statistically significant with p-value of 0.389. This suggests that proximity to refilling station to the households and food venders is not influencing the adoption of LPG because the issue of proximity is not determined on the context of refilling because the LPG suppliers are available in Kalangalala Ward. This dedicate that the proximity to refilling station to the household and food venders is not likelihood to influe</w:t>
      </w:r>
      <w:r w:rsidRPr="00AB3E42">
        <w:rPr>
          <w:rFonts w:ascii="Arial Narrow" w:eastAsia="Calibri" w:hAnsi="Arial Narrow" w:cs="Times New Roman"/>
          <w:kern w:val="0"/>
          <w:lang w:val="en-US"/>
          <w14:ligatures w14:val="none"/>
        </w:rPr>
        <w:t xml:space="preserve">nce household to adopt the </w:t>
      </w:r>
      <w:r w:rsidR="00D0027A" w:rsidRPr="00AB3E42">
        <w:rPr>
          <w:rFonts w:ascii="Arial Narrow" w:eastAsia="Calibri" w:hAnsi="Arial Narrow" w:cs="Times New Roman"/>
          <w:kern w:val="0"/>
          <w:lang w:val="en-US"/>
          <w14:ligatures w14:val="none"/>
        </w:rPr>
        <w:t>LPG. Supported</w:t>
      </w:r>
      <w:r w:rsidR="00503A0C" w:rsidRPr="00AB3E42">
        <w:rPr>
          <w:rFonts w:ascii="Arial Narrow" w:eastAsia="Calibri" w:hAnsi="Arial Narrow" w:cs="Times New Roman"/>
          <w:kern w:val="0"/>
          <w:lang w:val="en-US"/>
          <w14:ligatures w14:val="none"/>
        </w:rPr>
        <w:t xml:space="preserve"> by Adjei-Mantey </w:t>
      </w:r>
      <w:r w:rsidR="00503A0C" w:rsidRPr="00AB3E42">
        <w:rPr>
          <w:rFonts w:ascii="Arial Narrow" w:eastAsia="Calibri" w:hAnsi="Arial Narrow" w:cs="Times New Roman"/>
          <w:i/>
          <w:kern w:val="0"/>
          <w:lang w:val="en-US"/>
          <w14:ligatures w14:val="none"/>
        </w:rPr>
        <w:t>et al.</w:t>
      </w:r>
      <w:r w:rsidR="00503A0C" w:rsidRPr="00AB3E42">
        <w:rPr>
          <w:rFonts w:ascii="Arial Narrow" w:eastAsia="Calibri" w:hAnsi="Arial Narrow" w:cs="Times New Roman"/>
          <w:kern w:val="0"/>
          <w:lang w:val="en-US"/>
          <w14:ligatures w14:val="none"/>
        </w:rPr>
        <w:t xml:space="preserve"> (2021) Research in Ghana demonstrates that greater distance to LPG refilling stations significantly reduces both the likelihood of households adopting LPG and the frequency of its use. Households closer to refilling stations are more likely to choose LPG as their primary cooking fuel, and use it more frequently. Policy interventions that reduce travel distance and associated costs for refilling LPG cylinders are shown to increase adoption rates and usage frequency. Both subjective (self-reported) and objective (geolocational) measures of distance confirm this negative relationship between distance and LPG use. </w:t>
      </w:r>
    </w:p>
    <w:p w14:paraId="1477A4C9" w14:textId="2D2FE8A2" w:rsidR="00503A0C" w:rsidRPr="00AB3E42" w:rsidRDefault="00503A0C" w:rsidP="00503A0C">
      <w:pPr>
        <w:spacing w:before="100" w:beforeAutospacing="1" w:after="100" w:afterAutospacing="1"/>
        <w:jc w:val="both"/>
        <w:outlineLvl w:val="2"/>
        <w:rPr>
          <w:rFonts w:ascii="Arial Narrow" w:eastAsia="Times New Roman" w:hAnsi="Arial Narrow" w:cs="Times New Roman"/>
          <w:b/>
          <w:bCs/>
          <w:kern w:val="0"/>
          <w:lang w:val="en-US"/>
          <w14:ligatures w14:val="none"/>
        </w:rPr>
      </w:pPr>
      <w:bookmarkStart w:id="9" w:name="_Toc208433497"/>
      <w:r w:rsidRPr="00AB3E42">
        <w:rPr>
          <w:rFonts w:ascii="Arial Narrow" w:eastAsia="Times New Roman" w:hAnsi="Arial Narrow" w:cs="Times New Roman"/>
          <w:b/>
          <w:bCs/>
          <w:kern w:val="0"/>
          <w:lang w:val="en-US"/>
          <w14:ligatures w14:val="none"/>
        </w:rPr>
        <w:t>Attitude to LPG uses</w:t>
      </w:r>
      <w:bookmarkEnd w:id="9"/>
    </w:p>
    <w:p w14:paraId="1C8C0444" w14:textId="3D07D956" w:rsidR="00503A0C" w:rsidRPr="00AB3E42" w:rsidRDefault="00503A0C" w:rsidP="00503A0C">
      <w:pPr>
        <w:spacing w:before="0" w:after="160"/>
        <w:jc w:val="both"/>
        <w:rPr>
          <w:rFonts w:ascii="Arial Narrow" w:eastAsia="Calibri" w:hAnsi="Arial Narrow" w:cs="Times New Roman"/>
          <w:kern w:val="0"/>
          <w:lang w:val="en-US"/>
          <w14:ligatures w14:val="none"/>
        </w:rPr>
      </w:pPr>
      <w:bookmarkStart w:id="10" w:name="_Hlk206309253"/>
      <w:r w:rsidRPr="00AB3E42">
        <w:rPr>
          <w:rFonts w:ascii="Arial Narrow" w:eastAsia="Calibri" w:hAnsi="Arial Narrow" w:cs="Times New Roman"/>
          <w:kern w:val="0"/>
          <w:lang w:val="en-US"/>
          <w14:ligatures w14:val="none"/>
        </w:rPr>
        <w:t xml:space="preserve">The result show that the odd ratio (OR) attitude towards LPG uses 0.134 (95% CI: 0.021-0.837), which is statistically significant (P=0.036) times -2.011 less likelihood to influence adoption of LPG in Kalangalala </w:t>
      </w:r>
      <w:r w:rsidRPr="00AB3E42">
        <w:rPr>
          <w:rFonts w:ascii="Arial Narrow" w:eastAsia="Calibri" w:hAnsi="Arial Narrow" w:cs="Times New Roman"/>
          <w:kern w:val="0"/>
          <w:lang w:val="en-US"/>
          <w14:ligatures w14:val="none"/>
        </w:rPr>
        <w:lastRenderedPageBreak/>
        <w:t>Ward. This implies that the attitude of LPG uses to the households and food vendor’s influences adoption of LPG in the study area, with an odds ratio (OR) of 0.134 and a statistically significant p-value of 0.036. This suggests that attitude to LPG uses of households and food venders is more likely to achieve the adoption of LPG. This dedicate that the attitude to LPG uses is less likelihood to influence household to adopt the LPG because the emotional of household members and food vendors if is positive they tend to</w:t>
      </w:r>
      <w:r w:rsidR="00EE670F" w:rsidRPr="00AB3E42">
        <w:rPr>
          <w:rFonts w:ascii="Arial Narrow" w:eastAsia="Calibri" w:hAnsi="Arial Narrow" w:cs="Times New Roman"/>
          <w:kern w:val="0"/>
          <w:lang w:val="en-US"/>
          <w14:ligatures w14:val="none"/>
        </w:rPr>
        <w:t xml:space="preserve"> influence the adoption of LPG. </w:t>
      </w:r>
      <w:r w:rsidRPr="00AB3E42">
        <w:rPr>
          <w:rFonts w:ascii="Arial Narrow" w:eastAsia="Calibri" w:hAnsi="Arial Narrow" w:cs="Times New Roman"/>
          <w:kern w:val="0"/>
          <w:lang w:val="en-US"/>
          <w14:ligatures w14:val="none"/>
        </w:rPr>
        <w:t>adoption of LPG for cooking in urban areas of Malawi is influenced by attitude, perceived behavior control, and personal norms, wit</w:t>
      </w:r>
      <w:r w:rsidR="00D0027A" w:rsidRPr="00AB3E42">
        <w:rPr>
          <w:rFonts w:ascii="Arial Narrow" w:eastAsia="Calibri" w:hAnsi="Arial Narrow" w:cs="Times New Roman"/>
          <w:kern w:val="0"/>
          <w:lang w:val="en-US"/>
          <w14:ligatures w14:val="none"/>
        </w:rPr>
        <w:t>h cost playing a mode</w:t>
      </w:r>
      <w:r w:rsidR="00264BDB">
        <w:rPr>
          <w:rFonts w:ascii="Arial Narrow" w:eastAsia="Calibri" w:hAnsi="Arial Narrow" w:cs="Times New Roman"/>
          <w:kern w:val="0"/>
          <w:lang w:val="en-US"/>
          <w14:ligatures w14:val="none"/>
        </w:rPr>
        <w:t xml:space="preserve">rate role (Sandula and Awopone </w:t>
      </w:r>
      <w:r w:rsidR="00D0027A" w:rsidRPr="00AB3E42">
        <w:rPr>
          <w:rFonts w:ascii="Arial Narrow" w:eastAsia="Calibri" w:hAnsi="Arial Narrow" w:cs="Times New Roman"/>
          <w:kern w:val="0"/>
          <w:lang w:val="en-US"/>
          <w14:ligatures w14:val="none"/>
        </w:rPr>
        <w:t>2023)</w:t>
      </w:r>
      <w:r w:rsidR="00D0027A" w:rsidRPr="00AB3E42">
        <w:rPr>
          <w:rFonts w:ascii="Arial Narrow" w:eastAsia="Calibri" w:hAnsi="Arial Narrow" w:cs="Times New Roman"/>
          <w:kern w:val="0"/>
          <w:shd w:val="clear" w:color="auto" w:fill="FFFFFF"/>
          <w:lang w:val="en-US"/>
          <w14:ligatures w14:val="none"/>
        </w:rPr>
        <w:t xml:space="preserve">  </w:t>
      </w:r>
    </w:p>
    <w:p w14:paraId="428C769A" w14:textId="402D59D6" w:rsidR="00503A0C" w:rsidRPr="00AB3E42" w:rsidRDefault="00503A0C" w:rsidP="00503A0C">
      <w:pPr>
        <w:spacing w:before="100" w:beforeAutospacing="1" w:after="100" w:afterAutospacing="1"/>
        <w:jc w:val="both"/>
        <w:outlineLvl w:val="2"/>
        <w:rPr>
          <w:rFonts w:ascii="Arial Narrow" w:eastAsia="Times New Roman" w:hAnsi="Arial Narrow" w:cs="Times New Roman"/>
          <w:b/>
          <w:bCs/>
          <w:kern w:val="0"/>
          <w:lang w:val="en-US"/>
          <w14:ligatures w14:val="none"/>
        </w:rPr>
      </w:pPr>
      <w:bookmarkStart w:id="11" w:name="_Toc208433498"/>
      <w:bookmarkEnd w:id="10"/>
      <w:r w:rsidRPr="00AB3E42">
        <w:rPr>
          <w:rFonts w:ascii="Arial Narrow" w:eastAsia="Times New Roman" w:hAnsi="Arial Narrow" w:cs="Times New Roman"/>
          <w:b/>
          <w:bCs/>
          <w:kern w:val="0"/>
          <w:lang w:val="en-US"/>
          <w14:ligatures w14:val="none"/>
        </w:rPr>
        <w:t>Availability of LPG supplier’s</w:t>
      </w:r>
      <w:bookmarkEnd w:id="11"/>
      <w:r w:rsidRPr="00AB3E42">
        <w:rPr>
          <w:rFonts w:ascii="Arial Narrow" w:eastAsia="Times New Roman" w:hAnsi="Arial Narrow" w:cs="Times New Roman"/>
          <w:b/>
          <w:bCs/>
          <w:kern w:val="0"/>
          <w:lang w:val="en-US"/>
          <w14:ligatures w14:val="none"/>
        </w:rPr>
        <w:t xml:space="preserve"> </w:t>
      </w:r>
    </w:p>
    <w:p w14:paraId="47E49EAF" w14:textId="2EA1B3D4" w:rsidR="00503A0C" w:rsidRPr="00AB3E42" w:rsidRDefault="00503A0C" w:rsidP="007278C5">
      <w:pPr>
        <w:spacing w:before="0" w:after="160"/>
        <w:jc w:val="both"/>
        <w:rPr>
          <w:rFonts w:ascii="Arial Narrow" w:eastAsia="Calibri" w:hAnsi="Arial Narrow" w:cs="Times New Roman"/>
          <w:kern w:val="0"/>
          <w:lang w:val="en-US"/>
          <w14:ligatures w14:val="none"/>
        </w:rPr>
      </w:pPr>
      <w:r w:rsidRPr="00AB3E42">
        <w:rPr>
          <w:rFonts w:ascii="Arial Narrow" w:eastAsia="Calibri" w:hAnsi="Arial Narrow" w:cs="Times New Roman"/>
          <w:kern w:val="0"/>
          <w:lang w:val="en-US"/>
          <w14:ligatures w14:val="none"/>
        </w:rPr>
        <w:t xml:space="preserve">The result from Table 4, show that the odd ratio (OR) availability of LPG supplier’s 0.036 (95% CI: 0.002-0.767), which is statistically significant (P=0.033) times -3.337 less likelihood to influence adoption of LPG in Kalangalala Ward. This implies that the availability of LPG suppliers to the households and food vendor’s influences adoption of LPG in the study area, with an odds ratio (OR) of 0.036 and a statistically significant p-value of 0.033. This suggests that availability of LPG suppliers to households and food vendors is less likely to achieve the adoption of LPG. These findings suggest that the availability of LPG supplier’s is less likelihood to influence household to adopt the LPG because the availability of LPG suppliers help the household and food vendors to get access of refill station easily although may or may not influence depending on other factors like </w:t>
      </w:r>
      <w:r w:rsidR="00EE670F" w:rsidRPr="00AB3E42">
        <w:rPr>
          <w:rFonts w:ascii="Arial Narrow" w:eastAsia="Calibri" w:hAnsi="Arial Narrow" w:cs="Times New Roman"/>
          <w:kern w:val="0"/>
          <w:lang w:val="en-US"/>
          <w14:ligatures w14:val="none"/>
        </w:rPr>
        <w:t>income.</w:t>
      </w:r>
      <w:r w:rsidR="00EE670F" w:rsidRPr="00AB3E42">
        <w:rPr>
          <w:rFonts w:ascii="Arial Narrow" w:eastAsia="Calibri" w:hAnsi="Arial Narrow" w:cs="Times New Roman"/>
          <w:noProof/>
          <w:kern w:val="0"/>
          <w:lang w:val="en-US"/>
          <w14:ligatures w14:val="none"/>
        </w:rPr>
        <w:t xml:space="preserve"> </w:t>
      </w:r>
      <w:r w:rsidR="00EE670F" w:rsidRPr="00AB3E42">
        <w:rPr>
          <w:rFonts w:ascii="Arial Narrow" w:eastAsia="Calibri" w:hAnsi="Arial Narrow" w:cs="Times New Roman"/>
          <w:kern w:val="0"/>
          <w:lang w:val="en-US"/>
          <w14:ligatures w14:val="none"/>
        </w:rPr>
        <w:t>Improving</w:t>
      </w:r>
      <w:r w:rsidRPr="00AB3E42">
        <w:rPr>
          <w:rFonts w:ascii="Arial Narrow" w:eastAsia="Calibri" w:hAnsi="Arial Narrow" w:cs="Times New Roman"/>
          <w:kern w:val="0"/>
          <w:lang w:val="en-US"/>
          <w14:ligatures w14:val="none"/>
        </w:rPr>
        <w:t xml:space="preserve"> supply chain management, better regulatory frameworks, and enhanced monitoring mechanisms are necessary to prevent recurrent shortages of 3</w:t>
      </w:r>
      <w:r w:rsidR="00EE670F" w:rsidRPr="00AB3E42">
        <w:rPr>
          <w:rFonts w:ascii="Arial Narrow" w:eastAsia="Calibri" w:hAnsi="Arial Narrow" w:cs="Times New Roman"/>
          <w:kern w:val="0"/>
          <w:lang w:val="en-US"/>
          <w14:ligatures w14:val="none"/>
        </w:rPr>
        <w:t xml:space="preserve">-kg LPG cylinders in Indonesia (Prithvirajan and Mathirajan, 2022) </w:t>
      </w:r>
      <w:bookmarkStart w:id="12" w:name="_Toc208433688"/>
    </w:p>
    <w:p w14:paraId="64465228" w14:textId="77777777" w:rsidR="00503A0C" w:rsidRPr="00AB3E42" w:rsidRDefault="00503A0C" w:rsidP="00503A0C">
      <w:pPr>
        <w:spacing w:before="0" w:after="200" w:line="240" w:lineRule="auto"/>
        <w:jc w:val="left"/>
        <w:rPr>
          <w:rFonts w:ascii="Arial Narrow" w:eastAsia="SimSun" w:hAnsi="Arial Narrow" w:cs="Times New Roman"/>
          <w:b/>
          <w:iCs/>
          <w:kern w:val="0"/>
          <w:lang w:val="en-US" w:eastAsia="zh-CN"/>
          <w14:ligatures w14:val="none"/>
        </w:rPr>
      </w:pPr>
    </w:p>
    <w:p w14:paraId="1E85DA09" w14:textId="5061A21E" w:rsidR="00503A0C" w:rsidRPr="00AB3E42" w:rsidRDefault="00503A0C" w:rsidP="00070A10">
      <w:pPr>
        <w:spacing w:before="0" w:after="100" w:afterAutospacing="1"/>
        <w:jc w:val="both"/>
        <w:outlineLvl w:val="2"/>
        <w:rPr>
          <w:rFonts w:ascii="Arial Narrow" w:eastAsia="Times New Roman" w:hAnsi="Arial Narrow" w:cs="Times New Roman"/>
          <w:b/>
          <w:bCs/>
          <w:kern w:val="0"/>
          <w:lang w:val="en-US"/>
          <w14:ligatures w14:val="none"/>
        </w:rPr>
      </w:pPr>
      <w:bookmarkStart w:id="13" w:name="_Toc208433500"/>
      <w:bookmarkEnd w:id="12"/>
      <w:r w:rsidRPr="00AB3E42">
        <w:rPr>
          <w:rFonts w:ascii="Arial Narrow" w:eastAsia="Times New Roman" w:hAnsi="Arial Narrow" w:cs="Times New Roman"/>
          <w:b/>
          <w:bCs/>
          <w:kern w:val="0"/>
          <w:lang w:val="en-US"/>
          <w14:ligatures w14:val="none"/>
        </w:rPr>
        <w:t>Household income</w:t>
      </w:r>
      <w:bookmarkEnd w:id="13"/>
    </w:p>
    <w:p w14:paraId="34CD6A2E" w14:textId="3750044E" w:rsidR="00503A0C" w:rsidRPr="00AB3E42" w:rsidRDefault="00503A0C" w:rsidP="00503A0C">
      <w:pPr>
        <w:spacing w:before="0" w:after="160"/>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kern w:val="0"/>
          <w:lang w:val="en-US"/>
          <w14:ligatures w14:val="none"/>
        </w:rPr>
        <w:t xml:space="preserve">The result from Table 4, shows that the odds ratio (OR) </w:t>
      </w:r>
      <w:r w:rsidRPr="00AB3E42">
        <w:rPr>
          <w:rFonts w:ascii="Arial Narrow" w:eastAsia="Calibri" w:hAnsi="Arial Narrow" w:cs="Times New Roman"/>
          <w:kern w:val="0"/>
          <w:lang w:val="en-US"/>
          <w14:ligatures w14:val="none"/>
        </w:rPr>
        <w:t>Household</w:t>
      </w:r>
      <w:r w:rsidRPr="00AB3E42">
        <w:rPr>
          <w:rFonts w:ascii="Arial Narrow" w:eastAsia="Times New Roman" w:hAnsi="Arial Narrow" w:cs="Times New Roman"/>
          <w:kern w:val="0"/>
          <w:lang w:val="en-US"/>
          <w14:ligatures w14:val="none"/>
        </w:rPr>
        <w:t xml:space="preserve"> income</w:t>
      </w:r>
      <w:r w:rsidRPr="00AB3E42">
        <w:rPr>
          <w:rFonts w:ascii="Arial Narrow" w:eastAsia="Times New Roman" w:hAnsi="Arial Narrow" w:cs="Times New Roman"/>
          <w:b/>
          <w:bCs/>
          <w:kern w:val="0"/>
          <w:lang w:val="en-US"/>
          <w14:ligatures w14:val="none"/>
        </w:rPr>
        <w:t xml:space="preserve"> </w:t>
      </w:r>
      <w:r w:rsidRPr="00AB3E42">
        <w:rPr>
          <w:rFonts w:ascii="Arial Narrow" w:eastAsia="Times New Roman" w:hAnsi="Arial Narrow" w:cs="Times New Roman"/>
          <w:kern w:val="0"/>
          <w:lang w:val="en-US"/>
          <w14:ligatures w14:val="none"/>
        </w:rPr>
        <w:t>64.941 (95% CI: 2.847-1481.092), which is statistically significant (P=0.009), is 4.173 times more likely to influence the adoption of LPG in Kalangalala Ward. This implies that the income</w:t>
      </w:r>
      <w:r w:rsidRPr="00AB3E42">
        <w:rPr>
          <w:rFonts w:ascii="Arial Narrow" w:eastAsia="Times New Roman" w:hAnsi="Arial Narrow" w:cs="Times New Roman"/>
          <w:b/>
          <w:bCs/>
          <w:kern w:val="0"/>
          <w:lang w:val="en-US"/>
          <w14:ligatures w14:val="none"/>
        </w:rPr>
        <w:t xml:space="preserve"> </w:t>
      </w:r>
      <w:r w:rsidRPr="00AB3E42">
        <w:rPr>
          <w:rFonts w:ascii="Arial Narrow" w:eastAsia="Times New Roman" w:hAnsi="Arial Narrow" w:cs="Times New Roman"/>
          <w:bCs/>
          <w:kern w:val="0"/>
          <w:lang w:val="en-US"/>
          <w14:ligatures w14:val="none"/>
        </w:rPr>
        <w:t>of</w:t>
      </w:r>
      <w:r w:rsidRPr="00AB3E42">
        <w:rPr>
          <w:rFonts w:ascii="Arial Narrow" w:eastAsia="Times New Roman" w:hAnsi="Arial Narrow" w:cs="Times New Roman"/>
          <w:kern w:val="0"/>
          <w:lang w:val="en-US"/>
          <w14:ligatures w14:val="none"/>
        </w:rPr>
        <w:t xml:space="preserve"> the households and food vendors influences the adoption of LPG in the area, with an odds ratio (OR) of 64.941 and a statistically significant p-value of 0.009. This suggests that income</w:t>
      </w:r>
      <w:r w:rsidRPr="00AB3E42">
        <w:rPr>
          <w:rFonts w:ascii="Arial Narrow" w:eastAsia="Times New Roman" w:hAnsi="Arial Narrow" w:cs="Times New Roman"/>
          <w:b/>
          <w:bCs/>
          <w:kern w:val="0"/>
          <w:lang w:val="en-US"/>
          <w14:ligatures w14:val="none"/>
        </w:rPr>
        <w:t xml:space="preserve"> </w:t>
      </w:r>
      <w:r w:rsidRPr="00AB3E42">
        <w:rPr>
          <w:rFonts w:ascii="Arial Narrow" w:eastAsia="Times New Roman" w:hAnsi="Arial Narrow" w:cs="Times New Roman"/>
          <w:kern w:val="0"/>
          <w:lang w:val="en-US"/>
          <w14:ligatures w14:val="none"/>
        </w:rPr>
        <w:t>of households and food vendors is more likely to achieve the adoption of LPG, because the income of household members and food venders of Kalangalala those who earn above 50000 are expected to adopt LPG than those who earn b</w:t>
      </w:r>
      <w:r w:rsidR="00651729" w:rsidRPr="00AB3E42">
        <w:rPr>
          <w:rFonts w:ascii="Arial Narrow" w:eastAsia="Times New Roman" w:hAnsi="Arial Narrow" w:cs="Times New Roman"/>
          <w:kern w:val="0"/>
          <w:lang w:val="en-US"/>
          <w14:ligatures w14:val="none"/>
        </w:rPr>
        <w:t xml:space="preserve">elow </w:t>
      </w:r>
      <w:r w:rsidR="007278C5" w:rsidRPr="00AB3E42">
        <w:rPr>
          <w:rFonts w:ascii="Arial Narrow" w:eastAsia="Times New Roman" w:hAnsi="Arial Narrow" w:cs="Times New Roman"/>
          <w:kern w:val="0"/>
          <w:lang w:val="en-US"/>
          <w14:ligatures w14:val="none"/>
        </w:rPr>
        <w:t>500,000. Similar</w:t>
      </w:r>
      <w:r w:rsidRPr="00AB3E42">
        <w:rPr>
          <w:rFonts w:ascii="Arial Narrow" w:eastAsia="Times New Roman" w:hAnsi="Arial Narrow" w:cs="Times New Roman"/>
          <w:kern w:val="0"/>
          <w:lang w:val="en-US"/>
          <w14:ligatures w14:val="none"/>
        </w:rPr>
        <w:t xml:space="preserve"> findings were reported by Mbaka </w:t>
      </w:r>
      <w:r w:rsidRPr="00AB3E42">
        <w:rPr>
          <w:rFonts w:ascii="Arial Narrow" w:eastAsia="Times New Roman" w:hAnsi="Arial Narrow" w:cs="Times New Roman"/>
          <w:i/>
          <w:iCs/>
          <w:kern w:val="0"/>
          <w:lang w:val="en-US"/>
          <w14:ligatures w14:val="none"/>
        </w:rPr>
        <w:t xml:space="preserve">et al. </w:t>
      </w:r>
      <w:r w:rsidRPr="00AB3E42">
        <w:rPr>
          <w:rFonts w:ascii="Arial Narrow" w:eastAsia="Times New Roman" w:hAnsi="Arial Narrow" w:cs="Times New Roman"/>
          <w:bCs/>
          <w:kern w:val="0"/>
          <w:lang w:val="en-US"/>
          <w14:ligatures w14:val="none"/>
        </w:rPr>
        <w:t>(2019)</w:t>
      </w:r>
      <w:r w:rsidRPr="00AB3E42">
        <w:rPr>
          <w:rFonts w:ascii="Arial Narrow" w:eastAsia="Times New Roman" w:hAnsi="Arial Narrow" w:cs="Times New Roman"/>
          <w:kern w:val="0"/>
          <w:lang w:val="en-US"/>
          <w14:ligatures w14:val="none"/>
        </w:rPr>
        <w:t xml:space="preserve"> in Kenya, where income level was found to be a strong determinant of clean energy adoption. Likewise, Zheng and Gong </w:t>
      </w:r>
      <w:r w:rsidRPr="00AB3E42">
        <w:rPr>
          <w:rFonts w:ascii="Arial Narrow" w:eastAsia="Times New Roman" w:hAnsi="Arial Narrow" w:cs="Times New Roman"/>
          <w:b/>
          <w:bCs/>
          <w:kern w:val="0"/>
          <w:lang w:val="en-US"/>
          <w14:ligatures w14:val="none"/>
        </w:rPr>
        <w:t>(</w:t>
      </w:r>
      <w:r w:rsidRPr="00AB3E42">
        <w:rPr>
          <w:rFonts w:ascii="Arial Narrow" w:eastAsia="Times New Roman" w:hAnsi="Arial Narrow" w:cs="Times New Roman"/>
          <w:bCs/>
          <w:kern w:val="0"/>
          <w:lang w:val="en-US"/>
          <w14:ligatures w14:val="none"/>
        </w:rPr>
        <w:t>20</w:t>
      </w:r>
      <w:r w:rsidR="006A5FA3" w:rsidRPr="00AB3E42">
        <w:rPr>
          <w:rFonts w:ascii="Arial Narrow" w:eastAsia="Times New Roman" w:hAnsi="Arial Narrow" w:cs="Times New Roman"/>
          <w:bCs/>
          <w:kern w:val="0"/>
          <w:lang w:val="en-US"/>
          <w14:ligatures w14:val="none"/>
        </w:rPr>
        <w:t>2</w:t>
      </w:r>
      <w:r w:rsidRPr="00AB3E42">
        <w:rPr>
          <w:rFonts w:ascii="Arial Narrow" w:eastAsia="Times New Roman" w:hAnsi="Arial Narrow" w:cs="Times New Roman"/>
          <w:b/>
          <w:bCs/>
          <w:kern w:val="0"/>
          <w:lang w:val="en-US"/>
          <w14:ligatures w14:val="none"/>
        </w:rPr>
        <w:t>)</w:t>
      </w:r>
      <w:r w:rsidRPr="00AB3E42">
        <w:rPr>
          <w:rFonts w:ascii="Arial Narrow" w:eastAsia="Times New Roman" w:hAnsi="Arial Narrow" w:cs="Times New Roman"/>
          <w:kern w:val="0"/>
          <w:lang w:val="en-US"/>
          <w14:ligatures w14:val="none"/>
        </w:rPr>
        <w:t xml:space="preserve"> in China highlighted that income had a direct influence on clean cooking </w:t>
      </w:r>
      <w:r w:rsidRPr="00AB3E42">
        <w:rPr>
          <w:rFonts w:ascii="Arial Narrow" w:eastAsia="Times New Roman" w:hAnsi="Arial Narrow" w:cs="Times New Roman"/>
          <w:kern w:val="0"/>
          <w:lang w:val="en-US"/>
          <w14:ligatures w14:val="none"/>
        </w:rPr>
        <w:lastRenderedPageBreak/>
        <w:t>fuel usage, especially in peri-urban communities. Also, study conducted by Ndunguru and Lema (2021) adoption of LPG in Kinondoni Municipality, was influenced by factors such as household income, awareness, and fuel availability, with education and household expenditure being significant factors.</w:t>
      </w:r>
    </w:p>
    <w:p w14:paraId="476F3A7B" w14:textId="10CC763C" w:rsidR="00503A0C" w:rsidRPr="00AB3E42" w:rsidRDefault="00503A0C" w:rsidP="00503A0C">
      <w:pPr>
        <w:spacing w:before="100" w:beforeAutospacing="1" w:after="100" w:afterAutospacing="1" w:line="240" w:lineRule="auto"/>
        <w:jc w:val="left"/>
        <w:outlineLvl w:val="2"/>
        <w:rPr>
          <w:rFonts w:ascii="Arial Narrow" w:eastAsia="Times New Roman" w:hAnsi="Arial Narrow" w:cs="Times New Roman"/>
          <w:b/>
          <w:bCs/>
          <w:kern w:val="0"/>
          <w:lang w:val="en-US"/>
          <w14:ligatures w14:val="none"/>
        </w:rPr>
      </w:pPr>
      <w:bookmarkStart w:id="14" w:name="_Toc208433501"/>
      <w:r w:rsidRPr="00AB3E42">
        <w:rPr>
          <w:rFonts w:ascii="Arial Narrow" w:eastAsia="Times New Roman" w:hAnsi="Arial Narrow" w:cs="Times New Roman"/>
          <w:b/>
          <w:bCs/>
          <w:kern w:val="0"/>
          <w:lang w:val="en-US"/>
          <w14:ligatures w14:val="none"/>
        </w:rPr>
        <w:t>Education level</w:t>
      </w:r>
      <w:bookmarkEnd w:id="14"/>
    </w:p>
    <w:p w14:paraId="3D58C00D" w14:textId="503F5D0D" w:rsidR="00E077B5" w:rsidRPr="00AB3E42" w:rsidRDefault="00503A0C" w:rsidP="00E077B5">
      <w:pPr>
        <w:spacing w:before="100" w:beforeAutospacing="1" w:after="100" w:afterAutospacing="1"/>
        <w:jc w:val="both"/>
        <w:rPr>
          <w:rFonts w:ascii="Arial Narrow" w:eastAsia="Times New Roman" w:hAnsi="Arial Narrow" w:cs="Times New Roman"/>
          <w:kern w:val="0"/>
          <w:lang w:val="en-US"/>
          <w14:ligatures w14:val="none"/>
        </w:rPr>
      </w:pPr>
      <w:r w:rsidRPr="00AB3E42">
        <w:rPr>
          <w:rFonts w:ascii="Arial Narrow" w:eastAsia="Times New Roman" w:hAnsi="Arial Narrow" w:cs="Times New Roman"/>
          <w:kern w:val="0"/>
          <w:lang w:val="en-US"/>
          <w14:ligatures w14:val="none"/>
        </w:rPr>
        <w:t>The result</w:t>
      </w:r>
      <w:r w:rsidR="00E077B5" w:rsidRPr="00AB3E42">
        <w:rPr>
          <w:rFonts w:ascii="Arial Narrow" w:eastAsia="Times New Roman" w:hAnsi="Arial Narrow" w:cs="Times New Roman"/>
          <w:kern w:val="0"/>
          <w:lang w:val="en-US"/>
          <w14:ligatures w14:val="none"/>
        </w:rPr>
        <w:t xml:space="preserve"> </w:t>
      </w:r>
      <w:r w:rsidRPr="00AB3E42">
        <w:rPr>
          <w:rFonts w:ascii="Arial Narrow" w:eastAsia="Times New Roman" w:hAnsi="Arial Narrow" w:cs="Times New Roman"/>
          <w:kern w:val="0"/>
          <w:lang w:val="en-US"/>
          <w14:ligatures w14:val="none"/>
        </w:rPr>
        <w:t xml:space="preserve">show that the odd ratio (OR) education level </w:t>
      </w:r>
      <w:bookmarkStart w:id="15" w:name="_Hlk206310378"/>
      <w:r w:rsidRPr="00AB3E42">
        <w:rPr>
          <w:rFonts w:ascii="Arial Narrow" w:eastAsia="Times New Roman" w:hAnsi="Arial Narrow" w:cs="Times New Roman"/>
          <w:kern w:val="0"/>
          <w:lang w:val="en-US"/>
          <w14:ligatures w14:val="none"/>
        </w:rPr>
        <w:t xml:space="preserve">15.413 </w:t>
      </w:r>
      <w:bookmarkEnd w:id="15"/>
      <w:r w:rsidRPr="00AB3E42">
        <w:rPr>
          <w:rFonts w:ascii="Arial Narrow" w:eastAsia="Times New Roman" w:hAnsi="Arial Narrow" w:cs="Times New Roman"/>
          <w:kern w:val="0"/>
          <w:lang w:val="en-US"/>
          <w14:ligatures w14:val="none"/>
        </w:rPr>
        <w:t>(95% CI: 0.987-240.671), which is st</w:t>
      </w:r>
      <w:r w:rsidR="000A0B1D">
        <w:rPr>
          <w:rFonts w:ascii="Arial Narrow" w:eastAsia="Times New Roman" w:hAnsi="Arial Narrow" w:cs="Times New Roman"/>
          <w:kern w:val="0"/>
          <w:lang w:val="en-US"/>
          <w14:ligatures w14:val="none"/>
        </w:rPr>
        <w:t>atistically significant (P=0.005</w:t>
      </w:r>
      <w:r w:rsidRPr="00AB3E42">
        <w:rPr>
          <w:rFonts w:ascii="Arial Narrow" w:eastAsia="Times New Roman" w:hAnsi="Arial Narrow" w:cs="Times New Roman"/>
          <w:kern w:val="0"/>
          <w:lang w:val="en-US"/>
          <w14:ligatures w14:val="none"/>
        </w:rPr>
        <w:t>) times 4.173 more likelihood to influence adoption of LPG on Kalangalala Ward. This implies that the education level to the households and food vendor’s influences adoption of LPG in the study area, with an odds ratio (OR) of 15.413 and a statistically significant p-value of 0.005. This suggests that education level of households and food venders is more likely to achieve the adoption of LPG. This dedicate that the education level is more likelihood to influence household to adopt the LPG because the education level of household members and food venders they have secondary education, so they understand the importance of LPG and its importance that why education tend to be more lik</w:t>
      </w:r>
      <w:bookmarkStart w:id="16" w:name="_Toc207229340"/>
      <w:bookmarkStart w:id="17" w:name="_Toc208433502"/>
      <w:bookmarkStart w:id="18" w:name="_Toc206485681"/>
      <w:bookmarkStart w:id="19" w:name="_Toc206127108"/>
      <w:bookmarkStart w:id="20" w:name="_Toc206128986"/>
      <w:bookmarkStart w:id="21" w:name="_Toc207001371"/>
      <w:bookmarkStart w:id="22" w:name="_Toc207430993"/>
      <w:r w:rsidR="00E077B5" w:rsidRPr="00AB3E42">
        <w:rPr>
          <w:rFonts w:ascii="Arial Narrow" w:eastAsia="Times New Roman" w:hAnsi="Arial Narrow" w:cs="Times New Roman"/>
          <w:kern w:val="0"/>
          <w:lang w:val="en-US"/>
          <w14:ligatures w14:val="none"/>
        </w:rPr>
        <w:t xml:space="preserve">elihood to the adoption of </w:t>
      </w:r>
      <w:r w:rsidR="00D0027A" w:rsidRPr="00AB3E42">
        <w:rPr>
          <w:rFonts w:ascii="Arial Narrow" w:eastAsia="Times New Roman" w:hAnsi="Arial Narrow" w:cs="Times New Roman"/>
          <w:kern w:val="0"/>
          <w:lang w:val="en-US"/>
          <w14:ligatures w14:val="none"/>
        </w:rPr>
        <w:t>LPG. Increasing</w:t>
      </w:r>
      <w:r w:rsidRPr="00AB3E42">
        <w:rPr>
          <w:rFonts w:ascii="Arial Narrow" w:eastAsia="Times New Roman" w:hAnsi="Arial Narrow" w:cs="Times New Roman"/>
          <w:kern w:val="0"/>
          <w:lang w:val="en-US"/>
          <w14:ligatures w14:val="none"/>
        </w:rPr>
        <w:t xml:space="preserve"> a woman's education levels increases her likelihood of adopting LPG, the cleanest fuel option available, and potentially impacts the adoption of green technology</w:t>
      </w:r>
      <w:r w:rsidR="007278C5" w:rsidRPr="00AB3E42">
        <w:rPr>
          <w:rFonts w:ascii="Arial Narrow" w:eastAsia="Times New Roman" w:hAnsi="Arial Narrow" w:cs="Times New Roman"/>
          <w:kern w:val="0"/>
          <w:lang w:val="en-US"/>
          <w14:ligatures w14:val="none"/>
        </w:rPr>
        <w:t xml:space="preserve"> (Jamaldin </w:t>
      </w:r>
      <w:r w:rsidR="00E077B5" w:rsidRPr="00AB3E42">
        <w:rPr>
          <w:rFonts w:ascii="Arial Narrow" w:eastAsia="Times New Roman" w:hAnsi="Arial Narrow" w:cs="Times New Roman"/>
          <w:kern w:val="0"/>
          <w:lang w:val="en-US"/>
          <w14:ligatures w14:val="none"/>
        </w:rPr>
        <w:t>2025)</w:t>
      </w:r>
      <w:r w:rsidRPr="00AB3E42">
        <w:rPr>
          <w:rFonts w:ascii="Arial Narrow" w:eastAsia="Times New Roman" w:hAnsi="Arial Narrow" w:cs="Times New Roman"/>
          <w:kern w:val="0"/>
          <w:lang w:val="en-US"/>
          <w14:ligatures w14:val="none"/>
        </w:rPr>
        <w:t>. The study of Gould and Urpelainen (2019) found that education strongly predicts LPG adoption in India, but does not lead to positive attitudes towards clean cooking fuels. Also, a study by Guta (2020) in Ethiopia found that households headed by educated individuals were significantly more likely to adopt LPG, primarily due to better awareness of its benefits.</w:t>
      </w:r>
      <w:bookmarkEnd w:id="16"/>
      <w:bookmarkEnd w:id="17"/>
      <w:r w:rsidRPr="00AB3E42">
        <w:rPr>
          <w:rFonts w:ascii="Arial Narrow" w:eastAsia="Times New Roman" w:hAnsi="Arial Narrow" w:cs="Times New Roman"/>
          <w:kern w:val="0"/>
          <w:lang w:val="en-US"/>
          <w14:ligatures w14:val="none"/>
        </w:rPr>
        <w:t xml:space="preserve"> </w:t>
      </w:r>
      <w:bookmarkEnd w:id="18"/>
      <w:bookmarkEnd w:id="19"/>
      <w:bookmarkEnd w:id="20"/>
      <w:bookmarkEnd w:id="21"/>
      <w:bookmarkEnd w:id="22"/>
    </w:p>
    <w:p w14:paraId="723DBAAC" w14:textId="77777777" w:rsidR="00AB3E42" w:rsidRDefault="00AB3E42" w:rsidP="00E077B5">
      <w:pPr>
        <w:spacing w:before="100" w:beforeAutospacing="1" w:after="100" w:afterAutospacing="1"/>
        <w:rPr>
          <w:rFonts w:ascii="Arial Narrow" w:eastAsia="Times New Roman" w:hAnsi="Arial Narrow" w:cstheme="majorHAnsi"/>
          <w:b/>
          <w:bCs/>
          <w:kern w:val="0"/>
          <w:lang w:eastAsia="en-GB"/>
          <w14:ligatures w14:val="none"/>
        </w:rPr>
      </w:pPr>
    </w:p>
    <w:p w14:paraId="421164CA" w14:textId="1097401D" w:rsidR="00AB3E42" w:rsidRDefault="00AB3E42" w:rsidP="00E077B5">
      <w:pPr>
        <w:spacing w:before="100" w:beforeAutospacing="1" w:after="100" w:afterAutospacing="1"/>
        <w:rPr>
          <w:rFonts w:ascii="Arial Narrow" w:eastAsia="Times New Roman" w:hAnsi="Arial Narrow" w:cstheme="majorHAnsi"/>
          <w:b/>
          <w:bCs/>
          <w:kern w:val="0"/>
          <w:lang w:eastAsia="en-GB"/>
          <w14:ligatures w14:val="none"/>
        </w:rPr>
      </w:pPr>
    </w:p>
    <w:p w14:paraId="543E4A05" w14:textId="42167B0C" w:rsidR="00E72DFD" w:rsidRDefault="00E72DFD" w:rsidP="00E5724C">
      <w:pPr>
        <w:spacing w:before="100" w:beforeAutospacing="1" w:after="100" w:afterAutospacing="1"/>
        <w:jc w:val="both"/>
        <w:rPr>
          <w:rFonts w:ascii="Arial Narrow" w:eastAsia="Times New Roman" w:hAnsi="Arial Narrow" w:cstheme="majorHAnsi"/>
          <w:b/>
          <w:bCs/>
          <w:kern w:val="0"/>
          <w:lang w:eastAsia="en-GB"/>
          <w14:ligatures w14:val="none"/>
        </w:rPr>
      </w:pPr>
    </w:p>
    <w:p w14:paraId="52038207" w14:textId="452F4907" w:rsidR="00C45BCB" w:rsidRPr="00AB3E42" w:rsidRDefault="00C45BCB" w:rsidP="00E077B5">
      <w:pPr>
        <w:spacing w:before="100" w:beforeAutospacing="1" w:after="100" w:afterAutospacing="1"/>
        <w:rPr>
          <w:rFonts w:ascii="Arial Narrow" w:eastAsia="Times New Roman" w:hAnsi="Arial Narrow" w:cs="Times New Roman"/>
          <w:kern w:val="0"/>
          <w:lang w:val="en-US"/>
          <w14:ligatures w14:val="none"/>
        </w:rPr>
      </w:pPr>
      <w:r w:rsidRPr="00AB3E42">
        <w:rPr>
          <w:rFonts w:ascii="Arial Narrow" w:eastAsia="Times New Roman" w:hAnsi="Arial Narrow" w:cstheme="majorHAnsi"/>
          <w:b/>
          <w:bCs/>
          <w:kern w:val="0"/>
          <w:lang w:eastAsia="en-GB"/>
          <w14:ligatures w14:val="none"/>
        </w:rPr>
        <w:t>Conclusion</w:t>
      </w:r>
      <w:r w:rsidR="00CB0A2F" w:rsidRPr="00AB3E42">
        <w:rPr>
          <w:rFonts w:ascii="Arial Narrow" w:eastAsia="Times New Roman" w:hAnsi="Arial Narrow" w:cstheme="majorHAnsi"/>
          <w:b/>
          <w:bCs/>
          <w:kern w:val="0"/>
          <w:lang w:eastAsia="en-GB"/>
          <w14:ligatures w14:val="none"/>
        </w:rPr>
        <w:t xml:space="preserve"> and Recommendations</w:t>
      </w:r>
    </w:p>
    <w:p w14:paraId="3AA507F5" w14:textId="77777777" w:rsidR="00070A10" w:rsidRPr="00AB3E42" w:rsidRDefault="00070A10" w:rsidP="00E077B5">
      <w:pPr>
        <w:jc w:val="both"/>
        <w:rPr>
          <w:rFonts w:ascii="Arial Narrow" w:hAnsi="Arial Narrow" w:cstheme="majorHAnsi"/>
          <w:lang w:val="en-US" w:eastAsia="en-GB"/>
        </w:rPr>
      </w:pPr>
      <w:r w:rsidRPr="00AB3E42">
        <w:rPr>
          <w:rFonts w:ascii="Arial Narrow" w:hAnsi="Arial Narrow" w:cstheme="majorHAnsi"/>
          <w:lang w:val="en-US" w:eastAsia="en-GB"/>
        </w:rPr>
        <w:t xml:space="preserve">The study revealed that several factors influenced households adopt LPG. Awareness of the benefits of LPG plays a key role, as households who understand the advantages of LPG are more likely to consider it as a cooking fuel. Household income also affects adoption, since LPG requires an initial investment and continue refill cost that families with low income find difficult to afford. The availability of LPG suppliers is another important factor, as easy access to refill points encourages continued use of LPG. However, negative </w:t>
      </w:r>
      <w:r w:rsidRPr="00AB3E42">
        <w:rPr>
          <w:rFonts w:ascii="Arial Narrow" w:hAnsi="Arial Narrow" w:cstheme="majorHAnsi"/>
          <w:lang w:val="en-US" w:eastAsia="en-GB"/>
        </w:rPr>
        <w:lastRenderedPageBreak/>
        <w:t>attitudes, including fear of accidents and limited knowledge about safe handling, prevent some households from switching from traditional fuels, highlighting the importance of education and awareness programs.</w:t>
      </w:r>
    </w:p>
    <w:p w14:paraId="3D95C279" w14:textId="058BDEDA" w:rsidR="008A1266" w:rsidRPr="00AB3E42" w:rsidRDefault="007278C5" w:rsidP="008A1266">
      <w:pPr>
        <w:jc w:val="both"/>
        <w:rPr>
          <w:rFonts w:ascii="Arial Narrow" w:hAnsi="Arial Narrow" w:cstheme="majorHAnsi"/>
          <w:lang w:eastAsia="en-GB"/>
        </w:rPr>
      </w:pPr>
      <w:r w:rsidRPr="00AB3E42">
        <w:rPr>
          <w:rFonts w:ascii="Arial Narrow" w:hAnsi="Arial Narrow" w:cstheme="majorHAnsi"/>
          <w:lang w:eastAsia="en-GB"/>
        </w:rPr>
        <w:t>.</w:t>
      </w:r>
      <w:r w:rsidRPr="00AB3E42">
        <w:rPr>
          <w:rFonts w:ascii="Arial Narrow" w:hAnsi="Arial Narrow" w:cstheme="majorHAnsi"/>
          <w:b/>
          <w:bCs/>
          <w:lang w:eastAsia="en-GB"/>
        </w:rPr>
        <w:t xml:space="preserve"> Recommendations</w:t>
      </w:r>
    </w:p>
    <w:p w14:paraId="16A08D15" w14:textId="77777777" w:rsidR="00070A10" w:rsidRPr="00AB3E42" w:rsidRDefault="00070A10" w:rsidP="00E077B5">
      <w:pPr>
        <w:jc w:val="both"/>
        <w:rPr>
          <w:rFonts w:ascii="Arial Narrow" w:hAnsi="Arial Narrow" w:cstheme="majorHAnsi"/>
          <w:lang w:val="en-US" w:eastAsia="en-GB"/>
        </w:rPr>
      </w:pPr>
      <w:r w:rsidRPr="00AB3E42">
        <w:rPr>
          <w:rFonts w:ascii="Arial Narrow" w:hAnsi="Arial Narrow" w:cstheme="majorHAnsi"/>
          <w:lang w:val="en-US" w:eastAsia="en-GB"/>
        </w:rPr>
        <w:t>To improve adoption, the government through Ministry of Energy under REA to continue the programs of subsides and selling LPG cylinder at low initial cost of 17,000/= that make LPG more affordable and accessible, especially for low-income households. Policies to be enacted in partnership with LPG suppliers to stabilize and reduce the cost of refill so as to enable continue use of LPG, which will prevent households from reverting to charcoal or firewood due to high costs. Also to continue promoting awareness campaigns about the benefits of LPG in schools, college and general public (during community meeting, market area, bus terminal and minadani) in the area can further encourage adoption.</w:t>
      </w:r>
    </w:p>
    <w:p w14:paraId="602F1F1C" w14:textId="6ACD6C1A" w:rsidR="00645223" w:rsidRPr="00AB3E42" w:rsidRDefault="00645223" w:rsidP="000E2CF0">
      <w:pPr>
        <w:pStyle w:val="ListParagraph"/>
        <w:ind w:left="0"/>
        <w:jc w:val="both"/>
        <w:rPr>
          <w:rFonts w:ascii="Arial Narrow" w:hAnsi="Arial Narrow" w:cstheme="majorHAnsi"/>
          <w:b/>
          <w:bCs/>
          <w:lang w:eastAsia="en-GB"/>
        </w:rPr>
      </w:pPr>
    </w:p>
    <w:p w14:paraId="65B91A3A" w14:textId="09301BC9" w:rsidR="00E077B5" w:rsidRPr="00AB3E42" w:rsidRDefault="00E077B5" w:rsidP="000E2CF0">
      <w:pPr>
        <w:pStyle w:val="ListParagraph"/>
        <w:ind w:left="0"/>
        <w:jc w:val="both"/>
        <w:rPr>
          <w:rFonts w:ascii="Arial Narrow" w:hAnsi="Arial Narrow" w:cstheme="majorHAnsi"/>
          <w:b/>
          <w:bCs/>
          <w:lang w:eastAsia="en-GB"/>
        </w:rPr>
      </w:pPr>
    </w:p>
    <w:p w14:paraId="15A69309" w14:textId="32638FC5" w:rsidR="00E077B5" w:rsidRPr="00AB3E42" w:rsidRDefault="00E077B5" w:rsidP="000E2CF0">
      <w:pPr>
        <w:pStyle w:val="ListParagraph"/>
        <w:ind w:left="0"/>
        <w:jc w:val="both"/>
        <w:rPr>
          <w:rFonts w:ascii="Arial Narrow" w:hAnsi="Arial Narrow" w:cstheme="majorHAnsi"/>
          <w:b/>
          <w:bCs/>
          <w:lang w:eastAsia="en-GB"/>
        </w:rPr>
      </w:pPr>
    </w:p>
    <w:p w14:paraId="308F47B1" w14:textId="03BE23F3" w:rsidR="00E077B5" w:rsidRPr="00AB3E42" w:rsidRDefault="00E077B5" w:rsidP="000E2CF0">
      <w:pPr>
        <w:pStyle w:val="ListParagraph"/>
        <w:ind w:left="0"/>
        <w:jc w:val="both"/>
        <w:rPr>
          <w:rFonts w:ascii="Arial Narrow" w:hAnsi="Arial Narrow" w:cstheme="majorHAnsi"/>
          <w:b/>
          <w:bCs/>
          <w:lang w:eastAsia="en-GB"/>
        </w:rPr>
      </w:pPr>
    </w:p>
    <w:p w14:paraId="3075E22B" w14:textId="35724AA3" w:rsidR="00E077B5" w:rsidRPr="00AB3E42" w:rsidRDefault="00E077B5" w:rsidP="000E2CF0">
      <w:pPr>
        <w:pStyle w:val="ListParagraph"/>
        <w:ind w:left="0"/>
        <w:jc w:val="both"/>
        <w:rPr>
          <w:rFonts w:ascii="Arial Narrow" w:hAnsi="Arial Narrow" w:cstheme="majorHAnsi"/>
          <w:b/>
          <w:bCs/>
          <w:lang w:eastAsia="en-GB"/>
        </w:rPr>
      </w:pPr>
    </w:p>
    <w:p w14:paraId="2428F78D" w14:textId="737B4FE0" w:rsidR="00E077B5" w:rsidRDefault="00E077B5" w:rsidP="000E2CF0">
      <w:pPr>
        <w:pStyle w:val="ListParagraph"/>
        <w:ind w:left="0"/>
        <w:jc w:val="both"/>
        <w:rPr>
          <w:rFonts w:ascii="Arial Narrow" w:hAnsi="Arial Narrow" w:cstheme="majorHAnsi"/>
          <w:b/>
          <w:bCs/>
          <w:lang w:eastAsia="en-GB"/>
        </w:rPr>
      </w:pPr>
    </w:p>
    <w:p w14:paraId="5CB44061" w14:textId="0A16BAC2" w:rsidR="00E5724C" w:rsidRDefault="00E5724C" w:rsidP="000E2CF0">
      <w:pPr>
        <w:pStyle w:val="ListParagraph"/>
        <w:ind w:left="0"/>
        <w:jc w:val="both"/>
        <w:rPr>
          <w:rFonts w:ascii="Arial Narrow" w:hAnsi="Arial Narrow" w:cstheme="majorHAnsi"/>
          <w:b/>
          <w:bCs/>
          <w:lang w:eastAsia="en-GB"/>
        </w:rPr>
      </w:pPr>
    </w:p>
    <w:p w14:paraId="25075F13" w14:textId="26D71107" w:rsidR="00E5724C" w:rsidRDefault="00E5724C" w:rsidP="000E2CF0">
      <w:pPr>
        <w:pStyle w:val="ListParagraph"/>
        <w:ind w:left="0"/>
        <w:jc w:val="both"/>
        <w:rPr>
          <w:rFonts w:ascii="Arial Narrow" w:hAnsi="Arial Narrow" w:cstheme="majorHAnsi"/>
          <w:b/>
          <w:bCs/>
          <w:lang w:eastAsia="en-GB"/>
        </w:rPr>
      </w:pPr>
    </w:p>
    <w:p w14:paraId="23B50B11" w14:textId="737656A0" w:rsidR="00E5724C" w:rsidRDefault="00E5724C" w:rsidP="000E2CF0">
      <w:pPr>
        <w:pStyle w:val="ListParagraph"/>
        <w:ind w:left="0"/>
        <w:jc w:val="both"/>
        <w:rPr>
          <w:rFonts w:ascii="Arial Narrow" w:hAnsi="Arial Narrow" w:cstheme="majorHAnsi"/>
          <w:b/>
          <w:bCs/>
          <w:lang w:eastAsia="en-GB"/>
        </w:rPr>
      </w:pPr>
    </w:p>
    <w:p w14:paraId="1DE634F5" w14:textId="238A6629" w:rsidR="00E5724C" w:rsidRDefault="00E5724C" w:rsidP="000E2CF0">
      <w:pPr>
        <w:pStyle w:val="ListParagraph"/>
        <w:ind w:left="0"/>
        <w:jc w:val="both"/>
        <w:rPr>
          <w:rFonts w:ascii="Arial Narrow" w:hAnsi="Arial Narrow" w:cstheme="majorHAnsi"/>
          <w:b/>
          <w:bCs/>
          <w:lang w:eastAsia="en-GB"/>
        </w:rPr>
      </w:pPr>
    </w:p>
    <w:p w14:paraId="0F7DED7E" w14:textId="6D0CAFE5" w:rsidR="00E5724C" w:rsidRDefault="00E5724C" w:rsidP="000E2CF0">
      <w:pPr>
        <w:pStyle w:val="ListParagraph"/>
        <w:ind w:left="0"/>
        <w:jc w:val="both"/>
        <w:rPr>
          <w:rFonts w:ascii="Arial Narrow" w:hAnsi="Arial Narrow" w:cstheme="majorHAnsi"/>
          <w:b/>
          <w:bCs/>
          <w:lang w:eastAsia="en-GB"/>
        </w:rPr>
      </w:pPr>
    </w:p>
    <w:p w14:paraId="1AC4DC14" w14:textId="0D3BB6B9" w:rsidR="00E5724C" w:rsidRDefault="00E5724C" w:rsidP="000E2CF0">
      <w:pPr>
        <w:pStyle w:val="ListParagraph"/>
        <w:ind w:left="0"/>
        <w:jc w:val="both"/>
        <w:rPr>
          <w:rFonts w:ascii="Arial Narrow" w:hAnsi="Arial Narrow" w:cstheme="majorHAnsi"/>
          <w:b/>
          <w:bCs/>
          <w:lang w:eastAsia="en-GB"/>
        </w:rPr>
      </w:pPr>
    </w:p>
    <w:p w14:paraId="46DD8750" w14:textId="77777777" w:rsidR="00E5724C" w:rsidRPr="00AB3E42" w:rsidRDefault="00E5724C" w:rsidP="000E2CF0">
      <w:pPr>
        <w:pStyle w:val="ListParagraph"/>
        <w:ind w:left="0"/>
        <w:jc w:val="both"/>
        <w:rPr>
          <w:rFonts w:ascii="Arial Narrow" w:hAnsi="Arial Narrow" w:cstheme="majorHAnsi"/>
          <w:b/>
          <w:bCs/>
          <w:lang w:eastAsia="en-GB"/>
        </w:rPr>
      </w:pPr>
    </w:p>
    <w:p w14:paraId="41E36784" w14:textId="2B726F93" w:rsidR="00225C93" w:rsidRPr="00AB3E42" w:rsidRDefault="00225C93" w:rsidP="000E2CF0">
      <w:pPr>
        <w:pStyle w:val="ListParagraph"/>
        <w:ind w:left="0"/>
        <w:jc w:val="both"/>
        <w:rPr>
          <w:rFonts w:ascii="Arial Narrow" w:hAnsi="Arial Narrow" w:cstheme="majorHAnsi"/>
          <w:b/>
          <w:bCs/>
          <w:lang w:eastAsia="en-GB"/>
        </w:rPr>
      </w:pPr>
      <w:r w:rsidRPr="00AB3E42">
        <w:rPr>
          <w:rFonts w:ascii="Arial Narrow" w:hAnsi="Arial Narrow" w:cstheme="majorHAnsi"/>
          <w:b/>
          <w:bCs/>
          <w:lang w:eastAsia="en-GB"/>
        </w:rPr>
        <w:t>References</w:t>
      </w:r>
    </w:p>
    <w:p w14:paraId="103A5442" w14:textId="77777777" w:rsidR="00AB3E42" w:rsidRPr="009A50EE" w:rsidRDefault="00AB3E42" w:rsidP="00AB3E42">
      <w:pPr>
        <w:keepNext/>
        <w:keepLines/>
        <w:spacing w:before="360" w:after="80"/>
        <w:ind w:left="720" w:hanging="720"/>
        <w:jc w:val="both"/>
        <w:outlineLvl w:val="0"/>
        <w:rPr>
          <w:rFonts w:ascii="Arial Narrow" w:eastAsia="SimSun" w:hAnsi="Arial Narrow" w:cs="Times New Roman"/>
          <w:b/>
          <w:lang w:val="en-US"/>
        </w:rPr>
      </w:pPr>
      <w:r w:rsidRPr="009A50EE">
        <w:rPr>
          <w:rFonts w:ascii="Arial Narrow" w:eastAsia="SimSun" w:hAnsi="Arial Narrow" w:cs="Times New Roman"/>
          <w:b/>
          <w:lang w:val="en-US"/>
        </w:rPr>
        <w:fldChar w:fldCharType="begin"/>
      </w:r>
      <w:r w:rsidRPr="009A50EE">
        <w:rPr>
          <w:rFonts w:ascii="Arial Narrow" w:eastAsia="SimSun" w:hAnsi="Arial Narrow" w:cs="Times New Roman"/>
          <w:b/>
          <w:lang w:val="en-US"/>
        </w:rPr>
        <w:instrText xml:space="preserve">ADDIN Mendeley Bibliography CSL_BIBLIOGRAPHY </w:instrText>
      </w:r>
      <w:r w:rsidRPr="009A50EE">
        <w:rPr>
          <w:rFonts w:ascii="Arial Narrow" w:eastAsia="SimSun" w:hAnsi="Arial Narrow" w:cs="Times New Roman"/>
          <w:b/>
          <w:lang w:val="en-US"/>
        </w:rPr>
        <w:fldChar w:fldCharType="separate"/>
      </w:r>
      <w:r w:rsidRPr="009A50EE">
        <w:rPr>
          <w:rFonts w:ascii="Arial Narrow" w:eastAsia="Times New Roman" w:hAnsi="Arial Narrow" w:cs="Times New Roman"/>
          <w:kern w:val="0"/>
          <w:lang w:val="en-US"/>
          <w14:ligatures w14:val="none"/>
        </w:rPr>
        <w:t>Adjei</w:t>
      </w:r>
      <w:r w:rsidRPr="009A50EE">
        <w:rPr>
          <w:rFonts w:ascii="Cambria Math" w:eastAsia="Times New Roman" w:hAnsi="Cambria Math" w:cs="Cambria Math"/>
          <w:kern w:val="0"/>
          <w:lang w:val="en-US"/>
          <w14:ligatures w14:val="none"/>
        </w:rPr>
        <w:t>‐</w:t>
      </w:r>
      <w:r w:rsidRPr="009A50EE">
        <w:rPr>
          <w:rFonts w:ascii="Arial Narrow" w:eastAsia="Times New Roman" w:hAnsi="Arial Narrow" w:cs="Times New Roman"/>
          <w:kern w:val="0"/>
          <w:lang w:val="en-US"/>
          <w14:ligatures w14:val="none"/>
        </w:rPr>
        <w:t>Mantey, K., Takeuchi, K., and  Quartey, P. (2021). Impact of LPG promotion program in Ghana: The role of distance to refill. Energy Policy. https://doi.org/10.1016/j.enpol.2021.112578.</w:t>
      </w:r>
    </w:p>
    <w:p w14:paraId="67E3F44C" w14:textId="1CFE8A4A" w:rsidR="003D36D6" w:rsidRPr="003D36D6" w:rsidRDefault="003D36D6" w:rsidP="003D36D6">
      <w:pPr>
        <w:spacing w:before="0" w:after="160"/>
        <w:jc w:val="left"/>
        <w:rPr>
          <w:rFonts w:ascii="Arial Narrow" w:eastAsia="Calibri" w:hAnsi="Arial Narrow" w:cs="Times New Roman"/>
          <w:lang w:val="en-US"/>
        </w:rPr>
      </w:pPr>
      <w:r w:rsidRPr="003D36D6">
        <w:rPr>
          <w:rFonts w:ascii="Arial Narrow" w:eastAsia="Calibri" w:hAnsi="Arial Narrow" w:cs="Times New Roman"/>
          <w:lang w:val="en-US"/>
        </w:rPr>
        <w:t>Chen, K. C., Leach, M., Black, M. J., Tesfamichael, M., Ke</w:t>
      </w:r>
      <w:r w:rsidR="009A50EE">
        <w:rPr>
          <w:rFonts w:ascii="Arial Narrow" w:eastAsia="Calibri" w:hAnsi="Arial Narrow" w:cs="Times New Roman"/>
          <w:lang w:val="en-US"/>
        </w:rPr>
        <w:t>mausuor, F., Littlewood, P.,</w:t>
      </w:r>
      <w:r w:rsidRPr="003D36D6">
        <w:rPr>
          <w:rFonts w:ascii="Arial Narrow" w:eastAsia="Calibri" w:hAnsi="Arial Narrow" w:cs="Times New Roman"/>
          <w:lang w:val="en-US"/>
        </w:rPr>
        <w:t xml:space="preserve"> &amp; Puzzolo, E. (2021). BioLPG for clean cooking in sub-Saharan Africa: present and future feasibility of technologies, feedstocks, enabling conditions, and financing. </w:t>
      </w:r>
      <w:r w:rsidRPr="003D36D6">
        <w:rPr>
          <w:rFonts w:ascii="Arial Narrow" w:eastAsia="Calibri" w:hAnsi="Arial Narrow" w:cs="Times New Roman"/>
          <w:i/>
          <w:iCs/>
          <w:lang w:val="en-US"/>
        </w:rPr>
        <w:t>Energies</w:t>
      </w:r>
      <w:r w:rsidRPr="003D36D6">
        <w:rPr>
          <w:rFonts w:ascii="Arial Narrow" w:eastAsia="Calibri" w:hAnsi="Arial Narrow" w:cs="Times New Roman"/>
          <w:lang w:val="en-US"/>
        </w:rPr>
        <w:t>, </w:t>
      </w:r>
      <w:r w:rsidRPr="003D36D6">
        <w:rPr>
          <w:rFonts w:ascii="Arial Narrow" w:eastAsia="Calibri" w:hAnsi="Arial Narrow" w:cs="Times New Roman"/>
          <w:i/>
          <w:iCs/>
          <w:lang w:val="en-US"/>
        </w:rPr>
        <w:t>14</w:t>
      </w:r>
      <w:r w:rsidRPr="003D36D6">
        <w:rPr>
          <w:rFonts w:ascii="Arial Narrow" w:eastAsia="Calibri" w:hAnsi="Arial Narrow" w:cs="Times New Roman"/>
          <w:lang w:val="en-US"/>
        </w:rPr>
        <w:t>(13), 3916.https://doi.org/10.3390/en14133916</w:t>
      </w:r>
    </w:p>
    <w:p w14:paraId="45848EB6" w14:textId="77777777" w:rsidR="00AB3E42" w:rsidRPr="009A50EE"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iCs/>
          <w:noProof/>
          <w:kern w:val="0"/>
          <w:lang w:val="en-US"/>
          <w14:ligatures w14:val="none"/>
        </w:rPr>
      </w:pPr>
      <w:r w:rsidRPr="009A50EE">
        <w:rPr>
          <w:rFonts w:ascii="Arial Narrow" w:eastAsia="Times New Roman" w:hAnsi="Arial Narrow" w:cs="Times New Roman"/>
          <w:kern w:val="0"/>
          <w:lang w:val="en-US"/>
          <w14:ligatures w14:val="none"/>
        </w:rPr>
        <w:t>Clean Cooking Alliance. (2022).</w:t>
      </w:r>
      <w:r w:rsidRPr="009A50EE">
        <w:rPr>
          <w:rFonts w:ascii="Arial Narrow" w:eastAsia="Calibri" w:hAnsi="Arial Narrow" w:cs="Times New Roman"/>
          <w:i/>
          <w:iCs/>
          <w:noProof/>
          <w:kern w:val="0"/>
          <w:lang w:val="en-US"/>
          <w14:ligatures w14:val="none"/>
        </w:rPr>
        <w:t xml:space="preserve"> </w:t>
      </w:r>
      <w:r w:rsidRPr="009A50EE">
        <w:rPr>
          <w:rFonts w:ascii="Arial Narrow" w:eastAsia="Calibri" w:hAnsi="Arial Narrow" w:cs="Times New Roman"/>
          <w:iCs/>
          <w:noProof/>
          <w:kern w:val="0"/>
          <w:lang w:val="en-US"/>
          <w14:ligatures w14:val="none"/>
        </w:rPr>
        <w:t>Scaling LPG for cooking in developing markets.</w:t>
      </w:r>
    </w:p>
    <w:p w14:paraId="0963B104" w14:textId="77777777" w:rsidR="00AB3E42" w:rsidRPr="009A50EE"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iCs/>
          <w:noProof/>
          <w:kern w:val="0"/>
          <w:lang w:val="en-US"/>
          <w14:ligatures w14:val="none"/>
        </w:rPr>
      </w:pPr>
      <w:r w:rsidRPr="009A50EE">
        <w:rPr>
          <w:rFonts w:ascii="Arial Narrow" w:eastAsia="Calibri" w:hAnsi="Arial Narrow" w:cs="Times New Roman"/>
          <w:iCs/>
          <w:noProof/>
          <w:kern w:val="0"/>
          <w:lang w:val="en-US"/>
          <w14:ligatures w14:val="none"/>
        </w:rPr>
        <w:lastRenderedPageBreak/>
        <w:t>Dongzagla, A., and  Adams, A. (2022). Determinants of urban household choice of cooking fuel in Ghana: Do socioeconomic and demographic factors matter. Energy. https://doi.org/10.1016/j.energy.2022.124613.</w:t>
      </w:r>
    </w:p>
    <w:p w14:paraId="508A9236" w14:textId="77777777" w:rsidR="00AB3E42" w:rsidRPr="009A50EE" w:rsidRDefault="00AB3E42" w:rsidP="00AB3E42">
      <w:pPr>
        <w:spacing w:before="100" w:beforeAutospacing="1" w:after="100" w:afterAutospacing="1"/>
        <w:jc w:val="both"/>
        <w:outlineLvl w:val="2"/>
        <w:rPr>
          <w:rFonts w:ascii="Arial Narrow" w:eastAsia="Times New Roman" w:hAnsi="Arial Narrow" w:cs="Times New Roman"/>
          <w:kern w:val="0"/>
          <w:lang w:val="en-US"/>
          <w14:ligatures w14:val="none"/>
        </w:rPr>
      </w:pPr>
      <w:bookmarkStart w:id="23" w:name="_Toc206415423"/>
      <w:bookmarkStart w:id="24" w:name="_Toc206425741"/>
      <w:bookmarkStart w:id="25" w:name="_Toc206485698"/>
      <w:bookmarkStart w:id="26" w:name="_Toc206127125"/>
      <w:bookmarkStart w:id="27" w:name="_Toc206129003"/>
      <w:bookmarkStart w:id="28" w:name="_Toc207001389"/>
      <w:bookmarkStart w:id="29" w:name="_Toc207431017"/>
      <w:bookmarkStart w:id="30" w:name="_Toc207229369"/>
      <w:bookmarkStart w:id="31" w:name="_Toc208433527"/>
      <w:r w:rsidRPr="009A50EE">
        <w:rPr>
          <w:rFonts w:ascii="Arial Narrow" w:eastAsia="Times New Roman" w:hAnsi="Arial Narrow" w:cs="Times New Roman"/>
          <w:kern w:val="0"/>
          <w:lang w:val="en-US"/>
          <w14:ligatures w14:val="none"/>
        </w:rPr>
        <w:t xml:space="preserve">Energy and Water Utilities Regulatory Authority (EWURA). (2023). </w:t>
      </w:r>
      <w:r w:rsidRPr="009A50EE">
        <w:rPr>
          <w:rFonts w:ascii="Arial Narrow" w:eastAsia="Times New Roman" w:hAnsi="Arial Narrow" w:cs="Times New Roman"/>
          <w:i/>
          <w:iCs/>
          <w:kern w:val="0"/>
          <w:lang w:val="en-US"/>
          <w14:ligatures w14:val="none"/>
        </w:rPr>
        <w:t>Annual Energy Report</w:t>
      </w:r>
      <w:r w:rsidRPr="009A50EE">
        <w:rPr>
          <w:rFonts w:ascii="Arial Narrow" w:eastAsia="Calibri" w:hAnsi="Arial Narrow" w:cs="Times New Roman"/>
          <w:iCs/>
          <w:noProof/>
          <w:kern w:val="0"/>
          <w:lang w:val="en-US"/>
          <w14:ligatures w14:val="none"/>
        </w:rPr>
        <w:t>2023.124613.</w:t>
      </w:r>
      <w:r w:rsidRPr="009A50EE">
        <w:rPr>
          <w:rFonts w:ascii="Arial Narrow" w:eastAsia="Times New Roman" w:hAnsi="Arial Narrow" w:cs="Times New Roman"/>
          <w:kern w:val="0"/>
          <w:lang w:val="en-US"/>
          <w14:ligatures w14:val="none"/>
        </w:rPr>
        <w:t>.</w:t>
      </w:r>
      <w:bookmarkEnd w:id="23"/>
      <w:bookmarkEnd w:id="24"/>
      <w:bookmarkEnd w:id="25"/>
      <w:bookmarkEnd w:id="26"/>
      <w:bookmarkEnd w:id="27"/>
      <w:bookmarkEnd w:id="28"/>
      <w:bookmarkEnd w:id="29"/>
      <w:bookmarkEnd w:id="30"/>
      <w:bookmarkEnd w:id="31"/>
    </w:p>
    <w:p w14:paraId="06898402" w14:textId="19821399" w:rsidR="00AB3E42" w:rsidRPr="009A50EE" w:rsidRDefault="00AB3E42" w:rsidP="00AB3E42">
      <w:pPr>
        <w:spacing w:before="100" w:beforeAutospacing="1" w:after="100" w:afterAutospacing="1"/>
        <w:ind w:left="720" w:hanging="720"/>
        <w:jc w:val="both"/>
        <w:rPr>
          <w:rFonts w:ascii="Arial Narrow" w:eastAsia="Times New Roman" w:hAnsi="Arial Narrow" w:cs="Times New Roman"/>
          <w:kern w:val="0"/>
          <w:lang w:val="en-US"/>
          <w14:ligatures w14:val="none"/>
        </w:rPr>
      </w:pPr>
      <w:r w:rsidRPr="009A50EE">
        <w:rPr>
          <w:rFonts w:ascii="Arial Narrow" w:eastAsia="Times New Roman" w:hAnsi="Arial Narrow" w:cs="Times New Roman"/>
          <w:kern w:val="0"/>
          <w:lang w:val="en-US"/>
          <w14:ligatures w14:val="none"/>
        </w:rPr>
        <w:t>Gould, C., and Urpelainen, J. (2019). The Role of Education and Attitudes in Cooking Fuel Choice: Evidence from Two States in India.</w:t>
      </w:r>
      <w:r w:rsidRPr="009A50EE">
        <w:rPr>
          <w:rFonts w:ascii="Arial Narrow" w:eastAsia="Times New Roman" w:hAnsi="Arial Narrow" w:cs="Times New Roman"/>
          <w:i/>
          <w:kern w:val="0"/>
          <w:lang w:val="en-US"/>
          <w14:ligatures w14:val="none"/>
        </w:rPr>
        <w:t xml:space="preserve"> Politics and Energy e Journal. </w:t>
      </w:r>
      <w:r w:rsidRPr="009A50EE">
        <w:rPr>
          <w:rFonts w:ascii="Arial Narrow" w:eastAsia="Times New Roman" w:hAnsi="Arial Narrow" w:cs="Times New Roman"/>
          <w:kern w:val="0"/>
          <w:lang w:val="en-US"/>
          <w14:ligatures w14:val="none"/>
        </w:rPr>
        <w:t>https://doi.org/10.1016/j.esd.2019.09.003.</w:t>
      </w:r>
    </w:p>
    <w:p w14:paraId="6499E883" w14:textId="77777777" w:rsidR="00AB3E42" w:rsidRPr="009A50EE" w:rsidRDefault="00AB3E42" w:rsidP="00AB3E42">
      <w:pPr>
        <w:spacing w:before="0" w:after="160"/>
        <w:ind w:left="720" w:hanging="720"/>
        <w:jc w:val="both"/>
        <w:rPr>
          <w:rFonts w:ascii="Arial Narrow" w:eastAsia="Calibri" w:hAnsi="Arial Narrow" w:cs="Times New Roman"/>
          <w:kern w:val="0"/>
          <w:lang w:val="en-US"/>
          <w14:ligatures w14:val="none"/>
        </w:rPr>
      </w:pPr>
      <w:r w:rsidRPr="009A50EE">
        <w:rPr>
          <w:rFonts w:ascii="Arial Narrow" w:eastAsia="Calibri" w:hAnsi="Arial Narrow" w:cs="Times New Roman"/>
          <w:kern w:val="0"/>
          <w:lang w:val="en-US"/>
          <w14:ligatures w14:val="none"/>
        </w:rPr>
        <w:t>Guta, D. (2020). Determinants of household use of energy-efficient and renewable energy technologies in rural Ethiopia.</w:t>
      </w:r>
      <w:r w:rsidRPr="009A50EE">
        <w:rPr>
          <w:rFonts w:ascii="Arial Narrow" w:eastAsia="Calibri" w:hAnsi="Arial Narrow" w:cs="Times New Roman"/>
          <w:i/>
          <w:kern w:val="0"/>
          <w:lang w:val="en-US"/>
          <w14:ligatures w14:val="none"/>
        </w:rPr>
        <w:t xml:space="preserve"> Technology in Society</w:t>
      </w:r>
      <w:r w:rsidRPr="009A50EE">
        <w:rPr>
          <w:rFonts w:ascii="Arial Narrow" w:eastAsia="Calibri" w:hAnsi="Arial Narrow" w:cs="Times New Roman"/>
          <w:kern w:val="0"/>
          <w:lang w:val="en-US"/>
          <w14:ligatures w14:val="none"/>
        </w:rPr>
        <w:t>, 61, 101249. https://doi.org/10.1016/j.techsoc.2020.101249.</w:t>
      </w:r>
    </w:p>
    <w:p w14:paraId="7F79D4BC" w14:textId="77777777" w:rsidR="00AB3E42" w:rsidRPr="009A50EE" w:rsidRDefault="00AB3E42" w:rsidP="00AB3E42">
      <w:pPr>
        <w:spacing w:before="0" w:after="160"/>
        <w:ind w:left="720" w:hanging="720"/>
        <w:jc w:val="both"/>
        <w:rPr>
          <w:rFonts w:ascii="Arial Narrow" w:eastAsia="Calibri" w:hAnsi="Arial Narrow" w:cs="Times New Roman"/>
          <w:kern w:val="0"/>
          <w:lang w:val="en-US"/>
          <w14:ligatures w14:val="none"/>
        </w:rPr>
      </w:pPr>
      <w:r w:rsidRPr="009A50EE">
        <w:rPr>
          <w:rFonts w:ascii="Arial Narrow" w:eastAsia="Calibri" w:hAnsi="Arial Narrow" w:cs="Times New Roman"/>
          <w:kern w:val="0"/>
          <w:lang w:val="en-US"/>
          <w14:ligatures w14:val="none"/>
        </w:rPr>
        <w:t>Ismail, A., Ibrahim, S., Gambo, M., Muhammad, R., Badamasi, M., and  Sulaiman, I. (2022). Impact of differential occupational LPG exposure on cardiopulmonary indices, liver function, and oxidative stress in Northwestern city of Nigeria.</w:t>
      </w:r>
      <w:r w:rsidRPr="009A50EE">
        <w:rPr>
          <w:rFonts w:ascii="Arial Narrow" w:eastAsia="Calibri" w:hAnsi="Arial Narrow" w:cs="Times New Roman"/>
          <w:i/>
          <w:kern w:val="0"/>
          <w:lang w:val="en-US"/>
          <w14:ligatures w14:val="none"/>
        </w:rPr>
        <w:t xml:space="preserve"> The Science of the total environment,</w:t>
      </w:r>
      <w:r w:rsidRPr="009A50EE">
        <w:rPr>
          <w:rFonts w:ascii="Arial Narrow" w:eastAsia="Calibri" w:hAnsi="Arial Narrow" w:cs="Times New Roman"/>
          <w:kern w:val="0"/>
          <w:lang w:val="en-US"/>
          <w14:ligatures w14:val="none"/>
        </w:rPr>
        <w:t xml:space="preserve"> 160881. https://doi.org/10.1016/j.scitotenv.2022.160881.</w:t>
      </w:r>
    </w:p>
    <w:p w14:paraId="4852C10F" w14:textId="77777777" w:rsidR="00AB3E42" w:rsidRPr="009A50EE"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noProof/>
          <w:kern w:val="0"/>
          <w:lang w:val="en-US"/>
          <w14:ligatures w14:val="none"/>
        </w:rPr>
      </w:pPr>
      <w:r w:rsidRPr="009A50EE">
        <w:rPr>
          <w:rFonts w:ascii="Arial Narrow" w:eastAsia="Calibri" w:hAnsi="Arial Narrow" w:cs="Times New Roman"/>
          <w:noProof/>
          <w:kern w:val="0"/>
          <w:lang w:val="en-US"/>
          <w14:ligatures w14:val="none"/>
        </w:rPr>
        <w:t xml:space="preserve">Jamaldin, S. (2025). Determinants of the Liquefied Petroleum Gas among household in Muheza District, Tanga. </w:t>
      </w:r>
      <w:r w:rsidRPr="009A50EE">
        <w:rPr>
          <w:rFonts w:ascii="Arial Narrow" w:eastAsia="Calibri" w:hAnsi="Arial Narrow" w:cs="Times New Roman"/>
          <w:i/>
          <w:noProof/>
          <w:kern w:val="0"/>
          <w:lang w:val="en-US"/>
          <w14:ligatures w14:val="none"/>
        </w:rPr>
        <w:t>Journal of Policy and Development Studies</w:t>
      </w:r>
      <w:r w:rsidRPr="009A50EE">
        <w:rPr>
          <w:rFonts w:ascii="Arial Narrow" w:eastAsia="Calibri" w:hAnsi="Arial Narrow" w:cs="Times New Roman"/>
          <w:noProof/>
          <w:kern w:val="0"/>
          <w:lang w:val="en-US"/>
          <w14:ligatures w14:val="none"/>
        </w:rPr>
        <w:t>. https://doi.org/10.4314/jpds.v18i2.7.</w:t>
      </w:r>
    </w:p>
    <w:p w14:paraId="29C53B89" w14:textId="77777777" w:rsidR="00AB3E42" w:rsidRPr="009A50EE"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noProof/>
          <w:kern w:val="0"/>
          <w:lang w:val="en-US"/>
          <w14:ligatures w14:val="none"/>
        </w:rPr>
      </w:pPr>
      <w:r w:rsidRPr="009A50EE">
        <w:rPr>
          <w:rFonts w:ascii="Arial Narrow" w:eastAsia="Calibri" w:hAnsi="Arial Narrow" w:cs="Times New Roman"/>
          <w:noProof/>
          <w:kern w:val="0"/>
          <w:lang w:val="en-US"/>
          <w14:ligatures w14:val="none"/>
        </w:rPr>
        <w:t xml:space="preserve">Johnson, O., Gerber, V., and  Muhoza, C. (2019). Gender, culture and energy transitions in rural Africa. </w:t>
      </w:r>
      <w:r w:rsidRPr="009A50EE">
        <w:rPr>
          <w:rFonts w:ascii="Arial Narrow" w:eastAsia="Calibri" w:hAnsi="Arial Narrow" w:cs="Times New Roman"/>
          <w:i/>
          <w:noProof/>
          <w:kern w:val="0"/>
          <w:lang w:val="en-US"/>
          <w14:ligatures w14:val="none"/>
        </w:rPr>
        <w:t>Energy Research and  Social Science</w:t>
      </w:r>
      <w:r w:rsidRPr="009A50EE">
        <w:rPr>
          <w:rFonts w:ascii="Arial Narrow" w:eastAsia="Calibri" w:hAnsi="Arial Narrow" w:cs="Times New Roman"/>
          <w:noProof/>
          <w:kern w:val="0"/>
          <w:lang w:val="en-US"/>
          <w14:ligatures w14:val="none"/>
        </w:rPr>
        <w:t>. https://doi.org/10.1016/J.ERSS.2018.11.004.</w:t>
      </w:r>
    </w:p>
    <w:p w14:paraId="0D76F8AD" w14:textId="77777777" w:rsidR="009F7C31" w:rsidRPr="009A50EE" w:rsidRDefault="00766982" w:rsidP="00AB3E42">
      <w:pPr>
        <w:spacing w:before="0" w:after="160"/>
        <w:ind w:left="720" w:hanging="720"/>
        <w:jc w:val="both"/>
        <w:rPr>
          <w:rFonts w:ascii="Arial Narrow" w:hAnsi="Arial Narrow"/>
        </w:rPr>
      </w:pPr>
      <w:r w:rsidRPr="009A50EE">
        <w:rPr>
          <w:rFonts w:ascii="Arial Narrow" w:hAnsi="Arial Narrow"/>
        </w:rPr>
        <w:t xml:space="preserve">Rugaimukamu, K. M. (2022). The analysis of determinants and barriers of household sustainable energy transitions in Tanzania.http://hdl.handle.net/11427/36543.   </w:t>
      </w:r>
    </w:p>
    <w:p w14:paraId="5537C352" w14:textId="29A080B9" w:rsidR="00AB3E42" w:rsidRPr="009A50EE" w:rsidRDefault="00AB3E42" w:rsidP="00AB3E42">
      <w:pPr>
        <w:spacing w:before="0" w:after="160"/>
        <w:ind w:left="720" w:hanging="720"/>
        <w:jc w:val="both"/>
        <w:rPr>
          <w:rFonts w:ascii="Arial Narrow" w:eastAsia="Calibri" w:hAnsi="Arial Narrow" w:cs="Times New Roman"/>
          <w:kern w:val="0"/>
          <w:lang w:val="en-US"/>
          <w14:ligatures w14:val="none"/>
        </w:rPr>
      </w:pPr>
      <w:r w:rsidRPr="009A50EE">
        <w:rPr>
          <w:rFonts w:ascii="Arial Narrow" w:eastAsia="Calibri" w:hAnsi="Arial Narrow" w:cs="Times New Roman"/>
          <w:kern w:val="0"/>
          <w:lang w:val="en-US"/>
          <w14:ligatures w14:val="none"/>
        </w:rPr>
        <w:t xml:space="preserve"> Karimu, A., Mensah, J., and  Adu, G. (2022). Who Adopts LPG as the Main Cooking Fuel and Why? Empirical Evidence on Ghana Based on National Survey. SRPN: Gas (Topic). https://doi.org/10.2139/ssrn.2770348. </w:t>
      </w:r>
    </w:p>
    <w:p w14:paraId="41684AF1" w14:textId="5B3709F2" w:rsidR="00AB3E42" w:rsidRPr="009A50EE" w:rsidRDefault="00AB3E42" w:rsidP="00264BDB">
      <w:pPr>
        <w:spacing w:before="0" w:after="160"/>
        <w:ind w:left="720" w:hanging="720"/>
        <w:jc w:val="both"/>
        <w:rPr>
          <w:rFonts w:ascii="Arial Narrow" w:eastAsia="Calibri" w:hAnsi="Arial Narrow" w:cs="Times New Roman"/>
          <w:kern w:val="0"/>
          <w:lang w:val="en-US"/>
          <w14:ligatures w14:val="none"/>
        </w:rPr>
      </w:pPr>
      <w:r w:rsidRPr="009A50EE">
        <w:rPr>
          <w:rFonts w:ascii="Arial Narrow" w:eastAsia="Calibri" w:hAnsi="Arial Narrow" w:cs="Times New Roman"/>
          <w:kern w:val="0"/>
          <w:lang w:val="en-US"/>
          <w14:ligatures w14:val="none"/>
        </w:rPr>
        <w:t>Kumar, P., Dover, R., Iriarte, D., Rao, S., Garakani, R., Hadingham, S., Dhand, A., Tabak, R., Brownson, R., and  Yadama, G. (2020). Affordability, Accessibility, and Awareness in the Adoption of Liquefied Petroleum Gas: A Case-Control Study in Rural India. Sustainability. https://doi.org/10.3390/su12114790.</w:t>
      </w:r>
    </w:p>
    <w:p w14:paraId="590FDAF6" w14:textId="77777777" w:rsidR="00AB3E42" w:rsidRPr="009A50EE"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noProof/>
          <w:kern w:val="0"/>
          <w:lang w:val="en-US"/>
          <w14:ligatures w14:val="none"/>
        </w:rPr>
      </w:pPr>
      <w:r w:rsidRPr="009A50EE">
        <w:rPr>
          <w:rFonts w:ascii="Arial Narrow" w:eastAsia="Calibri" w:hAnsi="Arial Narrow" w:cs="Times New Roman"/>
          <w:noProof/>
          <w:kern w:val="0"/>
          <w:lang w:val="en-US"/>
          <w14:ligatures w14:val="none"/>
        </w:rPr>
        <w:t>Lee, K. K., Bing, R., Kiang, J., Bashir, S., Spath, N., Stelzle, D., Mortimer, K., Bularga, A., Doudesis, D., Joshi, S. S., Strachan, F., Gumy, S., Adair-rohani, H., Attia, E. F., Chung, M. H., Miller, M. R., and  Newby, D. E. (2020). Articles Adverse health effects associated with household air pollution</w:t>
      </w:r>
      <w:r w:rsidRPr="009A50EE">
        <w:rPr>
          <w:rFonts w:ascii="Arial" w:eastAsia="Calibri" w:hAnsi="Arial" w:cs="Arial"/>
          <w:noProof/>
          <w:kern w:val="0"/>
          <w:lang w:val="en-US"/>
          <w14:ligatures w14:val="none"/>
        </w:rPr>
        <w:t> </w:t>
      </w:r>
      <w:r w:rsidRPr="009A50EE">
        <w:rPr>
          <w:rFonts w:ascii="Arial Narrow" w:eastAsia="Calibri" w:hAnsi="Arial Narrow" w:cs="Times New Roman"/>
          <w:noProof/>
          <w:kern w:val="0"/>
          <w:lang w:val="en-US"/>
          <w14:ligatures w14:val="none"/>
        </w:rPr>
        <w:t xml:space="preserve">: a </w:t>
      </w:r>
      <w:r w:rsidRPr="009A50EE">
        <w:rPr>
          <w:rFonts w:ascii="Arial Narrow" w:eastAsia="Calibri" w:hAnsi="Arial Narrow" w:cs="Times New Roman"/>
          <w:noProof/>
          <w:kern w:val="0"/>
          <w:lang w:val="en-US"/>
          <w14:ligatures w14:val="none"/>
        </w:rPr>
        <w:lastRenderedPageBreak/>
        <w:t xml:space="preserve">systematic review , meta-analysis , and burden estimation study. </w:t>
      </w:r>
      <w:r w:rsidRPr="009A50EE">
        <w:rPr>
          <w:rFonts w:ascii="Arial Narrow" w:eastAsia="Calibri" w:hAnsi="Arial Narrow" w:cs="Times New Roman"/>
          <w:i/>
          <w:iCs/>
          <w:noProof/>
          <w:kern w:val="0"/>
          <w:lang w:val="en-US"/>
          <w14:ligatures w14:val="none"/>
        </w:rPr>
        <w:t>The Lancet Global Health</w:t>
      </w:r>
      <w:r w:rsidRPr="009A50EE">
        <w:rPr>
          <w:rFonts w:ascii="Arial Narrow" w:eastAsia="Calibri" w:hAnsi="Arial Narrow" w:cs="Times New Roman"/>
          <w:noProof/>
          <w:kern w:val="0"/>
          <w:lang w:val="en-US"/>
          <w14:ligatures w14:val="none"/>
        </w:rPr>
        <w:t xml:space="preserve">, </w:t>
      </w:r>
      <w:r w:rsidRPr="009A50EE">
        <w:rPr>
          <w:rFonts w:ascii="Arial Narrow" w:eastAsia="Calibri" w:hAnsi="Arial Narrow" w:cs="Times New Roman"/>
          <w:i/>
          <w:iCs/>
          <w:noProof/>
          <w:kern w:val="0"/>
          <w:lang w:val="en-US"/>
          <w14:ligatures w14:val="none"/>
        </w:rPr>
        <w:t>8</w:t>
      </w:r>
      <w:r w:rsidRPr="009A50EE">
        <w:rPr>
          <w:rFonts w:ascii="Arial Narrow" w:eastAsia="Calibri" w:hAnsi="Arial Narrow" w:cs="Times New Roman"/>
          <w:noProof/>
          <w:kern w:val="0"/>
          <w:lang w:val="en-US"/>
          <w14:ligatures w14:val="none"/>
        </w:rPr>
        <w:t>(11), e1427–e1434. https://doi.org/10.1016/S2214-109X(20)30343-0</w:t>
      </w:r>
    </w:p>
    <w:p w14:paraId="50500049" w14:textId="77777777" w:rsidR="00AB3E42" w:rsidRPr="009A50EE" w:rsidRDefault="00AB3E42" w:rsidP="00AB3E42">
      <w:pPr>
        <w:spacing w:before="100" w:beforeAutospacing="1" w:after="100" w:afterAutospacing="1"/>
        <w:ind w:left="540" w:hanging="540"/>
        <w:jc w:val="both"/>
        <w:rPr>
          <w:rFonts w:ascii="Arial Narrow" w:eastAsia="Times New Roman" w:hAnsi="Arial Narrow" w:cs="Times New Roman"/>
          <w:kern w:val="0"/>
          <w:lang w:val="en-US"/>
          <w14:ligatures w14:val="none"/>
        </w:rPr>
      </w:pPr>
      <w:r w:rsidRPr="009A50EE">
        <w:rPr>
          <w:rFonts w:ascii="Arial Narrow" w:eastAsia="Times New Roman" w:hAnsi="Arial Narrow" w:cs="Times New Roman"/>
          <w:kern w:val="0"/>
          <w:lang w:val="en-US"/>
          <w14:ligatures w14:val="none"/>
        </w:rPr>
        <w:t xml:space="preserve">Mbaka, C., Gikonyo, J., and  Kisaka, O. (2019). Households’ energy preference and consumption intensity in Kenya. </w:t>
      </w:r>
      <w:r w:rsidRPr="009A50EE">
        <w:rPr>
          <w:rFonts w:ascii="Arial Narrow" w:eastAsia="Times New Roman" w:hAnsi="Arial Narrow" w:cs="Times New Roman"/>
          <w:i/>
          <w:kern w:val="0"/>
          <w:lang w:val="en-US"/>
          <w14:ligatures w14:val="none"/>
        </w:rPr>
        <w:t>Energy, Sustainability and Society</w:t>
      </w:r>
      <w:r w:rsidRPr="009A50EE">
        <w:rPr>
          <w:rFonts w:ascii="Arial Narrow" w:eastAsia="Times New Roman" w:hAnsi="Arial Narrow" w:cs="Times New Roman"/>
          <w:kern w:val="0"/>
          <w:lang w:val="en-US"/>
          <w14:ligatures w14:val="none"/>
        </w:rPr>
        <w:t>, 9, 1-11. https://doi.org/10.1186/S13705-019-0201-8.</w:t>
      </w:r>
    </w:p>
    <w:p w14:paraId="2827C018" w14:textId="77777777" w:rsidR="00AB3E42" w:rsidRPr="009A50EE"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noProof/>
          <w:kern w:val="0"/>
          <w:lang w:val="en-US"/>
          <w14:ligatures w14:val="none"/>
        </w:rPr>
      </w:pPr>
      <w:r w:rsidRPr="009A50EE">
        <w:rPr>
          <w:rFonts w:ascii="Arial Narrow" w:eastAsia="Calibri" w:hAnsi="Arial Narrow" w:cs="Times New Roman"/>
          <w:kern w:val="0"/>
          <w:lang w:val="en-US"/>
          <w14:ligatures w14:val="none"/>
        </w:rPr>
        <w:t xml:space="preserve">Msuya, D. G., and  Mwakaje, A. E. G. (2023). Explaining the rise of economic and rural-urban inequality in clean cooking fuel use in Tanzania. </w:t>
      </w:r>
      <w:r w:rsidRPr="009A50EE">
        <w:rPr>
          <w:rFonts w:ascii="Arial Narrow" w:eastAsia="Calibri" w:hAnsi="Arial Narrow" w:cs="Times New Roman"/>
          <w:i/>
          <w:iCs/>
          <w:kern w:val="0"/>
          <w:lang w:val="en-US"/>
          <w14:ligatures w14:val="none"/>
        </w:rPr>
        <w:t>Energy Reports</w:t>
      </w:r>
      <w:r w:rsidRPr="009A50EE">
        <w:rPr>
          <w:rFonts w:ascii="Arial Narrow" w:eastAsia="Calibri" w:hAnsi="Arial Narrow" w:cs="Times New Roman"/>
          <w:kern w:val="0"/>
          <w:lang w:val="en-US"/>
          <w14:ligatures w14:val="none"/>
        </w:rPr>
        <w:t>, 9, 10788521. https://doi.org/10.1016/j.egyr.2023.07.132</w:t>
      </w:r>
    </w:p>
    <w:p w14:paraId="18012ED0" w14:textId="77777777" w:rsidR="00AB3E42" w:rsidRPr="009A50EE" w:rsidRDefault="00AB3E42" w:rsidP="00AB3E42">
      <w:pPr>
        <w:spacing w:before="100" w:beforeAutospacing="1" w:after="100" w:afterAutospacing="1"/>
        <w:jc w:val="both"/>
        <w:rPr>
          <w:rFonts w:ascii="Arial Narrow" w:eastAsia="Times New Roman" w:hAnsi="Arial Narrow" w:cs="Times New Roman"/>
          <w:kern w:val="0"/>
          <w:lang w:val="en-US"/>
          <w14:ligatures w14:val="none"/>
        </w:rPr>
      </w:pPr>
      <w:r w:rsidRPr="009A50EE">
        <w:rPr>
          <w:rFonts w:ascii="Arial Narrow" w:eastAsia="Times New Roman" w:hAnsi="Arial Narrow" w:cs="Times New Roman"/>
          <w:kern w:val="0"/>
          <w:lang w:val="en-US"/>
          <w14:ligatures w14:val="none"/>
        </w:rPr>
        <w:t xml:space="preserve">National Bureau of Statistics (NBS). (2019). </w:t>
      </w:r>
      <w:r w:rsidRPr="009A50EE">
        <w:rPr>
          <w:rFonts w:ascii="Arial Narrow" w:eastAsia="Times New Roman" w:hAnsi="Arial Narrow" w:cs="Times New Roman"/>
          <w:i/>
          <w:iCs/>
          <w:kern w:val="0"/>
          <w:lang w:val="en-US"/>
          <w14:ligatures w14:val="none"/>
        </w:rPr>
        <w:t>Household Budget Survey</w:t>
      </w:r>
    </w:p>
    <w:p w14:paraId="006DB017" w14:textId="77777777" w:rsidR="00AB3E42" w:rsidRPr="009A50EE" w:rsidRDefault="00AB3E42" w:rsidP="00AB3E42">
      <w:pPr>
        <w:spacing w:before="100" w:beforeAutospacing="1" w:after="100" w:afterAutospacing="1"/>
        <w:jc w:val="both"/>
        <w:rPr>
          <w:rFonts w:ascii="Arial Narrow" w:eastAsia="Times New Roman" w:hAnsi="Arial Narrow" w:cs="Times New Roman"/>
          <w:kern w:val="0"/>
          <w:lang w:val="en-US"/>
          <w14:ligatures w14:val="none"/>
        </w:rPr>
      </w:pPr>
      <w:r w:rsidRPr="009A50EE">
        <w:rPr>
          <w:rFonts w:ascii="Arial Narrow" w:eastAsia="Times New Roman" w:hAnsi="Arial Narrow" w:cs="Times New Roman"/>
          <w:kern w:val="0"/>
          <w:lang w:val="en-US"/>
          <w14:ligatures w14:val="none"/>
        </w:rPr>
        <w:t>Ndunguru, E., and  Lema, G. (2021). Factors that Affect the Adoption of Liquefied Petroleum Gas in Kinondoni Municipality, Tanzania. JOURNAL OF THE GEOGRAPHICAL ASSOCIATION OF TANZANIA. https://doi.org/10.56279/jgat.v40i1.22.</w:t>
      </w:r>
    </w:p>
    <w:p w14:paraId="0B09239F" w14:textId="77777777" w:rsidR="00AB3E42" w:rsidRPr="009A50EE"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noProof/>
          <w:kern w:val="0"/>
          <w:lang w:val="en-US"/>
          <w14:ligatures w14:val="none"/>
        </w:rPr>
      </w:pPr>
      <w:r w:rsidRPr="009A50EE">
        <w:rPr>
          <w:rFonts w:ascii="Arial Narrow" w:eastAsia="Calibri" w:hAnsi="Arial Narrow" w:cs="Times New Roman"/>
          <w:noProof/>
          <w:kern w:val="0"/>
          <w:lang w:val="en-US"/>
          <w14:ligatures w14:val="none"/>
        </w:rPr>
        <w:t>Ndunguru E. and Lema G. (2020).</w:t>
      </w:r>
      <w:r w:rsidRPr="009A50EE">
        <w:rPr>
          <w:rFonts w:ascii="Arial Narrow" w:eastAsia="Calibri" w:hAnsi="Arial Narrow" w:cs="Times New Roman"/>
          <w:kern w:val="0"/>
          <w:lang w:val="en-US"/>
          <w14:ligatures w14:val="none"/>
        </w:rPr>
        <w:t xml:space="preserve"> </w:t>
      </w:r>
      <w:r w:rsidRPr="009A50EE">
        <w:rPr>
          <w:rFonts w:ascii="Arial Narrow" w:eastAsia="Calibri" w:hAnsi="Arial Narrow" w:cs="Times New Roman"/>
          <w:bCs/>
          <w:kern w:val="0"/>
          <w:lang w:val="en-US"/>
          <w14:ligatures w14:val="none"/>
        </w:rPr>
        <w:t xml:space="preserve">Factors that Affect the Adoption of Liquefied Petroleum Gas in Kinondoni Municipality, Tanzania. </w:t>
      </w:r>
      <w:r w:rsidRPr="009A50EE">
        <w:rPr>
          <w:rFonts w:ascii="Arial Narrow" w:eastAsia="Calibri" w:hAnsi="Arial Narrow" w:cs="Times New Roman"/>
          <w:kern w:val="0"/>
          <w:lang w:val="en-US"/>
          <w14:ligatures w14:val="none"/>
        </w:rPr>
        <w:t xml:space="preserve"> </w:t>
      </w:r>
      <w:r w:rsidRPr="009A50EE">
        <w:rPr>
          <w:rFonts w:ascii="Arial Narrow" w:eastAsia="Calibri" w:hAnsi="Arial Narrow" w:cs="Times New Roman"/>
          <w:bCs/>
          <w:i/>
          <w:iCs/>
          <w:kern w:val="0"/>
          <w:lang w:val="en-US"/>
          <w14:ligatures w14:val="none"/>
        </w:rPr>
        <w:t>Journal of the Geographical Association of Tanzania, Vol. 40, No. 1: 120–136</w:t>
      </w:r>
    </w:p>
    <w:p w14:paraId="78A84641" w14:textId="77777777" w:rsidR="00AB3E42" w:rsidRPr="009A50EE" w:rsidRDefault="00AB3E42" w:rsidP="00AB3E42">
      <w:pPr>
        <w:spacing w:before="0" w:after="160"/>
        <w:ind w:left="720" w:hanging="720"/>
        <w:jc w:val="both"/>
        <w:rPr>
          <w:rFonts w:ascii="Arial Narrow" w:eastAsia="Calibri" w:hAnsi="Arial Narrow" w:cs="Times New Roman"/>
          <w:kern w:val="0"/>
          <w:lang w:val="en-US"/>
          <w14:ligatures w14:val="none"/>
        </w:rPr>
      </w:pPr>
      <w:r w:rsidRPr="009A50EE">
        <w:rPr>
          <w:rFonts w:ascii="Arial Narrow" w:eastAsia="Calibri" w:hAnsi="Arial Narrow" w:cs="Times New Roman"/>
          <w:kern w:val="0"/>
          <w:lang w:val="en-US"/>
          <w14:ligatures w14:val="none"/>
        </w:rPr>
        <w:t>.</w:t>
      </w:r>
    </w:p>
    <w:p w14:paraId="6A9C197E" w14:textId="77777777" w:rsidR="00AB3E42" w:rsidRPr="009A50EE" w:rsidRDefault="00AB3E42" w:rsidP="00AB3E42">
      <w:pPr>
        <w:spacing w:before="0" w:after="160"/>
        <w:ind w:left="720" w:hanging="720"/>
        <w:jc w:val="both"/>
        <w:rPr>
          <w:rFonts w:ascii="Arial Narrow" w:eastAsia="Calibri" w:hAnsi="Arial Narrow" w:cs="Times New Roman"/>
          <w:kern w:val="0"/>
          <w:lang w:val="en-US"/>
          <w14:ligatures w14:val="none"/>
        </w:rPr>
      </w:pPr>
      <w:r w:rsidRPr="009A50EE">
        <w:rPr>
          <w:rFonts w:ascii="Arial Narrow" w:eastAsia="Calibri" w:hAnsi="Arial Narrow" w:cs="Times New Roman"/>
          <w:kern w:val="0"/>
          <w:lang w:val="en-US"/>
          <w14:ligatures w14:val="none"/>
        </w:rPr>
        <w:t xml:space="preserve">Prithvirajan, D., and  Mathirajan, M. (2022). A Recommended System with a Solution Architect in Minimizing the Lead Time of Last Mile LPG Distribution in India. </w:t>
      </w:r>
      <w:r w:rsidRPr="009A50EE">
        <w:rPr>
          <w:rFonts w:ascii="Arial Narrow" w:eastAsia="Calibri" w:hAnsi="Arial Narrow" w:cs="Times New Roman"/>
          <w:i/>
          <w:kern w:val="0"/>
          <w:lang w:val="en-US"/>
          <w14:ligatures w14:val="none"/>
        </w:rPr>
        <w:t>2022 International Conference on Engineering and Emerging Technologies</w:t>
      </w:r>
      <w:r w:rsidRPr="009A50EE">
        <w:rPr>
          <w:rFonts w:ascii="Arial Narrow" w:eastAsia="Calibri" w:hAnsi="Arial Narrow" w:cs="Times New Roman"/>
          <w:kern w:val="0"/>
          <w:lang w:val="en-US"/>
          <w14:ligatures w14:val="none"/>
        </w:rPr>
        <w:t xml:space="preserve"> (ICEET), 1-6. https://doi.org/10.1109/ICEET56468.2022.10007396.</w:t>
      </w:r>
    </w:p>
    <w:p w14:paraId="018AF256" w14:textId="77777777" w:rsidR="00AB3E42" w:rsidRPr="009A50EE" w:rsidRDefault="00AB3E42" w:rsidP="00AB3E42">
      <w:pPr>
        <w:spacing w:before="0" w:after="160"/>
        <w:ind w:left="720" w:hanging="720"/>
        <w:jc w:val="both"/>
        <w:rPr>
          <w:rFonts w:ascii="Arial Narrow" w:eastAsia="Calibri" w:hAnsi="Arial Narrow" w:cs="Times New Roman"/>
          <w:kern w:val="0"/>
          <w:lang w:val="en-US"/>
          <w14:ligatures w14:val="none"/>
        </w:rPr>
      </w:pPr>
      <w:r w:rsidRPr="009A50EE">
        <w:rPr>
          <w:rFonts w:ascii="Arial Narrow" w:eastAsia="Calibri" w:hAnsi="Arial Narrow" w:cs="Times New Roman"/>
          <w:kern w:val="0"/>
          <w:lang w:val="en-US"/>
          <w14:ligatures w14:val="none"/>
        </w:rPr>
        <w:t xml:space="preserve">Rahut, D., Ali, A., Mottaleb, K., and  Aryal, J. (2019). Wealth, education, and cooking-fuel choices among rural households in Pakistan. </w:t>
      </w:r>
      <w:r w:rsidRPr="009A50EE">
        <w:rPr>
          <w:rFonts w:ascii="Arial Narrow" w:eastAsia="Calibri" w:hAnsi="Arial Narrow" w:cs="Times New Roman"/>
          <w:i/>
          <w:kern w:val="0"/>
          <w:lang w:val="en-US"/>
          <w14:ligatures w14:val="none"/>
        </w:rPr>
        <w:t>Energy Strategy Reviews</w:t>
      </w:r>
      <w:r w:rsidRPr="009A50EE">
        <w:rPr>
          <w:rFonts w:ascii="Arial Narrow" w:eastAsia="Calibri" w:hAnsi="Arial Narrow" w:cs="Times New Roman"/>
          <w:kern w:val="0"/>
          <w:lang w:val="en-US"/>
          <w14:ligatures w14:val="none"/>
        </w:rPr>
        <w:t>. https://doi.org/10.1016/J.ESR.2019.03.005.</w:t>
      </w:r>
    </w:p>
    <w:p w14:paraId="4A7F6E83" w14:textId="77777777" w:rsidR="00AB3E42" w:rsidRPr="009A50EE" w:rsidRDefault="00AB3E42" w:rsidP="00AB3E42">
      <w:pPr>
        <w:spacing w:before="0" w:after="160"/>
        <w:ind w:left="720" w:hanging="720"/>
        <w:jc w:val="both"/>
        <w:rPr>
          <w:rFonts w:ascii="Arial Narrow" w:eastAsia="Calibri" w:hAnsi="Arial Narrow" w:cs="Times New Roman"/>
          <w:kern w:val="0"/>
          <w:lang w:val="en-US"/>
          <w14:ligatures w14:val="none"/>
        </w:rPr>
      </w:pPr>
      <w:r w:rsidRPr="009A50EE">
        <w:rPr>
          <w:rFonts w:ascii="Arial Narrow" w:eastAsia="Calibri" w:hAnsi="Arial Narrow" w:cs="Times New Roman"/>
          <w:kern w:val="0"/>
          <w:lang w:val="en-US"/>
          <w14:ligatures w14:val="none"/>
        </w:rPr>
        <w:t xml:space="preserve">Sandula, Y., and  Awopone, A. (2023). Evaluating Factors Influencing the Adoption of LPG for Cooking Among Households in Malawi's Urban Areas. </w:t>
      </w:r>
      <w:r w:rsidRPr="009A50EE">
        <w:rPr>
          <w:rFonts w:ascii="Arial Narrow" w:eastAsia="Calibri" w:hAnsi="Arial Narrow" w:cs="Times New Roman"/>
          <w:i/>
          <w:kern w:val="0"/>
          <w:lang w:val="en-US"/>
          <w14:ligatures w14:val="none"/>
        </w:rPr>
        <w:t>SSRN Electronic Journal</w:t>
      </w:r>
      <w:r w:rsidRPr="009A50EE">
        <w:rPr>
          <w:rFonts w:ascii="Arial Narrow" w:eastAsia="Calibri" w:hAnsi="Arial Narrow" w:cs="Times New Roman"/>
          <w:kern w:val="0"/>
          <w:lang w:val="en-US"/>
          <w14:ligatures w14:val="none"/>
        </w:rPr>
        <w:t>. https://doi.org/10.2139/ssrn.4406798.</w:t>
      </w:r>
    </w:p>
    <w:p w14:paraId="15BF63F2" w14:textId="77777777" w:rsidR="00AB3E42" w:rsidRPr="009A50EE" w:rsidRDefault="00AB3E42" w:rsidP="00AB3E42">
      <w:pPr>
        <w:spacing w:before="0" w:after="160"/>
        <w:ind w:left="720" w:hanging="720"/>
        <w:jc w:val="both"/>
        <w:rPr>
          <w:rFonts w:ascii="Arial Narrow" w:eastAsia="Calibri" w:hAnsi="Arial Narrow" w:cs="Times New Roman"/>
          <w:kern w:val="0"/>
          <w:lang w:val="en-US"/>
          <w14:ligatures w14:val="none"/>
        </w:rPr>
      </w:pPr>
      <w:r w:rsidRPr="009A50EE">
        <w:rPr>
          <w:rFonts w:ascii="Arial Narrow" w:eastAsia="Calibri" w:hAnsi="Arial Narrow" w:cs="Times New Roman"/>
          <w:kern w:val="0"/>
          <w:lang w:val="en-US"/>
          <w14:ligatures w14:val="none"/>
        </w:rPr>
        <w:t>Sharma, K., and  Rahman, N. (2025). Do cooking characteristics and household amenities matter for cooking fuel choice, clean fuel transition, and clean fuel consumption in India?</w:t>
      </w:r>
      <w:r w:rsidRPr="009A50EE">
        <w:rPr>
          <w:rFonts w:ascii="Arial Narrow" w:eastAsia="Calibri" w:hAnsi="Arial Narrow" w:cs="Times New Roman"/>
          <w:i/>
          <w:kern w:val="0"/>
          <w:lang w:val="en-US"/>
          <w14:ligatures w14:val="none"/>
        </w:rPr>
        <w:t xml:space="preserve"> Energy Policy</w:t>
      </w:r>
      <w:r w:rsidRPr="009A50EE">
        <w:rPr>
          <w:rFonts w:ascii="Arial Narrow" w:eastAsia="Calibri" w:hAnsi="Arial Narrow" w:cs="Times New Roman"/>
          <w:kern w:val="0"/>
          <w:lang w:val="en-US"/>
          <w14:ligatures w14:val="none"/>
        </w:rPr>
        <w:t>. https://doi.org/10.1016/j.enpol.2025.114510</w:t>
      </w:r>
    </w:p>
    <w:p w14:paraId="6A69FD60" w14:textId="08836BF1" w:rsidR="00AB3E42" w:rsidRPr="009A50EE" w:rsidRDefault="00AB3E42" w:rsidP="00AB3E42">
      <w:pPr>
        <w:spacing w:before="0" w:after="160"/>
        <w:ind w:left="720" w:hanging="720"/>
        <w:jc w:val="both"/>
        <w:rPr>
          <w:rFonts w:ascii="Arial Narrow" w:eastAsia="Calibri" w:hAnsi="Arial Narrow" w:cs="Times New Roman"/>
          <w:iCs/>
          <w:noProof/>
          <w:kern w:val="0"/>
          <w:lang w:val="en-US"/>
          <w14:ligatures w14:val="none"/>
        </w:rPr>
      </w:pPr>
      <w:r w:rsidRPr="009A50EE">
        <w:rPr>
          <w:rFonts w:ascii="Arial Narrow" w:eastAsia="Times New Roman" w:hAnsi="Arial Narrow" w:cs="Times New Roman"/>
          <w:kern w:val="0"/>
          <w:lang w:val="en-US"/>
          <w14:ligatures w14:val="none"/>
        </w:rPr>
        <w:t>Sulley, B., Gwebe, A,. and Lesso, T. (2023). Socio-Economic factors infuluencing household access to Liquidfied petroleum gas in Dodoma city, Tanzania</w:t>
      </w:r>
      <w:r w:rsidRPr="009A50EE">
        <w:rPr>
          <w:rFonts w:ascii="Arial Narrow" w:eastAsia="Calibri" w:hAnsi="Arial Narrow" w:cs="Times New Roman"/>
          <w:iCs/>
          <w:noProof/>
          <w:kern w:val="0"/>
          <w:lang w:val="en-US"/>
          <w14:ligatures w14:val="none"/>
        </w:rPr>
        <w:t>2023.124613.</w:t>
      </w:r>
    </w:p>
    <w:p w14:paraId="34D0B426" w14:textId="7D8E6F56" w:rsidR="00C942F2" w:rsidRPr="009A50EE" w:rsidRDefault="00C942F2" w:rsidP="00C942F2">
      <w:pPr>
        <w:spacing w:before="0" w:after="160"/>
        <w:jc w:val="left"/>
        <w:rPr>
          <w:rFonts w:ascii="Arial Narrow" w:eastAsia="Calibri" w:hAnsi="Arial Narrow" w:cs="Times New Roman"/>
          <w:lang w:val="en-US"/>
        </w:rPr>
      </w:pPr>
      <w:r w:rsidRPr="00C942F2">
        <w:rPr>
          <w:rFonts w:ascii="Arial Narrow" w:eastAsia="Calibri" w:hAnsi="Arial Narrow" w:cs="Times New Roman"/>
          <w:lang w:val="en-US"/>
        </w:rPr>
        <w:lastRenderedPageBreak/>
        <w:t>Sumari, N., Ujoh, F., Swai, C., &amp; Zheng, M. (2023). Urban growth dynamics and expansion forms in 11 Tanzanian cities from 1990 to 2020. </w:t>
      </w:r>
      <w:r w:rsidRPr="00C942F2">
        <w:rPr>
          <w:rFonts w:ascii="Arial Narrow" w:eastAsia="Calibri" w:hAnsi="Arial Narrow" w:cs="Times New Roman"/>
          <w:i/>
          <w:iCs/>
          <w:lang w:val="en-US"/>
        </w:rPr>
        <w:t>International Journal of Digital Earth</w:t>
      </w:r>
      <w:r w:rsidRPr="00C942F2">
        <w:rPr>
          <w:rFonts w:ascii="Arial Narrow" w:eastAsia="Calibri" w:hAnsi="Arial Narrow" w:cs="Times New Roman"/>
          <w:lang w:val="en-US"/>
        </w:rPr>
        <w:t xml:space="preserve">, 16, 1985 - 2001. </w:t>
      </w:r>
      <w:hyperlink r:id="rId8" w:history="1">
        <w:r w:rsidRPr="009A50EE">
          <w:rPr>
            <w:rFonts w:ascii="Arial Narrow" w:eastAsia="Calibri" w:hAnsi="Arial Narrow" w:cs="Times New Roman"/>
            <w:color w:val="000000" w:themeColor="text1"/>
            <w:lang w:val="en-US"/>
          </w:rPr>
          <w:t>https://doi.org/10.1080/17538947.2023.2218114</w:t>
        </w:r>
      </w:hyperlink>
      <w:r w:rsidRPr="00C942F2">
        <w:rPr>
          <w:rFonts w:ascii="Arial Narrow" w:eastAsia="Calibri" w:hAnsi="Arial Narrow" w:cs="Times New Roman"/>
          <w:color w:val="000000" w:themeColor="text1"/>
          <w:lang w:val="en-US"/>
        </w:rPr>
        <w:t>.</w:t>
      </w:r>
    </w:p>
    <w:p w14:paraId="64DF86F0" w14:textId="77777777" w:rsidR="009F7C31" w:rsidRPr="009A50EE" w:rsidRDefault="009F7C31" w:rsidP="00AB3E42">
      <w:pPr>
        <w:spacing w:before="0" w:after="160"/>
        <w:ind w:left="720" w:hanging="720"/>
        <w:jc w:val="both"/>
        <w:rPr>
          <w:rFonts w:ascii="Arial Narrow" w:hAnsi="Arial Narrow"/>
        </w:rPr>
      </w:pPr>
      <w:r w:rsidRPr="009A50EE">
        <w:rPr>
          <w:rFonts w:ascii="Arial Narrow" w:hAnsi="Arial Narrow"/>
        </w:rPr>
        <w:t>Stoner, O., Lewis, J., Martínez, I., Gumy, S., Economou, T., &amp; Adair-Rohani, H. (2021). Household cooking fuel estimates at global and country level for 1990 to 2030. </w:t>
      </w:r>
      <w:r w:rsidRPr="009A50EE">
        <w:rPr>
          <w:rFonts w:ascii="Arial Narrow" w:hAnsi="Arial Narrow"/>
          <w:i/>
          <w:iCs/>
        </w:rPr>
        <w:t>Nature Communications</w:t>
      </w:r>
      <w:r w:rsidRPr="009A50EE">
        <w:rPr>
          <w:rFonts w:ascii="Arial Narrow" w:hAnsi="Arial Narrow"/>
        </w:rPr>
        <w:t xml:space="preserve">, 12. </w:t>
      </w:r>
      <w:hyperlink r:id="rId9" w:history="1">
        <w:r w:rsidRPr="009A50EE">
          <w:rPr>
            <w:rStyle w:val="Hyperlink"/>
            <w:rFonts w:ascii="Arial Narrow" w:hAnsi="Arial Narrow"/>
            <w:color w:val="000000" w:themeColor="text1"/>
            <w:u w:val="none"/>
          </w:rPr>
          <w:t>https://doi.org/10.1038/s41467-021-26036-x</w:t>
        </w:r>
      </w:hyperlink>
      <w:r w:rsidRPr="009A50EE">
        <w:rPr>
          <w:rFonts w:ascii="Arial Narrow" w:hAnsi="Arial Narrow"/>
          <w:color w:val="000000" w:themeColor="text1"/>
        </w:rPr>
        <w:t xml:space="preserve">. </w:t>
      </w:r>
    </w:p>
    <w:p w14:paraId="0F9F4786" w14:textId="28FF4AA6" w:rsidR="00AB3E42" w:rsidRPr="009A50EE" w:rsidRDefault="009F7C31" w:rsidP="00AB3E42">
      <w:pPr>
        <w:spacing w:before="0" w:after="160"/>
        <w:ind w:left="720" w:hanging="720"/>
        <w:jc w:val="both"/>
        <w:rPr>
          <w:rFonts w:ascii="Arial Narrow" w:eastAsia="Calibri" w:hAnsi="Arial Narrow" w:cs="Times New Roman"/>
          <w:kern w:val="0"/>
          <w:lang w:val="en-US"/>
          <w14:ligatures w14:val="none"/>
        </w:rPr>
      </w:pPr>
      <w:r w:rsidRPr="009A50EE">
        <w:rPr>
          <w:rFonts w:ascii="Arial Narrow" w:hAnsi="Arial Narrow"/>
        </w:rPr>
        <w:t xml:space="preserve"> </w:t>
      </w:r>
      <w:r w:rsidR="00AB3E42" w:rsidRPr="009A50EE">
        <w:rPr>
          <w:rFonts w:ascii="Arial Narrow" w:eastAsia="Calibri" w:hAnsi="Arial Narrow" w:cs="Times New Roman"/>
          <w:kern w:val="0"/>
          <w:lang w:val="en-US"/>
          <w14:ligatures w14:val="none"/>
        </w:rPr>
        <w:t xml:space="preserve">Troncoso, K., and Soares da Silva, A. (2017). LPG fuel subsidies in Latin America and the use of solid fuels to cook. </w:t>
      </w:r>
      <w:r w:rsidR="00AB3E42" w:rsidRPr="009A50EE">
        <w:rPr>
          <w:rFonts w:ascii="Arial Narrow" w:eastAsia="Calibri" w:hAnsi="Arial Narrow" w:cs="Times New Roman"/>
          <w:i/>
          <w:kern w:val="0"/>
          <w:lang w:val="en-US"/>
          <w14:ligatures w14:val="none"/>
        </w:rPr>
        <w:t>Energy Policy,</w:t>
      </w:r>
      <w:r w:rsidR="00AB3E42" w:rsidRPr="009A50EE">
        <w:rPr>
          <w:rFonts w:ascii="Arial Narrow" w:eastAsia="Calibri" w:hAnsi="Arial Narrow" w:cs="Times New Roman"/>
          <w:kern w:val="0"/>
          <w:lang w:val="en-US"/>
          <w14:ligatures w14:val="none"/>
        </w:rPr>
        <w:t xml:space="preserve"> 107, 188–196. https://doi.org/10.1016/j.enpol.2017.04.046  </w:t>
      </w:r>
    </w:p>
    <w:p w14:paraId="6C87AC2E" w14:textId="77777777" w:rsidR="00AB3E42" w:rsidRPr="009A50EE" w:rsidRDefault="00AB3E42" w:rsidP="00AB3E42">
      <w:pPr>
        <w:widowControl w:val="0"/>
        <w:autoSpaceDE w:val="0"/>
        <w:autoSpaceDN w:val="0"/>
        <w:adjustRightInd w:val="0"/>
        <w:spacing w:before="100" w:after="100"/>
        <w:ind w:left="480" w:hanging="480"/>
        <w:jc w:val="both"/>
        <w:rPr>
          <w:rFonts w:ascii="Arial Narrow" w:eastAsia="Calibri" w:hAnsi="Arial Narrow" w:cs="Times New Roman"/>
          <w:noProof/>
          <w:kern w:val="0"/>
          <w:lang w:val="en-US"/>
          <w14:ligatures w14:val="none"/>
        </w:rPr>
      </w:pPr>
      <w:r w:rsidRPr="009A50EE">
        <w:rPr>
          <w:rFonts w:ascii="Arial Narrow" w:eastAsia="Calibri" w:hAnsi="Arial Narrow" w:cs="Times New Roman"/>
          <w:noProof/>
          <w:kern w:val="0"/>
          <w:lang w:val="en-US"/>
          <w14:ligatures w14:val="none"/>
        </w:rPr>
        <w:t xml:space="preserve">Ubaid, M., Yu, Y., Yousaf, B., Ahmed, M., Munir, M., Ullah, S., Zheng, C., Kuang, X., and  Hung, M. (2021). Health impacts of indoor air pollution from household solid fuel on children and women. </w:t>
      </w:r>
      <w:r w:rsidRPr="009A50EE">
        <w:rPr>
          <w:rFonts w:ascii="Arial Narrow" w:eastAsia="Calibri" w:hAnsi="Arial Narrow" w:cs="Times New Roman"/>
          <w:i/>
          <w:iCs/>
          <w:noProof/>
          <w:kern w:val="0"/>
          <w:lang w:val="en-US"/>
          <w14:ligatures w14:val="none"/>
        </w:rPr>
        <w:t>Journal of Hazardous Materials</w:t>
      </w:r>
      <w:r w:rsidRPr="009A50EE">
        <w:rPr>
          <w:rFonts w:ascii="Arial Narrow" w:eastAsia="Calibri" w:hAnsi="Arial Narrow" w:cs="Times New Roman"/>
          <w:noProof/>
          <w:kern w:val="0"/>
          <w:lang w:val="en-US"/>
          <w14:ligatures w14:val="none"/>
        </w:rPr>
        <w:t xml:space="preserve">, </w:t>
      </w:r>
      <w:r w:rsidRPr="009A50EE">
        <w:rPr>
          <w:rFonts w:ascii="Arial Narrow" w:eastAsia="Calibri" w:hAnsi="Arial Narrow" w:cs="Times New Roman"/>
          <w:i/>
          <w:iCs/>
          <w:noProof/>
          <w:kern w:val="0"/>
          <w:lang w:val="en-US"/>
          <w14:ligatures w14:val="none"/>
        </w:rPr>
        <w:t>416</w:t>
      </w:r>
      <w:r w:rsidRPr="009A50EE">
        <w:rPr>
          <w:rFonts w:ascii="Arial Narrow" w:eastAsia="Calibri" w:hAnsi="Arial Narrow" w:cs="Times New Roman"/>
          <w:noProof/>
          <w:kern w:val="0"/>
          <w:lang w:val="en-US"/>
          <w14:ligatures w14:val="none"/>
        </w:rPr>
        <w:t>(March), 126127. https://doi.org/10.1016/j.jhazmat.2021.126127</w:t>
      </w:r>
    </w:p>
    <w:p w14:paraId="2BE54C03" w14:textId="77777777" w:rsidR="00AB3E42" w:rsidRPr="009A50EE" w:rsidRDefault="00AB3E42" w:rsidP="00AB3E42">
      <w:pPr>
        <w:spacing w:before="100" w:beforeAutospacing="1" w:after="100" w:afterAutospacing="1"/>
        <w:jc w:val="both"/>
        <w:rPr>
          <w:rFonts w:ascii="Arial Narrow" w:eastAsia="Calibri" w:hAnsi="Arial Narrow" w:cs="Times New Roman"/>
          <w:iCs/>
          <w:noProof/>
          <w:kern w:val="0"/>
          <w:lang w:val="en-US"/>
          <w14:ligatures w14:val="none"/>
        </w:rPr>
      </w:pPr>
      <w:r w:rsidRPr="009A50EE">
        <w:rPr>
          <w:rFonts w:ascii="Arial Narrow" w:eastAsia="Times New Roman" w:hAnsi="Arial Narrow" w:cs="Times New Roman"/>
          <w:kern w:val="0"/>
          <w:lang w:val="en-US"/>
          <w14:ligatures w14:val="none"/>
        </w:rPr>
        <w:t xml:space="preserve">United Nations. (2015). </w:t>
      </w:r>
      <w:r w:rsidRPr="009A50EE">
        <w:rPr>
          <w:rFonts w:ascii="Arial Narrow" w:eastAsia="Times New Roman" w:hAnsi="Arial Narrow" w:cs="Times New Roman"/>
          <w:i/>
          <w:iCs/>
          <w:kern w:val="0"/>
          <w:lang w:val="en-US"/>
          <w14:ligatures w14:val="none"/>
        </w:rPr>
        <w:t>Transforming our world: The 2030 Agenda for Sustainable Development</w:t>
      </w:r>
      <w:r w:rsidRPr="009A50EE">
        <w:rPr>
          <w:rFonts w:ascii="Arial Narrow" w:eastAsia="Times New Roman" w:hAnsi="Arial Narrow" w:cs="Times New Roman"/>
          <w:kern w:val="0"/>
          <w:lang w:val="en-US"/>
          <w14:ligatures w14:val="none"/>
        </w:rPr>
        <w:t>.</w:t>
      </w:r>
      <w:r w:rsidRPr="009A50EE">
        <w:rPr>
          <w:rFonts w:ascii="Arial Narrow" w:eastAsia="Calibri" w:hAnsi="Arial Narrow" w:cs="Times New Roman"/>
          <w:iCs/>
          <w:noProof/>
          <w:kern w:val="0"/>
          <w:lang w:val="en-US"/>
          <w14:ligatures w14:val="none"/>
        </w:rPr>
        <w:t xml:space="preserve"> 2015.774613.</w:t>
      </w:r>
    </w:p>
    <w:p w14:paraId="5752FF1B" w14:textId="2B853F41" w:rsidR="00AB3E42" w:rsidRPr="009A50EE" w:rsidRDefault="00AB3E42" w:rsidP="00AB3E42">
      <w:pPr>
        <w:spacing w:before="100" w:beforeAutospacing="1" w:after="100" w:afterAutospacing="1"/>
        <w:ind w:left="720" w:hanging="720"/>
        <w:jc w:val="both"/>
        <w:outlineLvl w:val="2"/>
        <w:rPr>
          <w:rFonts w:ascii="Arial Narrow" w:eastAsia="Times New Roman" w:hAnsi="Arial Narrow" w:cs="Times New Roman"/>
          <w:kern w:val="0"/>
          <w:lang w:val="en-US"/>
          <w14:ligatures w14:val="none"/>
        </w:rPr>
      </w:pPr>
      <w:bookmarkStart w:id="32" w:name="_Toc207431020"/>
      <w:bookmarkStart w:id="33" w:name="_Toc207229372"/>
      <w:bookmarkStart w:id="34" w:name="_Toc208433530"/>
      <w:r w:rsidRPr="009A50EE">
        <w:rPr>
          <w:rFonts w:ascii="Arial Narrow" w:eastAsia="Times New Roman" w:hAnsi="Arial Narrow" w:cs="Times New Roman"/>
          <w:kern w:val="0"/>
          <w:lang w:val="en-US"/>
          <w14:ligatures w14:val="none"/>
        </w:rPr>
        <w:t xml:space="preserve">Yasmin, N., and  Grundmann, P. (2020). Home-cooked energy transitions: Women empowerment and biogas-based cooking technology in Pakistan. </w:t>
      </w:r>
      <w:r w:rsidRPr="009A50EE">
        <w:rPr>
          <w:rFonts w:ascii="Arial Narrow" w:eastAsia="Times New Roman" w:hAnsi="Arial Narrow" w:cs="Times New Roman"/>
          <w:i/>
          <w:kern w:val="0"/>
          <w:lang w:val="en-US"/>
          <w14:ligatures w14:val="none"/>
        </w:rPr>
        <w:t>Energy Policy</w:t>
      </w:r>
      <w:r w:rsidRPr="009A50EE">
        <w:rPr>
          <w:rFonts w:ascii="Arial Narrow" w:eastAsia="Times New Roman" w:hAnsi="Arial Narrow" w:cs="Times New Roman"/>
          <w:kern w:val="0"/>
          <w:lang w:val="en-US"/>
          <w14:ligatures w14:val="none"/>
        </w:rPr>
        <w:t>, 137, 111074. https://doi.org/10.1016/j.enpol.2019.111074</w:t>
      </w:r>
      <w:bookmarkEnd w:id="32"/>
      <w:bookmarkEnd w:id="33"/>
      <w:bookmarkEnd w:id="34"/>
    </w:p>
    <w:p w14:paraId="31D86B05" w14:textId="25DEDEC4" w:rsidR="009A50EE" w:rsidRPr="009A50EE" w:rsidRDefault="009A50EE" w:rsidP="00AB3E42">
      <w:pPr>
        <w:spacing w:before="100" w:beforeAutospacing="1" w:after="100" w:afterAutospacing="1"/>
        <w:ind w:left="720" w:hanging="720"/>
        <w:jc w:val="both"/>
        <w:outlineLvl w:val="2"/>
        <w:rPr>
          <w:rFonts w:ascii="Arial Narrow" w:eastAsia="Times New Roman" w:hAnsi="Arial Narrow" w:cs="Times New Roman"/>
          <w:kern w:val="0"/>
          <w:lang w:val="en-US"/>
          <w14:ligatures w14:val="none"/>
        </w:rPr>
      </w:pPr>
      <w:r w:rsidRPr="009A50EE">
        <w:rPr>
          <w:rFonts w:ascii="Arial Narrow" w:hAnsi="Arial Narrow"/>
        </w:rPr>
        <w:t>Younger, A., Alkon, A., Harknett, K., Louis, R. J., &amp; Thompson, L. M. (2022). Adverse birth outcomes associated with household air pollution from unclean cooking fuels in low-and middle-income countries: a systematic review. </w:t>
      </w:r>
      <w:r w:rsidRPr="009A50EE">
        <w:rPr>
          <w:rFonts w:ascii="Arial Narrow" w:hAnsi="Arial Narrow"/>
          <w:i/>
          <w:iCs/>
        </w:rPr>
        <w:t>Environmental research</w:t>
      </w:r>
      <w:r w:rsidRPr="009A50EE">
        <w:rPr>
          <w:rFonts w:ascii="Arial Narrow" w:hAnsi="Arial Narrow"/>
        </w:rPr>
        <w:t>, </w:t>
      </w:r>
      <w:r w:rsidRPr="009A50EE">
        <w:rPr>
          <w:rFonts w:ascii="Arial Narrow" w:hAnsi="Arial Narrow"/>
          <w:i/>
          <w:iCs/>
        </w:rPr>
        <w:t>204</w:t>
      </w:r>
      <w:r w:rsidRPr="009A50EE">
        <w:rPr>
          <w:rFonts w:ascii="Arial Narrow" w:hAnsi="Arial Narrow"/>
        </w:rPr>
        <w:t xml:space="preserve">, 112274.    </w:t>
      </w:r>
    </w:p>
    <w:p w14:paraId="2611879A" w14:textId="77777777" w:rsidR="00AB3E42" w:rsidRPr="009A50EE" w:rsidRDefault="00AB3E42" w:rsidP="00AB3E42">
      <w:pPr>
        <w:spacing w:before="100" w:beforeAutospacing="1" w:after="100" w:afterAutospacing="1"/>
        <w:ind w:left="720" w:hanging="720"/>
        <w:jc w:val="both"/>
        <w:outlineLvl w:val="2"/>
        <w:rPr>
          <w:rFonts w:ascii="Arial Narrow" w:eastAsia="Times New Roman" w:hAnsi="Arial Narrow" w:cs="Times New Roman"/>
          <w:kern w:val="0"/>
          <w:lang w:val="en-US"/>
          <w14:ligatures w14:val="none"/>
        </w:rPr>
      </w:pPr>
      <w:bookmarkStart w:id="35" w:name="_Toc207431022"/>
      <w:bookmarkStart w:id="36" w:name="_Toc207229374"/>
      <w:bookmarkStart w:id="37" w:name="_Toc208433532"/>
      <w:r w:rsidRPr="009A50EE">
        <w:rPr>
          <w:rFonts w:ascii="Arial Narrow" w:eastAsia="Times New Roman" w:hAnsi="Arial Narrow" w:cs="Times New Roman"/>
          <w:kern w:val="0"/>
          <w:lang w:val="en-US"/>
          <w14:ligatures w14:val="none"/>
        </w:rPr>
        <w:t xml:space="preserve">Zheng, H., and  Gong, B. (2022). Rural income growth, ethnic differences, and household cooking fuel choice: </w:t>
      </w:r>
      <w:r w:rsidRPr="009A50EE">
        <w:rPr>
          <w:rFonts w:ascii="Arial Narrow" w:eastAsia="Times New Roman" w:hAnsi="Arial Narrow" w:cs="Times New Roman"/>
          <w:i/>
          <w:kern w:val="0"/>
          <w:lang w:val="en-US"/>
          <w14:ligatures w14:val="none"/>
        </w:rPr>
        <w:t>Evidence from China. Energy Economics</w:t>
      </w:r>
      <w:r w:rsidRPr="009A50EE">
        <w:rPr>
          <w:rFonts w:ascii="Arial Narrow" w:eastAsia="Times New Roman" w:hAnsi="Arial Narrow" w:cs="Times New Roman"/>
          <w:kern w:val="0"/>
          <w:lang w:val="en-US"/>
          <w14:ligatures w14:val="none"/>
        </w:rPr>
        <w:t>. https://doi.org/10.1016/j.eneco.2022.105851.</w:t>
      </w:r>
      <w:bookmarkEnd w:id="35"/>
      <w:bookmarkEnd w:id="36"/>
      <w:bookmarkEnd w:id="37"/>
    </w:p>
    <w:p w14:paraId="098BDBCA" w14:textId="77777777" w:rsidR="00AB3E42" w:rsidRPr="00AB3E42" w:rsidRDefault="00AB3E42" w:rsidP="00AB3E42">
      <w:pPr>
        <w:rPr>
          <w:rFonts w:ascii="Arial Narrow" w:hAnsi="Arial Narrow"/>
        </w:rPr>
      </w:pPr>
      <w:r w:rsidRPr="009A50EE">
        <w:rPr>
          <w:rFonts w:ascii="Arial Narrow" w:eastAsia="Times New Roman" w:hAnsi="Arial Narrow" w:cs="SimSun"/>
          <w:b/>
          <w:bCs/>
          <w:kern w:val="0"/>
          <w:lang w:val="en-US"/>
          <w14:ligatures w14:val="none"/>
        </w:rPr>
        <w:fldChar w:fldCharType="end"/>
      </w:r>
    </w:p>
    <w:p w14:paraId="07EE26BE" w14:textId="328FB0C2" w:rsidR="00093F65" w:rsidRPr="00AB3E42" w:rsidRDefault="00093F65" w:rsidP="00070A10">
      <w:pPr>
        <w:pStyle w:val="ListParagraph"/>
        <w:ind w:left="1004" w:hanging="720"/>
        <w:jc w:val="left"/>
        <w:rPr>
          <w:rFonts w:ascii="Arial Narrow" w:hAnsi="Arial Narrow" w:cstheme="majorHAnsi"/>
          <w:color w:val="333333"/>
          <w:shd w:val="clear" w:color="auto" w:fill="FFFFFF"/>
        </w:rPr>
      </w:pPr>
    </w:p>
    <w:sectPr w:rsidR="00093F65" w:rsidRPr="00AB3E42" w:rsidSect="00D4042B">
      <w:footerReference w:type="default" r:id="rId10"/>
      <w:pgSz w:w="12240" w:h="15840"/>
      <w:pgMar w:top="1135"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F56F1" w14:textId="77777777" w:rsidR="004514BF" w:rsidRDefault="004514BF" w:rsidP="000F7116">
      <w:pPr>
        <w:spacing w:before="0" w:after="0" w:line="240" w:lineRule="auto"/>
      </w:pPr>
      <w:r>
        <w:separator/>
      </w:r>
    </w:p>
  </w:endnote>
  <w:endnote w:type="continuationSeparator" w:id="0">
    <w:p w14:paraId="01D3D934" w14:textId="77777777" w:rsidR="004514BF" w:rsidRDefault="004514BF" w:rsidP="000F71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altName w:val="Calibri"/>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BDBEB" w14:textId="27326FF0" w:rsidR="0028568F" w:rsidRDefault="0028568F">
    <w:pPr>
      <w:pStyle w:val="Footer"/>
    </w:pPr>
  </w:p>
  <w:p w14:paraId="246A04A7" w14:textId="77777777" w:rsidR="0028568F" w:rsidRDefault="00285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296AC" w14:textId="77777777" w:rsidR="004514BF" w:rsidRDefault="004514BF" w:rsidP="000F7116">
      <w:pPr>
        <w:spacing w:before="0" w:after="0" w:line="240" w:lineRule="auto"/>
      </w:pPr>
      <w:r>
        <w:separator/>
      </w:r>
    </w:p>
  </w:footnote>
  <w:footnote w:type="continuationSeparator" w:id="0">
    <w:p w14:paraId="51E7B4C2" w14:textId="77777777" w:rsidR="004514BF" w:rsidRDefault="004514BF" w:rsidP="000F711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C0C4D7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20"/>
    <w:multiLevelType w:val="hybridMultilevel"/>
    <w:tmpl w:val="ADC6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2B"/>
    <w:multiLevelType w:val="hybridMultilevel"/>
    <w:tmpl w:val="CB947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74F8A"/>
    <w:multiLevelType w:val="multilevel"/>
    <w:tmpl w:val="48D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15537"/>
    <w:multiLevelType w:val="multilevel"/>
    <w:tmpl w:val="E154D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B27D0"/>
    <w:multiLevelType w:val="hybridMultilevel"/>
    <w:tmpl w:val="43323F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658C5"/>
    <w:multiLevelType w:val="multilevel"/>
    <w:tmpl w:val="6B702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F4C1C"/>
    <w:multiLevelType w:val="multilevel"/>
    <w:tmpl w:val="3DAAF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5D54EA"/>
    <w:multiLevelType w:val="multilevel"/>
    <w:tmpl w:val="D7C0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C04AE"/>
    <w:multiLevelType w:val="multilevel"/>
    <w:tmpl w:val="80A0024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66564511"/>
    <w:multiLevelType w:val="multilevel"/>
    <w:tmpl w:val="E4AAD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D79CD"/>
    <w:multiLevelType w:val="multilevel"/>
    <w:tmpl w:val="0D98B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628FC"/>
    <w:multiLevelType w:val="multilevel"/>
    <w:tmpl w:val="ED32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5039E7"/>
    <w:multiLevelType w:val="hybridMultilevel"/>
    <w:tmpl w:val="25A453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11"/>
  </w:num>
  <w:num w:numId="17">
    <w:abstractNumId w:val="4"/>
  </w:num>
  <w:num w:numId="18">
    <w:abstractNumId w:val="10"/>
  </w:num>
  <w:num w:numId="19">
    <w:abstractNumId w:val="12"/>
  </w:num>
  <w:num w:numId="20">
    <w:abstractNumId w:val="3"/>
  </w:num>
  <w:num w:numId="21">
    <w:abstractNumId w:val="13"/>
  </w:num>
  <w:num w:numId="22">
    <w:abstractNumId w:val="5"/>
  </w:num>
  <w:num w:numId="23">
    <w:abstractNumId w:val="8"/>
  </w:num>
  <w:num w:numId="24">
    <w:abstractNumId w:val="0"/>
  </w:num>
  <w:num w:numId="25">
    <w:abstractNumId w:val="2"/>
  </w:num>
  <w:num w:numId="26">
    <w:abstractNumId w:val="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76F"/>
    <w:rsid w:val="0000090B"/>
    <w:rsid w:val="00001B11"/>
    <w:rsid w:val="00002AEB"/>
    <w:rsid w:val="00002D27"/>
    <w:rsid w:val="000035FE"/>
    <w:rsid w:val="000047D7"/>
    <w:rsid w:val="00005811"/>
    <w:rsid w:val="0000669A"/>
    <w:rsid w:val="00010960"/>
    <w:rsid w:val="00016510"/>
    <w:rsid w:val="000168B1"/>
    <w:rsid w:val="000177AC"/>
    <w:rsid w:val="00017D24"/>
    <w:rsid w:val="000246ED"/>
    <w:rsid w:val="00025B8B"/>
    <w:rsid w:val="000305DB"/>
    <w:rsid w:val="000354AD"/>
    <w:rsid w:val="00035595"/>
    <w:rsid w:val="000406D3"/>
    <w:rsid w:val="00041DC9"/>
    <w:rsid w:val="00042E46"/>
    <w:rsid w:val="00043BC9"/>
    <w:rsid w:val="00044779"/>
    <w:rsid w:val="00050A77"/>
    <w:rsid w:val="000547FA"/>
    <w:rsid w:val="00054FC7"/>
    <w:rsid w:val="00055361"/>
    <w:rsid w:val="000565C7"/>
    <w:rsid w:val="00056F9B"/>
    <w:rsid w:val="0006399A"/>
    <w:rsid w:val="00066FAE"/>
    <w:rsid w:val="00070A10"/>
    <w:rsid w:val="00071349"/>
    <w:rsid w:val="00071B95"/>
    <w:rsid w:val="00072DD5"/>
    <w:rsid w:val="00073B06"/>
    <w:rsid w:val="0007586F"/>
    <w:rsid w:val="000758F1"/>
    <w:rsid w:val="00076245"/>
    <w:rsid w:val="00076A5F"/>
    <w:rsid w:val="0008404B"/>
    <w:rsid w:val="000841C7"/>
    <w:rsid w:val="000843AC"/>
    <w:rsid w:val="00084539"/>
    <w:rsid w:val="00087BC9"/>
    <w:rsid w:val="00093F65"/>
    <w:rsid w:val="00095E48"/>
    <w:rsid w:val="000A0B1D"/>
    <w:rsid w:val="000A0F37"/>
    <w:rsid w:val="000A103F"/>
    <w:rsid w:val="000A1C31"/>
    <w:rsid w:val="000A7067"/>
    <w:rsid w:val="000B14F0"/>
    <w:rsid w:val="000C0E26"/>
    <w:rsid w:val="000C2F1F"/>
    <w:rsid w:val="000C5478"/>
    <w:rsid w:val="000C5524"/>
    <w:rsid w:val="000C569D"/>
    <w:rsid w:val="000C6A9F"/>
    <w:rsid w:val="000D1365"/>
    <w:rsid w:val="000D16E9"/>
    <w:rsid w:val="000D214D"/>
    <w:rsid w:val="000D5DF9"/>
    <w:rsid w:val="000D6B73"/>
    <w:rsid w:val="000E0829"/>
    <w:rsid w:val="000E12A9"/>
    <w:rsid w:val="000E2CF0"/>
    <w:rsid w:val="000E633C"/>
    <w:rsid w:val="000E6B56"/>
    <w:rsid w:val="000E7B6E"/>
    <w:rsid w:val="000F2205"/>
    <w:rsid w:val="000F2C92"/>
    <w:rsid w:val="000F3736"/>
    <w:rsid w:val="000F54FC"/>
    <w:rsid w:val="000F64D6"/>
    <w:rsid w:val="000F7116"/>
    <w:rsid w:val="000F785B"/>
    <w:rsid w:val="00101A99"/>
    <w:rsid w:val="00103DAD"/>
    <w:rsid w:val="00106288"/>
    <w:rsid w:val="00111776"/>
    <w:rsid w:val="00112CF3"/>
    <w:rsid w:val="00113795"/>
    <w:rsid w:val="001172C2"/>
    <w:rsid w:val="0012040B"/>
    <w:rsid w:val="00120739"/>
    <w:rsid w:val="0013189E"/>
    <w:rsid w:val="00131CEF"/>
    <w:rsid w:val="0014271F"/>
    <w:rsid w:val="0014753D"/>
    <w:rsid w:val="00147B09"/>
    <w:rsid w:val="00152082"/>
    <w:rsid w:val="00154637"/>
    <w:rsid w:val="00156B7B"/>
    <w:rsid w:val="00161512"/>
    <w:rsid w:val="00167DD6"/>
    <w:rsid w:val="00172ED3"/>
    <w:rsid w:val="0017553C"/>
    <w:rsid w:val="001816B4"/>
    <w:rsid w:val="00181B6B"/>
    <w:rsid w:val="0018249E"/>
    <w:rsid w:val="001851EB"/>
    <w:rsid w:val="001857B6"/>
    <w:rsid w:val="00185E42"/>
    <w:rsid w:val="001919D2"/>
    <w:rsid w:val="0019448D"/>
    <w:rsid w:val="001950F9"/>
    <w:rsid w:val="00196679"/>
    <w:rsid w:val="00196FB3"/>
    <w:rsid w:val="001A2893"/>
    <w:rsid w:val="001A3186"/>
    <w:rsid w:val="001A39DB"/>
    <w:rsid w:val="001A39F5"/>
    <w:rsid w:val="001A468A"/>
    <w:rsid w:val="001A46E4"/>
    <w:rsid w:val="001A4D83"/>
    <w:rsid w:val="001A53F7"/>
    <w:rsid w:val="001A57D3"/>
    <w:rsid w:val="001A7ABC"/>
    <w:rsid w:val="001B0334"/>
    <w:rsid w:val="001B6251"/>
    <w:rsid w:val="001B6D5D"/>
    <w:rsid w:val="001C0974"/>
    <w:rsid w:val="001C1451"/>
    <w:rsid w:val="001C385F"/>
    <w:rsid w:val="001C4EB1"/>
    <w:rsid w:val="001D135F"/>
    <w:rsid w:val="001D573F"/>
    <w:rsid w:val="001D6E12"/>
    <w:rsid w:val="001D7244"/>
    <w:rsid w:val="001E11E0"/>
    <w:rsid w:val="001E2AD7"/>
    <w:rsid w:val="001E50E4"/>
    <w:rsid w:val="001E56CA"/>
    <w:rsid w:val="001F0C02"/>
    <w:rsid w:val="002003EE"/>
    <w:rsid w:val="00205C07"/>
    <w:rsid w:val="00206CDD"/>
    <w:rsid w:val="00214351"/>
    <w:rsid w:val="0021495E"/>
    <w:rsid w:val="00220253"/>
    <w:rsid w:val="00221E5C"/>
    <w:rsid w:val="00225C93"/>
    <w:rsid w:val="00226607"/>
    <w:rsid w:val="0023145A"/>
    <w:rsid w:val="002349EF"/>
    <w:rsid w:val="00235F6D"/>
    <w:rsid w:val="0023689E"/>
    <w:rsid w:val="002415C6"/>
    <w:rsid w:val="00241918"/>
    <w:rsid w:val="00244943"/>
    <w:rsid w:val="002453DD"/>
    <w:rsid w:val="00247F47"/>
    <w:rsid w:val="00253E62"/>
    <w:rsid w:val="002573F1"/>
    <w:rsid w:val="002613B5"/>
    <w:rsid w:val="002616AF"/>
    <w:rsid w:val="00262B7A"/>
    <w:rsid w:val="00264BDB"/>
    <w:rsid w:val="0027000A"/>
    <w:rsid w:val="00270E59"/>
    <w:rsid w:val="00275BAF"/>
    <w:rsid w:val="00276CDC"/>
    <w:rsid w:val="00280DA4"/>
    <w:rsid w:val="00280E01"/>
    <w:rsid w:val="0028323E"/>
    <w:rsid w:val="00284499"/>
    <w:rsid w:val="0028568F"/>
    <w:rsid w:val="00285C13"/>
    <w:rsid w:val="002866F3"/>
    <w:rsid w:val="00287D0D"/>
    <w:rsid w:val="00290E75"/>
    <w:rsid w:val="00291D9C"/>
    <w:rsid w:val="0029251C"/>
    <w:rsid w:val="0029366E"/>
    <w:rsid w:val="00296530"/>
    <w:rsid w:val="0029665B"/>
    <w:rsid w:val="0029676B"/>
    <w:rsid w:val="00297D8D"/>
    <w:rsid w:val="002A2912"/>
    <w:rsid w:val="002A4D3B"/>
    <w:rsid w:val="002A783C"/>
    <w:rsid w:val="002B257A"/>
    <w:rsid w:val="002B4AC1"/>
    <w:rsid w:val="002B501A"/>
    <w:rsid w:val="002C0983"/>
    <w:rsid w:val="002C6FDE"/>
    <w:rsid w:val="002C7D18"/>
    <w:rsid w:val="002D1420"/>
    <w:rsid w:val="002D241F"/>
    <w:rsid w:val="002D4422"/>
    <w:rsid w:val="002D4B01"/>
    <w:rsid w:val="002D512F"/>
    <w:rsid w:val="002E0874"/>
    <w:rsid w:val="002E11B2"/>
    <w:rsid w:val="002E5969"/>
    <w:rsid w:val="002F002B"/>
    <w:rsid w:val="002F01D4"/>
    <w:rsid w:val="002F1537"/>
    <w:rsid w:val="002F1692"/>
    <w:rsid w:val="002F52DA"/>
    <w:rsid w:val="0030070F"/>
    <w:rsid w:val="00303C75"/>
    <w:rsid w:val="003115EC"/>
    <w:rsid w:val="00311DD8"/>
    <w:rsid w:val="0031258F"/>
    <w:rsid w:val="003134CD"/>
    <w:rsid w:val="0031352D"/>
    <w:rsid w:val="0031472D"/>
    <w:rsid w:val="00314CA2"/>
    <w:rsid w:val="003166B3"/>
    <w:rsid w:val="00316E44"/>
    <w:rsid w:val="003208BC"/>
    <w:rsid w:val="0032098F"/>
    <w:rsid w:val="00322253"/>
    <w:rsid w:val="00323E61"/>
    <w:rsid w:val="00330451"/>
    <w:rsid w:val="0033174D"/>
    <w:rsid w:val="00334C71"/>
    <w:rsid w:val="00341C5A"/>
    <w:rsid w:val="003436E4"/>
    <w:rsid w:val="0034523A"/>
    <w:rsid w:val="00347164"/>
    <w:rsid w:val="003500A7"/>
    <w:rsid w:val="00356A74"/>
    <w:rsid w:val="00356A8B"/>
    <w:rsid w:val="00362830"/>
    <w:rsid w:val="00365C10"/>
    <w:rsid w:val="003704C7"/>
    <w:rsid w:val="00370806"/>
    <w:rsid w:val="003735BE"/>
    <w:rsid w:val="00375785"/>
    <w:rsid w:val="003852C4"/>
    <w:rsid w:val="00385311"/>
    <w:rsid w:val="00386428"/>
    <w:rsid w:val="00387234"/>
    <w:rsid w:val="003876F3"/>
    <w:rsid w:val="003940C2"/>
    <w:rsid w:val="0039608D"/>
    <w:rsid w:val="0039640A"/>
    <w:rsid w:val="003A0875"/>
    <w:rsid w:val="003A30FA"/>
    <w:rsid w:val="003A6501"/>
    <w:rsid w:val="003A6A57"/>
    <w:rsid w:val="003B0422"/>
    <w:rsid w:val="003B068A"/>
    <w:rsid w:val="003B22C2"/>
    <w:rsid w:val="003B3C2C"/>
    <w:rsid w:val="003B7749"/>
    <w:rsid w:val="003C0373"/>
    <w:rsid w:val="003C2F78"/>
    <w:rsid w:val="003C44F7"/>
    <w:rsid w:val="003C4F80"/>
    <w:rsid w:val="003C5067"/>
    <w:rsid w:val="003C531C"/>
    <w:rsid w:val="003C5FD9"/>
    <w:rsid w:val="003C6D23"/>
    <w:rsid w:val="003D164B"/>
    <w:rsid w:val="003D36D6"/>
    <w:rsid w:val="003E02CE"/>
    <w:rsid w:val="003E1F8A"/>
    <w:rsid w:val="003E2C37"/>
    <w:rsid w:val="003F0BCB"/>
    <w:rsid w:val="003F168E"/>
    <w:rsid w:val="003F1DAF"/>
    <w:rsid w:val="003F2609"/>
    <w:rsid w:val="003F6A39"/>
    <w:rsid w:val="00400260"/>
    <w:rsid w:val="00402626"/>
    <w:rsid w:val="00411204"/>
    <w:rsid w:val="00421051"/>
    <w:rsid w:val="00424168"/>
    <w:rsid w:val="00436E8F"/>
    <w:rsid w:val="00436FAD"/>
    <w:rsid w:val="0044118C"/>
    <w:rsid w:val="00441A80"/>
    <w:rsid w:val="004422B7"/>
    <w:rsid w:val="004429AC"/>
    <w:rsid w:val="0044572C"/>
    <w:rsid w:val="004459DA"/>
    <w:rsid w:val="00446415"/>
    <w:rsid w:val="00446667"/>
    <w:rsid w:val="004511DA"/>
    <w:rsid w:val="004514BF"/>
    <w:rsid w:val="00452A91"/>
    <w:rsid w:val="00452EFD"/>
    <w:rsid w:val="004541DA"/>
    <w:rsid w:val="00454A22"/>
    <w:rsid w:val="004602F5"/>
    <w:rsid w:val="00463719"/>
    <w:rsid w:val="00467AA6"/>
    <w:rsid w:val="00470BCB"/>
    <w:rsid w:val="00470F2D"/>
    <w:rsid w:val="00474D02"/>
    <w:rsid w:val="004754F1"/>
    <w:rsid w:val="00477F32"/>
    <w:rsid w:val="00484EF4"/>
    <w:rsid w:val="00485604"/>
    <w:rsid w:val="004868D0"/>
    <w:rsid w:val="00491B05"/>
    <w:rsid w:val="004923F8"/>
    <w:rsid w:val="004954D6"/>
    <w:rsid w:val="004976E2"/>
    <w:rsid w:val="004A0224"/>
    <w:rsid w:val="004A5411"/>
    <w:rsid w:val="004A5430"/>
    <w:rsid w:val="004A6682"/>
    <w:rsid w:val="004B1E29"/>
    <w:rsid w:val="004B4407"/>
    <w:rsid w:val="004B6911"/>
    <w:rsid w:val="004B73FF"/>
    <w:rsid w:val="004B7E9C"/>
    <w:rsid w:val="004C248C"/>
    <w:rsid w:val="004C32F9"/>
    <w:rsid w:val="004C51E3"/>
    <w:rsid w:val="004C60C5"/>
    <w:rsid w:val="004D13F6"/>
    <w:rsid w:val="004D19FC"/>
    <w:rsid w:val="004D4702"/>
    <w:rsid w:val="004D5BDA"/>
    <w:rsid w:val="004E0BBD"/>
    <w:rsid w:val="004E37D7"/>
    <w:rsid w:val="004E4A94"/>
    <w:rsid w:val="004E6DEB"/>
    <w:rsid w:val="004F0795"/>
    <w:rsid w:val="004F75A6"/>
    <w:rsid w:val="00500257"/>
    <w:rsid w:val="00500500"/>
    <w:rsid w:val="00500B5C"/>
    <w:rsid w:val="0050135A"/>
    <w:rsid w:val="00503549"/>
    <w:rsid w:val="00503A0C"/>
    <w:rsid w:val="005061EB"/>
    <w:rsid w:val="00506240"/>
    <w:rsid w:val="00506CF1"/>
    <w:rsid w:val="00510446"/>
    <w:rsid w:val="00511C25"/>
    <w:rsid w:val="00511E47"/>
    <w:rsid w:val="005207BB"/>
    <w:rsid w:val="00523525"/>
    <w:rsid w:val="00526C9B"/>
    <w:rsid w:val="005333E7"/>
    <w:rsid w:val="00533672"/>
    <w:rsid w:val="0053608B"/>
    <w:rsid w:val="005379E4"/>
    <w:rsid w:val="005416C6"/>
    <w:rsid w:val="0054267B"/>
    <w:rsid w:val="00545B25"/>
    <w:rsid w:val="00546E69"/>
    <w:rsid w:val="00547657"/>
    <w:rsid w:val="005518F3"/>
    <w:rsid w:val="0055272E"/>
    <w:rsid w:val="005545A3"/>
    <w:rsid w:val="00554856"/>
    <w:rsid w:val="0056008C"/>
    <w:rsid w:val="005613F2"/>
    <w:rsid w:val="00564B0C"/>
    <w:rsid w:val="00570389"/>
    <w:rsid w:val="00571733"/>
    <w:rsid w:val="00573599"/>
    <w:rsid w:val="00574178"/>
    <w:rsid w:val="00574195"/>
    <w:rsid w:val="00574197"/>
    <w:rsid w:val="00581BBD"/>
    <w:rsid w:val="00584EA7"/>
    <w:rsid w:val="00585074"/>
    <w:rsid w:val="00586250"/>
    <w:rsid w:val="005863AF"/>
    <w:rsid w:val="005922D8"/>
    <w:rsid w:val="00597066"/>
    <w:rsid w:val="0059734C"/>
    <w:rsid w:val="005A02D9"/>
    <w:rsid w:val="005A3723"/>
    <w:rsid w:val="005A3ABA"/>
    <w:rsid w:val="005A7390"/>
    <w:rsid w:val="005A76A1"/>
    <w:rsid w:val="005B04AA"/>
    <w:rsid w:val="005B0CED"/>
    <w:rsid w:val="005B0E84"/>
    <w:rsid w:val="005B14CA"/>
    <w:rsid w:val="005B50F1"/>
    <w:rsid w:val="005C453E"/>
    <w:rsid w:val="005C71F9"/>
    <w:rsid w:val="005D0FE6"/>
    <w:rsid w:val="005D385A"/>
    <w:rsid w:val="005D3952"/>
    <w:rsid w:val="005D439D"/>
    <w:rsid w:val="005E07E8"/>
    <w:rsid w:val="005E1F40"/>
    <w:rsid w:val="005E33DE"/>
    <w:rsid w:val="005E5977"/>
    <w:rsid w:val="005E6DB7"/>
    <w:rsid w:val="005F17DE"/>
    <w:rsid w:val="005F2105"/>
    <w:rsid w:val="005F72BB"/>
    <w:rsid w:val="00603AB1"/>
    <w:rsid w:val="00605043"/>
    <w:rsid w:val="00612B2F"/>
    <w:rsid w:val="006130A9"/>
    <w:rsid w:val="0061326C"/>
    <w:rsid w:val="006161DD"/>
    <w:rsid w:val="00616763"/>
    <w:rsid w:val="00622368"/>
    <w:rsid w:val="00624B01"/>
    <w:rsid w:val="006267D2"/>
    <w:rsid w:val="00626829"/>
    <w:rsid w:val="006301A9"/>
    <w:rsid w:val="006308FB"/>
    <w:rsid w:val="00630AAB"/>
    <w:rsid w:val="00635CDD"/>
    <w:rsid w:val="00636AF3"/>
    <w:rsid w:val="006424AC"/>
    <w:rsid w:val="00645223"/>
    <w:rsid w:val="00647766"/>
    <w:rsid w:val="00647775"/>
    <w:rsid w:val="0065149C"/>
    <w:rsid w:val="00651729"/>
    <w:rsid w:val="00652370"/>
    <w:rsid w:val="00652AFD"/>
    <w:rsid w:val="00652FED"/>
    <w:rsid w:val="0065375F"/>
    <w:rsid w:val="006538A4"/>
    <w:rsid w:val="0065552F"/>
    <w:rsid w:val="006576F4"/>
    <w:rsid w:val="00664F3A"/>
    <w:rsid w:val="00665FDE"/>
    <w:rsid w:val="00666D1C"/>
    <w:rsid w:val="006706A6"/>
    <w:rsid w:val="00677482"/>
    <w:rsid w:val="0068301A"/>
    <w:rsid w:val="006837A8"/>
    <w:rsid w:val="006849D0"/>
    <w:rsid w:val="00685DFB"/>
    <w:rsid w:val="0068629A"/>
    <w:rsid w:val="00687ED2"/>
    <w:rsid w:val="00691084"/>
    <w:rsid w:val="006930E2"/>
    <w:rsid w:val="00695B14"/>
    <w:rsid w:val="00697631"/>
    <w:rsid w:val="006A0720"/>
    <w:rsid w:val="006A0E6E"/>
    <w:rsid w:val="006A11F4"/>
    <w:rsid w:val="006A12FB"/>
    <w:rsid w:val="006A29AB"/>
    <w:rsid w:val="006A3BCC"/>
    <w:rsid w:val="006A4FAE"/>
    <w:rsid w:val="006A5127"/>
    <w:rsid w:val="006A5FA3"/>
    <w:rsid w:val="006A7A19"/>
    <w:rsid w:val="006B39FC"/>
    <w:rsid w:val="006B4768"/>
    <w:rsid w:val="006B5A69"/>
    <w:rsid w:val="006B7050"/>
    <w:rsid w:val="006B72C3"/>
    <w:rsid w:val="006B737B"/>
    <w:rsid w:val="006C236A"/>
    <w:rsid w:val="006C33A5"/>
    <w:rsid w:val="006C605A"/>
    <w:rsid w:val="006C6ED3"/>
    <w:rsid w:val="006D0D2B"/>
    <w:rsid w:val="006D420D"/>
    <w:rsid w:val="006D7304"/>
    <w:rsid w:val="006E0B6E"/>
    <w:rsid w:val="006E3AF4"/>
    <w:rsid w:val="006E6AE2"/>
    <w:rsid w:val="006E6AFF"/>
    <w:rsid w:val="006E7FF6"/>
    <w:rsid w:val="006F099F"/>
    <w:rsid w:val="006F28DB"/>
    <w:rsid w:val="00700903"/>
    <w:rsid w:val="0070421A"/>
    <w:rsid w:val="00706CDB"/>
    <w:rsid w:val="00715D02"/>
    <w:rsid w:val="0071610A"/>
    <w:rsid w:val="0072387F"/>
    <w:rsid w:val="007244E2"/>
    <w:rsid w:val="007278C5"/>
    <w:rsid w:val="00730810"/>
    <w:rsid w:val="00731145"/>
    <w:rsid w:val="00732292"/>
    <w:rsid w:val="0073276C"/>
    <w:rsid w:val="00732B73"/>
    <w:rsid w:val="00734FC3"/>
    <w:rsid w:val="007351E6"/>
    <w:rsid w:val="007366CA"/>
    <w:rsid w:val="00736847"/>
    <w:rsid w:val="00746A75"/>
    <w:rsid w:val="00750423"/>
    <w:rsid w:val="00752477"/>
    <w:rsid w:val="0075632F"/>
    <w:rsid w:val="00756866"/>
    <w:rsid w:val="00760266"/>
    <w:rsid w:val="00760577"/>
    <w:rsid w:val="007630B9"/>
    <w:rsid w:val="007632BC"/>
    <w:rsid w:val="00763564"/>
    <w:rsid w:val="00766982"/>
    <w:rsid w:val="00774266"/>
    <w:rsid w:val="00775A2A"/>
    <w:rsid w:val="0078004E"/>
    <w:rsid w:val="00780B7E"/>
    <w:rsid w:val="0078164D"/>
    <w:rsid w:val="0078212F"/>
    <w:rsid w:val="007829C5"/>
    <w:rsid w:val="00784222"/>
    <w:rsid w:val="007862A5"/>
    <w:rsid w:val="00787FEF"/>
    <w:rsid w:val="00792A92"/>
    <w:rsid w:val="007931D4"/>
    <w:rsid w:val="00795FC0"/>
    <w:rsid w:val="007A2305"/>
    <w:rsid w:val="007A33D5"/>
    <w:rsid w:val="007B68C9"/>
    <w:rsid w:val="007C652E"/>
    <w:rsid w:val="007C6EA4"/>
    <w:rsid w:val="007D0532"/>
    <w:rsid w:val="007D2649"/>
    <w:rsid w:val="007D466C"/>
    <w:rsid w:val="007E0172"/>
    <w:rsid w:val="007E353F"/>
    <w:rsid w:val="007F550E"/>
    <w:rsid w:val="007F6C5E"/>
    <w:rsid w:val="007F6F97"/>
    <w:rsid w:val="007F7687"/>
    <w:rsid w:val="008013C8"/>
    <w:rsid w:val="008023B0"/>
    <w:rsid w:val="008043DF"/>
    <w:rsid w:val="00805C88"/>
    <w:rsid w:val="00816ADF"/>
    <w:rsid w:val="008176BC"/>
    <w:rsid w:val="00820CA0"/>
    <w:rsid w:val="00820F12"/>
    <w:rsid w:val="00821242"/>
    <w:rsid w:val="00822BF4"/>
    <w:rsid w:val="00823CE1"/>
    <w:rsid w:val="00827189"/>
    <w:rsid w:val="008306BB"/>
    <w:rsid w:val="008330E0"/>
    <w:rsid w:val="008338BC"/>
    <w:rsid w:val="00836E07"/>
    <w:rsid w:val="008412C0"/>
    <w:rsid w:val="008434C0"/>
    <w:rsid w:val="0084666D"/>
    <w:rsid w:val="00857408"/>
    <w:rsid w:val="008604C9"/>
    <w:rsid w:val="0086474F"/>
    <w:rsid w:val="008649EE"/>
    <w:rsid w:val="00867EEB"/>
    <w:rsid w:val="008704C8"/>
    <w:rsid w:val="00871A46"/>
    <w:rsid w:val="00872781"/>
    <w:rsid w:val="00874977"/>
    <w:rsid w:val="00874FA4"/>
    <w:rsid w:val="00884044"/>
    <w:rsid w:val="00885EEE"/>
    <w:rsid w:val="00887625"/>
    <w:rsid w:val="00887968"/>
    <w:rsid w:val="00887FD7"/>
    <w:rsid w:val="00890FE0"/>
    <w:rsid w:val="008924FC"/>
    <w:rsid w:val="0089416D"/>
    <w:rsid w:val="00896760"/>
    <w:rsid w:val="008967C0"/>
    <w:rsid w:val="008969CA"/>
    <w:rsid w:val="00896D00"/>
    <w:rsid w:val="008A1266"/>
    <w:rsid w:val="008A3471"/>
    <w:rsid w:val="008A3CEC"/>
    <w:rsid w:val="008A400E"/>
    <w:rsid w:val="008A4FB6"/>
    <w:rsid w:val="008A79A9"/>
    <w:rsid w:val="008B222C"/>
    <w:rsid w:val="008B4D06"/>
    <w:rsid w:val="008B6997"/>
    <w:rsid w:val="008C4843"/>
    <w:rsid w:val="008C506D"/>
    <w:rsid w:val="008D3179"/>
    <w:rsid w:val="008E2378"/>
    <w:rsid w:val="008E2385"/>
    <w:rsid w:val="008E24CB"/>
    <w:rsid w:val="008E25D2"/>
    <w:rsid w:val="008E266E"/>
    <w:rsid w:val="008E3588"/>
    <w:rsid w:val="008E42CB"/>
    <w:rsid w:val="008E44FE"/>
    <w:rsid w:val="008F245C"/>
    <w:rsid w:val="008F38BA"/>
    <w:rsid w:val="008F39C2"/>
    <w:rsid w:val="008F78AE"/>
    <w:rsid w:val="009066E4"/>
    <w:rsid w:val="009110B9"/>
    <w:rsid w:val="009120F4"/>
    <w:rsid w:val="009127E8"/>
    <w:rsid w:val="0091659D"/>
    <w:rsid w:val="00916946"/>
    <w:rsid w:val="00916CDB"/>
    <w:rsid w:val="009179FC"/>
    <w:rsid w:val="00917C82"/>
    <w:rsid w:val="00922458"/>
    <w:rsid w:val="00924777"/>
    <w:rsid w:val="009261F7"/>
    <w:rsid w:val="00926441"/>
    <w:rsid w:val="00931EAC"/>
    <w:rsid w:val="009321E7"/>
    <w:rsid w:val="00937A23"/>
    <w:rsid w:val="009435EA"/>
    <w:rsid w:val="0094670B"/>
    <w:rsid w:val="00951A1F"/>
    <w:rsid w:val="00952D5B"/>
    <w:rsid w:val="00952E0A"/>
    <w:rsid w:val="009535E9"/>
    <w:rsid w:val="00955D37"/>
    <w:rsid w:val="00957059"/>
    <w:rsid w:val="00957BD5"/>
    <w:rsid w:val="009639AE"/>
    <w:rsid w:val="00964D02"/>
    <w:rsid w:val="00970D56"/>
    <w:rsid w:val="0097413C"/>
    <w:rsid w:val="00974B59"/>
    <w:rsid w:val="00980022"/>
    <w:rsid w:val="0098433D"/>
    <w:rsid w:val="009876AC"/>
    <w:rsid w:val="00990D39"/>
    <w:rsid w:val="00992214"/>
    <w:rsid w:val="00992786"/>
    <w:rsid w:val="00992B14"/>
    <w:rsid w:val="009936C9"/>
    <w:rsid w:val="00996FE6"/>
    <w:rsid w:val="00997F16"/>
    <w:rsid w:val="00997F8C"/>
    <w:rsid w:val="009A2FD4"/>
    <w:rsid w:val="009A36B4"/>
    <w:rsid w:val="009A50EE"/>
    <w:rsid w:val="009A540D"/>
    <w:rsid w:val="009A61DD"/>
    <w:rsid w:val="009B0B46"/>
    <w:rsid w:val="009B1656"/>
    <w:rsid w:val="009B1D7A"/>
    <w:rsid w:val="009B33AD"/>
    <w:rsid w:val="009B7209"/>
    <w:rsid w:val="009C2209"/>
    <w:rsid w:val="009C2633"/>
    <w:rsid w:val="009C5894"/>
    <w:rsid w:val="009C593C"/>
    <w:rsid w:val="009C5AA4"/>
    <w:rsid w:val="009C732D"/>
    <w:rsid w:val="009C7BCD"/>
    <w:rsid w:val="009D0287"/>
    <w:rsid w:val="009D78BB"/>
    <w:rsid w:val="009E2A94"/>
    <w:rsid w:val="009E7A86"/>
    <w:rsid w:val="009F0201"/>
    <w:rsid w:val="009F0FFF"/>
    <w:rsid w:val="009F5F95"/>
    <w:rsid w:val="009F7C31"/>
    <w:rsid w:val="00A00431"/>
    <w:rsid w:val="00A00F72"/>
    <w:rsid w:val="00A05764"/>
    <w:rsid w:val="00A06924"/>
    <w:rsid w:val="00A06FE0"/>
    <w:rsid w:val="00A1097E"/>
    <w:rsid w:val="00A10AE1"/>
    <w:rsid w:val="00A21C2C"/>
    <w:rsid w:val="00A220FA"/>
    <w:rsid w:val="00A23643"/>
    <w:rsid w:val="00A26D74"/>
    <w:rsid w:val="00A35F7F"/>
    <w:rsid w:val="00A37080"/>
    <w:rsid w:val="00A40A5F"/>
    <w:rsid w:val="00A45A90"/>
    <w:rsid w:val="00A45C92"/>
    <w:rsid w:val="00A47BA5"/>
    <w:rsid w:val="00A547FF"/>
    <w:rsid w:val="00A7073F"/>
    <w:rsid w:val="00A723EC"/>
    <w:rsid w:val="00A74E2C"/>
    <w:rsid w:val="00A75FF9"/>
    <w:rsid w:val="00A8108C"/>
    <w:rsid w:val="00A81FD4"/>
    <w:rsid w:val="00A82F1B"/>
    <w:rsid w:val="00A8330A"/>
    <w:rsid w:val="00A85ABA"/>
    <w:rsid w:val="00A86315"/>
    <w:rsid w:val="00A93124"/>
    <w:rsid w:val="00A93BC4"/>
    <w:rsid w:val="00A94871"/>
    <w:rsid w:val="00A96C2A"/>
    <w:rsid w:val="00AA1BD6"/>
    <w:rsid w:val="00AA1CC6"/>
    <w:rsid w:val="00AA621B"/>
    <w:rsid w:val="00AA7A58"/>
    <w:rsid w:val="00AB0302"/>
    <w:rsid w:val="00AB077A"/>
    <w:rsid w:val="00AB1644"/>
    <w:rsid w:val="00AB2661"/>
    <w:rsid w:val="00AB3E42"/>
    <w:rsid w:val="00AB731E"/>
    <w:rsid w:val="00AC1272"/>
    <w:rsid w:val="00AC364D"/>
    <w:rsid w:val="00AC6816"/>
    <w:rsid w:val="00AC6ACC"/>
    <w:rsid w:val="00AC776C"/>
    <w:rsid w:val="00AD060E"/>
    <w:rsid w:val="00AD067C"/>
    <w:rsid w:val="00AD369E"/>
    <w:rsid w:val="00AD588E"/>
    <w:rsid w:val="00AD7236"/>
    <w:rsid w:val="00AE148E"/>
    <w:rsid w:val="00AE331B"/>
    <w:rsid w:val="00AE60D9"/>
    <w:rsid w:val="00AF53DB"/>
    <w:rsid w:val="00AF6E89"/>
    <w:rsid w:val="00AF75D0"/>
    <w:rsid w:val="00B0344D"/>
    <w:rsid w:val="00B0725C"/>
    <w:rsid w:val="00B2018A"/>
    <w:rsid w:val="00B20519"/>
    <w:rsid w:val="00B23585"/>
    <w:rsid w:val="00B23C4F"/>
    <w:rsid w:val="00B26547"/>
    <w:rsid w:val="00B311D9"/>
    <w:rsid w:val="00B32542"/>
    <w:rsid w:val="00B33F7B"/>
    <w:rsid w:val="00B3641E"/>
    <w:rsid w:val="00B36910"/>
    <w:rsid w:val="00B42556"/>
    <w:rsid w:val="00B433FF"/>
    <w:rsid w:val="00B43F6B"/>
    <w:rsid w:val="00B45B20"/>
    <w:rsid w:val="00B466AC"/>
    <w:rsid w:val="00B51B5C"/>
    <w:rsid w:val="00B5322E"/>
    <w:rsid w:val="00B5370F"/>
    <w:rsid w:val="00B552F8"/>
    <w:rsid w:val="00B56D86"/>
    <w:rsid w:val="00B631BD"/>
    <w:rsid w:val="00B64BF3"/>
    <w:rsid w:val="00B667D4"/>
    <w:rsid w:val="00B739C5"/>
    <w:rsid w:val="00B80643"/>
    <w:rsid w:val="00B81BD8"/>
    <w:rsid w:val="00B8280D"/>
    <w:rsid w:val="00B843EB"/>
    <w:rsid w:val="00B8460C"/>
    <w:rsid w:val="00B901F9"/>
    <w:rsid w:val="00B92B63"/>
    <w:rsid w:val="00B95081"/>
    <w:rsid w:val="00B95284"/>
    <w:rsid w:val="00BA0F21"/>
    <w:rsid w:val="00BA12D2"/>
    <w:rsid w:val="00BA2500"/>
    <w:rsid w:val="00BB0E3F"/>
    <w:rsid w:val="00BB2266"/>
    <w:rsid w:val="00BB2632"/>
    <w:rsid w:val="00BB304C"/>
    <w:rsid w:val="00BB33B7"/>
    <w:rsid w:val="00BB359B"/>
    <w:rsid w:val="00BB55D9"/>
    <w:rsid w:val="00BB64A7"/>
    <w:rsid w:val="00BC034C"/>
    <w:rsid w:val="00BC2054"/>
    <w:rsid w:val="00BC448F"/>
    <w:rsid w:val="00BC595D"/>
    <w:rsid w:val="00BD4E52"/>
    <w:rsid w:val="00BD7FB6"/>
    <w:rsid w:val="00BE3154"/>
    <w:rsid w:val="00BE3FFA"/>
    <w:rsid w:val="00BF0763"/>
    <w:rsid w:val="00BF0C43"/>
    <w:rsid w:val="00BF40BE"/>
    <w:rsid w:val="00BF6A29"/>
    <w:rsid w:val="00BF7C9B"/>
    <w:rsid w:val="00C001EC"/>
    <w:rsid w:val="00C00DCF"/>
    <w:rsid w:val="00C06C27"/>
    <w:rsid w:val="00C1495B"/>
    <w:rsid w:val="00C152CF"/>
    <w:rsid w:val="00C15A4A"/>
    <w:rsid w:val="00C20B8A"/>
    <w:rsid w:val="00C2269B"/>
    <w:rsid w:val="00C254FA"/>
    <w:rsid w:val="00C30B04"/>
    <w:rsid w:val="00C31197"/>
    <w:rsid w:val="00C32068"/>
    <w:rsid w:val="00C33316"/>
    <w:rsid w:val="00C342CB"/>
    <w:rsid w:val="00C356CA"/>
    <w:rsid w:val="00C368EA"/>
    <w:rsid w:val="00C40C3B"/>
    <w:rsid w:val="00C416B7"/>
    <w:rsid w:val="00C41BC3"/>
    <w:rsid w:val="00C425B2"/>
    <w:rsid w:val="00C45214"/>
    <w:rsid w:val="00C45A80"/>
    <w:rsid w:val="00C45BCB"/>
    <w:rsid w:val="00C50ADE"/>
    <w:rsid w:val="00C50DB0"/>
    <w:rsid w:val="00C531C6"/>
    <w:rsid w:val="00C53882"/>
    <w:rsid w:val="00C53C88"/>
    <w:rsid w:val="00C53DE5"/>
    <w:rsid w:val="00C5569F"/>
    <w:rsid w:val="00C56D33"/>
    <w:rsid w:val="00C57CAE"/>
    <w:rsid w:val="00C57F7A"/>
    <w:rsid w:val="00C60698"/>
    <w:rsid w:val="00C63DD2"/>
    <w:rsid w:val="00C65C4E"/>
    <w:rsid w:val="00C66608"/>
    <w:rsid w:val="00C66DD2"/>
    <w:rsid w:val="00C66FD1"/>
    <w:rsid w:val="00C701F7"/>
    <w:rsid w:val="00C73318"/>
    <w:rsid w:val="00C7335B"/>
    <w:rsid w:val="00C74928"/>
    <w:rsid w:val="00C74CFD"/>
    <w:rsid w:val="00C7699D"/>
    <w:rsid w:val="00C9155A"/>
    <w:rsid w:val="00C9183C"/>
    <w:rsid w:val="00C942F2"/>
    <w:rsid w:val="00CA0BC6"/>
    <w:rsid w:val="00CA0E30"/>
    <w:rsid w:val="00CA219B"/>
    <w:rsid w:val="00CA2634"/>
    <w:rsid w:val="00CA5388"/>
    <w:rsid w:val="00CA5DD4"/>
    <w:rsid w:val="00CB0A2F"/>
    <w:rsid w:val="00CB21D1"/>
    <w:rsid w:val="00CB340B"/>
    <w:rsid w:val="00CB3900"/>
    <w:rsid w:val="00CB55F2"/>
    <w:rsid w:val="00CC18AB"/>
    <w:rsid w:val="00CC5437"/>
    <w:rsid w:val="00CD65C5"/>
    <w:rsid w:val="00CE136B"/>
    <w:rsid w:val="00CE5F1C"/>
    <w:rsid w:val="00CE7155"/>
    <w:rsid w:val="00CF05D0"/>
    <w:rsid w:val="00CF12A9"/>
    <w:rsid w:val="00CF36C2"/>
    <w:rsid w:val="00CF4F89"/>
    <w:rsid w:val="00D0027A"/>
    <w:rsid w:val="00D022AA"/>
    <w:rsid w:val="00D02628"/>
    <w:rsid w:val="00D03B95"/>
    <w:rsid w:val="00D043A4"/>
    <w:rsid w:val="00D05708"/>
    <w:rsid w:val="00D10311"/>
    <w:rsid w:val="00D11BC4"/>
    <w:rsid w:val="00D12CE4"/>
    <w:rsid w:val="00D13722"/>
    <w:rsid w:val="00D20105"/>
    <w:rsid w:val="00D20BF2"/>
    <w:rsid w:val="00D21678"/>
    <w:rsid w:val="00D226D1"/>
    <w:rsid w:val="00D27652"/>
    <w:rsid w:val="00D31AAE"/>
    <w:rsid w:val="00D34665"/>
    <w:rsid w:val="00D360DD"/>
    <w:rsid w:val="00D4042B"/>
    <w:rsid w:val="00D41D20"/>
    <w:rsid w:val="00D44A5E"/>
    <w:rsid w:val="00D45893"/>
    <w:rsid w:val="00D45903"/>
    <w:rsid w:val="00D471F6"/>
    <w:rsid w:val="00D47715"/>
    <w:rsid w:val="00D513FD"/>
    <w:rsid w:val="00D5546D"/>
    <w:rsid w:val="00D57089"/>
    <w:rsid w:val="00D60EAD"/>
    <w:rsid w:val="00D61D5D"/>
    <w:rsid w:val="00D6502E"/>
    <w:rsid w:val="00D65B1A"/>
    <w:rsid w:val="00D66543"/>
    <w:rsid w:val="00D66F6B"/>
    <w:rsid w:val="00D67316"/>
    <w:rsid w:val="00D67FC8"/>
    <w:rsid w:val="00D71CC3"/>
    <w:rsid w:val="00D72D3F"/>
    <w:rsid w:val="00D73ACE"/>
    <w:rsid w:val="00D73AF8"/>
    <w:rsid w:val="00D7478D"/>
    <w:rsid w:val="00D8103C"/>
    <w:rsid w:val="00D8462D"/>
    <w:rsid w:val="00D8776C"/>
    <w:rsid w:val="00DA0443"/>
    <w:rsid w:val="00DA33D3"/>
    <w:rsid w:val="00DA3F52"/>
    <w:rsid w:val="00DB295C"/>
    <w:rsid w:val="00DB4DCB"/>
    <w:rsid w:val="00DB742D"/>
    <w:rsid w:val="00DC148B"/>
    <w:rsid w:val="00DC2643"/>
    <w:rsid w:val="00DC44D9"/>
    <w:rsid w:val="00DC7AEA"/>
    <w:rsid w:val="00DD25C0"/>
    <w:rsid w:val="00DD26CD"/>
    <w:rsid w:val="00DD27D5"/>
    <w:rsid w:val="00DD3FCD"/>
    <w:rsid w:val="00DE0DDA"/>
    <w:rsid w:val="00DE29BC"/>
    <w:rsid w:val="00DE2B5C"/>
    <w:rsid w:val="00DE4D48"/>
    <w:rsid w:val="00DE502B"/>
    <w:rsid w:val="00E00179"/>
    <w:rsid w:val="00E05129"/>
    <w:rsid w:val="00E0652D"/>
    <w:rsid w:val="00E0776F"/>
    <w:rsid w:val="00E077B5"/>
    <w:rsid w:val="00E10EAE"/>
    <w:rsid w:val="00E114D9"/>
    <w:rsid w:val="00E11894"/>
    <w:rsid w:val="00E158E7"/>
    <w:rsid w:val="00E15B06"/>
    <w:rsid w:val="00E20AA4"/>
    <w:rsid w:val="00E25674"/>
    <w:rsid w:val="00E30BA4"/>
    <w:rsid w:val="00E3514C"/>
    <w:rsid w:val="00E35C31"/>
    <w:rsid w:val="00E37D4F"/>
    <w:rsid w:val="00E407A9"/>
    <w:rsid w:val="00E4323C"/>
    <w:rsid w:val="00E46184"/>
    <w:rsid w:val="00E4698E"/>
    <w:rsid w:val="00E5724C"/>
    <w:rsid w:val="00E60D20"/>
    <w:rsid w:val="00E610A8"/>
    <w:rsid w:val="00E6226D"/>
    <w:rsid w:val="00E6368F"/>
    <w:rsid w:val="00E72DFD"/>
    <w:rsid w:val="00E7395F"/>
    <w:rsid w:val="00E75AC5"/>
    <w:rsid w:val="00E77DE6"/>
    <w:rsid w:val="00E81E97"/>
    <w:rsid w:val="00E81F0F"/>
    <w:rsid w:val="00E81F28"/>
    <w:rsid w:val="00E8307A"/>
    <w:rsid w:val="00E849FB"/>
    <w:rsid w:val="00E84B87"/>
    <w:rsid w:val="00E86DC0"/>
    <w:rsid w:val="00E906DA"/>
    <w:rsid w:val="00E908DF"/>
    <w:rsid w:val="00E926B5"/>
    <w:rsid w:val="00E928C7"/>
    <w:rsid w:val="00E930AD"/>
    <w:rsid w:val="00E94258"/>
    <w:rsid w:val="00E9556B"/>
    <w:rsid w:val="00EA2129"/>
    <w:rsid w:val="00EA316D"/>
    <w:rsid w:val="00EB5D97"/>
    <w:rsid w:val="00EB6D4F"/>
    <w:rsid w:val="00EC0F1C"/>
    <w:rsid w:val="00EC1694"/>
    <w:rsid w:val="00EC25F0"/>
    <w:rsid w:val="00EC4FB6"/>
    <w:rsid w:val="00EC7180"/>
    <w:rsid w:val="00EC7321"/>
    <w:rsid w:val="00EC77AC"/>
    <w:rsid w:val="00EC77B9"/>
    <w:rsid w:val="00ED2861"/>
    <w:rsid w:val="00ED34D6"/>
    <w:rsid w:val="00ED3B36"/>
    <w:rsid w:val="00ED5806"/>
    <w:rsid w:val="00ED6AE4"/>
    <w:rsid w:val="00EE14C1"/>
    <w:rsid w:val="00EE2938"/>
    <w:rsid w:val="00EE29FB"/>
    <w:rsid w:val="00EE371E"/>
    <w:rsid w:val="00EE4852"/>
    <w:rsid w:val="00EE4F50"/>
    <w:rsid w:val="00EE5193"/>
    <w:rsid w:val="00EE5443"/>
    <w:rsid w:val="00EE670F"/>
    <w:rsid w:val="00EF059A"/>
    <w:rsid w:val="00EF1F79"/>
    <w:rsid w:val="00EF5EB9"/>
    <w:rsid w:val="00F000E2"/>
    <w:rsid w:val="00F0079F"/>
    <w:rsid w:val="00F016BC"/>
    <w:rsid w:val="00F0275D"/>
    <w:rsid w:val="00F02765"/>
    <w:rsid w:val="00F03789"/>
    <w:rsid w:val="00F0424E"/>
    <w:rsid w:val="00F0489E"/>
    <w:rsid w:val="00F0584E"/>
    <w:rsid w:val="00F06FA7"/>
    <w:rsid w:val="00F13FDD"/>
    <w:rsid w:val="00F1413D"/>
    <w:rsid w:val="00F168AF"/>
    <w:rsid w:val="00F178C6"/>
    <w:rsid w:val="00F2163D"/>
    <w:rsid w:val="00F22F33"/>
    <w:rsid w:val="00F2475F"/>
    <w:rsid w:val="00F2521F"/>
    <w:rsid w:val="00F254D8"/>
    <w:rsid w:val="00F258C5"/>
    <w:rsid w:val="00F262D3"/>
    <w:rsid w:val="00F3189F"/>
    <w:rsid w:val="00F32608"/>
    <w:rsid w:val="00F33FEF"/>
    <w:rsid w:val="00F40012"/>
    <w:rsid w:val="00F41411"/>
    <w:rsid w:val="00F43899"/>
    <w:rsid w:val="00F46BCE"/>
    <w:rsid w:val="00F46C52"/>
    <w:rsid w:val="00F46E11"/>
    <w:rsid w:val="00F537C7"/>
    <w:rsid w:val="00F55114"/>
    <w:rsid w:val="00F61141"/>
    <w:rsid w:val="00F70510"/>
    <w:rsid w:val="00F70823"/>
    <w:rsid w:val="00F72EEC"/>
    <w:rsid w:val="00F732B3"/>
    <w:rsid w:val="00F73C23"/>
    <w:rsid w:val="00F801A5"/>
    <w:rsid w:val="00F80B99"/>
    <w:rsid w:val="00F82289"/>
    <w:rsid w:val="00F87338"/>
    <w:rsid w:val="00F901A9"/>
    <w:rsid w:val="00F939D7"/>
    <w:rsid w:val="00F94C5D"/>
    <w:rsid w:val="00F95832"/>
    <w:rsid w:val="00F96E6E"/>
    <w:rsid w:val="00FA0E52"/>
    <w:rsid w:val="00FA2A2B"/>
    <w:rsid w:val="00FA4BF1"/>
    <w:rsid w:val="00FB4B42"/>
    <w:rsid w:val="00FC09BC"/>
    <w:rsid w:val="00FC0B81"/>
    <w:rsid w:val="00FC3CA0"/>
    <w:rsid w:val="00FC4422"/>
    <w:rsid w:val="00FD1023"/>
    <w:rsid w:val="00FD1189"/>
    <w:rsid w:val="00FD2B08"/>
    <w:rsid w:val="00FD4F54"/>
    <w:rsid w:val="00FD4F7E"/>
    <w:rsid w:val="00FD5540"/>
    <w:rsid w:val="00FD57A5"/>
    <w:rsid w:val="00FD5FEE"/>
    <w:rsid w:val="00FD606E"/>
    <w:rsid w:val="00FD6FA3"/>
    <w:rsid w:val="00FD7A60"/>
    <w:rsid w:val="00FD7F08"/>
    <w:rsid w:val="00FE6892"/>
    <w:rsid w:val="00FE7541"/>
    <w:rsid w:val="00FE7A4F"/>
    <w:rsid w:val="00FF2237"/>
    <w:rsid w:val="00FF231F"/>
    <w:rsid w:val="00FF23E6"/>
    <w:rsid w:val="00FF49B1"/>
    <w:rsid w:val="00FF6A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B77A8"/>
  <w15:chartTrackingRefBased/>
  <w15:docId w15:val="{3061B2FB-9AE5-4C2D-BC76-EF392720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BM Plex Sans" w:eastAsiaTheme="minorHAnsi" w:hAnsi="IBM Plex Sans" w:cstheme="minorBidi"/>
        <w:kern w:val="2"/>
        <w:sz w:val="24"/>
        <w:szCs w:val="24"/>
        <w:lang w:val="en-GB" w:eastAsia="en-US" w:bidi="ar-SA"/>
        <w14:ligatures w14:val="standardContextual"/>
      </w:rPr>
    </w:rPrDefault>
    <w:pPrDefault>
      <w:pPr>
        <w:spacing w:before="120" w:after="120"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04B"/>
    <w:rPr>
      <w:color w:val="0563C1" w:themeColor="hyperlink"/>
      <w:u w:val="single"/>
    </w:rPr>
  </w:style>
  <w:style w:type="paragraph" w:styleId="Header">
    <w:name w:val="header"/>
    <w:basedOn w:val="Normal"/>
    <w:link w:val="HeaderChar"/>
    <w:uiPriority w:val="99"/>
    <w:unhideWhenUsed/>
    <w:rsid w:val="000F711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F7116"/>
  </w:style>
  <w:style w:type="paragraph" w:styleId="Footer">
    <w:name w:val="footer"/>
    <w:basedOn w:val="Normal"/>
    <w:link w:val="FooterChar"/>
    <w:uiPriority w:val="99"/>
    <w:unhideWhenUsed/>
    <w:rsid w:val="000F711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F7116"/>
  </w:style>
  <w:style w:type="character" w:customStyle="1" w:styleId="UnresolvedMention1">
    <w:name w:val="Unresolved Mention1"/>
    <w:basedOn w:val="DefaultParagraphFont"/>
    <w:uiPriority w:val="99"/>
    <w:semiHidden/>
    <w:unhideWhenUsed/>
    <w:rsid w:val="005C71F9"/>
    <w:rPr>
      <w:color w:val="605E5C"/>
      <w:shd w:val="clear" w:color="auto" w:fill="E1DFDD"/>
    </w:rPr>
  </w:style>
  <w:style w:type="paragraph" w:styleId="FootnoteText">
    <w:name w:val="footnote text"/>
    <w:basedOn w:val="Normal"/>
    <w:link w:val="FootnoteTextChar"/>
    <w:uiPriority w:val="99"/>
    <w:semiHidden/>
    <w:unhideWhenUsed/>
    <w:rsid w:val="008B699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B6997"/>
    <w:rPr>
      <w:sz w:val="20"/>
      <w:szCs w:val="20"/>
    </w:rPr>
  </w:style>
  <w:style w:type="character" w:styleId="FootnoteReference">
    <w:name w:val="footnote reference"/>
    <w:basedOn w:val="DefaultParagraphFont"/>
    <w:uiPriority w:val="99"/>
    <w:semiHidden/>
    <w:unhideWhenUsed/>
    <w:rsid w:val="008B6997"/>
    <w:rPr>
      <w:vertAlign w:val="superscript"/>
    </w:rPr>
  </w:style>
  <w:style w:type="paragraph" w:styleId="NormalWeb">
    <w:name w:val="Normal (Web)"/>
    <w:basedOn w:val="Normal"/>
    <w:uiPriority w:val="99"/>
    <w:unhideWhenUsed/>
    <w:rsid w:val="0031472D"/>
    <w:pPr>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225C93"/>
    <w:pPr>
      <w:ind w:left="720"/>
      <w:contextualSpacing/>
    </w:pPr>
  </w:style>
  <w:style w:type="character" w:styleId="PlaceholderText">
    <w:name w:val="Placeholder Text"/>
    <w:basedOn w:val="DefaultParagraphFont"/>
    <w:uiPriority w:val="99"/>
    <w:semiHidden/>
    <w:rsid w:val="00C45A80"/>
    <w:rPr>
      <w:color w:val="808080"/>
    </w:rPr>
  </w:style>
  <w:style w:type="table" w:styleId="TableGrid">
    <w:name w:val="Table Grid"/>
    <w:basedOn w:val="TableNormal"/>
    <w:uiPriority w:val="39"/>
    <w:rsid w:val="00715D0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6F099F"/>
  </w:style>
  <w:style w:type="character" w:customStyle="1" w:styleId="vlist-s">
    <w:name w:val="vlist-s"/>
    <w:basedOn w:val="DefaultParagraphFont"/>
    <w:rsid w:val="006F099F"/>
  </w:style>
  <w:style w:type="character" w:customStyle="1" w:styleId="mrel">
    <w:name w:val="mrel"/>
    <w:basedOn w:val="DefaultParagraphFont"/>
    <w:rsid w:val="006F099F"/>
  </w:style>
  <w:style w:type="character" w:styleId="Strong">
    <w:name w:val="Strong"/>
    <w:basedOn w:val="DefaultParagraphFont"/>
    <w:uiPriority w:val="22"/>
    <w:qFormat/>
    <w:rsid w:val="00890FE0"/>
    <w:rPr>
      <w:b/>
      <w:bCs/>
    </w:rPr>
  </w:style>
  <w:style w:type="paragraph" w:styleId="BalloonText">
    <w:name w:val="Balloon Text"/>
    <w:basedOn w:val="Normal"/>
    <w:link w:val="BalloonTextChar"/>
    <w:uiPriority w:val="99"/>
    <w:rsid w:val="00070A10"/>
    <w:pPr>
      <w:spacing w:before="0" w:after="0" w:line="240" w:lineRule="auto"/>
      <w:jc w:val="left"/>
    </w:pPr>
    <w:rPr>
      <w:rFonts w:ascii="Segoe UI" w:eastAsia="Calibri" w:hAnsi="Segoe UI" w:cs="Segoe UI"/>
      <w:kern w:val="0"/>
      <w:sz w:val="18"/>
      <w:szCs w:val="18"/>
      <w:lang w:val="en-US"/>
      <w14:ligatures w14:val="none"/>
    </w:rPr>
  </w:style>
  <w:style w:type="character" w:customStyle="1" w:styleId="BalloonTextChar">
    <w:name w:val="Balloon Text Char"/>
    <w:basedOn w:val="DefaultParagraphFont"/>
    <w:link w:val="BalloonText"/>
    <w:uiPriority w:val="99"/>
    <w:rsid w:val="00070A10"/>
    <w:rPr>
      <w:rFonts w:ascii="Segoe UI" w:eastAsia="Calibr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1009">
      <w:bodyDiv w:val="1"/>
      <w:marLeft w:val="0"/>
      <w:marRight w:val="0"/>
      <w:marTop w:val="0"/>
      <w:marBottom w:val="0"/>
      <w:divBdr>
        <w:top w:val="none" w:sz="0" w:space="0" w:color="auto"/>
        <w:left w:val="none" w:sz="0" w:space="0" w:color="auto"/>
        <w:bottom w:val="none" w:sz="0" w:space="0" w:color="auto"/>
        <w:right w:val="none" w:sz="0" w:space="0" w:color="auto"/>
      </w:divBdr>
      <w:divsChild>
        <w:div w:id="2134204539">
          <w:marLeft w:val="-720"/>
          <w:marRight w:val="0"/>
          <w:marTop w:val="0"/>
          <w:marBottom w:val="0"/>
          <w:divBdr>
            <w:top w:val="none" w:sz="0" w:space="0" w:color="auto"/>
            <w:left w:val="none" w:sz="0" w:space="0" w:color="auto"/>
            <w:bottom w:val="none" w:sz="0" w:space="0" w:color="auto"/>
            <w:right w:val="none" w:sz="0" w:space="0" w:color="auto"/>
          </w:divBdr>
        </w:div>
      </w:divsChild>
    </w:div>
    <w:div w:id="74321248">
      <w:bodyDiv w:val="1"/>
      <w:marLeft w:val="0"/>
      <w:marRight w:val="0"/>
      <w:marTop w:val="0"/>
      <w:marBottom w:val="0"/>
      <w:divBdr>
        <w:top w:val="none" w:sz="0" w:space="0" w:color="auto"/>
        <w:left w:val="none" w:sz="0" w:space="0" w:color="auto"/>
        <w:bottom w:val="none" w:sz="0" w:space="0" w:color="auto"/>
        <w:right w:val="none" w:sz="0" w:space="0" w:color="auto"/>
      </w:divBdr>
      <w:divsChild>
        <w:div w:id="2066833425">
          <w:marLeft w:val="-720"/>
          <w:marRight w:val="0"/>
          <w:marTop w:val="0"/>
          <w:marBottom w:val="0"/>
          <w:divBdr>
            <w:top w:val="none" w:sz="0" w:space="0" w:color="auto"/>
            <w:left w:val="none" w:sz="0" w:space="0" w:color="auto"/>
            <w:bottom w:val="none" w:sz="0" w:space="0" w:color="auto"/>
            <w:right w:val="none" w:sz="0" w:space="0" w:color="auto"/>
          </w:divBdr>
        </w:div>
      </w:divsChild>
    </w:div>
    <w:div w:id="106197735">
      <w:bodyDiv w:val="1"/>
      <w:marLeft w:val="0"/>
      <w:marRight w:val="0"/>
      <w:marTop w:val="0"/>
      <w:marBottom w:val="0"/>
      <w:divBdr>
        <w:top w:val="none" w:sz="0" w:space="0" w:color="auto"/>
        <w:left w:val="none" w:sz="0" w:space="0" w:color="auto"/>
        <w:bottom w:val="none" w:sz="0" w:space="0" w:color="auto"/>
        <w:right w:val="none" w:sz="0" w:space="0" w:color="auto"/>
      </w:divBdr>
      <w:divsChild>
        <w:div w:id="1156413989">
          <w:marLeft w:val="-720"/>
          <w:marRight w:val="0"/>
          <w:marTop w:val="0"/>
          <w:marBottom w:val="0"/>
          <w:divBdr>
            <w:top w:val="none" w:sz="0" w:space="0" w:color="auto"/>
            <w:left w:val="none" w:sz="0" w:space="0" w:color="auto"/>
            <w:bottom w:val="none" w:sz="0" w:space="0" w:color="auto"/>
            <w:right w:val="none" w:sz="0" w:space="0" w:color="auto"/>
          </w:divBdr>
        </w:div>
      </w:divsChild>
    </w:div>
    <w:div w:id="252393740">
      <w:bodyDiv w:val="1"/>
      <w:marLeft w:val="0"/>
      <w:marRight w:val="0"/>
      <w:marTop w:val="0"/>
      <w:marBottom w:val="0"/>
      <w:divBdr>
        <w:top w:val="none" w:sz="0" w:space="0" w:color="auto"/>
        <w:left w:val="none" w:sz="0" w:space="0" w:color="auto"/>
        <w:bottom w:val="none" w:sz="0" w:space="0" w:color="auto"/>
        <w:right w:val="none" w:sz="0" w:space="0" w:color="auto"/>
      </w:divBdr>
    </w:div>
    <w:div w:id="276982637">
      <w:bodyDiv w:val="1"/>
      <w:marLeft w:val="0"/>
      <w:marRight w:val="0"/>
      <w:marTop w:val="0"/>
      <w:marBottom w:val="0"/>
      <w:divBdr>
        <w:top w:val="none" w:sz="0" w:space="0" w:color="auto"/>
        <w:left w:val="none" w:sz="0" w:space="0" w:color="auto"/>
        <w:bottom w:val="none" w:sz="0" w:space="0" w:color="auto"/>
        <w:right w:val="none" w:sz="0" w:space="0" w:color="auto"/>
      </w:divBdr>
    </w:div>
    <w:div w:id="462819052">
      <w:bodyDiv w:val="1"/>
      <w:marLeft w:val="0"/>
      <w:marRight w:val="0"/>
      <w:marTop w:val="0"/>
      <w:marBottom w:val="0"/>
      <w:divBdr>
        <w:top w:val="none" w:sz="0" w:space="0" w:color="auto"/>
        <w:left w:val="none" w:sz="0" w:space="0" w:color="auto"/>
        <w:bottom w:val="none" w:sz="0" w:space="0" w:color="auto"/>
        <w:right w:val="none" w:sz="0" w:space="0" w:color="auto"/>
      </w:divBdr>
      <w:divsChild>
        <w:div w:id="156503402">
          <w:marLeft w:val="-720"/>
          <w:marRight w:val="0"/>
          <w:marTop w:val="0"/>
          <w:marBottom w:val="0"/>
          <w:divBdr>
            <w:top w:val="none" w:sz="0" w:space="0" w:color="auto"/>
            <w:left w:val="none" w:sz="0" w:space="0" w:color="auto"/>
            <w:bottom w:val="none" w:sz="0" w:space="0" w:color="auto"/>
            <w:right w:val="none" w:sz="0" w:space="0" w:color="auto"/>
          </w:divBdr>
        </w:div>
      </w:divsChild>
    </w:div>
    <w:div w:id="479807099">
      <w:bodyDiv w:val="1"/>
      <w:marLeft w:val="0"/>
      <w:marRight w:val="0"/>
      <w:marTop w:val="0"/>
      <w:marBottom w:val="0"/>
      <w:divBdr>
        <w:top w:val="none" w:sz="0" w:space="0" w:color="auto"/>
        <w:left w:val="none" w:sz="0" w:space="0" w:color="auto"/>
        <w:bottom w:val="none" w:sz="0" w:space="0" w:color="auto"/>
        <w:right w:val="none" w:sz="0" w:space="0" w:color="auto"/>
      </w:divBdr>
      <w:divsChild>
        <w:div w:id="1794447316">
          <w:marLeft w:val="-720"/>
          <w:marRight w:val="0"/>
          <w:marTop w:val="0"/>
          <w:marBottom w:val="0"/>
          <w:divBdr>
            <w:top w:val="none" w:sz="0" w:space="0" w:color="auto"/>
            <w:left w:val="none" w:sz="0" w:space="0" w:color="auto"/>
            <w:bottom w:val="none" w:sz="0" w:space="0" w:color="auto"/>
            <w:right w:val="none" w:sz="0" w:space="0" w:color="auto"/>
          </w:divBdr>
        </w:div>
      </w:divsChild>
    </w:div>
    <w:div w:id="552272592">
      <w:bodyDiv w:val="1"/>
      <w:marLeft w:val="0"/>
      <w:marRight w:val="0"/>
      <w:marTop w:val="0"/>
      <w:marBottom w:val="0"/>
      <w:divBdr>
        <w:top w:val="none" w:sz="0" w:space="0" w:color="auto"/>
        <w:left w:val="none" w:sz="0" w:space="0" w:color="auto"/>
        <w:bottom w:val="none" w:sz="0" w:space="0" w:color="auto"/>
        <w:right w:val="none" w:sz="0" w:space="0" w:color="auto"/>
      </w:divBdr>
      <w:divsChild>
        <w:div w:id="1719551208">
          <w:marLeft w:val="-720"/>
          <w:marRight w:val="0"/>
          <w:marTop w:val="0"/>
          <w:marBottom w:val="0"/>
          <w:divBdr>
            <w:top w:val="none" w:sz="0" w:space="0" w:color="auto"/>
            <w:left w:val="none" w:sz="0" w:space="0" w:color="auto"/>
            <w:bottom w:val="none" w:sz="0" w:space="0" w:color="auto"/>
            <w:right w:val="none" w:sz="0" w:space="0" w:color="auto"/>
          </w:divBdr>
        </w:div>
      </w:divsChild>
    </w:div>
    <w:div w:id="566651621">
      <w:bodyDiv w:val="1"/>
      <w:marLeft w:val="0"/>
      <w:marRight w:val="0"/>
      <w:marTop w:val="0"/>
      <w:marBottom w:val="0"/>
      <w:divBdr>
        <w:top w:val="none" w:sz="0" w:space="0" w:color="auto"/>
        <w:left w:val="none" w:sz="0" w:space="0" w:color="auto"/>
        <w:bottom w:val="none" w:sz="0" w:space="0" w:color="auto"/>
        <w:right w:val="none" w:sz="0" w:space="0" w:color="auto"/>
      </w:divBdr>
    </w:div>
    <w:div w:id="733312729">
      <w:bodyDiv w:val="1"/>
      <w:marLeft w:val="0"/>
      <w:marRight w:val="0"/>
      <w:marTop w:val="0"/>
      <w:marBottom w:val="0"/>
      <w:divBdr>
        <w:top w:val="none" w:sz="0" w:space="0" w:color="auto"/>
        <w:left w:val="none" w:sz="0" w:space="0" w:color="auto"/>
        <w:bottom w:val="none" w:sz="0" w:space="0" w:color="auto"/>
        <w:right w:val="none" w:sz="0" w:space="0" w:color="auto"/>
      </w:divBdr>
    </w:div>
    <w:div w:id="741951086">
      <w:bodyDiv w:val="1"/>
      <w:marLeft w:val="0"/>
      <w:marRight w:val="0"/>
      <w:marTop w:val="0"/>
      <w:marBottom w:val="0"/>
      <w:divBdr>
        <w:top w:val="none" w:sz="0" w:space="0" w:color="auto"/>
        <w:left w:val="none" w:sz="0" w:space="0" w:color="auto"/>
        <w:bottom w:val="none" w:sz="0" w:space="0" w:color="auto"/>
        <w:right w:val="none" w:sz="0" w:space="0" w:color="auto"/>
      </w:divBdr>
    </w:div>
    <w:div w:id="904992005">
      <w:bodyDiv w:val="1"/>
      <w:marLeft w:val="0"/>
      <w:marRight w:val="0"/>
      <w:marTop w:val="0"/>
      <w:marBottom w:val="0"/>
      <w:divBdr>
        <w:top w:val="none" w:sz="0" w:space="0" w:color="auto"/>
        <w:left w:val="none" w:sz="0" w:space="0" w:color="auto"/>
        <w:bottom w:val="none" w:sz="0" w:space="0" w:color="auto"/>
        <w:right w:val="none" w:sz="0" w:space="0" w:color="auto"/>
      </w:divBdr>
    </w:div>
    <w:div w:id="1010764331">
      <w:bodyDiv w:val="1"/>
      <w:marLeft w:val="0"/>
      <w:marRight w:val="0"/>
      <w:marTop w:val="0"/>
      <w:marBottom w:val="0"/>
      <w:divBdr>
        <w:top w:val="none" w:sz="0" w:space="0" w:color="auto"/>
        <w:left w:val="none" w:sz="0" w:space="0" w:color="auto"/>
        <w:bottom w:val="none" w:sz="0" w:space="0" w:color="auto"/>
        <w:right w:val="none" w:sz="0" w:space="0" w:color="auto"/>
      </w:divBdr>
      <w:divsChild>
        <w:div w:id="2046589765">
          <w:marLeft w:val="-720"/>
          <w:marRight w:val="0"/>
          <w:marTop w:val="0"/>
          <w:marBottom w:val="0"/>
          <w:divBdr>
            <w:top w:val="none" w:sz="0" w:space="0" w:color="auto"/>
            <w:left w:val="none" w:sz="0" w:space="0" w:color="auto"/>
            <w:bottom w:val="none" w:sz="0" w:space="0" w:color="auto"/>
            <w:right w:val="none" w:sz="0" w:space="0" w:color="auto"/>
          </w:divBdr>
        </w:div>
      </w:divsChild>
    </w:div>
    <w:div w:id="1103456337">
      <w:bodyDiv w:val="1"/>
      <w:marLeft w:val="0"/>
      <w:marRight w:val="0"/>
      <w:marTop w:val="0"/>
      <w:marBottom w:val="0"/>
      <w:divBdr>
        <w:top w:val="none" w:sz="0" w:space="0" w:color="auto"/>
        <w:left w:val="none" w:sz="0" w:space="0" w:color="auto"/>
        <w:bottom w:val="none" w:sz="0" w:space="0" w:color="auto"/>
        <w:right w:val="none" w:sz="0" w:space="0" w:color="auto"/>
      </w:divBdr>
    </w:div>
    <w:div w:id="1112895900">
      <w:bodyDiv w:val="1"/>
      <w:marLeft w:val="0"/>
      <w:marRight w:val="0"/>
      <w:marTop w:val="0"/>
      <w:marBottom w:val="0"/>
      <w:divBdr>
        <w:top w:val="none" w:sz="0" w:space="0" w:color="auto"/>
        <w:left w:val="none" w:sz="0" w:space="0" w:color="auto"/>
        <w:bottom w:val="none" w:sz="0" w:space="0" w:color="auto"/>
        <w:right w:val="none" w:sz="0" w:space="0" w:color="auto"/>
      </w:divBdr>
      <w:divsChild>
        <w:div w:id="1159342051">
          <w:marLeft w:val="-720"/>
          <w:marRight w:val="0"/>
          <w:marTop w:val="0"/>
          <w:marBottom w:val="0"/>
          <w:divBdr>
            <w:top w:val="none" w:sz="0" w:space="0" w:color="auto"/>
            <w:left w:val="none" w:sz="0" w:space="0" w:color="auto"/>
            <w:bottom w:val="none" w:sz="0" w:space="0" w:color="auto"/>
            <w:right w:val="none" w:sz="0" w:space="0" w:color="auto"/>
          </w:divBdr>
        </w:div>
      </w:divsChild>
    </w:div>
    <w:div w:id="1164660360">
      <w:bodyDiv w:val="1"/>
      <w:marLeft w:val="0"/>
      <w:marRight w:val="0"/>
      <w:marTop w:val="0"/>
      <w:marBottom w:val="0"/>
      <w:divBdr>
        <w:top w:val="none" w:sz="0" w:space="0" w:color="auto"/>
        <w:left w:val="none" w:sz="0" w:space="0" w:color="auto"/>
        <w:bottom w:val="none" w:sz="0" w:space="0" w:color="auto"/>
        <w:right w:val="none" w:sz="0" w:space="0" w:color="auto"/>
      </w:divBdr>
      <w:divsChild>
        <w:div w:id="1923290926">
          <w:marLeft w:val="-720"/>
          <w:marRight w:val="0"/>
          <w:marTop w:val="0"/>
          <w:marBottom w:val="0"/>
          <w:divBdr>
            <w:top w:val="none" w:sz="0" w:space="0" w:color="auto"/>
            <w:left w:val="none" w:sz="0" w:space="0" w:color="auto"/>
            <w:bottom w:val="none" w:sz="0" w:space="0" w:color="auto"/>
            <w:right w:val="none" w:sz="0" w:space="0" w:color="auto"/>
          </w:divBdr>
        </w:div>
      </w:divsChild>
    </w:div>
    <w:div w:id="1224178750">
      <w:bodyDiv w:val="1"/>
      <w:marLeft w:val="0"/>
      <w:marRight w:val="0"/>
      <w:marTop w:val="0"/>
      <w:marBottom w:val="0"/>
      <w:divBdr>
        <w:top w:val="none" w:sz="0" w:space="0" w:color="auto"/>
        <w:left w:val="none" w:sz="0" w:space="0" w:color="auto"/>
        <w:bottom w:val="none" w:sz="0" w:space="0" w:color="auto"/>
        <w:right w:val="none" w:sz="0" w:space="0" w:color="auto"/>
      </w:divBdr>
    </w:div>
    <w:div w:id="1294752297">
      <w:bodyDiv w:val="1"/>
      <w:marLeft w:val="0"/>
      <w:marRight w:val="0"/>
      <w:marTop w:val="0"/>
      <w:marBottom w:val="0"/>
      <w:divBdr>
        <w:top w:val="none" w:sz="0" w:space="0" w:color="auto"/>
        <w:left w:val="none" w:sz="0" w:space="0" w:color="auto"/>
        <w:bottom w:val="none" w:sz="0" w:space="0" w:color="auto"/>
        <w:right w:val="none" w:sz="0" w:space="0" w:color="auto"/>
      </w:divBdr>
    </w:div>
    <w:div w:id="1295597756">
      <w:bodyDiv w:val="1"/>
      <w:marLeft w:val="0"/>
      <w:marRight w:val="0"/>
      <w:marTop w:val="0"/>
      <w:marBottom w:val="0"/>
      <w:divBdr>
        <w:top w:val="none" w:sz="0" w:space="0" w:color="auto"/>
        <w:left w:val="none" w:sz="0" w:space="0" w:color="auto"/>
        <w:bottom w:val="none" w:sz="0" w:space="0" w:color="auto"/>
        <w:right w:val="none" w:sz="0" w:space="0" w:color="auto"/>
      </w:divBdr>
      <w:divsChild>
        <w:div w:id="1164322897">
          <w:marLeft w:val="-720"/>
          <w:marRight w:val="0"/>
          <w:marTop w:val="0"/>
          <w:marBottom w:val="0"/>
          <w:divBdr>
            <w:top w:val="none" w:sz="0" w:space="0" w:color="auto"/>
            <w:left w:val="none" w:sz="0" w:space="0" w:color="auto"/>
            <w:bottom w:val="none" w:sz="0" w:space="0" w:color="auto"/>
            <w:right w:val="none" w:sz="0" w:space="0" w:color="auto"/>
          </w:divBdr>
        </w:div>
      </w:divsChild>
    </w:div>
    <w:div w:id="1370570261">
      <w:bodyDiv w:val="1"/>
      <w:marLeft w:val="0"/>
      <w:marRight w:val="0"/>
      <w:marTop w:val="0"/>
      <w:marBottom w:val="0"/>
      <w:divBdr>
        <w:top w:val="none" w:sz="0" w:space="0" w:color="auto"/>
        <w:left w:val="none" w:sz="0" w:space="0" w:color="auto"/>
        <w:bottom w:val="none" w:sz="0" w:space="0" w:color="auto"/>
        <w:right w:val="none" w:sz="0" w:space="0" w:color="auto"/>
      </w:divBdr>
    </w:div>
    <w:div w:id="1377698118">
      <w:bodyDiv w:val="1"/>
      <w:marLeft w:val="0"/>
      <w:marRight w:val="0"/>
      <w:marTop w:val="0"/>
      <w:marBottom w:val="0"/>
      <w:divBdr>
        <w:top w:val="none" w:sz="0" w:space="0" w:color="auto"/>
        <w:left w:val="none" w:sz="0" w:space="0" w:color="auto"/>
        <w:bottom w:val="none" w:sz="0" w:space="0" w:color="auto"/>
        <w:right w:val="none" w:sz="0" w:space="0" w:color="auto"/>
      </w:divBdr>
      <w:divsChild>
        <w:div w:id="676930811">
          <w:marLeft w:val="-720"/>
          <w:marRight w:val="0"/>
          <w:marTop w:val="0"/>
          <w:marBottom w:val="0"/>
          <w:divBdr>
            <w:top w:val="none" w:sz="0" w:space="0" w:color="auto"/>
            <w:left w:val="none" w:sz="0" w:space="0" w:color="auto"/>
            <w:bottom w:val="none" w:sz="0" w:space="0" w:color="auto"/>
            <w:right w:val="none" w:sz="0" w:space="0" w:color="auto"/>
          </w:divBdr>
        </w:div>
      </w:divsChild>
    </w:div>
    <w:div w:id="1548566791">
      <w:bodyDiv w:val="1"/>
      <w:marLeft w:val="0"/>
      <w:marRight w:val="0"/>
      <w:marTop w:val="0"/>
      <w:marBottom w:val="0"/>
      <w:divBdr>
        <w:top w:val="none" w:sz="0" w:space="0" w:color="auto"/>
        <w:left w:val="none" w:sz="0" w:space="0" w:color="auto"/>
        <w:bottom w:val="none" w:sz="0" w:space="0" w:color="auto"/>
        <w:right w:val="none" w:sz="0" w:space="0" w:color="auto"/>
      </w:divBdr>
    </w:div>
    <w:div w:id="1552764519">
      <w:bodyDiv w:val="1"/>
      <w:marLeft w:val="0"/>
      <w:marRight w:val="0"/>
      <w:marTop w:val="0"/>
      <w:marBottom w:val="0"/>
      <w:divBdr>
        <w:top w:val="none" w:sz="0" w:space="0" w:color="auto"/>
        <w:left w:val="none" w:sz="0" w:space="0" w:color="auto"/>
        <w:bottom w:val="none" w:sz="0" w:space="0" w:color="auto"/>
        <w:right w:val="none" w:sz="0" w:space="0" w:color="auto"/>
      </w:divBdr>
      <w:divsChild>
        <w:div w:id="1715081733">
          <w:marLeft w:val="-720"/>
          <w:marRight w:val="0"/>
          <w:marTop w:val="0"/>
          <w:marBottom w:val="0"/>
          <w:divBdr>
            <w:top w:val="none" w:sz="0" w:space="0" w:color="auto"/>
            <w:left w:val="none" w:sz="0" w:space="0" w:color="auto"/>
            <w:bottom w:val="none" w:sz="0" w:space="0" w:color="auto"/>
            <w:right w:val="none" w:sz="0" w:space="0" w:color="auto"/>
          </w:divBdr>
        </w:div>
      </w:divsChild>
    </w:div>
    <w:div w:id="1657763163">
      <w:bodyDiv w:val="1"/>
      <w:marLeft w:val="0"/>
      <w:marRight w:val="0"/>
      <w:marTop w:val="0"/>
      <w:marBottom w:val="0"/>
      <w:divBdr>
        <w:top w:val="none" w:sz="0" w:space="0" w:color="auto"/>
        <w:left w:val="none" w:sz="0" w:space="0" w:color="auto"/>
        <w:bottom w:val="none" w:sz="0" w:space="0" w:color="auto"/>
        <w:right w:val="none" w:sz="0" w:space="0" w:color="auto"/>
      </w:divBdr>
      <w:divsChild>
        <w:div w:id="1893689801">
          <w:marLeft w:val="-720"/>
          <w:marRight w:val="0"/>
          <w:marTop w:val="0"/>
          <w:marBottom w:val="0"/>
          <w:divBdr>
            <w:top w:val="none" w:sz="0" w:space="0" w:color="auto"/>
            <w:left w:val="none" w:sz="0" w:space="0" w:color="auto"/>
            <w:bottom w:val="none" w:sz="0" w:space="0" w:color="auto"/>
            <w:right w:val="none" w:sz="0" w:space="0" w:color="auto"/>
          </w:divBdr>
        </w:div>
      </w:divsChild>
    </w:div>
    <w:div w:id="1660187681">
      <w:bodyDiv w:val="1"/>
      <w:marLeft w:val="0"/>
      <w:marRight w:val="0"/>
      <w:marTop w:val="0"/>
      <w:marBottom w:val="0"/>
      <w:divBdr>
        <w:top w:val="none" w:sz="0" w:space="0" w:color="auto"/>
        <w:left w:val="none" w:sz="0" w:space="0" w:color="auto"/>
        <w:bottom w:val="none" w:sz="0" w:space="0" w:color="auto"/>
        <w:right w:val="none" w:sz="0" w:space="0" w:color="auto"/>
      </w:divBdr>
    </w:div>
    <w:div w:id="1662810627">
      <w:bodyDiv w:val="1"/>
      <w:marLeft w:val="0"/>
      <w:marRight w:val="0"/>
      <w:marTop w:val="0"/>
      <w:marBottom w:val="0"/>
      <w:divBdr>
        <w:top w:val="none" w:sz="0" w:space="0" w:color="auto"/>
        <w:left w:val="none" w:sz="0" w:space="0" w:color="auto"/>
        <w:bottom w:val="none" w:sz="0" w:space="0" w:color="auto"/>
        <w:right w:val="none" w:sz="0" w:space="0" w:color="auto"/>
      </w:divBdr>
    </w:div>
    <w:div w:id="1753041439">
      <w:bodyDiv w:val="1"/>
      <w:marLeft w:val="0"/>
      <w:marRight w:val="0"/>
      <w:marTop w:val="0"/>
      <w:marBottom w:val="0"/>
      <w:divBdr>
        <w:top w:val="none" w:sz="0" w:space="0" w:color="auto"/>
        <w:left w:val="none" w:sz="0" w:space="0" w:color="auto"/>
        <w:bottom w:val="none" w:sz="0" w:space="0" w:color="auto"/>
        <w:right w:val="none" w:sz="0" w:space="0" w:color="auto"/>
      </w:divBdr>
    </w:div>
    <w:div w:id="1800956053">
      <w:bodyDiv w:val="1"/>
      <w:marLeft w:val="0"/>
      <w:marRight w:val="0"/>
      <w:marTop w:val="0"/>
      <w:marBottom w:val="0"/>
      <w:divBdr>
        <w:top w:val="none" w:sz="0" w:space="0" w:color="auto"/>
        <w:left w:val="none" w:sz="0" w:space="0" w:color="auto"/>
        <w:bottom w:val="none" w:sz="0" w:space="0" w:color="auto"/>
        <w:right w:val="none" w:sz="0" w:space="0" w:color="auto"/>
      </w:divBdr>
      <w:divsChild>
        <w:div w:id="389811457">
          <w:marLeft w:val="-720"/>
          <w:marRight w:val="0"/>
          <w:marTop w:val="0"/>
          <w:marBottom w:val="0"/>
          <w:divBdr>
            <w:top w:val="none" w:sz="0" w:space="0" w:color="auto"/>
            <w:left w:val="none" w:sz="0" w:space="0" w:color="auto"/>
            <w:bottom w:val="none" w:sz="0" w:space="0" w:color="auto"/>
            <w:right w:val="none" w:sz="0" w:space="0" w:color="auto"/>
          </w:divBdr>
        </w:div>
      </w:divsChild>
    </w:div>
    <w:div w:id="1977225207">
      <w:bodyDiv w:val="1"/>
      <w:marLeft w:val="0"/>
      <w:marRight w:val="0"/>
      <w:marTop w:val="0"/>
      <w:marBottom w:val="0"/>
      <w:divBdr>
        <w:top w:val="none" w:sz="0" w:space="0" w:color="auto"/>
        <w:left w:val="none" w:sz="0" w:space="0" w:color="auto"/>
        <w:bottom w:val="none" w:sz="0" w:space="0" w:color="auto"/>
        <w:right w:val="none" w:sz="0" w:space="0" w:color="auto"/>
      </w:divBdr>
      <w:divsChild>
        <w:div w:id="1569069174">
          <w:marLeft w:val="-720"/>
          <w:marRight w:val="0"/>
          <w:marTop w:val="0"/>
          <w:marBottom w:val="0"/>
          <w:divBdr>
            <w:top w:val="none" w:sz="0" w:space="0" w:color="auto"/>
            <w:left w:val="none" w:sz="0" w:space="0" w:color="auto"/>
            <w:bottom w:val="none" w:sz="0" w:space="0" w:color="auto"/>
            <w:right w:val="none" w:sz="0" w:space="0" w:color="auto"/>
          </w:divBdr>
        </w:div>
      </w:divsChild>
    </w:div>
    <w:div w:id="2061246483">
      <w:bodyDiv w:val="1"/>
      <w:marLeft w:val="0"/>
      <w:marRight w:val="0"/>
      <w:marTop w:val="0"/>
      <w:marBottom w:val="0"/>
      <w:divBdr>
        <w:top w:val="none" w:sz="0" w:space="0" w:color="auto"/>
        <w:left w:val="none" w:sz="0" w:space="0" w:color="auto"/>
        <w:bottom w:val="none" w:sz="0" w:space="0" w:color="auto"/>
        <w:right w:val="none" w:sz="0" w:space="0" w:color="auto"/>
      </w:divBdr>
      <w:divsChild>
        <w:div w:id="497382731">
          <w:marLeft w:val="-720"/>
          <w:marRight w:val="0"/>
          <w:marTop w:val="0"/>
          <w:marBottom w:val="0"/>
          <w:divBdr>
            <w:top w:val="none" w:sz="0" w:space="0" w:color="auto"/>
            <w:left w:val="none" w:sz="0" w:space="0" w:color="auto"/>
            <w:bottom w:val="none" w:sz="0" w:space="0" w:color="auto"/>
            <w:right w:val="none" w:sz="0" w:space="0" w:color="auto"/>
          </w:divBdr>
        </w:div>
      </w:divsChild>
    </w:div>
    <w:div w:id="2091583445">
      <w:bodyDiv w:val="1"/>
      <w:marLeft w:val="0"/>
      <w:marRight w:val="0"/>
      <w:marTop w:val="0"/>
      <w:marBottom w:val="0"/>
      <w:divBdr>
        <w:top w:val="none" w:sz="0" w:space="0" w:color="auto"/>
        <w:left w:val="none" w:sz="0" w:space="0" w:color="auto"/>
        <w:bottom w:val="none" w:sz="0" w:space="0" w:color="auto"/>
        <w:right w:val="none" w:sz="0" w:space="0" w:color="auto"/>
      </w:divBdr>
      <w:divsChild>
        <w:div w:id="1757481521">
          <w:marLeft w:val="-720"/>
          <w:marRight w:val="0"/>
          <w:marTop w:val="0"/>
          <w:marBottom w:val="0"/>
          <w:divBdr>
            <w:top w:val="none" w:sz="0" w:space="0" w:color="auto"/>
            <w:left w:val="none" w:sz="0" w:space="0" w:color="auto"/>
            <w:bottom w:val="none" w:sz="0" w:space="0" w:color="auto"/>
            <w:right w:val="none" w:sz="0" w:space="0" w:color="auto"/>
          </w:divBdr>
        </w:div>
      </w:divsChild>
    </w:div>
    <w:div w:id="211629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7538947.2023.22181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38/s41467-021-26036-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C4F6A-4F8C-4DE0-BF42-AAB71574A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16</Pages>
  <Words>6855</Words>
  <Characters>39075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cp:lastModifiedBy>
  <cp:revision>32</cp:revision>
  <dcterms:created xsi:type="dcterms:W3CDTF">2025-10-12T16:57:00Z</dcterms:created>
  <dcterms:modified xsi:type="dcterms:W3CDTF">2025-10-23T07:26:00Z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1fca4a37-7a9b-4272-8f71-fe675c49524b</vt:lpwstr>
  </property>
</Properties>
</file>