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DEEB9" w14:textId="77777777" w:rsidR="002456FC" w:rsidRDefault="00000000">
      <w:pPr>
        <w:spacing w:after="0" w:line="240" w:lineRule="auto"/>
        <w:jc w:val="right"/>
        <w:rPr>
          <w:rFonts w:ascii="Arial" w:eastAsia="Arial" w:hAnsi="Arial" w:cs="Arial"/>
          <w:b/>
          <w:sz w:val="36"/>
          <w:szCs w:val="36"/>
        </w:rPr>
      </w:pPr>
      <w:r>
        <w:rPr>
          <w:rFonts w:ascii="Arial" w:eastAsia="Arial" w:hAnsi="Arial" w:cs="Arial"/>
          <w:b/>
          <w:sz w:val="36"/>
          <w:szCs w:val="36"/>
        </w:rPr>
        <w:t>Original Research Article</w:t>
      </w:r>
    </w:p>
    <w:p w14:paraId="344C2A9D" w14:textId="77777777" w:rsidR="002456FC" w:rsidRDefault="002456FC">
      <w:pPr>
        <w:spacing w:after="0" w:line="240" w:lineRule="auto"/>
        <w:jc w:val="right"/>
        <w:rPr>
          <w:rFonts w:ascii="Arial" w:eastAsia="Arial" w:hAnsi="Arial" w:cs="Arial"/>
          <w:b/>
          <w:sz w:val="36"/>
          <w:szCs w:val="36"/>
        </w:rPr>
      </w:pPr>
    </w:p>
    <w:p w14:paraId="690BA917" w14:textId="77777777" w:rsidR="002456FC" w:rsidRDefault="00000000">
      <w:pPr>
        <w:spacing w:after="0" w:line="240" w:lineRule="auto"/>
        <w:jc w:val="right"/>
        <w:rPr>
          <w:rFonts w:ascii="Arial" w:eastAsia="Arial" w:hAnsi="Arial" w:cs="Arial"/>
          <w:b/>
          <w:color w:val="FF0000"/>
          <w:sz w:val="36"/>
          <w:szCs w:val="36"/>
        </w:rPr>
      </w:pPr>
      <w:r>
        <w:rPr>
          <w:rFonts w:ascii="Arial" w:eastAsia="Arial" w:hAnsi="Arial" w:cs="Arial"/>
          <w:b/>
          <w:color w:val="FF0000"/>
          <w:sz w:val="36"/>
          <w:szCs w:val="36"/>
        </w:rPr>
        <w:t xml:space="preserve">Has Manufacturing Emerged as the Engine of Economic Growth in India? Evidence from the ARDL Bounds Testing Approach </w:t>
      </w:r>
    </w:p>
    <w:p w14:paraId="7F62D24F" w14:textId="77777777" w:rsidR="002456FC" w:rsidRDefault="002456FC">
      <w:pPr>
        <w:spacing w:after="0" w:line="240" w:lineRule="auto"/>
        <w:rPr>
          <w:rFonts w:ascii="Times New Roman" w:eastAsia="Times New Roman" w:hAnsi="Times New Roman" w:cs="Times New Roman"/>
          <w:sz w:val="24"/>
          <w:szCs w:val="24"/>
        </w:rPr>
      </w:pPr>
    </w:p>
    <w:p w14:paraId="0D2B23AD" w14:textId="77777777" w:rsidR="002456FC" w:rsidRDefault="002456FC">
      <w:pPr>
        <w:spacing w:after="0" w:line="240" w:lineRule="auto"/>
        <w:jc w:val="right"/>
        <w:rPr>
          <w:rFonts w:ascii="Times New Roman" w:eastAsia="Times New Roman" w:hAnsi="Times New Roman" w:cs="Times New Roman"/>
          <w:b/>
          <w:sz w:val="24"/>
          <w:szCs w:val="24"/>
        </w:rPr>
      </w:pPr>
    </w:p>
    <w:p w14:paraId="4B046ACE" w14:textId="77777777" w:rsidR="002456FC" w:rsidRDefault="002456FC">
      <w:pPr>
        <w:spacing w:after="0" w:line="240" w:lineRule="auto"/>
        <w:jc w:val="right"/>
        <w:rPr>
          <w:rFonts w:ascii="Times New Roman" w:eastAsia="Times New Roman" w:hAnsi="Times New Roman" w:cs="Times New Roman"/>
          <w:sz w:val="24"/>
          <w:szCs w:val="24"/>
        </w:rPr>
      </w:pPr>
    </w:p>
    <w:p w14:paraId="03823B34" w14:textId="77777777" w:rsidR="002456FC" w:rsidRDefault="00000000">
      <w:pPr>
        <w:spacing w:line="240" w:lineRule="auto"/>
        <w:jc w:val="both"/>
        <w:rPr>
          <w:rFonts w:ascii="Arial" w:eastAsia="Arial" w:hAnsi="Arial" w:cs="Arial"/>
          <w:b/>
        </w:rPr>
      </w:pPr>
      <w:r>
        <w:rPr>
          <w:rFonts w:ascii="Arial" w:eastAsia="Arial" w:hAnsi="Arial" w:cs="Arial"/>
          <w:b/>
        </w:rPr>
        <w:t>ABSTRACT</w:t>
      </w:r>
    </w:p>
    <w:p w14:paraId="3625EF9D" w14:textId="31D23D92" w:rsidR="002456FC" w:rsidRDefault="00000000">
      <w:pPr>
        <w:tabs>
          <w:tab w:val="left" w:pos="4111"/>
        </w:tabs>
        <w:spacing w:line="240" w:lineRule="auto"/>
        <w:jc w:val="both"/>
        <w:rPr>
          <w:rFonts w:ascii="Arial" w:eastAsia="Arial" w:hAnsi="Arial" w:cs="Arial"/>
          <w:b/>
          <w:color w:val="FF0000"/>
          <w:sz w:val="20"/>
          <w:szCs w:val="20"/>
        </w:rPr>
      </w:pPr>
      <w:bookmarkStart w:id="0" w:name="_luqpm2a3navb" w:colFirst="0" w:colLast="0"/>
      <w:bookmarkEnd w:id="0"/>
      <w:r>
        <w:rPr>
          <w:rFonts w:ascii="Arial" w:eastAsia="Arial" w:hAnsi="Arial" w:cs="Arial"/>
          <w:color w:val="FF0000"/>
          <w:sz w:val="20"/>
          <w:szCs w:val="20"/>
        </w:rPr>
        <w:t xml:space="preserve">Agricultural, manufacturing and service sectors are major pillars of India’s </w:t>
      </w:r>
      <w:r w:rsidR="00B74B95">
        <w:rPr>
          <w:rFonts w:ascii="Arial" w:eastAsia="Arial" w:hAnsi="Arial" w:cs="Arial"/>
          <w:color w:val="FF0000"/>
          <w:sz w:val="20"/>
          <w:szCs w:val="20"/>
        </w:rPr>
        <w:t>econom</w:t>
      </w:r>
      <w:r w:rsidR="0087532D">
        <w:rPr>
          <w:rFonts w:ascii="Arial" w:eastAsia="Arial" w:hAnsi="Arial" w:cs="Arial"/>
          <w:color w:val="FF0000"/>
          <w:sz w:val="20"/>
          <w:szCs w:val="20"/>
        </w:rPr>
        <w:t>y</w:t>
      </w:r>
      <w:r>
        <w:rPr>
          <w:rFonts w:ascii="Arial" w:eastAsia="Arial" w:hAnsi="Arial" w:cs="Arial"/>
          <w:color w:val="FF0000"/>
          <w:sz w:val="20"/>
          <w:szCs w:val="20"/>
        </w:rPr>
        <w:t>, contributing to employment, innovation, food security and trade. The contribution of the agricultural sector to India’s GDP stands at 18.2 per cent in comparison to 17 per cent and 55 per cent of the contribution made by manufacturing and service sectors, respectively.</w:t>
      </w:r>
      <w:r>
        <w:rPr>
          <w:rFonts w:ascii="Arial" w:eastAsia="Arial" w:hAnsi="Arial" w:cs="Arial"/>
          <w:sz w:val="20"/>
          <w:szCs w:val="20"/>
        </w:rPr>
        <w:t xml:space="preserve"> </w:t>
      </w:r>
      <w:r>
        <w:rPr>
          <w:rFonts w:ascii="Arial" w:eastAsia="Arial" w:hAnsi="Arial" w:cs="Arial"/>
          <w:color w:val="FF0000"/>
          <w:sz w:val="20"/>
          <w:szCs w:val="20"/>
        </w:rPr>
        <w:t xml:space="preserve">The growth of these three sectors has driven structural changes in the Indian economy, highlighting the need to understand the contribution of each sector in economic growth in India. Moreover, early research has undermined the role of manufacturing sector as a key contributor in </w:t>
      </w:r>
      <w:r w:rsidR="00E057C2">
        <w:rPr>
          <w:rFonts w:ascii="Arial" w:eastAsia="Arial" w:hAnsi="Arial" w:cs="Arial"/>
          <w:color w:val="FF0000"/>
          <w:sz w:val="20"/>
          <w:szCs w:val="20"/>
        </w:rPr>
        <w:t xml:space="preserve">India’s </w:t>
      </w:r>
      <w:r>
        <w:rPr>
          <w:rFonts w:ascii="Arial" w:eastAsia="Arial" w:hAnsi="Arial" w:cs="Arial"/>
          <w:color w:val="FF0000"/>
          <w:sz w:val="20"/>
          <w:szCs w:val="20"/>
        </w:rPr>
        <w:t xml:space="preserve">economic growth, indicating a gap in the literature. </w:t>
      </w:r>
      <w:r>
        <w:rPr>
          <w:rFonts w:ascii="Arial" w:eastAsia="Arial" w:hAnsi="Arial" w:cs="Arial"/>
          <w:sz w:val="20"/>
          <w:szCs w:val="20"/>
        </w:rPr>
        <w:t>This paper attempts to find out the key drivers of economic growth of India out of three sectors of the economy - agriculture, manufacturing and service.</w:t>
      </w:r>
      <w:r>
        <w:t xml:space="preserve"> </w:t>
      </w:r>
      <w:r>
        <w:rPr>
          <w:rFonts w:ascii="Arial" w:eastAsia="Arial" w:hAnsi="Arial" w:cs="Arial"/>
          <w:sz w:val="20"/>
          <w:szCs w:val="20"/>
        </w:rPr>
        <w:t xml:space="preserve">To achieve this objective, the study employs the ARDL bounds testing approach using annual data spanning from 1960 to 2023. In the ARDL model, real GDP is taken as the dependent variable, while the shares of agriculture, manufacturing, and service sectors in GDP are considered as the main independent variables. Additionally, five control variables are used. These are: government expenditure; gross capital formation, inflation, trade openness and population growth rate. The results of the ARDL bounds test confirm the existence of a long-run relationship between India’s real GDP and the explanatory variables. The findings further reveal that gross capital formation, trade openness and government expenditure exert positive and significant impact on economic growth, whereas the population growth and inflation exert negative and significant effect on economic growth. The most notable result is that the coefficient of the service sector’s share in GDP is positive but statistically insignificant, suggesting that the service sector has reached a level of saturation and no longer serves as a major driver of India’s economic growth. In contrast, the manufacturing sector’s share in GDP shows a positive and significant impact on economic growth, indicating that manufacturing has emerged as the main engine of economic growth of India in the current context. Similarly, the impact agricultural sector’s share </w:t>
      </w:r>
      <w:r w:rsidR="00A57975">
        <w:rPr>
          <w:rFonts w:ascii="Arial" w:eastAsia="Arial" w:hAnsi="Arial" w:cs="Arial"/>
          <w:sz w:val="20"/>
          <w:szCs w:val="20"/>
        </w:rPr>
        <w:t xml:space="preserve">on economic growth </w:t>
      </w:r>
      <w:r>
        <w:rPr>
          <w:rFonts w:ascii="Arial" w:eastAsia="Arial" w:hAnsi="Arial" w:cs="Arial"/>
          <w:sz w:val="20"/>
          <w:szCs w:val="20"/>
        </w:rPr>
        <w:t xml:space="preserve">is also positive and significant, highlighting its renewed importance as a growth driver, particularly in the post-COVID-19 period. Thus, the study suggests that among the three sectors of Indian economy, the effect of manufacturing sector on economic growth is the highest, therefore it can be considered as engine of </w:t>
      </w:r>
      <w:r w:rsidR="00A57975">
        <w:rPr>
          <w:rFonts w:ascii="Arial" w:eastAsia="Arial" w:hAnsi="Arial" w:cs="Arial"/>
          <w:sz w:val="20"/>
          <w:szCs w:val="20"/>
        </w:rPr>
        <w:t xml:space="preserve">economic growth of </w:t>
      </w:r>
      <w:r>
        <w:rPr>
          <w:rFonts w:ascii="Arial" w:eastAsia="Arial" w:hAnsi="Arial" w:cs="Arial"/>
          <w:sz w:val="20"/>
          <w:szCs w:val="20"/>
        </w:rPr>
        <w:t>India, followed by agriculture sector.</w:t>
      </w:r>
      <w:r>
        <w:rPr>
          <w:rFonts w:ascii="Arial" w:eastAsia="Arial" w:hAnsi="Arial" w:cs="Arial"/>
          <w:color w:val="FF0000"/>
          <w:sz w:val="20"/>
          <w:szCs w:val="20"/>
        </w:rPr>
        <w:t xml:space="preserve"> As the manufacturing sector has the major contribution</w:t>
      </w:r>
      <w:r w:rsidR="00A57975">
        <w:rPr>
          <w:rFonts w:ascii="Arial" w:eastAsia="Arial" w:hAnsi="Arial" w:cs="Arial"/>
          <w:color w:val="FF0000"/>
          <w:sz w:val="20"/>
          <w:szCs w:val="20"/>
        </w:rPr>
        <w:t xml:space="preserve"> in economic </w:t>
      </w:r>
      <w:proofErr w:type="gramStart"/>
      <w:r w:rsidR="00A57975">
        <w:rPr>
          <w:rFonts w:ascii="Arial" w:eastAsia="Arial" w:hAnsi="Arial" w:cs="Arial"/>
          <w:color w:val="FF0000"/>
          <w:sz w:val="20"/>
          <w:szCs w:val="20"/>
        </w:rPr>
        <w:t xml:space="preserve">growth </w:t>
      </w:r>
      <w:r>
        <w:rPr>
          <w:rFonts w:ascii="Arial" w:eastAsia="Arial" w:hAnsi="Arial" w:cs="Arial"/>
          <w:color w:val="FF0000"/>
          <w:sz w:val="20"/>
          <w:szCs w:val="20"/>
        </w:rPr>
        <w:t>,</w:t>
      </w:r>
      <w:proofErr w:type="gramEnd"/>
      <w:r>
        <w:rPr>
          <w:rFonts w:ascii="Arial" w:eastAsia="Arial" w:hAnsi="Arial" w:cs="Arial"/>
          <w:color w:val="FF0000"/>
          <w:sz w:val="20"/>
          <w:szCs w:val="20"/>
        </w:rPr>
        <w:t xml:space="preserve"> it is recommended that the government should focus on efficiently implementing policies such as Make in India and Startup India to strengthen this sector.</w:t>
      </w:r>
    </w:p>
    <w:p w14:paraId="68663CF0" w14:textId="77777777" w:rsidR="002456FC" w:rsidRDefault="00000000">
      <w:pPr>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r>
      <w:r>
        <w:rPr>
          <w:rFonts w:ascii="Times New Roman" w:eastAsia="Times New Roman" w:hAnsi="Times New Roman" w:cs="Times New Roman"/>
          <w:i/>
          <w:sz w:val="24"/>
          <w:szCs w:val="24"/>
        </w:rPr>
        <w:br/>
      </w:r>
      <w:r>
        <w:rPr>
          <w:rFonts w:ascii="Arial" w:eastAsia="Arial" w:hAnsi="Arial" w:cs="Arial"/>
          <w:i/>
          <w:sz w:val="20"/>
          <w:szCs w:val="20"/>
        </w:rPr>
        <w:t>Keywords:  Agriculture, ARDL, ECM, Economic Growth, Manufacturing, Service.</w:t>
      </w:r>
    </w:p>
    <w:p w14:paraId="353CBA66" w14:textId="77777777" w:rsidR="002456FC" w:rsidRPr="007457B4" w:rsidRDefault="00000000">
      <w:pPr>
        <w:spacing w:after="0" w:line="240" w:lineRule="auto"/>
        <w:jc w:val="both"/>
        <w:rPr>
          <w:rFonts w:ascii="Arial" w:eastAsia="Arial" w:hAnsi="Arial" w:cs="Arial"/>
          <w:i/>
          <w:sz w:val="20"/>
          <w:szCs w:val="20"/>
          <w:lang w:val="pt-BR"/>
        </w:rPr>
      </w:pPr>
      <w:r w:rsidRPr="007457B4">
        <w:rPr>
          <w:rFonts w:ascii="Arial" w:eastAsia="Arial" w:hAnsi="Arial" w:cs="Arial"/>
          <w:i/>
          <w:sz w:val="20"/>
          <w:szCs w:val="20"/>
          <w:lang w:val="pt-BR"/>
        </w:rPr>
        <w:t>JEL Classification: Q10, C22, C32, O47, Q10, L60, L80.</w:t>
      </w:r>
    </w:p>
    <w:p w14:paraId="75C7B484" w14:textId="77777777" w:rsidR="002456FC" w:rsidRPr="007457B4" w:rsidRDefault="002456FC">
      <w:pPr>
        <w:spacing w:after="0" w:line="240" w:lineRule="auto"/>
        <w:jc w:val="right"/>
        <w:rPr>
          <w:rFonts w:ascii="Times New Roman" w:eastAsia="Times New Roman" w:hAnsi="Times New Roman" w:cs="Times New Roman"/>
          <w:sz w:val="24"/>
          <w:szCs w:val="24"/>
          <w:lang w:val="pt-BR"/>
        </w:rPr>
      </w:pPr>
    </w:p>
    <w:p w14:paraId="09652783" w14:textId="77777777" w:rsidR="002456FC" w:rsidRPr="007457B4" w:rsidRDefault="002456FC">
      <w:pPr>
        <w:spacing w:after="0" w:line="240" w:lineRule="auto"/>
        <w:rPr>
          <w:rFonts w:ascii="Times New Roman" w:eastAsia="Times New Roman" w:hAnsi="Times New Roman" w:cs="Times New Roman"/>
          <w:sz w:val="24"/>
          <w:szCs w:val="24"/>
          <w:lang w:val="pt-BR"/>
        </w:rPr>
      </w:pPr>
    </w:p>
    <w:p w14:paraId="08A9944D" w14:textId="77777777" w:rsidR="002456FC" w:rsidRPr="007457B4" w:rsidRDefault="002456FC">
      <w:pPr>
        <w:spacing w:after="0" w:line="240" w:lineRule="auto"/>
        <w:jc w:val="right"/>
        <w:rPr>
          <w:rFonts w:ascii="Times New Roman" w:eastAsia="Times New Roman" w:hAnsi="Times New Roman" w:cs="Times New Roman"/>
          <w:b/>
          <w:sz w:val="32"/>
          <w:szCs w:val="32"/>
          <w:lang w:val="pt-BR"/>
        </w:rPr>
      </w:pPr>
    </w:p>
    <w:p w14:paraId="6CAAFAED" w14:textId="77777777" w:rsidR="002456FC" w:rsidRPr="007457B4" w:rsidRDefault="002456FC">
      <w:pPr>
        <w:spacing w:after="0" w:line="240" w:lineRule="auto"/>
        <w:jc w:val="right"/>
        <w:rPr>
          <w:rFonts w:ascii="Times New Roman" w:eastAsia="Times New Roman" w:hAnsi="Times New Roman" w:cs="Times New Roman"/>
          <w:b/>
          <w:sz w:val="32"/>
          <w:szCs w:val="32"/>
          <w:lang w:val="pt-BR"/>
        </w:rPr>
      </w:pPr>
    </w:p>
    <w:p w14:paraId="766955B3" w14:textId="77777777" w:rsidR="002456FC" w:rsidRPr="007457B4" w:rsidRDefault="002456FC">
      <w:pPr>
        <w:spacing w:after="0" w:line="240" w:lineRule="auto"/>
        <w:jc w:val="right"/>
        <w:rPr>
          <w:rFonts w:ascii="Times New Roman" w:eastAsia="Times New Roman" w:hAnsi="Times New Roman" w:cs="Times New Roman"/>
          <w:b/>
          <w:sz w:val="32"/>
          <w:szCs w:val="32"/>
          <w:lang w:val="pt-BR"/>
        </w:rPr>
      </w:pPr>
    </w:p>
    <w:p w14:paraId="42099AC1" w14:textId="77777777" w:rsidR="002456FC" w:rsidRPr="007457B4" w:rsidRDefault="002456FC">
      <w:pPr>
        <w:spacing w:after="0" w:line="240" w:lineRule="auto"/>
        <w:jc w:val="right"/>
        <w:rPr>
          <w:rFonts w:ascii="Times New Roman" w:eastAsia="Times New Roman" w:hAnsi="Times New Roman" w:cs="Times New Roman"/>
          <w:b/>
          <w:sz w:val="32"/>
          <w:szCs w:val="32"/>
          <w:lang w:val="pt-BR"/>
        </w:rPr>
      </w:pPr>
    </w:p>
    <w:p w14:paraId="0582B928" w14:textId="77777777" w:rsidR="002456FC" w:rsidRPr="007457B4" w:rsidRDefault="002456FC">
      <w:pPr>
        <w:spacing w:after="0" w:line="240" w:lineRule="auto"/>
        <w:jc w:val="right"/>
        <w:rPr>
          <w:rFonts w:ascii="Times New Roman" w:eastAsia="Times New Roman" w:hAnsi="Times New Roman" w:cs="Times New Roman"/>
          <w:b/>
          <w:sz w:val="32"/>
          <w:szCs w:val="32"/>
          <w:lang w:val="pt-BR"/>
        </w:rPr>
      </w:pPr>
    </w:p>
    <w:p w14:paraId="0305DB3F" w14:textId="77777777" w:rsidR="002456FC" w:rsidRPr="007457B4" w:rsidRDefault="002456FC">
      <w:pPr>
        <w:spacing w:line="360" w:lineRule="auto"/>
        <w:jc w:val="both"/>
        <w:rPr>
          <w:rFonts w:ascii="Arial" w:eastAsia="Arial" w:hAnsi="Arial" w:cs="Arial"/>
          <w:b/>
          <w:lang w:val="pt-BR"/>
        </w:rPr>
      </w:pPr>
    </w:p>
    <w:p w14:paraId="12B8BDB5" w14:textId="77777777" w:rsidR="002456FC" w:rsidRDefault="00000000">
      <w:pPr>
        <w:spacing w:line="360" w:lineRule="auto"/>
        <w:jc w:val="both"/>
        <w:rPr>
          <w:rFonts w:ascii="Arial" w:eastAsia="Arial" w:hAnsi="Arial" w:cs="Arial"/>
          <w:b/>
        </w:rPr>
      </w:pPr>
      <w:r>
        <w:rPr>
          <w:rFonts w:ascii="Arial" w:eastAsia="Arial" w:hAnsi="Arial" w:cs="Arial"/>
          <w:b/>
        </w:rPr>
        <w:lastRenderedPageBreak/>
        <w:t>1. INTRODUCTION</w:t>
      </w:r>
    </w:p>
    <w:p w14:paraId="5452769D" w14:textId="41110EF8" w:rsidR="002456FC" w:rsidRDefault="00000000">
      <w:pPr>
        <w:spacing w:line="240" w:lineRule="auto"/>
        <w:jc w:val="both"/>
        <w:rPr>
          <w:rFonts w:ascii="Arial" w:eastAsia="Arial" w:hAnsi="Arial" w:cs="Arial"/>
          <w:sz w:val="20"/>
          <w:szCs w:val="20"/>
        </w:rPr>
      </w:pPr>
      <w:bookmarkStart w:id="1" w:name="_t4srgvcnkyhq" w:colFirst="0" w:colLast="0"/>
      <w:bookmarkEnd w:id="1"/>
      <w:r>
        <w:rPr>
          <w:rFonts w:ascii="Arial" w:eastAsia="Arial" w:hAnsi="Arial" w:cs="Arial"/>
          <w:sz w:val="20"/>
          <w:szCs w:val="20"/>
        </w:rPr>
        <w:t>Agricultur</w:t>
      </w:r>
      <w:r w:rsidR="002C5857">
        <w:rPr>
          <w:rFonts w:ascii="Arial" w:eastAsia="Arial" w:hAnsi="Arial" w:cs="Arial"/>
          <w:sz w:val="20"/>
          <w:szCs w:val="20"/>
        </w:rPr>
        <w:t>al</w:t>
      </w:r>
      <w:r>
        <w:rPr>
          <w:rFonts w:ascii="Arial" w:eastAsia="Arial" w:hAnsi="Arial" w:cs="Arial"/>
          <w:sz w:val="20"/>
          <w:szCs w:val="20"/>
        </w:rPr>
        <w:t>, manufacturing and service sectors are fundamental pillars of a nation’s econom</w:t>
      </w:r>
      <w:r w:rsidR="00457EBC">
        <w:rPr>
          <w:rFonts w:ascii="Arial" w:eastAsia="Arial" w:hAnsi="Arial" w:cs="Arial"/>
          <w:sz w:val="20"/>
          <w:szCs w:val="20"/>
        </w:rPr>
        <w:t>y.</w:t>
      </w:r>
      <w:r>
        <w:rPr>
          <w:rFonts w:ascii="Arial" w:eastAsia="Arial" w:hAnsi="Arial" w:cs="Arial"/>
          <w:sz w:val="20"/>
          <w:szCs w:val="20"/>
        </w:rPr>
        <w:t xml:space="preserve"> Agriculture ensures food security and provides employment opportunities, while the manufacturing sector drives job creation, innovation and international trade. In developing countries, manufacturing is often prioritized as a key pathway to achieving higher and more sustainable economic growth.</w:t>
      </w:r>
      <w:r>
        <w:t xml:space="preserve"> </w:t>
      </w:r>
      <w:r>
        <w:rPr>
          <w:rFonts w:ascii="Arial" w:eastAsia="Arial" w:hAnsi="Arial" w:cs="Arial"/>
          <w:sz w:val="20"/>
          <w:szCs w:val="20"/>
        </w:rPr>
        <w:t>Although the global economy is increasingly service-oriented, manufacturing continues to play a vital role by enhancing productivity, fostering technological advancement, and generating employment. Achieving a balance between economic expansion, environmental sustainability, and technological adaptation is essential for long-term development.</w:t>
      </w:r>
      <w:r>
        <w:t xml:space="preserve"> </w:t>
      </w:r>
      <w:r>
        <w:rPr>
          <w:rFonts w:ascii="Arial" w:eastAsia="Arial" w:hAnsi="Arial" w:cs="Arial"/>
          <w:sz w:val="20"/>
          <w:szCs w:val="20"/>
        </w:rPr>
        <w:t xml:space="preserve">Manufacturing remains a crucial engine of economic growth, as evidenced by the positive relationship between industrialization and per capita income in developing economies. With its higher productivity levels, the manufacturing sector facilitates structural transformation by enabling a shift of resources from agriculture to industry. Moreover, it contributes to capital formation, reinforcing its role as a central driver of sustained economic progress. Economies of scale are more readily attainable in the industrial sector than in agriculture or services, as noted by Kaldor (1966 and 1967). Additionally, the manufacturing industry offers unique prospects for both embodied and disembodied technical advancements, as highlighted by Cornwall (1977). Technological innovation often begins in the manufacturing sector and subsequently spreads to other sectors, including the services sector. Manufacturing also exhibits more connections and spillover effects than agriculture. The direct forward and backward links that exist across different sectors are known as "linkage effects," and they result in positive externalities for investments made in those sectors. The disembodied knowledge that spreads across industries because of investments in technology and knowledge is known as spillover effect. The manufacturing sector is known for its strong linkages and spillover effects, positively influencing other sectors of the economy (Hirschman, 1958). </w:t>
      </w:r>
    </w:p>
    <w:p w14:paraId="7A9D35CE" w14:textId="77777777" w:rsidR="002456FC" w:rsidRDefault="00000000">
      <w:pPr>
        <w:spacing w:line="240" w:lineRule="auto"/>
        <w:jc w:val="both"/>
        <w:rPr>
          <w:rFonts w:ascii="Arial" w:eastAsia="Arial" w:hAnsi="Arial" w:cs="Arial"/>
          <w:sz w:val="20"/>
          <w:szCs w:val="20"/>
        </w:rPr>
      </w:pPr>
      <w:r>
        <w:rPr>
          <w:rFonts w:ascii="Arial" w:eastAsia="Arial" w:hAnsi="Arial" w:cs="Arial"/>
          <w:color w:val="000000"/>
          <w:sz w:val="20"/>
          <w:szCs w:val="20"/>
        </w:rPr>
        <w:t xml:space="preserve">Deep structural changes to an economy typically accompany economic growth and development (Lewis, 1954; Kuznets and Murphy, 1966). According to McMillan and Rodrik (2011), early research that distinguished between modern manufacturing and agricultural sectors found that worker reallocation from agricultural sector to manufacturing is necessary for productivity growth. During this period share of agriculture in the GDP as well as employment has declined. In this setting, it has long been acknowledged (see, for example, by Kaldor, 1996) how important the manufacturing sector is as an engine of economic growth. The "engine of growth hypothesis" states that the unique features of the manufacturing sector account for the relationship between per capita GDP and its share in GDP (Pacheco-Lopez ´ and Thirlwall, 2014; Szirmai and </w:t>
      </w:r>
      <w:proofErr w:type="spellStart"/>
      <w:r>
        <w:rPr>
          <w:rFonts w:ascii="Arial" w:eastAsia="Arial" w:hAnsi="Arial" w:cs="Arial"/>
          <w:color w:val="000000"/>
          <w:sz w:val="20"/>
          <w:szCs w:val="20"/>
        </w:rPr>
        <w:t>Verspagen</w:t>
      </w:r>
      <w:proofErr w:type="spellEnd"/>
      <w:r>
        <w:rPr>
          <w:rFonts w:ascii="Arial" w:eastAsia="Arial" w:hAnsi="Arial" w:cs="Arial"/>
          <w:color w:val="000000"/>
          <w:sz w:val="20"/>
          <w:szCs w:val="20"/>
        </w:rPr>
        <w:t>, 2015). Among these traits are the manufacturing sector's comparatively high productivity levels in contrast to the agricultural and service sectors (Fei and Ranis, 1964).</w:t>
      </w:r>
    </w:p>
    <w:p w14:paraId="7C2618B1" w14:textId="77777777" w:rsidR="002456FC" w:rsidRDefault="00000000">
      <w:pPr>
        <w:spacing w:line="240" w:lineRule="auto"/>
        <w:jc w:val="both"/>
        <w:rPr>
          <w:rFonts w:ascii="Arial" w:eastAsia="Arial" w:hAnsi="Arial" w:cs="Arial"/>
          <w:sz w:val="20"/>
          <w:szCs w:val="20"/>
        </w:rPr>
      </w:pPr>
      <w:r>
        <w:rPr>
          <w:rFonts w:ascii="Arial" w:eastAsia="Arial" w:hAnsi="Arial" w:cs="Arial"/>
          <w:sz w:val="20"/>
          <w:szCs w:val="20"/>
        </w:rPr>
        <w:t>The services sector plays a vital role in promoting economic growth by diversifying the industrial base and generating employment opportunities. Its relatively low capital requirements and high adaptability allow new enterprises to enter markets with ease. However, the sector also faces challenges such as uneven productivity, income inequality, and a strong dependence on human capital. Despite these challenges, the inherent flexibility of the services sector enables it to respond swiftly to market fluctuations and technological advancements, thereby sustaining growth in an increasingly dynamic global economy.</w:t>
      </w:r>
    </w:p>
    <w:p w14:paraId="5C8E3E0D" w14:textId="77777777" w:rsidR="002456FC" w:rsidRDefault="00000000">
      <w:pPr>
        <w:spacing w:line="240" w:lineRule="auto"/>
        <w:jc w:val="both"/>
        <w:rPr>
          <w:rFonts w:ascii="Arial" w:eastAsia="Arial" w:hAnsi="Arial" w:cs="Arial"/>
          <w:sz w:val="20"/>
          <w:szCs w:val="20"/>
        </w:rPr>
      </w:pPr>
      <w:r>
        <w:rPr>
          <w:rFonts w:ascii="Arial" w:eastAsia="Arial" w:hAnsi="Arial" w:cs="Arial"/>
          <w:sz w:val="20"/>
          <w:szCs w:val="20"/>
        </w:rPr>
        <w:t>Since the 1990s, India’s economy has witnessed rapid growth, driven by the expansion of the services sector, rising industrial output, and deeper global integration. Despite persistent challenges such as economic inequality, inadequate infrastructure, and environmental concerns, the country has maintained a strong development trajectory. Agriculture, employing about 42.3 per cent of the population, contributes 18.2 per cent to GDP and has recorded an average annual growth rate of 4.18 per cent over the past five years. The manufacturing sector, which generates diverse employment opportunities, has grown at an average rate of 8.2 per cent annually. However, its contribution to GDP is 17%, that remains smaller than that of the agricultural and services sectors, limiting its role as the primary growth driver. In contrast, the services sector, accounting for nearly 55 per cent of GDP, has experienced rapid expansion, particularly in information technology, banking, telecommunications, and hospitality. Nevertheless, it continues to face challenges related to inadequate infrastructure, regulatory constraints, and the need for continuous workforce upskilling.</w:t>
      </w:r>
    </w:p>
    <w:p w14:paraId="57EF6D63" w14:textId="51115A22" w:rsidR="002456FC" w:rsidRDefault="00000000">
      <w:pPr>
        <w:pBdr>
          <w:top w:val="nil"/>
          <w:left w:val="nil"/>
          <w:bottom w:val="nil"/>
          <w:right w:val="nil"/>
          <w:between w:val="nil"/>
        </w:pBdr>
        <w:spacing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On the other hand, India's manufacturing industry has historically contributed little to value-added and employment, and it has not grown significantly over time. This pattern is consistent with findings from other developing countries but differs significantly from developed countries. However, there has been </w:t>
      </w:r>
      <w:r>
        <w:rPr>
          <w:rFonts w:ascii="Arial" w:eastAsia="Arial" w:hAnsi="Arial" w:cs="Arial"/>
          <w:color w:val="000000"/>
          <w:sz w:val="20"/>
          <w:szCs w:val="20"/>
        </w:rPr>
        <w:lastRenderedPageBreak/>
        <w:t xml:space="preserve">a considerable shifting of labour from agriculture to the service sector (Rodrik, 2014; </w:t>
      </w:r>
      <w:r>
        <w:rPr>
          <w:rFonts w:ascii="Arial" w:eastAsia="Arial" w:hAnsi="Arial" w:cs="Arial"/>
          <w:color w:val="000000"/>
          <w:sz w:val="20"/>
          <w:szCs w:val="20"/>
          <w:highlight w:val="white"/>
        </w:rPr>
        <w:t xml:space="preserve">Kucera &amp; </w:t>
      </w:r>
      <w:proofErr w:type="spellStart"/>
      <w:r>
        <w:rPr>
          <w:rFonts w:ascii="Arial" w:eastAsia="Arial" w:hAnsi="Arial" w:cs="Arial"/>
          <w:color w:val="000000"/>
          <w:sz w:val="20"/>
          <w:szCs w:val="20"/>
          <w:highlight w:val="white"/>
        </w:rPr>
        <w:t>Roncolato</w:t>
      </w:r>
      <w:proofErr w:type="spellEnd"/>
      <w:r>
        <w:rPr>
          <w:rFonts w:ascii="Arial" w:eastAsia="Arial" w:hAnsi="Arial" w:cs="Arial"/>
          <w:color w:val="000000"/>
          <w:sz w:val="20"/>
          <w:szCs w:val="20"/>
        </w:rPr>
        <w:t xml:space="preserve">, 2016, Nayyar, Cruz and Zhu, 2021; Mensah, Soloman, Neil and Adam, 2022). Various studies have shown concern towards pre-mature </w:t>
      </w:r>
      <w:proofErr w:type="spellStart"/>
      <w:r>
        <w:rPr>
          <w:rFonts w:ascii="Arial" w:eastAsia="Arial" w:hAnsi="Arial" w:cs="Arial"/>
          <w:color w:val="000000"/>
          <w:sz w:val="20"/>
          <w:szCs w:val="20"/>
        </w:rPr>
        <w:t>servicification</w:t>
      </w:r>
      <w:proofErr w:type="spellEnd"/>
      <w:r>
        <w:rPr>
          <w:rFonts w:ascii="Arial" w:eastAsia="Arial" w:hAnsi="Arial" w:cs="Arial"/>
          <w:color w:val="000000"/>
          <w:sz w:val="20"/>
          <w:szCs w:val="20"/>
        </w:rPr>
        <w:t xml:space="preserve"> of the Indian economy (e.g., Dasgupta and Singh, 2006; Thomas, 2009; Krishna et al., 2018, and </w:t>
      </w:r>
      <w:r>
        <w:rPr>
          <w:rFonts w:ascii="Arial" w:eastAsia="Arial" w:hAnsi="Arial" w:cs="Arial"/>
          <w:color w:val="000000"/>
          <w:sz w:val="20"/>
          <w:szCs w:val="20"/>
          <w:highlight w:val="white"/>
        </w:rPr>
        <w:t>Lee &amp; McKibbin, 2018</w:t>
      </w:r>
      <w:r>
        <w:rPr>
          <w:rFonts w:ascii="Arial" w:eastAsia="Arial" w:hAnsi="Arial" w:cs="Arial"/>
          <w:color w:val="000000"/>
          <w:sz w:val="20"/>
          <w:szCs w:val="20"/>
        </w:rPr>
        <w:t xml:space="preserve">). India's rapidly growing services sector and stagnant manufacturing sector are consistent with the recent discussion of premature </w:t>
      </w:r>
      <w:proofErr w:type="spellStart"/>
      <w:r>
        <w:rPr>
          <w:rFonts w:ascii="Arial" w:eastAsia="Arial" w:hAnsi="Arial" w:cs="Arial"/>
          <w:color w:val="000000"/>
          <w:sz w:val="20"/>
          <w:szCs w:val="20"/>
        </w:rPr>
        <w:t>servicification</w:t>
      </w:r>
      <w:proofErr w:type="spellEnd"/>
      <w:r>
        <w:rPr>
          <w:rFonts w:ascii="Arial" w:eastAsia="Arial" w:hAnsi="Arial" w:cs="Arial"/>
          <w:color w:val="000000"/>
          <w:sz w:val="20"/>
          <w:szCs w:val="20"/>
        </w:rPr>
        <w:t xml:space="preserve"> and deindustrialisation (Rodrik, 2016 and 2017), which holds that employment shares start to decline in the manufacturing sector before countries become wealthy and that the manufacturing sector has a limited window of opportunity for take-off. </w:t>
      </w:r>
      <w:r>
        <w:rPr>
          <w:rFonts w:ascii="Arial" w:eastAsia="Arial" w:hAnsi="Arial" w:cs="Arial"/>
          <w:color w:val="FF0000"/>
          <w:sz w:val="20"/>
          <w:szCs w:val="20"/>
        </w:rPr>
        <w:t xml:space="preserve">In support of this it is found that, the rise of technology has also increased the demands for high skilled labours, resulting in a decline of employment opportunities among low skilled labours in manufacturing and services sectors (Ghose and Mehta, 2022). Given this, Juhász, Lane &amp; Rodrik (2023) discussed that industrial policies are gaining importance to support structural changes and promote economic growth. As many countries are experiencing </w:t>
      </w:r>
      <w:r w:rsidR="00140DE1">
        <w:rPr>
          <w:rFonts w:ascii="Arial" w:eastAsia="Arial" w:hAnsi="Arial" w:cs="Arial"/>
          <w:color w:val="FF0000"/>
          <w:sz w:val="20"/>
          <w:szCs w:val="20"/>
        </w:rPr>
        <w:t>post-industrial</w:t>
      </w:r>
      <w:r>
        <w:rPr>
          <w:rFonts w:ascii="Arial" w:eastAsia="Arial" w:hAnsi="Arial" w:cs="Arial"/>
          <w:color w:val="FF0000"/>
          <w:sz w:val="20"/>
          <w:szCs w:val="20"/>
        </w:rPr>
        <w:t xml:space="preserve"> transformation leading to employment and output decline in manufacturing sector, the authors suggested the need of effective industrial policies. These policies should characterise effective governance and institutional capacity to drive growth and development. </w:t>
      </w:r>
    </w:p>
    <w:p w14:paraId="174441B0" w14:textId="77777777" w:rsidR="002456FC" w:rsidRDefault="00000000">
      <w:pPr>
        <w:pBdr>
          <w:top w:val="nil"/>
          <w:left w:val="nil"/>
          <w:bottom w:val="nil"/>
          <w:right w:val="nil"/>
          <w:between w:val="nil"/>
        </w:pBdr>
        <w:spacing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Given the significant importance that the manufacturing sector is given in the literature of economic development, these developments have prompted questions regarding the reasons behind India's lack of manufacturing development and the possible ramifications of this. Again, with conflicting results, many studies have examined whether manufacturing sector can be considered as an engine of growth for India. For post 1990s period, Kathuria and Natarajan (2013) conducted study to examine the role of manufacturing sector in GDP growth of India. They regressed the growth rate of state domestic product on manufacturing’s growth rate and concluded that state with faster growing manufacturing sector grew relatively faster. Dasgupta and Singh (2006), in contrast, discovered that India's service sector is expanding more quickly than the country's manufacturing sector, casting doubt on the notion that manufacturing sector is the key driver of economic growth of India. </w:t>
      </w:r>
      <w:proofErr w:type="spellStart"/>
      <w:r>
        <w:rPr>
          <w:rFonts w:ascii="Arial" w:eastAsia="Arial" w:hAnsi="Arial" w:cs="Arial"/>
          <w:color w:val="000000"/>
          <w:sz w:val="20"/>
          <w:szCs w:val="20"/>
        </w:rPr>
        <w:t>Erumban</w:t>
      </w:r>
      <w:proofErr w:type="spellEnd"/>
      <w:r>
        <w:rPr>
          <w:rFonts w:ascii="Arial" w:eastAsia="Arial" w:hAnsi="Arial" w:cs="Arial"/>
          <w:color w:val="000000"/>
          <w:sz w:val="20"/>
          <w:szCs w:val="20"/>
        </w:rPr>
        <w:t xml:space="preserve"> et al. (2019) recently adopted a similar point of view and they argue that this deindustrialisation of the Indian economy may lead to a significant growth of the informal sector in India. </w:t>
      </w:r>
    </w:p>
    <w:p w14:paraId="3098C4CC" w14:textId="77777777" w:rsidR="002456FC" w:rsidRDefault="00000000">
      <w:pPr>
        <w:spacing w:line="240" w:lineRule="auto"/>
        <w:jc w:val="both"/>
        <w:rPr>
          <w:rFonts w:ascii="Arial" w:eastAsia="Arial" w:hAnsi="Arial" w:cs="Arial"/>
          <w:color w:val="000000"/>
          <w:sz w:val="20"/>
          <w:szCs w:val="20"/>
        </w:rPr>
      </w:pPr>
      <w:r>
        <w:rPr>
          <w:rFonts w:ascii="Arial" w:eastAsia="Arial" w:hAnsi="Arial" w:cs="Arial"/>
          <w:color w:val="000000"/>
          <w:sz w:val="20"/>
          <w:szCs w:val="20"/>
        </w:rPr>
        <w:t>This study aims to examine which sector of the Indian economy—agriculture, manufacturing, or services—serves as the key driver of economic growth. Historically, the manufacturing sector has been regarded as the principal engine of progress, particularly during the industrialization phases experienced. Earlier research has consistently underscored the transformative potential of the manufacturing sector, highlighting its role in enhancing productivity, generating employment, and fostering technological advancement. However, more recent studies challenge this traditional view, suggesting that the dominance of manufacturing as the main driver of growth may be diminishing in the context of today’s global economy, which is increasingly characterized by the rise of the services and technology sectors.</w:t>
      </w:r>
    </w:p>
    <w:p w14:paraId="6FC28100" w14:textId="77777777" w:rsidR="002456FC" w:rsidRDefault="00000000">
      <w:pPr>
        <w:spacing w:after="0" w:line="240" w:lineRule="auto"/>
        <w:jc w:val="both"/>
        <w:rPr>
          <w:rFonts w:ascii="Arial" w:eastAsia="Arial" w:hAnsi="Arial" w:cs="Arial"/>
          <w:sz w:val="20"/>
          <w:szCs w:val="20"/>
        </w:rPr>
      </w:pPr>
      <w:r>
        <w:rPr>
          <w:rFonts w:ascii="Arial" w:eastAsia="Arial" w:hAnsi="Arial" w:cs="Arial"/>
          <w:sz w:val="20"/>
          <w:szCs w:val="20"/>
        </w:rPr>
        <w:t>This study employs the Autoregressive Distributed Lag (ARDL) bounds cointegration approach to identify the key drivers of India’s economic growth. The dependent variable is real gross national income (RGNI), while the main independent variables include the share of agriculture in GDP (AGRP), the share of manufacturing in GDP (MAN), and the share of services in GDP (SER). In addition to these, five control variables are also used in the model: government final consumption expenditure as a percentage of GDP (GE), gross capital formation as a percentage of GDP (GCF), inflation rate (INF), trade openness measured as the sum of exports and imports as a percentage of GDP (TOP), and the population growth rate (POP).</w:t>
      </w:r>
    </w:p>
    <w:p w14:paraId="13DBD45D" w14:textId="77777777" w:rsidR="002456FC" w:rsidRDefault="002456FC">
      <w:pPr>
        <w:spacing w:after="0" w:line="240" w:lineRule="auto"/>
        <w:jc w:val="both"/>
        <w:rPr>
          <w:rFonts w:ascii="Arial" w:eastAsia="Arial" w:hAnsi="Arial" w:cs="Arial"/>
          <w:sz w:val="20"/>
          <w:szCs w:val="20"/>
        </w:rPr>
      </w:pPr>
    </w:p>
    <w:p w14:paraId="736EB4E5" w14:textId="77777777" w:rsidR="002456FC" w:rsidRDefault="00000000">
      <w:pPr>
        <w:spacing w:after="0" w:line="240" w:lineRule="auto"/>
        <w:jc w:val="both"/>
        <w:rPr>
          <w:rFonts w:ascii="Arial" w:eastAsia="Arial" w:hAnsi="Arial" w:cs="Arial"/>
          <w:sz w:val="20"/>
          <w:szCs w:val="20"/>
        </w:rPr>
      </w:pPr>
      <w:r>
        <w:rPr>
          <w:rFonts w:ascii="Arial" w:eastAsia="Arial" w:hAnsi="Arial" w:cs="Arial"/>
          <w:sz w:val="20"/>
          <w:szCs w:val="20"/>
        </w:rPr>
        <w:t>The remaining part of paper contains four sections, A selected review of the literature based on time series data is presented in Section 2. In Section 3, the data and technique are covered. The results of the data analysis are presented in Section 4. The last section contains the Conclusion and recommendations.</w:t>
      </w:r>
    </w:p>
    <w:p w14:paraId="791EAF79" w14:textId="77777777" w:rsidR="002456FC" w:rsidRDefault="002456FC">
      <w:pPr>
        <w:spacing w:line="240" w:lineRule="auto"/>
        <w:jc w:val="both"/>
        <w:rPr>
          <w:rFonts w:ascii="Times New Roman" w:eastAsia="Times New Roman" w:hAnsi="Times New Roman" w:cs="Times New Roman"/>
          <w:sz w:val="24"/>
          <w:szCs w:val="24"/>
        </w:rPr>
      </w:pPr>
    </w:p>
    <w:p w14:paraId="293E9F95" w14:textId="77777777" w:rsidR="002456FC" w:rsidRDefault="00000000">
      <w:pPr>
        <w:spacing w:before="280" w:after="280" w:line="360" w:lineRule="auto"/>
        <w:jc w:val="both"/>
        <w:rPr>
          <w:rFonts w:ascii="Arial" w:eastAsia="Arial" w:hAnsi="Arial" w:cs="Arial"/>
          <w:b/>
        </w:rPr>
      </w:pPr>
      <w:r>
        <w:rPr>
          <w:rFonts w:ascii="Arial" w:eastAsia="Arial" w:hAnsi="Arial" w:cs="Arial"/>
          <w:b/>
        </w:rPr>
        <w:t>2. REVIEW OF LITERATURE</w:t>
      </w:r>
    </w:p>
    <w:p w14:paraId="627CDCE3" w14:textId="77777777" w:rsidR="002456FC" w:rsidRDefault="00000000">
      <w:pPr>
        <w:spacing w:before="280" w:after="280" w:line="240" w:lineRule="auto"/>
        <w:jc w:val="both"/>
        <w:rPr>
          <w:rFonts w:ascii="Arial" w:eastAsia="Arial" w:hAnsi="Arial" w:cs="Arial"/>
          <w:sz w:val="20"/>
          <w:szCs w:val="20"/>
        </w:rPr>
      </w:pPr>
      <w:r>
        <w:rPr>
          <w:rFonts w:ascii="Arial" w:eastAsia="Arial" w:hAnsi="Arial" w:cs="Arial"/>
          <w:sz w:val="20"/>
          <w:szCs w:val="20"/>
        </w:rPr>
        <w:t xml:space="preserve">The existing literature on the growth engine hypothesis presents mixed evidence. While earlier studies predominantly identified the manufacturing sector as the primary driver of economic growth, more recent research has shifted attention toward the service sector as a potential growth engine. Emerging evidence indicates that the manufacturing sector continues to play a more significant role in driving </w:t>
      </w:r>
      <w:r>
        <w:rPr>
          <w:rFonts w:ascii="Arial" w:eastAsia="Arial" w:hAnsi="Arial" w:cs="Arial"/>
          <w:sz w:val="20"/>
          <w:szCs w:val="20"/>
        </w:rPr>
        <w:lastRenderedPageBreak/>
        <w:t>growth in developing economies than in developed ones, and its importance has increased in recent years. Both agriculture and industry remain integral components of the economic structure, and understanding their relative contributions offers valuable insights into the complex dynamics of economic growth.</w:t>
      </w:r>
    </w:p>
    <w:p w14:paraId="6B32CE6C" w14:textId="77777777" w:rsidR="002456FC" w:rsidRDefault="00000000">
      <w:pPr>
        <w:spacing w:before="280" w:after="280" w:line="240" w:lineRule="auto"/>
        <w:jc w:val="both"/>
        <w:rPr>
          <w:rFonts w:ascii="Arial" w:eastAsia="Arial" w:hAnsi="Arial" w:cs="Arial"/>
          <w:sz w:val="20"/>
          <w:szCs w:val="20"/>
        </w:rPr>
      </w:pPr>
      <w:r>
        <w:rPr>
          <w:rFonts w:ascii="Arial" w:eastAsia="Arial" w:hAnsi="Arial" w:cs="Arial"/>
          <w:sz w:val="20"/>
          <w:szCs w:val="20"/>
        </w:rPr>
        <w:t xml:space="preserve">Fagerberg and </w:t>
      </w:r>
      <w:proofErr w:type="spellStart"/>
      <w:r>
        <w:rPr>
          <w:rFonts w:ascii="Arial" w:eastAsia="Arial" w:hAnsi="Arial" w:cs="Arial"/>
          <w:sz w:val="20"/>
          <w:szCs w:val="20"/>
        </w:rPr>
        <w:t>Vespagen</w:t>
      </w:r>
      <w:proofErr w:type="spellEnd"/>
      <w:r>
        <w:rPr>
          <w:rFonts w:ascii="Arial" w:eastAsia="Arial" w:hAnsi="Arial" w:cs="Arial"/>
          <w:sz w:val="20"/>
          <w:szCs w:val="20"/>
        </w:rPr>
        <w:t xml:space="preserve"> (1999) conducted their study by regressing real GDP growth on manufacturing growth. When manufacturing growth coefficient is greater than manufacturing sector’s share in GDP, then manufacturing sector can be considered as an engine of economic growth. They found that manufacturing sector has generally no significant effect on economic growth, but it is often a driver of economic growth in countries in East Asia and Latin America. In another study Fagerberg and </w:t>
      </w:r>
      <w:proofErr w:type="spellStart"/>
      <w:r>
        <w:rPr>
          <w:rFonts w:ascii="Arial" w:eastAsia="Arial" w:hAnsi="Arial" w:cs="Arial"/>
          <w:sz w:val="20"/>
          <w:szCs w:val="20"/>
        </w:rPr>
        <w:t>Verspagen</w:t>
      </w:r>
      <w:proofErr w:type="spellEnd"/>
      <w:r>
        <w:rPr>
          <w:rFonts w:ascii="Arial" w:eastAsia="Arial" w:hAnsi="Arial" w:cs="Arial"/>
          <w:sz w:val="20"/>
          <w:szCs w:val="20"/>
        </w:rPr>
        <w:t xml:space="preserve"> (2002) analysed the effects of manufacturing and service shares on economic growth of a sample of 76 countries across three time periods: 1966–1972, 1973–1983, and 1984–1995. They found that before 1973, manufacturing sector contributed far more positively to economic growth than it did afterward. According to the results of this study, the period of 1950–1972 provided unique chances to catch up by absorbing American mass-production manufacturing technology and ICT technologies, so manufacturing sector began to play a bigger role in productivity development after 1973, particularly in the 1990s. These technologies now being used in the service industry and are no longer limited to the manufacturing sector only.</w:t>
      </w:r>
    </w:p>
    <w:p w14:paraId="1725FCE6" w14:textId="77777777" w:rsidR="002456FC" w:rsidRDefault="00000000">
      <w:pPr>
        <w:spacing w:before="280" w:after="280" w:line="240" w:lineRule="auto"/>
        <w:jc w:val="both"/>
        <w:rPr>
          <w:rFonts w:ascii="Arial" w:eastAsia="Arial" w:hAnsi="Arial" w:cs="Arial"/>
          <w:color w:val="FF0000"/>
          <w:sz w:val="20"/>
          <w:szCs w:val="20"/>
        </w:rPr>
      </w:pPr>
      <w:r>
        <w:rPr>
          <w:rFonts w:ascii="Arial" w:eastAsia="Arial" w:hAnsi="Arial" w:cs="Arial"/>
          <w:color w:val="FF0000"/>
          <w:sz w:val="20"/>
          <w:szCs w:val="20"/>
        </w:rPr>
        <w:t>Solanki et al. (2022) investigated the relationship between the financial performance and agricultural exports of agricultural firms and macroeconomic indicators. The study highlighted that the agricultural sector of India has served as a backbone of the country’s economy. The generation of agricultural products for consumption along with earning foreign cash via exports enables the agricultural sector to contribute to India’s economic growth. The findings also revealed that while the other sectors of the country suffered during the COVID-19 pandemic, agricultural sector recorded annual growth rate of 3.4 per cent. However, the broad-based economic expansion of the country has shrunk the contribution of agriculture. Using system Generalized Method of Moments (GMM) models, the findings denoted that the rise in exports has reduced profitability for agricultural sector as return on assets and net profit margins showed negative numbers. This supports the declining financial performance of the sector as well as its contribution to Indian GDP. These results also contradict the large number of studies supporting the positive relationship between economic growth through agricultural exports in various economies such as Tunisia, South Africa, and Nigeria.</w:t>
      </w:r>
    </w:p>
    <w:p w14:paraId="2763BA2E" w14:textId="77777777" w:rsidR="002456FC" w:rsidRDefault="00000000">
      <w:pPr>
        <w:spacing w:line="240" w:lineRule="auto"/>
        <w:jc w:val="both"/>
        <w:rPr>
          <w:rFonts w:ascii="Arial" w:eastAsia="Arial" w:hAnsi="Arial" w:cs="Arial"/>
          <w:sz w:val="20"/>
          <w:szCs w:val="20"/>
        </w:rPr>
      </w:pPr>
      <w:proofErr w:type="spellStart"/>
      <w:r>
        <w:rPr>
          <w:rFonts w:ascii="Arial" w:eastAsia="Arial" w:hAnsi="Arial" w:cs="Arial"/>
          <w:sz w:val="20"/>
          <w:szCs w:val="20"/>
        </w:rPr>
        <w:t>Attiah</w:t>
      </w:r>
      <w:proofErr w:type="spellEnd"/>
      <w:r>
        <w:rPr>
          <w:rFonts w:ascii="Arial" w:eastAsia="Arial" w:hAnsi="Arial" w:cs="Arial"/>
          <w:sz w:val="20"/>
          <w:szCs w:val="20"/>
        </w:rPr>
        <w:t xml:space="preserve"> (2019) examined the contributions of the manufacturing and service sectors to economic growth in developing countries, aiming to determine which sector plays a more significant role in promoting growth during the period 1950–2015 and to derive relevant policy implications. Using a panel regression model with data from 50 countries—comprising 10 developed and 40 developing economies—the study analyzed growth rates and productivity levels across both sectors, assessing their respective impacts on GDP growth. It also evaluated the role of each sector in job creation by examining how changes in sectoral output influenced employment levels in developing economies and compared regional variations in sectoral contributions to economic growth. The findings revealed that both the manufacturing and service sectors are essential to the economic development of developing nations, albeit with differing effects. The manufacturing sector has traditionally been regarded as the primary engine of growth due to its strong potential for productivity gains and export expansion. However, in recent decades, the service sector has emerged as an increasingly important contributor to growth, particularly in countries experiencing a slowdown in industrialization. The study recommended that policymakers adopt a balanced growth strategy that fosters the development of both sectors to ensure sustainable and inclusive economic growth.</w:t>
      </w:r>
    </w:p>
    <w:p w14:paraId="37EA3A26" w14:textId="33B9539A" w:rsidR="002456FC" w:rsidRDefault="00000000">
      <w:pPr>
        <w:spacing w:line="240" w:lineRule="auto"/>
        <w:jc w:val="both"/>
        <w:rPr>
          <w:rFonts w:ascii="Arial" w:eastAsia="Arial" w:hAnsi="Arial" w:cs="Arial"/>
          <w:color w:val="FF0000"/>
          <w:sz w:val="20"/>
          <w:szCs w:val="20"/>
        </w:rPr>
      </w:pPr>
      <w:r>
        <w:rPr>
          <w:rFonts w:ascii="Arial" w:eastAsia="Arial" w:hAnsi="Arial" w:cs="Arial"/>
          <w:color w:val="FF0000"/>
          <w:sz w:val="20"/>
          <w:szCs w:val="20"/>
        </w:rPr>
        <w:t xml:space="preserve">The study by Kucera and </w:t>
      </w:r>
      <w:proofErr w:type="spellStart"/>
      <w:r>
        <w:rPr>
          <w:rFonts w:ascii="Arial" w:eastAsia="Arial" w:hAnsi="Arial" w:cs="Arial"/>
          <w:color w:val="FF0000"/>
          <w:sz w:val="20"/>
          <w:szCs w:val="20"/>
        </w:rPr>
        <w:t>Roncolato</w:t>
      </w:r>
      <w:proofErr w:type="spellEnd"/>
      <w:r>
        <w:rPr>
          <w:rFonts w:ascii="Arial" w:eastAsia="Arial" w:hAnsi="Arial" w:cs="Arial"/>
          <w:color w:val="FF0000"/>
          <w:sz w:val="20"/>
          <w:szCs w:val="20"/>
        </w:rPr>
        <w:t xml:space="preserve"> (2016) examined the interdependence of services and manufacturing sectors in promoting economic growth. It challenged the traditional views of manufacturing sector driving the growth of an economy alone, arguing that services such as finance and information and communication technology (ICT) also have a key role. These services complement the manufacturing sector to enhance productivity and drive growth. Using cross country data, the findings established a </w:t>
      </w:r>
      <w:r w:rsidR="000B6F1B">
        <w:rPr>
          <w:rFonts w:ascii="Arial" w:eastAsia="Arial" w:hAnsi="Arial" w:cs="Arial"/>
          <w:color w:val="FF0000"/>
          <w:sz w:val="20"/>
          <w:szCs w:val="20"/>
        </w:rPr>
        <w:t>two-way</w:t>
      </w:r>
      <w:r>
        <w:rPr>
          <w:rFonts w:ascii="Arial" w:eastAsia="Arial" w:hAnsi="Arial" w:cs="Arial"/>
          <w:color w:val="FF0000"/>
          <w:sz w:val="20"/>
          <w:szCs w:val="20"/>
        </w:rPr>
        <w:t xml:space="preserve"> relationship between the two sectors. It emphasised on the integration of balanced growth strategies for the manufacturing and services sectors are more sustainable for modern economies.</w:t>
      </w:r>
    </w:p>
    <w:p w14:paraId="2FC58990" w14:textId="61DF5AF8" w:rsidR="002456FC" w:rsidRDefault="00000000">
      <w:pPr>
        <w:spacing w:line="240" w:lineRule="auto"/>
        <w:jc w:val="both"/>
        <w:rPr>
          <w:rFonts w:ascii="Arial" w:eastAsia="Arial" w:hAnsi="Arial" w:cs="Arial"/>
          <w:color w:val="FF0000"/>
          <w:sz w:val="20"/>
          <w:szCs w:val="20"/>
        </w:rPr>
      </w:pPr>
      <w:r>
        <w:rPr>
          <w:rFonts w:ascii="Arial" w:eastAsia="Arial" w:hAnsi="Arial" w:cs="Arial"/>
          <w:color w:val="FF0000"/>
          <w:sz w:val="20"/>
          <w:szCs w:val="20"/>
        </w:rPr>
        <w:t xml:space="preserve">In similar regard, Lee &amp; McKibbin (2018) studied the effects of productivity improvements in service sector on economic growth. With the help of dynamic equilibrium model, the authors presented that </w:t>
      </w:r>
      <w:r>
        <w:rPr>
          <w:rFonts w:ascii="Arial" w:eastAsia="Arial" w:hAnsi="Arial" w:cs="Arial"/>
          <w:color w:val="FF0000"/>
          <w:sz w:val="20"/>
          <w:szCs w:val="20"/>
        </w:rPr>
        <w:lastRenderedPageBreak/>
        <w:t xml:space="preserve">increased productivity of services such as distribution, finance, or communication has a </w:t>
      </w:r>
      <w:r w:rsidR="00316631">
        <w:rPr>
          <w:rFonts w:ascii="Arial" w:eastAsia="Arial" w:hAnsi="Arial" w:cs="Arial"/>
          <w:color w:val="FF0000"/>
          <w:sz w:val="20"/>
          <w:szCs w:val="20"/>
        </w:rPr>
        <w:t>spillover effect</w:t>
      </w:r>
      <w:r>
        <w:rPr>
          <w:rFonts w:ascii="Arial" w:eastAsia="Arial" w:hAnsi="Arial" w:cs="Arial"/>
          <w:color w:val="FF0000"/>
          <w:sz w:val="20"/>
          <w:szCs w:val="20"/>
        </w:rPr>
        <w:t xml:space="preserve"> on manufacturing sector. In addition, the findings also highlighted the importance of innovation and policy reforms in driving productivity of services. The study made useful contribution in shifting focus from manufacturing-centric growth towards the recognition of services sector’s role in productivity to sustain long term development in Asian economies. </w:t>
      </w:r>
    </w:p>
    <w:p w14:paraId="483B3746" w14:textId="420A2D9C" w:rsidR="002456FC" w:rsidRDefault="00000000">
      <w:pPr>
        <w:spacing w:line="240" w:lineRule="auto"/>
        <w:jc w:val="both"/>
        <w:rPr>
          <w:rFonts w:ascii="Arial" w:eastAsia="Arial" w:hAnsi="Arial" w:cs="Arial"/>
          <w:sz w:val="20"/>
          <w:szCs w:val="20"/>
        </w:rPr>
      </w:pPr>
      <w:r>
        <w:rPr>
          <w:rFonts w:ascii="Arial" w:eastAsia="Arial" w:hAnsi="Arial" w:cs="Arial"/>
          <w:sz w:val="20"/>
          <w:szCs w:val="20"/>
        </w:rPr>
        <w:t xml:space="preserve">Szirmai (2009) examined the role of the manufacturing sector in driving economic growth in developing countries over the period 1950–2005. The study employed various statistical techniques to analyze the relationship between industrial output and GDP growth, including regression analysis to identify correlations and growth accounting methods to decompose economic growth into contributions from </w:t>
      </w:r>
      <w:r w:rsidR="000B6F1B">
        <w:rPr>
          <w:rFonts w:ascii="Arial" w:eastAsia="Arial" w:hAnsi="Arial" w:cs="Arial"/>
          <w:sz w:val="20"/>
          <w:szCs w:val="20"/>
        </w:rPr>
        <w:t>labour</w:t>
      </w:r>
      <w:r>
        <w:rPr>
          <w:rFonts w:ascii="Arial" w:eastAsia="Arial" w:hAnsi="Arial" w:cs="Arial"/>
          <w:sz w:val="20"/>
          <w:szCs w:val="20"/>
        </w:rPr>
        <w:t>, capital, and productivity improvements. The findings indicated that industrialization has been a major driver of economic growth across many developing economies, though its effectiveness varied significantly depending on country-specific factors. Nations with strong government policies, substantial investments in infrastructure, and better access to technology and education achieved more successful industrialization outcomes. Conversely, inadequate infrastructure, weak governance, and limited investment constrained industrial progress in several regions. The study emphasized that future growth in developing countries will depend on sustained investment in technology, education, and infrastructure, supported by sound economic policies that promote industrial development.</w:t>
      </w:r>
    </w:p>
    <w:p w14:paraId="22C449BB" w14:textId="77777777" w:rsidR="002456FC" w:rsidRDefault="00000000">
      <w:pPr>
        <w:spacing w:line="240" w:lineRule="auto"/>
        <w:jc w:val="both"/>
        <w:rPr>
          <w:rFonts w:ascii="Arial" w:eastAsia="Arial" w:hAnsi="Arial" w:cs="Arial"/>
          <w:color w:val="FF0000"/>
          <w:sz w:val="20"/>
          <w:szCs w:val="20"/>
        </w:rPr>
      </w:pPr>
      <w:r>
        <w:rPr>
          <w:rFonts w:ascii="Arial" w:eastAsia="Arial" w:hAnsi="Arial" w:cs="Arial"/>
          <w:color w:val="FF0000"/>
          <w:sz w:val="20"/>
          <w:szCs w:val="20"/>
        </w:rPr>
        <w:t xml:space="preserve">Goldar et al. (2024) analysed the role played by the service sector in the post reform economic growth of India using Domar weights. The study reported that the Indian economy has experienced a service driven growth since the 1990s, mainly dominated by the business and communication services.  It was evaluated that the consistent growth of the service sector has resulted in continuous acceleration in the growth of GDP of India since 1980s. The subsequent reforms from 1980s such as reduced government bureaucracy and tax exemption on IT products, has strengthened the service sector. The findings indicated that the acceleration of the Indian economy from 1980s to early 2000s has been attributed to the service sector. In addition, this sector also increased employment generation substantially. Therefore, the emergence of services as a dominant sector has played a distinctive role in GDP growth, accounting a record increase from 41 per cent contribution to GDP in 1993 to over 53 per cent in 2018.  </w:t>
      </w:r>
    </w:p>
    <w:p w14:paraId="5F4D417B" w14:textId="77777777" w:rsidR="002456FC" w:rsidRDefault="00000000">
      <w:pPr>
        <w:spacing w:line="240" w:lineRule="auto"/>
        <w:jc w:val="both"/>
        <w:rPr>
          <w:rFonts w:ascii="Arial" w:eastAsia="Arial" w:hAnsi="Arial" w:cs="Arial"/>
          <w:color w:val="FF0000"/>
          <w:sz w:val="20"/>
          <w:szCs w:val="20"/>
        </w:rPr>
      </w:pPr>
      <w:r>
        <w:rPr>
          <w:rFonts w:ascii="Arial" w:eastAsia="Arial" w:hAnsi="Arial" w:cs="Arial"/>
          <w:color w:val="FF0000"/>
          <w:sz w:val="20"/>
          <w:szCs w:val="20"/>
        </w:rPr>
        <w:t>Khan (2024) assessed the influence of remittance inflows on the economic growth of India with the help of nonlinear autoregressive lag model technique. Time series dataset from 1976 to 2021 was utilized to reveal that the service sector has contributed around 50% to the Indian GDP in 2021-22. The short and long-run estimations reflected that the positive shock in remittance inflows resulted in the improvement in economic growth. The availability of money in the form of broad money gives a boost to the services sector. The findings presented that the growth of service sector is statistically significant for India’s economic growth. It indicated that an increase of 1 per cent in the growth of service sector results in an increase of 0.90 per cent in economic growth. Therefore, the study concluded that service sector holds the largest share of GDP in India and any positive changes to the sector has a direct impact on the economic growth. The authors suggested that the Indian government and policy makers should focus on increasing remittance inflows to sustain service growth for overall growth of the economy.</w:t>
      </w:r>
    </w:p>
    <w:p w14:paraId="31D5EE84" w14:textId="77777777" w:rsidR="002456FC" w:rsidRDefault="00000000">
      <w:pPr>
        <w:spacing w:line="240" w:lineRule="auto"/>
        <w:jc w:val="both"/>
        <w:rPr>
          <w:rFonts w:ascii="Arial" w:eastAsia="Arial" w:hAnsi="Arial" w:cs="Arial"/>
          <w:sz w:val="20"/>
          <w:szCs w:val="20"/>
        </w:rPr>
      </w:pPr>
      <w:proofErr w:type="spellStart"/>
      <w:r>
        <w:rPr>
          <w:rFonts w:ascii="Arial" w:eastAsia="Arial" w:hAnsi="Arial" w:cs="Arial"/>
          <w:sz w:val="20"/>
          <w:szCs w:val="20"/>
        </w:rPr>
        <w:t>Katuria</w:t>
      </w:r>
      <w:proofErr w:type="spellEnd"/>
      <w:r>
        <w:rPr>
          <w:rFonts w:ascii="Arial" w:eastAsia="Arial" w:hAnsi="Arial" w:cs="Arial"/>
          <w:sz w:val="20"/>
          <w:szCs w:val="20"/>
        </w:rPr>
        <w:t xml:space="preserve"> and Raj (2013) examined whether the manufacturing sector functions as an engine of economic growth across Indian states. The study regressed the growth rate of state domestic product (SDP) on the growth rate of the manufacturing sector, positing that if the coefficient of the manufacturing sector exceeds its share in SDP, the hypothesis of manufacturing as a growth engine is supported. The results indicate that the manufacturing sector has acted as a key driver of economic growth since the 1990s, although its share in SDP has declined over this period. Interestingly, the findings challenge the notion that productivity growth is driven primarily by economies of scale. The analysis suggests that it is the level of productivity, rather than productivity growth, that drives employment and the quality of total factor productivity. The study concludes that the current pattern of economic growth, without sufficient job creation and improvements in total factor productivity, may not be sustainable across various states.</w:t>
      </w:r>
    </w:p>
    <w:p w14:paraId="772C07D4" w14:textId="77777777" w:rsidR="002456FC" w:rsidRDefault="00000000">
      <w:pPr>
        <w:spacing w:line="240" w:lineRule="auto"/>
        <w:jc w:val="both"/>
        <w:rPr>
          <w:rFonts w:ascii="Arial" w:eastAsia="Arial" w:hAnsi="Arial" w:cs="Arial"/>
          <w:sz w:val="20"/>
          <w:szCs w:val="20"/>
        </w:rPr>
      </w:pPr>
      <w:r>
        <w:rPr>
          <w:rFonts w:ascii="Arial" w:eastAsia="Arial" w:hAnsi="Arial" w:cs="Arial"/>
          <w:sz w:val="20"/>
          <w:szCs w:val="20"/>
        </w:rPr>
        <w:t xml:space="preserve">Chakravarty and Mitra (2009) investigated whether the manufacturing sector remains the primary driver of economic growth in India by analyzing employment trends across various organized sector segments using time series data. The study employed a vector autoregression (VAR) framework, incorporating variance decomposition (VD) and impulse response function (IRF) analyses to understand the interrelationships among sectoral activities. The results indicated that some economic activities are expanding independently of the manufacturing sector. Employment in the informal sector was predicted based on trends in organized or formal sector employment. The study concluded that, while manufacturing contributes to overall economic growth, other sectors—including construction and </w:t>
      </w:r>
      <w:r>
        <w:rPr>
          <w:rFonts w:ascii="Arial" w:eastAsia="Arial" w:hAnsi="Arial" w:cs="Arial"/>
          <w:sz w:val="20"/>
          <w:szCs w:val="20"/>
        </w:rPr>
        <w:lastRenderedPageBreak/>
        <w:t>services—also play a significant role, highlighting the multifaceted nature of growth in the Indian economy.</w:t>
      </w:r>
    </w:p>
    <w:p w14:paraId="6F3553F6" w14:textId="77777777" w:rsidR="002456FC" w:rsidRDefault="00000000">
      <w:pPr>
        <w:spacing w:line="240" w:lineRule="auto"/>
        <w:jc w:val="both"/>
        <w:rPr>
          <w:rFonts w:ascii="Arial" w:eastAsia="Arial" w:hAnsi="Arial" w:cs="Arial"/>
          <w:sz w:val="20"/>
          <w:szCs w:val="20"/>
        </w:rPr>
      </w:pPr>
      <w:proofErr w:type="spellStart"/>
      <w:r>
        <w:rPr>
          <w:rFonts w:ascii="Arial" w:eastAsia="Arial" w:hAnsi="Arial" w:cs="Arial"/>
          <w:sz w:val="20"/>
          <w:szCs w:val="20"/>
        </w:rPr>
        <w:t>Djidonou</w:t>
      </w:r>
      <w:proofErr w:type="spellEnd"/>
      <w:r>
        <w:rPr>
          <w:rFonts w:ascii="Arial" w:eastAsia="Arial" w:hAnsi="Arial" w:cs="Arial"/>
          <w:sz w:val="20"/>
          <w:szCs w:val="20"/>
        </w:rPr>
        <w:t xml:space="preserve"> and Foster-McGregor (2023) examined the factors behind the stagnant growth of India’s manufacturing sector, with a particular focus on the role of the informal economy. The study explored how the large informal sector affects productivity, investment, and growth potential within manufacturing. Using counterfactual analysis, including a modified shift-share approach, the research assessed the extent to which the informal sector contributed to the underperformance of Indian manufacturing during 1980–2011. The findings indicate that the sizable and persistent informal economy significantly constrains manufacturing growth. Low productivity, limited access to capital, and technological gaps in the informal sector impede overall sectoral performance. Furthermore, regulatory complexities and restrictive labour laws incentivize firms to remain informal, limiting their ability to scale and contribute effectively to economic growth. The study recommends structural reforms, such as simplifying regulations, enhancing access to finance, and investing in skill development, to reduce informality and revitalize the manufacturing sector.</w:t>
      </w:r>
    </w:p>
    <w:p w14:paraId="6BE2FF9F" w14:textId="77777777" w:rsidR="002456FC" w:rsidRDefault="00000000">
      <w:pPr>
        <w:pStyle w:val="Heading3"/>
        <w:spacing w:before="280" w:after="280" w:line="360" w:lineRule="auto"/>
        <w:jc w:val="both"/>
        <w:rPr>
          <w:rFonts w:ascii="Arial" w:eastAsia="Arial" w:hAnsi="Arial" w:cs="Arial"/>
          <w:sz w:val="22"/>
          <w:szCs w:val="22"/>
        </w:rPr>
      </w:pPr>
      <w:r>
        <w:rPr>
          <w:rFonts w:ascii="Arial" w:eastAsia="Arial" w:hAnsi="Arial" w:cs="Arial"/>
          <w:sz w:val="22"/>
          <w:szCs w:val="22"/>
        </w:rPr>
        <w:t>2.1 Research Hypotheses</w:t>
      </w:r>
    </w:p>
    <w:p w14:paraId="7E756F51" w14:textId="77777777" w:rsidR="002456FC" w:rsidRDefault="00000000">
      <w:pPr>
        <w:pBdr>
          <w:top w:val="nil"/>
          <w:left w:val="nil"/>
          <w:bottom w:val="nil"/>
          <w:right w:val="nil"/>
          <w:between w:val="nil"/>
        </w:pBdr>
        <w:spacing w:line="240" w:lineRule="auto"/>
        <w:jc w:val="both"/>
        <w:rPr>
          <w:rFonts w:ascii="Arial" w:eastAsia="Arial" w:hAnsi="Arial" w:cs="Arial"/>
          <w:color w:val="000000"/>
          <w:sz w:val="20"/>
          <w:szCs w:val="20"/>
        </w:rPr>
      </w:pPr>
      <w:r>
        <w:rPr>
          <w:rFonts w:ascii="Arial" w:eastAsia="Arial" w:hAnsi="Arial" w:cs="Arial"/>
          <w:color w:val="000000"/>
          <w:sz w:val="20"/>
          <w:szCs w:val="20"/>
        </w:rPr>
        <w:t>Overall, the literature presents a somewhat mixed and at times contradictory picture. Many studies highlight the pivotal role of the manufacturing sector, particularly during 1950–1973 and more recently in developing economies, whereas the service sector’s contribution to GDP has increasingly dominated in advanced economies. Based on a careful interpretation of the engine of growth theory, the following null and alternative hypotheses have been formulated:</w:t>
      </w:r>
    </w:p>
    <w:p w14:paraId="7A3C80AA" w14:textId="77777777" w:rsidR="002456FC" w:rsidRDefault="00000000">
      <w:pPr>
        <w:numPr>
          <w:ilvl w:val="0"/>
          <w:numId w:val="1"/>
        </w:numPr>
        <w:pBdr>
          <w:top w:val="nil"/>
          <w:left w:val="nil"/>
          <w:bottom w:val="nil"/>
          <w:right w:val="nil"/>
          <w:between w:val="nil"/>
        </w:pBdr>
        <w:spacing w:after="0" w:line="240" w:lineRule="auto"/>
        <w:jc w:val="both"/>
        <w:rPr>
          <w:rFonts w:ascii="Arial" w:eastAsia="Arial" w:hAnsi="Arial" w:cs="Arial"/>
          <w:color w:val="FF0000"/>
          <w:sz w:val="20"/>
          <w:szCs w:val="20"/>
        </w:rPr>
      </w:pPr>
      <w:bookmarkStart w:id="2" w:name="_elot45swtmax" w:colFirst="0" w:colLast="0"/>
      <w:bookmarkEnd w:id="2"/>
      <w:r>
        <w:rPr>
          <w:rFonts w:ascii="Arial" w:eastAsia="Arial" w:hAnsi="Arial" w:cs="Arial"/>
          <w:color w:val="FF0000"/>
          <w:sz w:val="20"/>
          <w:szCs w:val="20"/>
        </w:rPr>
        <w:t xml:space="preserve">H0: The manufacturing sector does not have significant effect on the economic growth of India. </w:t>
      </w:r>
    </w:p>
    <w:p w14:paraId="7E20FEE7" w14:textId="77777777" w:rsidR="002456FC" w:rsidRDefault="00000000">
      <w:pPr>
        <w:spacing w:after="0" w:line="240" w:lineRule="auto"/>
        <w:ind w:left="720"/>
        <w:jc w:val="both"/>
        <w:rPr>
          <w:rFonts w:ascii="Arial" w:eastAsia="Arial" w:hAnsi="Arial" w:cs="Arial"/>
          <w:color w:val="FF0000"/>
          <w:sz w:val="20"/>
          <w:szCs w:val="20"/>
        </w:rPr>
      </w:pPr>
      <w:r>
        <w:rPr>
          <w:rFonts w:ascii="Arial" w:eastAsia="Arial" w:hAnsi="Arial" w:cs="Arial"/>
          <w:color w:val="FF0000"/>
          <w:sz w:val="20"/>
          <w:szCs w:val="20"/>
        </w:rPr>
        <w:t xml:space="preserve">H1: The manufacturing sector has a significant positive effect on the economic growth of India. </w:t>
      </w:r>
    </w:p>
    <w:p w14:paraId="52DFDB94" w14:textId="77777777" w:rsidR="002456FC" w:rsidRDefault="00000000">
      <w:pPr>
        <w:spacing w:after="0" w:line="240" w:lineRule="auto"/>
        <w:ind w:left="720"/>
        <w:jc w:val="both"/>
        <w:rPr>
          <w:rFonts w:ascii="Arial" w:eastAsia="Arial" w:hAnsi="Arial" w:cs="Arial"/>
          <w:color w:val="FF0000"/>
          <w:sz w:val="20"/>
          <w:szCs w:val="20"/>
        </w:rPr>
      </w:pPr>
      <w:bookmarkStart w:id="3" w:name="_nfnfu6lti3z" w:colFirst="0" w:colLast="0"/>
      <w:bookmarkEnd w:id="3"/>
      <w:r>
        <w:rPr>
          <w:rFonts w:ascii="Arial" w:eastAsia="Arial" w:hAnsi="Arial" w:cs="Arial"/>
          <w:color w:val="FF0000"/>
          <w:sz w:val="20"/>
          <w:szCs w:val="20"/>
        </w:rPr>
        <w:t xml:space="preserve">The rejection of null hypothesis concludes that the higher output by manufacturing sector has a significant positive contribution to India’s GDP through employment generation and industrial productivity. </w:t>
      </w:r>
    </w:p>
    <w:p w14:paraId="70F799C0" w14:textId="77777777" w:rsidR="002456FC" w:rsidRDefault="00000000">
      <w:pPr>
        <w:numPr>
          <w:ilvl w:val="0"/>
          <w:numId w:val="1"/>
        </w:numPr>
        <w:pBdr>
          <w:top w:val="nil"/>
          <w:left w:val="nil"/>
          <w:bottom w:val="nil"/>
          <w:right w:val="nil"/>
          <w:between w:val="nil"/>
        </w:pBdr>
        <w:spacing w:after="0" w:line="240" w:lineRule="auto"/>
        <w:jc w:val="both"/>
        <w:rPr>
          <w:rFonts w:ascii="Arial" w:eastAsia="Arial" w:hAnsi="Arial" w:cs="Arial"/>
          <w:color w:val="FF0000"/>
          <w:sz w:val="20"/>
          <w:szCs w:val="20"/>
        </w:rPr>
      </w:pPr>
      <w:r>
        <w:rPr>
          <w:rFonts w:ascii="Arial" w:eastAsia="Arial" w:hAnsi="Arial" w:cs="Arial"/>
          <w:color w:val="FF0000"/>
          <w:sz w:val="20"/>
          <w:szCs w:val="20"/>
        </w:rPr>
        <w:t xml:space="preserve">H0: The services sector does not have significant effect on the economic growth of India. </w:t>
      </w:r>
    </w:p>
    <w:p w14:paraId="65D2448C" w14:textId="77777777" w:rsidR="002456FC" w:rsidRDefault="00000000">
      <w:pPr>
        <w:pBdr>
          <w:top w:val="nil"/>
          <w:left w:val="nil"/>
          <w:bottom w:val="nil"/>
          <w:right w:val="nil"/>
          <w:between w:val="nil"/>
        </w:pBdr>
        <w:spacing w:after="0" w:line="240" w:lineRule="auto"/>
        <w:ind w:left="720"/>
        <w:jc w:val="both"/>
        <w:rPr>
          <w:rFonts w:ascii="Arial" w:eastAsia="Arial" w:hAnsi="Arial" w:cs="Arial"/>
          <w:color w:val="FF0000"/>
          <w:sz w:val="20"/>
          <w:szCs w:val="20"/>
        </w:rPr>
      </w:pPr>
      <w:r>
        <w:rPr>
          <w:rFonts w:ascii="Arial" w:eastAsia="Arial" w:hAnsi="Arial" w:cs="Arial"/>
          <w:color w:val="FF0000"/>
          <w:sz w:val="20"/>
          <w:szCs w:val="20"/>
        </w:rPr>
        <w:t>H1: The services sector has a significant positive effect on the economic growth of India.</w:t>
      </w:r>
    </w:p>
    <w:p w14:paraId="4E9C9AFB" w14:textId="77777777" w:rsidR="002456FC" w:rsidRDefault="00000000">
      <w:pPr>
        <w:pBdr>
          <w:top w:val="nil"/>
          <w:left w:val="nil"/>
          <w:bottom w:val="nil"/>
          <w:right w:val="nil"/>
          <w:between w:val="nil"/>
        </w:pBdr>
        <w:spacing w:after="0" w:line="240" w:lineRule="auto"/>
        <w:ind w:left="360"/>
        <w:jc w:val="both"/>
        <w:rPr>
          <w:rFonts w:ascii="Arial" w:eastAsia="Arial" w:hAnsi="Arial" w:cs="Arial"/>
          <w:color w:val="FF0000"/>
          <w:sz w:val="20"/>
          <w:szCs w:val="20"/>
        </w:rPr>
      </w:pPr>
      <w:r>
        <w:rPr>
          <w:rFonts w:ascii="Arial" w:eastAsia="Arial" w:hAnsi="Arial" w:cs="Arial"/>
          <w:color w:val="FF0000"/>
          <w:sz w:val="20"/>
          <w:szCs w:val="20"/>
        </w:rPr>
        <w:t xml:space="preserve">      The rejection of null hypothesis concludes that the growth of services sector enhances the    </w:t>
      </w:r>
    </w:p>
    <w:p w14:paraId="68F26D24" w14:textId="77777777" w:rsidR="002456FC" w:rsidRDefault="00000000">
      <w:pPr>
        <w:pBdr>
          <w:top w:val="nil"/>
          <w:left w:val="nil"/>
          <w:bottom w:val="nil"/>
          <w:right w:val="nil"/>
          <w:between w:val="nil"/>
        </w:pBdr>
        <w:spacing w:after="0" w:line="240" w:lineRule="auto"/>
        <w:ind w:left="360"/>
        <w:jc w:val="both"/>
        <w:rPr>
          <w:rFonts w:ascii="Arial" w:eastAsia="Arial" w:hAnsi="Arial" w:cs="Arial"/>
          <w:color w:val="FF0000"/>
          <w:sz w:val="20"/>
          <w:szCs w:val="20"/>
        </w:rPr>
      </w:pPr>
      <w:r>
        <w:rPr>
          <w:rFonts w:ascii="Arial" w:eastAsia="Arial" w:hAnsi="Arial" w:cs="Arial"/>
          <w:color w:val="FF0000"/>
          <w:sz w:val="20"/>
          <w:szCs w:val="20"/>
        </w:rPr>
        <w:t xml:space="preserve">      economic growth of India through innovation and trade. </w:t>
      </w:r>
    </w:p>
    <w:p w14:paraId="3751F5BD" w14:textId="77777777" w:rsidR="002456FC" w:rsidRDefault="00000000">
      <w:pPr>
        <w:numPr>
          <w:ilvl w:val="0"/>
          <w:numId w:val="1"/>
        </w:numPr>
        <w:pBdr>
          <w:top w:val="nil"/>
          <w:left w:val="nil"/>
          <w:bottom w:val="nil"/>
          <w:right w:val="nil"/>
          <w:between w:val="nil"/>
        </w:pBdr>
        <w:spacing w:after="0" w:line="240" w:lineRule="auto"/>
        <w:jc w:val="both"/>
        <w:rPr>
          <w:rFonts w:ascii="Arial" w:eastAsia="Arial" w:hAnsi="Arial" w:cs="Arial"/>
          <w:color w:val="FF0000"/>
          <w:sz w:val="20"/>
          <w:szCs w:val="20"/>
        </w:rPr>
      </w:pPr>
      <w:r>
        <w:rPr>
          <w:rFonts w:ascii="Arial" w:eastAsia="Arial" w:hAnsi="Arial" w:cs="Arial"/>
          <w:color w:val="FF0000"/>
          <w:sz w:val="20"/>
          <w:szCs w:val="20"/>
        </w:rPr>
        <w:t>H0: The agricultural sector does not have significant effect on the economic growth of India.</w:t>
      </w:r>
    </w:p>
    <w:p w14:paraId="5E4D3092" w14:textId="77777777" w:rsidR="002456FC" w:rsidRDefault="00000000">
      <w:pPr>
        <w:pBdr>
          <w:top w:val="nil"/>
          <w:left w:val="nil"/>
          <w:bottom w:val="nil"/>
          <w:right w:val="nil"/>
          <w:between w:val="nil"/>
        </w:pBdr>
        <w:spacing w:after="0" w:line="240" w:lineRule="auto"/>
        <w:ind w:left="720"/>
        <w:jc w:val="both"/>
        <w:rPr>
          <w:rFonts w:ascii="Arial" w:eastAsia="Arial" w:hAnsi="Arial" w:cs="Arial"/>
          <w:color w:val="FF0000"/>
          <w:sz w:val="20"/>
          <w:szCs w:val="20"/>
        </w:rPr>
      </w:pPr>
      <w:r>
        <w:rPr>
          <w:rFonts w:ascii="Arial" w:eastAsia="Arial" w:hAnsi="Arial" w:cs="Arial"/>
          <w:color w:val="FF0000"/>
          <w:sz w:val="20"/>
          <w:szCs w:val="20"/>
        </w:rPr>
        <w:t xml:space="preserve">H1: The agricultural sector has significant positive effect on the economic growth of India. </w:t>
      </w:r>
    </w:p>
    <w:p w14:paraId="524D33DE" w14:textId="77777777" w:rsidR="002456FC" w:rsidRDefault="00000000">
      <w:pPr>
        <w:pBdr>
          <w:top w:val="nil"/>
          <w:left w:val="nil"/>
          <w:bottom w:val="nil"/>
          <w:right w:val="nil"/>
          <w:between w:val="nil"/>
        </w:pBdr>
        <w:spacing w:after="0" w:line="240" w:lineRule="auto"/>
        <w:ind w:left="720"/>
        <w:jc w:val="both"/>
        <w:rPr>
          <w:rFonts w:ascii="Arial" w:eastAsia="Arial" w:hAnsi="Arial" w:cs="Arial"/>
          <w:color w:val="FF0000"/>
          <w:sz w:val="20"/>
          <w:szCs w:val="20"/>
        </w:rPr>
      </w:pPr>
      <w:r>
        <w:rPr>
          <w:rFonts w:ascii="Arial" w:eastAsia="Arial" w:hAnsi="Arial" w:cs="Arial"/>
          <w:color w:val="FF0000"/>
          <w:sz w:val="20"/>
          <w:szCs w:val="20"/>
        </w:rPr>
        <w:t xml:space="preserve">Rejection of this hypothesis concludes that the growth and productivity of agriculture sector boosts India’s economic growth. </w:t>
      </w:r>
    </w:p>
    <w:p w14:paraId="76CBBBE3" w14:textId="77777777" w:rsidR="002456FC" w:rsidRDefault="00000000">
      <w:pPr>
        <w:numPr>
          <w:ilvl w:val="0"/>
          <w:numId w:val="1"/>
        </w:numPr>
        <w:pBdr>
          <w:top w:val="nil"/>
          <w:left w:val="nil"/>
          <w:bottom w:val="nil"/>
          <w:right w:val="nil"/>
          <w:between w:val="nil"/>
        </w:pBdr>
        <w:spacing w:after="0" w:line="240" w:lineRule="auto"/>
        <w:jc w:val="both"/>
        <w:rPr>
          <w:rFonts w:ascii="Arial" w:eastAsia="Arial" w:hAnsi="Arial" w:cs="Arial"/>
          <w:color w:val="FF0000"/>
          <w:sz w:val="20"/>
          <w:szCs w:val="20"/>
        </w:rPr>
      </w:pPr>
      <w:r>
        <w:rPr>
          <w:rFonts w:ascii="Arial" w:eastAsia="Arial" w:hAnsi="Arial" w:cs="Arial"/>
          <w:color w:val="FF0000"/>
          <w:sz w:val="20"/>
          <w:szCs w:val="20"/>
        </w:rPr>
        <w:t>H0: There is no significant difference in the contributions of the agriculture, manufacturing, and services sectors to economic growth in India.</w:t>
      </w:r>
    </w:p>
    <w:p w14:paraId="00F3F76B" w14:textId="77777777" w:rsidR="002456FC" w:rsidRDefault="00000000">
      <w:pPr>
        <w:pBdr>
          <w:top w:val="nil"/>
          <w:left w:val="nil"/>
          <w:bottom w:val="nil"/>
          <w:right w:val="nil"/>
          <w:between w:val="nil"/>
        </w:pBdr>
        <w:spacing w:after="0" w:line="240" w:lineRule="auto"/>
        <w:ind w:left="720"/>
        <w:jc w:val="both"/>
        <w:rPr>
          <w:rFonts w:ascii="Arial" w:eastAsia="Arial" w:hAnsi="Arial" w:cs="Arial"/>
          <w:color w:val="FF0000"/>
          <w:sz w:val="20"/>
          <w:szCs w:val="20"/>
        </w:rPr>
      </w:pPr>
      <w:r>
        <w:rPr>
          <w:rFonts w:ascii="Arial" w:eastAsia="Arial" w:hAnsi="Arial" w:cs="Arial"/>
          <w:color w:val="FF0000"/>
          <w:sz w:val="20"/>
          <w:szCs w:val="20"/>
        </w:rPr>
        <w:t>H1: There is a significant difference in the contributions of the agriculture, manufacturing, and services sectors to economic growth in India</w:t>
      </w:r>
    </w:p>
    <w:p w14:paraId="2A677267" w14:textId="77777777" w:rsidR="002456FC" w:rsidRDefault="00000000">
      <w:pPr>
        <w:pBdr>
          <w:top w:val="nil"/>
          <w:left w:val="nil"/>
          <w:bottom w:val="nil"/>
          <w:right w:val="nil"/>
          <w:between w:val="nil"/>
        </w:pBdr>
        <w:spacing w:after="0" w:line="240" w:lineRule="auto"/>
        <w:ind w:left="720"/>
        <w:jc w:val="both"/>
        <w:rPr>
          <w:rFonts w:ascii="Arial" w:eastAsia="Arial" w:hAnsi="Arial" w:cs="Arial"/>
          <w:color w:val="FF0000"/>
          <w:sz w:val="20"/>
          <w:szCs w:val="20"/>
        </w:rPr>
      </w:pPr>
      <w:r>
        <w:rPr>
          <w:rFonts w:ascii="Arial" w:eastAsia="Arial" w:hAnsi="Arial" w:cs="Arial"/>
          <w:color w:val="FF0000"/>
          <w:sz w:val="20"/>
          <w:szCs w:val="20"/>
        </w:rPr>
        <w:t>It posits that the economic growth of India is affected differently by the three sectors</w:t>
      </w:r>
      <w:r>
        <w:rPr>
          <w:rFonts w:ascii="Arial" w:eastAsia="Arial" w:hAnsi="Arial" w:cs="Arial"/>
          <w:color w:val="000000"/>
          <w:sz w:val="20"/>
          <w:szCs w:val="20"/>
        </w:rPr>
        <w:t xml:space="preserve">. </w:t>
      </w:r>
    </w:p>
    <w:p w14:paraId="5D9CAB8A" w14:textId="77777777" w:rsidR="002456FC" w:rsidRDefault="00000000">
      <w:pPr>
        <w:spacing w:before="240" w:after="0" w:line="360" w:lineRule="auto"/>
        <w:jc w:val="both"/>
        <w:rPr>
          <w:rFonts w:ascii="Arial" w:eastAsia="Arial" w:hAnsi="Arial" w:cs="Arial"/>
        </w:rPr>
      </w:pPr>
      <w:r>
        <w:rPr>
          <w:rFonts w:ascii="Arial" w:eastAsia="Arial" w:hAnsi="Arial" w:cs="Arial"/>
          <w:b/>
        </w:rPr>
        <w:t>3. METHODOLOGY AND DATA</w:t>
      </w:r>
    </w:p>
    <w:p w14:paraId="5E6DB578" w14:textId="77777777" w:rsidR="002456FC" w:rsidRDefault="00000000">
      <w:pPr>
        <w:spacing w:line="240" w:lineRule="auto"/>
        <w:jc w:val="both"/>
        <w:rPr>
          <w:rFonts w:ascii="Arial" w:eastAsia="Arial" w:hAnsi="Arial" w:cs="Arial"/>
          <w:sz w:val="20"/>
          <w:szCs w:val="20"/>
          <w:vertAlign w:val="subscript"/>
        </w:rPr>
      </w:pPr>
      <w:r>
        <w:rPr>
          <w:rFonts w:ascii="Arial" w:eastAsia="Arial" w:hAnsi="Arial" w:cs="Arial"/>
          <w:sz w:val="20"/>
          <w:szCs w:val="20"/>
        </w:rPr>
        <w:t>For testing above hypotheses following model is used</w:t>
      </w:r>
    </w:p>
    <w:bookmarkStart w:id="4" w:name="_maws9zqo2gcv" w:colFirst="0" w:colLast="0"/>
    <w:bookmarkEnd w:id="4"/>
    <w:p w14:paraId="31D7A725" w14:textId="77777777" w:rsidR="002456FC" w:rsidRDefault="00000000">
      <w:pPr>
        <w:spacing w:line="360" w:lineRule="auto"/>
        <w:jc w:val="center"/>
        <w:rPr>
          <w:rFonts w:ascii="Arial" w:eastAsia="Arial" w:hAnsi="Arial" w:cs="Arial"/>
          <w:sz w:val="20"/>
          <w:szCs w:val="20"/>
        </w:rPr>
      </w:pP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lnRGDP</m:t>
            </m:r>
          </m:e>
          <m:sub>
            <m:r>
              <w:rPr>
                <w:rFonts w:ascii="Cambria Math" w:eastAsia="Cambria Math" w:hAnsi="Cambria Math" w:cs="Cambria Math"/>
                <w:sz w:val="20"/>
                <w:szCs w:val="20"/>
              </w:rPr>
              <m:t>t</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0</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1</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lnAGRP</m:t>
            </m:r>
          </m:e>
          <m:sub>
            <m:r>
              <w:rPr>
                <w:rFonts w:ascii="Cambria Math" w:eastAsia="Cambria Math" w:hAnsi="Cambria Math" w:cs="Cambria Math"/>
                <w:sz w:val="20"/>
                <w:szCs w:val="20"/>
              </w:rPr>
              <m:t>t</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2</m:t>
            </m:r>
          </m:sub>
        </m:sSub>
        <m:r>
          <w:rPr>
            <w:rFonts w:ascii="Cambria Math" w:eastAsia="Cambria Math" w:hAnsi="Cambria Math" w:cs="Cambria Math"/>
            <w:sz w:val="20"/>
            <w:szCs w:val="20"/>
          </w:rPr>
          <m:t>ln</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MANP</m:t>
            </m:r>
          </m:e>
          <m:sub>
            <m:r>
              <w:rPr>
                <w:rFonts w:ascii="Cambria Math" w:eastAsia="Cambria Math" w:hAnsi="Cambria Math" w:cs="Cambria Math"/>
                <w:sz w:val="20"/>
                <w:szCs w:val="20"/>
              </w:rPr>
              <m:t>t</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3</m:t>
            </m:r>
          </m:sub>
        </m:sSub>
        <m:r>
          <w:rPr>
            <w:rFonts w:ascii="Cambria Math" w:eastAsia="Cambria Math" w:hAnsi="Cambria Math" w:cs="Cambria Math"/>
            <w:sz w:val="20"/>
            <w:szCs w:val="20"/>
          </w:rPr>
          <m:t>ln</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SERP</m:t>
            </m:r>
          </m:e>
          <m:sub>
            <m:r>
              <w:rPr>
                <w:rFonts w:ascii="Cambria Math" w:eastAsia="Cambria Math" w:hAnsi="Cambria Math" w:cs="Cambria Math"/>
                <w:sz w:val="20"/>
                <w:szCs w:val="20"/>
              </w:rPr>
              <m:t>t</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4</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lnGE</m:t>
            </m:r>
          </m:e>
          <m:sub>
            <m:r>
              <w:rPr>
                <w:rFonts w:ascii="Cambria Math" w:eastAsia="Cambria Math" w:hAnsi="Cambria Math" w:cs="Cambria Math"/>
                <w:sz w:val="20"/>
                <w:szCs w:val="20"/>
              </w:rPr>
              <m:t>t</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5</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lnGCF</m:t>
            </m:r>
          </m:e>
          <m:sub>
            <m:r>
              <w:rPr>
                <w:rFonts w:ascii="Cambria Math" w:eastAsia="Cambria Math" w:hAnsi="Cambria Math" w:cs="Cambria Math"/>
                <w:sz w:val="20"/>
                <w:szCs w:val="20"/>
              </w:rPr>
              <m:t>t</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lnINF</m:t>
            </m:r>
          </m:e>
          <m:sub>
            <m:r>
              <w:rPr>
                <w:rFonts w:ascii="Cambria Math" w:eastAsia="Cambria Math" w:hAnsi="Cambria Math" w:cs="Cambria Math"/>
                <w:sz w:val="20"/>
                <w:szCs w:val="20"/>
              </w:rPr>
              <m:t>t</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7</m:t>
            </m:r>
          </m:sub>
        </m:sSub>
        <m:r>
          <w:rPr>
            <w:rFonts w:ascii="Cambria Math" w:eastAsia="Cambria Math" w:hAnsi="Cambria Math" w:cs="Cambria Math"/>
            <w:sz w:val="20"/>
            <w:szCs w:val="20"/>
          </w:rPr>
          <m:t>ln</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TOP</m:t>
            </m:r>
          </m:e>
          <m:sub>
            <m:r>
              <w:rPr>
                <w:rFonts w:ascii="Cambria Math" w:eastAsia="Cambria Math" w:hAnsi="Cambria Math" w:cs="Cambria Math"/>
                <w:sz w:val="20"/>
                <w:szCs w:val="20"/>
              </w:rPr>
              <m:t>t</m:t>
            </m:r>
          </m:sub>
        </m:sSub>
        <m:r>
          <w:rPr>
            <w:rFonts w:ascii="Cambria Math" w:eastAsia="Cambria Math" w:hAnsi="Cambria Math" w:cs="Cambria Math"/>
            <w:sz w:val="20"/>
            <w:szCs w:val="20"/>
            <w:vertAlign w:val="subscript"/>
          </w:rPr>
          <m:t xml:space="preserve">+                          </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vertAlign w:val="subscript"/>
              </w:rPr>
              <m:t>β</m:t>
            </m:r>
          </m:e>
          <m:sub>
            <m:r>
              <w:rPr>
                <w:rFonts w:ascii="Cambria Math" w:eastAsia="Cambria Math" w:hAnsi="Cambria Math" w:cs="Cambria Math"/>
                <w:sz w:val="20"/>
                <w:szCs w:val="20"/>
              </w:rPr>
              <m:t>8</m:t>
            </m:r>
          </m:sub>
        </m:sSub>
        <m:r>
          <w:rPr>
            <w:rFonts w:ascii="Cambria Math" w:eastAsia="Cambria Math" w:hAnsi="Cambria Math" w:cs="Cambria Math"/>
            <w:sz w:val="20"/>
            <w:szCs w:val="20"/>
          </w:rPr>
          <m:t>ln</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POPGR</m:t>
            </m:r>
          </m:e>
          <m:sub>
            <m:r>
              <w:rPr>
                <w:rFonts w:ascii="Cambria Math" w:eastAsia="Cambria Math" w:hAnsi="Cambria Math" w:cs="Cambria Math"/>
                <w:sz w:val="20"/>
                <w:szCs w:val="20"/>
              </w:rPr>
              <m:t>t</m:t>
            </m:r>
          </m:sub>
        </m:sSub>
        <m:r>
          <w:rPr>
            <w:rFonts w:ascii="Cambria Math" w:eastAsia="Cambria Math" w:hAnsi="Cambria Math" w:cs="Cambria Math"/>
            <w:sz w:val="20"/>
            <w:szCs w:val="20"/>
            <w:vertAlign w:val="subscript"/>
          </w:rPr>
          <m:t>+</m:t>
        </m:r>
        <m:r>
          <w:rPr>
            <w:rFonts w:ascii="Cambria Math" w:eastAsia="Cambria Math" w:hAnsi="Cambria Math" w:cs="Cambria Math"/>
            <w:sz w:val="20"/>
            <w:szCs w:val="20"/>
          </w:rPr>
          <m:t xml:space="preserve"> </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μ</m:t>
            </m:r>
          </m:e>
          <m:sub>
            <m:r>
              <w:rPr>
                <w:rFonts w:ascii="Cambria Math" w:eastAsia="Cambria Math" w:hAnsi="Cambria Math" w:cs="Cambria Math"/>
                <w:sz w:val="20"/>
                <w:szCs w:val="20"/>
              </w:rPr>
              <m:t>t</m:t>
            </m:r>
          </m:sub>
        </m:sSub>
      </m:oMath>
      <w:r>
        <w:rPr>
          <w:rFonts w:ascii="Arial" w:eastAsia="Arial" w:hAnsi="Arial" w:cs="Arial"/>
          <w:sz w:val="20"/>
          <w:szCs w:val="20"/>
        </w:rPr>
        <w:t xml:space="preserve">                                                                                                             (1)</w:t>
      </w:r>
    </w:p>
    <w:p w14:paraId="3933F528" w14:textId="77777777" w:rsidR="002456FC" w:rsidRDefault="0000000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where</w:t>
      </w:r>
      <w:proofErr w:type="gramEnd"/>
      <w:r>
        <w:rPr>
          <w:rFonts w:ascii="Times New Roman" w:eastAsia="Times New Roman" w:hAnsi="Times New Roman" w:cs="Times New Roman"/>
          <w:sz w:val="24"/>
          <w:szCs w:val="24"/>
        </w:rPr>
        <w:t xml:space="preserve">, </w:t>
      </w:r>
    </w:p>
    <w:p w14:paraId="1950DAA6" w14:textId="77777777" w:rsidR="002456FC" w:rsidRDefault="00000000">
      <w:pPr>
        <w:spacing w:after="0" w:line="240" w:lineRule="auto"/>
        <w:jc w:val="both"/>
        <w:rPr>
          <w:rFonts w:ascii="Arial" w:eastAsia="Arial" w:hAnsi="Arial" w:cs="Arial"/>
          <w:sz w:val="20"/>
          <w:szCs w:val="20"/>
        </w:rPr>
      </w:pPr>
      <w:r>
        <w:rPr>
          <w:rFonts w:ascii="Arial" w:eastAsia="Arial" w:hAnsi="Arial" w:cs="Arial"/>
          <w:sz w:val="20"/>
          <w:szCs w:val="20"/>
        </w:rPr>
        <w:t>RGDP represents real gross domestic product, which serves as the dependent variable. The independent variables include AGRP, denoting the share of agriculture in GDP; MANP, representing the share of the manufacturing sector in GDP; and SERP, indicating the share of the service sector in GDP. The study also incorporates five control variables: GE, representing government expenditure as a percentage of GDP; GCF, denoting gross capital formation as a percentage of GDP; INF, representing inflation; TOP, measuring trade openness (exports plus imports as a percentage of GDP); and POP, indicating the population growth rate. In the regression model, β</w:t>
      </w:r>
      <w:r>
        <w:rPr>
          <w:rFonts w:ascii="Cambria Math" w:eastAsia="Cambria Math" w:hAnsi="Cambria Math" w:cs="Cambria Math"/>
          <w:sz w:val="20"/>
          <w:szCs w:val="20"/>
        </w:rPr>
        <w:t>₀</w:t>
      </w:r>
      <w:r>
        <w:rPr>
          <w:rFonts w:ascii="Arial" w:eastAsia="Arial" w:hAnsi="Arial" w:cs="Arial"/>
          <w:sz w:val="20"/>
          <w:szCs w:val="20"/>
        </w:rPr>
        <w:t xml:space="preserve"> represents the intercept, and </w:t>
      </w:r>
      <m:oMath>
        <m:sSub>
          <m:sSubPr>
            <m:ctrlPr>
              <w:rPr>
                <w:rFonts w:ascii="Cambria Math" w:eastAsia="Cambria Math" w:hAnsi="Cambria Math" w:cs="Cambria Math"/>
                <w:sz w:val="20"/>
                <w:szCs w:val="20"/>
              </w:rPr>
            </m:ctrlPr>
          </m:sSubPr>
          <m:e>
            <m:r>
              <w:rPr>
                <w:rFonts w:ascii="Cambria Math" w:hAnsi="Cambria Math"/>
              </w:rPr>
              <m:t>μ</m:t>
            </m:r>
          </m:e>
          <m:sub>
            <m:r>
              <w:rPr>
                <w:rFonts w:ascii="Cambria Math" w:eastAsia="Cambria Math" w:hAnsi="Cambria Math" w:cs="Cambria Math"/>
                <w:sz w:val="20"/>
                <w:szCs w:val="20"/>
              </w:rPr>
              <m:t>t</m:t>
            </m:r>
          </m:sub>
        </m:sSub>
      </m:oMath>
      <w:r>
        <w:rPr>
          <w:rFonts w:ascii="Arial" w:eastAsia="Arial" w:hAnsi="Arial" w:cs="Arial"/>
          <w:sz w:val="20"/>
          <w:szCs w:val="20"/>
        </w:rPr>
        <w:t xml:space="preserve"> is the </w:t>
      </w:r>
      <w:r>
        <w:rPr>
          <w:rFonts w:ascii="Arial" w:eastAsia="Arial" w:hAnsi="Arial" w:cs="Arial"/>
          <w:sz w:val="20"/>
          <w:szCs w:val="20"/>
        </w:rPr>
        <w:lastRenderedPageBreak/>
        <w:t>stochastic disturbance term. The equation is specified in log-linear form, so the estimated regression coefficients can be interpreted as elasticities.</w:t>
      </w:r>
    </w:p>
    <w:p w14:paraId="4DE0C0FC" w14:textId="77777777" w:rsidR="002456FC" w:rsidRDefault="002456FC">
      <w:pPr>
        <w:spacing w:line="240" w:lineRule="auto"/>
        <w:jc w:val="both"/>
        <w:rPr>
          <w:rFonts w:ascii="Arial" w:eastAsia="Arial" w:hAnsi="Arial" w:cs="Arial"/>
          <w:sz w:val="20"/>
          <w:szCs w:val="20"/>
        </w:rPr>
      </w:pPr>
    </w:p>
    <w:p w14:paraId="4258639B" w14:textId="77777777" w:rsidR="002456FC" w:rsidRDefault="00000000">
      <w:pPr>
        <w:spacing w:line="240" w:lineRule="auto"/>
        <w:jc w:val="both"/>
        <w:rPr>
          <w:rFonts w:ascii="Arial" w:eastAsia="Arial" w:hAnsi="Arial" w:cs="Arial"/>
          <w:sz w:val="20"/>
          <w:szCs w:val="20"/>
        </w:rPr>
      </w:pPr>
      <w:r>
        <w:rPr>
          <w:rFonts w:ascii="Arial" w:eastAsia="Arial" w:hAnsi="Arial" w:cs="Arial"/>
          <w:sz w:val="20"/>
          <w:szCs w:val="20"/>
        </w:rPr>
        <w:t xml:space="preserve">The data for this study were collected from the World Bank’s World Development Indicators (WDI) and the Penn World Table for the period 1960–2023 to examine the relationships among the variables. The </w:t>
      </w:r>
      <w:proofErr w:type="spellStart"/>
      <w:r>
        <w:rPr>
          <w:rFonts w:ascii="Arial" w:eastAsia="Arial" w:hAnsi="Arial" w:cs="Arial"/>
          <w:sz w:val="20"/>
          <w:szCs w:val="20"/>
        </w:rPr>
        <w:t>Im</w:t>
      </w:r>
      <w:proofErr w:type="spellEnd"/>
      <w:r>
        <w:rPr>
          <w:rFonts w:ascii="Arial" w:eastAsia="Arial" w:hAnsi="Arial" w:cs="Arial"/>
          <w:sz w:val="20"/>
          <w:szCs w:val="20"/>
        </w:rPr>
        <w:t xml:space="preserve">, Pesaran, and Shin W-statistics were employed to test the order of integration of the variables. Given the time series nature of the data, the Autoregressive Distributed Lag (ARDL) bounds cointegration technique (Pesaran &amp; Shin, 1999; Pesaran et al., 2001) was applied to assess the long-run relationships. This approach, based on the OLS method, is suitable for small sample sizes and can be used when variables are integrated of different orders, </w:t>
      </w:r>
      <w:proofErr w:type="gramStart"/>
      <w:r>
        <w:rPr>
          <w:rFonts w:ascii="Arial" w:eastAsia="Arial" w:hAnsi="Arial" w:cs="Arial"/>
          <w:sz w:val="20"/>
          <w:szCs w:val="20"/>
        </w:rPr>
        <w:t>I(</w:t>
      </w:r>
      <w:proofErr w:type="gramEnd"/>
      <w:r>
        <w:rPr>
          <w:rFonts w:ascii="Arial" w:eastAsia="Arial" w:hAnsi="Arial" w:cs="Arial"/>
          <w:sz w:val="20"/>
          <w:szCs w:val="20"/>
        </w:rPr>
        <w:t xml:space="preserve">0), </w:t>
      </w:r>
      <w:proofErr w:type="gramStart"/>
      <w:r>
        <w:rPr>
          <w:rFonts w:ascii="Arial" w:eastAsia="Arial" w:hAnsi="Arial" w:cs="Arial"/>
          <w:sz w:val="20"/>
          <w:szCs w:val="20"/>
        </w:rPr>
        <w:t>I(</w:t>
      </w:r>
      <w:proofErr w:type="gramEnd"/>
      <w:r>
        <w:rPr>
          <w:rFonts w:ascii="Arial" w:eastAsia="Arial" w:hAnsi="Arial" w:cs="Arial"/>
          <w:sz w:val="20"/>
          <w:szCs w:val="20"/>
        </w:rPr>
        <w:t xml:space="preserve">1), or a combination of the two. Most economic variables typically fall into </w:t>
      </w:r>
      <w:proofErr w:type="gramStart"/>
      <w:r>
        <w:rPr>
          <w:rFonts w:ascii="Arial" w:eastAsia="Arial" w:hAnsi="Arial" w:cs="Arial"/>
          <w:sz w:val="20"/>
          <w:szCs w:val="20"/>
        </w:rPr>
        <w:t>I(</w:t>
      </w:r>
      <w:proofErr w:type="gramEnd"/>
      <w:r>
        <w:rPr>
          <w:rFonts w:ascii="Arial" w:eastAsia="Arial" w:hAnsi="Arial" w:cs="Arial"/>
          <w:sz w:val="20"/>
          <w:szCs w:val="20"/>
        </w:rPr>
        <w:t xml:space="preserve">0) or </w:t>
      </w:r>
      <w:proofErr w:type="gramStart"/>
      <w:r>
        <w:rPr>
          <w:rFonts w:ascii="Arial" w:eastAsia="Arial" w:hAnsi="Arial" w:cs="Arial"/>
          <w:sz w:val="20"/>
          <w:szCs w:val="20"/>
        </w:rPr>
        <w:t>I(</w:t>
      </w:r>
      <w:proofErr w:type="gramEnd"/>
      <w:r>
        <w:rPr>
          <w:rFonts w:ascii="Arial" w:eastAsia="Arial" w:hAnsi="Arial" w:cs="Arial"/>
          <w:sz w:val="20"/>
          <w:szCs w:val="20"/>
        </w:rPr>
        <w:t xml:space="preserve">1). In the ARDL model, lagged values of both the dependent and independent variables are included as regressors, allowing for different lags across variables. The long-run relationship is estimated using a single reduced-form equation, and the Wald test, based on the F-statistic, determines cointegration. A long-run relationship is inferred if the computed F-statistic exceeds the upper critical bound. However, this technique is not applicable when variables are integrated of order two, </w:t>
      </w:r>
      <w:proofErr w:type="gramStart"/>
      <w:r>
        <w:rPr>
          <w:rFonts w:ascii="Arial" w:eastAsia="Arial" w:hAnsi="Arial" w:cs="Arial"/>
          <w:sz w:val="20"/>
          <w:szCs w:val="20"/>
        </w:rPr>
        <w:t>I(</w:t>
      </w:r>
      <w:proofErr w:type="gramEnd"/>
      <w:r>
        <w:rPr>
          <w:rFonts w:ascii="Arial" w:eastAsia="Arial" w:hAnsi="Arial" w:cs="Arial"/>
          <w:sz w:val="20"/>
          <w:szCs w:val="20"/>
        </w:rPr>
        <w:t>2).</w:t>
      </w:r>
    </w:p>
    <w:p w14:paraId="53F205E7" w14:textId="77777777" w:rsidR="002456FC" w:rsidRDefault="00000000">
      <w:pPr>
        <w:spacing w:line="240" w:lineRule="auto"/>
        <w:jc w:val="both"/>
        <w:rPr>
          <w:rFonts w:ascii="Arial" w:eastAsia="Arial" w:hAnsi="Arial" w:cs="Arial"/>
          <w:sz w:val="20"/>
          <w:szCs w:val="20"/>
        </w:rPr>
      </w:pPr>
      <w:r>
        <w:rPr>
          <w:rFonts w:ascii="Arial" w:eastAsia="Arial" w:hAnsi="Arial" w:cs="Arial"/>
          <w:sz w:val="20"/>
          <w:szCs w:val="20"/>
        </w:rPr>
        <w:t xml:space="preserve">For examining the relationship between India’s real GDP and its determinants, an ARDL model of the order </w:t>
      </w:r>
      <m:oMath>
        <m:r>
          <w:rPr>
            <w:rFonts w:ascii="Cambria Math" w:eastAsia="Cambria Math" w:hAnsi="Cambria Math" w:cs="Cambria Math"/>
            <w:sz w:val="20"/>
            <w:szCs w:val="20"/>
          </w:rPr>
          <m:t>(p,</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1</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2</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3</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4</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5</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6</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7</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8</m:t>
            </m:r>
          </m:sub>
        </m:sSub>
        <m:r>
          <w:rPr>
            <w:rFonts w:ascii="Cambria Math" w:eastAsia="Cambria Math" w:hAnsi="Cambria Math" w:cs="Cambria Math"/>
            <w:sz w:val="20"/>
            <w:szCs w:val="20"/>
          </w:rPr>
          <m:t>)</m:t>
        </m:r>
      </m:oMath>
      <w:r>
        <w:rPr>
          <w:rFonts w:ascii="Arial" w:eastAsia="Arial" w:hAnsi="Arial" w:cs="Arial"/>
          <w:sz w:val="20"/>
          <w:szCs w:val="20"/>
        </w:rPr>
        <w:t xml:space="preserve"> has to be estimated, where, p is the number of lags for log of real GDP and </w:t>
      </w: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1</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2</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3</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4</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5</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6</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7</m:t>
            </m:r>
          </m:sub>
        </m:sSub>
        <m:r>
          <w:rPr>
            <w:rFonts w:ascii="Cambria Math" w:eastAsia="Cambria Math" w:hAnsi="Cambria Math" w:cs="Cambria Math"/>
            <w:sz w:val="20"/>
            <w:szCs w:val="20"/>
          </w:rPr>
          <m:t xml:space="preserve"> and </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8</m:t>
            </m:r>
          </m:sub>
        </m:sSub>
      </m:oMath>
      <w:r>
        <w:rPr>
          <w:rFonts w:ascii="Arial" w:eastAsia="Arial" w:hAnsi="Arial" w:cs="Arial"/>
          <w:sz w:val="20"/>
          <w:szCs w:val="20"/>
        </w:rPr>
        <w:t xml:space="preserve"> are the number of lags for  log of share of agriculture, log of share of manufacturing, log of share of service sector, log of government expenditure, log of gross capital formation, log of inflation, log of trade openness, and log of population growth rate, respectively. </w:t>
      </w:r>
    </w:p>
    <w:p w14:paraId="06D94B88" w14:textId="77777777" w:rsidR="002456FC" w:rsidRDefault="00000000">
      <w:pPr>
        <w:spacing w:line="240" w:lineRule="auto"/>
        <w:jc w:val="both"/>
        <w:rPr>
          <w:rFonts w:ascii="Arial" w:eastAsia="Arial" w:hAnsi="Arial" w:cs="Arial"/>
          <w:sz w:val="20"/>
          <w:szCs w:val="20"/>
        </w:rPr>
      </w:pPr>
      <w:r>
        <w:rPr>
          <w:rFonts w:ascii="Arial" w:eastAsia="Arial" w:hAnsi="Arial" w:cs="Arial"/>
          <w:sz w:val="20"/>
          <w:szCs w:val="20"/>
        </w:rPr>
        <w:t>To test the existence of a long - run relationship between GDP and its determinants, the following long-run form or the Conditional Error Correction regression is used:</w:t>
      </w:r>
    </w:p>
    <w:p w14:paraId="5933675D" w14:textId="77777777" w:rsidR="002456FC" w:rsidRDefault="00000000">
      <w:pPr>
        <w:spacing w:line="240" w:lineRule="auto"/>
        <w:jc w:val="both"/>
        <w:rPr>
          <w:rFonts w:ascii="Arial" w:eastAsia="Arial" w:hAnsi="Arial" w:cs="Arial"/>
          <w:sz w:val="20"/>
          <w:szCs w:val="20"/>
        </w:rPr>
      </w:pP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∆lnRGDP</m:t>
            </m:r>
          </m:e>
          <m:sub>
            <m:r>
              <w:rPr>
                <w:rFonts w:ascii="Cambria Math" w:eastAsia="Cambria Math" w:hAnsi="Cambria Math" w:cs="Cambria Math"/>
                <w:sz w:val="20"/>
                <w:szCs w:val="20"/>
              </w:rPr>
              <m:t>t</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α</m:t>
            </m:r>
          </m:e>
          <m:sub>
            <m:r>
              <w:rPr>
                <w:rFonts w:ascii="Cambria Math" w:eastAsia="Cambria Math" w:hAnsi="Cambria Math" w:cs="Cambria Math"/>
                <w:sz w:val="20"/>
                <w:szCs w:val="20"/>
              </w:rPr>
              <m:t>0</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λ</m:t>
            </m:r>
          </m:e>
          <m:sub>
            <m:r>
              <w:rPr>
                <w:rFonts w:ascii="Cambria Math" w:eastAsia="Cambria Math" w:hAnsi="Cambria Math" w:cs="Cambria Math"/>
                <w:sz w:val="20"/>
                <w:szCs w:val="20"/>
              </w:rPr>
              <m:t>1</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lnRGDP</m:t>
            </m:r>
          </m:e>
          <m:sub>
            <m:r>
              <w:rPr>
                <w:rFonts w:ascii="Cambria Math" w:eastAsia="Cambria Math" w:hAnsi="Cambria Math" w:cs="Cambria Math"/>
                <w:sz w:val="20"/>
                <w:szCs w:val="20"/>
              </w:rPr>
              <m:t>t-1</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λ</m:t>
            </m:r>
          </m:e>
          <m:sub>
            <m:r>
              <w:rPr>
                <w:rFonts w:ascii="Cambria Math" w:eastAsia="Cambria Math" w:hAnsi="Cambria Math" w:cs="Cambria Math"/>
                <w:sz w:val="20"/>
                <w:szCs w:val="20"/>
              </w:rPr>
              <m:t>2</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lnAGRP</m:t>
            </m:r>
          </m:e>
          <m:sub>
            <m:r>
              <w:rPr>
                <w:rFonts w:ascii="Cambria Math" w:eastAsia="Cambria Math" w:hAnsi="Cambria Math" w:cs="Cambria Math"/>
                <w:sz w:val="20"/>
                <w:szCs w:val="20"/>
              </w:rPr>
              <m:t>t-1</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λ</m:t>
            </m:r>
          </m:e>
          <m:sub>
            <m:r>
              <w:rPr>
                <w:rFonts w:ascii="Cambria Math" w:eastAsia="Cambria Math" w:hAnsi="Cambria Math" w:cs="Cambria Math"/>
                <w:sz w:val="20"/>
                <w:szCs w:val="20"/>
              </w:rPr>
              <m:t>3</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lnMANP</m:t>
            </m:r>
          </m:e>
          <m:sub>
            <m:r>
              <w:rPr>
                <w:rFonts w:ascii="Cambria Math" w:eastAsia="Cambria Math" w:hAnsi="Cambria Math" w:cs="Cambria Math"/>
                <w:sz w:val="20"/>
                <w:szCs w:val="20"/>
              </w:rPr>
              <m:t>t-1</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λ</m:t>
            </m:r>
          </m:e>
          <m:sub>
            <m:r>
              <w:rPr>
                <w:rFonts w:ascii="Cambria Math" w:eastAsia="Cambria Math" w:hAnsi="Cambria Math" w:cs="Cambria Math"/>
                <w:sz w:val="20"/>
                <w:szCs w:val="20"/>
              </w:rPr>
              <m:t>4</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lnSERP</m:t>
            </m:r>
          </m:e>
          <m:sub>
            <m:r>
              <w:rPr>
                <w:rFonts w:ascii="Cambria Math" w:eastAsia="Cambria Math" w:hAnsi="Cambria Math" w:cs="Cambria Math"/>
                <w:sz w:val="20"/>
                <w:szCs w:val="20"/>
              </w:rPr>
              <m:t>t-1</m:t>
            </m:r>
          </m:sub>
        </m:sSub>
        <m:r>
          <w:rPr>
            <w:rFonts w:ascii="Cambria Math" w:eastAsia="Cambria Math" w:hAnsi="Cambria Math" w:cs="Cambria Math"/>
            <w:sz w:val="20"/>
            <w:szCs w:val="20"/>
          </w:rPr>
          <m:t xml:space="preserve">+  </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λ</m:t>
            </m:r>
          </m:e>
          <m:sub>
            <m:r>
              <w:rPr>
                <w:rFonts w:ascii="Cambria Math" w:eastAsia="Cambria Math" w:hAnsi="Cambria Math" w:cs="Cambria Math"/>
                <w:sz w:val="20"/>
                <w:szCs w:val="20"/>
              </w:rPr>
              <m:t>5</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lnGE</m:t>
            </m:r>
          </m:e>
          <m:sub>
            <m:r>
              <w:rPr>
                <w:rFonts w:ascii="Cambria Math" w:eastAsia="Cambria Math" w:hAnsi="Cambria Math" w:cs="Cambria Math"/>
                <w:sz w:val="20"/>
                <w:szCs w:val="20"/>
              </w:rPr>
              <m:t>t-1</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λ</m:t>
            </m:r>
          </m:e>
          <m:sub>
            <m:r>
              <w:rPr>
                <w:rFonts w:ascii="Cambria Math" w:eastAsia="Cambria Math" w:hAnsi="Cambria Math" w:cs="Cambria Math"/>
                <w:sz w:val="20"/>
                <w:szCs w:val="20"/>
              </w:rPr>
              <m:t>6</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lnGCF</m:t>
            </m:r>
          </m:e>
          <m:sub>
            <m:r>
              <w:rPr>
                <w:rFonts w:ascii="Cambria Math" w:eastAsia="Cambria Math" w:hAnsi="Cambria Math" w:cs="Cambria Math"/>
                <w:sz w:val="20"/>
                <w:szCs w:val="20"/>
              </w:rPr>
              <m:t>t-1</m:t>
            </m:r>
          </m:sub>
        </m:sSub>
        <m:r>
          <w:rPr>
            <w:rFonts w:ascii="Cambria Math" w:eastAsia="Cambria Math" w:hAnsi="Cambria Math" w:cs="Cambria Math"/>
            <w:sz w:val="20"/>
            <w:szCs w:val="20"/>
          </w:rPr>
          <m:t xml:space="preserve">+                         </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λ</m:t>
            </m:r>
          </m:e>
          <m:sub>
            <m:r>
              <w:rPr>
                <w:rFonts w:ascii="Cambria Math" w:eastAsia="Cambria Math" w:hAnsi="Cambria Math" w:cs="Cambria Math"/>
                <w:sz w:val="20"/>
                <w:szCs w:val="20"/>
              </w:rPr>
              <m:t>7</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lnINF</m:t>
            </m:r>
          </m:e>
          <m:sub>
            <m:r>
              <w:rPr>
                <w:rFonts w:ascii="Cambria Math" w:eastAsia="Cambria Math" w:hAnsi="Cambria Math" w:cs="Cambria Math"/>
                <w:sz w:val="20"/>
                <w:szCs w:val="20"/>
              </w:rPr>
              <m:t>t-1</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λ</m:t>
            </m:r>
          </m:e>
          <m:sub>
            <m:r>
              <w:rPr>
                <w:rFonts w:ascii="Cambria Math" w:eastAsia="Cambria Math" w:hAnsi="Cambria Math" w:cs="Cambria Math"/>
                <w:sz w:val="20"/>
                <w:szCs w:val="20"/>
              </w:rPr>
              <m:t>8</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lnTOP</m:t>
            </m:r>
          </m:e>
          <m:sub>
            <m:r>
              <w:rPr>
                <w:rFonts w:ascii="Cambria Math" w:eastAsia="Cambria Math" w:hAnsi="Cambria Math" w:cs="Cambria Math"/>
                <w:sz w:val="20"/>
                <w:szCs w:val="20"/>
              </w:rPr>
              <m:t>t-1</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λ</m:t>
            </m:r>
          </m:e>
          <m:sub>
            <m:r>
              <w:rPr>
                <w:rFonts w:ascii="Cambria Math" w:eastAsia="Cambria Math" w:hAnsi="Cambria Math" w:cs="Cambria Math"/>
                <w:sz w:val="20"/>
                <w:szCs w:val="20"/>
              </w:rPr>
              <m:t>9</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lnPOP</m:t>
            </m:r>
          </m:e>
          <m:sub>
            <m:r>
              <w:rPr>
                <w:rFonts w:ascii="Cambria Math" w:eastAsia="Cambria Math" w:hAnsi="Cambria Math" w:cs="Cambria Math"/>
                <w:sz w:val="20"/>
                <w:szCs w:val="20"/>
              </w:rPr>
              <m:t>t-1</m:t>
            </m:r>
          </m:sub>
        </m:sSub>
        <m:r>
          <w:rPr>
            <w:rFonts w:ascii="Cambria Math" w:eastAsia="Cambria Math" w:hAnsi="Cambria Math" w:cs="Cambria Math"/>
            <w:sz w:val="20"/>
            <w:szCs w:val="20"/>
          </w:rPr>
          <m:t xml:space="preserve">+ </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p-1</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γ</m:t>
            </m:r>
          </m:e>
          <m:sub>
            <m:r>
              <w:rPr>
                <w:rFonts w:ascii="Cambria Math" w:eastAsia="Cambria Math" w:hAnsi="Cambria Math" w:cs="Cambria Math"/>
                <w:sz w:val="20"/>
                <w:szCs w:val="20"/>
              </w:rPr>
              <m:t>i</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∆lnRGDP</m:t>
            </m:r>
          </m:e>
          <m:sub>
            <m:r>
              <w:rPr>
                <w:rFonts w:ascii="Cambria Math" w:eastAsia="Cambria Math" w:hAnsi="Cambria Math" w:cs="Cambria Math"/>
                <w:sz w:val="20"/>
                <w:szCs w:val="20"/>
              </w:rPr>
              <m:t>t-i</m:t>
            </m:r>
          </m:sub>
        </m:sSub>
        <m:r>
          <w:rPr>
            <w:rFonts w:ascii="Cambria Math" w:eastAsia="Cambria Math" w:hAnsi="Cambria Math" w:cs="Cambria Math"/>
            <w:sz w:val="20"/>
            <w:szCs w:val="20"/>
          </w:rPr>
          <m:t>+</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j=0</m:t>
            </m:r>
          </m:sub>
          <m:sup>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1</m:t>
                </m:r>
              </m:sub>
            </m:sSub>
            <m:r>
              <w:rPr>
                <w:rFonts w:ascii="Cambria Math" w:eastAsia="Cambria Math" w:hAnsi="Cambria Math" w:cs="Cambria Math"/>
                <w:sz w:val="20"/>
                <w:szCs w:val="20"/>
              </w:rPr>
              <m:t>-1</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1j</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lnAGRP</m:t>
            </m:r>
          </m:e>
          <m:sub>
            <m:r>
              <w:rPr>
                <w:rFonts w:ascii="Cambria Math" w:eastAsia="Cambria Math" w:hAnsi="Cambria Math" w:cs="Cambria Math"/>
                <w:sz w:val="20"/>
                <w:szCs w:val="20"/>
              </w:rPr>
              <m:t>t-j</m:t>
            </m:r>
          </m:sub>
        </m:sSub>
        <m:r>
          <w:rPr>
            <w:rFonts w:ascii="Cambria Math" w:eastAsia="Cambria Math" w:hAnsi="Cambria Math" w:cs="Cambria Math"/>
            <w:sz w:val="20"/>
            <w:szCs w:val="20"/>
          </w:rPr>
          <m:t xml:space="preserve">+                        </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j=0</m:t>
            </m:r>
          </m:sub>
          <m:sup>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2</m:t>
                </m:r>
              </m:sub>
            </m:sSub>
            <m:r>
              <w:rPr>
                <w:rFonts w:ascii="Cambria Math" w:eastAsia="Cambria Math" w:hAnsi="Cambria Math" w:cs="Cambria Math"/>
                <w:sz w:val="20"/>
                <w:szCs w:val="20"/>
              </w:rPr>
              <m:t>-1</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2j</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lnMANP</m:t>
            </m:r>
          </m:e>
          <m:sub>
            <m:r>
              <w:rPr>
                <w:rFonts w:ascii="Cambria Math" w:eastAsia="Cambria Math" w:hAnsi="Cambria Math" w:cs="Cambria Math"/>
                <w:sz w:val="20"/>
                <w:szCs w:val="20"/>
              </w:rPr>
              <m:t>t-j</m:t>
            </m:r>
          </m:sub>
        </m:sSub>
        <m:r>
          <w:rPr>
            <w:rFonts w:ascii="Cambria Math" w:eastAsia="Cambria Math" w:hAnsi="Cambria Math" w:cs="Cambria Math"/>
            <w:sz w:val="20"/>
            <w:szCs w:val="20"/>
          </w:rPr>
          <m:t xml:space="preserve">+  </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j=0</m:t>
            </m:r>
          </m:sub>
          <m:sup>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3</m:t>
                </m:r>
              </m:sub>
            </m:sSub>
            <m:r>
              <w:rPr>
                <w:rFonts w:ascii="Cambria Math" w:eastAsia="Cambria Math" w:hAnsi="Cambria Math" w:cs="Cambria Math"/>
                <w:sz w:val="20"/>
                <w:szCs w:val="20"/>
              </w:rPr>
              <m:t>-1</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3j</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∆lnSERP</m:t>
            </m:r>
          </m:e>
          <m:sub>
            <m:r>
              <w:rPr>
                <w:rFonts w:ascii="Cambria Math" w:eastAsia="Cambria Math" w:hAnsi="Cambria Math" w:cs="Cambria Math"/>
                <w:sz w:val="20"/>
                <w:szCs w:val="20"/>
              </w:rPr>
              <m:t>t-j</m:t>
            </m:r>
          </m:sub>
        </m:sSub>
        <m:r>
          <w:rPr>
            <w:rFonts w:ascii="Cambria Math" w:eastAsia="Cambria Math" w:hAnsi="Cambria Math" w:cs="Cambria Math"/>
            <w:sz w:val="20"/>
            <w:szCs w:val="20"/>
          </w:rPr>
          <m:t>+</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j=0</m:t>
            </m:r>
          </m:sub>
          <m:sup>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4</m:t>
                </m:r>
              </m:sub>
            </m:sSub>
            <m:r>
              <w:rPr>
                <w:rFonts w:ascii="Cambria Math" w:eastAsia="Cambria Math" w:hAnsi="Cambria Math" w:cs="Cambria Math"/>
                <w:sz w:val="20"/>
                <w:szCs w:val="20"/>
              </w:rPr>
              <m:t>-1</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4j</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∆lnGE</m:t>
            </m:r>
          </m:e>
          <m:sub>
            <m:r>
              <w:rPr>
                <w:rFonts w:ascii="Cambria Math" w:eastAsia="Cambria Math" w:hAnsi="Cambria Math" w:cs="Cambria Math"/>
                <w:sz w:val="20"/>
                <w:szCs w:val="20"/>
              </w:rPr>
              <m:t>t-j</m:t>
            </m:r>
          </m:sub>
        </m:sSub>
        <m:r>
          <w:rPr>
            <w:rFonts w:ascii="Cambria Math" w:eastAsia="Cambria Math" w:hAnsi="Cambria Math" w:cs="Cambria Math"/>
            <w:sz w:val="20"/>
            <w:szCs w:val="20"/>
          </w:rPr>
          <m:t>+</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j=0</m:t>
            </m:r>
          </m:sub>
          <m:sup>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5</m:t>
                </m:r>
              </m:sub>
            </m:sSub>
            <m:r>
              <w:rPr>
                <w:rFonts w:ascii="Cambria Math" w:eastAsia="Cambria Math" w:hAnsi="Cambria Math" w:cs="Cambria Math"/>
                <w:sz w:val="20"/>
                <w:szCs w:val="20"/>
              </w:rPr>
              <m:t>-1</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5j</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∆lnGCF</m:t>
            </m:r>
          </m:e>
          <m:sub>
            <m:r>
              <w:rPr>
                <w:rFonts w:ascii="Cambria Math" w:eastAsia="Cambria Math" w:hAnsi="Cambria Math" w:cs="Cambria Math"/>
                <w:sz w:val="20"/>
                <w:szCs w:val="20"/>
              </w:rPr>
              <m:t>t-j</m:t>
            </m:r>
          </m:sub>
        </m:sSub>
        <m:r>
          <w:rPr>
            <w:rFonts w:ascii="Cambria Math" w:eastAsia="Cambria Math" w:hAnsi="Cambria Math" w:cs="Cambria Math"/>
            <w:sz w:val="20"/>
            <w:szCs w:val="20"/>
          </w:rPr>
          <m:t xml:space="preserve">+                          </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j=0</m:t>
            </m:r>
          </m:sub>
          <m:sup>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6</m:t>
                </m:r>
              </m:sub>
            </m:sSub>
            <m:r>
              <w:rPr>
                <w:rFonts w:ascii="Cambria Math" w:eastAsia="Cambria Math" w:hAnsi="Cambria Math" w:cs="Cambria Math"/>
                <w:sz w:val="20"/>
                <w:szCs w:val="20"/>
              </w:rPr>
              <m:t>-1</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6j</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∆lnINF</m:t>
            </m:r>
          </m:e>
          <m:sub>
            <m:r>
              <w:rPr>
                <w:rFonts w:ascii="Cambria Math" w:eastAsia="Cambria Math" w:hAnsi="Cambria Math" w:cs="Cambria Math"/>
                <w:sz w:val="20"/>
                <w:szCs w:val="20"/>
              </w:rPr>
              <m:t>t-j</m:t>
            </m:r>
          </m:sub>
        </m:sSub>
        <m:r>
          <w:rPr>
            <w:rFonts w:ascii="Cambria Math" w:eastAsia="Cambria Math" w:hAnsi="Cambria Math" w:cs="Cambria Math"/>
            <w:sz w:val="20"/>
            <w:szCs w:val="20"/>
          </w:rPr>
          <m:t>+</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j=0</m:t>
            </m:r>
          </m:sub>
          <m:sup>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7</m:t>
                </m:r>
              </m:sub>
            </m:sSub>
            <m:r>
              <w:rPr>
                <w:rFonts w:ascii="Cambria Math" w:eastAsia="Cambria Math" w:hAnsi="Cambria Math" w:cs="Cambria Math"/>
                <w:sz w:val="20"/>
                <w:szCs w:val="20"/>
              </w:rPr>
              <m:t>-1</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7j</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∆lnTOP</m:t>
            </m:r>
          </m:e>
          <m:sub>
            <m:r>
              <w:rPr>
                <w:rFonts w:ascii="Cambria Math" w:eastAsia="Cambria Math" w:hAnsi="Cambria Math" w:cs="Cambria Math"/>
                <w:sz w:val="20"/>
                <w:szCs w:val="20"/>
              </w:rPr>
              <m:t>t-j</m:t>
            </m:r>
          </m:sub>
        </m:sSub>
        <m:r>
          <w:rPr>
            <w:rFonts w:ascii="Cambria Math" w:eastAsia="Cambria Math" w:hAnsi="Cambria Math" w:cs="Cambria Math"/>
            <w:sz w:val="20"/>
            <w:szCs w:val="20"/>
          </w:rPr>
          <m:t>+</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j=0</m:t>
            </m:r>
          </m:sub>
          <m:sup>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8</m:t>
                </m:r>
              </m:sub>
            </m:sSub>
            <m:r>
              <w:rPr>
                <w:rFonts w:ascii="Cambria Math" w:eastAsia="Cambria Math" w:hAnsi="Cambria Math" w:cs="Cambria Math"/>
                <w:sz w:val="20"/>
                <w:szCs w:val="20"/>
              </w:rPr>
              <m:t>-1</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8j</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∆lnPOP</m:t>
            </m:r>
          </m:e>
          <m:sub>
            <m:r>
              <w:rPr>
                <w:rFonts w:ascii="Cambria Math" w:eastAsia="Cambria Math" w:hAnsi="Cambria Math" w:cs="Cambria Math"/>
                <w:sz w:val="20"/>
                <w:szCs w:val="20"/>
              </w:rPr>
              <m:t>t-j</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e</m:t>
            </m:r>
          </m:e>
          <m:sub>
            <m:r>
              <w:rPr>
                <w:rFonts w:ascii="Cambria Math" w:eastAsia="Cambria Math" w:hAnsi="Cambria Math" w:cs="Cambria Math"/>
                <w:sz w:val="20"/>
                <w:szCs w:val="20"/>
              </w:rPr>
              <m:t>t</m:t>
            </m:r>
          </m:sub>
        </m:sSub>
      </m:oMath>
      <w:r>
        <w:rPr>
          <w:rFonts w:ascii="Arial" w:eastAsia="Arial" w:hAnsi="Arial" w:cs="Arial"/>
          <w:sz w:val="20"/>
          <w:szCs w:val="20"/>
        </w:rPr>
        <w:t xml:space="preserve">                                      (2)</w:t>
      </w:r>
    </w:p>
    <w:p w14:paraId="24113527" w14:textId="77777777" w:rsidR="002456FC" w:rsidRDefault="00000000">
      <w:pPr>
        <w:spacing w:line="240" w:lineRule="auto"/>
        <w:jc w:val="both"/>
        <w:rPr>
          <w:rFonts w:ascii="Arial" w:eastAsia="Arial" w:hAnsi="Arial" w:cs="Arial"/>
          <w:sz w:val="20"/>
          <w:szCs w:val="20"/>
        </w:rPr>
      </w:pPr>
      <w:r>
        <w:rPr>
          <w:rFonts w:ascii="Arial" w:eastAsia="Arial" w:hAnsi="Arial" w:cs="Arial"/>
          <w:sz w:val="20"/>
          <w:szCs w:val="20"/>
        </w:rPr>
        <w:t xml:space="preserve">Here, the </w:t>
      </w:r>
      <m:oMath>
        <m:r>
          <w:rPr>
            <w:rFonts w:ascii="Cambria Math" w:eastAsia="Cambria Math" w:hAnsi="Cambria Math" w:cs="Cambria Math"/>
            <w:sz w:val="20"/>
            <w:szCs w:val="20"/>
          </w:rPr>
          <m:t>λ's</m:t>
        </m:r>
      </m:oMath>
      <w:r>
        <w:rPr>
          <w:rFonts w:ascii="Arial" w:eastAsia="Arial" w:hAnsi="Arial" w:cs="Arial"/>
          <w:sz w:val="20"/>
          <w:szCs w:val="20"/>
        </w:rPr>
        <w:t xml:space="preserve"> are the long-run multipliers. The null hypothesis is the absence of long-run relationship, i.e., no cointegration or</w:t>
      </w:r>
    </w:p>
    <w:p w14:paraId="4330CEE4" w14:textId="77777777" w:rsidR="002456FC" w:rsidRDefault="00000000">
      <w:pPr>
        <w:jc w:val="center"/>
        <w:rPr>
          <w:rFonts w:ascii="Cambria Math" w:eastAsia="Cambria Math" w:hAnsi="Cambria Math" w:cs="Cambria Math"/>
          <w:sz w:val="20"/>
          <w:szCs w:val="20"/>
        </w:rPr>
      </w:pPr>
      <m:oMathPara>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H</m:t>
              </m:r>
            </m:e>
            <m:sub>
              <m:r>
                <w:rPr>
                  <w:rFonts w:ascii="Cambria Math" w:eastAsia="Cambria Math" w:hAnsi="Cambria Math" w:cs="Cambria Math"/>
                  <w:sz w:val="20"/>
                  <w:szCs w:val="20"/>
                </w:rPr>
                <m:t>0</m:t>
              </m:r>
            </m:sub>
          </m:sSub>
          <m:r>
            <w:rPr>
              <w:rFonts w:ascii="Cambria Math" w:eastAsia="Cambria Math" w:hAnsi="Cambria Math" w:cs="Cambria Math"/>
              <w:sz w:val="20"/>
              <w:szCs w:val="20"/>
            </w:rPr>
            <m:t xml:space="preserve">: </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λ</m:t>
              </m:r>
            </m:e>
            <m:sub>
              <m:r>
                <w:rPr>
                  <w:rFonts w:ascii="Cambria Math" w:eastAsia="Cambria Math" w:hAnsi="Cambria Math" w:cs="Cambria Math"/>
                  <w:sz w:val="20"/>
                  <w:szCs w:val="20"/>
                </w:rPr>
                <m:t>1</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λ</m:t>
              </m:r>
            </m:e>
            <m:sub>
              <m:r>
                <w:rPr>
                  <w:rFonts w:ascii="Cambria Math" w:eastAsia="Cambria Math" w:hAnsi="Cambria Math" w:cs="Cambria Math"/>
                  <w:sz w:val="20"/>
                  <w:szCs w:val="20"/>
                </w:rPr>
                <m:t>2</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λ</m:t>
              </m:r>
            </m:e>
            <m:sub>
              <m:r>
                <w:rPr>
                  <w:rFonts w:ascii="Cambria Math" w:eastAsia="Cambria Math" w:hAnsi="Cambria Math" w:cs="Cambria Math"/>
                  <w:sz w:val="20"/>
                  <w:szCs w:val="20"/>
                </w:rPr>
                <m:t>3</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λ</m:t>
              </m:r>
            </m:e>
            <m:sub>
              <m:r>
                <w:rPr>
                  <w:rFonts w:ascii="Cambria Math" w:eastAsia="Cambria Math" w:hAnsi="Cambria Math" w:cs="Cambria Math"/>
                  <w:sz w:val="20"/>
                  <w:szCs w:val="20"/>
                </w:rPr>
                <m:t>4</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λ</m:t>
              </m:r>
            </m:e>
            <m:sub>
              <m:r>
                <w:rPr>
                  <w:rFonts w:ascii="Cambria Math" w:eastAsia="Cambria Math" w:hAnsi="Cambria Math" w:cs="Cambria Math"/>
                  <w:sz w:val="20"/>
                  <w:szCs w:val="20"/>
                </w:rPr>
                <m:t>5</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λ</m:t>
              </m:r>
            </m:e>
            <m:sub>
              <m:r>
                <w:rPr>
                  <w:rFonts w:ascii="Cambria Math" w:eastAsia="Cambria Math" w:hAnsi="Cambria Math" w:cs="Cambria Math"/>
                  <w:sz w:val="20"/>
                  <w:szCs w:val="20"/>
                </w:rPr>
                <m:t>6</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λ</m:t>
              </m:r>
            </m:e>
            <m:sub>
              <m:r>
                <w:rPr>
                  <w:rFonts w:ascii="Cambria Math" w:eastAsia="Cambria Math" w:hAnsi="Cambria Math" w:cs="Cambria Math"/>
                  <w:sz w:val="20"/>
                  <w:szCs w:val="20"/>
                </w:rPr>
                <m:t>7</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λ</m:t>
              </m:r>
            </m:e>
            <m:sub>
              <m:r>
                <w:rPr>
                  <w:rFonts w:ascii="Cambria Math" w:eastAsia="Cambria Math" w:hAnsi="Cambria Math" w:cs="Cambria Math"/>
                  <w:sz w:val="20"/>
                  <w:szCs w:val="20"/>
                </w:rPr>
                <m:t>8</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λ</m:t>
              </m:r>
            </m:e>
            <m:sub>
              <m:r>
                <w:rPr>
                  <w:rFonts w:ascii="Cambria Math" w:eastAsia="Cambria Math" w:hAnsi="Cambria Math" w:cs="Cambria Math"/>
                  <w:sz w:val="20"/>
                  <w:szCs w:val="20"/>
                </w:rPr>
                <m:t>9</m:t>
              </m:r>
            </m:sub>
          </m:sSub>
          <m:r>
            <w:rPr>
              <w:rFonts w:ascii="Cambria Math" w:eastAsia="Cambria Math" w:hAnsi="Cambria Math" w:cs="Cambria Math"/>
              <w:sz w:val="20"/>
              <w:szCs w:val="20"/>
            </w:rPr>
            <m:t>=0</m:t>
          </m:r>
        </m:oMath>
      </m:oMathPara>
    </w:p>
    <w:p w14:paraId="427DE3BC" w14:textId="77777777" w:rsidR="002456FC"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If the value of F-statistic is more than the upper bound critical value, then the null hypothesis is rejected. If the value of F-statistic is less than the lower bound value, null hypothesis is not rejected. However, if the value of F-statistic lies between the critical band values, the test becomes inconclusive. </w:t>
      </w:r>
    </w:p>
    <w:p w14:paraId="72967424" w14:textId="77777777" w:rsidR="002456FC" w:rsidRDefault="002456FC">
      <w:pPr>
        <w:spacing w:after="0" w:line="240" w:lineRule="auto"/>
        <w:jc w:val="both"/>
        <w:rPr>
          <w:rFonts w:ascii="Times New Roman" w:eastAsia="Times New Roman" w:hAnsi="Times New Roman" w:cs="Times New Roman"/>
          <w:sz w:val="24"/>
          <w:szCs w:val="24"/>
        </w:rPr>
      </w:pPr>
    </w:p>
    <w:p w14:paraId="10F288E9" w14:textId="77777777" w:rsidR="002456FC" w:rsidRDefault="00000000">
      <w:pPr>
        <w:spacing w:line="240" w:lineRule="auto"/>
        <w:jc w:val="both"/>
        <w:rPr>
          <w:rFonts w:ascii="Arial" w:eastAsia="Arial" w:hAnsi="Arial" w:cs="Arial"/>
          <w:sz w:val="20"/>
          <w:szCs w:val="20"/>
        </w:rPr>
      </w:pPr>
      <w:r>
        <w:rPr>
          <w:rFonts w:ascii="Arial" w:eastAsia="Arial" w:hAnsi="Arial" w:cs="Arial"/>
          <w:sz w:val="20"/>
          <w:szCs w:val="20"/>
        </w:rPr>
        <w:t>After cointegration is established, the next step is to estimate the Error Correction Model (ECM), which combines the short-run adjustments along with the long-run equilibrium, defined as:</w:t>
      </w:r>
    </w:p>
    <w:p w14:paraId="437B01A0" w14:textId="77777777" w:rsidR="002456FC" w:rsidRDefault="00000000">
      <w:pPr>
        <w:spacing w:line="240" w:lineRule="auto"/>
        <w:rPr>
          <w:rFonts w:ascii="Times New Roman" w:eastAsia="Times New Roman" w:hAnsi="Times New Roman" w:cs="Times New Roman"/>
          <w:sz w:val="20"/>
          <w:szCs w:val="20"/>
        </w:rPr>
      </w:pP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∆lnRGDP</m:t>
            </m:r>
          </m:e>
          <m:sub>
            <m:r>
              <w:rPr>
                <w:rFonts w:ascii="Cambria Math" w:eastAsia="Cambria Math" w:hAnsi="Cambria Math" w:cs="Cambria Math"/>
                <w:sz w:val="20"/>
                <w:szCs w:val="20"/>
              </w:rPr>
              <m:t>t</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α</m:t>
            </m:r>
          </m:e>
          <m:sub>
            <m:r>
              <w:rPr>
                <w:rFonts w:ascii="Cambria Math" w:eastAsia="Cambria Math" w:hAnsi="Cambria Math" w:cs="Cambria Math"/>
                <w:sz w:val="20"/>
                <w:szCs w:val="20"/>
              </w:rPr>
              <m:t>0</m:t>
            </m:r>
          </m:sub>
        </m:sSub>
        <m:r>
          <w:rPr>
            <w:rFonts w:ascii="Cambria Math" w:eastAsia="Cambria Math" w:hAnsi="Cambria Math" w:cs="Cambria Math"/>
            <w:sz w:val="20"/>
            <w:szCs w:val="20"/>
          </w:rPr>
          <m:t>+</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i=1</m:t>
            </m:r>
          </m:sub>
          <m:sup>
            <m:r>
              <w:rPr>
                <w:rFonts w:ascii="Cambria Math" w:eastAsia="Cambria Math" w:hAnsi="Cambria Math" w:cs="Cambria Math"/>
                <w:sz w:val="20"/>
                <w:szCs w:val="20"/>
              </w:rPr>
              <m:t>p-1</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γ</m:t>
            </m:r>
          </m:e>
          <m:sub>
            <m:r>
              <w:rPr>
                <w:rFonts w:ascii="Cambria Math" w:eastAsia="Cambria Math" w:hAnsi="Cambria Math" w:cs="Cambria Math"/>
                <w:sz w:val="20"/>
                <w:szCs w:val="20"/>
              </w:rPr>
              <m:t>i</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∆lnRGDP</m:t>
            </m:r>
          </m:e>
          <m:sub>
            <m:r>
              <w:rPr>
                <w:rFonts w:ascii="Cambria Math" w:eastAsia="Cambria Math" w:hAnsi="Cambria Math" w:cs="Cambria Math"/>
                <w:sz w:val="20"/>
                <w:szCs w:val="20"/>
              </w:rPr>
              <m:t>t-i</m:t>
            </m:r>
          </m:sub>
        </m:sSub>
        <m:r>
          <w:rPr>
            <w:rFonts w:ascii="Cambria Math" w:eastAsia="Cambria Math" w:hAnsi="Cambria Math" w:cs="Cambria Math"/>
            <w:sz w:val="20"/>
            <w:szCs w:val="20"/>
          </w:rPr>
          <m:t>+</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j=0</m:t>
            </m:r>
          </m:sub>
          <m:sup>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1</m:t>
                </m:r>
              </m:sub>
            </m:sSub>
            <m:r>
              <w:rPr>
                <w:rFonts w:ascii="Cambria Math" w:eastAsia="Cambria Math" w:hAnsi="Cambria Math" w:cs="Cambria Math"/>
                <w:sz w:val="20"/>
                <w:szCs w:val="20"/>
              </w:rPr>
              <m:t>-1</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1j</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lnAGRP</m:t>
            </m:r>
          </m:e>
          <m:sub>
            <m:r>
              <w:rPr>
                <w:rFonts w:ascii="Cambria Math" w:eastAsia="Cambria Math" w:hAnsi="Cambria Math" w:cs="Cambria Math"/>
                <w:sz w:val="20"/>
                <w:szCs w:val="20"/>
              </w:rPr>
              <m:t>t-j</m:t>
            </m:r>
          </m:sub>
        </m:sSub>
        <m:r>
          <w:rPr>
            <w:rFonts w:ascii="Cambria Math" w:eastAsia="Cambria Math" w:hAnsi="Cambria Math" w:cs="Cambria Math"/>
            <w:sz w:val="20"/>
            <w:szCs w:val="20"/>
          </w:rPr>
          <m:t>+</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j=0</m:t>
            </m:r>
          </m:sub>
          <m:sup>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2</m:t>
                </m:r>
              </m:sub>
            </m:sSub>
            <m:r>
              <w:rPr>
                <w:rFonts w:ascii="Cambria Math" w:eastAsia="Cambria Math" w:hAnsi="Cambria Math" w:cs="Cambria Math"/>
                <w:sz w:val="20"/>
                <w:szCs w:val="20"/>
              </w:rPr>
              <m:t>-1</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2j</m:t>
            </m:r>
          </m:sub>
        </m:sSub>
        <m:r>
          <w:rPr>
            <w:rFonts w:ascii="Cambria Math" w:eastAsia="Cambria Math" w:hAnsi="Cambria Math" w:cs="Cambria Math"/>
            <w:sz w:val="20"/>
            <w:szCs w:val="20"/>
          </w:rPr>
          <m:t>∆</m:t>
        </m:r>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lnMANP</m:t>
            </m:r>
          </m:e>
          <m:sub>
            <m:r>
              <w:rPr>
                <w:rFonts w:ascii="Cambria Math" w:eastAsia="Cambria Math" w:hAnsi="Cambria Math" w:cs="Cambria Math"/>
                <w:sz w:val="20"/>
                <w:szCs w:val="20"/>
              </w:rPr>
              <m:t>t-j</m:t>
            </m:r>
          </m:sub>
        </m:sSub>
        <m:r>
          <w:rPr>
            <w:rFonts w:ascii="Cambria Math" w:eastAsia="Cambria Math" w:hAnsi="Cambria Math" w:cs="Cambria Math"/>
            <w:sz w:val="20"/>
            <w:szCs w:val="20"/>
          </w:rPr>
          <m:t xml:space="preserve">+                       </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j=0</m:t>
            </m:r>
          </m:sub>
          <m:sup>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3</m:t>
                </m:r>
              </m:sub>
            </m:sSub>
            <m:r>
              <w:rPr>
                <w:rFonts w:ascii="Cambria Math" w:eastAsia="Cambria Math" w:hAnsi="Cambria Math" w:cs="Cambria Math"/>
                <w:sz w:val="20"/>
                <w:szCs w:val="20"/>
              </w:rPr>
              <m:t>-1</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3j</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∆lnSERP</m:t>
            </m:r>
          </m:e>
          <m:sub>
            <m:r>
              <w:rPr>
                <w:rFonts w:ascii="Cambria Math" w:eastAsia="Cambria Math" w:hAnsi="Cambria Math" w:cs="Cambria Math"/>
                <w:sz w:val="20"/>
                <w:szCs w:val="20"/>
              </w:rPr>
              <m:t>t-j</m:t>
            </m:r>
          </m:sub>
        </m:sSub>
        <m:r>
          <w:rPr>
            <w:rFonts w:ascii="Cambria Math" w:eastAsia="Cambria Math" w:hAnsi="Cambria Math" w:cs="Cambria Math"/>
            <w:sz w:val="20"/>
            <w:szCs w:val="20"/>
          </w:rPr>
          <m:t>+</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j=0</m:t>
            </m:r>
          </m:sub>
          <m:sup>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4</m:t>
                </m:r>
              </m:sub>
            </m:sSub>
            <m:r>
              <w:rPr>
                <w:rFonts w:ascii="Cambria Math" w:eastAsia="Cambria Math" w:hAnsi="Cambria Math" w:cs="Cambria Math"/>
                <w:sz w:val="20"/>
                <w:szCs w:val="20"/>
              </w:rPr>
              <m:t>-1</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4j</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∆lnGE</m:t>
            </m:r>
          </m:e>
          <m:sub>
            <m:r>
              <w:rPr>
                <w:rFonts w:ascii="Cambria Math" w:eastAsia="Cambria Math" w:hAnsi="Cambria Math" w:cs="Cambria Math"/>
                <w:sz w:val="20"/>
                <w:szCs w:val="20"/>
              </w:rPr>
              <m:t>t-j</m:t>
            </m:r>
          </m:sub>
        </m:sSub>
        <m:r>
          <w:rPr>
            <w:rFonts w:ascii="Cambria Math" w:eastAsia="Cambria Math" w:hAnsi="Cambria Math" w:cs="Cambria Math"/>
            <w:sz w:val="20"/>
            <w:szCs w:val="20"/>
          </w:rPr>
          <m:t>+</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j=0</m:t>
            </m:r>
          </m:sub>
          <m:sup>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5</m:t>
                </m:r>
              </m:sub>
            </m:sSub>
            <m:r>
              <w:rPr>
                <w:rFonts w:ascii="Cambria Math" w:eastAsia="Cambria Math" w:hAnsi="Cambria Math" w:cs="Cambria Math"/>
                <w:sz w:val="20"/>
                <w:szCs w:val="20"/>
              </w:rPr>
              <m:t>-1</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5j</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∆lnGCF</m:t>
            </m:r>
          </m:e>
          <m:sub>
            <m:r>
              <w:rPr>
                <w:rFonts w:ascii="Cambria Math" w:eastAsia="Cambria Math" w:hAnsi="Cambria Math" w:cs="Cambria Math"/>
                <w:sz w:val="20"/>
                <w:szCs w:val="20"/>
              </w:rPr>
              <m:t>t-j</m:t>
            </m:r>
          </m:sub>
        </m:sSub>
        <m:r>
          <w:rPr>
            <w:rFonts w:ascii="Cambria Math" w:eastAsia="Cambria Math" w:hAnsi="Cambria Math" w:cs="Cambria Math"/>
            <w:sz w:val="20"/>
            <w:szCs w:val="20"/>
          </w:rPr>
          <m:t xml:space="preserve">+ </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j=0</m:t>
            </m:r>
          </m:sub>
          <m:sup>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6</m:t>
                </m:r>
              </m:sub>
            </m:sSub>
            <m:r>
              <w:rPr>
                <w:rFonts w:ascii="Cambria Math" w:eastAsia="Cambria Math" w:hAnsi="Cambria Math" w:cs="Cambria Math"/>
                <w:sz w:val="20"/>
                <w:szCs w:val="20"/>
              </w:rPr>
              <m:t>-1</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6j</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∆lnINF</m:t>
            </m:r>
          </m:e>
          <m:sub>
            <m:r>
              <w:rPr>
                <w:rFonts w:ascii="Cambria Math" w:eastAsia="Cambria Math" w:hAnsi="Cambria Math" w:cs="Cambria Math"/>
                <w:sz w:val="20"/>
                <w:szCs w:val="20"/>
              </w:rPr>
              <m:t>t-j</m:t>
            </m:r>
          </m:sub>
        </m:sSub>
        <m:r>
          <w:rPr>
            <w:rFonts w:ascii="Cambria Math" w:eastAsia="Cambria Math" w:hAnsi="Cambria Math" w:cs="Cambria Math"/>
            <w:sz w:val="20"/>
            <w:szCs w:val="20"/>
          </w:rPr>
          <m:t xml:space="preserve">+                       </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j=0</m:t>
            </m:r>
          </m:sub>
          <m:sup>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7</m:t>
                </m:r>
              </m:sub>
            </m:sSub>
            <m:r>
              <w:rPr>
                <w:rFonts w:ascii="Cambria Math" w:eastAsia="Cambria Math" w:hAnsi="Cambria Math" w:cs="Cambria Math"/>
                <w:sz w:val="20"/>
                <w:szCs w:val="20"/>
              </w:rPr>
              <m:t>-1</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7j</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∆lnTOP</m:t>
            </m:r>
          </m:e>
          <m:sub>
            <m:r>
              <w:rPr>
                <w:rFonts w:ascii="Cambria Math" w:eastAsia="Cambria Math" w:hAnsi="Cambria Math" w:cs="Cambria Math"/>
                <w:sz w:val="20"/>
                <w:szCs w:val="20"/>
              </w:rPr>
              <m:t>t-j</m:t>
            </m:r>
          </m:sub>
        </m:sSub>
        <m:r>
          <w:rPr>
            <w:rFonts w:ascii="Cambria Math" w:eastAsia="Cambria Math" w:hAnsi="Cambria Math" w:cs="Cambria Math"/>
            <w:sz w:val="20"/>
            <w:szCs w:val="20"/>
          </w:rPr>
          <m:t>+</m:t>
        </m:r>
        <m:nary>
          <m:naryPr>
            <m:chr m:val="∑"/>
            <m:ctrlPr>
              <w:rPr>
                <w:rFonts w:ascii="Cambria Math" w:eastAsia="Cambria Math" w:hAnsi="Cambria Math" w:cs="Cambria Math"/>
                <w:sz w:val="20"/>
                <w:szCs w:val="20"/>
              </w:rPr>
            </m:ctrlPr>
          </m:naryPr>
          <m:sub>
            <m:r>
              <w:rPr>
                <w:rFonts w:ascii="Cambria Math" w:eastAsia="Cambria Math" w:hAnsi="Cambria Math" w:cs="Cambria Math"/>
                <w:sz w:val="20"/>
                <w:szCs w:val="20"/>
              </w:rPr>
              <m:t>j=0</m:t>
            </m:r>
          </m:sub>
          <m:sup>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q</m:t>
                </m:r>
              </m:e>
              <m:sub>
                <m:r>
                  <w:rPr>
                    <w:rFonts w:ascii="Cambria Math" w:eastAsia="Cambria Math" w:hAnsi="Cambria Math" w:cs="Cambria Math"/>
                    <w:sz w:val="20"/>
                    <w:szCs w:val="20"/>
                  </w:rPr>
                  <m:t>8</m:t>
                </m:r>
              </m:sub>
            </m:sSub>
            <m:r>
              <w:rPr>
                <w:rFonts w:ascii="Cambria Math" w:eastAsia="Cambria Math" w:hAnsi="Cambria Math" w:cs="Cambria Math"/>
                <w:sz w:val="20"/>
                <w:szCs w:val="20"/>
              </w:rPr>
              <m:t>-1</m:t>
            </m:r>
          </m:sup>
          <m:e/>
        </m:nary>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β</m:t>
            </m:r>
          </m:e>
          <m:sub>
            <m:r>
              <w:rPr>
                <w:rFonts w:ascii="Cambria Math" w:eastAsia="Cambria Math" w:hAnsi="Cambria Math" w:cs="Cambria Math"/>
                <w:sz w:val="20"/>
                <w:szCs w:val="20"/>
              </w:rPr>
              <m:t>8j</m:t>
            </m:r>
          </m:sub>
        </m:sSub>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∆lnPOP</m:t>
            </m:r>
          </m:e>
          <m:sub>
            <m:r>
              <w:rPr>
                <w:rFonts w:ascii="Cambria Math" w:eastAsia="Cambria Math" w:hAnsi="Cambria Math" w:cs="Cambria Math"/>
                <w:sz w:val="20"/>
                <w:szCs w:val="20"/>
              </w:rPr>
              <m:t>t-j</m:t>
            </m:r>
          </m:sub>
        </m:sSub>
        <m:r>
          <w:rPr>
            <w:rFonts w:ascii="Cambria Math" w:eastAsia="Cambria Math" w:hAnsi="Cambria Math" w:cs="Cambria Math"/>
            <w:sz w:val="20"/>
            <w:szCs w:val="20"/>
          </w:rPr>
          <m:t xml:space="preserve">+  </m:t>
        </m:r>
        <m:sSub>
          <m:sSubPr>
            <m:ctrlPr>
              <w:rPr>
                <w:rFonts w:ascii="Cambria Math" w:eastAsia="Cambria Math" w:hAnsi="Cambria Math" w:cs="Cambria Math"/>
                <w:sz w:val="20"/>
                <w:szCs w:val="20"/>
              </w:rPr>
            </m:ctrlPr>
          </m:sSubPr>
          <m:e>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δECT</m:t>
                </m:r>
              </m:e>
              <m:sub>
                <m:r>
                  <w:rPr>
                    <w:rFonts w:ascii="Cambria Math" w:eastAsia="Cambria Math" w:hAnsi="Cambria Math" w:cs="Cambria Math"/>
                    <w:sz w:val="20"/>
                    <w:szCs w:val="20"/>
                  </w:rPr>
                  <m:t>t-1</m:t>
                </m:r>
              </m:sub>
            </m:sSub>
            <m:r>
              <w:rPr>
                <w:rFonts w:ascii="Cambria Math" w:eastAsia="Cambria Math" w:hAnsi="Cambria Math" w:cs="Cambria Math"/>
                <w:sz w:val="20"/>
                <w:szCs w:val="20"/>
              </w:rPr>
              <m:t>+ε</m:t>
            </m:r>
          </m:e>
          <m:sub>
            <m:r>
              <w:rPr>
                <w:rFonts w:ascii="Cambria Math" w:eastAsia="Cambria Math" w:hAnsi="Cambria Math" w:cs="Cambria Math"/>
                <w:sz w:val="20"/>
                <w:szCs w:val="20"/>
              </w:rPr>
              <m:t>t</m:t>
            </m:r>
          </m:sub>
        </m:sSub>
      </m:oMath>
      <w:r>
        <w:rPr>
          <w:rFonts w:ascii="Times New Roman" w:eastAsia="Times New Roman" w:hAnsi="Times New Roman" w:cs="Times New Roman"/>
          <w:sz w:val="20"/>
          <w:szCs w:val="20"/>
        </w:rPr>
        <w:t xml:space="preserve">                                                         (3)                                                                                       </w:t>
      </w:r>
    </w:p>
    <w:p w14:paraId="60FA2CB1" w14:textId="77777777" w:rsidR="002456FC" w:rsidRDefault="00000000">
      <w:pPr>
        <w:spacing w:line="240" w:lineRule="auto"/>
        <w:jc w:val="both"/>
        <w:rPr>
          <w:rFonts w:ascii="Arial" w:eastAsia="Arial" w:hAnsi="Arial" w:cs="Arial"/>
          <w:sz w:val="20"/>
          <w:szCs w:val="20"/>
        </w:rPr>
      </w:pPr>
      <w:r>
        <w:rPr>
          <w:rFonts w:ascii="Arial" w:eastAsia="Arial" w:hAnsi="Arial" w:cs="Arial"/>
          <w:sz w:val="20"/>
          <w:szCs w:val="20"/>
        </w:rPr>
        <w:t xml:space="preserve">The term </w:t>
      </w:r>
      <m:oMath>
        <m:sSub>
          <m:sSubPr>
            <m:ctrlPr>
              <w:rPr>
                <w:rFonts w:ascii="Cambria Math" w:eastAsia="Cambria Math" w:hAnsi="Cambria Math" w:cs="Cambria Math"/>
                <w:sz w:val="20"/>
                <w:szCs w:val="20"/>
              </w:rPr>
            </m:ctrlPr>
          </m:sSubPr>
          <m:e>
            <m:r>
              <w:rPr>
                <w:rFonts w:ascii="Cambria Math" w:eastAsia="Cambria Math" w:hAnsi="Cambria Math" w:cs="Cambria Math"/>
                <w:sz w:val="20"/>
                <w:szCs w:val="20"/>
              </w:rPr>
              <m:t>ECT</m:t>
            </m:r>
          </m:e>
          <m:sub>
            <m:r>
              <w:rPr>
                <w:rFonts w:ascii="Cambria Math" w:eastAsia="Cambria Math" w:hAnsi="Cambria Math" w:cs="Cambria Math"/>
                <w:sz w:val="20"/>
                <w:szCs w:val="20"/>
              </w:rPr>
              <m:t>t-1</m:t>
            </m:r>
          </m:sub>
        </m:sSub>
      </m:oMath>
      <w:r>
        <w:rPr>
          <w:rFonts w:ascii="Arial" w:eastAsia="Arial" w:hAnsi="Arial" w:cs="Arial"/>
          <w:sz w:val="20"/>
          <w:szCs w:val="20"/>
        </w:rPr>
        <w:t xml:space="preserve"> is the lagged value of the residual term obtained from the cointegrating equation and its coefficient </w:t>
      </w:r>
      <m:oMath>
        <m:r>
          <w:rPr>
            <w:rFonts w:ascii="Cambria Math" w:hAnsi="Cambria Math"/>
          </w:rPr>
          <m:t>δ</m:t>
        </m:r>
      </m:oMath>
      <w:r>
        <w:rPr>
          <w:rFonts w:ascii="Arial" w:eastAsia="Arial" w:hAnsi="Arial" w:cs="Arial"/>
          <w:sz w:val="20"/>
          <w:szCs w:val="20"/>
        </w:rPr>
        <w:t xml:space="preserve"> gives the speed of adjustment, which shows how long-run equilibrium is re-established following a short-run disturbance. For stability of equilibrium the value of δ should be negative and significant. The significance of the F-statistic using the Wald-test indicates the outcome of short-run causality.</w:t>
      </w:r>
    </w:p>
    <w:p w14:paraId="78916CC5" w14:textId="77777777" w:rsidR="002456FC" w:rsidRDefault="00000000">
      <w:pPr>
        <w:spacing w:line="360" w:lineRule="auto"/>
        <w:rPr>
          <w:rFonts w:ascii="Arial" w:eastAsia="Arial" w:hAnsi="Arial" w:cs="Arial"/>
          <w:b/>
        </w:rPr>
      </w:pPr>
      <w:r>
        <w:rPr>
          <w:rFonts w:ascii="Arial" w:eastAsia="Arial" w:hAnsi="Arial" w:cs="Arial"/>
          <w:b/>
        </w:rPr>
        <w:t>4. EMPIRICAL RESULTS</w:t>
      </w:r>
    </w:p>
    <w:p w14:paraId="7E06C609" w14:textId="77777777" w:rsidR="002456FC" w:rsidRDefault="00000000">
      <w:pPr>
        <w:spacing w:line="240" w:lineRule="auto"/>
        <w:jc w:val="both"/>
        <w:rPr>
          <w:rFonts w:ascii="Arial" w:eastAsia="Arial" w:hAnsi="Arial" w:cs="Arial"/>
          <w:sz w:val="20"/>
          <w:szCs w:val="20"/>
        </w:rPr>
      </w:pPr>
      <w:r>
        <w:rPr>
          <w:rFonts w:ascii="Arial" w:eastAsia="Arial" w:hAnsi="Arial" w:cs="Arial"/>
          <w:sz w:val="20"/>
          <w:szCs w:val="20"/>
        </w:rPr>
        <w:t xml:space="preserve">The study has two main stages: evaluating the nature of the variables and investigating the relationship between the variables. In the first stage, after studying descriptive statistics and correlation among </w:t>
      </w:r>
      <w:r>
        <w:rPr>
          <w:rFonts w:ascii="Arial" w:eastAsia="Arial" w:hAnsi="Arial" w:cs="Arial"/>
          <w:sz w:val="20"/>
          <w:szCs w:val="20"/>
        </w:rPr>
        <w:lastRenderedPageBreak/>
        <w:t xml:space="preserve">variables the </w:t>
      </w:r>
      <w:proofErr w:type="spellStart"/>
      <w:r>
        <w:rPr>
          <w:rFonts w:ascii="Arial" w:eastAsia="Arial" w:hAnsi="Arial" w:cs="Arial"/>
          <w:sz w:val="20"/>
          <w:szCs w:val="20"/>
        </w:rPr>
        <w:t>Im</w:t>
      </w:r>
      <w:proofErr w:type="spellEnd"/>
      <w:r>
        <w:rPr>
          <w:rFonts w:ascii="Arial" w:eastAsia="Arial" w:hAnsi="Arial" w:cs="Arial"/>
          <w:sz w:val="20"/>
          <w:szCs w:val="20"/>
        </w:rPr>
        <w:t>, Pesaran and Shin (IPS) test is used to test the stationarity of each variable. The IPS test has many advantages of reliable results, high performance, adaptability to various data models, and a strong theoretical basis, which make it useful to determine the reliable test of stationarity of variables. While conducting this test the null hypothesis assumes that the series is non-stationary. Rejection of the null hypothesis will be an indicator of stationarity of a variable. Once the stationarity is tested, the variables are checked for cointegration. Successful cointegration will justify the suitability of ARDL and ECM for further analysis. This approach provides a comprehensive analysis for testing which of three sectors can be considered as an engine of economic growth of India.</w:t>
      </w:r>
    </w:p>
    <w:p w14:paraId="64E84CDD" w14:textId="77777777" w:rsidR="002456FC" w:rsidRDefault="00000000">
      <w:pPr>
        <w:spacing w:after="0" w:line="360" w:lineRule="auto"/>
        <w:rPr>
          <w:rFonts w:ascii="Arial" w:eastAsia="Arial" w:hAnsi="Arial" w:cs="Arial"/>
          <w:b/>
        </w:rPr>
      </w:pPr>
      <w:r>
        <w:rPr>
          <w:rFonts w:ascii="Arial" w:eastAsia="Arial" w:hAnsi="Arial" w:cs="Arial"/>
          <w:b/>
        </w:rPr>
        <w:t>4.1 Trend and Growth Rates of Selected Variables</w:t>
      </w:r>
    </w:p>
    <w:p w14:paraId="3ED9B565" w14:textId="77777777" w:rsidR="002456FC" w:rsidRDefault="00000000">
      <w:pPr>
        <w:spacing w:after="0" w:line="360" w:lineRule="auto"/>
        <w:jc w:val="both"/>
        <w:rPr>
          <w:rFonts w:ascii="Arial" w:eastAsia="Arial" w:hAnsi="Arial" w:cs="Arial"/>
          <w:sz w:val="20"/>
          <w:szCs w:val="20"/>
        </w:rPr>
      </w:pPr>
      <w:r>
        <w:rPr>
          <w:rFonts w:ascii="Times New Roman" w:eastAsia="Times New Roman" w:hAnsi="Times New Roman" w:cs="Times New Roman"/>
          <w:sz w:val="24"/>
          <w:szCs w:val="24"/>
        </w:rPr>
        <w:t xml:space="preserve"> </w:t>
      </w:r>
      <w:r>
        <w:rPr>
          <w:rFonts w:ascii="Arial" w:eastAsia="Arial" w:hAnsi="Arial" w:cs="Arial"/>
          <w:sz w:val="20"/>
          <w:szCs w:val="20"/>
        </w:rPr>
        <w:t>Figure 1 displays the trend of the real gross domestic product.</w:t>
      </w:r>
    </w:p>
    <w:p w14:paraId="4110A7E0" w14:textId="77777777" w:rsidR="002456FC" w:rsidRDefault="00000000">
      <w:pPr>
        <w:spacing w:line="360" w:lineRule="auto"/>
      </w:pPr>
      <w:r>
        <w:object w:dxaOrig="8145" w:dyaOrig="4005" w14:anchorId="7FE6A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4pt;height:200.5pt" o:ole="">
            <v:imagedata r:id="rId7" o:title=""/>
          </v:shape>
          <o:OLEObject Type="Embed" ProgID="EViews.Workfile.2" ShapeID="_x0000_i1025" DrawAspect="Content" ObjectID="_1821802496" r:id="rId8"/>
        </w:object>
      </w:r>
    </w:p>
    <w:p w14:paraId="37052174" w14:textId="77777777" w:rsidR="002456FC" w:rsidRDefault="00000000">
      <w:pPr>
        <w:spacing w:after="0" w:line="240" w:lineRule="auto"/>
        <w:ind w:left="-7"/>
        <w:jc w:val="center"/>
        <w:rPr>
          <w:rFonts w:ascii="Arial" w:eastAsia="Arial" w:hAnsi="Arial" w:cs="Arial"/>
          <w:i/>
          <w:sz w:val="20"/>
          <w:szCs w:val="20"/>
        </w:rPr>
      </w:pPr>
      <w:r>
        <w:rPr>
          <w:rFonts w:ascii="Arial" w:eastAsia="Arial" w:hAnsi="Arial" w:cs="Arial"/>
          <w:i/>
          <w:sz w:val="20"/>
          <w:szCs w:val="20"/>
        </w:rPr>
        <w:t>Source: Prepared by authors.</w:t>
      </w:r>
    </w:p>
    <w:p w14:paraId="5AE13A41" w14:textId="77777777" w:rsidR="002456FC" w:rsidRDefault="002456FC">
      <w:pPr>
        <w:spacing w:after="0" w:line="240" w:lineRule="auto"/>
        <w:rPr>
          <w:rFonts w:ascii="Times New Roman" w:eastAsia="Times New Roman" w:hAnsi="Times New Roman" w:cs="Times New Roman"/>
          <w:b/>
          <w:sz w:val="24"/>
          <w:szCs w:val="24"/>
        </w:rPr>
      </w:pPr>
    </w:p>
    <w:p w14:paraId="0D84A4A9" w14:textId="77777777" w:rsidR="002456FC" w:rsidRDefault="00000000">
      <w:pPr>
        <w:spacing w:after="0" w:line="240" w:lineRule="auto"/>
        <w:jc w:val="center"/>
        <w:rPr>
          <w:rFonts w:ascii="Arial" w:eastAsia="Arial" w:hAnsi="Arial" w:cs="Arial"/>
          <w:b/>
          <w:sz w:val="20"/>
          <w:szCs w:val="20"/>
        </w:rPr>
      </w:pPr>
      <w:r>
        <w:rPr>
          <w:rFonts w:ascii="Arial" w:eastAsia="Arial" w:hAnsi="Arial" w:cs="Arial"/>
          <w:b/>
          <w:sz w:val="20"/>
          <w:szCs w:val="20"/>
        </w:rPr>
        <w:t>Figure 1. Graph of RGDP</w:t>
      </w:r>
    </w:p>
    <w:p w14:paraId="34ADA117" w14:textId="77777777" w:rsidR="002456FC" w:rsidRDefault="002456FC">
      <w:pPr>
        <w:spacing w:line="240" w:lineRule="auto"/>
        <w:rPr>
          <w:rFonts w:ascii="Arial" w:eastAsia="Arial" w:hAnsi="Arial" w:cs="Arial"/>
          <w:sz w:val="20"/>
          <w:szCs w:val="20"/>
        </w:rPr>
      </w:pPr>
    </w:p>
    <w:p w14:paraId="0409C3F4" w14:textId="77777777" w:rsidR="002456FC" w:rsidRDefault="00000000">
      <w:pPr>
        <w:spacing w:line="240" w:lineRule="auto"/>
        <w:rPr>
          <w:rFonts w:ascii="Arial" w:eastAsia="Arial" w:hAnsi="Arial" w:cs="Arial"/>
          <w:sz w:val="20"/>
          <w:szCs w:val="20"/>
        </w:rPr>
      </w:pPr>
      <w:r>
        <w:rPr>
          <w:rFonts w:ascii="Arial" w:eastAsia="Arial" w:hAnsi="Arial" w:cs="Arial"/>
          <w:sz w:val="20"/>
          <w:szCs w:val="20"/>
        </w:rPr>
        <w:t>Figure 1 indicates that RGDP has a rising trend.</w:t>
      </w:r>
    </w:p>
    <w:p w14:paraId="05AF1DE5" w14:textId="77777777" w:rsidR="002456FC" w:rsidRDefault="00000000">
      <w:pPr>
        <w:spacing w:line="240" w:lineRule="auto"/>
        <w:jc w:val="both"/>
        <w:rPr>
          <w:rFonts w:ascii="Arial" w:eastAsia="Arial" w:hAnsi="Arial" w:cs="Arial"/>
          <w:sz w:val="20"/>
          <w:szCs w:val="20"/>
        </w:rPr>
      </w:pPr>
      <w:r>
        <w:rPr>
          <w:rFonts w:ascii="Arial" w:eastAsia="Arial" w:hAnsi="Arial" w:cs="Arial"/>
          <w:sz w:val="20"/>
          <w:szCs w:val="20"/>
        </w:rPr>
        <w:t>Figure 2 displays the shares of agriculture, manufacturing and service sectors in GDP of India.</w:t>
      </w:r>
    </w:p>
    <w:p w14:paraId="2A1A7AC9" w14:textId="77777777" w:rsidR="002456FC" w:rsidRDefault="00000000">
      <w:pPr>
        <w:spacing w:line="360" w:lineRule="auto"/>
      </w:pPr>
      <w:r>
        <w:object w:dxaOrig="8670" w:dyaOrig="5220" w14:anchorId="4E16C7EF">
          <v:shape id="_x0000_i1026" type="#_x0000_t75" style="width:433.8pt;height:260.65pt" o:ole="">
            <v:imagedata r:id="rId9" o:title=""/>
          </v:shape>
          <o:OLEObject Type="Embed" ProgID="EViews.Workfile.2" ShapeID="_x0000_i1026" DrawAspect="Content" ObjectID="_1821802497" r:id="rId10"/>
        </w:object>
      </w:r>
    </w:p>
    <w:p w14:paraId="54E54B62" w14:textId="77777777" w:rsidR="002456FC" w:rsidRDefault="00000000">
      <w:pPr>
        <w:spacing w:after="0" w:line="240" w:lineRule="auto"/>
        <w:ind w:left="-7"/>
        <w:jc w:val="center"/>
        <w:rPr>
          <w:rFonts w:ascii="Arial" w:eastAsia="Arial" w:hAnsi="Arial" w:cs="Arial"/>
          <w:i/>
          <w:sz w:val="20"/>
          <w:szCs w:val="20"/>
        </w:rPr>
      </w:pPr>
      <w:bookmarkStart w:id="5" w:name="_qwttyffm9rjz" w:colFirst="0" w:colLast="0"/>
      <w:bookmarkEnd w:id="5"/>
      <w:r>
        <w:rPr>
          <w:rFonts w:ascii="Arial" w:eastAsia="Arial" w:hAnsi="Arial" w:cs="Arial"/>
          <w:i/>
          <w:sz w:val="20"/>
          <w:szCs w:val="20"/>
        </w:rPr>
        <w:t>Source: Prepared by authors.</w:t>
      </w:r>
    </w:p>
    <w:p w14:paraId="7B89CAAF" w14:textId="77777777" w:rsidR="002456FC" w:rsidRDefault="00000000">
      <w:pPr>
        <w:spacing w:line="360" w:lineRule="auto"/>
        <w:jc w:val="center"/>
        <w:rPr>
          <w:rFonts w:ascii="Arial" w:eastAsia="Arial" w:hAnsi="Arial" w:cs="Arial"/>
          <w:b/>
          <w:i/>
          <w:sz w:val="20"/>
          <w:szCs w:val="20"/>
        </w:rPr>
      </w:pPr>
      <w:bookmarkStart w:id="6" w:name="_2m14i72yw781" w:colFirst="0" w:colLast="0"/>
      <w:bookmarkEnd w:id="6"/>
      <w:r>
        <w:rPr>
          <w:rFonts w:ascii="Arial" w:eastAsia="Arial" w:hAnsi="Arial" w:cs="Arial"/>
          <w:b/>
          <w:sz w:val="20"/>
          <w:szCs w:val="20"/>
        </w:rPr>
        <w:t>Figure 2. Share of agriculture, manufacturing and services in GDP of India</w:t>
      </w:r>
    </w:p>
    <w:p w14:paraId="7031A4D7" w14:textId="77777777" w:rsidR="002456FC" w:rsidRDefault="00000000">
      <w:pPr>
        <w:spacing w:line="240" w:lineRule="auto"/>
        <w:jc w:val="both"/>
        <w:rPr>
          <w:rFonts w:ascii="Arial" w:eastAsia="Arial" w:hAnsi="Arial" w:cs="Arial"/>
          <w:sz w:val="20"/>
          <w:szCs w:val="20"/>
        </w:rPr>
      </w:pPr>
      <w:r>
        <w:rPr>
          <w:rFonts w:ascii="Arial" w:eastAsia="Arial" w:hAnsi="Arial" w:cs="Arial"/>
          <w:sz w:val="20"/>
          <w:szCs w:val="20"/>
        </w:rPr>
        <w:t>Figure 2 indicates the share of agriculture in GDP has a declining trend, the share of service sector has an increasing trend, and the share of manufacturing sector in GDP is constant.</w:t>
      </w:r>
    </w:p>
    <w:p w14:paraId="3B8DC351" w14:textId="77777777" w:rsidR="002456FC" w:rsidRDefault="002456FC">
      <w:pPr>
        <w:pStyle w:val="Heading3"/>
        <w:spacing w:before="280" w:after="280" w:line="360" w:lineRule="auto"/>
        <w:rPr>
          <w:rFonts w:ascii="Arial" w:eastAsia="Arial" w:hAnsi="Arial" w:cs="Arial"/>
          <w:sz w:val="22"/>
          <w:szCs w:val="22"/>
        </w:rPr>
      </w:pPr>
    </w:p>
    <w:p w14:paraId="488AD3F7" w14:textId="77777777" w:rsidR="002456FC" w:rsidRDefault="00000000">
      <w:pPr>
        <w:pStyle w:val="Heading3"/>
        <w:spacing w:after="0"/>
        <w:rPr>
          <w:rFonts w:ascii="Arial" w:eastAsia="Arial" w:hAnsi="Arial" w:cs="Arial"/>
          <w:sz w:val="22"/>
          <w:szCs w:val="22"/>
        </w:rPr>
      </w:pPr>
      <w:r>
        <w:rPr>
          <w:rFonts w:ascii="Arial" w:eastAsia="Arial" w:hAnsi="Arial" w:cs="Arial"/>
          <w:sz w:val="22"/>
          <w:szCs w:val="22"/>
        </w:rPr>
        <w:t>4.2 Descriptive Statistics and Correlation Matrix</w:t>
      </w:r>
    </w:p>
    <w:p w14:paraId="10F286E5" w14:textId="77777777" w:rsidR="002456FC" w:rsidRDefault="002456FC">
      <w:pPr>
        <w:spacing w:after="0" w:line="240" w:lineRule="auto"/>
        <w:jc w:val="both"/>
        <w:rPr>
          <w:rFonts w:ascii="Arial" w:eastAsia="Arial" w:hAnsi="Arial" w:cs="Arial"/>
          <w:sz w:val="20"/>
          <w:szCs w:val="20"/>
        </w:rPr>
      </w:pPr>
    </w:p>
    <w:p w14:paraId="432DC2B4" w14:textId="77777777" w:rsidR="002456FC" w:rsidRDefault="00000000">
      <w:pPr>
        <w:spacing w:after="0" w:line="240" w:lineRule="auto"/>
        <w:jc w:val="both"/>
        <w:rPr>
          <w:rFonts w:ascii="Arial" w:eastAsia="Arial" w:hAnsi="Arial" w:cs="Arial"/>
        </w:rPr>
      </w:pPr>
      <w:r>
        <w:rPr>
          <w:rFonts w:ascii="Arial" w:eastAsia="Arial" w:hAnsi="Arial" w:cs="Arial"/>
          <w:sz w:val="20"/>
          <w:szCs w:val="20"/>
        </w:rPr>
        <w:t>Table 1 shows some of the key descriptive statistics and correlation coefficients for the selected variables.</w:t>
      </w:r>
    </w:p>
    <w:p w14:paraId="4D93401E" w14:textId="77777777" w:rsidR="002456FC" w:rsidRDefault="00000000">
      <w:pPr>
        <w:spacing w:after="0" w:line="240" w:lineRule="auto"/>
        <w:jc w:val="center"/>
        <w:rPr>
          <w:rFonts w:ascii="Arial" w:eastAsia="Arial" w:hAnsi="Arial" w:cs="Arial"/>
          <w:b/>
        </w:rPr>
      </w:pPr>
      <w:r>
        <w:rPr>
          <w:rFonts w:ascii="Arial" w:eastAsia="Arial" w:hAnsi="Arial" w:cs="Arial"/>
          <w:b/>
        </w:rPr>
        <w:t>Table 1. Descriptive statistics of selected variables</w:t>
      </w:r>
    </w:p>
    <w:tbl>
      <w:tblPr>
        <w:tblStyle w:val="a"/>
        <w:tblW w:w="8965" w:type="dxa"/>
        <w:tblInd w:w="30" w:type="dxa"/>
        <w:tblLayout w:type="fixed"/>
        <w:tblLook w:val="0000" w:firstRow="0" w:lastRow="0" w:firstColumn="0" w:lastColumn="0" w:noHBand="0" w:noVBand="0"/>
      </w:tblPr>
      <w:tblGrid>
        <w:gridCol w:w="1045"/>
        <w:gridCol w:w="810"/>
        <w:gridCol w:w="810"/>
        <w:gridCol w:w="900"/>
        <w:gridCol w:w="990"/>
        <w:gridCol w:w="900"/>
        <w:gridCol w:w="990"/>
        <w:gridCol w:w="810"/>
        <w:gridCol w:w="720"/>
        <w:gridCol w:w="990"/>
      </w:tblGrid>
      <w:tr w:rsidR="002456FC" w14:paraId="6681A48F" w14:textId="77777777">
        <w:trPr>
          <w:cantSplit/>
          <w:trHeight w:val="1358"/>
        </w:trPr>
        <w:tc>
          <w:tcPr>
            <w:tcW w:w="1045" w:type="dxa"/>
            <w:tcBorders>
              <w:top w:val="single" w:sz="4" w:space="0" w:color="000000"/>
              <w:bottom w:val="single" w:sz="4" w:space="0" w:color="000000"/>
            </w:tcBorders>
            <w:vAlign w:val="bottom"/>
          </w:tcPr>
          <w:p w14:paraId="250F98BD" w14:textId="77777777" w:rsidR="002456FC" w:rsidRDefault="002456FC">
            <w:pPr>
              <w:spacing w:after="0" w:line="240" w:lineRule="auto"/>
              <w:jc w:val="center"/>
              <w:rPr>
                <w:rFonts w:ascii="Arial" w:eastAsia="Arial" w:hAnsi="Arial" w:cs="Arial"/>
                <w:color w:val="000000"/>
                <w:sz w:val="20"/>
                <w:szCs w:val="20"/>
              </w:rPr>
            </w:pPr>
          </w:p>
        </w:tc>
        <w:tc>
          <w:tcPr>
            <w:tcW w:w="810" w:type="dxa"/>
            <w:tcBorders>
              <w:top w:val="single" w:sz="4" w:space="0" w:color="000000"/>
              <w:bottom w:val="single" w:sz="4" w:space="0" w:color="000000"/>
            </w:tcBorders>
            <w:vAlign w:val="bottom"/>
          </w:tcPr>
          <w:p w14:paraId="62635C55" w14:textId="77777777" w:rsidR="002456FC" w:rsidRDefault="00000000">
            <w:pPr>
              <w:spacing w:after="0" w:line="240" w:lineRule="auto"/>
              <w:ind w:left="113" w:right="113"/>
              <w:jc w:val="center"/>
              <w:rPr>
                <w:rFonts w:ascii="Arial" w:eastAsia="Arial" w:hAnsi="Arial" w:cs="Arial"/>
                <w:b/>
                <w:color w:val="000000"/>
                <w:sz w:val="20"/>
                <w:szCs w:val="20"/>
              </w:rPr>
            </w:pPr>
            <w:r>
              <w:rPr>
                <w:rFonts w:ascii="Arial" w:eastAsia="Arial" w:hAnsi="Arial" w:cs="Arial"/>
                <w:b/>
                <w:color w:val="000000"/>
                <w:sz w:val="20"/>
                <w:szCs w:val="20"/>
              </w:rPr>
              <w:t>LNRGDP</w:t>
            </w:r>
          </w:p>
        </w:tc>
        <w:tc>
          <w:tcPr>
            <w:tcW w:w="810" w:type="dxa"/>
            <w:tcBorders>
              <w:top w:val="single" w:sz="4" w:space="0" w:color="000000"/>
              <w:bottom w:val="single" w:sz="4" w:space="0" w:color="000000"/>
            </w:tcBorders>
            <w:vAlign w:val="bottom"/>
          </w:tcPr>
          <w:p w14:paraId="18DA0245" w14:textId="77777777" w:rsidR="002456FC" w:rsidRDefault="00000000">
            <w:pPr>
              <w:spacing w:after="0" w:line="240" w:lineRule="auto"/>
              <w:ind w:left="113" w:right="113"/>
              <w:jc w:val="center"/>
              <w:rPr>
                <w:rFonts w:ascii="Arial" w:eastAsia="Arial" w:hAnsi="Arial" w:cs="Arial"/>
                <w:b/>
                <w:color w:val="000000"/>
                <w:sz w:val="20"/>
                <w:szCs w:val="20"/>
              </w:rPr>
            </w:pPr>
            <w:r>
              <w:rPr>
                <w:rFonts w:ascii="Arial" w:eastAsia="Arial" w:hAnsi="Arial" w:cs="Arial"/>
                <w:b/>
                <w:color w:val="000000"/>
                <w:sz w:val="20"/>
                <w:szCs w:val="20"/>
              </w:rPr>
              <w:t>LNMANP</w:t>
            </w:r>
          </w:p>
        </w:tc>
        <w:tc>
          <w:tcPr>
            <w:tcW w:w="900" w:type="dxa"/>
            <w:tcBorders>
              <w:top w:val="single" w:sz="4" w:space="0" w:color="000000"/>
              <w:bottom w:val="single" w:sz="4" w:space="0" w:color="000000"/>
            </w:tcBorders>
            <w:vAlign w:val="bottom"/>
          </w:tcPr>
          <w:p w14:paraId="7E95DF4A" w14:textId="77777777" w:rsidR="002456FC" w:rsidRDefault="00000000">
            <w:pPr>
              <w:spacing w:after="0" w:line="240" w:lineRule="auto"/>
              <w:ind w:left="113" w:right="113"/>
              <w:jc w:val="center"/>
              <w:rPr>
                <w:rFonts w:ascii="Arial" w:eastAsia="Arial" w:hAnsi="Arial" w:cs="Arial"/>
                <w:b/>
                <w:color w:val="000000"/>
                <w:sz w:val="20"/>
                <w:szCs w:val="20"/>
              </w:rPr>
            </w:pPr>
            <w:r>
              <w:rPr>
                <w:rFonts w:ascii="Arial" w:eastAsia="Arial" w:hAnsi="Arial" w:cs="Arial"/>
                <w:b/>
                <w:color w:val="000000"/>
                <w:sz w:val="20"/>
                <w:szCs w:val="20"/>
              </w:rPr>
              <w:t>LNSERP</w:t>
            </w:r>
          </w:p>
        </w:tc>
        <w:tc>
          <w:tcPr>
            <w:tcW w:w="990" w:type="dxa"/>
            <w:tcBorders>
              <w:top w:val="single" w:sz="4" w:space="0" w:color="000000"/>
              <w:bottom w:val="single" w:sz="4" w:space="0" w:color="000000"/>
            </w:tcBorders>
            <w:vAlign w:val="bottom"/>
          </w:tcPr>
          <w:p w14:paraId="56A40BFF" w14:textId="77777777" w:rsidR="002456FC" w:rsidRDefault="00000000">
            <w:pPr>
              <w:spacing w:after="0" w:line="240" w:lineRule="auto"/>
              <w:ind w:left="113" w:right="113"/>
              <w:jc w:val="center"/>
              <w:rPr>
                <w:rFonts w:ascii="Arial" w:eastAsia="Arial" w:hAnsi="Arial" w:cs="Arial"/>
                <w:b/>
                <w:color w:val="000000"/>
                <w:sz w:val="20"/>
                <w:szCs w:val="20"/>
              </w:rPr>
            </w:pPr>
            <w:r>
              <w:rPr>
                <w:rFonts w:ascii="Arial" w:eastAsia="Arial" w:hAnsi="Arial" w:cs="Arial"/>
                <w:b/>
                <w:color w:val="000000"/>
                <w:sz w:val="20"/>
                <w:szCs w:val="20"/>
              </w:rPr>
              <w:t>LNAGRP</w:t>
            </w:r>
          </w:p>
        </w:tc>
        <w:tc>
          <w:tcPr>
            <w:tcW w:w="900" w:type="dxa"/>
            <w:tcBorders>
              <w:top w:val="single" w:sz="4" w:space="0" w:color="000000"/>
              <w:bottom w:val="single" w:sz="4" w:space="0" w:color="000000"/>
            </w:tcBorders>
            <w:vAlign w:val="bottom"/>
          </w:tcPr>
          <w:p w14:paraId="6E6D280D" w14:textId="77777777" w:rsidR="002456FC" w:rsidRDefault="00000000">
            <w:pPr>
              <w:spacing w:after="0" w:line="240" w:lineRule="auto"/>
              <w:ind w:left="113" w:right="113"/>
              <w:jc w:val="center"/>
              <w:rPr>
                <w:rFonts w:ascii="Arial" w:eastAsia="Arial" w:hAnsi="Arial" w:cs="Arial"/>
                <w:b/>
                <w:color w:val="000000"/>
                <w:sz w:val="20"/>
                <w:szCs w:val="20"/>
              </w:rPr>
            </w:pPr>
            <w:r>
              <w:rPr>
                <w:rFonts w:ascii="Arial" w:eastAsia="Arial" w:hAnsi="Arial" w:cs="Arial"/>
                <w:b/>
                <w:color w:val="000000"/>
                <w:sz w:val="20"/>
                <w:szCs w:val="20"/>
              </w:rPr>
              <w:t>LNGCF</w:t>
            </w:r>
          </w:p>
        </w:tc>
        <w:tc>
          <w:tcPr>
            <w:tcW w:w="990" w:type="dxa"/>
            <w:tcBorders>
              <w:top w:val="single" w:sz="4" w:space="0" w:color="000000"/>
              <w:bottom w:val="single" w:sz="4" w:space="0" w:color="000000"/>
            </w:tcBorders>
            <w:vAlign w:val="bottom"/>
          </w:tcPr>
          <w:p w14:paraId="6CA66292" w14:textId="77777777" w:rsidR="002456FC" w:rsidRDefault="00000000">
            <w:pPr>
              <w:spacing w:after="0" w:line="240" w:lineRule="auto"/>
              <w:ind w:left="113" w:right="113"/>
              <w:jc w:val="center"/>
              <w:rPr>
                <w:rFonts w:ascii="Arial" w:eastAsia="Arial" w:hAnsi="Arial" w:cs="Arial"/>
                <w:b/>
                <w:color w:val="000000"/>
                <w:sz w:val="20"/>
                <w:szCs w:val="20"/>
              </w:rPr>
            </w:pPr>
            <w:r>
              <w:rPr>
                <w:rFonts w:ascii="Arial" w:eastAsia="Arial" w:hAnsi="Arial" w:cs="Arial"/>
                <w:b/>
                <w:color w:val="000000"/>
                <w:sz w:val="20"/>
                <w:szCs w:val="20"/>
              </w:rPr>
              <w:t>LNGE</w:t>
            </w:r>
          </w:p>
        </w:tc>
        <w:tc>
          <w:tcPr>
            <w:tcW w:w="810" w:type="dxa"/>
            <w:tcBorders>
              <w:top w:val="single" w:sz="4" w:space="0" w:color="000000"/>
              <w:bottom w:val="single" w:sz="4" w:space="0" w:color="000000"/>
            </w:tcBorders>
            <w:vAlign w:val="bottom"/>
          </w:tcPr>
          <w:p w14:paraId="462071F3" w14:textId="77777777" w:rsidR="002456FC" w:rsidRDefault="00000000">
            <w:pPr>
              <w:spacing w:after="0" w:line="240" w:lineRule="auto"/>
              <w:ind w:left="113" w:right="113"/>
              <w:jc w:val="center"/>
              <w:rPr>
                <w:rFonts w:ascii="Arial" w:eastAsia="Arial" w:hAnsi="Arial" w:cs="Arial"/>
                <w:b/>
                <w:color w:val="000000"/>
                <w:sz w:val="20"/>
                <w:szCs w:val="20"/>
              </w:rPr>
            </w:pPr>
            <w:r>
              <w:rPr>
                <w:rFonts w:ascii="Arial" w:eastAsia="Arial" w:hAnsi="Arial" w:cs="Arial"/>
                <w:b/>
                <w:color w:val="000000"/>
                <w:sz w:val="20"/>
                <w:szCs w:val="20"/>
              </w:rPr>
              <w:t>LNTOPEN</w:t>
            </w:r>
          </w:p>
        </w:tc>
        <w:tc>
          <w:tcPr>
            <w:tcW w:w="720" w:type="dxa"/>
            <w:tcBorders>
              <w:top w:val="single" w:sz="4" w:space="0" w:color="000000"/>
              <w:bottom w:val="single" w:sz="4" w:space="0" w:color="000000"/>
            </w:tcBorders>
            <w:vAlign w:val="bottom"/>
          </w:tcPr>
          <w:p w14:paraId="65C05B4E" w14:textId="77777777" w:rsidR="002456FC" w:rsidRDefault="00000000">
            <w:pPr>
              <w:spacing w:after="0" w:line="240" w:lineRule="auto"/>
              <w:ind w:left="113" w:right="113"/>
              <w:jc w:val="center"/>
              <w:rPr>
                <w:rFonts w:ascii="Arial" w:eastAsia="Arial" w:hAnsi="Arial" w:cs="Arial"/>
                <w:b/>
                <w:color w:val="000000"/>
                <w:sz w:val="20"/>
                <w:szCs w:val="20"/>
              </w:rPr>
            </w:pPr>
            <w:r>
              <w:rPr>
                <w:rFonts w:ascii="Arial" w:eastAsia="Arial" w:hAnsi="Arial" w:cs="Arial"/>
                <w:b/>
                <w:color w:val="000000"/>
                <w:sz w:val="20"/>
                <w:szCs w:val="20"/>
              </w:rPr>
              <w:t>POPGR</w:t>
            </w:r>
          </w:p>
        </w:tc>
        <w:tc>
          <w:tcPr>
            <w:tcW w:w="990" w:type="dxa"/>
            <w:tcBorders>
              <w:top w:val="single" w:sz="4" w:space="0" w:color="000000"/>
              <w:bottom w:val="single" w:sz="4" w:space="0" w:color="000000"/>
            </w:tcBorders>
            <w:vAlign w:val="bottom"/>
          </w:tcPr>
          <w:p w14:paraId="1F7BABFC" w14:textId="77777777" w:rsidR="002456FC" w:rsidRDefault="00000000">
            <w:pPr>
              <w:spacing w:after="0" w:line="240" w:lineRule="auto"/>
              <w:ind w:left="113" w:right="113"/>
              <w:jc w:val="center"/>
              <w:rPr>
                <w:rFonts w:ascii="Arial" w:eastAsia="Arial" w:hAnsi="Arial" w:cs="Arial"/>
                <w:b/>
                <w:color w:val="000000"/>
                <w:sz w:val="20"/>
                <w:szCs w:val="20"/>
              </w:rPr>
            </w:pPr>
            <w:r>
              <w:rPr>
                <w:rFonts w:ascii="Arial" w:eastAsia="Arial" w:hAnsi="Arial" w:cs="Arial"/>
                <w:b/>
                <w:color w:val="000000"/>
                <w:sz w:val="20"/>
                <w:szCs w:val="20"/>
              </w:rPr>
              <w:t>INF</w:t>
            </w:r>
          </w:p>
        </w:tc>
      </w:tr>
      <w:tr w:rsidR="002456FC" w14:paraId="1B2C0460" w14:textId="77777777">
        <w:trPr>
          <w:trHeight w:val="225"/>
        </w:trPr>
        <w:tc>
          <w:tcPr>
            <w:tcW w:w="8965" w:type="dxa"/>
            <w:gridSpan w:val="10"/>
            <w:tcBorders>
              <w:top w:val="single" w:sz="4" w:space="0" w:color="000000"/>
              <w:bottom w:val="single" w:sz="4" w:space="0" w:color="000000"/>
            </w:tcBorders>
            <w:vAlign w:val="bottom"/>
          </w:tcPr>
          <w:p w14:paraId="1692DCC4"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Descriptive Statistics</w:t>
            </w:r>
          </w:p>
        </w:tc>
      </w:tr>
      <w:tr w:rsidR="002456FC" w14:paraId="37C872E9" w14:textId="77777777">
        <w:trPr>
          <w:trHeight w:val="225"/>
        </w:trPr>
        <w:tc>
          <w:tcPr>
            <w:tcW w:w="1045" w:type="dxa"/>
            <w:tcBorders>
              <w:top w:val="single" w:sz="4" w:space="0" w:color="000000"/>
            </w:tcBorders>
            <w:vAlign w:val="bottom"/>
          </w:tcPr>
          <w:p w14:paraId="02B0A10F"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Mean</w:t>
            </w:r>
          </w:p>
        </w:tc>
        <w:tc>
          <w:tcPr>
            <w:tcW w:w="810" w:type="dxa"/>
            <w:tcBorders>
              <w:top w:val="single" w:sz="4" w:space="0" w:color="000000"/>
            </w:tcBorders>
            <w:vAlign w:val="bottom"/>
          </w:tcPr>
          <w:p w14:paraId="4D1F692E"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27.03</w:t>
            </w:r>
          </w:p>
        </w:tc>
        <w:tc>
          <w:tcPr>
            <w:tcW w:w="810" w:type="dxa"/>
            <w:tcBorders>
              <w:top w:val="single" w:sz="4" w:space="0" w:color="000000"/>
            </w:tcBorders>
            <w:vAlign w:val="bottom"/>
          </w:tcPr>
          <w:p w14:paraId="4912F469"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2.755</w:t>
            </w:r>
          </w:p>
        </w:tc>
        <w:tc>
          <w:tcPr>
            <w:tcW w:w="900" w:type="dxa"/>
            <w:tcBorders>
              <w:top w:val="single" w:sz="4" w:space="0" w:color="000000"/>
            </w:tcBorders>
            <w:vAlign w:val="bottom"/>
          </w:tcPr>
          <w:p w14:paraId="773743CC"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3.682</w:t>
            </w:r>
          </w:p>
        </w:tc>
        <w:tc>
          <w:tcPr>
            <w:tcW w:w="990" w:type="dxa"/>
            <w:tcBorders>
              <w:top w:val="single" w:sz="4" w:space="0" w:color="000000"/>
            </w:tcBorders>
            <w:vAlign w:val="bottom"/>
          </w:tcPr>
          <w:p w14:paraId="1E30D948"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3.258</w:t>
            </w:r>
          </w:p>
        </w:tc>
        <w:tc>
          <w:tcPr>
            <w:tcW w:w="900" w:type="dxa"/>
            <w:tcBorders>
              <w:top w:val="single" w:sz="4" w:space="0" w:color="000000"/>
            </w:tcBorders>
            <w:vAlign w:val="bottom"/>
          </w:tcPr>
          <w:p w14:paraId="530C4F7C"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25.52</w:t>
            </w:r>
          </w:p>
        </w:tc>
        <w:tc>
          <w:tcPr>
            <w:tcW w:w="990" w:type="dxa"/>
            <w:tcBorders>
              <w:top w:val="single" w:sz="4" w:space="0" w:color="000000"/>
            </w:tcBorders>
            <w:vAlign w:val="bottom"/>
          </w:tcPr>
          <w:p w14:paraId="1A5227F5"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24.71</w:t>
            </w:r>
          </w:p>
        </w:tc>
        <w:tc>
          <w:tcPr>
            <w:tcW w:w="810" w:type="dxa"/>
            <w:tcBorders>
              <w:top w:val="single" w:sz="4" w:space="0" w:color="000000"/>
            </w:tcBorders>
            <w:vAlign w:val="bottom"/>
          </w:tcPr>
          <w:p w14:paraId="5CD3A8A9"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3.002</w:t>
            </w:r>
          </w:p>
        </w:tc>
        <w:tc>
          <w:tcPr>
            <w:tcW w:w="720" w:type="dxa"/>
            <w:tcBorders>
              <w:top w:val="single" w:sz="4" w:space="0" w:color="000000"/>
            </w:tcBorders>
            <w:vAlign w:val="bottom"/>
          </w:tcPr>
          <w:p w14:paraId="3EFA4040"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1.864</w:t>
            </w:r>
          </w:p>
        </w:tc>
        <w:tc>
          <w:tcPr>
            <w:tcW w:w="990" w:type="dxa"/>
            <w:tcBorders>
              <w:top w:val="single" w:sz="4" w:space="0" w:color="000000"/>
            </w:tcBorders>
            <w:vAlign w:val="bottom"/>
          </w:tcPr>
          <w:p w14:paraId="217F9D76"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7.455</w:t>
            </w:r>
          </w:p>
        </w:tc>
      </w:tr>
      <w:tr w:rsidR="002456FC" w14:paraId="3F4EB41D" w14:textId="77777777">
        <w:trPr>
          <w:trHeight w:val="225"/>
        </w:trPr>
        <w:tc>
          <w:tcPr>
            <w:tcW w:w="1045" w:type="dxa"/>
            <w:vAlign w:val="bottom"/>
          </w:tcPr>
          <w:p w14:paraId="1FED3395"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Median</w:t>
            </w:r>
          </w:p>
        </w:tc>
        <w:tc>
          <w:tcPr>
            <w:tcW w:w="810" w:type="dxa"/>
            <w:vAlign w:val="bottom"/>
          </w:tcPr>
          <w:p w14:paraId="69E093EC"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26.89</w:t>
            </w:r>
          </w:p>
        </w:tc>
        <w:tc>
          <w:tcPr>
            <w:tcW w:w="810" w:type="dxa"/>
            <w:vAlign w:val="bottom"/>
          </w:tcPr>
          <w:p w14:paraId="6797B8CC"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2.762</w:t>
            </w:r>
          </w:p>
        </w:tc>
        <w:tc>
          <w:tcPr>
            <w:tcW w:w="900" w:type="dxa"/>
            <w:vAlign w:val="bottom"/>
          </w:tcPr>
          <w:p w14:paraId="429951CF"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3.634</w:t>
            </w:r>
          </w:p>
        </w:tc>
        <w:tc>
          <w:tcPr>
            <w:tcW w:w="990" w:type="dxa"/>
            <w:vAlign w:val="bottom"/>
          </w:tcPr>
          <w:p w14:paraId="0EE45B07"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3.307</w:t>
            </w:r>
          </w:p>
        </w:tc>
        <w:tc>
          <w:tcPr>
            <w:tcW w:w="900" w:type="dxa"/>
            <w:vAlign w:val="bottom"/>
          </w:tcPr>
          <w:p w14:paraId="6984D370"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25.31</w:t>
            </w:r>
          </w:p>
        </w:tc>
        <w:tc>
          <w:tcPr>
            <w:tcW w:w="990" w:type="dxa"/>
            <w:vAlign w:val="bottom"/>
          </w:tcPr>
          <w:p w14:paraId="27B05CDC"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24.72</w:t>
            </w:r>
          </w:p>
        </w:tc>
        <w:tc>
          <w:tcPr>
            <w:tcW w:w="810" w:type="dxa"/>
            <w:vAlign w:val="bottom"/>
          </w:tcPr>
          <w:p w14:paraId="33E7305A"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2.873</w:t>
            </w:r>
          </w:p>
        </w:tc>
        <w:tc>
          <w:tcPr>
            <w:tcW w:w="720" w:type="dxa"/>
            <w:vAlign w:val="bottom"/>
          </w:tcPr>
          <w:p w14:paraId="4736AAA9"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2.088</w:t>
            </w:r>
          </w:p>
        </w:tc>
        <w:tc>
          <w:tcPr>
            <w:tcW w:w="990" w:type="dxa"/>
            <w:vAlign w:val="bottom"/>
          </w:tcPr>
          <w:p w14:paraId="173DF78E"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6.682</w:t>
            </w:r>
          </w:p>
        </w:tc>
      </w:tr>
      <w:tr w:rsidR="002456FC" w14:paraId="1A9C916B" w14:textId="77777777">
        <w:trPr>
          <w:trHeight w:val="225"/>
        </w:trPr>
        <w:tc>
          <w:tcPr>
            <w:tcW w:w="1045" w:type="dxa"/>
            <w:vAlign w:val="bottom"/>
          </w:tcPr>
          <w:p w14:paraId="496098D9"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Maximum</w:t>
            </w:r>
          </w:p>
        </w:tc>
        <w:tc>
          <w:tcPr>
            <w:tcW w:w="810" w:type="dxa"/>
            <w:vAlign w:val="bottom"/>
          </w:tcPr>
          <w:p w14:paraId="19D48E48"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28.69</w:t>
            </w:r>
          </w:p>
        </w:tc>
        <w:tc>
          <w:tcPr>
            <w:tcW w:w="810" w:type="dxa"/>
            <w:vAlign w:val="bottom"/>
          </w:tcPr>
          <w:p w14:paraId="0A6324A5"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2.882</w:t>
            </w:r>
          </w:p>
        </w:tc>
        <w:tc>
          <w:tcPr>
            <w:tcW w:w="900" w:type="dxa"/>
            <w:vAlign w:val="bottom"/>
          </w:tcPr>
          <w:p w14:paraId="1881822B"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3.913</w:t>
            </w:r>
          </w:p>
        </w:tc>
        <w:tc>
          <w:tcPr>
            <w:tcW w:w="990" w:type="dxa"/>
            <w:vAlign w:val="bottom"/>
          </w:tcPr>
          <w:p w14:paraId="3B6B7640"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3.755</w:t>
            </w:r>
          </w:p>
        </w:tc>
        <w:tc>
          <w:tcPr>
            <w:tcW w:w="900" w:type="dxa"/>
            <w:vAlign w:val="bottom"/>
          </w:tcPr>
          <w:p w14:paraId="24A44BCB"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27.62</w:t>
            </w:r>
          </w:p>
        </w:tc>
        <w:tc>
          <w:tcPr>
            <w:tcW w:w="990" w:type="dxa"/>
            <w:vAlign w:val="bottom"/>
          </w:tcPr>
          <w:p w14:paraId="4DFC7CB8"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26.44</w:t>
            </w:r>
          </w:p>
        </w:tc>
        <w:tc>
          <w:tcPr>
            <w:tcW w:w="810" w:type="dxa"/>
            <w:vAlign w:val="bottom"/>
          </w:tcPr>
          <w:p w14:paraId="6A496DBE"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4.021</w:t>
            </w:r>
          </w:p>
        </w:tc>
        <w:tc>
          <w:tcPr>
            <w:tcW w:w="720" w:type="dxa"/>
            <w:vAlign w:val="bottom"/>
          </w:tcPr>
          <w:p w14:paraId="1E03F621"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2.311</w:t>
            </w:r>
          </w:p>
        </w:tc>
        <w:tc>
          <w:tcPr>
            <w:tcW w:w="990" w:type="dxa"/>
            <w:vAlign w:val="bottom"/>
          </w:tcPr>
          <w:p w14:paraId="19061D3E"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28.59</w:t>
            </w:r>
          </w:p>
        </w:tc>
      </w:tr>
      <w:tr w:rsidR="002456FC" w14:paraId="77FD3D73" w14:textId="77777777">
        <w:trPr>
          <w:trHeight w:val="225"/>
        </w:trPr>
        <w:tc>
          <w:tcPr>
            <w:tcW w:w="1045" w:type="dxa"/>
            <w:vAlign w:val="bottom"/>
          </w:tcPr>
          <w:p w14:paraId="03836AB3"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Minimum</w:t>
            </w:r>
          </w:p>
        </w:tc>
        <w:tc>
          <w:tcPr>
            <w:tcW w:w="810" w:type="dxa"/>
            <w:vAlign w:val="bottom"/>
          </w:tcPr>
          <w:p w14:paraId="63A10AAD"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25.67</w:t>
            </w:r>
          </w:p>
        </w:tc>
        <w:tc>
          <w:tcPr>
            <w:tcW w:w="810" w:type="dxa"/>
            <w:vAlign w:val="bottom"/>
          </w:tcPr>
          <w:p w14:paraId="34236AC9"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2.582</w:t>
            </w:r>
          </w:p>
        </w:tc>
        <w:tc>
          <w:tcPr>
            <w:tcW w:w="900" w:type="dxa"/>
            <w:vAlign w:val="bottom"/>
          </w:tcPr>
          <w:p w14:paraId="4DC475FD"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3.494</w:t>
            </w:r>
          </w:p>
        </w:tc>
        <w:tc>
          <w:tcPr>
            <w:tcW w:w="990" w:type="dxa"/>
            <w:vAlign w:val="bottom"/>
          </w:tcPr>
          <w:p w14:paraId="04EF4401"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2.774</w:t>
            </w:r>
          </w:p>
        </w:tc>
        <w:tc>
          <w:tcPr>
            <w:tcW w:w="900" w:type="dxa"/>
            <w:vAlign w:val="bottom"/>
          </w:tcPr>
          <w:p w14:paraId="6A108CB6"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23.68</w:t>
            </w:r>
          </w:p>
        </w:tc>
        <w:tc>
          <w:tcPr>
            <w:tcW w:w="990" w:type="dxa"/>
            <w:vAlign w:val="bottom"/>
          </w:tcPr>
          <w:p w14:paraId="17F324B8"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22.75</w:t>
            </w:r>
          </w:p>
        </w:tc>
        <w:tc>
          <w:tcPr>
            <w:tcW w:w="810" w:type="dxa"/>
            <w:vAlign w:val="bottom"/>
          </w:tcPr>
          <w:p w14:paraId="65D47152"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2.036</w:t>
            </w:r>
          </w:p>
        </w:tc>
        <w:tc>
          <w:tcPr>
            <w:tcW w:w="720" w:type="dxa"/>
            <w:vAlign w:val="bottom"/>
          </w:tcPr>
          <w:p w14:paraId="220C45C3"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0.680</w:t>
            </w:r>
          </w:p>
        </w:tc>
        <w:tc>
          <w:tcPr>
            <w:tcW w:w="990" w:type="dxa"/>
            <w:vAlign w:val="bottom"/>
          </w:tcPr>
          <w:p w14:paraId="4BDCFDB1"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-7.633</w:t>
            </w:r>
          </w:p>
        </w:tc>
      </w:tr>
      <w:tr w:rsidR="002456FC" w14:paraId="394588E2" w14:textId="77777777">
        <w:trPr>
          <w:trHeight w:val="225"/>
        </w:trPr>
        <w:tc>
          <w:tcPr>
            <w:tcW w:w="1045" w:type="dxa"/>
            <w:vAlign w:val="bottom"/>
          </w:tcPr>
          <w:p w14:paraId="492B4FED"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Std. Dev.</w:t>
            </w:r>
          </w:p>
        </w:tc>
        <w:tc>
          <w:tcPr>
            <w:tcW w:w="810" w:type="dxa"/>
            <w:vAlign w:val="bottom"/>
          </w:tcPr>
          <w:p w14:paraId="1DA60759"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0.937</w:t>
            </w:r>
          </w:p>
        </w:tc>
        <w:tc>
          <w:tcPr>
            <w:tcW w:w="810" w:type="dxa"/>
            <w:vAlign w:val="bottom"/>
          </w:tcPr>
          <w:p w14:paraId="0574A96B"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0.069</w:t>
            </w:r>
          </w:p>
        </w:tc>
        <w:tc>
          <w:tcPr>
            <w:tcW w:w="900" w:type="dxa"/>
            <w:vAlign w:val="bottom"/>
          </w:tcPr>
          <w:p w14:paraId="6794174E"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0.125</w:t>
            </w:r>
          </w:p>
        </w:tc>
        <w:tc>
          <w:tcPr>
            <w:tcW w:w="990" w:type="dxa"/>
            <w:vAlign w:val="bottom"/>
          </w:tcPr>
          <w:p w14:paraId="374EF656"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0.344</w:t>
            </w:r>
          </w:p>
        </w:tc>
        <w:tc>
          <w:tcPr>
            <w:tcW w:w="900" w:type="dxa"/>
            <w:vAlign w:val="bottom"/>
          </w:tcPr>
          <w:p w14:paraId="6B4D0367"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1.224</w:t>
            </w:r>
          </w:p>
        </w:tc>
        <w:tc>
          <w:tcPr>
            <w:tcW w:w="990" w:type="dxa"/>
            <w:vAlign w:val="bottom"/>
          </w:tcPr>
          <w:p w14:paraId="04886F2C"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1.035</w:t>
            </w:r>
          </w:p>
        </w:tc>
        <w:tc>
          <w:tcPr>
            <w:tcW w:w="810" w:type="dxa"/>
            <w:vAlign w:val="bottom"/>
          </w:tcPr>
          <w:p w14:paraId="011D9C11"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0.641</w:t>
            </w:r>
          </w:p>
        </w:tc>
        <w:tc>
          <w:tcPr>
            <w:tcW w:w="720" w:type="dxa"/>
            <w:vAlign w:val="bottom"/>
          </w:tcPr>
          <w:p w14:paraId="67F8EAAD"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0.455</w:t>
            </w:r>
          </w:p>
        </w:tc>
        <w:tc>
          <w:tcPr>
            <w:tcW w:w="990" w:type="dxa"/>
            <w:vAlign w:val="bottom"/>
          </w:tcPr>
          <w:p w14:paraId="534FD905"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4.856</w:t>
            </w:r>
          </w:p>
        </w:tc>
      </w:tr>
      <w:tr w:rsidR="002456FC" w14:paraId="6E8C76AC" w14:textId="77777777">
        <w:trPr>
          <w:trHeight w:val="225"/>
        </w:trPr>
        <w:tc>
          <w:tcPr>
            <w:tcW w:w="1045" w:type="dxa"/>
            <w:vAlign w:val="bottom"/>
          </w:tcPr>
          <w:p w14:paraId="3BA10771"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Skewness</w:t>
            </w:r>
          </w:p>
        </w:tc>
        <w:tc>
          <w:tcPr>
            <w:tcW w:w="810" w:type="dxa"/>
            <w:vAlign w:val="bottom"/>
          </w:tcPr>
          <w:p w14:paraId="2BA73C84"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0.271</w:t>
            </w:r>
          </w:p>
        </w:tc>
        <w:tc>
          <w:tcPr>
            <w:tcW w:w="810" w:type="dxa"/>
            <w:vAlign w:val="bottom"/>
          </w:tcPr>
          <w:p w14:paraId="49C94BD9"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-0.547</w:t>
            </w:r>
          </w:p>
        </w:tc>
        <w:tc>
          <w:tcPr>
            <w:tcW w:w="900" w:type="dxa"/>
            <w:vAlign w:val="bottom"/>
          </w:tcPr>
          <w:p w14:paraId="4A6FB101"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0.339</w:t>
            </w:r>
          </w:p>
        </w:tc>
        <w:tc>
          <w:tcPr>
            <w:tcW w:w="990" w:type="dxa"/>
            <w:vAlign w:val="bottom"/>
          </w:tcPr>
          <w:p w14:paraId="39E63FCA"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-0.071</w:t>
            </w:r>
          </w:p>
        </w:tc>
        <w:tc>
          <w:tcPr>
            <w:tcW w:w="900" w:type="dxa"/>
            <w:vAlign w:val="bottom"/>
          </w:tcPr>
          <w:p w14:paraId="512A0CB6"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0.299</w:t>
            </w:r>
          </w:p>
        </w:tc>
        <w:tc>
          <w:tcPr>
            <w:tcW w:w="990" w:type="dxa"/>
            <w:vAlign w:val="bottom"/>
          </w:tcPr>
          <w:p w14:paraId="55368446"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-0.006</w:t>
            </w:r>
          </w:p>
        </w:tc>
        <w:tc>
          <w:tcPr>
            <w:tcW w:w="810" w:type="dxa"/>
            <w:vAlign w:val="bottom"/>
          </w:tcPr>
          <w:p w14:paraId="277D4953"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0.172</w:t>
            </w:r>
          </w:p>
        </w:tc>
        <w:tc>
          <w:tcPr>
            <w:tcW w:w="720" w:type="dxa"/>
            <w:vAlign w:val="bottom"/>
          </w:tcPr>
          <w:p w14:paraId="0C72AB1B"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-0.918</w:t>
            </w:r>
          </w:p>
        </w:tc>
        <w:tc>
          <w:tcPr>
            <w:tcW w:w="990" w:type="dxa"/>
            <w:vAlign w:val="bottom"/>
          </w:tcPr>
          <w:p w14:paraId="261AD5E5"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0.970</w:t>
            </w:r>
          </w:p>
        </w:tc>
      </w:tr>
      <w:tr w:rsidR="002456FC" w14:paraId="6944EDB7" w14:textId="77777777">
        <w:trPr>
          <w:trHeight w:val="225"/>
        </w:trPr>
        <w:tc>
          <w:tcPr>
            <w:tcW w:w="1045" w:type="dxa"/>
            <w:vAlign w:val="bottom"/>
          </w:tcPr>
          <w:p w14:paraId="1DB1A570"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Kurtosis</w:t>
            </w:r>
          </w:p>
        </w:tc>
        <w:tc>
          <w:tcPr>
            <w:tcW w:w="810" w:type="dxa"/>
            <w:vAlign w:val="bottom"/>
          </w:tcPr>
          <w:p w14:paraId="43248464"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1.772</w:t>
            </w:r>
          </w:p>
        </w:tc>
        <w:tc>
          <w:tcPr>
            <w:tcW w:w="810" w:type="dxa"/>
            <w:vAlign w:val="bottom"/>
          </w:tcPr>
          <w:p w14:paraId="6AF7CDD6"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3.015</w:t>
            </w:r>
          </w:p>
        </w:tc>
        <w:tc>
          <w:tcPr>
            <w:tcW w:w="900" w:type="dxa"/>
            <w:vAlign w:val="bottom"/>
          </w:tcPr>
          <w:p w14:paraId="3FA07EF5"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1.622</w:t>
            </w:r>
          </w:p>
        </w:tc>
        <w:tc>
          <w:tcPr>
            <w:tcW w:w="990" w:type="dxa"/>
            <w:vAlign w:val="bottom"/>
          </w:tcPr>
          <w:p w14:paraId="0B334C5B"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1.506</w:t>
            </w:r>
          </w:p>
        </w:tc>
        <w:tc>
          <w:tcPr>
            <w:tcW w:w="900" w:type="dxa"/>
            <w:vAlign w:val="bottom"/>
          </w:tcPr>
          <w:p w14:paraId="4A05003F"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1.693</w:t>
            </w:r>
          </w:p>
        </w:tc>
        <w:tc>
          <w:tcPr>
            <w:tcW w:w="990" w:type="dxa"/>
            <w:vAlign w:val="bottom"/>
          </w:tcPr>
          <w:p w14:paraId="3CE74BC6"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1.885</w:t>
            </w:r>
          </w:p>
        </w:tc>
        <w:tc>
          <w:tcPr>
            <w:tcW w:w="810" w:type="dxa"/>
            <w:vAlign w:val="bottom"/>
          </w:tcPr>
          <w:p w14:paraId="1052D16F"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1.626</w:t>
            </w:r>
          </w:p>
        </w:tc>
        <w:tc>
          <w:tcPr>
            <w:tcW w:w="720" w:type="dxa"/>
            <w:vAlign w:val="bottom"/>
          </w:tcPr>
          <w:p w14:paraId="54395562"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2.580</w:t>
            </w:r>
          </w:p>
        </w:tc>
        <w:tc>
          <w:tcPr>
            <w:tcW w:w="990" w:type="dxa"/>
            <w:vAlign w:val="bottom"/>
          </w:tcPr>
          <w:p w14:paraId="368D6413"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8.288</w:t>
            </w:r>
          </w:p>
        </w:tc>
      </w:tr>
      <w:tr w:rsidR="002456FC" w14:paraId="3BA90EF2" w14:textId="77777777">
        <w:trPr>
          <w:trHeight w:val="225"/>
        </w:trPr>
        <w:tc>
          <w:tcPr>
            <w:tcW w:w="1045" w:type="dxa"/>
            <w:vAlign w:val="bottom"/>
          </w:tcPr>
          <w:p w14:paraId="146063E5"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J. Bera</w:t>
            </w:r>
          </w:p>
        </w:tc>
        <w:tc>
          <w:tcPr>
            <w:tcW w:w="810" w:type="dxa"/>
            <w:vAlign w:val="bottom"/>
          </w:tcPr>
          <w:p w14:paraId="50E4F692"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4.655</w:t>
            </w:r>
          </w:p>
        </w:tc>
        <w:tc>
          <w:tcPr>
            <w:tcW w:w="810" w:type="dxa"/>
            <w:vAlign w:val="bottom"/>
          </w:tcPr>
          <w:p w14:paraId="7AD42995"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3.098</w:t>
            </w:r>
          </w:p>
        </w:tc>
        <w:tc>
          <w:tcPr>
            <w:tcW w:w="900" w:type="dxa"/>
            <w:vAlign w:val="bottom"/>
          </w:tcPr>
          <w:p w14:paraId="384C4492"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6.090</w:t>
            </w:r>
          </w:p>
        </w:tc>
        <w:tc>
          <w:tcPr>
            <w:tcW w:w="990" w:type="dxa"/>
            <w:vAlign w:val="bottom"/>
          </w:tcPr>
          <w:p w14:paraId="60EF703A"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5.817</w:t>
            </w:r>
          </w:p>
        </w:tc>
        <w:tc>
          <w:tcPr>
            <w:tcW w:w="900" w:type="dxa"/>
            <w:vAlign w:val="bottom"/>
          </w:tcPr>
          <w:p w14:paraId="5CB13D15"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5.337</w:t>
            </w:r>
          </w:p>
        </w:tc>
        <w:tc>
          <w:tcPr>
            <w:tcW w:w="990" w:type="dxa"/>
            <w:vAlign w:val="bottom"/>
          </w:tcPr>
          <w:p w14:paraId="16812A92"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3.209</w:t>
            </w:r>
          </w:p>
        </w:tc>
        <w:tc>
          <w:tcPr>
            <w:tcW w:w="810" w:type="dxa"/>
            <w:vAlign w:val="bottom"/>
          </w:tcPr>
          <w:p w14:paraId="744AD1A4"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5.179</w:t>
            </w:r>
          </w:p>
        </w:tc>
        <w:tc>
          <w:tcPr>
            <w:tcW w:w="720" w:type="dxa"/>
            <w:vAlign w:val="bottom"/>
          </w:tcPr>
          <w:p w14:paraId="75598007"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9.180</w:t>
            </w:r>
          </w:p>
        </w:tc>
        <w:tc>
          <w:tcPr>
            <w:tcW w:w="990" w:type="dxa"/>
            <w:vAlign w:val="bottom"/>
          </w:tcPr>
          <w:p w14:paraId="05918BB3"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81.97</w:t>
            </w:r>
          </w:p>
        </w:tc>
      </w:tr>
      <w:tr w:rsidR="002456FC" w14:paraId="08B8A7FA" w14:textId="77777777">
        <w:trPr>
          <w:trHeight w:val="225"/>
        </w:trPr>
        <w:tc>
          <w:tcPr>
            <w:tcW w:w="1045" w:type="dxa"/>
            <w:vAlign w:val="bottom"/>
          </w:tcPr>
          <w:p w14:paraId="5FAF273D"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Probability</w:t>
            </w:r>
          </w:p>
        </w:tc>
        <w:tc>
          <w:tcPr>
            <w:tcW w:w="810" w:type="dxa"/>
            <w:vAlign w:val="bottom"/>
          </w:tcPr>
          <w:p w14:paraId="5D813A62"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0.097</w:t>
            </w:r>
          </w:p>
        </w:tc>
        <w:tc>
          <w:tcPr>
            <w:tcW w:w="810" w:type="dxa"/>
            <w:vAlign w:val="bottom"/>
          </w:tcPr>
          <w:p w14:paraId="41A998AB"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0.212</w:t>
            </w:r>
          </w:p>
        </w:tc>
        <w:tc>
          <w:tcPr>
            <w:tcW w:w="900" w:type="dxa"/>
            <w:vAlign w:val="bottom"/>
          </w:tcPr>
          <w:p w14:paraId="2252B483"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0.047</w:t>
            </w:r>
          </w:p>
        </w:tc>
        <w:tc>
          <w:tcPr>
            <w:tcW w:w="990" w:type="dxa"/>
            <w:vAlign w:val="bottom"/>
          </w:tcPr>
          <w:p w14:paraId="59E3B7A4"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0.054</w:t>
            </w:r>
          </w:p>
        </w:tc>
        <w:tc>
          <w:tcPr>
            <w:tcW w:w="900" w:type="dxa"/>
            <w:vAlign w:val="bottom"/>
          </w:tcPr>
          <w:p w14:paraId="1008F54F"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0.069</w:t>
            </w:r>
          </w:p>
        </w:tc>
        <w:tc>
          <w:tcPr>
            <w:tcW w:w="990" w:type="dxa"/>
            <w:vAlign w:val="bottom"/>
          </w:tcPr>
          <w:p w14:paraId="42B78C4D"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0.200</w:t>
            </w:r>
          </w:p>
        </w:tc>
        <w:tc>
          <w:tcPr>
            <w:tcW w:w="810" w:type="dxa"/>
            <w:vAlign w:val="bottom"/>
          </w:tcPr>
          <w:p w14:paraId="168E2D15"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0.0750</w:t>
            </w:r>
          </w:p>
        </w:tc>
        <w:tc>
          <w:tcPr>
            <w:tcW w:w="720" w:type="dxa"/>
            <w:vAlign w:val="bottom"/>
          </w:tcPr>
          <w:p w14:paraId="67644090"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0.010</w:t>
            </w:r>
          </w:p>
        </w:tc>
        <w:tc>
          <w:tcPr>
            <w:tcW w:w="990" w:type="dxa"/>
            <w:vAlign w:val="bottom"/>
          </w:tcPr>
          <w:p w14:paraId="0C0DCE86"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0.000</w:t>
            </w:r>
          </w:p>
        </w:tc>
      </w:tr>
      <w:tr w:rsidR="002456FC" w14:paraId="35C53759" w14:textId="77777777">
        <w:trPr>
          <w:trHeight w:val="225"/>
        </w:trPr>
        <w:tc>
          <w:tcPr>
            <w:tcW w:w="1045" w:type="dxa"/>
            <w:tcBorders>
              <w:bottom w:val="single" w:sz="4" w:space="0" w:color="000000"/>
            </w:tcBorders>
            <w:vAlign w:val="bottom"/>
          </w:tcPr>
          <w:p w14:paraId="2F10C543"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n</w:t>
            </w:r>
          </w:p>
        </w:tc>
        <w:tc>
          <w:tcPr>
            <w:tcW w:w="810" w:type="dxa"/>
            <w:tcBorders>
              <w:bottom w:val="single" w:sz="4" w:space="0" w:color="000000"/>
            </w:tcBorders>
            <w:vAlign w:val="bottom"/>
          </w:tcPr>
          <w:p w14:paraId="316C71F5"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62</w:t>
            </w:r>
          </w:p>
        </w:tc>
        <w:tc>
          <w:tcPr>
            <w:tcW w:w="810" w:type="dxa"/>
            <w:tcBorders>
              <w:bottom w:val="single" w:sz="4" w:space="0" w:color="000000"/>
            </w:tcBorders>
            <w:vAlign w:val="bottom"/>
          </w:tcPr>
          <w:p w14:paraId="285C9CF2"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62</w:t>
            </w:r>
          </w:p>
        </w:tc>
        <w:tc>
          <w:tcPr>
            <w:tcW w:w="900" w:type="dxa"/>
            <w:tcBorders>
              <w:bottom w:val="single" w:sz="4" w:space="0" w:color="000000"/>
            </w:tcBorders>
            <w:vAlign w:val="bottom"/>
          </w:tcPr>
          <w:p w14:paraId="03FDBAB2"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62</w:t>
            </w:r>
          </w:p>
        </w:tc>
        <w:tc>
          <w:tcPr>
            <w:tcW w:w="990" w:type="dxa"/>
            <w:tcBorders>
              <w:bottom w:val="single" w:sz="4" w:space="0" w:color="000000"/>
            </w:tcBorders>
            <w:vAlign w:val="bottom"/>
          </w:tcPr>
          <w:p w14:paraId="37EFFCC8"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62</w:t>
            </w:r>
          </w:p>
        </w:tc>
        <w:tc>
          <w:tcPr>
            <w:tcW w:w="900" w:type="dxa"/>
            <w:tcBorders>
              <w:bottom w:val="single" w:sz="4" w:space="0" w:color="000000"/>
            </w:tcBorders>
            <w:vAlign w:val="bottom"/>
          </w:tcPr>
          <w:p w14:paraId="0CC14E64"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62</w:t>
            </w:r>
          </w:p>
        </w:tc>
        <w:tc>
          <w:tcPr>
            <w:tcW w:w="990" w:type="dxa"/>
            <w:tcBorders>
              <w:bottom w:val="single" w:sz="4" w:space="0" w:color="000000"/>
            </w:tcBorders>
            <w:vAlign w:val="bottom"/>
          </w:tcPr>
          <w:p w14:paraId="6EE8FB9C"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62</w:t>
            </w:r>
          </w:p>
        </w:tc>
        <w:tc>
          <w:tcPr>
            <w:tcW w:w="810" w:type="dxa"/>
            <w:tcBorders>
              <w:bottom w:val="single" w:sz="4" w:space="0" w:color="000000"/>
            </w:tcBorders>
            <w:vAlign w:val="bottom"/>
          </w:tcPr>
          <w:p w14:paraId="7B099318"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62</w:t>
            </w:r>
          </w:p>
        </w:tc>
        <w:tc>
          <w:tcPr>
            <w:tcW w:w="720" w:type="dxa"/>
            <w:tcBorders>
              <w:bottom w:val="single" w:sz="4" w:space="0" w:color="000000"/>
            </w:tcBorders>
            <w:vAlign w:val="bottom"/>
          </w:tcPr>
          <w:p w14:paraId="395CF0A3"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62</w:t>
            </w:r>
          </w:p>
        </w:tc>
        <w:tc>
          <w:tcPr>
            <w:tcW w:w="990" w:type="dxa"/>
            <w:tcBorders>
              <w:bottom w:val="single" w:sz="4" w:space="0" w:color="000000"/>
            </w:tcBorders>
            <w:vAlign w:val="bottom"/>
          </w:tcPr>
          <w:p w14:paraId="3D886CDD"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62</w:t>
            </w:r>
          </w:p>
        </w:tc>
      </w:tr>
      <w:tr w:rsidR="002456FC" w14:paraId="2ED9E34C" w14:textId="77777777">
        <w:trPr>
          <w:trHeight w:val="225"/>
        </w:trPr>
        <w:tc>
          <w:tcPr>
            <w:tcW w:w="8965" w:type="dxa"/>
            <w:gridSpan w:val="10"/>
            <w:tcBorders>
              <w:top w:val="single" w:sz="4" w:space="0" w:color="000000"/>
              <w:bottom w:val="single" w:sz="4" w:space="0" w:color="000000"/>
            </w:tcBorders>
            <w:vAlign w:val="bottom"/>
          </w:tcPr>
          <w:p w14:paraId="69E91BBC"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Correlation Matrix</w:t>
            </w:r>
          </w:p>
        </w:tc>
      </w:tr>
      <w:tr w:rsidR="002456FC" w14:paraId="371A1EF8" w14:textId="77777777">
        <w:trPr>
          <w:cantSplit/>
          <w:trHeight w:val="1134"/>
        </w:trPr>
        <w:tc>
          <w:tcPr>
            <w:tcW w:w="1045" w:type="dxa"/>
            <w:tcBorders>
              <w:top w:val="single" w:sz="4" w:space="0" w:color="000000"/>
              <w:bottom w:val="single" w:sz="4" w:space="0" w:color="000000"/>
            </w:tcBorders>
            <w:vAlign w:val="bottom"/>
          </w:tcPr>
          <w:p w14:paraId="77F1B8F1" w14:textId="77777777" w:rsidR="002456FC" w:rsidRDefault="002456FC">
            <w:pPr>
              <w:spacing w:after="0" w:line="240" w:lineRule="auto"/>
              <w:jc w:val="center"/>
              <w:rPr>
                <w:rFonts w:ascii="Arial" w:eastAsia="Arial" w:hAnsi="Arial" w:cs="Arial"/>
                <w:color w:val="000000"/>
                <w:sz w:val="20"/>
                <w:szCs w:val="20"/>
              </w:rPr>
            </w:pPr>
          </w:p>
        </w:tc>
        <w:tc>
          <w:tcPr>
            <w:tcW w:w="810" w:type="dxa"/>
            <w:tcBorders>
              <w:top w:val="single" w:sz="4" w:space="0" w:color="000000"/>
              <w:bottom w:val="single" w:sz="4" w:space="0" w:color="000000"/>
            </w:tcBorders>
            <w:vAlign w:val="bottom"/>
          </w:tcPr>
          <w:p w14:paraId="0F50E9B1" w14:textId="77777777" w:rsidR="002456FC" w:rsidRDefault="00000000">
            <w:pPr>
              <w:spacing w:after="0" w:line="240" w:lineRule="auto"/>
              <w:ind w:left="113" w:right="113"/>
              <w:jc w:val="center"/>
              <w:rPr>
                <w:rFonts w:ascii="Arial" w:eastAsia="Arial" w:hAnsi="Arial" w:cs="Arial"/>
                <w:b/>
                <w:color w:val="000000"/>
                <w:sz w:val="20"/>
                <w:szCs w:val="20"/>
              </w:rPr>
            </w:pPr>
            <w:r>
              <w:rPr>
                <w:rFonts w:ascii="Arial" w:eastAsia="Arial" w:hAnsi="Arial" w:cs="Arial"/>
                <w:b/>
                <w:color w:val="000000"/>
                <w:sz w:val="20"/>
                <w:szCs w:val="20"/>
              </w:rPr>
              <w:t>LNRGDP</w:t>
            </w:r>
          </w:p>
        </w:tc>
        <w:tc>
          <w:tcPr>
            <w:tcW w:w="810" w:type="dxa"/>
            <w:tcBorders>
              <w:top w:val="single" w:sz="4" w:space="0" w:color="000000"/>
              <w:bottom w:val="single" w:sz="4" w:space="0" w:color="000000"/>
            </w:tcBorders>
            <w:vAlign w:val="bottom"/>
          </w:tcPr>
          <w:p w14:paraId="2E21F3C2" w14:textId="77777777" w:rsidR="002456FC" w:rsidRDefault="00000000">
            <w:pPr>
              <w:spacing w:after="0" w:line="240" w:lineRule="auto"/>
              <w:ind w:left="113" w:right="113"/>
              <w:jc w:val="center"/>
              <w:rPr>
                <w:rFonts w:ascii="Arial" w:eastAsia="Arial" w:hAnsi="Arial" w:cs="Arial"/>
                <w:b/>
                <w:color w:val="000000"/>
                <w:sz w:val="20"/>
                <w:szCs w:val="20"/>
              </w:rPr>
            </w:pPr>
            <w:r>
              <w:rPr>
                <w:rFonts w:ascii="Arial" w:eastAsia="Arial" w:hAnsi="Arial" w:cs="Arial"/>
                <w:b/>
                <w:color w:val="000000"/>
                <w:sz w:val="20"/>
                <w:szCs w:val="20"/>
              </w:rPr>
              <w:t>LNMANP</w:t>
            </w:r>
          </w:p>
        </w:tc>
        <w:tc>
          <w:tcPr>
            <w:tcW w:w="900" w:type="dxa"/>
            <w:tcBorders>
              <w:top w:val="single" w:sz="4" w:space="0" w:color="000000"/>
              <w:bottom w:val="single" w:sz="4" w:space="0" w:color="000000"/>
            </w:tcBorders>
            <w:vAlign w:val="bottom"/>
          </w:tcPr>
          <w:p w14:paraId="679125C0" w14:textId="77777777" w:rsidR="002456FC" w:rsidRDefault="00000000">
            <w:pPr>
              <w:spacing w:after="0" w:line="240" w:lineRule="auto"/>
              <w:ind w:left="113" w:right="113"/>
              <w:jc w:val="center"/>
              <w:rPr>
                <w:rFonts w:ascii="Arial" w:eastAsia="Arial" w:hAnsi="Arial" w:cs="Arial"/>
                <w:b/>
                <w:color w:val="000000"/>
                <w:sz w:val="20"/>
                <w:szCs w:val="20"/>
              </w:rPr>
            </w:pPr>
            <w:r>
              <w:rPr>
                <w:rFonts w:ascii="Arial" w:eastAsia="Arial" w:hAnsi="Arial" w:cs="Arial"/>
                <w:b/>
                <w:color w:val="000000"/>
                <w:sz w:val="20"/>
                <w:szCs w:val="20"/>
              </w:rPr>
              <w:t>LNSERP</w:t>
            </w:r>
          </w:p>
        </w:tc>
        <w:tc>
          <w:tcPr>
            <w:tcW w:w="990" w:type="dxa"/>
            <w:tcBorders>
              <w:top w:val="single" w:sz="4" w:space="0" w:color="000000"/>
              <w:bottom w:val="single" w:sz="4" w:space="0" w:color="000000"/>
            </w:tcBorders>
            <w:vAlign w:val="bottom"/>
          </w:tcPr>
          <w:p w14:paraId="46623381" w14:textId="77777777" w:rsidR="002456FC" w:rsidRDefault="00000000">
            <w:pPr>
              <w:spacing w:after="0" w:line="240" w:lineRule="auto"/>
              <w:ind w:left="113" w:right="113"/>
              <w:jc w:val="center"/>
              <w:rPr>
                <w:rFonts w:ascii="Arial" w:eastAsia="Arial" w:hAnsi="Arial" w:cs="Arial"/>
                <w:b/>
                <w:color w:val="000000"/>
                <w:sz w:val="20"/>
                <w:szCs w:val="20"/>
              </w:rPr>
            </w:pPr>
            <w:r>
              <w:rPr>
                <w:rFonts w:ascii="Arial" w:eastAsia="Arial" w:hAnsi="Arial" w:cs="Arial"/>
                <w:b/>
                <w:color w:val="000000"/>
                <w:sz w:val="20"/>
                <w:szCs w:val="20"/>
              </w:rPr>
              <w:t>LNAGRP</w:t>
            </w:r>
          </w:p>
        </w:tc>
        <w:tc>
          <w:tcPr>
            <w:tcW w:w="900" w:type="dxa"/>
            <w:tcBorders>
              <w:top w:val="single" w:sz="4" w:space="0" w:color="000000"/>
              <w:bottom w:val="single" w:sz="4" w:space="0" w:color="000000"/>
            </w:tcBorders>
            <w:vAlign w:val="bottom"/>
          </w:tcPr>
          <w:p w14:paraId="405EC643" w14:textId="77777777" w:rsidR="002456FC" w:rsidRDefault="00000000">
            <w:pPr>
              <w:spacing w:after="0" w:line="240" w:lineRule="auto"/>
              <w:ind w:left="113" w:right="113"/>
              <w:jc w:val="center"/>
              <w:rPr>
                <w:rFonts w:ascii="Arial" w:eastAsia="Arial" w:hAnsi="Arial" w:cs="Arial"/>
                <w:b/>
                <w:color w:val="000000"/>
                <w:sz w:val="20"/>
                <w:szCs w:val="20"/>
              </w:rPr>
            </w:pPr>
            <w:r>
              <w:rPr>
                <w:rFonts w:ascii="Arial" w:eastAsia="Arial" w:hAnsi="Arial" w:cs="Arial"/>
                <w:b/>
                <w:color w:val="000000"/>
                <w:sz w:val="20"/>
                <w:szCs w:val="20"/>
              </w:rPr>
              <w:t>LNGCF</w:t>
            </w:r>
          </w:p>
        </w:tc>
        <w:tc>
          <w:tcPr>
            <w:tcW w:w="990" w:type="dxa"/>
            <w:tcBorders>
              <w:top w:val="single" w:sz="4" w:space="0" w:color="000000"/>
              <w:bottom w:val="single" w:sz="4" w:space="0" w:color="000000"/>
            </w:tcBorders>
            <w:vAlign w:val="bottom"/>
          </w:tcPr>
          <w:p w14:paraId="0EE8CF7C" w14:textId="77777777" w:rsidR="002456FC" w:rsidRDefault="00000000">
            <w:pPr>
              <w:spacing w:after="0" w:line="240" w:lineRule="auto"/>
              <w:ind w:left="113" w:right="113"/>
              <w:jc w:val="center"/>
              <w:rPr>
                <w:rFonts w:ascii="Arial" w:eastAsia="Arial" w:hAnsi="Arial" w:cs="Arial"/>
                <w:b/>
                <w:color w:val="000000"/>
                <w:sz w:val="20"/>
                <w:szCs w:val="20"/>
              </w:rPr>
            </w:pPr>
            <w:r>
              <w:rPr>
                <w:rFonts w:ascii="Arial" w:eastAsia="Arial" w:hAnsi="Arial" w:cs="Arial"/>
                <w:b/>
                <w:color w:val="000000"/>
                <w:sz w:val="20"/>
                <w:szCs w:val="20"/>
              </w:rPr>
              <w:t>LNGE</w:t>
            </w:r>
          </w:p>
        </w:tc>
        <w:tc>
          <w:tcPr>
            <w:tcW w:w="810" w:type="dxa"/>
            <w:tcBorders>
              <w:top w:val="single" w:sz="4" w:space="0" w:color="000000"/>
              <w:bottom w:val="single" w:sz="4" w:space="0" w:color="000000"/>
            </w:tcBorders>
            <w:vAlign w:val="bottom"/>
          </w:tcPr>
          <w:p w14:paraId="146C850B" w14:textId="77777777" w:rsidR="002456FC" w:rsidRDefault="00000000">
            <w:pPr>
              <w:spacing w:after="0" w:line="240" w:lineRule="auto"/>
              <w:ind w:left="113" w:right="113"/>
              <w:jc w:val="center"/>
              <w:rPr>
                <w:rFonts w:ascii="Arial" w:eastAsia="Arial" w:hAnsi="Arial" w:cs="Arial"/>
                <w:b/>
                <w:color w:val="000000"/>
                <w:sz w:val="20"/>
                <w:szCs w:val="20"/>
              </w:rPr>
            </w:pPr>
            <w:r>
              <w:rPr>
                <w:rFonts w:ascii="Arial" w:eastAsia="Arial" w:hAnsi="Arial" w:cs="Arial"/>
                <w:b/>
                <w:color w:val="000000"/>
                <w:sz w:val="20"/>
                <w:szCs w:val="20"/>
              </w:rPr>
              <w:t>LNTOPEN</w:t>
            </w:r>
          </w:p>
        </w:tc>
        <w:tc>
          <w:tcPr>
            <w:tcW w:w="720" w:type="dxa"/>
            <w:tcBorders>
              <w:top w:val="single" w:sz="4" w:space="0" w:color="000000"/>
              <w:bottom w:val="single" w:sz="4" w:space="0" w:color="000000"/>
            </w:tcBorders>
            <w:vAlign w:val="bottom"/>
          </w:tcPr>
          <w:p w14:paraId="2238A4EE" w14:textId="77777777" w:rsidR="002456FC" w:rsidRDefault="00000000">
            <w:pPr>
              <w:spacing w:after="0" w:line="240" w:lineRule="auto"/>
              <w:ind w:left="113" w:right="113"/>
              <w:jc w:val="center"/>
              <w:rPr>
                <w:rFonts w:ascii="Arial" w:eastAsia="Arial" w:hAnsi="Arial" w:cs="Arial"/>
                <w:b/>
                <w:color w:val="000000"/>
                <w:sz w:val="20"/>
                <w:szCs w:val="20"/>
              </w:rPr>
            </w:pPr>
            <w:r>
              <w:rPr>
                <w:rFonts w:ascii="Arial" w:eastAsia="Arial" w:hAnsi="Arial" w:cs="Arial"/>
                <w:b/>
                <w:color w:val="000000"/>
                <w:sz w:val="20"/>
                <w:szCs w:val="20"/>
              </w:rPr>
              <w:t>POPGR</w:t>
            </w:r>
          </w:p>
        </w:tc>
        <w:tc>
          <w:tcPr>
            <w:tcW w:w="990" w:type="dxa"/>
            <w:tcBorders>
              <w:top w:val="single" w:sz="4" w:space="0" w:color="000000"/>
              <w:bottom w:val="single" w:sz="4" w:space="0" w:color="000000"/>
            </w:tcBorders>
            <w:vAlign w:val="bottom"/>
          </w:tcPr>
          <w:p w14:paraId="721BFF32" w14:textId="77777777" w:rsidR="002456FC" w:rsidRDefault="00000000">
            <w:pPr>
              <w:spacing w:after="0" w:line="240" w:lineRule="auto"/>
              <w:ind w:left="113" w:right="113"/>
              <w:jc w:val="center"/>
              <w:rPr>
                <w:rFonts w:ascii="Arial" w:eastAsia="Arial" w:hAnsi="Arial" w:cs="Arial"/>
                <w:b/>
                <w:color w:val="000000"/>
                <w:sz w:val="20"/>
                <w:szCs w:val="20"/>
              </w:rPr>
            </w:pPr>
            <w:r>
              <w:rPr>
                <w:rFonts w:ascii="Arial" w:eastAsia="Arial" w:hAnsi="Arial" w:cs="Arial"/>
                <w:b/>
                <w:color w:val="000000"/>
                <w:sz w:val="20"/>
                <w:szCs w:val="20"/>
              </w:rPr>
              <w:t>INF</w:t>
            </w:r>
          </w:p>
        </w:tc>
      </w:tr>
      <w:tr w:rsidR="002456FC" w14:paraId="0BAAE2F0" w14:textId="77777777">
        <w:trPr>
          <w:trHeight w:val="225"/>
        </w:trPr>
        <w:tc>
          <w:tcPr>
            <w:tcW w:w="1045" w:type="dxa"/>
            <w:tcBorders>
              <w:top w:val="single" w:sz="4" w:space="0" w:color="000000"/>
            </w:tcBorders>
            <w:vAlign w:val="bottom"/>
          </w:tcPr>
          <w:p w14:paraId="0022E90A"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LNRGDP</w:t>
            </w:r>
          </w:p>
        </w:tc>
        <w:tc>
          <w:tcPr>
            <w:tcW w:w="810" w:type="dxa"/>
            <w:tcBorders>
              <w:top w:val="single" w:sz="4" w:space="0" w:color="000000"/>
            </w:tcBorders>
            <w:vAlign w:val="bottom"/>
          </w:tcPr>
          <w:p w14:paraId="5652C90C"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1.0000</w:t>
            </w:r>
          </w:p>
        </w:tc>
        <w:tc>
          <w:tcPr>
            <w:tcW w:w="810" w:type="dxa"/>
            <w:tcBorders>
              <w:top w:val="single" w:sz="4" w:space="0" w:color="000000"/>
            </w:tcBorders>
            <w:vAlign w:val="bottom"/>
          </w:tcPr>
          <w:p w14:paraId="40F7B5D7" w14:textId="77777777" w:rsidR="002456FC" w:rsidRDefault="002456FC">
            <w:pPr>
              <w:spacing w:after="0" w:line="240" w:lineRule="auto"/>
              <w:jc w:val="center"/>
              <w:rPr>
                <w:rFonts w:ascii="Arial" w:eastAsia="Arial" w:hAnsi="Arial" w:cs="Arial"/>
                <w:color w:val="000000"/>
                <w:sz w:val="20"/>
                <w:szCs w:val="20"/>
              </w:rPr>
            </w:pPr>
          </w:p>
        </w:tc>
        <w:tc>
          <w:tcPr>
            <w:tcW w:w="900" w:type="dxa"/>
            <w:tcBorders>
              <w:top w:val="single" w:sz="4" w:space="0" w:color="000000"/>
            </w:tcBorders>
            <w:vAlign w:val="bottom"/>
          </w:tcPr>
          <w:p w14:paraId="7A07D138" w14:textId="77777777" w:rsidR="002456FC" w:rsidRDefault="002456FC">
            <w:pPr>
              <w:spacing w:after="0" w:line="240" w:lineRule="auto"/>
              <w:jc w:val="center"/>
              <w:rPr>
                <w:rFonts w:ascii="Arial" w:eastAsia="Arial" w:hAnsi="Arial" w:cs="Arial"/>
                <w:color w:val="000000"/>
                <w:sz w:val="20"/>
                <w:szCs w:val="20"/>
              </w:rPr>
            </w:pPr>
          </w:p>
        </w:tc>
        <w:tc>
          <w:tcPr>
            <w:tcW w:w="990" w:type="dxa"/>
            <w:tcBorders>
              <w:top w:val="single" w:sz="4" w:space="0" w:color="000000"/>
            </w:tcBorders>
            <w:vAlign w:val="bottom"/>
          </w:tcPr>
          <w:p w14:paraId="18F24290" w14:textId="77777777" w:rsidR="002456FC" w:rsidRDefault="002456FC">
            <w:pPr>
              <w:spacing w:after="0" w:line="240" w:lineRule="auto"/>
              <w:jc w:val="center"/>
              <w:rPr>
                <w:rFonts w:ascii="Arial" w:eastAsia="Arial" w:hAnsi="Arial" w:cs="Arial"/>
                <w:color w:val="000000"/>
                <w:sz w:val="20"/>
                <w:szCs w:val="20"/>
              </w:rPr>
            </w:pPr>
          </w:p>
        </w:tc>
        <w:tc>
          <w:tcPr>
            <w:tcW w:w="900" w:type="dxa"/>
            <w:tcBorders>
              <w:top w:val="single" w:sz="4" w:space="0" w:color="000000"/>
            </w:tcBorders>
            <w:vAlign w:val="bottom"/>
          </w:tcPr>
          <w:p w14:paraId="20F05379" w14:textId="77777777" w:rsidR="002456FC" w:rsidRDefault="002456FC">
            <w:pPr>
              <w:spacing w:after="0" w:line="240" w:lineRule="auto"/>
              <w:jc w:val="center"/>
              <w:rPr>
                <w:rFonts w:ascii="Arial" w:eastAsia="Arial" w:hAnsi="Arial" w:cs="Arial"/>
                <w:color w:val="000000"/>
                <w:sz w:val="20"/>
                <w:szCs w:val="20"/>
              </w:rPr>
            </w:pPr>
          </w:p>
        </w:tc>
        <w:tc>
          <w:tcPr>
            <w:tcW w:w="990" w:type="dxa"/>
            <w:tcBorders>
              <w:top w:val="single" w:sz="4" w:space="0" w:color="000000"/>
            </w:tcBorders>
            <w:vAlign w:val="bottom"/>
          </w:tcPr>
          <w:p w14:paraId="3EBF1589" w14:textId="77777777" w:rsidR="002456FC" w:rsidRDefault="002456FC">
            <w:pPr>
              <w:spacing w:after="0" w:line="240" w:lineRule="auto"/>
              <w:jc w:val="center"/>
              <w:rPr>
                <w:rFonts w:ascii="Arial" w:eastAsia="Arial" w:hAnsi="Arial" w:cs="Arial"/>
                <w:color w:val="000000"/>
                <w:sz w:val="20"/>
                <w:szCs w:val="20"/>
              </w:rPr>
            </w:pPr>
          </w:p>
        </w:tc>
        <w:tc>
          <w:tcPr>
            <w:tcW w:w="810" w:type="dxa"/>
            <w:tcBorders>
              <w:top w:val="single" w:sz="4" w:space="0" w:color="000000"/>
            </w:tcBorders>
            <w:vAlign w:val="bottom"/>
          </w:tcPr>
          <w:p w14:paraId="43A9F4AC" w14:textId="77777777" w:rsidR="002456FC" w:rsidRDefault="002456FC">
            <w:pPr>
              <w:spacing w:after="0" w:line="240" w:lineRule="auto"/>
              <w:jc w:val="center"/>
              <w:rPr>
                <w:rFonts w:ascii="Arial" w:eastAsia="Arial" w:hAnsi="Arial" w:cs="Arial"/>
                <w:color w:val="000000"/>
                <w:sz w:val="20"/>
                <w:szCs w:val="20"/>
              </w:rPr>
            </w:pPr>
          </w:p>
        </w:tc>
        <w:tc>
          <w:tcPr>
            <w:tcW w:w="720" w:type="dxa"/>
            <w:tcBorders>
              <w:top w:val="single" w:sz="4" w:space="0" w:color="000000"/>
            </w:tcBorders>
            <w:vAlign w:val="bottom"/>
          </w:tcPr>
          <w:p w14:paraId="6A1C4465" w14:textId="77777777" w:rsidR="002456FC" w:rsidRDefault="002456FC">
            <w:pPr>
              <w:spacing w:after="0" w:line="240" w:lineRule="auto"/>
              <w:jc w:val="center"/>
              <w:rPr>
                <w:rFonts w:ascii="Arial" w:eastAsia="Arial" w:hAnsi="Arial" w:cs="Arial"/>
                <w:color w:val="000000"/>
                <w:sz w:val="20"/>
                <w:szCs w:val="20"/>
              </w:rPr>
            </w:pPr>
          </w:p>
        </w:tc>
        <w:tc>
          <w:tcPr>
            <w:tcW w:w="990" w:type="dxa"/>
            <w:tcBorders>
              <w:top w:val="single" w:sz="4" w:space="0" w:color="000000"/>
            </w:tcBorders>
            <w:vAlign w:val="bottom"/>
          </w:tcPr>
          <w:p w14:paraId="5978D5B2" w14:textId="77777777" w:rsidR="002456FC" w:rsidRDefault="002456FC">
            <w:pPr>
              <w:spacing w:after="0" w:line="240" w:lineRule="auto"/>
              <w:jc w:val="center"/>
              <w:rPr>
                <w:rFonts w:ascii="Arial" w:eastAsia="Arial" w:hAnsi="Arial" w:cs="Arial"/>
                <w:color w:val="000000"/>
                <w:sz w:val="20"/>
                <w:szCs w:val="20"/>
              </w:rPr>
            </w:pPr>
          </w:p>
        </w:tc>
      </w:tr>
      <w:tr w:rsidR="002456FC" w14:paraId="6CCB2BA4" w14:textId="77777777">
        <w:trPr>
          <w:trHeight w:val="225"/>
        </w:trPr>
        <w:tc>
          <w:tcPr>
            <w:tcW w:w="1045" w:type="dxa"/>
            <w:vAlign w:val="bottom"/>
          </w:tcPr>
          <w:p w14:paraId="35D0B96D"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LNMANP</w:t>
            </w:r>
          </w:p>
        </w:tc>
        <w:tc>
          <w:tcPr>
            <w:tcW w:w="810" w:type="dxa"/>
            <w:vAlign w:val="bottom"/>
          </w:tcPr>
          <w:p w14:paraId="236652D5"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-0.0635</w:t>
            </w:r>
          </w:p>
        </w:tc>
        <w:tc>
          <w:tcPr>
            <w:tcW w:w="810" w:type="dxa"/>
            <w:vAlign w:val="bottom"/>
          </w:tcPr>
          <w:p w14:paraId="27846CC1"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1.0000</w:t>
            </w:r>
          </w:p>
        </w:tc>
        <w:tc>
          <w:tcPr>
            <w:tcW w:w="900" w:type="dxa"/>
            <w:vAlign w:val="bottom"/>
          </w:tcPr>
          <w:p w14:paraId="1E4CE482" w14:textId="77777777" w:rsidR="002456FC" w:rsidRDefault="002456FC">
            <w:pPr>
              <w:spacing w:after="0" w:line="240" w:lineRule="auto"/>
              <w:jc w:val="center"/>
              <w:rPr>
                <w:rFonts w:ascii="Arial" w:eastAsia="Arial" w:hAnsi="Arial" w:cs="Arial"/>
                <w:color w:val="000000"/>
                <w:sz w:val="20"/>
                <w:szCs w:val="20"/>
              </w:rPr>
            </w:pPr>
          </w:p>
        </w:tc>
        <w:tc>
          <w:tcPr>
            <w:tcW w:w="990" w:type="dxa"/>
            <w:vAlign w:val="bottom"/>
          </w:tcPr>
          <w:p w14:paraId="06E71224" w14:textId="77777777" w:rsidR="002456FC" w:rsidRDefault="002456FC">
            <w:pPr>
              <w:spacing w:after="0" w:line="240" w:lineRule="auto"/>
              <w:jc w:val="center"/>
              <w:rPr>
                <w:rFonts w:ascii="Arial" w:eastAsia="Arial" w:hAnsi="Arial" w:cs="Arial"/>
                <w:color w:val="000000"/>
                <w:sz w:val="20"/>
                <w:szCs w:val="20"/>
              </w:rPr>
            </w:pPr>
          </w:p>
        </w:tc>
        <w:tc>
          <w:tcPr>
            <w:tcW w:w="900" w:type="dxa"/>
            <w:vAlign w:val="bottom"/>
          </w:tcPr>
          <w:p w14:paraId="69AFAA6B" w14:textId="77777777" w:rsidR="002456FC" w:rsidRDefault="002456FC">
            <w:pPr>
              <w:spacing w:after="0" w:line="240" w:lineRule="auto"/>
              <w:jc w:val="center"/>
              <w:rPr>
                <w:rFonts w:ascii="Arial" w:eastAsia="Arial" w:hAnsi="Arial" w:cs="Arial"/>
                <w:color w:val="000000"/>
                <w:sz w:val="20"/>
                <w:szCs w:val="20"/>
              </w:rPr>
            </w:pPr>
          </w:p>
        </w:tc>
        <w:tc>
          <w:tcPr>
            <w:tcW w:w="990" w:type="dxa"/>
            <w:vAlign w:val="bottom"/>
          </w:tcPr>
          <w:p w14:paraId="1329C5AE" w14:textId="77777777" w:rsidR="002456FC" w:rsidRDefault="002456FC">
            <w:pPr>
              <w:spacing w:after="0" w:line="240" w:lineRule="auto"/>
              <w:jc w:val="center"/>
              <w:rPr>
                <w:rFonts w:ascii="Arial" w:eastAsia="Arial" w:hAnsi="Arial" w:cs="Arial"/>
                <w:color w:val="000000"/>
                <w:sz w:val="20"/>
                <w:szCs w:val="20"/>
              </w:rPr>
            </w:pPr>
          </w:p>
        </w:tc>
        <w:tc>
          <w:tcPr>
            <w:tcW w:w="810" w:type="dxa"/>
            <w:vAlign w:val="bottom"/>
          </w:tcPr>
          <w:p w14:paraId="449172E3" w14:textId="77777777" w:rsidR="002456FC" w:rsidRDefault="002456FC">
            <w:pPr>
              <w:spacing w:after="0" w:line="240" w:lineRule="auto"/>
              <w:jc w:val="center"/>
              <w:rPr>
                <w:rFonts w:ascii="Arial" w:eastAsia="Arial" w:hAnsi="Arial" w:cs="Arial"/>
                <w:color w:val="000000"/>
                <w:sz w:val="20"/>
                <w:szCs w:val="20"/>
              </w:rPr>
            </w:pPr>
          </w:p>
        </w:tc>
        <w:tc>
          <w:tcPr>
            <w:tcW w:w="720" w:type="dxa"/>
            <w:vAlign w:val="bottom"/>
          </w:tcPr>
          <w:p w14:paraId="1AF13DAB" w14:textId="77777777" w:rsidR="002456FC" w:rsidRDefault="002456FC">
            <w:pPr>
              <w:spacing w:after="0" w:line="240" w:lineRule="auto"/>
              <w:jc w:val="center"/>
              <w:rPr>
                <w:rFonts w:ascii="Arial" w:eastAsia="Arial" w:hAnsi="Arial" w:cs="Arial"/>
                <w:color w:val="000000"/>
                <w:sz w:val="20"/>
                <w:szCs w:val="20"/>
              </w:rPr>
            </w:pPr>
          </w:p>
        </w:tc>
        <w:tc>
          <w:tcPr>
            <w:tcW w:w="990" w:type="dxa"/>
            <w:vAlign w:val="bottom"/>
          </w:tcPr>
          <w:p w14:paraId="33D77C60" w14:textId="77777777" w:rsidR="002456FC" w:rsidRDefault="002456FC">
            <w:pPr>
              <w:spacing w:after="0" w:line="240" w:lineRule="auto"/>
              <w:jc w:val="center"/>
              <w:rPr>
                <w:rFonts w:ascii="Arial" w:eastAsia="Arial" w:hAnsi="Arial" w:cs="Arial"/>
                <w:color w:val="000000"/>
                <w:sz w:val="20"/>
                <w:szCs w:val="20"/>
              </w:rPr>
            </w:pPr>
          </w:p>
        </w:tc>
      </w:tr>
      <w:tr w:rsidR="002456FC" w14:paraId="0A223E8B" w14:textId="77777777">
        <w:trPr>
          <w:trHeight w:val="225"/>
        </w:trPr>
        <w:tc>
          <w:tcPr>
            <w:tcW w:w="1045" w:type="dxa"/>
            <w:vAlign w:val="bottom"/>
          </w:tcPr>
          <w:p w14:paraId="49561855"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LNSERP</w:t>
            </w:r>
          </w:p>
        </w:tc>
        <w:tc>
          <w:tcPr>
            <w:tcW w:w="810" w:type="dxa"/>
            <w:vAlign w:val="bottom"/>
          </w:tcPr>
          <w:p w14:paraId="06F04222"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0.9176</w:t>
            </w:r>
          </w:p>
        </w:tc>
        <w:tc>
          <w:tcPr>
            <w:tcW w:w="810" w:type="dxa"/>
            <w:vAlign w:val="bottom"/>
          </w:tcPr>
          <w:p w14:paraId="4A25D03E"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-0.1969</w:t>
            </w:r>
          </w:p>
        </w:tc>
        <w:tc>
          <w:tcPr>
            <w:tcW w:w="900" w:type="dxa"/>
            <w:vAlign w:val="bottom"/>
          </w:tcPr>
          <w:p w14:paraId="27B2B5B7"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1.0000</w:t>
            </w:r>
          </w:p>
        </w:tc>
        <w:tc>
          <w:tcPr>
            <w:tcW w:w="990" w:type="dxa"/>
            <w:vAlign w:val="bottom"/>
          </w:tcPr>
          <w:p w14:paraId="0DF1E322" w14:textId="77777777" w:rsidR="002456FC" w:rsidRDefault="002456FC">
            <w:pPr>
              <w:spacing w:after="0" w:line="240" w:lineRule="auto"/>
              <w:jc w:val="center"/>
              <w:rPr>
                <w:rFonts w:ascii="Arial" w:eastAsia="Arial" w:hAnsi="Arial" w:cs="Arial"/>
                <w:color w:val="000000"/>
                <w:sz w:val="20"/>
                <w:szCs w:val="20"/>
              </w:rPr>
            </w:pPr>
          </w:p>
        </w:tc>
        <w:tc>
          <w:tcPr>
            <w:tcW w:w="900" w:type="dxa"/>
            <w:vAlign w:val="bottom"/>
          </w:tcPr>
          <w:p w14:paraId="13A344EE" w14:textId="77777777" w:rsidR="002456FC" w:rsidRDefault="002456FC">
            <w:pPr>
              <w:spacing w:after="0" w:line="240" w:lineRule="auto"/>
              <w:jc w:val="center"/>
              <w:rPr>
                <w:rFonts w:ascii="Arial" w:eastAsia="Arial" w:hAnsi="Arial" w:cs="Arial"/>
                <w:color w:val="000000"/>
                <w:sz w:val="20"/>
                <w:szCs w:val="20"/>
              </w:rPr>
            </w:pPr>
          </w:p>
        </w:tc>
        <w:tc>
          <w:tcPr>
            <w:tcW w:w="990" w:type="dxa"/>
            <w:vAlign w:val="bottom"/>
          </w:tcPr>
          <w:p w14:paraId="79980D10" w14:textId="77777777" w:rsidR="002456FC" w:rsidRDefault="002456FC">
            <w:pPr>
              <w:spacing w:after="0" w:line="240" w:lineRule="auto"/>
              <w:jc w:val="center"/>
              <w:rPr>
                <w:rFonts w:ascii="Arial" w:eastAsia="Arial" w:hAnsi="Arial" w:cs="Arial"/>
                <w:color w:val="000000"/>
                <w:sz w:val="20"/>
                <w:szCs w:val="20"/>
              </w:rPr>
            </w:pPr>
          </w:p>
        </w:tc>
        <w:tc>
          <w:tcPr>
            <w:tcW w:w="810" w:type="dxa"/>
            <w:vAlign w:val="bottom"/>
          </w:tcPr>
          <w:p w14:paraId="593A1E44" w14:textId="77777777" w:rsidR="002456FC" w:rsidRDefault="002456FC">
            <w:pPr>
              <w:spacing w:after="0" w:line="240" w:lineRule="auto"/>
              <w:jc w:val="center"/>
              <w:rPr>
                <w:rFonts w:ascii="Arial" w:eastAsia="Arial" w:hAnsi="Arial" w:cs="Arial"/>
                <w:color w:val="000000"/>
                <w:sz w:val="20"/>
                <w:szCs w:val="20"/>
              </w:rPr>
            </w:pPr>
          </w:p>
        </w:tc>
        <w:tc>
          <w:tcPr>
            <w:tcW w:w="720" w:type="dxa"/>
            <w:vAlign w:val="bottom"/>
          </w:tcPr>
          <w:p w14:paraId="25A7EF7F" w14:textId="77777777" w:rsidR="002456FC" w:rsidRDefault="002456FC">
            <w:pPr>
              <w:spacing w:after="0" w:line="240" w:lineRule="auto"/>
              <w:jc w:val="center"/>
              <w:rPr>
                <w:rFonts w:ascii="Arial" w:eastAsia="Arial" w:hAnsi="Arial" w:cs="Arial"/>
                <w:color w:val="000000"/>
                <w:sz w:val="20"/>
                <w:szCs w:val="20"/>
              </w:rPr>
            </w:pPr>
          </w:p>
        </w:tc>
        <w:tc>
          <w:tcPr>
            <w:tcW w:w="990" w:type="dxa"/>
            <w:vAlign w:val="bottom"/>
          </w:tcPr>
          <w:p w14:paraId="369B97FB" w14:textId="77777777" w:rsidR="002456FC" w:rsidRDefault="002456FC">
            <w:pPr>
              <w:spacing w:after="0" w:line="240" w:lineRule="auto"/>
              <w:jc w:val="center"/>
              <w:rPr>
                <w:rFonts w:ascii="Arial" w:eastAsia="Arial" w:hAnsi="Arial" w:cs="Arial"/>
                <w:color w:val="000000"/>
                <w:sz w:val="20"/>
                <w:szCs w:val="20"/>
              </w:rPr>
            </w:pPr>
          </w:p>
        </w:tc>
      </w:tr>
      <w:tr w:rsidR="002456FC" w14:paraId="7BFDA206" w14:textId="77777777">
        <w:trPr>
          <w:trHeight w:val="225"/>
        </w:trPr>
        <w:tc>
          <w:tcPr>
            <w:tcW w:w="1045" w:type="dxa"/>
            <w:vAlign w:val="bottom"/>
          </w:tcPr>
          <w:p w14:paraId="5EC6237A"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LNAGRP</w:t>
            </w:r>
          </w:p>
        </w:tc>
        <w:tc>
          <w:tcPr>
            <w:tcW w:w="810" w:type="dxa"/>
            <w:vAlign w:val="bottom"/>
          </w:tcPr>
          <w:p w14:paraId="724BD602"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-0.9753</w:t>
            </w:r>
          </w:p>
        </w:tc>
        <w:tc>
          <w:tcPr>
            <w:tcW w:w="810" w:type="dxa"/>
            <w:vAlign w:val="bottom"/>
          </w:tcPr>
          <w:p w14:paraId="625E10FF"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-0.0728</w:t>
            </w:r>
          </w:p>
        </w:tc>
        <w:tc>
          <w:tcPr>
            <w:tcW w:w="900" w:type="dxa"/>
            <w:vAlign w:val="bottom"/>
          </w:tcPr>
          <w:p w14:paraId="4DBEF3A8"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-0.9197</w:t>
            </w:r>
          </w:p>
        </w:tc>
        <w:tc>
          <w:tcPr>
            <w:tcW w:w="990" w:type="dxa"/>
            <w:vAlign w:val="bottom"/>
          </w:tcPr>
          <w:p w14:paraId="319658E3"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1.0000</w:t>
            </w:r>
          </w:p>
        </w:tc>
        <w:tc>
          <w:tcPr>
            <w:tcW w:w="900" w:type="dxa"/>
            <w:vAlign w:val="bottom"/>
          </w:tcPr>
          <w:p w14:paraId="6FDCC2AC" w14:textId="77777777" w:rsidR="002456FC" w:rsidRDefault="002456FC">
            <w:pPr>
              <w:spacing w:after="0" w:line="240" w:lineRule="auto"/>
              <w:jc w:val="center"/>
              <w:rPr>
                <w:rFonts w:ascii="Arial" w:eastAsia="Arial" w:hAnsi="Arial" w:cs="Arial"/>
                <w:color w:val="000000"/>
                <w:sz w:val="20"/>
                <w:szCs w:val="20"/>
              </w:rPr>
            </w:pPr>
          </w:p>
        </w:tc>
        <w:tc>
          <w:tcPr>
            <w:tcW w:w="990" w:type="dxa"/>
            <w:vAlign w:val="bottom"/>
          </w:tcPr>
          <w:p w14:paraId="032521E5" w14:textId="77777777" w:rsidR="002456FC" w:rsidRDefault="002456FC">
            <w:pPr>
              <w:spacing w:after="0" w:line="240" w:lineRule="auto"/>
              <w:jc w:val="center"/>
              <w:rPr>
                <w:rFonts w:ascii="Arial" w:eastAsia="Arial" w:hAnsi="Arial" w:cs="Arial"/>
                <w:color w:val="000000"/>
                <w:sz w:val="20"/>
                <w:szCs w:val="20"/>
              </w:rPr>
            </w:pPr>
          </w:p>
        </w:tc>
        <w:tc>
          <w:tcPr>
            <w:tcW w:w="810" w:type="dxa"/>
            <w:vAlign w:val="bottom"/>
          </w:tcPr>
          <w:p w14:paraId="429206C3" w14:textId="77777777" w:rsidR="002456FC" w:rsidRDefault="002456FC">
            <w:pPr>
              <w:spacing w:after="0" w:line="240" w:lineRule="auto"/>
              <w:jc w:val="center"/>
              <w:rPr>
                <w:rFonts w:ascii="Arial" w:eastAsia="Arial" w:hAnsi="Arial" w:cs="Arial"/>
                <w:color w:val="000000"/>
                <w:sz w:val="20"/>
                <w:szCs w:val="20"/>
              </w:rPr>
            </w:pPr>
          </w:p>
        </w:tc>
        <w:tc>
          <w:tcPr>
            <w:tcW w:w="720" w:type="dxa"/>
            <w:vAlign w:val="bottom"/>
          </w:tcPr>
          <w:p w14:paraId="771A4600" w14:textId="77777777" w:rsidR="002456FC" w:rsidRDefault="002456FC">
            <w:pPr>
              <w:spacing w:after="0" w:line="240" w:lineRule="auto"/>
              <w:jc w:val="center"/>
              <w:rPr>
                <w:rFonts w:ascii="Arial" w:eastAsia="Arial" w:hAnsi="Arial" w:cs="Arial"/>
                <w:color w:val="000000"/>
                <w:sz w:val="20"/>
                <w:szCs w:val="20"/>
              </w:rPr>
            </w:pPr>
          </w:p>
        </w:tc>
        <w:tc>
          <w:tcPr>
            <w:tcW w:w="990" w:type="dxa"/>
            <w:vAlign w:val="bottom"/>
          </w:tcPr>
          <w:p w14:paraId="45FC52B4" w14:textId="77777777" w:rsidR="002456FC" w:rsidRDefault="002456FC">
            <w:pPr>
              <w:spacing w:after="0" w:line="240" w:lineRule="auto"/>
              <w:jc w:val="center"/>
              <w:rPr>
                <w:rFonts w:ascii="Arial" w:eastAsia="Arial" w:hAnsi="Arial" w:cs="Arial"/>
                <w:color w:val="000000"/>
                <w:sz w:val="20"/>
                <w:szCs w:val="20"/>
              </w:rPr>
            </w:pPr>
          </w:p>
        </w:tc>
      </w:tr>
      <w:tr w:rsidR="002456FC" w14:paraId="4E3B84FB" w14:textId="77777777">
        <w:trPr>
          <w:trHeight w:val="225"/>
        </w:trPr>
        <w:tc>
          <w:tcPr>
            <w:tcW w:w="1045" w:type="dxa"/>
            <w:vAlign w:val="bottom"/>
          </w:tcPr>
          <w:p w14:paraId="4C3DA9D4"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LNGCF</w:t>
            </w:r>
          </w:p>
        </w:tc>
        <w:tc>
          <w:tcPr>
            <w:tcW w:w="810" w:type="dxa"/>
            <w:vAlign w:val="bottom"/>
          </w:tcPr>
          <w:p w14:paraId="74A90859"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0.9963</w:t>
            </w:r>
          </w:p>
        </w:tc>
        <w:tc>
          <w:tcPr>
            <w:tcW w:w="810" w:type="dxa"/>
            <w:vAlign w:val="bottom"/>
          </w:tcPr>
          <w:p w14:paraId="13B23279"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-0.0479</w:t>
            </w:r>
          </w:p>
        </w:tc>
        <w:tc>
          <w:tcPr>
            <w:tcW w:w="900" w:type="dxa"/>
            <w:vAlign w:val="bottom"/>
          </w:tcPr>
          <w:p w14:paraId="3647146A"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0.9198</w:t>
            </w:r>
          </w:p>
        </w:tc>
        <w:tc>
          <w:tcPr>
            <w:tcW w:w="990" w:type="dxa"/>
            <w:vAlign w:val="bottom"/>
          </w:tcPr>
          <w:p w14:paraId="5FE6F2C8"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-0.9784</w:t>
            </w:r>
          </w:p>
        </w:tc>
        <w:tc>
          <w:tcPr>
            <w:tcW w:w="900" w:type="dxa"/>
            <w:vAlign w:val="bottom"/>
          </w:tcPr>
          <w:p w14:paraId="39FCDF6A"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1.0000</w:t>
            </w:r>
          </w:p>
        </w:tc>
        <w:tc>
          <w:tcPr>
            <w:tcW w:w="990" w:type="dxa"/>
            <w:vAlign w:val="bottom"/>
          </w:tcPr>
          <w:p w14:paraId="3513A98B" w14:textId="77777777" w:rsidR="002456FC" w:rsidRDefault="002456FC">
            <w:pPr>
              <w:spacing w:after="0" w:line="240" w:lineRule="auto"/>
              <w:jc w:val="center"/>
              <w:rPr>
                <w:rFonts w:ascii="Arial" w:eastAsia="Arial" w:hAnsi="Arial" w:cs="Arial"/>
                <w:color w:val="000000"/>
                <w:sz w:val="20"/>
                <w:szCs w:val="20"/>
              </w:rPr>
            </w:pPr>
          </w:p>
        </w:tc>
        <w:tc>
          <w:tcPr>
            <w:tcW w:w="810" w:type="dxa"/>
            <w:vAlign w:val="bottom"/>
          </w:tcPr>
          <w:p w14:paraId="4E5C10A3" w14:textId="77777777" w:rsidR="002456FC" w:rsidRDefault="002456FC">
            <w:pPr>
              <w:spacing w:after="0" w:line="240" w:lineRule="auto"/>
              <w:jc w:val="center"/>
              <w:rPr>
                <w:rFonts w:ascii="Arial" w:eastAsia="Arial" w:hAnsi="Arial" w:cs="Arial"/>
                <w:color w:val="000000"/>
                <w:sz w:val="20"/>
                <w:szCs w:val="20"/>
              </w:rPr>
            </w:pPr>
          </w:p>
        </w:tc>
        <w:tc>
          <w:tcPr>
            <w:tcW w:w="720" w:type="dxa"/>
            <w:vAlign w:val="bottom"/>
          </w:tcPr>
          <w:p w14:paraId="3CF72092" w14:textId="77777777" w:rsidR="002456FC" w:rsidRDefault="002456FC">
            <w:pPr>
              <w:spacing w:after="0" w:line="240" w:lineRule="auto"/>
              <w:jc w:val="center"/>
              <w:rPr>
                <w:rFonts w:ascii="Arial" w:eastAsia="Arial" w:hAnsi="Arial" w:cs="Arial"/>
                <w:color w:val="000000"/>
                <w:sz w:val="20"/>
                <w:szCs w:val="20"/>
              </w:rPr>
            </w:pPr>
          </w:p>
        </w:tc>
        <w:tc>
          <w:tcPr>
            <w:tcW w:w="990" w:type="dxa"/>
            <w:vAlign w:val="bottom"/>
          </w:tcPr>
          <w:p w14:paraId="6FA95555" w14:textId="77777777" w:rsidR="002456FC" w:rsidRDefault="002456FC">
            <w:pPr>
              <w:spacing w:after="0" w:line="240" w:lineRule="auto"/>
              <w:jc w:val="center"/>
              <w:rPr>
                <w:rFonts w:ascii="Arial" w:eastAsia="Arial" w:hAnsi="Arial" w:cs="Arial"/>
                <w:color w:val="000000"/>
                <w:sz w:val="20"/>
                <w:szCs w:val="20"/>
              </w:rPr>
            </w:pPr>
          </w:p>
        </w:tc>
      </w:tr>
      <w:tr w:rsidR="002456FC" w14:paraId="439BC21A" w14:textId="77777777">
        <w:trPr>
          <w:trHeight w:val="225"/>
        </w:trPr>
        <w:tc>
          <w:tcPr>
            <w:tcW w:w="1045" w:type="dxa"/>
            <w:vAlign w:val="bottom"/>
          </w:tcPr>
          <w:p w14:paraId="5C6968A0"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LNGE</w:t>
            </w:r>
          </w:p>
        </w:tc>
        <w:tc>
          <w:tcPr>
            <w:tcW w:w="810" w:type="dxa"/>
            <w:vAlign w:val="bottom"/>
          </w:tcPr>
          <w:p w14:paraId="52DF9AFD"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0.9914</w:t>
            </w:r>
          </w:p>
        </w:tc>
        <w:tc>
          <w:tcPr>
            <w:tcW w:w="810" w:type="dxa"/>
            <w:vAlign w:val="bottom"/>
          </w:tcPr>
          <w:p w14:paraId="6749C615"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-0.0210</w:t>
            </w:r>
          </w:p>
        </w:tc>
        <w:tc>
          <w:tcPr>
            <w:tcW w:w="900" w:type="dxa"/>
            <w:vAlign w:val="bottom"/>
          </w:tcPr>
          <w:p w14:paraId="1440FC3B"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0.8743</w:t>
            </w:r>
          </w:p>
        </w:tc>
        <w:tc>
          <w:tcPr>
            <w:tcW w:w="990" w:type="dxa"/>
            <w:vAlign w:val="bottom"/>
          </w:tcPr>
          <w:p w14:paraId="1C192CCA"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-0.9680</w:t>
            </w:r>
          </w:p>
        </w:tc>
        <w:tc>
          <w:tcPr>
            <w:tcW w:w="900" w:type="dxa"/>
            <w:vAlign w:val="bottom"/>
          </w:tcPr>
          <w:p w14:paraId="0CD8148F"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0.9854</w:t>
            </w:r>
          </w:p>
        </w:tc>
        <w:tc>
          <w:tcPr>
            <w:tcW w:w="990" w:type="dxa"/>
            <w:vAlign w:val="bottom"/>
          </w:tcPr>
          <w:p w14:paraId="589956E3"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1.0000</w:t>
            </w:r>
          </w:p>
        </w:tc>
        <w:tc>
          <w:tcPr>
            <w:tcW w:w="810" w:type="dxa"/>
            <w:vAlign w:val="bottom"/>
          </w:tcPr>
          <w:p w14:paraId="0DA7315D" w14:textId="77777777" w:rsidR="002456FC" w:rsidRDefault="002456FC">
            <w:pPr>
              <w:spacing w:after="0" w:line="240" w:lineRule="auto"/>
              <w:jc w:val="center"/>
              <w:rPr>
                <w:rFonts w:ascii="Arial" w:eastAsia="Arial" w:hAnsi="Arial" w:cs="Arial"/>
                <w:color w:val="000000"/>
                <w:sz w:val="20"/>
                <w:szCs w:val="20"/>
              </w:rPr>
            </w:pPr>
          </w:p>
        </w:tc>
        <w:tc>
          <w:tcPr>
            <w:tcW w:w="720" w:type="dxa"/>
            <w:vAlign w:val="bottom"/>
          </w:tcPr>
          <w:p w14:paraId="621D69AA" w14:textId="77777777" w:rsidR="002456FC" w:rsidRDefault="002456FC">
            <w:pPr>
              <w:spacing w:after="0" w:line="240" w:lineRule="auto"/>
              <w:jc w:val="center"/>
              <w:rPr>
                <w:rFonts w:ascii="Arial" w:eastAsia="Arial" w:hAnsi="Arial" w:cs="Arial"/>
                <w:color w:val="000000"/>
                <w:sz w:val="20"/>
                <w:szCs w:val="20"/>
              </w:rPr>
            </w:pPr>
          </w:p>
        </w:tc>
        <w:tc>
          <w:tcPr>
            <w:tcW w:w="990" w:type="dxa"/>
            <w:vAlign w:val="bottom"/>
          </w:tcPr>
          <w:p w14:paraId="1D6B9765" w14:textId="77777777" w:rsidR="002456FC" w:rsidRDefault="002456FC">
            <w:pPr>
              <w:spacing w:after="0" w:line="240" w:lineRule="auto"/>
              <w:jc w:val="center"/>
              <w:rPr>
                <w:rFonts w:ascii="Arial" w:eastAsia="Arial" w:hAnsi="Arial" w:cs="Arial"/>
                <w:color w:val="000000"/>
                <w:sz w:val="20"/>
                <w:szCs w:val="20"/>
              </w:rPr>
            </w:pPr>
          </w:p>
        </w:tc>
      </w:tr>
      <w:tr w:rsidR="002456FC" w14:paraId="658F3944" w14:textId="77777777">
        <w:trPr>
          <w:trHeight w:val="225"/>
        </w:trPr>
        <w:tc>
          <w:tcPr>
            <w:tcW w:w="1045" w:type="dxa"/>
            <w:vAlign w:val="bottom"/>
          </w:tcPr>
          <w:p w14:paraId="49723311" w14:textId="77777777" w:rsidR="002456FC" w:rsidRDefault="00000000">
            <w:pPr>
              <w:spacing w:after="0" w:line="240" w:lineRule="auto"/>
              <w:rPr>
                <w:rFonts w:ascii="Arial" w:eastAsia="Arial" w:hAnsi="Arial" w:cs="Arial"/>
                <w:b/>
                <w:color w:val="000000"/>
                <w:sz w:val="20"/>
                <w:szCs w:val="20"/>
              </w:rPr>
            </w:pPr>
            <w:bookmarkStart w:id="7" w:name="_ttjrmoncq17n" w:colFirst="0" w:colLast="0"/>
            <w:bookmarkEnd w:id="7"/>
            <w:r>
              <w:rPr>
                <w:rFonts w:ascii="Arial" w:eastAsia="Arial" w:hAnsi="Arial" w:cs="Arial"/>
                <w:b/>
                <w:color w:val="000000"/>
                <w:sz w:val="20"/>
                <w:szCs w:val="20"/>
              </w:rPr>
              <w:t>LNTOPEN</w:t>
            </w:r>
          </w:p>
        </w:tc>
        <w:tc>
          <w:tcPr>
            <w:tcW w:w="810" w:type="dxa"/>
            <w:vAlign w:val="bottom"/>
          </w:tcPr>
          <w:p w14:paraId="3D1DE1ED"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0.9545</w:t>
            </w:r>
          </w:p>
        </w:tc>
        <w:tc>
          <w:tcPr>
            <w:tcW w:w="810" w:type="dxa"/>
            <w:vAlign w:val="bottom"/>
          </w:tcPr>
          <w:p w14:paraId="3E711744"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0.0843</w:t>
            </w:r>
          </w:p>
        </w:tc>
        <w:tc>
          <w:tcPr>
            <w:tcW w:w="900" w:type="dxa"/>
            <w:vAlign w:val="bottom"/>
          </w:tcPr>
          <w:p w14:paraId="13966133"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0.9042</w:t>
            </w:r>
          </w:p>
        </w:tc>
        <w:tc>
          <w:tcPr>
            <w:tcW w:w="990" w:type="dxa"/>
            <w:vAlign w:val="bottom"/>
          </w:tcPr>
          <w:p w14:paraId="0B1B9EAC"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-0.9767</w:t>
            </w:r>
          </w:p>
        </w:tc>
        <w:tc>
          <w:tcPr>
            <w:tcW w:w="900" w:type="dxa"/>
            <w:vAlign w:val="bottom"/>
          </w:tcPr>
          <w:p w14:paraId="3DA2E85A"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0.9649</w:t>
            </w:r>
          </w:p>
        </w:tc>
        <w:tc>
          <w:tcPr>
            <w:tcW w:w="990" w:type="dxa"/>
            <w:vAlign w:val="bottom"/>
          </w:tcPr>
          <w:p w14:paraId="2DB8A38E"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0.9385</w:t>
            </w:r>
          </w:p>
        </w:tc>
        <w:tc>
          <w:tcPr>
            <w:tcW w:w="810" w:type="dxa"/>
            <w:vAlign w:val="bottom"/>
          </w:tcPr>
          <w:p w14:paraId="1F6756C7"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1.0000</w:t>
            </w:r>
          </w:p>
        </w:tc>
        <w:tc>
          <w:tcPr>
            <w:tcW w:w="720" w:type="dxa"/>
            <w:vAlign w:val="bottom"/>
          </w:tcPr>
          <w:p w14:paraId="5A78E21D" w14:textId="77777777" w:rsidR="002456FC" w:rsidRDefault="002456FC">
            <w:pPr>
              <w:spacing w:after="0" w:line="240" w:lineRule="auto"/>
              <w:jc w:val="center"/>
              <w:rPr>
                <w:rFonts w:ascii="Arial" w:eastAsia="Arial" w:hAnsi="Arial" w:cs="Arial"/>
                <w:color w:val="000000"/>
                <w:sz w:val="20"/>
                <w:szCs w:val="20"/>
              </w:rPr>
            </w:pPr>
          </w:p>
        </w:tc>
        <w:tc>
          <w:tcPr>
            <w:tcW w:w="990" w:type="dxa"/>
            <w:vAlign w:val="bottom"/>
          </w:tcPr>
          <w:p w14:paraId="6A8759DC" w14:textId="77777777" w:rsidR="002456FC" w:rsidRDefault="002456FC">
            <w:pPr>
              <w:spacing w:after="0" w:line="240" w:lineRule="auto"/>
              <w:jc w:val="center"/>
              <w:rPr>
                <w:rFonts w:ascii="Arial" w:eastAsia="Arial" w:hAnsi="Arial" w:cs="Arial"/>
                <w:color w:val="000000"/>
                <w:sz w:val="20"/>
                <w:szCs w:val="20"/>
              </w:rPr>
            </w:pPr>
          </w:p>
        </w:tc>
      </w:tr>
      <w:tr w:rsidR="002456FC" w14:paraId="10266C36" w14:textId="77777777">
        <w:trPr>
          <w:trHeight w:val="225"/>
        </w:trPr>
        <w:tc>
          <w:tcPr>
            <w:tcW w:w="1045" w:type="dxa"/>
            <w:vAlign w:val="bottom"/>
          </w:tcPr>
          <w:p w14:paraId="4294D892"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POPGR</w:t>
            </w:r>
          </w:p>
        </w:tc>
        <w:tc>
          <w:tcPr>
            <w:tcW w:w="810" w:type="dxa"/>
            <w:vAlign w:val="bottom"/>
          </w:tcPr>
          <w:p w14:paraId="63451DF9"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-0.9467</w:t>
            </w:r>
          </w:p>
        </w:tc>
        <w:tc>
          <w:tcPr>
            <w:tcW w:w="810" w:type="dxa"/>
            <w:vAlign w:val="bottom"/>
          </w:tcPr>
          <w:p w14:paraId="6D9BB77D"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0.2781</w:t>
            </w:r>
          </w:p>
        </w:tc>
        <w:tc>
          <w:tcPr>
            <w:tcW w:w="900" w:type="dxa"/>
            <w:vAlign w:val="bottom"/>
          </w:tcPr>
          <w:p w14:paraId="09DB350B"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-0.9305</w:t>
            </w:r>
          </w:p>
        </w:tc>
        <w:tc>
          <w:tcPr>
            <w:tcW w:w="990" w:type="dxa"/>
            <w:vAlign w:val="bottom"/>
          </w:tcPr>
          <w:p w14:paraId="398E9993"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0.8914</w:t>
            </w:r>
          </w:p>
        </w:tc>
        <w:tc>
          <w:tcPr>
            <w:tcW w:w="900" w:type="dxa"/>
            <w:vAlign w:val="bottom"/>
          </w:tcPr>
          <w:p w14:paraId="2EA6672F"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-0.9508</w:t>
            </w:r>
          </w:p>
        </w:tc>
        <w:tc>
          <w:tcPr>
            <w:tcW w:w="990" w:type="dxa"/>
            <w:vAlign w:val="bottom"/>
          </w:tcPr>
          <w:p w14:paraId="40D13431"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-0.9102</w:t>
            </w:r>
          </w:p>
        </w:tc>
        <w:tc>
          <w:tcPr>
            <w:tcW w:w="810" w:type="dxa"/>
            <w:vAlign w:val="bottom"/>
          </w:tcPr>
          <w:p w14:paraId="34CC0588"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-0.8953</w:t>
            </w:r>
          </w:p>
        </w:tc>
        <w:tc>
          <w:tcPr>
            <w:tcW w:w="720" w:type="dxa"/>
            <w:vAlign w:val="bottom"/>
          </w:tcPr>
          <w:p w14:paraId="11FD020F"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1.0000</w:t>
            </w:r>
          </w:p>
        </w:tc>
        <w:tc>
          <w:tcPr>
            <w:tcW w:w="990" w:type="dxa"/>
            <w:vAlign w:val="bottom"/>
          </w:tcPr>
          <w:p w14:paraId="3244B026" w14:textId="77777777" w:rsidR="002456FC" w:rsidRDefault="002456FC">
            <w:pPr>
              <w:spacing w:after="0" w:line="240" w:lineRule="auto"/>
              <w:jc w:val="center"/>
              <w:rPr>
                <w:rFonts w:ascii="Arial" w:eastAsia="Arial" w:hAnsi="Arial" w:cs="Arial"/>
                <w:color w:val="000000"/>
                <w:sz w:val="20"/>
                <w:szCs w:val="20"/>
              </w:rPr>
            </w:pPr>
          </w:p>
        </w:tc>
      </w:tr>
      <w:tr w:rsidR="002456FC" w14:paraId="44ECB1D7" w14:textId="77777777">
        <w:trPr>
          <w:trHeight w:val="225"/>
        </w:trPr>
        <w:tc>
          <w:tcPr>
            <w:tcW w:w="1045" w:type="dxa"/>
            <w:tcBorders>
              <w:bottom w:val="single" w:sz="4" w:space="0" w:color="000000"/>
            </w:tcBorders>
            <w:vAlign w:val="bottom"/>
          </w:tcPr>
          <w:p w14:paraId="2D121541"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INF</w:t>
            </w:r>
          </w:p>
        </w:tc>
        <w:tc>
          <w:tcPr>
            <w:tcW w:w="810" w:type="dxa"/>
            <w:tcBorders>
              <w:bottom w:val="single" w:sz="4" w:space="0" w:color="000000"/>
            </w:tcBorders>
            <w:vAlign w:val="bottom"/>
          </w:tcPr>
          <w:p w14:paraId="29C63CF3"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-0.1138</w:t>
            </w:r>
          </w:p>
        </w:tc>
        <w:tc>
          <w:tcPr>
            <w:tcW w:w="810" w:type="dxa"/>
            <w:tcBorders>
              <w:bottom w:val="single" w:sz="4" w:space="0" w:color="000000"/>
            </w:tcBorders>
            <w:vAlign w:val="bottom"/>
          </w:tcPr>
          <w:p w14:paraId="351D040E"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0.1702</w:t>
            </w:r>
          </w:p>
        </w:tc>
        <w:tc>
          <w:tcPr>
            <w:tcW w:w="900" w:type="dxa"/>
            <w:tcBorders>
              <w:bottom w:val="single" w:sz="4" w:space="0" w:color="000000"/>
            </w:tcBorders>
            <w:vAlign w:val="bottom"/>
          </w:tcPr>
          <w:p w14:paraId="35315565"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-0.2581</w:t>
            </w:r>
          </w:p>
        </w:tc>
        <w:tc>
          <w:tcPr>
            <w:tcW w:w="990" w:type="dxa"/>
            <w:tcBorders>
              <w:bottom w:val="single" w:sz="4" w:space="0" w:color="000000"/>
            </w:tcBorders>
            <w:vAlign w:val="bottom"/>
          </w:tcPr>
          <w:p w14:paraId="40A5C208"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0.1377</w:t>
            </w:r>
          </w:p>
        </w:tc>
        <w:tc>
          <w:tcPr>
            <w:tcW w:w="900" w:type="dxa"/>
            <w:tcBorders>
              <w:bottom w:val="single" w:sz="4" w:space="0" w:color="000000"/>
            </w:tcBorders>
            <w:vAlign w:val="bottom"/>
          </w:tcPr>
          <w:p w14:paraId="32118B8B"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-0.0973</w:t>
            </w:r>
          </w:p>
        </w:tc>
        <w:tc>
          <w:tcPr>
            <w:tcW w:w="990" w:type="dxa"/>
            <w:tcBorders>
              <w:bottom w:val="single" w:sz="4" w:space="0" w:color="000000"/>
            </w:tcBorders>
            <w:vAlign w:val="bottom"/>
          </w:tcPr>
          <w:p w14:paraId="662316C8"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-0.0699</w:t>
            </w:r>
          </w:p>
        </w:tc>
        <w:tc>
          <w:tcPr>
            <w:tcW w:w="810" w:type="dxa"/>
            <w:tcBorders>
              <w:bottom w:val="single" w:sz="4" w:space="0" w:color="000000"/>
            </w:tcBorders>
            <w:vAlign w:val="bottom"/>
          </w:tcPr>
          <w:p w14:paraId="6B2DD4D7"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-0.0820</w:t>
            </w:r>
          </w:p>
        </w:tc>
        <w:tc>
          <w:tcPr>
            <w:tcW w:w="720" w:type="dxa"/>
            <w:tcBorders>
              <w:bottom w:val="single" w:sz="4" w:space="0" w:color="000000"/>
            </w:tcBorders>
            <w:vAlign w:val="bottom"/>
          </w:tcPr>
          <w:p w14:paraId="584B224E"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0.1533</w:t>
            </w:r>
          </w:p>
        </w:tc>
        <w:tc>
          <w:tcPr>
            <w:tcW w:w="990" w:type="dxa"/>
            <w:tcBorders>
              <w:bottom w:val="single" w:sz="4" w:space="0" w:color="000000"/>
            </w:tcBorders>
            <w:vAlign w:val="bottom"/>
          </w:tcPr>
          <w:p w14:paraId="5570013F"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1.0000</w:t>
            </w:r>
          </w:p>
        </w:tc>
      </w:tr>
    </w:tbl>
    <w:p w14:paraId="476F6AC8" w14:textId="77777777" w:rsidR="002456FC" w:rsidRDefault="00000000">
      <w:pPr>
        <w:spacing w:after="280" w:line="240" w:lineRule="auto"/>
        <w:ind w:left="-1020"/>
        <w:jc w:val="center"/>
        <w:rPr>
          <w:rFonts w:ascii="Arial" w:eastAsia="Arial" w:hAnsi="Arial" w:cs="Arial"/>
          <w:i/>
          <w:sz w:val="20"/>
          <w:szCs w:val="20"/>
        </w:rPr>
      </w:pPr>
      <w:r>
        <w:rPr>
          <w:rFonts w:ascii="Arial" w:eastAsia="Arial" w:hAnsi="Arial" w:cs="Arial"/>
          <w:i/>
          <w:sz w:val="20"/>
          <w:szCs w:val="20"/>
        </w:rPr>
        <w:t>Source: Authors’ Own calculation.</w:t>
      </w:r>
    </w:p>
    <w:p w14:paraId="18606728" w14:textId="77777777" w:rsidR="002456FC" w:rsidRDefault="00000000">
      <w:pPr>
        <w:spacing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From Table 1, it can be observed that all variables are moderately positively skewed, except share of manufacturing, agriculture, government expenditure and population growth rate. Also, all variables have a positive coefficient of kurtosis. The results also indicate that variables like service, population growth rate and inflation are not normally distributed and all other variables are normally distributed. It is also clear from the results there is strong positive correlation among all the variable under study. One of the reasons for this high positive correlation is that different economic variables keep affecting one another, and mostly share the same common trend. Moreover, the dependent variable, GDP has high positive correlation with LNSERP, LNGCF, LNG E and LNTOPEN. </w:t>
      </w:r>
    </w:p>
    <w:p w14:paraId="45621D9B" w14:textId="77777777" w:rsidR="002456FC" w:rsidRDefault="00000000">
      <w:pPr>
        <w:pStyle w:val="Heading3"/>
        <w:spacing w:before="280" w:after="280" w:line="360" w:lineRule="auto"/>
        <w:rPr>
          <w:rFonts w:ascii="Arial" w:eastAsia="Arial" w:hAnsi="Arial" w:cs="Arial"/>
          <w:sz w:val="22"/>
          <w:szCs w:val="22"/>
        </w:rPr>
      </w:pPr>
      <w:r>
        <w:rPr>
          <w:rFonts w:ascii="Arial" w:eastAsia="Arial" w:hAnsi="Arial" w:cs="Arial"/>
          <w:sz w:val="22"/>
          <w:szCs w:val="22"/>
        </w:rPr>
        <w:t>4.3 Unit Root Tests</w:t>
      </w:r>
    </w:p>
    <w:p w14:paraId="6016A65D" w14:textId="77777777" w:rsidR="002456FC" w:rsidRDefault="00000000">
      <w:pPr>
        <w:spacing w:line="240" w:lineRule="auto"/>
        <w:jc w:val="both"/>
        <w:rPr>
          <w:rFonts w:ascii="Arial" w:eastAsia="Arial" w:hAnsi="Arial" w:cs="Arial"/>
          <w:sz w:val="20"/>
          <w:szCs w:val="20"/>
        </w:rPr>
      </w:pPr>
      <w:r>
        <w:rPr>
          <w:rFonts w:ascii="Arial" w:eastAsia="Arial" w:hAnsi="Arial" w:cs="Arial"/>
          <w:sz w:val="20"/>
          <w:szCs w:val="20"/>
        </w:rPr>
        <w:t xml:space="preserve">Though the ARDL technique does not require testing for the stationarity of variables, it is appropriate to check for the order of integration of the variables since this method breaks down in the presence of </w:t>
      </w:r>
      <w:proofErr w:type="gramStart"/>
      <w:r>
        <w:rPr>
          <w:rFonts w:ascii="Arial" w:eastAsia="Arial" w:hAnsi="Arial" w:cs="Arial"/>
          <w:sz w:val="20"/>
          <w:szCs w:val="20"/>
        </w:rPr>
        <w:t>I(</w:t>
      </w:r>
      <w:proofErr w:type="gramEnd"/>
      <w:r>
        <w:rPr>
          <w:rFonts w:ascii="Arial" w:eastAsia="Arial" w:hAnsi="Arial" w:cs="Arial"/>
          <w:sz w:val="20"/>
          <w:szCs w:val="20"/>
        </w:rPr>
        <w:t xml:space="preserve">2) time series. For checking stationarity or the order of integration of variables, </w:t>
      </w:r>
      <w:proofErr w:type="gramStart"/>
      <w:r>
        <w:rPr>
          <w:rFonts w:ascii="Arial" w:eastAsia="Arial" w:hAnsi="Arial" w:cs="Arial"/>
          <w:sz w:val="20"/>
          <w:szCs w:val="20"/>
        </w:rPr>
        <w:t xml:space="preserve">the  </w:t>
      </w:r>
      <w:proofErr w:type="spellStart"/>
      <w:r>
        <w:rPr>
          <w:rFonts w:ascii="Arial" w:eastAsia="Arial" w:hAnsi="Arial" w:cs="Arial"/>
          <w:sz w:val="20"/>
          <w:szCs w:val="20"/>
        </w:rPr>
        <w:t>Im</w:t>
      </w:r>
      <w:proofErr w:type="spellEnd"/>
      <w:proofErr w:type="gramEnd"/>
      <w:r>
        <w:rPr>
          <w:rFonts w:ascii="Arial" w:eastAsia="Arial" w:hAnsi="Arial" w:cs="Arial"/>
          <w:sz w:val="20"/>
          <w:szCs w:val="20"/>
        </w:rPr>
        <w:t>, Pesaran and Shin W-stats have been used, the results of which are presented in the Table 2</w:t>
      </w:r>
    </w:p>
    <w:p w14:paraId="5FF91C91" w14:textId="77777777" w:rsidR="002456FC" w:rsidRDefault="00000000">
      <w:pPr>
        <w:spacing w:after="0" w:line="240" w:lineRule="auto"/>
        <w:jc w:val="center"/>
        <w:rPr>
          <w:rFonts w:ascii="Arial" w:eastAsia="Arial" w:hAnsi="Arial" w:cs="Arial"/>
          <w:b/>
        </w:rPr>
      </w:pPr>
      <w:r>
        <w:rPr>
          <w:rFonts w:ascii="Arial" w:eastAsia="Arial" w:hAnsi="Arial" w:cs="Arial"/>
          <w:b/>
        </w:rPr>
        <w:t>Table 2. Results of stationarity tests</w:t>
      </w:r>
    </w:p>
    <w:tbl>
      <w:tblPr>
        <w:tblStyle w:val="a0"/>
        <w:tblW w:w="9415" w:type="dxa"/>
        <w:tblInd w:w="30" w:type="dxa"/>
        <w:tblLayout w:type="fixed"/>
        <w:tblLook w:val="0000" w:firstRow="0" w:lastRow="0" w:firstColumn="0" w:lastColumn="0" w:noHBand="0" w:noVBand="0"/>
      </w:tblPr>
      <w:tblGrid>
        <w:gridCol w:w="1675"/>
        <w:gridCol w:w="2520"/>
        <w:gridCol w:w="2520"/>
        <w:gridCol w:w="90"/>
        <w:gridCol w:w="2610"/>
      </w:tblGrid>
      <w:tr w:rsidR="002456FC" w14:paraId="45608648" w14:textId="77777777">
        <w:trPr>
          <w:trHeight w:val="225"/>
        </w:trPr>
        <w:tc>
          <w:tcPr>
            <w:tcW w:w="9415" w:type="dxa"/>
            <w:gridSpan w:val="5"/>
            <w:tcBorders>
              <w:top w:val="single" w:sz="4" w:space="0" w:color="000000"/>
              <w:bottom w:val="single" w:sz="4" w:space="0" w:color="000000"/>
            </w:tcBorders>
            <w:vAlign w:val="bottom"/>
          </w:tcPr>
          <w:p w14:paraId="72C9DE42"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sz w:val="20"/>
                <w:szCs w:val="20"/>
              </w:rPr>
              <w:t>Part A. Value of Test Statistic for Stationary Tests at Level</w:t>
            </w:r>
          </w:p>
        </w:tc>
      </w:tr>
      <w:tr w:rsidR="002456FC" w14:paraId="6854E9D3" w14:textId="77777777">
        <w:trPr>
          <w:trHeight w:val="225"/>
        </w:trPr>
        <w:tc>
          <w:tcPr>
            <w:tcW w:w="1675" w:type="dxa"/>
            <w:tcBorders>
              <w:top w:val="single" w:sz="4" w:space="0" w:color="000000"/>
              <w:bottom w:val="single" w:sz="4" w:space="0" w:color="000000"/>
            </w:tcBorders>
            <w:vAlign w:val="bottom"/>
          </w:tcPr>
          <w:p w14:paraId="230C5F2F"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Series</w:t>
            </w:r>
          </w:p>
        </w:tc>
        <w:tc>
          <w:tcPr>
            <w:tcW w:w="2520" w:type="dxa"/>
            <w:tcBorders>
              <w:top w:val="single" w:sz="4" w:space="0" w:color="000000"/>
              <w:bottom w:val="single" w:sz="4" w:space="0" w:color="000000"/>
            </w:tcBorders>
            <w:vAlign w:val="bottom"/>
          </w:tcPr>
          <w:p w14:paraId="2CAC5E8C" w14:textId="77777777" w:rsidR="002456FC" w:rsidRDefault="00000000">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t-Stat</w:t>
            </w:r>
          </w:p>
        </w:tc>
        <w:tc>
          <w:tcPr>
            <w:tcW w:w="2520" w:type="dxa"/>
            <w:tcBorders>
              <w:top w:val="single" w:sz="4" w:space="0" w:color="000000"/>
              <w:bottom w:val="single" w:sz="4" w:space="0" w:color="000000"/>
            </w:tcBorders>
            <w:vAlign w:val="bottom"/>
          </w:tcPr>
          <w:p w14:paraId="6BB3FDD8" w14:textId="77777777" w:rsidR="002456FC" w:rsidRDefault="00000000">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Prob.</w:t>
            </w:r>
          </w:p>
        </w:tc>
        <w:tc>
          <w:tcPr>
            <w:tcW w:w="2700" w:type="dxa"/>
            <w:gridSpan w:val="2"/>
            <w:tcBorders>
              <w:top w:val="single" w:sz="4" w:space="0" w:color="000000"/>
              <w:bottom w:val="single" w:sz="4" w:space="0" w:color="000000"/>
            </w:tcBorders>
          </w:tcPr>
          <w:p w14:paraId="731E3144" w14:textId="77777777" w:rsidR="002456FC" w:rsidRDefault="00000000">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Result</w:t>
            </w:r>
          </w:p>
        </w:tc>
      </w:tr>
      <w:tr w:rsidR="002456FC" w14:paraId="15C4313B" w14:textId="77777777">
        <w:trPr>
          <w:trHeight w:val="225"/>
        </w:trPr>
        <w:tc>
          <w:tcPr>
            <w:tcW w:w="1675" w:type="dxa"/>
            <w:tcBorders>
              <w:top w:val="single" w:sz="4" w:space="0" w:color="000000"/>
            </w:tcBorders>
            <w:vAlign w:val="bottom"/>
          </w:tcPr>
          <w:p w14:paraId="1C9B21B1"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LNRGDP</w:t>
            </w:r>
          </w:p>
        </w:tc>
        <w:tc>
          <w:tcPr>
            <w:tcW w:w="2520" w:type="dxa"/>
            <w:tcBorders>
              <w:top w:val="single" w:sz="4" w:space="0" w:color="000000"/>
            </w:tcBorders>
            <w:vAlign w:val="bottom"/>
          </w:tcPr>
          <w:p w14:paraId="06683535"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-1.8998</w:t>
            </w:r>
          </w:p>
        </w:tc>
        <w:tc>
          <w:tcPr>
            <w:tcW w:w="2520" w:type="dxa"/>
            <w:tcBorders>
              <w:top w:val="single" w:sz="4" w:space="0" w:color="000000"/>
            </w:tcBorders>
            <w:vAlign w:val="bottom"/>
          </w:tcPr>
          <w:p w14:paraId="66CDE4AE"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0.6425</w:t>
            </w:r>
          </w:p>
        </w:tc>
        <w:tc>
          <w:tcPr>
            <w:tcW w:w="2700" w:type="dxa"/>
            <w:gridSpan w:val="2"/>
            <w:tcBorders>
              <w:top w:val="single" w:sz="4" w:space="0" w:color="000000"/>
            </w:tcBorders>
          </w:tcPr>
          <w:p w14:paraId="03CACA6C"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Non-stationary</w:t>
            </w:r>
          </w:p>
        </w:tc>
      </w:tr>
      <w:tr w:rsidR="002456FC" w14:paraId="085D45D3" w14:textId="77777777">
        <w:trPr>
          <w:trHeight w:val="225"/>
        </w:trPr>
        <w:tc>
          <w:tcPr>
            <w:tcW w:w="1675" w:type="dxa"/>
            <w:vAlign w:val="bottom"/>
          </w:tcPr>
          <w:p w14:paraId="22A16D6A"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LNMANP</w:t>
            </w:r>
          </w:p>
        </w:tc>
        <w:tc>
          <w:tcPr>
            <w:tcW w:w="2520" w:type="dxa"/>
            <w:vAlign w:val="bottom"/>
          </w:tcPr>
          <w:p w14:paraId="25EF5234"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-1.6321</w:t>
            </w:r>
          </w:p>
        </w:tc>
        <w:tc>
          <w:tcPr>
            <w:tcW w:w="2520" w:type="dxa"/>
            <w:vAlign w:val="bottom"/>
          </w:tcPr>
          <w:p w14:paraId="69314E6F"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0.7686</w:t>
            </w:r>
          </w:p>
        </w:tc>
        <w:tc>
          <w:tcPr>
            <w:tcW w:w="2700" w:type="dxa"/>
            <w:gridSpan w:val="2"/>
          </w:tcPr>
          <w:p w14:paraId="239AE559"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Non-stationary</w:t>
            </w:r>
          </w:p>
        </w:tc>
      </w:tr>
      <w:tr w:rsidR="002456FC" w14:paraId="2D48B5C3" w14:textId="77777777">
        <w:trPr>
          <w:trHeight w:val="225"/>
        </w:trPr>
        <w:tc>
          <w:tcPr>
            <w:tcW w:w="1675" w:type="dxa"/>
            <w:vAlign w:val="bottom"/>
          </w:tcPr>
          <w:p w14:paraId="7D4C75DB"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LNSERP</w:t>
            </w:r>
          </w:p>
        </w:tc>
        <w:tc>
          <w:tcPr>
            <w:tcW w:w="2520" w:type="dxa"/>
            <w:vAlign w:val="bottom"/>
          </w:tcPr>
          <w:p w14:paraId="79525A53"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-2.7799</w:t>
            </w:r>
          </w:p>
        </w:tc>
        <w:tc>
          <w:tcPr>
            <w:tcW w:w="2520" w:type="dxa"/>
            <w:vAlign w:val="bottom"/>
          </w:tcPr>
          <w:p w14:paraId="67602773"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0.2102</w:t>
            </w:r>
          </w:p>
        </w:tc>
        <w:tc>
          <w:tcPr>
            <w:tcW w:w="2700" w:type="dxa"/>
            <w:gridSpan w:val="2"/>
          </w:tcPr>
          <w:p w14:paraId="6ED64602"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Non-stationary</w:t>
            </w:r>
          </w:p>
        </w:tc>
      </w:tr>
      <w:tr w:rsidR="002456FC" w14:paraId="38705168" w14:textId="77777777">
        <w:trPr>
          <w:trHeight w:val="225"/>
        </w:trPr>
        <w:tc>
          <w:tcPr>
            <w:tcW w:w="1675" w:type="dxa"/>
            <w:vAlign w:val="bottom"/>
          </w:tcPr>
          <w:p w14:paraId="5971B734"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LNAGRP</w:t>
            </w:r>
          </w:p>
        </w:tc>
        <w:tc>
          <w:tcPr>
            <w:tcW w:w="2520" w:type="dxa"/>
            <w:vAlign w:val="bottom"/>
          </w:tcPr>
          <w:p w14:paraId="7A8E3D06"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-2.0814</w:t>
            </w:r>
          </w:p>
        </w:tc>
        <w:tc>
          <w:tcPr>
            <w:tcW w:w="2520" w:type="dxa"/>
            <w:vAlign w:val="bottom"/>
          </w:tcPr>
          <w:p w14:paraId="3DC8080A"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0.5454</w:t>
            </w:r>
          </w:p>
        </w:tc>
        <w:tc>
          <w:tcPr>
            <w:tcW w:w="2700" w:type="dxa"/>
            <w:gridSpan w:val="2"/>
          </w:tcPr>
          <w:p w14:paraId="3DE94106"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Non-stationary</w:t>
            </w:r>
          </w:p>
        </w:tc>
      </w:tr>
      <w:tr w:rsidR="002456FC" w14:paraId="4A2D3C23" w14:textId="77777777">
        <w:trPr>
          <w:trHeight w:val="225"/>
        </w:trPr>
        <w:tc>
          <w:tcPr>
            <w:tcW w:w="1675" w:type="dxa"/>
            <w:vAlign w:val="bottom"/>
          </w:tcPr>
          <w:p w14:paraId="47EFCE89"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LNGCF</w:t>
            </w:r>
          </w:p>
        </w:tc>
        <w:tc>
          <w:tcPr>
            <w:tcW w:w="2520" w:type="dxa"/>
            <w:vAlign w:val="bottom"/>
          </w:tcPr>
          <w:p w14:paraId="55D329BF"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-1.8733</w:t>
            </w:r>
          </w:p>
        </w:tc>
        <w:tc>
          <w:tcPr>
            <w:tcW w:w="2520" w:type="dxa"/>
            <w:vAlign w:val="bottom"/>
          </w:tcPr>
          <w:p w14:paraId="20F56545"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0.6561</w:t>
            </w:r>
          </w:p>
        </w:tc>
        <w:tc>
          <w:tcPr>
            <w:tcW w:w="2700" w:type="dxa"/>
            <w:gridSpan w:val="2"/>
          </w:tcPr>
          <w:p w14:paraId="013ADC97"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Non-stationary</w:t>
            </w:r>
          </w:p>
        </w:tc>
      </w:tr>
      <w:tr w:rsidR="002456FC" w14:paraId="35823BF6" w14:textId="77777777">
        <w:trPr>
          <w:trHeight w:val="225"/>
        </w:trPr>
        <w:tc>
          <w:tcPr>
            <w:tcW w:w="1675" w:type="dxa"/>
            <w:vAlign w:val="bottom"/>
          </w:tcPr>
          <w:p w14:paraId="4468D5CB"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LNGE</w:t>
            </w:r>
          </w:p>
        </w:tc>
        <w:tc>
          <w:tcPr>
            <w:tcW w:w="2520" w:type="dxa"/>
            <w:vAlign w:val="bottom"/>
          </w:tcPr>
          <w:p w14:paraId="04DEB234"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-5.0091</w:t>
            </w:r>
          </w:p>
        </w:tc>
        <w:tc>
          <w:tcPr>
            <w:tcW w:w="2520" w:type="dxa"/>
            <w:vAlign w:val="bottom"/>
          </w:tcPr>
          <w:p w14:paraId="6E67261E"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     0.0007***</w:t>
            </w:r>
          </w:p>
        </w:tc>
        <w:tc>
          <w:tcPr>
            <w:tcW w:w="2700" w:type="dxa"/>
            <w:gridSpan w:val="2"/>
          </w:tcPr>
          <w:p w14:paraId="062E33B4"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Stationary</w:t>
            </w:r>
          </w:p>
        </w:tc>
      </w:tr>
      <w:tr w:rsidR="002456FC" w14:paraId="2F053B6D" w14:textId="77777777">
        <w:trPr>
          <w:trHeight w:val="225"/>
        </w:trPr>
        <w:tc>
          <w:tcPr>
            <w:tcW w:w="1675" w:type="dxa"/>
            <w:vAlign w:val="bottom"/>
          </w:tcPr>
          <w:p w14:paraId="60430F5A"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LNTOPEN</w:t>
            </w:r>
          </w:p>
        </w:tc>
        <w:tc>
          <w:tcPr>
            <w:tcW w:w="2520" w:type="dxa"/>
            <w:vAlign w:val="bottom"/>
          </w:tcPr>
          <w:p w14:paraId="07B0D860"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-2.1881</w:t>
            </w:r>
          </w:p>
        </w:tc>
        <w:tc>
          <w:tcPr>
            <w:tcW w:w="2520" w:type="dxa"/>
            <w:vAlign w:val="bottom"/>
          </w:tcPr>
          <w:p w14:paraId="266984D6"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0.4874</w:t>
            </w:r>
          </w:p>
        </w:tc>
        <w:tc>
          <w:tcPr>
            <w:tcW w:w="2700" w:type="dxa"/>
            <w:gridSpan w:val="2"/>
          </w:tcPr>
          <w:p w14:paraId="3919D4CB"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Non-stationary</w:t>
            </w:r>
          </w:p>
        </w:tc>
      </w:tr>
      <w:tr w:rsidR="002456FC" w14:paraId="6DBFD78D" w14:textId="77777777">
        <w:trPr>
          <w:trHeight w:val="225"/>
        </w:trPr>
        <w:tc>
          <w:tcPr>
            <w:tcW w:w="1675" w:type="dxa"/>
            <w:vAlign w:val="bottom"/>
          </w:tcPr>
          <w:p w14:paraId="76C5899B"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POPGR</w:t>
            </w:r>
          </w:p>
        </w:tc>
        <w:tc>
          <w:tcPr>
            <w:tcW w:w="2520" w:type="dxa"/>
            <w:vAlign w:val="bottom"/>
          </w:tcPr>
          <w:p w14:paraId="133CE451"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0.0298</w:t>
            </w:r>
          </w:p>
        </w:tc>
        <w:tc>
          <w:tcPr>
            <w:tcW w:w="2520" w:type="dxa"/>
            <w:vAlign w:val="bottom"/>
          </w:tcPr>
          <w:p w14:paraId="220FA536"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0.9958</w:t>
            </w:r>
          </w:p>
        </w:tc>
        <w:tc>
          <w:tcPr>
            <w:tcW w:w="2700" w:type="dxa"/>
            <w:gridSpan w:val="2"/>
          </w:tcPr>
          <w:p w14:paraId="4D41BB6B"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Non-stationary</w:t>
            </w:r>
          </w:p>
        </w:tc>
      </w:tr>
      <w:tr w:rsidR="002456FC" w14:paraId="13158F18" w14:textId="77777777">
        <w:trPr>
          <w:trHeight w:val="225"/>
        </w:trPr>
        <w:tc>
          <w:tcPr>
            <w:tcW w:w="1675" w:type="dxa"/>
            <w:tcBorders>
              <w:bottom w:val="single" w:sz="4" w:space="0" w:color="000000"/>
            </w:tcBorders>
            <w:vAlign w:val="bottom"/>
          </w:tcPr>
          <w:p w14:paraId="73BD3AB3"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INF</w:t>
            </w:r>
          </w:p>
        </w:tc>
        <w:tc>
          <w:tcPr>
            <w:tcW w:w="2520" w:type="dxa"/>
            <w:tcBorders>
              <w:bottom w:val="single" w:sz="4" w:space="0" w:color="000000"/>
            </w:tcBorders>
            <w:vAlign w:val="bottom"/>
          </w:tcPr>
          <w:p w14:paraId="3D81D63F"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-5.9498</w:t>
            </w:r>
          </w:p>
        </w:tc>
        <w:tc>
          <w:tcPr>
            <w:tcW w:w="2520" w:type="dxa"/>
            <w:tcBorders>
              <w:bottom w:val="single" w:sz="4" w:space="0" w:color="000000"/>
            </w:tcBorders>
            <w:vAlign w:val="bottom"/>
          </w:tcPr>
          <w:p w14:paraId="3904F40C"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xml:space="preserve">     0.0000***</w:t>
            </w:r>
          </w:p>
        </w:tc>
        <w:tc>
          <w:tcPr>
            <w:tcW w:w="2700" w:type="dxa"/>
            <w:gridSpan w:val="2"/>
            <w:tcBorders>
              <w:bottom w:val="single" w:sz="4" w:space="0" w:color="000000"/>
            </w:tcBorders>
          </w:tcPr>
          <w:p w14:paraId="0E133CF1"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Stationary</w:t>
            </w:r>
          </w:p>
        </w:tc>
      </w:tr>
      <w:tr w:rsidR="002456FC" w14:paraId="72CB12B4" w14:textId="77777777">
        <w:trPr>
          <w:trHeight w:val="225"/>
        </w:trPr>
        <w:tc>
          <w:tcPr>
            <w:tcW w:w="9415" w:type="dxa"/>
            <w:gridSpan w:val="5"/>
            <w:tcBorders>
              <w:top w:val="single" w:sz="4" w:space="0" w:color="000000"/>
              <w:bottom w:val="single" w:sz="4" w:space="0" w:color="000000"/>
            </w:tcBorders>
            <w:vAlign w:val="bottom"/>
          </w:tcPr>
          <w:p w14:paraId="3D1F3F45" w14:textId="77777777" w:rsidR="002456FC" w:rsidRDefault="00000000">
            <w:pPr>
              <w:spacing w:line="240" w:lineRule="auto"/>
              <w:rPr>
                <w:rFonts w:ascii="Arial" w:eastAsia="Arial" w:hAnsi="Arial" w:cs="Arial"/>
                <w:b/>
                <w:sz w:val="20"/>
                <w:szCs w:val="20"/>
              </w:rPr>
            </w:pPr>
            <w:r>
              <w:rPr>
                <w:rFonts w:ascii="Arial" w:eastAsia="Arial" w:hAnsi="Arial" w:cs="Arial"/>
                <w:b/>
                <w:sz w:val="20"/>
                <w:szCs w:val="20"/>
              </w:rPr>
              <w:t>Part B. Values of Test Statistic for Stationary Tests at First Difference</w:t>
            </w:r>
          </w:p>
        </w:tc>
      </w:tr>
      <w:tr w:rsidR="002456FC" w14:paraId="24269E95" w14:textId="77777777">
        <w:trPr>
          <w:trHeight w:val="225"/>
        </w:trPr>
        <w:tc>
          <w:tcPr>
            <w:tcW w:w="1675" w:type="dxa"/>
            <w:tcBorders>
              <w:top w:val="single" w:sz="4" w:space="0" w:color="000000"/>
              <w:bottom w:val="single" w:sz="4" w:space="0" w:color="000000"/>
            </w:tcBorders>
            <w:vAlign w:val="bottom"/>
          </w:tcPr>
          <w:p w14:paraId="73997F05"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Series</w:t>
            </w:r>
          </w:p>
        </w:tc>
        <w:tc>
          <w:tcPr>
            <w:tcW w:w="2520" w:type="dxa"/>
            <w:tcBorders>
              <w:top w:val="single" w:sz="4" w:space="0" w:color="000000"/>
              <w:bottom w:val="single" w:sz="4" w:space="0" w:color="000000"/>
            </w:tcBorders>
            <w:vAlign w:val="bottom"/>
          </w:tcPr>
          <w:p w14:paraId="62AAD7ED" w14:textId="77777777" w:rsidR="002456FC" w:rsidRDefault="00000000">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t-Stat</w:t>
            </w:r>
          </w:p>
        </w:tc>
        <w:tc>
          <w:tcPr>
            <w:tcW w:w="2610" w:type="dxa"/>
            <w:gridSpan w:val="2"/>
            <w:tcBorders>
              <w:top w:val="single" w:sz="4" w:space="0" w:color="000000"/>
              <w:bottom w:val="single" w:sz="4" w:space="0" w:color="000000"/>
            </w:tcBorders>
            <w:vAlign w:val="bottom"/>
          </w:tcPr>
          <w:p w14:paraId="4F2A9BB4" w14:textId="77777777" w:rsidR="002456FC" w:rsidRDefault="00000000">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Prob.</w:t>
            </w:r>
          </w:p>
        </w:tc>
        <w:tc>
          <w:tcPr>
            <w:tcW w:w="2610" w:type="dxa"/>
            <w:tcBorders>
              <w:top w:val="single" w:sz="4" w:space="0" w:color="000000"/>
              <w:bottom w:val="single" w:sz="4" w:space="0" w:color="000000"/>
            </w:tcBorders>
          </w:tcPr>
          <w:p w14:paraId="30A424DA" w14:textId="77777777" w:rsidR="002456FC" w:rsidRDefault="00000000">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Result</w:t>
            </w:r>
          </w:p>
        </w:tc>
      </w:tr>
      <w:tr w:rsidR="002456FC" w14:paraId="5670DF2C" w14:textId="77777777">
        <w:trPr>
          <w:trHeight w:val="225"/>
        </w:trPr>
        <w:tc>
          <w:tcPr>
            <w:tcW w:w="1675" w:type="dxa"/>
            <w:tcBorders>
              <w:top w:val="single" w:sz="4" w:space="0" w:color="000000"/>
            </w:tcBorders>
            <w:vAlign w:val="bottom"/>
          </w:tcPr>
          <w:p w14:paraId="789E765E"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D(LNRGDP)</w:t>
            </w:r>
          </w:p>
        </w:tc>
        <w:tc>
          <w:tcPr>
            <w:tcW w:w="2520" w:type="dxa"/>
            <w:tcBorders>
              <w:top w:val="single" w:sz="4" w:space="0" w:color="000000"/>
            </w:tcBorders>
            <w:vAlign w:val="bottom"/>
          </w:tcPr>
          <w:p w14:paraId="722FF5D9"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-8.0867</w:t>
            </w:r>
          </w:p>
        </w:tc>
        <w:tc>
          <w:tcPr>
            <w:tcW w:w="2610" w:type="dxa"/>
            <w:gridSpan w:val="2"/>
            <w:tcBorders>
              <w:top w:val="single" w:sz="4" w:space="0" w:color="000000"/>
            </w:tcBorders>
            <w:vAlign w:val="bottom"/>
          </w:tcPr>
          <w:p w14:paraId="34F76FDB"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0.0000***</w:t>
            </w:r>
          </w:p>
        </w:tc>
        <w:tc>
          <w:tcPr>
            <w:tcW w:w="2610" w:type="dxa"/>
            <w:tcBorders>
              <w:top w:val="single" w:sz="4" w:space="0" w:color="000000"/>
            </w:tcBorders>
          </w:tcPr>
          <w:p w14:paraId="138AFF4D"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Stationary</w:t>
            </w:r>
          </w:p>
        </w:tc>
      </w:tr>
      <w:tr w:rsidR="002456FC" w14:paraId="3B12A1EE" w14:textId="77777777">
        <w:trPr>
          <w:trHeight w:val="225"/>
        </w:trPr>
        <w:tc>
          <w:tcPr>
            <w:tcW w:w="1675" w:type="dxa"/>
            <w:vAlign w:val="bottom"/>
          </w:tcPr>
          <w:p w14:paraId="432E8FA6"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D(LNMANP)</w:t>
            </w:r>
          </w:p>
        </w:tc>
        <w:tc>
          <w:tcPr>
            <w:tcW w:w="2520" w:type="dxa"/>
            <w:vAlign w:val="bottom"/>
          </w:tcPr>
          <w:p w14:paraId="6C49A606"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-7.7081</w:t>
            </w:r>
          </w:p>
        </w:tc>
        <w:tc>
          <w:tcPr>
            <w:tcW w:w="2610" w:type="dxa"/>
            <w:gridSpan w:val="2"/>
            <w:vAlign w:val="bottom"/>
          </w:tcPr>
          <w:p w14:paraId="60732266"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0.0000***</w:t>
            </w:r>
          </w:p>
        </w:tc>
        <w:tc>
          <w:tcPr>
            <w:tcW w:w="2610" w:type="dxa"/>
          </w:tcPr>
          <w:p w14:paraId="3BFB8463"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Stationary</w:t>
            </w:r>
          </w:p>
        </w:tc>
      </w:tr>
      <w:tr w:rsidR="002456FC" w14:paraId="4FF339ED" w14:textId="77777777">
        <w:trPr>
          <w:trHeight w:val="225"/>
        </w:trPr>
        <w:tc>
          <w:tcPr>
            <w:tcW w:w="1675" w:type="dxa"/>
            <w:vAlign w:val="bottom"/>
          </w:tcPr>
          <w:p w14:paraId="54DB0ABD"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D(LNSERP)</w:t>
            </w:r>
          </w:p>
        </w:tc>
        <w:tc>
          <w:tcPr>
            <w:tcW w:w="2520" w:type="dxa"/>
            <w:vAlign w:val="bottom"/>
          </w:tcPr>
          <w:p w14:paraId="7237E859"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-8.2058</w:t>
            </w:r>
          </w:p>
        </w:tc>
        <w:tc>
          <w:tcPr>
            <w:tcW w:w="2610" w:type="dxa"/>
            <w:gridSpan w:val="2"/>
            <w:vAlign w:val="bottom"/>
          </w:tcPr>
          <w:p w14:paraId="65D9898D"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0.0000***</w:t>
            </w:r>
          </w:p>
        </w:tc>
        <w:tc>
          <w:tcPr>
            <w:tcW w:w="2610" w:type="dxa"/>
          </w:tcPr>
          <w:p w14:paraId="657EE3BA"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Stationary</w:t>
            </w:r>
          </w:p>
        </w:tc>
      </w:tr>
      <w:tr w:rsidR="002456FC" w14:paraId="74261354" w14:textId="77777777">
        <w:trPr>
          <w:trHeight w:val="225"/>
        </w:trPr>
        <w:tc>
          <w:tcPr>
            <w:tcW w:w="1675" w:type="dxa"/>
            <w:vAlign w:val="bottom"/>
          </w:tcPr>
          <w:p w14:paraId="41020D64"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D(LNAGRP)</w:t>
            </w:r>
          </w:p>
        </w:tc>
        <w:tc>
          <w:tcPr>
            <w:tcW w:w="2520" w:type="dxa"/>
            <w:vAlign w:val="bottom"/>
          </w:tcPr>
          <w:p w14:paraId="06C89C6F"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-8.4221</w:t>
            </w:r>
          </w:p>
        </w:tc>
        <w:tc>
          <w:tcPr>
            <w:tcW w:w="2610" w:type="dxa"/>
            <w:gridSpan w:val="2"/>
            <w:vAlign w:val="bottom"/>
          </w:tcPr>
          <w:p w14:paraId="5925FF67"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0.0000***</w:t>
            </w:r>
          </w:p>
        </w:tc>
        <w:tc>
          <w:tcPr>
            <w:tcW w:w="2610" w:type="dxa"/>
          </w:tcPr>
          <w:p w14:paraId="21C3EB49"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Stationary</w:t>
            </w:r>
          </w:p>
        </w:tc>
      </w:tr>
      <w:tr w:rsidR="002456FC" w14:paraId="2C6D6293" w14:textId="77777777">
        <w:trPr>
          <w:trHeight w:val="225"/>
        </w:trPr>
        <w:tc>
          <w:tcPr>
            <w:tcW w:w="1675" w:type="dxa"/>
            <w:vAlign w:val="bottom"/>
          </w:tcPr>
          <w:p w14:paraId="73C0661D"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D(LNGCF)</w:t>
            </w:r>
          </w:p>
        </w:tc>
        <w:tc>
          <w:tcPr>
            <w:tcW w:w="2520" w:type="dxa"/>
            <w:vAlign w:val="bottom"/>
          </w:tcPr>
          <w:p w14:paraId="371A5641"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-8.7189</w:t>
            </w:r>
          </w:p>
        </w:tc>
        <w:tc>
          <w:tcPr>
            <w:tcW w:w="2610" w:type="dxa"/>
            <w:gridSpan w:val="2"/>
            <w:vAlign w:val="bottom"/>
          </w:tcPr>
          <w:p w14:paraId="086BCEDD"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0.0000***</w:t>
            </w:r>
          </w:p>
        </w:tc>
        <w:tc>
          <w:tcPr>
            <w:tcW w:w="2610" w:type="dxa"/>
          </w:tcPr>
          <w:p w14:paraId="2AEBA032"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Stationary</w:t>
            </w:r>
          </w:p>
        </w:tc>
      </w:tr>
      <w:tr w:rsidR="002456FC" w14:paraId="408A74BB" w14:textId="77777777">
        <w:trPr>
          <w:trHeight w:val="225"/>
        </w:trPr>
        <w:tc>
          <w:tcPr>
            <w:tcW w:w="1675" w:type="dxa"/>
            <w:vAlign w:val="bottom"/>
          </w:tcPr>
          <w:p w14:paraId="7B6B7505"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D(LNGE)</w:t>
            </w:r>
          </w:p>
        </w:tc>
        <w:tc>
          <w:tcPr>
            <w:tcW w:w="2520" w:type="dxa"/>
            <w:vAlign w:val="bottom"/>
          </w:tcPr>
          <w:p w14:paraId="647535ED"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-5.2258</w:t>
            </w:r>
          </w:p>
        </w:tc>
        <w:tc>
          <w:tcPr>
            <w:tcW w:w="2610" w:type="dxa"/>
            <w:gridSpan w:val="2"/>
            <w:vAlign w:val="bottom"/>
          </w:tcPr>
          <w:p w14:paraId="7FA2C1B3"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0.0003***</w:t>
            </w:r>
          </w:p>
        </w:tc>
        <w:tc>
          <w:tcPr>
            <w:tcW w:w="2610" w:type="dxa"/>
          </w:tcPr>
          <w:p w14:paraId="21EDF2DB"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Stationary</w:t>
            </w:r>
          </w:p>
        </w:tc>
      </w:tr>
      <w:tr w:rsidR="002456FC" w14:paraId="0689393B" w14:textId="77777777">
        <w:trPr>
          <w:trHeight w:val="225"/>
        </w:trPr>
        <w:tc>
          <w:tcPr>
            <w:tcW w:w="1675" w:type="dxa"/>
            <w:vAlign w:val="bottom"/>
          </w:tcPr>
          <w:p w14:paraId="1AACF41D"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D(LNTOPEN)</w:t>
            </w:r>
          </w:p>
        </w:tc>
        <w:tc>
          <w:tcPr>
            <w:tcW w:w="2520" w:type="dxa"/>
            <w:vAlign w:val="bottom"/>
          </w:tcPr>
          <w:p w14:paraId="781DCFA1"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-6.2532</w:t>
            </w:r>
          </w:p>
        </w:tc>
        <w:tc>
          <w:tcPr>
            <w:tcW w:w="2610" w:type="dxa"/>
            <w:gridSpan w:val="2"/>
            <w:vAlign w:val="bottom"/>
          </w:tcPr>
          <w:p w14:paraId="2AB33E30"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0.0000***</w:t>
            </w:r>
          </w:p>
        </w:tc>
        <w:tc>
          <w:tcPr>
            <w:tcW w:w="2610" w:type="dxa"/>
          </w:tcPr>
          <w:p w14:paraId="39658417"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Stationary</w:t>
            </w:r>
          </w:p>
        </w:tc>
      </w:tr>
      <w:tr w:rsidR="002456FC" w14:paraId="3C66CCFF" w14:textId="77777777">
        <w:trPr>
          <w:trHeight w:val="225"/>
        </w:trPr>
        <w:tc>
          <w:tcPr>
            <w:tcW w:w="1675" w:type="dxa"/>
            <w:vAlign w:val="bottom"/>
          </w:tcPr>
          <w:p w14:paraId="59653BDD"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D(POPGR)</w:t>
            </w:r>
          </w:p>
        </w:tc>
        <w:tc>
          <w:tcPr>
            <w:tcW w:w="2520" w:type="dxa"/>
            <w:vAlign w:val="bottom"/>
          </w:tcPr>
          <w:p w14:paraId="1BB6664D"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-4.8902</w:t>
            </w:r>
          </w:p>
        </w:tc>
        <w:tc>
          <w:tcPr>
            <w:tcW w:w="2610" w:type="dxa"/>
            <w:gridSpan w:val="2"/>
            <w:vAlign w:val="bottom"/>
          </w:tcPr>
          <w:p w14:paraId="3F7F69B8"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0.0011***</w:t>
            </w:r>
          </w:p>
        </w:tc>
        <w:tc>
          <w:tcPr>
            <w:tcW w:w="2610" w:type="dxa"/>
          </w:tcPr>
          <w:p w14:paraId="16079834"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Stationary</w:t>
            </w:r>
          </w:p>
        </w:tc>
      </w:tr>
      <w:tr w:rsidR="002456FC" w14:paraId="70E6BFC5" w14:textId="77777777">
        <w:trPr>
          <w:trHeight w:val="215"/>
        </w:trPr>
        <w:tc>
          <w:tcPr>
            <w:tcW w:w="1675" w:type="dxa"/>
            <w:tcBorders>
              <w:bottom w:val="single" w:sz="4" w:space="0" w:color="000000"/>
            </w:tcBorders>
            <w:vAlign w:val="bottom"/>
          </w:tcPr>
          <w:p w14:paraId="4ED31EC3"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D(INF)</w:t>
            </w:r>
          </w:p>
        </w:tc>
        <w:tc>
          <w:tcPr>
            <w:tcW w:w="2520" w:type="dxa"/>
            <w:tcBorders>
              <w:bottom w:val="single" w:sz="4" w:space="0" w:color="000000"/>
            </w:tcBorders>
            <w:vAlign w:val="bottom"/>
          </w:tcPr>
          <w:p w14:paraId="14500DA9"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-8.7403</w:t>
            </w:r>
          </w:p>
        </w:tc>
        <w:tc>
          <w:tcPr>
            <w:tcW w:w="2610" w:type="dxa"/>
            <w:gridSpan w:val="2"/>
            <w:tcBorders>
              <w:bottom w:val="single" w:sz="4" w:space="0" w:color="000000"/>
            </w:tcBorders>
            <w:vAlign w:val="bottom"/>
          </w:tcPr>
          <w:p w14:paraId="5E28D8AC"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 0.0000***</w:t>
            </w:r>
          </w:p>
        </w:tc>
        <w:tc>
          <w:tcPr>
            <w:tcW w:w="2610" w:type="dxa"/>
            <w:tcBorders>
              <w:bottom w:val="single" w:sz="4" w:space="0" w:color="000000"/>
            </w:tcBorders>
          </w:tcPr>
          <w:p w14:paraId="600D14E0"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Stationary</w:t>
            </w:r>
          </w:p>
        </w:tc>
      </w:tr>
    </w:tbl>
    <w:p w14:paraId="5F57E612" w14:textId="77777777" w:rsidR="002456FC" w:rsidRDefault="00000000">
      <w:pPr>
        <w:spacing w:after="0" w:line="240" w:lineRule="auto"/>
        <w:jc w:val="center"/>
        <w:rPr>
          <w:rFonts w:ascii="Arial" w:eastAsia="Arial" w:hAnsi="Arial" w:cs="Arial"/>
          <w:sz w:val="20"/>
          <w:szCs w:val="20"/>
        </w:rPr>
      </w:pPr>
      <w:bookmarkStart w:id="8" w:name="_gg88uhvqge9w" w:colFirst="0" w:colLast="0"/>
      <w:bookmarkEnd w:id="8"/>
      <w:r>
        <w:rPr>
          <w:rFonts w:ascii="Arial" w:eastAsia="Arial" w:hAnsi="Arial" w:cs="Arial"/>
          <w:i/>
          <w:sz w:val="20"/>
          <w:szCs w:val="20"/>
        </w:rPr>
        <w:t>***p &lt; 0.01, **p &lt; 0.05, *p &lt; 0.1;</w:t>
      </w:r>
      <w:r>
        <w:rPr>
          <w:rFonts w:ascii="Arial" w:eastAsia="Arial" w:hAnsi="Arial" w:cs="Arial"/>
        </w:rPr>
        <w:t xml:space="preserve"> </w:t>
      </w:r>
      <w:r>
        <w:rPr>
          <w:rFonts w:ascii="Arial" w:eastAsia="Arial" w:hAnsi="Arial" w:cs="Arial"/>
          <w:i/>
          <w:sz w:val="20"/>
          <w:szCs w:val="20"/>
        </w:rPr>
        <w:t>Source: Authors' Own</w:t>
      </w:r>
      <w:r>
        <w:rPr>
          <w:rFonts w:ascii="Arial" w:eastAsia="Arial" w:hAnsi="Arial" w:cs="Arial"/>
          <w:sz w:val="20"/>
          <w:szCs w:val="20"/>
        </w:rPr>
        <w:t xml:space="preserve"> calculation.</w:t>
      </w:r>
    </w:p>
    <w:p w14:paraId="4A2223F8" w14:textId="77777777" w:rsidR="002456FC" w:rsidRDefault="002456FC">
      <w:pPr>
        <w:spacing w:after="0" w:line="240" w:lineRule="auto"/>
        <w:jc w:val="both"/>
        <w:rPr>
          <w:rFonts w:ascii="Arial" w:eastAsia="Arial" w:hAnsi="Arial" w:cs="Arial"/>
          <w:sz w:val="20"/>
          <w:szCs w:val="20"/>
        </w:rPr>
      </w:pPr>
    </w:p>
    <w:p w14:paraId="1ACABC5C" w14:textId="77777777" w:rsidR="002456FC" w:rsidRDefault="00000000">
      <w:pPr>
        <w:spacing w:after="0" w:line="240" w:lineRule="auto"/>
        <w:jc w:val="both"/>
        <w:rPr>
          <w:rFonts w:ascii="Arial" w:eastAsia="Arial" w:hAnsi="Arial" w:cs="Arial"/>
          <w:sz w:val="20"/>
          <w:szCs w:val="20"/>
        </w:rPr>
      </w:pPr>
      <w:r>
        <w:rPr>
          <w:rFonts w:ascii="Arial" w:eastAsia="Arial" w:hAnsi="Arial" w:cs="Arial"/>
          <w:sz w:val="20"/>
          <w:szCs w:val="20"/>
        </w:rPr>
        <w:lastRenderedPageBreak/>
        <w:t xml:space="preserve">According to the results given in Table 2, two variables- LNGE and INF are stationary at </w:t>
      </w:r>
      <w:proofErr w:type="gramStart"/>
      <w:r>
        <w:rPr>
          <w:rFonts w:ascii="Arial" w:eastAsia="Arial" w:hAnsi="Arial" w:cs="Arial"/>
          <w:sz w:val="20"/>
          <w:szCs w:val="20"/>
        </w:rPr>
        <w:t>I(</w:t>
      </w:r>
      <w:proofErr w:type="gramEnd"/>
      <w:r>
        <w:rPr>
          <w:rFonts w:ascii="Arial" w:eastAsia="Arial" w:hAnsi="Arial" w:cs="Arial"/>
          <w:sz w:val="20"/>
          <w:szCs w:val="20"/>
        </w:rPr>
        <w:t xml:space="preserve">0) and all other variables are </w:t>
      </w:r>
      <w:proofErr w:type="gramStart"/>
      <w:r>
        <w:rPr>
          <w:rFonts w:ascii="Arial" w:eastAsia="Arial" w:hAnsi="Arial" w:cs="Arial"/>
          <w:sz w:val="20"/>
          <w:szCs w:val="20"/>
        </w:rPr>
        <w:t>I(</w:t>
      </w:r>
      <w:proofErr w:type="gramEnd"/>
      <w:r>
        <w:rPr>
          <w:rFonts w:ascii="Arial" w:eastAsia="Arial" w:hAnsi="Arial" w:cs="Arial"/>
          <w:sz w:val="20"/>
          <w:szCs w:val="20"/>
        </w:rPr>
        <w:t xml:space="preserve">1) and no variable is </w:t>
      </w:r>
      <w:proofErr w:type="gramStart"/>
      <w:r>
        <w:rPr>
          <w:rFonts w:ascii="Arial" w:eastAsia="Arial" w:hAnsi="Arial" w:cs="Arial"/>
          <w:sz w:val="20"/>
          <w:szCs w:val="20"/>
        </w:rPr>
        <w:t>I(</w:t>
      </w:r>
      <w:proofErr w:type="gramEnd"/>
      <w:r>
        <w:rPr>
          <w:rFonts w:ascii="Arial" w:eastAsia="Arial" w:hAnsi="Arial" w:cs="Arial"/>
          <w:sz w:val="20"/>
          <w:szCs w:val="20"/>
        </w:rPr>
        <w:t>2</w:t>
      </w:r>
      <w:proofErr w:type="gramStart"/>
      <w:r>
        <w:rPr>
          <w:rFonts w:ascii="Arial" w:eastAsia="Arial" w:hAnsi="Arial" w:cs="Arial"/>
          <w:sz w:val="20"/>
          <w:szCs w:val="20"/>
        </w:rPr>
        <w:t>) ,</w:t>
      </w:r>
      <w:proofErr w:type="gramEnd"/>
      <w:r>
        <w:rPr>
          <w:rFonts w:ascii="Arial" w:eastAsia="Arial" w:hAnsi="Arial" w:cs="Arial"/>
          <w:sz w:val="20"/>
          <w:szCs w:val="20"/>
        </w:rPr>
        <w:t xml:space="preserve"> so the ARDL bound test can be applied. </w:t>
      </w:r>
    </w:p>
    <w:p w14:paraId="6EA8D209" w14:textId="77777777" w:rsidR="002456FC" w:rsidRDefault="002456FC">
      <w:pPr>
        <w:spacing w:after="0" w:line="240" w:lineRule="auto"/>
        <w:jc w:val="both"/>
        <w:rPr>
          <w:rFonts w:ascii="Times New Roman" w:eastAsia="Times New Roman" w:hAnsi="Times New Roman" w:cs="Times New Roman"/>
          <w:sz w:val="24"/>
          <w:szCs w:val="24"/>
        </w:rPr>
      </w:pPr>
    </w:p>
    <w:p w14:paraId="5D8EA173" w14:textId="77777777" w:rsidR="002456FC" w:rsidRDefault="00000000">
      <w:pPr>
        <w:pStyle w:val="Heading3"/>
        <w:spacing w:before="280" w:after="280" w:line="360" w:lineRule="auto"/>
        <w:jc w:val="both"/>
        <w:rPr>
          <w:rFonts w:ascii="Arial" w:eastAsia="Arial" w:hAnsi="Arial" w:cs="Arial"/>
          <w:sz w:val="22"/>
          <w:szCs w:val="22"/>
        </w:rPr>
      </w:pPr>
      <w:r>
        <w:rPr>
          <w:rFonts w:ascii="Arial" w:eastAsia="Arial" w:hAnsi="Arial" w:cs="Arial"/>
          <w:sz w:val="22"/>
          <w:szCs w:val="22"/>
        </w:rPr>
        <w:t>4.4 Lag Length Selection</w:t>
      </w:r>
    </w:p>
    <w:p w14:paraId="43D48E1F" w14:textId="77777777" w:rsidR="002456FC" w:rsidRDefault="00000000">
      <w:pPr>
        <w:spacing w:after="0" w:line="240" w:lineRule="auto"/>
        <w:jc w:val="both"/>
        <w:rPr>
          <w:rFonts w:ascii="Arial" w:eastAsia="Arial" w:hAnsi="Arial" w:cs="Arial"/>
          <w:sz w:val="20"/>
          <w:szCs w:val="20"/>
        </w:rPr>
      </w:pPr>
      <w:r>
        <w:rPr>
          <w:rFonts w:ascii="Arial" w:eastAsia="Arial" w:hAnsi="Arial" w:cs="Arial"/>
          <w:sz w:val="20"/>
          <w:szCs w:val="20"/>
        </w:rPr>
        <w:t>Before estimating the ARDL model, the appropriate number of lags should be determined. The results of the lag order selection process are shown in Table 3.</w:t>
      </w:r>
    </w:p>
    <w:p w14:paraId="4C5D10D4" w14:textId="77777777" w:rsidR="002456FC" w:rsidRDefault="002456FC">
      <w:pPr>
        <w:spacing w:after="0" w:line="240" w:lineRule="auto"/>
        <w:jc w:val="center"/>
        <w:rPr>
          <w:rFonts w:ascii="Arial" w:eastAsia="Arial" w:hAnsi="Arial" w:cs="Arial"/>
          <w:b/>
          <w:sz w:val="20"/>
          <w:szCs w:val="20"/>
        </w:rPr>
      </w:pPr>
    </w:p>
    <w:p w14:paraId="295B7F7E" w14:textId="77777777" w:rsidR="002456FC" w:rsidRDefault="002456FC">
      <w:pPr>
        <w:spacing w:after="0" w:line="240" w:lineRule="auto"/>
        <w:jc w:val="center"/>
        <w:rPr>
          <w:rFonts w:ascii="Arial" w:eastAsia="Arial" w:hAnsi="Arial" w:cs="Arial"/>
          <w:b/>
          <w:sz w:val="20"/>
          <w:szCs w:val="20"/>
        </w:rPr>
      </w:pPr>
    </w:p>
    <w:p w14:paraId="3636BC85" w14:textId="77777777" w:rsidR="002456FC" w:rsidRDefault="00000000">
      <w:pPr>
        <w:spacing w:after="0" w:line="240" w:lineRule="auto"/>
        <w:jc w:val="center"/>
        <w:rPr>
          <w:rFonts w:ascii="Arial" w:eastAsia="Arial" w:hAnsi="Arial" w:cs="Arial"/>
          <w:b/>
        </w:rPr>
      </w:pPr>
      <w:r>
        <w:rPr>
          <w:rFonts w:ascii="Arial" w:eastAsia="Arial" w:hAnsi="Arial" w:cs="Arial"/>
          <w:b/>
        </w:rPr>
        <w:t>Table 3.</w:t>
      </w:r>
      <w:r>
        <w:rPr>
          <w:rFonts w:ascii="Arial" w:eastAsia="Arial" w:hAnsi="Arial" w:cs="Arial"/>
          <w:b/>
          <w:color w:val="000000"/>
        </w:rPr>
        <w:t xml:space="preserve"> VAR </w:t>
      </w:r>
      <w:r>
        <w:rPr>
          <w:rFonts w:ascii="Arial" w:eastAsia="Arial" w:hAnsi="Arial" w:cs="Arial"/>
          <w:b/>
        </w:rPr>
        <w:t>lag order selection criteria</w:t>
      </w:r>
    </w:p>
    <w:tbl>
      <w:tblPr>
        <w:tblStyle w:val="a1"/>
        <w:tblW w:w="8754" w:type="dxa"/>
        <w:tblInd w:w="30" w:type="dxa"/>
        <w:tblLayout w:type="fixed"/>
        <w:tblLook w:val="0000" w:firstRow="0" w:lastRow="0" w:firstColumn="0" w:lastColumn="0" w:noHBand="0" w:noVBand="0"/>
      </w:tblPr>
      <w:tblGrid>
        <w:gridCol w:w="532"/>
        <w:gridCol w:w="1134"/>
        <w:gridCol w:w="1276"/>
        <w:gridCol w:w="1228"/>
        <w:gridCol w:w="1324"/>
        <w:gridCol w:w="1701"/>
        <w:gridCol w:w="1559"/>
      </w:tblGrid>
      <w:tr w:rsidR="002456FC" w14:paraId="7DA654F6" w14:textId="77777777">
        <w:trPr>
          <w:trHeight w:val="225"/>
        </w:trPr>
        <w:tc>
          <w:tcPr>
            <w:tcW w:w="532" w:type="dxa"/>
            <w:tcBorders>
              <w:top w:val="single" w:sz="4" w:space="0" w:color="000000"/>
              <w:bottom w:val="single" w:sz="4" w:space="0" w:color="000000"/>
            </w:tcBorders>
            <w:vAlign w:val="bottom"/>
          </w:tcPr>
          <w:p w14:paraId="6CEB198C" w14:textId="77777777" w:rsidR="002456FC" w:rsidRDefault="00000000">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 Lag</w:t>
            </w:r>
          </w:p>
        </w:tc>
        <w:tc>
          <w:tcPr>
            <w:tcW w:w="1134" w:type="dxa"/>
            <w:tcBorders>
              <w:top w:val="single" w:sz="4" w:space="0" w:color="000000"/>
              <w:bottom w:val="single" w:sz="4" w:space="0" w:color="000000"/>
            </w:tcBorders>
            <w:vAlign w:val="bottom"/>
          </w:tcPr>
          <w:p w14:paraId="12400AE5" w14:textId="77777777" w:rsidR="002456FC" w:rsidRDefault="00000000">
            <w:pPr>
              <w:spacing w:after="0" w:line="360" w:lineRule="auto"/>
              <w:jc w:val="center"/>
              <w:rPr>
                <w:rFonts w:ascii="Arial" w:eastAsia="Arial" w:hAnsi="Arial" w:cs="Arial"/>
                <w:b/>
                <w:color w:val="000000"/>
                <w:sz w:val="20"/>
                <w:szCs w:val="20"/>
              </w:rPr>
            </w:pPr>
            <w:proofErr w:type="spellStart"/>
            <w:r>
              <w:rPr>
                <w:rFonts w:ascii="Arial" w:eastAsia="Arial" w:hAnsi="Arial" w:cs="Arial"/>
                <w:b/>
                <w:color w:val="000000"/>
                <w:sz w:val="20"/>
                <w:szCs w:val="20"/>
              </w:rPr>
              <w:t>LogL</w:t>
            </w:r>
            <w:proofErr w:type="spellEnd"/>
          </w:p>
        </w:tc>
        <w:tc>
          <w:tcPr>
            <w:tcW w:w="1276" w:type="dxa"/>
            <w:tcBorders>
              <w:top w:val="single" w:sz="4" w:space="0" w:color="000000"/>
              <w:bottom w:val="single" w:sz="4" w:space="0" w:color="000000"/>
            </w:tcBorders>
            <w:vAlign w:val="bottom"/>
          </w:tcPr>
          <w:p w14:paraId="3DEEB08F" w14:textId="77777777" w:rsidR="002456FC" w:rsidRDefault="00000000">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LR</w:t>
            </w:r>
          </w:p>
        </w:tc>
        <w:tc>
          <w:tcPr>
            <w:tcW w:w="1228" w:type="dxa"/>
            <w:tcBorders>
              <w:top w:val="single" w:sz="4" w:space="0" w:color="000000"/>
              <w:bottom w:val="single" w:sz="4" w:space="0" w:color="000000"/>
            </w:tcBorders>
            <w:vAlign w:val="bottom"/>
          </w:tcPr>
          <w:p w14:paraId="08F82EBA" w14:textId="77777777" w:rsidR="002456FC" w:rsidRDefault="00000000">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FPE</w:t>
            </w:r>
          </w:p>
        </w:tc>
        <w:tc>
          <w:tcPr>
            <w:tcW w:w="1324" w:type="dxa"/>
            <w:tcBorders>
              <w:top w:val="single" w:sz="4" w:space="0" w:color="000000"/>
              <w:bottom w:val="single" w:sz="4" w:space="0" w:color="000000"/>
            </w:tcBorders>
            <w:vAlign w:val="bottom"/>
          </w:tcPr>
          <w:p w14:paraId="342541B4" w14:textId="77777777" w:rsidR="002456FC" w:rsidRDefault="00000000">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AIC</w:t>
            </w:r>
          </w:p>
        </w:tc>
        <w:tc>
          <w:tcPr>
            <w:tcW w:w="1701" w:type="dxa"/>
            <w:tcBorders>
              <w:top w:val="single" w:sz="4" w:space="0" w:color="000000"/>
              <w:bottom w:val="single" w:sz="4" w:space="0" w:color="000000"/>
            </w:tcBorders>
            <w:vAlign w:val="bottom"/>
          </w:tcPr>
          <w:p w14:paraId="14566FB5" w14:textId="77777777" w:rsidR="002456FC" w:rsidRDefault="00000000">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SC</w:t>
            </w:r>
          </w:p>
        </w:tc>
        <w:tc>
          <w:tcPr>
            <w:tcW w:w="1559" w:type="dxa"/>
            <w:tcBorders>
              <w:top w:val="single" w:sz="4" w:space="0" w:color="000000"/>
              <w:bottom w:val="single" w:sz="4" w:space="0" w:color="000000"/>
            </w:tcBorders>
            <w:vAlign w:val="bottom"/>
          </w:tcPr>
          <w:p w14:paraId="53083A03" w14:textId="77777777" w:rsidR="002456FC" w:rsidRDefault="00000000">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HQ</w:t>
            </w:r>
          </w:p>
        </w:tc>
      </w:tr>
      <w:tr w:rsidR="002456FC" w14:paraId="3DA32748" w14:textId="77777777">
        <w:trPr>
          <w:trHeight w:val="225"/>
        </w:trPr>
        <w:tc>
          <w:tcPr>
            <w:tcW w:w="532" w:type="dxa"/>
            <w:tcBorders>
              <w:top w:val="single" w:sz="4" w:space="0" w:color="000000"/>
            </w:tcBorders>
            <w:vAlign w:val="bottom"/>
          </w:tcPr>
          <w:p w14:paraId="71165355" w14:textId="77777777" w:rsidR="002456FC" w:rsidRDefault="00000000">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0</w:t>
            </w:r>
          </w:p>
        </w:tc>
        <w:tc>
          <w:tcPr>
            <w:tcW w:w="1134" w:type="dxa"/>
            <w:tcBorders>
              <w:top w:val="single" w:sz="4" w:space="0" w:color="000000"/>
            </w:tcBorders>
            <w:vAlign w:val="bottom"/>
          </w:tcPr>
          <w:p w14:paraId="0087C85D"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309.7142</w:t>
            </w:r>
          </w:p>
        </w:tc>
        <w:tc>
          <w:tcPr>
            <w:tcW w:w="1276" w:type="dxa"/>
            <w:tcBorders>
              <w:top w:val="single" w:sz="4" w:space="0" w:color="000000"/>
            </w:tcBorders>
            <w:vAlign w:val="bottom"/>
          </w:tcPr>
          <w:p w14:paraId="741E3B39"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NA </w:t>
            </w:r>
          </w:p>
        </w:tc>
        <w:tc>
          <w:tcPr>
            <w:tcW w:w="1228" w:type="dxa"/>
            <w:tcBorders>
              <w:top w:val="single" w:sz="4" w:space="0" w:color="000000"/>
            </w:tcBorders>
            <w:vAlign w:val="bottom"/>
          </w:tcPr>
          <w:p w14:paraId="46D2F6B0"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2.12e-16</w:t>
            </w:r>
          </w:p>
        </w:tc>
        <w:tc>
          <w:tcPr>
            <w:tcW w:w="1324" w:type="dxa"/>
            <w:tcBorders>
              <w:top w:val="single" w:sz="4" w:space="0" w:color="000000"/>
            </w:tcBorders>
            <w:vAlign w:val="bottom"/>
          </w:tcPr>
          <w:p w14:paraId="264EA26B"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-10.55138</w:t>
            </w:r>
          </w:p>
        </w:tc>
        <w:tc>
          <w:tcPr>
            <w:tcW w:w="1701" w:type="dxa"/>
            <w:tcBorders>
              <w:top w:val="single" w:sz="4" w:space="0" w:color="000000"/>
            </w:tcBorders>
            <w:vAlign w:val="bottom"/>
          </w:tcPr>
          <w:p w14:paraId="31B9AC9A"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-10.22879</w:t>
            </w:r>
          </w:p>
        </w:tc>
        <w:tc>
          <w:tcPr>
            <w:tcW w:w="1559" w:type="dxa"/>
            <w:tcBorders>
              <w:top w:val="single" w:sz="4" w:space="0" w:color="000000"/>
            </w:tcBorders>
            <w:vAlign w:val="bottom"/>
          </w:tcPr>
          <w:p w14:paraId="3B1F5F98"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-10.42601</w:t>
            </w:r>
          </w:p>
        </w:tc>
      </w:tr>
      <w:tr w:rsidR="002456FC" w14:paraId="507B5392" w14:textId="77777777">
        <w:trPr>
          <w:trHeight w:val="225"/>
        </w:trPr>
        <w:tc>
          <w:tcPr>
            <w:tcW w:w="532" w:type="dxa"/>
            <w:vAlign w:val="bottom"/>
          </w:tcPr>
          <w:p w14:paraId="3726BF90" w14:textId="77777777" w:rsidR="002456FC" w:rsidRDefault="00000000">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1</w:t>
            </w:r>
          </w:p>
        </w:tc>
        <w:tc>
          <w:tcPr>
            <w:tcW w:w="1134" w:type="dxa"/>
            <w:vAlign w:val="bottom"/>
          </w:tcPr>
          <w:p w14:paraId="648FB8F3"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804.7147</w:t>
            </w:r>
          </w:p>
        </w:tc>
        <w:tc>
          <w:tcPr>
            <w:tcW w:w="1276" w:type="dxa"/>
            <w:vAlign w:val="bottom"/>
          </w:tcPr>
          <w:p w14:paraId="78B7209C"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816.3166</w:t>
            </w:r>
          </w:p>
        </w:tc>
        <w:tc>
          <w:tcPr>
            <w:tcW w:w="1228" w:type="dxa"/>
            <w:vAlign w:val="bottom"/>
          </w:tcPr>
          <w:p w14:paraId="246AF4D0"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1.07e-22</w:t>
            </w:r>
          </w:p>
        </w:tc>
        <w:tc>
          <w:tcPr>
            <w:tcW w:w="1324" w:type="dxa"/>
            <w:vAlign w:val="bottom"/>
          </w:tcPr>
          <w:p w14:paraId="363E9805"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-25.07771</w:t>
            </w:r>
          </w:p>
        </w:tc>
        <w:tc>
          <w:tcPr>
            <w:tcW w:w="1701" w:type="dxa"/>
            <w:vAlign w:val="bottom"/>
          </w:tcPr>
          <w:p w14:paraId="1A5AC419"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-21.85184</w:t>
            </w:r>
          </w:p>
        </w:tc>
        <w:tc>
          <w:tcPr>
            <w:tcW w:w="1559" w:type="dxa"/>
            <w:vAlign w:val="bottom"/>
          </w:tcPr>
          <w:p w14:paraId="2721A31D"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-23.82402</w:t>
            </w:r>
          </w:p>
        </w:tc>
      </w:tr>
      <w:tr w:rsidR="002456FC" w14:paraId="3D57D2A2" w14:textId="77777777">
        <w:trPr>
          <w:trHeight w:val="225"/>
        </w:trPr>
        <w:tc>
          <w:tcPr>
            <w:tcW w:w="532" w:type="dxa"/>
            <w:vAlign w:val="bottom"/>
          </w:tcPr>
          <w:p w14:paraId="2641DF2F" w14:textId="77777777" w:rsidR="002456FC" w:rsidRDefault="00000000">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2</w:t>
            </w:r>
          </w:p>
        </w:tc>
        <w:tc>
          <w:tcPr>
            <w:tcW w:w="1134" w:type="dxa"/>
            <w:vAlign w:val="bottom"/>
          </w:tcPr>
          <w:p w14:paraId="481BCB11"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924.4965</w:t>
            </w:r>
          </w:p>
        </w:tc>
        <w:tc>
          <w:tcPr>
            <w:tcW w:w="1276" w:type="dxa"/>
            <w:vAlign w:val="bottom"/>
          </w:tcPr>
          <w:p w14:paraId="6D4A1F78"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159.7092</w:t>
            </w:r>
          </w:p>
        </w:tc>
        <w:tc>
          <w:tcPr>
            <w:tcW w:w="1228" w:type="dxa"/>
            <w:vAlign w:val="bottom"/>
          </w:tcPr>
          <w:p w14:paraId="4FA625B2"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3.38e-23</w:t>
            </w:r>
          </w:p>
        </w:tc>
        <w:tc>
          <w:tcPr>
            <w:tcW w:w="1324" w:type="dxa"/>
            <w:vAlign w:val="bottom"/>
          </w:tcPr>
          <w:p w14:paraId="3400F51B"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-26.43848</w:t>
            </w:r>
          </w:p>
        </w:tc>
        <w:tc>
          <w:tcPr>
            <w:tcW w:w="1701" w:type="dxa"/>
            <w:vAlign w:val="bottom"/>
          </w:tcPr>
          <w:p w14:paraId="23C7E5AD"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-20.30932</w:t>
            </w:r>
          </w:p>
        </w:tc>
        <w:tc>
          <w:tcPr>
            <w:tcW w:w="1559" w:type="dxa"/>
            <w:vAlign w:val="bottom"/>
          </w:tcPr>
          <w:p w14:paraId="46C2E1A8"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-24.05648</w:t>
            </w:r>
          </w:p>
        </w:tc>
      </w:tr>
      <w:tr w:rsidR="002456FC" w14:paraId="679AC16A" w14:textId="77777777">
        <w:trPr>
          <w:trHeight w:val="225"/>
        </w:trPr>
        <w:tc>
          <w:tcPr>
            <w:tcW w:w="532" w:type="dxa"/>
            <w:vAlign w:val="bottom"/>
          </w:tcPr>
          <w:p w14:paraId="6D385A34" w14:textId="77777777" w:rsidR="002456FC" w:rsidRDefault="00000000">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3</w:t>
            </w:r>
          </w:p>
        </w:tc>
        <w:tc>
          <w:tcPr>
            <w:tcW w:w="1134" w:type="dxa"/>
            <w:vAlign w:val="bottom"/>
          </w:tcPr>
          <w:p w14:paraId="25E9766D"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1014.700</w:t>
            </w:r>
          </w:p>
        </w:tc>
        <w:tc>
          <w:tcPr>
            <w:tcW w:w="1276" w:type="dxa"/>
            <w:vAlign w:val="bottom"/>
          </w:tcPr>
          <w:p w14:paraId="0870FF0E"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91.78600</w:t>
            </w:r>
          </w:p>
        </w:tc>
        <w:tc>
          <w:tcPr>
            <w:tcW w:w="1228" w:type="dxa"/>
            <w:vAlign w:val="bottom"/>
          </w:tcPr>
          <w:p w14:paraId="71F56C30"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4.45e-23</w:t>
            </w:r>
          </w:p>
        </w:tc>
        <w:tc>
          <w:tcPr>
            <w:tcW w:w="1324" w:type="dxa"/>
            <w:vAlign w:val="bottom"/>
          </w:tcPr>
          <w:p w14:paraId="6F445ECD"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-26.76140</w:t>
            </w:r>
          </w:p>
        </w:tc>
        <w:tc>
          <w:tcPr>
            <w:tcW w:w="1701" w:type="dxa"/>
            <w:vAlign w:val="bottom"/>
          </w:tcPr>
          <w:p w14:paraId="2CF5D7EF"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-17.72897</w:t>
            </w:r>
          </w:p>
        </w:tc>
        <w:tc>
          <w:tcPr>
            <w:tcW w:w="1559" w:type="dxa"/>
            <w:vAlign w:val="bottom"/>
          </w:tcPr>
          <w:p w14:paraId="6E69B03B"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-23.25109</w:t>
            </w:r>
          </w:p>
        </w:tc>
      </w:tr>
      <w:tr w:rsidR="002456FC" w14:paraId="6D6058B7" w14:textId="77777777">
        <w:trPr>
          <w:trHeight w:val="225"/>
        </w:trPr>
        <w:tc>
          <w:tcPr>
            <w:tcW w:w="532" w:type="dxa"/>
            <w:vAlign w:val="bottom"/>
          </w:tcPr>
          <w:p w14:paraId="36FAF49F" w14:textId="77777777" w:rsidR="002456FC" w:rsidRDefault="00000000">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4</w:t>
            </w:r>
          </w:p>
        </w:tc>
        <w:tc>
          <w:tcPr>
            <w:tcW w:w="1134" w:type="dxa"/>
            <w:vAlign w:val="bottom"/>
          </w:tcPr>
          <w:p w14:paraId="54874DEE"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1146.506</w:t>
            </w:r>
          </w:p>
        </w:tc>
        <w:tc>
          <w:tcPr>
            <w:tcW w:w="1276" w:type="dxa"/>
            <w:vAlign w:val="bottom"/>
          </w:tcPr>
          <w:p w14:paraId="65C578F4"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92.49523</w:t>
            </w:r>
          </w:p>
        </w:tc>
        <w:tc>
          <w:tcPr>
            <w:tcW w:w="1228" w:type="dxa"/>
            <w:vAlign w:val="bottom"/>
          </w:tcPr>
          <w:p w14:paraId="63BE0C25"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3.06e-23</w:t>
            </w:r>
          </w:p>
        </w:tc>
        <w:tc>
          <w:tcPr>
            <w:tcW w:w="1324" w:type="dxa"/>
            <w:vAlign w:val="bottom"/>
          </w:tcPr>
          <w:p w14:paraId="0CE4C9AD"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-28.54406</w:t>
            </w:r>
          </w:p>
        </w:tc>
        <w:tc>
          <w:tcPr>
            <w:tcW w:w="1701" w:type="dxa"/>
            <w:vAlign w:val="bottom"/>
          </w:tcPr>
          <w:p w14:paraId="4019AA58"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-16.60834</w:t>
            </w:r>
          </w:p>
        </w:tc>
        <w:tc>
          <w:tcPr>
            <w:tcW w:w="1559" w:type="dxa"/>
            <w:vAlign w:val="bottom"/>
          </w:tcPr>
          <w:p w14:paraId="33A8CA29"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-23.90543</w:t>
            </w:r>
          </w:p>
        </w:tc>
      </w:tr>
      <w:tr w:rsidR="002456FC" w14:paraId="2C75A88A" w14:textId="77777777">
        <w:trPr>
          <w:trHeight w:val="225"/>
        </w:trPr>
        <w:tc>
          <w:tcPr>
            <w:tcW w:w="532" w:type="dxa"/>
            <w:tcBorders>
              <w:bottom w:val="single" w:sz="4" w:space="0" w:color="000000"/>
            </w:tcBorders>
            <w:vAlign w:val="bottom"/>
          </w:tcPr>
          <w:p w14:paraId="24384BCF" w14:textId="77777777" w:rsidR="002456FC" w:rsidRDefault="00000000">
            <w:pPr>
              <w:spacing w:after="0" w:line="360" w:lineRule="auto"/>
              <w:jc w:val="center"/>
              <w:rPr>
                <w:rFonts w:ascii="Arial" w:eastAsia="Arial" w:hAnsi="Arial" w:cs="Arial"/>
                <w:b/>
                <w:color w:val="000000"/>
                <w:sz w:val="20"/>
                <w:szCs w:val="20"/>
              </w:rPr>
            </w:pPr>
            <w:r>
              <w:rPr>
                <w:rFonts w:ascii="Arial" w:eastAsia="Arial" w:hAnsi="Arial" w:cs="Arial"/>
                <w:b/>
                <w:color w:val="000000"/>
                <w:sz w:val="20"/>
                <w:szCs w:val="20"/>
              </w:rPr>
              <w:t>5</w:t>
            </w:r>
          </w:p>
        </w:tc>
        <w:tc>
          <w:tcPr>
            <w:tcW w:w="1134" w:type="dxa"/>
            <w:tcBorders>
              <w:bottom w:val="single" w:sz="4" w:space="0" w:color="000000"/>
            </w:tcBorders>
            <w:vAlign w:val="bottom"/>
          </w:tcPr>
          <w:p w14:paraId="1EC10A42"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1518.742</w:t>
            </w:r>
          </w:p>
        </w:tc>
        <w:tc>
          <w:tcPr>
            <w:tcW w:w="1276" w:type="dxa"/>
            <w:tcBorders>
              <w:bottom w:val="single" w:sz="4" w:space="0" w:color="000000"/>
            </w:tcBorders>
            <w:vAlign w:val="bottom"/>
          </w:tcPr>
          <w:p w14:paraId="6EB35972"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143.6701*</w:t>
            </w:r>
          </w:p>
        </w:tc>
        <w:tc>
          <w:tcPr>
            <w:tcW w:w="1228" w:type="dxa"/>
            <w:tcBorders>
              <w:bottom w:val="single" w:sz="4" w:space="0" w:color="000000"/>
            </w:tcBorders>
            <w:vAlign w:val="bottom"/>
          </w:tcPr>
          <w:p w14:paraId="717B5196"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3.22e-26*</w:t>
            </w:r>
          </w:p>
        </w:tc>
        <w:tc>
          <w:tcPr>
            <w:tcW w:w="1324" w:type="dxa"/>
            <w:tcBorders>
              <w:bottom w:val="single" w:sz="4" w:space="0" w:color="000000"/>
            </w:tcBorders>
            <w:vAlign w:val="bottom"/>
          </w:tcPr>
          <w:p w14:paraId="22F5EC58"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-38.76287*</w:t>
            </w:r>
          </w:p>
        </w:tc>
        <w:tc>
          <w:tcPr>
            <w:tcW w:w="1701" w:type="dxa"/>
            <w:tcBorders>
              <w:bottom w:val="single" w:sz="4" w:space="0" w:color="000000"/>
            </w:tcBorders>
            <w:vAlign w:val="bottom"/>
          </w:tcPr>
          <w:p w14:paraId="4F78A164"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-23.92387*</w:t>
            </w:r>
          </w:p>
        </w:tc>
        <w:tc>
          <w:tcPr>
            <w:tcW w:w="1559" w:type="dxa"/>
            <w:tcBorders>
              <w:bottom w:val="single" w:sz="4" w:space="0" w:color="000000"/>
            </w:tcBorders>
            <w:vAlign w:val="bottom"/>
          </w:tcPr>
          <w:p w14:paraId="61D466B9" w14:textId="77777777" w:rsidR="002456FC" w:rsidRDefault="00000000">
            <w:pPr>
              <w:spacing w:after="0" w:line="360" w:lineRule="auto"/>
              <w:jc w:val="center"/>
              <w:rPr>
                <w:rFonts w:ascii="Arial" w:eastAsia="Arial" w:hAnsi="Arial" w:cs="Arial"/>
                <w:color w:val="000000"/>
                <w:sz w:val="20"/>
                <w:szCs w:val="20"/>
              </w:rPr>
            </w:pPr>
            <w:r>
              <w:rPr>
                <w:rFonts w:ascii="Arial" w:eastAsia="Arial" w:hAnsi="Arial" w:cs="Arial"/>
                <w:color w:val="000000"/>
                <w:sz w:val="20"/>
                <w:szCs w:val="20"/>
              </w:rPr>
              <w:t> -32.99593*</w:t>
            </w:r>
          </w:p>
        </w:tc>
      </w:tr>
    </w:tbl>
    <w:p w14:paraId="38CF8E19" w14:textId="77777777" w:rsidR="002456FC" w:rsidRDefault="00000000">
      <w:pPr>
        <w:jc w:val="center"/>
        <w:rPr>
          <w:rFonts w:ascii="Arial" w:eastAsia="Arial" w:hAnsi="Arial" w:cs="Arial"/>
          <w:sz w:val="20"/>
          <w:szCs w:val="20"/>
        </w:rPr>
      </w:pPr>
      <w:r>
        <w:rPr>
          <w:rFonts w:ascii="Arial" w:eastAsia="Arial" w:hAnsi="Arial" w:cs="Arial"/>
          <w:sz w:val="20"/>
          <w:szCs w:val="20"/>
        </w:rPr>
        <w:t xml:space="preserve">* Indicates lag order selected by the criterion; </w:t>
      </w:r>
      <w:r>
        <w:rPr>
          <w:rFonts w:ascii="Arial" w:eastAsia="Arial" w:hAnsi="Arial" w:cs="Arial"/>
          <w:i/>
          <w:sz w:val="20"/>
          <w:szCs w:val="20"/>
        </w:rPr>
        <w:t>Source: Authors' Own</w:t>
      </w:r>
      <w:r>
        <w:rPr>
          <w:rFonts w:ascii="Arial" w:eastAsia="Arial" w:hAnsi="Arial" w:cs="Arial"/>
          <w:sz w:val="20"/>
          <w:szCs w:val="20"/>
        </w:rPr>
        <w:t xml:space="preserve"> calculation.</w:t>
      </w:r>
    </w:p>
    <w:p w14:paraId="0D8B385E" w14:textId="77777777" w:rsidR="002456FC"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From Table 3, it is evident that all criteria indicate that optimum lag length 5 can be taken for the estimation of ARDL model. </w:t>
      </w:r>
    </w:p>
    <w:p w14:paraId="30FE151D" w14:textId="77777777" w:rsidR="002456FC" w:rsidRDefault="00000000">
      <w:pPr>
        <w:pStyle w:val="Heading3"/>
        <w:spacing w:before="280" w:line="360" w:lineRule="auto"/>
        <w:jc w:val="both"/>
        <w:rPr>
          <w:rFonts w:ascii="Arial" w:eastAsia="Arial" w:hAnsi="Arial" w:cs="Arial"/>
          <w:sz w:val="22"/>
          <w:szCs w:val="22"/>
        </w:rPr>
      </w:pPr>
      <w:bookmarkStart w:id="9" w:name="_hr8xnwtuvz6b" w:colFirst="0" w:colLast="0"/>
      <w:bookmarkEnd w:id="9"/>
      <w:r>
        <w:rPr>
          <w:rFonts w:ascii="Arial" w:eastAsia="Arial" w:hAnsi="Arial" w:cs="Arial"/>
          <w:sz w:val="22"/>
          <w:szCs w:val="22"/>
        </w:rPr>
        <w:t>4.5 ARDL Estimation</w:t>
      </w:r>
    </w:p>
    <w:p w14:paraId="1E7CBE66" w14:textId="77777777" w:rsidR="002456FC" w:rsidRDefault="00000000">
      <w:pPr>
        <w:spacing w:line="240" w:lineRule="auto"/>
        <w:jc w:val="both"/>
        <w:rPr>
          <w:rFonts w:ascii="Arial" w:eastAsia="Arial" w:hAnsi="Arial" w:cs="Arial"/>
          <w:sz w:val="20"/>
          <w:szCs w:val="20"/>
        </w:rPr>
      </w:pPr>
      <w:r>
        <w:rPr>
          <w:rFonts w:ascii="Arial" w:eastAsia="Arial" w:hAnsi="Arial" w:cs="Arial"/>
          <w:sz w:val="20"/>
          <w:szCs w:val="20"/>
        </w:rPr>
        <w:t>The ARDL model is a powerful econometric tool used to analyze the long-run relationships between variables. Based on the Akaike Information Criteria, the ARDL model of the order (5,5,4,5,5,4,4,4,5) is selected. The criteria graph is obtained to examine how the selected model is preferred over the other models. As depicted in Figure 3, the least value is for the model ARDL (5,5,4,5,5,4,4,4,5), thus it is the most suitable model.</w:t>
      </w:r>
    </w:p>
    <w:p w14:paraId="32A0FFC2" w14:textId="77777777" w:rsidR="002456FC" w:rsidRDefault="00000000">
      <w:pPr>
        <w:spacing w:line="360" w:lineRule="auto"/>
        <w:jc w:val="both"/>
      </w:pPr>
      <w:r>
        <w:object w:dxaOrig="7815" w:dyaOrig="7740" w14:anchorId="5B00F3DD">
          <v:shape id="_x0000_i1027" type="#_x0000_t75" style="width:391pt;height:387.35pt" o:ole="">
            <v:imagedata r:id="rId11" o:title=""/>
          </v:shape>
          <o:OLEObject Type="Embed" ProgID="EViews.Workfile.2" ShapeID="_x0000_i1027" DrawAspect="Content" ObjectID="_1821802498" r:id="rId12"/>
        </w:object>
      </w:r>
    </w:p>
    <w:p w14:paraId="658091DC" w14:textId="77777777" w:rsidR="002456FC" w:rsidRDefault="00000000">
      <w:pPr>
        <w:spacing w:after="0" w:line="240" w:lineRule="auto"/>
        <w:ind w:left="-7"/>
        <w:jc w:val="center"/>
        <w:rPr>
          <w:rFonts w:ascii="Arial" w:eastAsia="Arial" w:hAnsi="Arial" w:cs="Arial"/>
          <w:i/>
          <w:sz w:val="20"/>
          <w:szCs w:val="20"/>
        </w:rPr>
      </w:pPr>
      <w:r>
        <w:rPr>
          <w:rFonts w:ascii="Arial" w:eastAsia="Arial" w:hAnsi="Arial" w:cs="Arial"/>
          <w:i/>
          <w:sz w:val="20"/>
          <w:szCs w:val="20"/>
        </w:rPr>
        <w:t>Source: Prepared by authors.</w:t>
      </w:r>
    </w:p>
    <w:p w14:paraId="1068A3B4" w14:textId="77777777" w:rsidR="002456FC" w:rsidRDefault="002456FC">
      <w:pPr>
        <w:spacing w:after="0" w:line="240" w:lineRule="auto"/>
        <w:jc w:val="center"/>
        <w:rPr>
          <w:rFonts w:ascii="Arial" w:eastAsia="Arial" w:hAnsi="Arial" w:cs="Arial"/>
          <w:b/>
          <w:sz w:val="20"/>
          <w:szCs w:val="20"/>
        </w:rPr>
      </w:pPr>
    </w:p>
    <w:p w14:paraId="195CF0C2" w14:textId="77777777" w:rsidR="002456FC" w:rsidRDefault="00000000">
      <w:pPr>
        <w:spacing w:after="0" w:line="240" w:lineRule="auto"/>
        <w:jc w:val="center"/>
        <w:rPr>
          <w:rFonts w:ascii="Arial" w:eastAsia="Arial" w:hAnsi="Arial" w:cs="Arial"/>
          <w:b/>
          <w:sz w:val="20"/>
          <w:szCs w:val="20"/>
        </w:rPr>
      </w:pPr>
      <w:r>
        <w:rPr>
          <w:rFonts w:ascii="Arial" w:eastAsia="Arial" w:hAnsi="Arial" w:cs="Arial"/>
          <w:b/>
          <w:sz w:val="20"/>
          <w:szCs w:val="20"/>
        </w:rPr>
        <w:t>Figure 3. Akaike information criteria</w:t>
      </w:r>
    </w:p>
    <w:p w14:paraId="1D8CF714" w14:textId="77777777" w:rsidR="002456FC" w:rsidRDefault="00000000">
      <w:pPr>
        <w:pStyle w:val="Heading3"/>
        <w:spacing w:before="280" w:after="280" w:line="360" w:lineRule="auto"/>
        <w:rPr>
          <w:rFonts w:ascii="Arial" w:eastAsia="Arial" w:hAnsi="Arial" w:cs="Arial"/>
          <w:sz w:val="22"/>
          <w:szCs w:val="22"/>
        </w:rPr>
      </w:pPr>
      <w:bookmarkStart w:id="10" w:name="_uc6hynh9o15q" w:colFirst="0" w:colLast="0"/>
      <w:bookmarkEnd w:id="10"/>
      <w:r>
        <w:rPr>
          <w:rFonts w:ascii="Arial" w:eastAsia="Arial" w:hAnsi="Arial" w:cs="Arial"/>
          <w:sz w:val="22"/>
          <w:szCs w:val="22"/>
        </w:rPr>
        <w:t>4.6 Bounds Test</w:t>
      </w:r>
    </w:p>
    <w:p w14:paraId="43EF815F" w14:textId="77777777" w:rsidR="002456FC" w:rsidRDefault="00000000">
      <w:pPr>
        <w:pStyle w:val="Heading3"/>
        <w:spacing w:before="280"/>
        <w:rPr>
          <w:rFonts w:ascii="Arial" w:eastAsia="Arial" w:hAnsi="Arial" w:cs="Arial"/>
          <w:b w:val="0"/>
          <w:sz w:val="20"/>
          <w:szCs w:val="20"/>
        </w:rPr>
      </w:pPr>
      <w:r>
        <w:rPr>
          <w:rFonts w:ascii="Arial" w:eastAsia="Arial" w:hAnsi="Arial" w:cs="Arial"/>
          <w:b w:val="0"/>
          <w:sz w:val="20"/>
          <w:szCs w:val="20"/>
        </w:rPr>
        <w:t>To test the existence of long-run relationship between real GDP of India and its determinants, based on the selected ARDL model, the bounds test is performed, results of which are shown in Table 4.</w:t>
      </w:r>
    </w:p>
    <w:p w14:paraId="564301D0" w14:textId="77777777" w:rsidR="002456FC" w:rsidRDefault="00000000">
      <w:pPr>
        <w:spacing w:after="0" w:line="240" w:lineRule="auto"/>
        <w:jc w:val="center"/>
        <w:rPr>
          <w:rFonts w:ascii="Arial" w:eastAsia="Arial" w:hAnsi="Arial" w:cs="Arial"/>
          <w:b/>
        </w:rPr>
      </w:pPr>
      <w:r>
        <w:rPr>
          <w:rFonts w:ascii="Arial" w:eastAsia="Arial" w:hAnsi="Arial" w:cs="Arial"/>
          <w:b/>
        </w:rPr>
        <w:t>Table 4. Bounds test results</w:t>
      </w:r>
    </w:p>
    <w:tbl>
      <w:tblPr>
        <w:tblStyle w:val="a2"/>
        <w:tblW w:w="8744" w:type="dxa"/>
        <w:tblInd w:w="30" w:type="dxa"/>
        <w:tblLayout w:type="fixed"/>
        <w:tblLook w:val="0000" w:firstRow="0" w:lastRow="0" w:firstColumn="0" w:lastColumn="0" w:noHBand="0" w:noVBand="0"/>
      </w:tblPr>
      <w:tblGrid>
        <w:gridCol w:w="2227"/>
        <w:gridCol w:w="1103"/>
        <w:gridCol w:w="1587"/>
        <w:gridCol w:w="1842"/>
        <w:gridCol w:w="1985"/>
      </w:tblGrid>
      <w:tr w:rsidR="002456FC" w14:paraId="1B50C37F" w14:textId="77777777">
        <w:trPr>
          <w:trHeight w:val="225"/>
        </w:trPr>
        <w:tc>
          <w:tcPr>
            <w:tcW w:w="3330" w:type="dxa"/>
            <w:gridSpan w:val="2"/>
            <w:tcBorders>
              <w:top w:val="single" w:sz="4" w:space="0" w:color="000000"/>
              <w:bottom w:val="single" w:sz="4" w:space="0" w:color="000000"/>
            </w:tcBorders>
            <w:vAlign w:val="bottom"/>
          </w:tcPr>
          <w:p w14:paraId="63A95C68"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F-Bounds Test</w:t>
            </w:r>
          </w:p>
        </w:tc>
        <w:tc>
          <w:tcPr>
            <w:tcW w:w="5414" w:type="dxa"/>
            <w:gridSpan w:val="3"/>
            <w:tcBorders>
              <w:top w:val="single" w:sz="4" w:space="0" w:color="000000"/>
              <w:bottom w:val="single" w:sz="4" w:space="0" w:color="000000"/>
            </w:tcBorders>
            <w:vAlign w:val="bottom"/>
          </w:tcPr>
          <w:p w14:paraId="734AE56F" w14:textId="77777777" w:rsidR="002456FC" w:rsidRDefault="00000000">
            <w:pPr>
              <w:spacing w:after="0" w:line="240" w:lineRule="auto"/>
              <w:ind w:right="10"/>
              <w:rPr>
                <w:rFonts w:ascii="Arial" w:eastAsia="Arial" w:hAnsi="Arial" w:cs="Arial"/>
                <w:b/>
                <w:color w:val="000000"/>
                <w:sz w:val="20"/>
                <w:szCs w:val="20"/>
              </w:rPr>
            </w:pPr>
            <w:r>
              <w:rPr>
                <w:rFonts w:ascii="Arial" w:eastAsia="Arial" w:hAnsi="Arial" w:cs="Arial"/>
                <w:b/>
                <w:color w:val="000000"/>
                <w:sz w:val="20"/>
                <w:szCs w:val="20"/>
              </w:rPr>
              <w:t>Null Hypothesis: No levels relationship</w:t>
            </w:r>
          </w:p>
        </w:tc>
      </w:tr>
      <w:tr w:rsidR="002456FC" w14:paraId="60C60248" w14:textId="77777777">
        <w:trPr>
          <w:trHeight w:val="225"/>
        </w:trPr>
        <w:tc>
          <w:tcPr>
            <w:tcW w:w="2227" w:type="dxa"/>
            <w:tcBorders>
              <w:top w:val="single" w:sz="4" w:space="0" w:color="000000"/>
            </w:tcBorders>
            <w:vAlign w:val="bottom"/>
          </w:tcPr>
          <w:p w14:paraId="04688F78"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Test Statistic</w:t>
            </w:r>
          </w:p>
        </w:tc>
        <w:tc>
          <w:tcPr>
            <w:tcW w:w="1103" w:type="dxa"/>
            <w:tcBorders>
              <w:top w:val="single" w:sz="4" w:space="0" w:color="000000"/>
            </w:tcBorders>
            <w:vAlign w:val="bottom"/>
          </w:tcPr>
          <w:p w14:paraId="3A54A824"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Value</w:t>
            </w:r>
          </w:p>
        </w:tc>
        <w:tc>
          <w:tcPr>
            <w:tcW w:w="1587" w:type="dxa"/>
            <w:tcBorders>
              <w:top w:val="single" w:sz="4" w:space="0" w:color="000000"/>
            </w:tcBorders>
            <w:vAlign w:val="bottom"/>
          </w:tcPr>
          <w:p w14:paraId="5CC333BC" w14:textId="77777777" w:rsidR="002456FC" w:rsidRDefault="00000000">
            <w:pPr>
              <w:spacing w:after="0" w:line="240" w:lineRule="auto"/>
              <w:ind w:right="10"/>
              <w:rPr>
                <w:rFonts w:ascii="Arial" w:eastAsia="Arial" w:hAnsi="Arial" w:cs="Arial"/>
                <w:color w:val="000000"/>
                <w:sz w:val="20"/>
                <w:szCs w:val="20"/>
              </w:rPr>
            </w:pPr>
            <w:proofErr w:type="spellStart"/>
            <w:r>
              <w:rPr>
                <w:rFonts w:ascii="Arial" w:eastAsia="Arial" w:hAnsi="Arial" w:cs="Arial"/>
                <w:color w:val="000000"/>
                <w:sz w:val="20"/>
                <w:szCs w:val="20"/>
              </w:rPr>
              <w:t>Signif</w:t>
            </w:r>
            <w:proofErr w:type="spellEnd"/>
            <w:r>
              <w:rPr>
                <w:rFonts w:ascii="Arial" w:eastAsia="Arial" w:hAnsi="Arial" w:cs="Arial"/>
                <w:color w:val="000000"/>
                <w:sz w:val="20"/>
                <w:szCs w:val="20"/>
              </w:rPr>
              <w:t>.</w:t>
            </w:r>
          </w:p>
        </w:tc>
        <w:tc>
          <w:tcPr>
            <w:tcW w:w="1842" w:type="dxa"/>
            <w:tcBorders>
              <w:top w:val="single" w:sz="4" w:space="0" w:color="000000"/>
            </w:tcBorders>
            <w:vAlign w:val="bottom"/>
          </w:tcPr>
          <w:p w14:paraId="47A49826" w14:textId="77777777" w:rsidR="002456FC" w:rsidRDefault="00000000">
            <w:pPr>
              <w:spacing w:after="0" w:line="240" w:lineRule="auto"/>
              <w:ind w:right="10"/>
              <w:rPr>
                <w:rFonts w:ascii="Arial" w:eastAsia="Arial" w:hAnsi="Arial" w:cs="Arial"/>
                <w:color w:val="000000"/>
                <w:sz w:val="20"/>
                <w:szCs w:val="20"/>
              </w:rPr>
            </w:pPr>
            <w:proofErr w:type="gramStart"/>
            <w:r>
              <w:rPr>
                <w:rFonts w:ascii="Arial" w:eastAsia="Arial" w:hAnsi="Arial" w:cs="Arial"/>
                <w:color w:val="000000"/>
                <w:sz w:val="20"/>
                <w:szCs w:val="20"/>
              </w:rPr>
              <w:t>I(</w:t>
            </w:r>
            <w:proofErr w:type="gramEnd"/>
            <w:r>
              <w:rPr>
                <w:rFonts w:ascii="Arial" w:eastAsia="Arial" w:hAnsi="Arial" w:cs="Arial"/>
                <w:color w:val="000000"/>
                <w:sz w:val="20"/>
                <w:szCs w:val="20"/>
              </w:rPr>
              <w:t>0)</w:t>
            </w:r>
          </w:p>
        </w:tc>
        <w:tc>
          <w:tcPr>
            <w:tcW w:w="1985" w:type="dxa"/>
            <w:tcBorders>
              <w:top w:val="single" w:sz="4" w:space="0" w:color="000000"/>
            </w:tcBorders>
            <w:vAlign w:val="bottom"/>
          </w:tcPr>
          <w:p w14:paraId="106DD661" w14:textId="77777777" w:rsidR="002456FC" w:rsidRDefault="00000000">
            <w:pPr>
              <w:spacing w:after="0" w:line="240" w:lineRule="auto"/>
              <w:ind w:right="10"/>
              <w:rPr>
                <w:rFonts w:ascii="Arial" w:eastAsia="Arial" w:hAnsi="Arial" w:cs="Arial"/>
                <w:color w:val="000000"/>
                <w:sz w:val="20"/>
                <w:szCs w:val="20"/>
              </w:rPr>
            </w:pPr>
            <w:proofErr w:type="gramStart"/>
            <w:r>
              <w:rPr>
                <w:rFonts w:ascii="Arial" w:eastAsia="Arial" w:hAnsi="Arial" w:cs="Arial"/>
                <w:color w:val="000000"/>
                <w:sz w:val="20"/>
                <w:szCs w:val="20"/>
              </w:rPr>
              <w:t>I(</w:t>
            </w:r>
            <w:proofErr w:type="gramEnd"/>
            <w:r>
              <w:rPr>
                <w:rFonts w:ascii="Arial" w:eastAsia="Arial" w:hAnsi="Arial" w:cs="Arial"/>
                <w:color w:val="000000"/>
                <w:sz w:val="20"/>
                <w:szCs w:val="20"/>
              </w:rPr>
              <w:t>1)</w:t>
            </w:r>
          </w:p>
        </w:tc>
      </w:tr>
      <w:tr w:rsidR="002456FC" w14:paraId="1F2003B8" w14:textId="77777777">
        <w:trPr>
          <w:trHeight w:val="225"/>
        </w:trPr>
        <w:tc>
          <w:tcPr>
            <w:tcW w:w="2227" w:type="dxa"/>
            <w:vAlign w:val="bottom"/>
          </w:tcPr>
          <w:p w14:paraId="27526318"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F-statistic</w:t>
            </w:r>
          </w:p>
        </w:tc>
        <w:tc>
          <w:tcPr>
            <w:tcW w:w="1103" w:type="dxa"/>
            <w:vAlign w:val="bottom"/>
          </w:tcPr>
          <w:p w14:paraId="1EB04884"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3.819694</w:t>
            </w:r>
          </w:p>
        </w:tc>
        <w:tc>
          <w:tcPr>
            <w:tcW w:w="1587" w:type="dxa"/>
            <w:vAlign w:val="bottom"/>
          </w:tcPr>
          <w:p w14:paraId="6BDABDA7"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10%</w:t>
            </w:r>
          </w:p>
        </w:tc>
        <w:tc>
          <w:tcPr>
            <w:tcW w:w="1842" w:type="dxa"/>
            <w:vAlign w:val="bottom"/>
          </w:tcPr>
          <w:p w14:paraId="41AA975E"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1.66</w:t>
            </w:r>
          </w:p>
        </w:tc>
        <w:tc>
          <w:tcPr>
            <w:tcW w:w="1985" w:type="dxa"/>
            <w:vAlign w:val="bottom"/>
          </w:tcPr>
          <w:p w14:paraId="487DD9F9"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2.79</w:t>
            </w:r>
          </w:p>
        </w:tc>
      </w:tr>
      <w:tr w:rsidR="002456FC" w14:paraId="45A4FFC8" w14:textId="77777777">
        <w:trPr>
          <w:trHeight w:val="225"/>
        </w:trPr>
        <w:tc>
          <w:tcPr>
            <w:tcW w:w="2227" w:type="dxa"/>
            <w:vAlign w:val="bottom"/>
          </w:tcPr>
          <w:p w14:paraId="2A3B70A7"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k</w:t>
            </w:r>
          </w:p>
        </w:tc>
        <w:tc>
          <w:tcPr>
            <w:tcW w:w="1103" w:type="dxa"/>
            <w:vAlign w:val="bottom"/>
          </w:tcPr>
          <w:p w14:paraId="455D8318"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8</w:t>
            </w:r>
          </w:p>
        </w:tc>
        <w:tc>
          <w:tcPr>
            <w:tcW w:w="1587" w:type="dxa"/>
            <w:vAlign w:val="bottom"/>
          </w:tcPr>
          <w:p w14:paraId="2F7B140D"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5%</w:t>
            </w:r>
          </w:p>
        </w:tc>
        <w:tc>
          <w:tcPr>
            <w:tcW w:w="1842" w:type="dxa"/>
            <w:vAlign w:val="bottom"/>
          </w:tcPr>
          <w:p w14:paraId="1FBCF285"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1.91</w:t>
            </w:r>
          </w:p>
        </w:tc>
        <w:tc>
          <w:tcPr>
            <w:tcW w:w="1985" w:type="dxa"/>
            <w:vAlign w:val="bottom"/>
          </w:tcPr>
          <w:p w14:paraId="2EB089D8"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3.11</w:t>
            </w:r>
          </w:p>
        </w:tc>
      </w:tr>
      <w:tr w:rsidR="002456FC" w14:paraId="7277C5AB" w14:textId="77777777">
        <w:trPr>
          <w:trHeight w:val="225"/>
        </w:trPr>
        <w:tc>
          <w:tcPr>
            <w:tcW w:w="2227" w:type="dxa"/>
            <w:vAlign w:val="bottom"/>
          </w:tcPr>
          <w:p w14:paraId="65F56D1A" w14:textId="77777777" w:rsidR="002456FC" w:rsidRDefault="002456FC">
            <w:pPr>
              <w:spacing w:after="0" w:line="240" w:lineRule="auto"/>
              <w:rPr>
                <w:rFonts w:ascii="Arial" w:eastAsia="Arial" w:hAnsi="Arial" w:cs="Arial"/>
                <w:color w:val="000000"/>
                <w:sz w:val="20"/>
                <w:szCs w:val="20"/>
              </w:rPr>
            </w:pPr>
          </w:p>
        </w:tc>
        <w:tc>
          <w:tcPr>
            <w:tcW w:w="1103" w:type="dxa"/>
            <w:vAlign w:val="bottom"/>
          </w:tcPr>
          <w:p w14:paraId="1367694C" w14:textId="77777777" w:rsidR="002456FC" w:rsidRDefault="002456FC">
            <w:pPr>
              <w:spacing w:after="0" w:line="240" w:lineRule="auto"/>
              <w:rPr>
                <w:rFonts w:ascii="Arial" w:eastAsia="Arial" w:hAnsi="Arial" w:cs="Arial"/>
                <w:color w:val="000000"/>
                <w:sz w:val="20"/>
                <w:szCs w:val="20"/>
              </w:rPr>
            </w:pPr>
          </w:p>
        </w:tc>
        <w:tc>
          <w:tcPr>
            <w:tcW w:w="1587" w:type="dxa"/>
            <w:vAlign w:val="bottom"/>
          </w:tcPr>
          <w:p w14:paraId="013F3CD7"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2.5%</w:t>
            </w:r>
          </w:p>
        </w:tc>
        <w:tc>
          <w:tcPr>
            <w:tcW w:w="1842" w:type="dxa"/>
            <w:vAlign w:val="bottom"/>
          </w:tcPr>
          <w:p w14:paraId="720DA85E"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2.15</w:t>
            </w:r>
          </w:p>
        </w:tc>
        <w:tc>
          <w:tcPr>
            <w:tcW w:w="1985" w:type="dxa"/>
            <w:vAlign w:val="bottom"/>
          </w:tcPr>
          <w:p w14:paraId="11011B0F"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3.4</w:t>
            </w:r>
          </w:p>
        </w:tc>
      </w:tr>
      <w:tr w:rsidR="002456FC" w14:paraId="3ED6CA5B" w14:textId="77777777">
        <w:trPr>
          <w:trHeight w:val="225"/>
        </w:trPr>
        <w:tc>
          <w:tcPr>
            <w:tcW w:w="2227" w:type="dxa"/>
            <w:tcBorders>
              <w:bottom w:val="single" w:sz="4" w:space="0" w:color="000000"/>
            </w:tcBorders>
            <w:vAlign w:val="bottom"/>
          </w:tcPr>
          <w:p w14:paraId="77E72C4D" w14:textId="77777777" w:rsidR="002456FC" w:rsidRDefault="002456FC">
            <w:pPr>
              <w:spacing w:after="0" w:line="240" w:lineRule="auto"/>
              <w:rPr>
                <w:rFonts w:ascii="Arial" w:eastAsia="Arial" w:hAnsi="Arial" w:cs="Arial"/>
                <w:color w:val="000000"/>
                <w:sz w:val="20"/>
                <w:szCs w:val="20"/>
              </w:rPr>
            </w:pPr>
          </w:p>
        </w:tc>
        <w:tc>
          <w:tcPr>
            <w:tcW w:w="1103" w:type="dxa"/>
            <w:tcBorders>
              <w:bottom w:val="single" w:sz="4" w:space="0" w:color="000000"/>
            </w:tcBorders>
            <w:vAlign w:val="bottom"/>
          </w:tcPr>
          <w:p w14:paraId="7A9B777C" w14:textId="77777777" w:rsidR="002456FC" w:rsidRDefault="002456FC">
            <w:pPr>
              <w:spacing w:after="0" w:line="240" w:lineRule="auto"/>
              <w:rPr>
                <w:rFonts w:ascii="Arial" w:eastAsia="Arial" w:hAnsi="Arial" w:cs="Arial"/>
                <w:color w:val="000000"/>
                <w:sz w:val="20"/>
                <w:szCs w:val="20"/>
              </w:rPr>
            </w:pPr>
          </w:p>
        </w:tc>
        <w:tc>
          <w:tcPr>
            <w:tcW w:w="1587" w:type="dxa"/>
            <w:tcBorders>
              <w:bottom w:val="single" w:sz="4" w:space="0" w:color="000000"/>
            </w:tcBorders>
            <w:vAlign w:val="bottom"/>
          </w:tcPr>
          <w:p w14:paraId="3943D771"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1%</w:t>
            </w:r>
          </w:p>
        </w:tc>
        <w:tc>
          <w:tcPr>
            <w:tcW w:w="1842" w:type="dxa"/>
            <w:tcBorders>
              <w:bottom w:val="single" w:sz="4" w:space="0" w:color="000000"/>
            </w:tcBorders>
            <w:vAlign w:val="bottom"/>
          </w:tcPr>
          <w:p w14:paraId="7AACEC94"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2.45</w:t>
            </w:r>
          </w:p>
        </w:tc>
        <w:tc>
          <w:tcPr>
            <w:tcW w:w="1985" w:type="dxa"/>
            <w:tcBorders>
              <w:bottom w:val="single" w:sz="4" w:space="0" w:color="000000"/>
            </w:tcBorders>
            <w:vAlign w:val="bottom"/>
          </w:tcPr>
          <w:p w14:paraId="56FCE47F"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3.79</w:t>
            </w:r>
          </w:p>
        </w:tc>
      </w:tr>
    </w:tbl>
    <w:p w14:paraId="511DE651" w14:textId="77777777" w:rsidR="002456FC" w:rsidRDefault="00000000">
      <w:pPr>
        <w:spacing w:line="240" w:lineRule="auto"/>
        <w:jc w:val="center"/>
        <w:rPr>
          <w:rFonts w:ascii="Times New Roman" w:eastAsia="Times New Roman" w:hAnsi="Times New Roman" w:cs="Times New Roman"/>
          <w:color w:val="FF0000"/>
          <w:sz w:val="24"/>
          <w:szCs w:val="24"/>
        </w:rPr>
      </w:pPr>
      <w:r>
        <w:rPr>
          <w:rFonts w:ascii="Arial" w:eastAsia="Arial" w:hAnsi="Arial" w:cs="Arial"/>
          <w:i/>
          <w:sz w:val="20"/>
          <w:szCs w:val="20"/>
        </w:rPr>
        <w:t>Source: Authors' Own</w:t>
      </w:r>
      <w:r>
        <w:rPr>
          <w:rFonts w:ascii="Arial" w:eastAsia="Arial" w:hAnsi="Arial" w:cs="Arial"/>
          <w:sz w:val="20"/>
          <w:szCs w:val="20"/>
        </w:rPr>
        <w:t xml:space="preserve"> calculation.</w:t>
      </w:r>
    </w:p>
    <w:p w14:paraId="0319826D" w14:textId="77777777" w:rsidR="002456FC" w:rsidRDefault="00000000">
      <w:pPr>
        <w:spacing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Bounds test used to determine whether there is a cointegrating relationship among the variables. If the value of F-statistic is less than lower bound value I (0), it shows that there is no long-run relationship between the variables; but if the value of the F statistic is greater than the upper bound value I (1), the long -run relationship between the variables is confirmed. However, if the value of F-statistic lies between two bounds then the result is inconclusive. Table 4 shows that the estimated value of the F statistic is 3.819, which is higher than the upper bound value of 3.11 at 5 per cent level of significance. </w:t>
      </w:r>
      <w:r>
        <w:rPr>
          <w:rFonts w:ascii="Arial" w:eastAsia="Arial" w:hAnsi="Arial" w:cs="Arial"/>
          <w:color w:val="000000"/>
          <w:sz w:val="20"/>
          <w:szCs w:val="20"/>
        </w:rPr>
        <w:lastRenderedPageBreak/>
        <w:t>Therefore, the null hypothesis of no cointegation is rejected and it can be concluded that there is a long-run relationship between India's real GDP and other explanatory variables.</w:t>
      </w:r>
    </w:p>
    <w:p w14:paraId="04AD50A4" w14:textId="77777777" w:rsidR="002456FC" w:rsidRDefault="00000000">
      <w:pPr>
        <w:pStyle w:val="Heading3"/>
        <w:spacing w:before="280" w:after="280" w:line="360" w:lineRule="auto"/>
        <w:rPr>
          <w:rFonts w:ascii="Arial" w:eastAsia="Arial" w:hAnsi="Arial" w:cs="Arial"/>
          <w:sz w:val="22"/>
          <w:szCs w:val="22"/>
        </w:rPr>
      </w:pPr>
      <w:bookmarkStart w:id="11" w:name="_9q5v6lhnemr0" w:colFirst="0" w:colLast="0"/>
      <w:bookmarkEnd w:id="11"/>
      <w:r>
        <w:rPr>
          <w:rFonts w:ascii="Arial" w:eastAsia="Arial" w:hAnsi="Arial" w:cs="Arial"/>
          <w:sz w:val="22"/>
          <w:szCs w:val="22"/>
        </w:rPr>
        <w:t>4.7 Long-Run Coefficients and Error Correction Term from ARDL Model</w:t>
      </w:r>
    </w:p>
    <w:p w14:paraId="07FB4A2C" w14:textId="77777777" w:rsidR="002456FC" w:rsidRDefault="00000000">
      <w:pPr>
        <w:pStyle w:val="Heading3"/>
        <w:spacing w:before="280" w:after="280"/>
        <w:jc w:val="both"/>
        <w:rPr>
          <w:rFonts w:ascii="Arial" w:eastAsia="Arial" w:hAnsi="Arial" w:cs="Arial"/>
          <w:b w:val="0"/>
          <w:sz w:val="20"/>
          <w:szCs w:val="20"/>
        </w:rPr>
      </w:pPr>
      <w:r>
        <w:rPr>
          <w:rFonts w:ascii="Arial" w:eastAsia="Arial" w:hAnsi="Arial" w:cs="Arial"/>
          <w:b w:val="0"/>
          <w:sz w:val="20"/>
          <w:szCs w:val="20"/>
        </w:rPr>
        <w:t>Since the bounds test confirms the presence of a long run relationship between the variables, the values of long-run coefficients and the error correction model for the short run adjustment are obtained. These results of the estimated ARDL model are presented in Table 5.</w:t>
      </w:r>
    </w:p>
    <w:p w14:paraId="4E5932FF" w14:textId="77777777" w:rsidR="002456FC" w:rsidRDefault="00000000">
      <w:pPr>
        <w:spacing w:line="240" w:lineRule="auto"/>
        <w:jc w:val="center"/>
        <w:rPr>
          <w:rFonts w:ascii="Arial" w:eastAsia="Arial" w:hAnsi="Arial" w:cs="Arial"/>
          <w:i/>
        </w:rPr>
      </w:pPr>
      <w:r>
        <w:rPr>
          <w:rFonts w:ascii="Arial" w:eastAsia="Arial" w:hAnsi="Arial" w:cs="Arial"/>
          <w:b/>
        </w:rPr>
        <w:t>Table 5. Long-run Coefficients</w:t>
      </w:r>
    </w:p>
    <w:tbl>
      <w:tblPr>
        <w:tblStyle w:val="a3"/>
        <w:tblW w:w="8595" w:type="dxa"/>
        <w:tblInd w:w="30" w:type="dxa"/>
        <w:tblLayout w:type="fixed"/>
        <w:tblLook w:val="0000" w:firstRow="0" w:lastRow="0" w:firstColumn="0" w:lastColumn="0" w:noHBand="0" w:noVBand="0"/>
      </w:tblPr>
      <w:tblGrid>
        <w:gridCol w:w="2227"/>
        <w:gridCol w:w="1598"/>
        <w:gridCol w:w="1440"/>
        <w:gridCol w:w="1440"/>
        <w:gridCol w:w="1890"/>
      </w:tblGrid>
      <w:tr w:rsidR="002456FC" w14:paraId="3C052B34" w14:textId="77777777">
        <w:trPr>
          <w:trHeight w:val="225"/>
        </w:trPr>
        <w:tc>
          <w:tcPr>
            <w:tcW w:w="8595" w:type="dxa"/>
            <w:gridSpan w:val="5"/>
            <w:tcBorders>
              <w:top w:val="single" w:sz="4" w:space="0" w:color="000000"/>
              <w:bottom w:val="single" w:sz="4" w:space="0" w:color="000000"/>
            </w:tcBorders>
            <w:vAlign w:val="bottom"/>
          </w:tcPr>
          <w:p w14:paraId="4F0633FC" w14:textId="77777777" w:rsidR="002456FC" w:rsidRDefault="00000000">
            <w:pPr>
              <w:spacing w:after="0" w:line="240" w:lineRule="auto"/>
              <w:rPr>
                <w:rFonts w:ascii="Arial" w:eastAsia="Arial" w:hAnsi="Arial" w:cs="Arial"/>
                <w:color w:val="000000"/>
                <w:sz w:val="20"/>
                <w:szCs w:val="20"/>
              </w:rPr>
            </w:pPr>
            <w:r>
              <w:rPr>
                <w:rFonts w:ascii="Arial" w:eastAsia="Arial" w:hAnsi="Arial" w:cs="Arial"/>
                <w:b/>
                <w:sz w:val="20"/>
                <w:szCs w:val="20"/>
              </w:rPr>
              <w:t>Dependent variable: ln RGDP</w:t>
            </w:r>
          </w:p>
        </w:tc>
      </w:tr>
      <w:tr w:rsidR="002456FC" w14:paraId="41B353F8" w14:textId="77777777">
        <w:trPr>
          <w:trHeight w:val="225"/>
        </w:trPr>
        <w:tc>
          <w:tcPr>
            <w:tcW w:w="2227" w:type="dxa"/>
            <w:tcBorders>
              <w:top w:val="single" w:sz="4" w:space="0" w:color="000000"/>
              <w:bottom w:val="single" w:sz="4" w:space="0" w:color="000000"/>
            </w:tcBorders>
            <w:vAlign w:val="bottom"/>
          </w:tcPr>
          <w:p w14:paraId="2D574FDF" w14:textId="77777777" w:rsidR="002456FC" w:rsidRDefault="00000000">
            <w:pPr>
              <w:spacing w:after="0" w:line="240" w:lineRule="auto"/>
              <w:jc w:val="center"/>
              <w:rPr>
                <w:rFonts w:ascii="Arial" w:eastAsia="Arial" w:hAnsi="Arial" w:cs="Arial"/>
                <w:b/>
                <w:color w:val="000000"/>
                <w:sz w:val="20"/>
                <w:szCs w:val="20"/>
              </w:rPr>
            </w:pPr>
            <w:r>
              <w:rPr>
                <w:rFonts w:ascii="Arial" w:eastAsia="Arial" w:hAnsi="Arial" w:cs="Arial"/>
                <w:b/>
                <w:color w:val="000000"/>
                <w:sz w:val="20"/>
                <w:szCs w:val="20"/>
              </w:rPr>
              <w:t>Variable</w:t>
            </w:r>
          </w:p>
        </w:tc>
        <w:tc>
          <w:tcPr>
            <w:tcW w:w="1598" w:type="dxa"/>
            <w:tcBorders>
              <w:top w:val="single" w:sz="4" w:space="0" w:color="000000"/>
              <w:bottom w:val="single" w:sz="4" w:space="0" w:color="000000"/>
            </w:tcBorders>
            <w:vAlign w:val="bottom"/>
          </w:tcPr>
          <w:p w14:paraId="099FD9A9" w14:textId="77777777" w:rsidR="002456FC" w:rsidRDefault="00000000">
            <w:pPr>
              <w:spacing w:after="0" w:line="240" w:lineRule="auto"/>
              <w:ind w:right="10"/>
              <w:jc w:val="center"/>
              <w:rPr>
                <w:rFonts w:ascii="Arial" w:eastAsia="Arial" w:hAnsi="Arial" w:cs="Arial"/>
                <w:b/>
                <w:color w:val="000000"/>
                <w:sz w:val="20"/>
                <w:szCs w:val="20"/>
              </w:rPr>
            </w:pPr>
            <w:r>
              <w:rPr>
                <w:rFonts w:ascii="Arial" w:eastAsia="Arial" w:hAnsi="Arial" w:cs="Arial"/>
                <w:b/>
                <w:color w:val="000000"/>
                <w:sz w:val="20"/>
                <w:szCs w:val="20"/>
              </w:rPr>
              <w:t>Coefficient</w:t>
            </w:r>
          </w:p>
        </w:tc>
        <w:tc>
          <w:tcPr>
            <w:tcW w:w="1440" w:type="dxa"/>
            <w:tcBorders>
              <w:top w:val="single" w:sz="4" w:space="0" w:color="000000"/>
              <w:bottom w:val="single" w:sz="4" w:space="0" w:color="000000"/>
            </w:tcBorders>
            <w:vAlign w:val="bottom"/>
          </w:tcPr>
          <w:p w14:paraId="546DCBFC" w14:textId="77777777" w:rsidR="002456FC" w:rsidRDefault="00000000">
            <w:pPr>
              <w:spacing w:after="0" w:line="240" w:lineRule="auto"/>
              <w:ind w:right="10"/>
              <w:jc w:val="center"/>
              <w:rPr>
                <w:rFonts w:ascii="Arial" w:eastAsia="Arial" w:hAnsi="Arial" w:cs="Arial"/>
                <w:b/>
                <w:color w:val="000000"/>
                <w:sz w:val="20"/>
                <w:szCs w:val="20"/>
              </w:rPr>
            </w:pPr>
            <w:r>
              <w:rPr>
                <w:rFonts w:ascii="Arial" w:eastAsia="Arial" w:hAnsi="Arial" w:cs="Arial"/>
                <w:b/>
                <w:color w:val="000000"/>
                <w:sz w:val="20"/>
                <w:szCs w:val="20"/>
              </w:rPr>
              <w:t>Std. Error</w:t>
            </w:r>
          </w:p>
        </w:tc>
        <w:tc>
          <w:tcPr>
            <w:tcW w:w="1440" w:type="dxa"/>
            <w:tcBorders>
              <w:top w:val="single" w:sz="4" w:space="0" w:color="000000"/>
              <w:bottom w:val="single" w:sz="4" w:space="0" w:color="000000"/>
            </w:tcBorders>
            <w:vAlign w:val="bottom"/>
          </w:tcPr>
          <w:p w14:paraId="1337671B" w14:textId="77777777" w:rsidR="002456FC" w:rsidRDefault="00000000">
            <w:pPr>
              <w:spacing w:after="0" w:line="240" w:lineRule="auto"/>
              <w:ind w:right="10"/>
              <w:jc w:val="center"/>
              <w:rPr>
                <w:rFonts w:ascii="Arial" w:eastAsia="Arial" w:hAnsi="Arial" w:cs="Arial"/>
                <w:b/>
                <w:color w:val="000000"/>
                <w:sz w:val="20"/>
                <w:szCs w:val="20"/>
              </w:rPr>
            </w:pPr>
            <w:r>
              <w:rPr>
                <w:rFonts w:ascii="Arial" w:eastAsia="Arial" w:hAnsi="Arial" w:cs="Arial"/>
                <w:b/>
                <w:color w:val="000000"/>
                <w:sz w:val="20"/>
                <w:szCs w:val="20"/>
              </w:rPr>
              <w:t>t-Statistic</w:t>
            </w:r>
          </w:p>
        </w:tc>
        <w:tc>
          <w:tcPr>
            <w:tcW w:w="1890" w:type="dxa"/>
            <w:tcBorders>
              <w:top w:val="single" w:sz="4" w:space="0" w:color="000000"/>
              <w:bottom w:val="single" w:sz="4" w:space="0" w:color="000000"/>
            </w:tcBorders>
            <w:vAlign w:val="bottom"/>
          </w:tcPr>
          <w:p w14:paraId="4F7B2124" w14:textId="77777777" w:rsidR="002456FC" w:rsidRDefault="00000000">
            <w:pPr>
              <w:spacing w:after="0" w:line="240" w:lineRule="auto"/>
              <w:ind w:right="10"/>
              <w:jc w:val="center"/>
              <w:rPr>
                <w:rFonts w:ascii="Arial" w:eastAsia="Arial" w:hAnsi="Arial" w:cs="Arial"/>
                <w:b/>
                <w:color w:val="000000"/>
                <w:sz w:val="20"/>
                <w:szCs w:val="20"/>
              </w:rPr>
            </w:pPr>
            <w:r>
              <w:rPr>
                <w:rFonts w:ascii="Arial" w:eastAsia="Arial" w:hAnsi="Arial" w:cs="Arial"/>
                <w:b/>
                <w:color w:val="000000"/>
                <w:sz w:val="20"/>
                <w:szCs w:val="20"/>
              </w:rPr>
              <w:t>Prob.</w:t>
            </w:r>
          </w:p>
        </w:tc>
      </w:tr>
      <w:tr w:rsidR="002456FC" w14:paraId="711EC3C6" w14:textId="77777777">
        <w:trPr>
          <w:trHeight w:val="225"/>
        </w:trPr>
        <w:tc>
          <w:tcPr>
            <w:tcW w:w="2227" w:type="dxa"/>
            <w:tcBorders>
              <w:top w:val="single" w:sz="4" w:space="0" w:color="000000"/>
            </w:tcBorders>
            <w:vAlign w:val="bottom"/>
          </w:tcPr>
          <w:p w14:paraId="17A92E88" w14:textId="77777777" w:rsidR="002456FC" w:rsidRDefault="00000000">
            <w:pPr>
              <w:spacing w:after="0" w:line="240" w:lineRule="auto"/>
              <w:jc w:val="center"/>
              <w:rPr>
                <w:rFonts w:ascii="Arial" w:eastAsia="Arial" w:hAnsi="Arial" w:cs="Arial"/>
                <w:color w:val="000000"/>
                <w:sz w:val="20"/>
                <w:szCs w:val="20"/>
              </w:rPr>
            </w:pPr>
            <w:bookmarkStart w:id="12" w:name="_77hpuj79odni" w:colFirst="0" w:colLast="0"/>
            <w:bookmarkEnd w:id="12"/>
            <w:r>
              <w:rPr>
                <w:rFonts w:ascii="Arial" w:eastAsia="Arial" w:hAnsi="Arial" w:cs="Arial"/>
                <w:color w:val="000000"/>
                <w:sz w:val="20"/>
                <w:szCs w:val="20"/>
              </w:rPr>
              <w:t>LNMANP</w:t>
            </w:r>
          </w:p>
        </w:tc>
        <w:tc>
          <w:tcPr>
            <w:tcW w:w="1598" w:type="dxa"/>
            <w:tcBorders>
              <w:top w:val="single" w:sz="4" w:space="0" w:color="000000"/>
            </w:tcBorders>
            <w:vAlign w:val="bottom"/>
          </w:tcPr>
          <w:p w14:paraId="506ADE4A" w14:textId="77777777" w:rsidR="002456FC" w:rsidRDefault="00000000">
            <w:pPr>
              <w:spacing w:after="0" w:line="240" w:lineRule="auto"/>
              <w:ind w:right="10"/>
              <w:jc w:val="center"/>
              <w:rPr>
                <w:rFonts w:ascii="Arial" w:eastAsia="Arial" w:hAnsi="Arial" w:cs="Arial"/>
                <w:color w:val="000000"/>
                <w:sz w:val="20"/>
                <w:szCs w:val="20"/>
              </w:rPr>
            </w:pPr>
            <w:bookmarkStart w:id="13" w:name="_x4osb6duylkd" w:colFirst="0" w:colLast="0"/>
            <w:bookmarkEnd w:id="13"/>
            <w:r>
              <w:rPr>
                <w:rFonts w:ascii="Arial" w:eastAsia="Arial" w:hAnsi="Arial" w:cs="Arial"/>
                <w:color w:val="000000"/>
                <w:sz w:val="20"/>
                <w:szCs w:val="20"/>
              </w:rPr>
              <w:t>0.811849**</w:t>
            </w:r>
          </w:p>
        </w:tc>
        <w:tc>
          <w:tcPr>
            <w:tcW w:w="1440" w:type="dxa"/>
            <w:tcBorders>
              <w:top w:val="single" w:sz="4" w:space="0" w:color="000000"/>
            </w:tcBorders>
            <w:vAlign w:val="bottom"/>
          </w:tcPr>
          <w:p w14:paraId="2EDE9048"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0.326354</w:t>
            </w:r>
          </w:p>
        </w:tc>
        <w:tc>
          <w:tcPr>
            <w:tcW w:w="1440" w:type="dxa"/>
            <w:tcBorders>
              <w:top w:val="single" w:sz="4" w:space="0" w:color="000000"/>
            </w:tcBorders>
            <w:vAlign w:val="bottom"/>
          </w:tcPr>
          <w:p w14:paraId="2B51D401"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2.487630</w:t>
            </w:r>
          </w:p>
        </w:tc>
        <w:tc>
          <w:tcPr>
            <w:tcW w:w="1890" w:type="dxa"/>
            <w:tcBorders>
              <w:top w:val="single" w:sz="4" w:space="0" w:color="000000"/>
            </w:tcBorders>
            <w:vAlign w:val="bottom"/>
          </w:tcPr>
          <w:p w14:paraId="7D3EE687"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0.0377</w:t>
            </w:r>
          </w:p>
        </w:tc>
      </w:tr>
      <w:tr w:rsidR="002456FC" w14:paraId="7B95714D" w14:textId="77777777">
        <w:trPr>
          <w:trHeight w:val="225"/>
        </w:trPr>
        <w:tc>
          <w:tcPr>
            <w:tcW w:w="2227" w:type="dxa"/>
            <w:vAlign w:val="bottom"/>
          </w:tcPr>
          <w:p w14:paraId="44497126" w14:textId="77777777" w:rsidR="002456FC" w:rsidRDefault="00000000">
            <w:pPr>
              <w:spacing w:after="0" w:line="240" w:lineRule="auto"/>
              <w:jc w:val="center"/>
              <w:rPr>
                <w:rFonts w:ascii="Arial" w:eastAsia="Arial" w:hAnsi="Arial" w:cs="Arial"/>
                <w:color w:val="000000"/>
                <w:sz w:val="20"/>
                <w:szCs w:val="20"/>
              </w:rPr>
            </w:pPr>
            <w:bookmarkStart w:id="14" w:name="_l5b7lumnga02" w:colFirst="0" w:colLast="0"/>
            <w:bookmarkEnd w:id="14"/>
            <w:r>
              <w:rPr>
                <w:rFonts w:ascii="Arial" w:eastAsia="Arial" w:hAnsi="Arial" w:cs="Arial"/>
                <w:color w:val="000000"/>
                <w:sz w:val="20"/>
                <w:szCs w:val="20"/>
              </w:rPr>
              <w:t>LNSERP</w:t>
            </w:r>
          </w:p>
        </w:tc>
        <w:tc>
          <w:tcPr>
            <w:tcW w:w="1598" w:type="dxa"/>
            <w:vAlign w:val="bottom"/>
          </w:tcPr>
          <w:p w14:paraId="5086A023"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 xml:space="preserve">      0.023335</w:t>
            </w:r>
          </w:p>
        </w:tc>
        <w:tc>
          <w:tcPr>
            <w:tcW w:w="1440" w:type="dxa"/>
            <w:vAlign w:val="bottom"/>
          </w:tcPr>
          <w:p w14:paraId="57BA36AE"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0.337040</w:t>
            </w:r>
          </w:p>
        </w:tc>
        <w:tc>
          <w:tcPr>
            <w:tcW w:w="1440" w:type="dxa"/>
            <w:vAlign w:val="bottom"/>
          </w:tcPr>
          <w:p w14:paraId="1DD0947E"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0.069235</w:t>
            </w:r>
          </w:p>
        </w:tc>
        <w:tc>
          <w:tcPr>
            <w:tcW w:w="1890" w:type="dxa"/>
            <w:vAlign w:val="bottom"/>
          </w:tcPr>
          <w:p w14:paraId="65DD7319"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0.9465</w:t>
            </w:r>
          </w:p>
        </w:tc>
      </w:tr>
      <w:tr w:rsidR="002456FC" w14:paraId="1904F8DE" w14:textId="77777777">
        <w:trPr>
          <w:trHeight w:val="225"/>
        </w:trPr>
        <w:tc>
          <w:tcPr>
            <w:tcW w:w="2227" w:type="dxa"/>
            <w:vAlign w:val="bottom"/>
          </w:tcPr>
          <w:p w14:paraId="2F289467" w14:textId="77777777" w:rsidR="002456FC" w:rsidRDefault="00000000">
            <w:pPr>
              <w:spacing w:after="0" w:line="240" w:lineRule="auto"/>
              <w:jc w:val="center"/>
              <w:rPr>
                <w:rFonts w:ascii="Arial" w:eastAsia="Arial" w:hAnsi="Arial" w:cs="Arial"/>
                <w:color w:val="000000"/>
                <w:sz w:val="20"/>
                <w:szCs w:val="20"/>
              </w:rPr>
            </w:pPr>
            <w:bookmarkStart w:id="15" w:name="_13shsgd7o7ed" w:colFirst="0" w:colLast="0"/>
            <w:bookmarkEnd w:id="15"/>
            <w:r>
              <w:rPr>
                <w:rFonts w:ascii="Arial" w:eastAsia="Arial" w:hAnsi="Arial" w:cs="Arial"/>
                <w:color w:val="000000"/>
                <w:sz w:val="20"/>
                <w:szCs w:val="20"/>
              </w:rPr>
              <w:t>LNAGRP</w:t>
            </w:r>
          </w:p>
        </w:tc>
        <w:tc>
          <w:tcPr>
            <w:tcW w:w="1598" w:type="dxa"/>
            <w:vAlign w:val="bottom"/>
          </w:tcPr>
          <w:p w14:paraId="42D20FF4"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0.546925***</w:t>
            </w:r>
          </w:p>
        </w:tc>
        <w:tc>
          <w:tcPr>
            <w:tcW w:w="1440" w:type="dxa"/>
            <w:vAlign w:val="bottom"/>
          </w:tcPr>
          <w:p w14:paraId="0FBAE9FF"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0.087436</w:t>
            </w:r>
          </w:p>
        </w:tc>
        <w:tc>
          <w:tcPr>
            <w:tcW w:w="1440" w:type="dxa"/>
            <w:vAlign w:val="bottom"/>
          </w:tcPr>
          <w:p w14:paraId="10AF93C3"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6.255114</w:t>
            </w:r>
          </w:p>
        </w:tc>
        <w:tc>
          <w:tcPr>
            <w:tcW w:w="1890" w:type="dxa"/>
            <w:vAlign w:val="bottom"/>
          </w:tcPr>
          <w:p w14:paraId="3AC45530"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0.0002</w:t>
            </w:r>
          </w:p>
        </w:tc>
      </w:tr>
      <w:tr w:rsidR="002456FC" w14:paraId="3B153555" w14:textId="77777777">
        <w:trPr>
          <w:trHeight w:val="225"/>
        </w:trPr>
        <w:tc>
          <w:tcPr>
            <w:tcW w:w="2227" w:type="dxa"/>
            <w:vAlign w:val="bottom"/>
          </w:tcPr>
          <w:p w14:paraId="6ECC1BBC" w14:textId="77777777" w:rsidR="002456FC" w:rsidRDefault="00000000">
            <w:pPr>
              <w:spacing w:after="0" w:line="240" w:lineRule="auto"/>
              <w:jc w:val="center"/>
              <w:rPr>
                <w:rFonts w:ascii="Arial" w:eastAsia="Arial" w:hAnsi="Arial" w:cs="Arial"/>
                <w:color w:val="000000"/>
                <w:sz w:val="20"/>
                <w:szCs w:val="20"/>
              </w:rPr>
            </w:pPr>
            <w:bookmarkStart w:id="16" w:name="_hltyvhtuzjrc" w:colFirst="0" w:colLast="0"/>
            <w:bookmarkEnd w:id="16"/>
            <w:r>
              <w:rPr>
                <w:rFonts w:ascii="Arial" w:eastAsia="Arial" w:hAnsi="Arial" w:cs="Arial"/>
                <w:color w:val="000000"/>
                <w:sz w:val="20"/>
                <w:szCs w:val="20"/>
              </w:rPr>
              <w:t>LNGCF</w:t>
            </w:r>
          </w:p>
        </w:tc>
        <w:tc>
          <w:tcPr>
            <w:tcW w:w="1598" w:type="dxa"/>
            <w:vAlign w:val="bottom"/>
          </w:tcPr>
          <w:p w14:paraId="2750F941"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0.338074**</w:t>
            </w:r>
          </w:p>
        </w:tc>
        <w:tc>
          <w:tcPr>
            <w:tcW w:w="1440" w:type="dxa"/>
            <w:vAlign w:val="bottom"/>
          </w:tcPr>
          <w:p w14:paraId="6876F320"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0.117114</w:t>
            </w:r>
          </w:p>
        </w:tc>
        <w:tc>
          <w:tcPr>
            <w:tcW w:w="1440" w:type="dxa"/>
            <w:vAlign w:val="bottom"/>
          </w:tcPr>
          <w:p w14:paraId="3659FB87"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2.886703</w:t>
            </w:r>
          </w:p>
        </w:tc>
        <w:tc>
          <w:tcPr>
            <w:tcW w:w="1890" w:type="dxa"/>
            <w:vAlign w:val="bottom"/>
          </w:tcPr>
          <w:p w14:paraId="351328E9"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0.0203</w:t>
            </w:r>
          </w:p>
        </w:tc>
      </w:tr>
      <w:tr w:rsidR="002456FC" w14:paraId="3B6C5C18" w14:textId="77777777">
        <w:trPr>
          <w:trHeight w:val="225"/>
        </w:trPr>
        <w:tc>
          <w:tcPr>
            <w:tcW w:w="2227" w:type="dxa"/>
            <w:vAlign w:val="bottom"/>
          </w:tcPr>
          <w:p w14:paraId="37ABCAAE" w14:textId="77777777" w:rsidR="002456FC" w:rsidRDefault="00000000">
            <w:pPr>
              <w:spacing w:after="0" w:line="240" w:lineRule="auto"/>
              <w:jc w:val="center"/>
              <w:rPr>
                <w:rFonts w:ascii="Arial" w:eastAsia="Arial" w:hAnsi="Arial" w:cs="Arial"/>
                <w:color w:val="000000"/>
                <w:sz w:val="20"/>
                <w:szCs w:val="20"/>
              </w:rPr>
            </w:pPr>
            <w:r>
              <w:rPr>
                <w:rFonts w:ascii="Arial" w:eastAsia="Arial" w:hAnsi="Arial" w:cs="Arial"/>
                <w:color w:val="000000"/>
                <w:sz w:val="20"/>
                <w:szCs w:val="20"/>
              </w:rPr>
              <w:t>LNGE</w:t>
            </w:r>
          </w:p>
        </w:tc>
        <w:tc>
          <w:tcPr>
            <w:tcW w:w="1598" w:type="dxa"/>
            <w:vAlign w:val="bottom"/>
          </w:tcPr>
          <w:p w14:paraId="548B5604"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0.632943***</w:t>
            </w:r>
          </w:p>
        </w:tc>
        <w:tc>
          <w:tcPr>
            <w:tcW w:w="1440" w:type="dxa"/>
            <w:vAlign w:val="bottom"/>
          </w:tcPr>
          <w:p w14:paraId="006FCB5F"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0.077891</w:t>
            </w:r>
          </w:p>
        </w:tc>
        <w:tc>
          <w:tcPr>
            <w:tcW w:w="1440" w:type="dxa"/>
            <w:vAlign w:val="bottom"/>
          </w:tcPr>
          <w:p w14:paraId="5BD9AEE9"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8.126039</w:t>
            </w:r>
          </w:p>
        </w:tc>
        <w:tc>
          <w:tcPr>
            <w:tcW w:w="1890" w:type="dxa"/>
            <w:vAlign w:val="bottom"/>
          </w:tcPr>
          <w:p w14:paraId="491811B6"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0.0000</w:t>
            </w:r>
          </w:p>
        </w:tc>
      </w:tr>
      <w:tr w:rsidR="002456FC" w14:paraId="4D963B60" w14:textId="77777777">
        <w:trPr>
          <w:trHeight w:val="225"/>
        </w:trPr>
        <w:tc>
          <w:tcPr>
            <w:tcW w:w="2227" w:type="dxa"/>
            <w:vAlign w:val="bottom"/>
          </w:tcPr>
          <w:p w14:paraId="4715CA8D" w14:textId="77777777" w:rsidR="002456FC" w:rsidRDefault="00000000">
            <w:pPr>
              <w:spacing w:after="0" w:line="240" w:lineRule="auto"/>
              <w:jc w:val="center"/>
              <w:rPr>
                <w:rFonts w:ascii="Arial" w:eastAsia="Arial" w:hAnsi="Arial" w:cs="Arial"/>
                <w:color w:val="000000"/>
                <w:sz w:val="20"/>
                <w:szCs w:val="20"/>
              </w:rPr>
            </w:pPr>
            <w:bookmarkStart w:id="17" w:name="_qdz488pld5qp" w:colFirst="0" w:colLast="0"/>
            <w:bookmarkEnd w:id="17"/>
            <w:r>
              <w:rPr>
                <w:rFonts w:ascii="Arial" w:eastAsia="Arial" w:hAnsi="Arial" w:cs="Arial"/>
                <w:color w:val="000000"/>
                <w:sz w:val="20"/>
                <w:szCs w:val="20"/>
              </w:rPr>
              <w:t>LNTOPEN</w:t>
            </w:r>
          </w:p>
        </w:tc>
        <w:tc>
          <w:tcPr>
            <w:tcW w:w="1598" w:type="dxa"/>
            <w:vAlign w:val="bottom"/>
          </w:tcPr>
          <w:p w14:paraId="2A086827"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0.196775*</w:t>
            </w:r>
          </w:p>
        </w:tc>
        <w:tc>
          <w:tcPr>
            <w:tcW w:w="1440" w:type="dxa"/>
            <w:vAlign w:val="bottom"/>
          </w:tcPr>
          <w:p w14:paraId="1F906D59"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0.092736</w:t>
            </w:r>
          </w:p>
        </w:tc>
        <w:tc>
          <w:tcPr>
            <w:tcW w:w="1440" w:type="dxa"/>
            <w:vAlign w:val="bottom"/>
          </w:tcPr>
          <w:p w14:paraId="02BFA642"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2.121892</w:t>
            </w:r>
          </w:p>
        </w:tc>
        <w:tc>
          <w:tcPr>
            <w:tcW w:w="1890" w:type="dxa"/>
            <w:vAlign w:val="bottom"/>
          </w:tcPr>
          <w:p w14:paraId="0D59EAED"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0.0666</w:t>
            </w:r>
          </w:p>
        </w:tc>
      </w:tr>
      <w:tr w:rsidR="002456FC" w14:paraId="38395796" w14:textId="77777777">
        <w:trPr>
          <w:trHeight w:val="225"/>
        </w:trPr>
        <w:tc>
          <w:tcPr>
            <w:tcW w:w="2227" w:type="dxa"/>
            <w:vAlign w:val="bottom"/>
          </w:tcPr>
          <w:p w14:paraId="1770A1FA" w14:textId="77777777" w:rsidR="002456FC" w:rsidRDefault="00000000">
            <w:pPr>
              <w:spacing w:after="0" w:line="240" w:lineRule="auto"/>
              <w:jc w:val="center"/>
              <w:rPr>
                <w:rFonts w:ascii="Arial" w:eastAsia="Arial" w:hAnsi="Arial" w:cs="Arial"/>
                <w:color w:val="000000"/>
                <w:sz w:val="20"/>
                <w:szCs w:val="20"/>
              </w:rPr>
            </w:pPr>
            <w:bookmarkStart w:id="18" w:name="_b78h6ndqngrb" w:colFirst="0" w:colLast="0"/>
            <w:bookmarkEnd w:id="18"/>
            <w:r>
              <w:rPr>
                <w:rFonts w:ascii="Arial" w:eastAsia="Arial" w:hAnsi="Arial" w:cs="Arial"/>
                <w:color w:val="000000"/>
                <w:sz w:val="20"/>
                <w:szCs w:val="20"/>
              </w:rPr>
              <w:t>POPGR</w:t>
            </w:r>
          </w:p>
        </w:tc>
        <w:tc>
          <w:tcPr>
            <w:tcW w:w="1598" w:type="dxa"/>
            <w:vAlign w:val="bottom"/>
          </w:tcPr>
          <w:p w14:paraId="5702ADF7"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-0.452350***</w:t>
            </w:r>
          </w:p>
        </w:tc>
        <w:tc>
          <w:tcPr>
            <w:tcW w:w="1440" w:type="dxa"/>
            <w:vAlign w:val="bottom"/>
          </w:tcPr>
          <w:p w14:paraId="1CD8B4C6"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0.124981</w:t>
            </w:r>
          </w:p>
        </w:tc>
        <w:tc>
          <w:tcPr>
            <w:tcW w:w="1440" w:type="dxa"/>
            <w:vAlign w:val="bottom"/>
          </w:tcPr>
          <w:p w14:paraId="409BD3D1"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-3.619341</w:t>
            </w:r>
          </w:p>
        </w:tc>
        <w:tc>
          <w:tcPr>
            <w:tcW w:w="1890" w:type="dxa"/>
            <w:vAlign w:val="bottom"/>
          </w:tcPr>
          <w:p w14:paraId="3519C222"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0.0068</w:t>
            </w:r>
          </w:p>
        </w:tc>
      </w:tr>
      <w:tr w:rsidR="002456FC" w14:paraId="5B80FE8E" w14:textId="77777777">
        <w:trPr>
          <w:trHeight w:val="225"/>
        </w:trPr>
        <w:tc>
          <w:tcPr>
            <w:tcW w:w="2227" w:type="dxa"/>
            <w:tcBorders>
              <w:bottom w:val="single" w:sz="4" w:space="0" w:color="000000"/>
            </w:tcBorders>
            <w:vAlign w:val="bottom"/>
          </w:tcPr>
          <w:p w14:paraId="0AE1E90A" w14:textId="77777777" w:rsidR="002456FC" w:rsidRDefault="00000000">
            <w:pPr>
              <w:spacing w:after="0" w:line="240" w:lineRule="auto"/>
              <w:jc w:val="center"/>
              <w:rPr>
                <w:rFonts w:ascii="Arial" w:eastAsia="Arial" w:hAnsi="Arial" w:cs="Arial"/>
                <w:color w:val="000000"/>
                <w:sz w:val="20"/>
                <w:szCs w:val="20"/>
              </w:rPr>
            </w:pPr>
            <w:bookmarkStart w:id="19" w:name="_4jwm1vosaixi" w:colFirst="0" w:colLast="0"/>
            <w:bookmarkEnd w:id="19"/>
            <w:r>
              <w:rPr>
                <w:rFonts w:ascii="Arial" w:eastAsia="Arial" w:hAnsi="Arial" w:cs="Arial"/>
                <w:color w:val="000000"/>
                <w:sz w:val="20"/>
                <w:szCs w:val="20"/>
              </w:rPr>
              <w:t>INF</w:t>
            </w:r>
          </w:p>
        </w:tc>
        <w:tc>
          <w:tcPr>
            <w:tcW w:w="1598" w:type="dxa"/>
            <w:tcBorders>
              <w:bottom w:val="single" w:sz="4" w:space="0" w:color="000000"/>
            </w:tcBorders>
            <w:vAlign w:val="bottom"/>
          </w:tcPr>
          <w:p w14:paraId="17B5EC6B"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-0.015384**</w:t>
            </w:r>
          </w:p>
        </w:tc>
        <w:tc>
          <w:tcPr>
            <w:tcW w:w="1440" w:type="dxa"/>
            <w:tcBorders>
              <w:bottom w:val="single" w:sz="4" w:space="0" w:color="000000"/>
            </w:tcBorders>
            <w:vAlign w:val="bottom"/>
          </w:tcPr>
          <w:p w14:paraId="393B78CC"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0.005154</w:t>
            </w:r>
          </w:p>
        </w:tc>
        <w:tc>
          <w:tcPr>
            <w:tcW w:w="1440" w:type="dxa"/>
            <w:tcBorders>
              <w:bottom w:val="single" w:sz="4" w:space="0" w:color="000000"/>
            </w:tcBorders>
            <w:vAlign w:val="bottom"/>
          </w:tcPr>
          <w:p w14:paraId="3995FF3B"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-2.985057</w:t>
            </w:r>
          </w:p>
        </w:tc>
        <w:tc>
          <w:tcPr>
            <w:tcW w:w="1890" w:type="dxa"/>
            <w:tcBorders>
              <w:bottom w:val="single" w:sz="4" w:space="0" w:color="000000"/>
            </w:tcBorders>
            <w:vAlign w:val="bottom"/>
          </w:tcPr>
          <w:p w14:paraId="4A6D3B19" w14:textId="77777777" w:rsidR="002456FC" w:rsidRDefault="00000000">
            <w:pPr>
              <w:spacing w:after="0" w:line="240" w:lineRule="auto"/>
              <w:ind w:right="10"/>
              <w:jc w:val="center"/>
              <w:rPr>
                <w:rFonts w:ascii="Arial" w:eastAsia="Arial" w:hAnsi="Arial" w:cs="Arial"/>
                <w:color w:val="000000"/>
                <w:sz w:val="20"/>
                <w:szCs w:val="20"/>
              </w:rPr>
            </w:pPr>
            <w:r>
              <w:rPr>
                <w:rFonts w:ascii="Arial" w:eastAsia="Arial" w:hAnsi="Arial" w:cs="Arial"/>
                <w:color w:val="000000"/>
                <w:sz w:val="20"/>
                <w:szCs w:val="20"/>
              </w:rPr>
              <w:t>0.0175</w:t>
            </w:r>
          </w:p>
        </w:tc>
      </w:tr>
    </w:tbl>
    <w:p w14:paraId="7EB26A92" w14:textId="77777777" w:rsidR="002456FC" w:rsidRDefault="00000000">
      <w:pPr>
        <w:spacing w:after="0" w:line="240" w:lineRule="auto"/>
        <w:jc w:val="center"/>
        <w:rPr>
          <w:rFonts w:ascii="Times New Roman" w:eastAsia="Times New Roman" w:hAnsi="Times New Roman" w:cs="Times New Roman"/>
          <w:sz w:val="24"/>
          <w:szCs w:val="24"/>
        </w:rPr>
      </w:pPr>
      <w:bookmarkStart w:id="20" w:name="_91am0e5einaj" w:colFirst="0" w:colLast="0"/>
      <w:bookmarkEnd w:id="20"/>
      <w:r>
        <w:rPr>
          <w:rFonts w:ascii="Arial" w:eastAsia="Arial" w:hAnsi="Arial" w:cs="Arial"/>
          <w:i/>
          <w:sz w:val="20"/>
          <w:szCs w:val="20"/>
        </w:rPr>
        <w:t>***p &lt; 0.01, **p &lt; 0.05, *p &lt; 0.1; Source: Authors' Own</w:t>
      </w:r>
      <w:r>
        <w:rPr>
          <w:rFonts w:ascii="Arial" w:eastAsia="Arial" w:hAnsi="Arial" w:cs="Arial"/>
          <w:sz w:val="20"/>
          <w:szCs w:val="20"/>
        </w:rPr>
        <w:t xml:space="preserve"> calculation.</w:t>
      </w:r>
    </w:p>
    <w:p w14:paraId="1DAF4CD7" w14:textId="77777777" w:rsidR="002456FC" w:rsidRDefault="002456FC">
      <w:pPr>
        <w:spacing w:after="0" w:line="240" w:lineRule="auto"/>
        <w:rPr>
          <w:rFonts w:ascii="Times New Roman" w:eastAsia="Times New Roman" w:hAnsi="Times New Roman" w:cs="Times New Roman"/>
          <w:b/>
          <w:sz w:val="24"/>
          <w:szCs w:val="24"/>
        </w:rPr>
      </w:pPr>
    </w:p>
    <w:p w14:paraId="692399DD" w14:textId="77777777" w:rsidR="002456FC" w:rsidRDefault="00000000">
      <w:pPr>
        <w:tabs>
          <w:tab w:val="left" w:pos="7710"/>
        </w:tabs>
        <w:spacing w:after="0" w:line="240" w:lineRule="auto"/>
        <w:jc w:val="both"/>
        <w:rPr>
          <w:rFonts w:ascii="Arial" w:eastAsia="Arial" w:hAnsi="Arial" w:cs="Arial"/>
          <w:color w:val="222222"/>
          <w:sz w:val="20"/>
          <w:szCs w:val="20"/>
        </w:rPr>
      </w:pPr>
      <w:bookmarkStart w:id="21" w:name="_gqligsdg0f7p" w:colFirst="0" w:colLast="0"/>
      <w:bookmarkEnd w:id="21"/>
      <w:r>
        <w:rPr>
          <w:rFonts w:ascii="Arial" w:eastAsia="Arial" w:hAnsi="Arial" w:cs="Arial"/>
          <w:sz w:val="20"/>
          <w:szCs w:val="20"/>
        </w:rPr>
        <w:t xml:space="preserve">Results of Table 5 show that the coefficients of population growth and inflation are negative and significant. The coefficient of gross capital formation and trade openness are positive and significant significance at 5 per cent and 10 per cent level of significance, respectively. A one per cent rise in gross capital formation may lead to 0.34 per cent rise in real GDP and a one per cent rise in trade openness may lead to 0.20 per cent rise in real GDP. Similarly, the coefficient of government expenditure is positive and significant at 1 per cent level of significance. A one per cent rise in government expenditure may lead to 0.63 per cent increase in real GDP. The most important result </w:t>
      </w:r>
      <w:r>
        <w:rPr>
          <w:rFonts w:ascii="Arial" w:eastAsia="Arial" w:hAnsi="Arial" w:cs="Arial"/>
          <w:color w:val="000000"/>
          <w:sz w:val="20"/>
          <w:szCs w:val="20"/>
        </w:rPr>
        <w:t>of the study is that, the coefficient of LNSERP is positive and highly insignificant, which indicates that now service sector is not driving force of India’s economic growth.</w:t>
      </w:r>
      <w:r>
        <w:rPr>
          <w:rFonts w:ascii="Arial" w:eastAsia="Arial" w:hAnsi="Arial" w:cs="Arial"/>
          <w:sz w:val="20"/>
          <w:szCs w:val="20"/>
        </w:rPr>
        <w:t xml:space="preserve"> However, the coefficient of </w:t>
      </w:r>
      <w:r>
        <w:rPr>
          <w:rFonts w:ascii="Arial" w:eastAsia="Arial" w:hAnsi="Arial" w:cs="Arial"/>
          <w:color w:val="000000"/>
          <w:sz w:val="20"/>
          <w:szCs w:val="20"/>
        </w:rPr>
        <w:t>LNMANP</w:t>
      </w:r>
      <w:r>
        <w:rPr>
          <w:rFonts w:ascii="Arial" w:eastAsia="Arial" w:hAnsi="Arial" w:cs="Arial"/>
          <w:sz w:val="20"/>
          <w:szCs w:val="20"/>
        </w:rPr>
        <w:t xml:space="preserve"> is positive and significant at 5 per cent level of significance. Specifically, a one per cent rise in </w:t>
      </w:r>
      <w:r>
        <w:rPr>
          <w:rFonts w:ascii="Arial" w:eastAsia="Arial" w:hAnsi="Arial" w:cs="Arial"/>
          <w:color w:val="000000"/>
          <w:sz w:val="20"/>
          <w:szCs w:val="20"/>
        </w:rPr>
        <w:t>LNMANP</w:t>
      </w:r>
      <w:r>
        <w:rPr>
          <w:rFonts w:ascii="Arial" w:eastAsia="Arial" w:hAnsi="Arial" w:cs="Arial"/>
          <w:sz w:val="20"/>
          <w:szCs w:val="20"/>
        </w:rPr>
        <w:t xml:space="preserve"> is associated with a 0.81 per cent rise in GDP of India. This indicates that in the current scenario manufacturing is main driver of economic growth of India. Similarly, coefficient of </w:t>
      </w:r>
      <w:r>
        <w:rPr>
          <w:rFonts w:ascii="Arial" w:eastAsia="Arial" w:hAnsi="Arial" w:cs="Arial"/>
          <w:color w:val="000000"/>
          <w:sz w:val="20"/>
          <w:szCs w:val="20"/>
        </w:rPr>
        <w:t>LNAGRP</w:t>
      </w:r>
      <w:r>
        <w:rPr>
          <w:rFonts w:ascii="Arial" w:eastAsia="Arial" w:hAnsi="Arial" w:cs="Arial"/>
          <w:sz w:val="20"/>
          <w:szCs w:val="20"/>
        </w:rPr>
        <w:t xml:space="preserve"> is also positive and significant at 1 per cent level of significance. Specifically, a one per cent rise in </w:t>
      </w:r>
      <w:r>
        <w:rPr>
          <w:rFonts w:ascii="Arial" w:eastAsia="Arial" w:hAnsi="Arial" w:cs="Arial"/>
          <w:color w:val="000000"/>
          <w:sz w:val="20"/>
          <w:szCs w:val="20"/>
        </w:rPr>
        <w:t>LNAGRP</w:t>
      </w:r>
      <w:r>
        <w:rPr>
          <w:rFonts w:ascii="Arial" w:eastAsia="Arial" w:hAnsi="Arial" w:cs="Arial"/>
          <w:sz w:val="20"/>
          <w:szCs w:val="20"/>
        </w:rPr>
        <w:t xml:space="preserve"> is associated with a 0.55 per cent rise in GDP of India. This finding indicates that now the importance of agriculture as a driving force of India’s economic growth has emerged, particularly after Covid 19. The most important conclusion is that among the three sectors of the economy the effect of manufacturing is the highest therefore it can be considered as engine of the Indian economy, followed by agricultural sector.</w:t>
      </w:r>
    </w:p>
    <w:p w14:paraId="15D29140" w14:textId="77777777" w:rsidR="002456FC" w:rsidRDefault="002456FC">
      <w:pPr>
        <w:tabs>
          <w:tab w:val="left" w:pos="7710"/>
        </w:tabs>
        <w:spacing w:after="0" w:line="240" w:lineRule="auto"/>
        <w:jc w:val="both"/>
        <w:rPr>
          <w:rFonts w:ascii="Arial" w:eastAsia="Arial" w:hAnsi="Arial" w:cs="Arial"/>
          <w:sz w:val="20"/>
          <w:szCs w:val="20"/>
        </w:rPr>
      </w:pPr>
    </w:p>
    <w:p w14:paraId="4A1AEF2F" w14:textId="77777777" w:rsidR="002456FC" w:rsidRDefault="00000000">
      <w:pPr>
        <w:tabs>
          <w:tab w:val="left" w:pos="7710"/>
        </w:tabs>
        <w:spacing w:after="0" w:line="240" w:lineRule="auto"/>
        <w:jc w:val="both"/>
        <w:rPr>
          <w:rFonts w:ascii="Arial" w:eastAsia="Arial" w:hAnsi="Arial" w:cs="Arial"/>
          <w:sz w:val="20"/>
          <w:szCs w:val="20"/>
        </w:rPr>
      </w:pPr>
      <w:r>
        <w:rPr>
          <w:rFonts w:ascii="Arial" w:eastAsia="Arial" w:hAnsi="Arial" w:cs="Arial"/>
          <w:sz w:val="20"/>
          <w:szCs w:val="20"/>
        </w:rPr>
        <w:t>From the Table 5 long run relationship between real GDP per capita and explanatory variables have been found and the following cointegration equation is formed:</w:t>
      </w:r>
    </w:p>
    <w:p w14:paraId="0656BAFD" w14:textId="77777777" w:rsidR="002456FC" w:rsidRDefault="002456FC">
      <w:pPr>
        <w:tabs>
          <w:tab w:val="left" w:pos="7710"/>
        </w:tabs>
        <w:spacing w:after="0" w:line="360" w:lineRule="auto"/>
        <w:jc w:val="both"/>
        <w:rPr>
          <w:rFonts w:ascii="Times New Roman" w:eastAsia="Times New Roman" w:hAnsi="Times New Roman" w:cs="Times New Roman"/>
          <w:sz w:val="24"/>
          <w:szCs w:val="24"/>
        </w:rPr>
      </w:pPr>
    </w:p>
    <w:p w14:paraId="48503861" w14:textId="21B4B9D8" w:rsidR="002456FC" w:rsidRDefault="00000000">
      <w:pPr>
        <w:tabs>
          <w:tab w:val="left" w:pos="7710"/>
        </w:tabs>
        <w:spacing w:after="0" w:line="240" w:lineRule="auto"/>
        <w:rPr>
          <w:rFonts w:ascii="Arial" w:eastAsia="Arial" w:hAnsi="Arial" w:cs="Arial"/>
          <w:color w:val="000000"/>
          <w:sz w:val="20"/>
          <w:szCs w:val="20"/>
        </w:rPr>
      </w:pPr>
      <w:r>
        <w:rPr>
          <w:rFonts w:ascii="Times New Roman" w:eastAsia="Times New Roman" w:hAnsi="Times New Roman" w:cs="Times New Roman"/>
          <w:sz w:val="24"/>
          <w:szCs w:val="24"/>
        </w:rPr>
        <w:t xml:space="preserve"> </w:t>
      </w:r>
      <w:r>
        <w:rPr>
          <w:rFonts w:ascii="Arial" w:eastAsia="Arial" w:hAnsi="Arial" w:cs="Arial"/>
          <w:sz w:val="20"/>
          <w:szCs w:val="20"/>
        </w:rPr>
        <w:t xml:space="preserve">LNRGDP= </w:t>
      </w:r>
      <w:r>
        <w:rPr>
          <w:rFonts w:ascii="Arial" w:eastAsia="Arial" w:hAnsi="Arial" w:cs="Arial"/>
          <w:color w:val="000000"/>
          <w:sz w:val="20"/>
          <w:szCs w:val="20"/>
        </w:rPr>
        <w:t>0.81LNMANP</w:t>
      </w:r>
      <w:r>
        <w:rPr>
          <w:rFonts w:ascii="Arial" w:eastAsia="Arial" w:hAnsi="Arial" w:cs="Arial"/>
          <w:sz w:val="20"/>
          <w:szCs w:val="20"/>
        </w:rPr>
        <w:t xml:space="preserve"> + </w:t>
      </w:r>
      <w:r>
        <w:rPr>
          <w:rFonts w:ascii="Arial" w:eastAsia="Arial" w:hAnsi="Arial" w:cs="Arial"/>
          <w:color w:val="000000"/>
          <w:sz w:val="20"/>
          <w:szCs w:val="20"/>
        </w:rPr>
        <w:t>0.02 LNSERP</w:t>
      </w:r>
      <w:r>
        <w:rPr>
          <w:rFonts w:ascii="Arial" w:eastAsia="Arial" w:hAnsi="Arial" w:cs="Arial"/>
          <w:sz w:val="20"/>
          <w:szCs w:val="20"/>
        </w:rPr>
        <w:t xml:space="preserve"> +0.55</w:t>
      </w:r>
      <w:r>
        <w:rPr>
          <w:rFonts w:ascii="Arial" w:eastAsia="Arial" w:hAnsi="Arial" w:cs="Arial"/>
          <w:color w:val="000000"/>
          <w:sz w:val="20"/>
          <w:szCs w:val="20"/>
        </w:rPr>
        <w:t>LNAGRP</w:t>
      </w:r>
      <w:r>
        <w:rPr>
          <w:rFonts w:ascii="Arial" w:eastAsia="Arial" w:hAnsi="Arial" w:cs="Arial"/>
          <w:color w:val="C00000"/>
          <w:sz w:val="20"/>
          <w:szCs w:val="20"/>
        </w:rPr>
        <w:t xml:space="preserve"> </w:t>
      </w:r>
      <w:r>
        <w:rPr>
          <w:rFonts w:ascii="Arial" w:eastAsia="Arial" w:hAnsi="Arial" w:cs="Arial"/>
          <w:sz w:val="20"/>
          <w:szCs w:val="20"/>
        </w:rPr>
        <w:t>+0.34</w:t>
      </w:r>
      <w:r>
        <w:rPr>
          <w:rFonts w:ascii="Arial" w:eastAsia="Arial" w:hAnsi="Arial" w:cs="Arial"/>
          <w:color w:val="000000"/>
          <w:sz w:val="20"/>
          <w:szCs w:val="20"/>
        </w:rPr>
        <w:t>LNGCF+0.63</w:t>
      </w:r>
      <w:r>
        <w:rPr>
          <w:rFonts w:ascii="Arial" w:eastAsia="Arial" w:hAnsi="Arial" w:cs="Arial"/>
          <w:sz w:val="20"/>
          <w:szCs w:val="20"/>
        </w:rPr>
        <w:t xml:space="preserve"> </w:t>
      </w:r>
      <w:r>
        <w:rPr>
          <w:rFonts w:ascii="Arial" w:eastAsia="Arial" w:hAnsi="Arial" w:cs="Arial"/>
          <w:color w:val="000000"/>
          <w:sz w:val="20"/>
          <w:szCs w:val="20"/>
        </w:rPr>
        <w:t>LNGE</w:t>
      </w:r>
      <w:r>
        <w:rPr>
          <w:rFonts w:ascii="Arial" w:eastAsia="Arial" w:hAnsi="Arial" w:cs="Arial"/>
          <w:sz w:val="20"/>
          <w:szCs w:val="20"/>
        </w:rPr>
        <w:t xml:space="preserve"> </w:t>
      </w:r>
      <w:r w:rsidR="00C32161">
        <w:rPr>
          <w:rFonts w:ascii="Arial" w:eastAsia="Arial" w:hAnsi="Arial" w:cs="Arial"/>
          <w:sz w:val="20"/>
          <w:szCs w:val="20"/>
        </w:rPr>
        <w:t>+</w:t>
      </w:r>
      <w:r>
        <w:rPr>
          <w:rFonts w:ascii="Arial" w:eastAsia="Arial" w:hAnsi="Arial" w:cs="Arial"/>
          <w:sz w:val="20"/>
          <w:szCs w:val="20"/>
        </w:rPr>
        <w:t>0.20</w:t>
      </w:r>
      <w:r>
        <w:rPr>
          <w:rFonts w:ascii="Arial" w:eastAsia="Arial" w:hAnsi="Arial" w:cs="Arial"/>
          <w:color w:val="000000"/>
          <w:sz w:val="20"/>
          <w:szCs w:val="20"/>
        </w:rPr>
        <w:t xml:space="preserve">    </w:t>
      </w:r>
    </w:p>
    <w:p w14:paraId="488FAB1E" w14:textId="77777777" w:rsidR="002456FC" w:rsidRDefault="00000000">
      <w:pPr>
        <w:tabs>
          <w:tab w:val="left" w:pos="7710"/>
        </w:tabs>
        <w:spacing w:after="0" w:line="240" w:lineRule="auto"/>
        <w:rPr>
          <w:rFonts w:ascii="Arial" w:eastAsia="Arial" w:hAnsi="Arial" w:cs="Arial"/>
          <w:sz w:val="20"/>
          <w:szCs w:val="20"/>
        </w:rPr>
      </w:pPr>
      <w:r>
        <w:rPr>
          <w:rFonts w:ascii="Arial" w:eastAsia="Arial" w:hAnsi="Arial" w:cs="Arial"/>
          <w:color w:val="000000"/>
          <w:sz w:val="20"/>
          <w:szCs w:val="20"/>
        </w:rPr>
        <w:t xml:space="preserve">                    LNTOPEN</w:t>
      </w:r>
      <w:r>
        <w:rPr>
          <w:rFonts w:ascii="Arial" w:eastAsia="Arial" w:hAnsi="Arial" w:cs="Arial"/>
          <w:sz w:val="20"/>
          <w:szCs w:val="20"/>
        </w:rPr>
        <w:t xml:space="preserve"> -0.45</w:t>
      </w:r>
      <w:r>
        <w:rPr>
          <w:rFonts w:ascii="Arial" w:eastAsia="Arial" w:hAnsi="Arial" w:cs="Arial"/>
          <w:color w:val="000000"/>
          <w:sz w:val="20"/>
          <w:szCs w:val="20"/>
        </w:rPr>
        <w:t>POPGR-0.12</w:t>
      </w:r>
      <w:r>
        <w:rPr>
          <w:rFonts w:ascii="Arial" w:eastAsia="Arial" w:hAnsi="Arial" w:cs="Arial"/>
          <w:sz w:val="20"/>
          <w:szCs w:val="20"/>
        </w:rPr>
        <w:t xml:space="preserve"> </w:t>
      </w:r>
      <w:r>
        <w:rPr>
          <w:rFonts w:ascii="Arial" w:eastAsia="Arial" w:hAnsi="Arial" w:cs="Arial"/>
          <w:color w:val="000000"/>
          <w:sz w:val="20"/>
          <w:szCs w:val="20"/>
        </w:rPr>
        <w:t>INF</w:t>
      </w:r>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4)</w:t>
      </w:r>
    </w:p>
    <w:p w14:paraId="4AA47B7C" w14:textId="77777777" w:rsidR="002456FC" w:rsidRDefault="00000000">
      <w:pPr>
        <w:tabs>
          <w:tab w:val="left" w:pos="771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32218DE" w14:textId="77777777" w:rsidR="002456FC" w:rsidRDefault="002456FC">
      <w:pPr>
        <w:spacing w:after="0" w:line="240" w:lineRule="auto"/>
        <w:rPr>
          <w:rFonts w:ascii="Times New Roman" w:eastAsia="Times New Roman" w:hAnsi="Times New Roman" w:cs="Times New Roman"/>
          <w:b/>
          <w:sz w:val="24"/>
          <w:szCs w:val="24"/>
        </w:rPr>
      </w:pPr>
    </w:p>
    <w:p w14:paraId="6E20C7CD" w14:textId="77777777" w:rsidR="002456FC" w:rsidRDefault="00000000">
      <w:pPr>
        <w:spacing w:after="0" w:line="240" w:lineRule="auto"/>
        <w:rPr>
          <w:rFonts w:ascii="Arial" w:eastAsia="Arial" w:hAnsi="Arial" w:cs="Arial"/>
          <w:b/>
        </w:rPr>
      </w:pPr>
      <w:r>
        <w:rPr>
          <w:rFonts w:ascii="Arial" w:eastAsia="Arial" w:hAnsi="Arial" w:cs="Arial"/>
          <w:b/>
        </w:rPr>
        <w:t>4.7.1 ECM Model</w:t>
      </w:r>
    </w:p>
    <w:p w14:paraId="7A9DE46D" w14:textId="77777777" w:rsidR="002456FC" w:rsidRDefault="002456FC">
      <w:pPr>
        <w:spacing w:after="0" w:line="240" w:lineRule="auto"/>
        <w:rPr>
          <w:rFonts w:ascii="Times New Roman" w:eastAsia="Times New Roman" w:hAnsi="Times New Roman" w:cs="Times New Roman"/>
          <w:b/>
          <w:sz w:val="24"/>
          <w:szCs w:val="24"/>
        </w:rPr>
      </w:pPr>
    </w:p>
    <w:p w14:paraId="16512B9A" w14:textId="77777777" w:rsidR="002456FC" w:rsidRDefault="00000000">
      <w:pPr>
        <w:spacing w:after="0" w:line="240" w:lineRule="auto"/>
        <w:jc w:val="both"/>
        <w:rPr>
          <w:rFonts w:ascii="Arial" w:eastAsia="Arial" w:hAnsi="Arial" w:cs="Arial"/>
          <w:sz w:val="20"/>
          <w:szCs w:val="20"/>
        </w:rPr>
      </w:pPr>
      <w:r>
        <w:rPr>
          <w:rFonts w:ascii="Arial" w:eastAsia="Arial" w:hAnsi="Arial" w:cs="Arial"/>
          <w:sz w:val="20"/>
          <w:szCs w:val="20"/>
        </w:rPr>
        <w:t>While evaluating the equilibrium cointegrating equation in the autoregressive distribution lag (ARDL) model, the error correction term (ECT) is important in understanding the long-time relationship between the variables. More importantly, the coefficient of the error correction term should be negative and significant. Its negative sign indicates that the economy can restore back to a long-term stable relationship, when short-term disturbance occurs in the economy. The results of Error Correction Model are given in Table 6.</w:t>
      </w:r>
    </w:p>
    <w:p w14:paraId="43026C1E" w14:textId="77777777" w:rsidR="002456FC" w:rsidRDefault="002456FC">
      <w:pPr>
        <w:spacing w:after="0" w:line="240" w:lineRule="auto"/>
        <w:jc w:val="both"/>
        <w:rPr>
          <w:rFonts w:ascii="Arial" w:eastAsia="Arial" w:hAnsi="Arial" w:cs="Arial"/>
          <w:sz w:val="20"/>
          <w:szCs w:val="20"/>
        </w:rPr>
      </w:pPr>
    </w:p>
    <w:p w14:paraId="4EFA8514" w14:textId="77777777" w:rsidR="002456FC" w:rsidRDefault="002456FC">
      <w:pPr>
        <w:spacing w:after="0" w:line="240" w:lineRule="auto"/>
        <w:jc w:val="center"/>
        <w:rPr>
          <w:rFonts w:ascii="Arial" w:eastAsia="Arial" w:hAnsi="Arial" w:cs="Arial"/>
          <w:b/>
          <w:sz w:val="20"/>
          <w:szCs w:val="20"/>
        </w:rPr>
      </w:pPr>
    </w:p>
    <w:p w14:paraId="7BD0235C" w14:textId="77777777" w:rsidR="002456FC" w:rsidRDefault="00000000">
      <w:pPr>
        <w:spacing w:after="0" w:line="240" w:lineRule="auto"/>
        <w:jc w:val="center"/>
        <w:rPr>
          <w:rFonts w:ascii="Arial" w:eastAsia="Arial" w:hAnsi="Arial" w:cs="Arial"/>
          <w:b/>
        </w:rPr>
      </w:pPr>
      <w:r>
        <w:rPr>
          <w:rFonts w:ascii="Arial" w:eastAsia="Arial" w:hAnsi="Arial" w:cs="Arial"/>
          <w:b/>
        </w:rPr>
        <w:t>Table 6.</w:t>
      </w:r>
      <w:r>
        <w:rPr>
          <w:rFonts w:ascii="Arial" w:eastAsia="Arial" w:hAnsi="Arial" w:cs="Arial"/>
          <w:b/>
          <w:color w:val="000000"/>
        </w:rPr>
        <w:t xml:space="preserve"> Error correction model</w:t>
      </w:r>
    </w:p>
    <w:tbl>
      <w:tblPr>
        <w:tblStyle w:val="a4"/>
        <w:tblW w:w="8965" w:type="dxa"/>
        <w:tblInd w:w="30" w:type="dxa"/>
        <w:tblLayout w:type="fixed"/>
        <w:tblLook w:val="0000" w:firstRow="0" w:lastRow="0" w:firstColumn="0" w:lastColumn="0" w:noHBand="0" w:noVBand="0"/>
      </w:tblPr>
      <w:tblGrid>
        <w:gridCol w:w="2227"/>
        <w:gridCol w:w="1518"/>
        <w:gridCol w:w="1620"/>
        <w:gridCol w:w="1800"/>
        <w:gridCol w:w="1800"/>
      </w:tblGrid>
      <w:tr w:rsidR="002456FC" w14:paraId="0764D743" w14:textId="77777777">
        <w:trPr>
          <w:trHeight w:val="225"/>
        </w:trPr>
        <w:tc>
          <w:tcPr>
            <w:tcW w:w="2227" w:type="dxa"/>
            <w:tcBorders>
              <w:top w:val="single" w:sz="4" w:space="0" w:color="000000"/>
              <w:bottom w:val="single" w:sz="4" w:space="0" w:color="000000"/>
            </w:tcBorders>
            <w:vAlign w:val="bottom"/>
          </w:tcPr>
          <w:p w14:paraId="7AE96B1E" w14:textId="77777777" w:rsidR="002456FC" w:rsidRDefault="00000000">
            <w:pPr>
              <w:spacing w:after="0" w:line="240" w:lineRule="auto"/>
              <w:rPr>
                <w:rFonts w:ascii="Arial" w:eastAsia="Arial" w:hAnsi="Arial" w:cs="Arial"/>
                <w:b/>
                <w:color w:val="000000"/>
                <w:sz w:val="20"/>
                <w:szCs w:val="20"/>
              </w:rPr>
            </w:pPr>
            <w:r>
              <w:rPr>
                <w:rFonts w:ascii="Arial" w:eastAsia="Arial" w:hAnsi="Arial" w:cs="Arial"/>
                <w:b/>
                <w:color w:val="000000"/>
                <w:sz w:val="20"/>
                <w:szCs w:val="20"/>
              </w:rPr>
              <w:t>Variable</w:t>
            </w:r>
          </w:p>
        </w:tc>
        <w:tc>
          <w:tcPr>
            <w:tcW w:w="1518" w:type="dxa"/>
            <w:tcBorders>
              <w:top w:val="single" w:sz="4" w:space="0" w:color="000000"/>
              <w:bottom w:val="single" w:sz="4" w:space="0" w:color="000000"/>
            </w:tcBorders>
            <w:vAlign w:val="bottom"/>
          </w:tcPr>
          <w:p w14:paraId="67BF50E9" w14:textId="77777777" w:rsidR="002456FC" w:rsidRDefault="00000000">
            <w:pPr>
              <w:spacing w:after="0" w:line="240" w:lineRule="auto"/>
              <w:ind w:right="10"/>
              <w:rPr>
                <w:rFonts w:ascii="Arial" w:eastAsia="Arial" w:hAnsi="Arial" w:cs="Arial"/>
                <w:b/>
                <w:color w:val="000000"/>
                <w:sz w:val="20"/>
                <w:szCs w:val="20"/>
              </w:rPr>
            </w:pPr>
            <w:r>
              <w:rPr>
                <w:rFonts w:ascii="Arial" w:eastAsia="Arial" w:hAnsi="Arial" w:cs="Arial"/>
                <w:b/>
                <w:color w:val="000000"/>
                <w:sz w:val="20"/>
                <w:szCs w:val="20"/>
              </w:rPr>
              <w:t>Coefficient</w:t>
            </w:r>
          </w:p>
        </w:tc>
        <w:tc>
          <w:tcPr>
            <w:tcW w:w="1620" w:type="dxa"/>
            <w:tcBorders>
              <w:top w:val="single" w:sz="4" w:space="0" w:color="000000"/>
              <w:bottom w:val="single" w:sz="4" w:space="0" w:color="000000"/>
            </w:tcBorders>
            <w:vAlign w:val="bottom"/>
          </w:tcPr>
          <w:p w14:paraId="318FF3F4" w14:textId="77777777" w:rsidR="002456FC" w:rsidRDefault="00000000">
            <w:pPr>
              <w:spacing w:after="0" w:line="240" w:lineRule="auto"/>
              <w:ind w:right="10"/>
              <w:rPr>
                <w:rFonts w:ascii="Arial" w:eastAsia="Arial" w:hAnsi="Arial" w:cs="Arial"/>
                <w:b/>
                <w:color w:val="000000"/>
                <w:sz w:val="20"/>
                <w:szCs w:val="20"/>
              </w:rPr>
            </w:pPr>
            <w:r>
              <w:rPr>
                <w:rFonts w:ascii="Arial" w:eastAsia="Arial" w:hAnsi="Arial" w:cs="Arial"/>
                <w:b/>
                <w:color w:val="000000"/>
                <w:sz w:val="20"/>
                <w:szCs w:val="20"/>
              </w:rPr>
              <w:t>Std. Error</w:t>
            </w:r>
          </w:p>
        </w:tc>
        <w:tc>
          <w:tcPr>
            <w:tcW w:w="1800" w:type="dxa"/>
            <w:tcBorders>
              <w:top w:val="single" w:sz="4" w:space="0" w:color="000000"/>
              <w:bottom w:val="single" w:sz="4" w:space="0" w:color="000000"/>
            </w:tcBorders>
            <w:vAlign w:val="bottom"/>
          </w:tcPr>
          <w:p w14:paraId="7A8EB466" w14:textId="77777777" w:rsidR="002456FC" w:rsidRDefault="00000000">
            <w:pPr>
              <w:spacing w:after="0" w:line="240" w:lineRule="auto"/>
              <w:ind w:right="10"/>
              <w:rPr>
                <w:rFonts w:ascii="Arial" w:eastAsia="Arial" w:hAnsi="Arial" w:cs="Arial"/>
                <w:b/>
                <w:color w:val="000000"/>
                <w:sz w:val="20"/>
                <w:szCs w:val="20"/>
              </w:rPr>
            </w:pPr>
            <w:r>
              <w:rPr>
                <w:rFonts w:ascii="Arial" w:eastAsia="Arial" w:hAnsi="Arial" w:cs="Arial"/>
                <w:b/>
                <w:color w:val="000000"/>
                <w:sz w:val="20"/>
                <w:szCs w:val="20"/>
              </w:rPr>
              <w:t>t-Statistic</w:t>
            </w:r>
          </w:p>
        </w:tc>
        <w:tc>
          <w:tcPr>
            <w:tcW w:w="1800" w:type="dxa"/>
            <w:tcBorders>
              <w:top w:val="single" w:sz="4" w:space="0" w:color="000000"/>
              <w:bottom w:val="single" w:sz="4" w:space="0" w:color="000000"/>
            </w:tcBorders>
            <w:vAlign w:val="bottom"/>
          </w:tcPr>
          <w:p w14:paraId="4FABA850" w14:textId="77777777" w:rsidR="002456FC" w:rsidRDefault="00000000">
            <w:pPr>
              <w:spacing w:after="0" w:line="240" w:lineRule="auto"/>
              <w:ind w:right="10"/>
              <w:rPr>
                <w:rFonts w:ascii="Arial" w:eastAsia="Arial" w:hAnsi="Arial" w:cs="Arial"/>
                <w:b/>
                <w:color w:val="000000"/>
                <w:sz w:val="20"/>
                <w:szCs w:val="20"/>
              </w:rPr>
            </w:pPr>
            <w:r>
              <w:rPr>
                <w:rFonts w:ascii="Arial" w:eastAsia="Arial" w:hAnsi="Arial" w:cs="Arial"/>
                <w:b/>
                <w:color w:val="000000"/>
                <w:sz w:val="20"/>
                <w:szCs w:val="20"/>
              </w:rPr>
              <w:t>Prob.   </w:t>
            </w:r>
          </w:p>
        </w:tc>
      </w:tr>
      <w:tr w:rsidR="002456FC" w14:paraId="0E13C0D6" w14:textId="77777777">
        <w:trPr>
          <w:trHeight w:val="225"/>
        </w:trPr>
        <w:tc>
          <w:tcPr>
            <w:tcW w:w="2227" w:type="dxa"/>
            <w:tcBorders>
              <w:top w:val="single" w:sz="4" w:space="0" w:color="000000"/>
            </w:tcBorders>
            <w:vAlign w:val="bottom"/>
          </w:tcPr>
          <w:p w14:paraId="42A2E2C8"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LNRGNI(</w:t>
            </w:r>
            <w:proofErr w:type="gramEnd"/>
            <w:r>
              <w:rPr>
                <w:rFonts w:ascii="Arial" w:eastAsia="Arial" w:hAnsi="Arial" w:cs="Arial"/>
                <w:color w:val="000000"/>
                <w:sz w:val="20"/>
                <w:szCs w:val="20"/>
              </w:rPr>
              <w:t>-1))</w:t>
            </w:r>
          </w:p>
        </w:tc>
        <w:tc>
          <w:tcPr>
            <w:tcW w:w="1518" w:type="dxa"/>
            <w:tcBorders>
              <w:top w:val="single" w:sz="4" w:space="0" w:color="000000"/>
            </w:tcBorders>
            <w:vAlign w:val="bottom"/>
          </w:tcPr>
          <w:p w14:paraId="7DE2EA65"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0.030324</w:t>
            </w:r>
          </w:p>
        </w:tc>
        <w:tc>
          <w:tcPr>
            <w:tcW w:w="1620" w:type="dxa"/>
            <w:tcBorders>
              <w:top w:val="single" w:sz="4" w:space="0" w:color="000000"/>
            </w:tcBorders>
            <w:vAlign w:val="bottom"/>
          </w:tcPr>
          <w:p w14:paraId="0547196F"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0.127409</w:t>
            </w:r>
          </w:p>
        </w:tc>
        <w:tc>
          <w:tcPr>
            <w:tcW w:w="1800" w:type="dxa"/>
            <w:tcBorders>
              <w:top w:val="single" w:sz="4" w:space="0" w:color="000000"/>
            </w:tcBorders>
            <w:vAlign w:val="bottom"/>
          </w:tcPr>
          <w:p w14:paraId="13A76ACE"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0.238002</w:t>
            </w:r>
          </w:p>
        </w:tc>
        <w:tc>
          <w:tcPr>
            <w:tcW w:w="1800" w:type="dxa"/>
            <w:tcBorders>
              <w:top w:val="single" w:sz="4" w:space="0" w:color="000000"/>
            </w:tcBorders>
            <w:vAlign w:val="bottom"/>
          </w:tcPr>
          <w:p w14:paraId="18B90C26"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0.8179</w:t>
            </w:r>
          </w:p>
        </w:tc>
      </w:tr>
      <w:tr w:rsidR="002456FC" w14:paraId="02DECE86" w14:textId="77777777">
        <w:trPr>
          <w:trHeight w:val="225"/>
        </w:trPr>
        <w:tc>
          <w:tcPr>
            <w:tcW w:w="2227" w:type="dxa"/>
            <w:vAlign w:val="bottom"/>
          </w:tcPr>
          <w:p w14:paraId="26D9799B"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LNRGNI(</w:t>
            </w:r>
            <w:proofErr w:type="gramEnd"/>
            <w:r>
              <w:rPr>
                <w:rFonts w:ascii="Arial" w:eastAsia="Arial" w:hAnsi="Arial" w:cs="Arial"/>
                <w:color w:val="000000"/>
                <w:sz w:val="20"/>
                <w:szCs w:val="20"/>
              </w:rPr>
              <w:t>-2))</w:t>
            </w:r>
          </w:p>
        </w:tc>
        <w:tc>
          <w:tcPr>
            <w:tcW w:w="1518" w:type="dxa"/>
            <w:vAlign w:val="bottom"/>
          </w:tcPr>
          <w:p w14:paraId="001AFB11"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-0.731336</w:t>
            </w:r>
          </w:p>
        </w:tc>
        <w:tc>
          <w:tcPr>
            <w:tcW w:w="1620" w:type="dxa"/>
            <w:vAlign w:val="bottom"/>
          </w:tcPr>
          <w:p w14:paraId="261E60CB"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0.197922</w:t>
            </w:r>
          </w:p>
        </w:tc>
        <w:tc>
          <w:tcPr>
            <w:tcW w:w="1800" w:type="dxa"/>
            <w:vAlign w:val="bottom"/>
          </w:tcPr>
          <w:p w14:paraId="76740643"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-3.695064</w:t>
            </w:r>
          </w:p>
        </w:tc>
        <w:tc>
          <w:tcPr>
            <w:tcW w:w="1800" w:type="dxa"/>
            <w:vAlign w:val="bottom"/>
          </w:tcPr>
          <w:p w14:paraId="5C21419B"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0.0061</w:t>
            </w:r>
          </w:p>
        </w:tc>
      </w:tr>
      <w:tr w:rsidR="002456FC" w14:paraId="20899FC2" w14:textId="77777777">
        <w:trPr>
          <w:trHeight w:val="225"/>
        </w:trPr>
        <w:tc>
          <w:tcPr>
            <w:tcW w:w="2227" w:type="dxa"/>
            <w:vAlign w:val="bottom"/>
          </w:tcPr>
          <w:p w14:paraId="38A59DC8"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LNRGNI(</w:t>
            </w:r>
            <w:proofErr w:type="gramEnd"/>
            <w:r>
              <w:rPr>
                <w:rFonts w:ascii="Arial" w:eastAsia="Arial" w:hAnsi="Arial" w:cs="Arial"/>
                <w:color w:val="000000"/>
                <w:sz w:val="20"/>
                <w:szCs w:val="20"/>
              </w:rPr>
              <w:t>-3))</w:t>
            </w:r>
          </w:p>
        </w:tc>
        <w:tc>
          <w:tcPr>
            <w:tcW w:w="1518" w:type="dxa"/>
            <w:vAlign w:val="bottom"/>
          </w:tcPr>
          <w:p w14:paraId="44A2D6DA"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-0.622635</w:t>
            </w:r>
          </w:p>
        </w:tc>
        <w:tc>
          <w:tcPr>
            <w:tcW w:w="1620" w:type="dxa"/>
            <w:vAlign w:val="bottom"/>
          </w:tcPr>
          <w:p w14:paraId="361947D5"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0.192285</w:t>
            </w:r>
          </w:p>
        </w:tc>
        <w:tc>
          <w:tcPr>
            <w:tcW w:w="1800" w:type="dxa"/>
            <w:vAlign w:val="bottom"/>
          </w:tcPr>
          <w:p w14:paraId="02E579AB"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-3.238088</w:t>
            </w:r>
          </w:p>
        </w:tc>
        <w:tc>
          <w:tcPr>
            <w:tcW w:w="1800" w:type="dxa"/>
            <w:vAlign w:val="bottom"/>
          </w:tcPr>
          <w:p w14:paraId="38794CF2"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0.0119</w:t>
            </w:r>
          </w:p>
        </w:tc>
      </w:tr>
      <w:tr w:rsidR="002456FC" w14:paraId="0AFCA2A6" w14:textId="77777777">
        <w:trPr>
          <w:trHeight w:val="225"/>
        </w:trPr>
        <w:tc>
          <w:tcPr>
            <w:tcW w:w="2227" w:type="dxa"/>
            <w:vAlign w:val="bottom"/>
          </w:tcPr>
          <w:p w14:paraId="5AC296AA"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LNRGNI(</w:t>
            </w:r>
            <w:proofErr w:type="gramEnd"/>
            <w:r>
              <w:rPr>
                <w:rFonts w:ascii="Arial" w:eastAsia="Arial" w:hAnsi="Arial" w:cs="Arial"/>
                <w:color w:val="000000"/>
                <w:sz w:val="20"/>
                <w:szCs w:val="20"/>
              </w:rPr>
              <w:t>-4))</w:t>
            </w:r>
          </w:p>
        </w:tc>
        <w:tc>
          <w:tcPr>
            <w:tcW w:w="1518" w:type="dxa"/>
            <w:vAlign w:val="bottom"/>
          </w:tcPr>
          <w:p w14:paraId="761AD2A5"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-1.833644</w:t>
            </w:r>
          </w:p>
        </w:tc>
        <w:tc>
          <w:tcPr>
            <w:tcW w:w="1620" w:type="dxa"/>
            <w:vAlign w:val="bottom"/>
          </w:tcPr>
          <w:p w14:paraId="7E0FEA71"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0.233295</w:t>
            </w:r>
          </w:p>
        </w:tc>
        <w:tc>
          <w:tcPr>
            <w:tcW w:w="1800" w:type="dxa"/>
            <w:vAlign w:val="bottom"/>
          </w:tcPr>
          <w:p w14:paraId="43A1DD79"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-7.859760</w:t>
            </w:r>
          </w:p>
        </w:tc>
        <w:tc>
          <w:tcPr>
            <w:tcW w:w="1800" w:type="dxa"/>
            <w:vAlign w:val="bottom"/>
          </w:tcPr>
          <w:p w14:paraId="33BA3E81"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0.0000</w:t>
            </w:r>
          </w:p>
        </w:tc>
      </w:tr>
      <w:tr w:rsidR="002456FC" w14:paraId="044E089A" w14:textId="77777777">
        <w:trPr>
          <w:trHeight w:val="225"/>
        </w:trPr>
        <w:tc>
          <w:tcPr>
            <w:tcW w:w="2227" w:type="dxa"/>
            <w:vAlign w:val="bottom"/>
          </w:tcPr>
          <w:p w14:paraId="18F86E3C"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D(LNMANP)</w:t>
            </w:r>
          </w:p>
        </w:tc>
        <w:tc>
          <w:tcPr>
            <w:tcW w:w="1518" w:type="dxa"/>
            <w:vAlign w:val="bottom"/>
          </w:tcPr>
          <w:p w14:paraId="0DA9A28E"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-0.314207</w:t>
            </w:r>
          </w:p>
        </w:tc>
        <w:tc>
          <w:tcPr>
            <w:tcW w:w="1620" w:type="dxa"/>
            <w:vAlign w:val="bottom"/>
          </w:tcPr>
          <w:p w14:paraId="3FCDE240"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0.090375</w:t>
            </w:r>
          </w:p>
        </w:tc>
        <w:tc>
          <w:tcPr>
            <w:tcW w:w="1800" w:type="dxa"/>
            <w:vAlign w:val="bottom"/>
          </w:tcPr>
          <w:p w14:paraId="586D81B9"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-3.476690</w:t>
            </w:r>
          </w:p>
        </w:tc>
        <w:tc>
          <w:tcPr>
            <w:tcW w:w="1800" w:type="dxa"/>
            <w:vAlign w:val="bottom"/>
          </w:tcPr>
          <w:p w14:paraId="7C167331"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0.0084</w:t>
            </w:r>
          </w:p>
        </w:tc>
      </w:tr>
      <w:tr w:rsidR="002456FC" w14:paraId="36ED7129" w14:textId="77777777">
        <w:trPr>
          <w:trHeight w:val="225"/>
        </w:trPr>
        <w:tc>
          <w:tcPr>
            <w:tcW w:w="2227" w:type="dxa"/>
            <w:vAlign w:val="bottom"/>
          </w:tcPr>
          <w:p w14:paraId="40ACC1B4"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LNMANP(</w:t>
            </w:r>
            <w:proofErr w:type="gramEnd"/>
            <w:r>
              <w:rPr>
                <w:rFonts w:ascii="Arial" w:eastAsia="Arial" w:hAnsi="Arial" w:cs="Arial"/>
                <w:color w:val="000000"/>
                <w:sz w:val="20"/>
                <w:szCs w:val="20"/>
              </w:rPr>
              <w:t>-1))</w:t>
            </w:r>
          </w:p>
        </w:tc>
        <w:tc>
          <w:tcPr>
            <w:tcW w:w="1518" w:type="dxa"/>
            <w:vAlign w:val="bottom"/>
          </w:tcPr>
          <w:p w14:paraId="3E8FF45A"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0.590106</w:t>
            </w:r>
          </w:p>
        </w:tc>
        <w:tc>
          <w:tcPr>
            <w:tcW w:w="1620" w:type="dxa"/>
            <w:vAlign w:val="bottom"/>
          </w:tcPr>
          <w:p w14:paraId="339DF1FE"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0.106386</w:t>
            </w:r>
          </w:p>
        </w:tc>
        <w:tc>
          <w:tcPr>
            <w:tcW w:w="1800" w:type="dxa"/>
            <w:vAlign w:val="bottom"/>
          </w:tcPr>
          <w:p w14:paraId="4D597A2F"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5.546850</w:t>
            </w:r>
          </w:p>
        </w:tc>
        <w:tc>
          <w:tcPr>
            <w:tcW w:w="1800" w:type="dxa"/>
            <w:vAlign w:val="bottom"/>
          </w:tcPr>
          <w:p w14:paraId="7CB13FE7"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0.0005</w:t>
            </w:r>
          </w:p>
        </w:tc>
      </w:tr>
      <w:tr w:rsidR="002456FC" w14:paraId="61DAC2F2" w14:textId="77777777">
        <w:trPr>
          <w:trHeight w:val="225"/>
        </w:trPr>
        <w:tc>
          <w:tcPr>
            <w:tcW w:w="2227" w:type="dxa"/>
            <w:vAlign w:val="bottom"/>
          </w:tcPr>
          <w:p w14:paraId="4E1B0FA1"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LNMANP(</w:t>
            </w:r>
            <w:proofErr w:type="gramEnd"/>
            <w:r>
              <w:rPr>
                <w:rFonts w:ascii="Arial" w:eastAsia="Arial" w:hAnsi="Arial" w:cs="Arial"/>
                <w:color w:val="000000"/>
                <w:sz w:val="20"/>
                <w:szCs w:val="20"/>
              </w:rPr>
              <w:t>-2))</w:t>
            </w:r>
          </w:p>
        </w:tc>
        <w:tc>
          <w:tcPr>
            <w:tcW w:w="1518" w:type="dxa"/>
            <w:vAlign w:val="bottom"/>
          </w:tcPr>
          <w:p w14:paraId="7F33763E"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0.649324</w:t>
            </w:r>
          </w:p>
        </w:tc>
        <w:tc>
          <w:tcPr>
            <w:tcW w:w="1620" w:type="dxa"/>
            <w:vAlign w:val="bottom"/>
          </w:tcPr>
          <w:p w14:paraId="744C11CB"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0.112049</w:t>
            </w:r>
          </w:p>
        </w:tc>
        <w:tc>
          <w:tcPr>
            <w:tcW w:w="1800" w:type="dxa"/>
            <w:vAlign w:val="bottom"/>
          </w:tcPr>
          <w:p w14:paraId="2553A0E5"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5.794972</w:t>
            </w:r>
          </w:p>
        </w:tc>
        <w:tc>
          <w:tcPr>
            <w:tcW w:w="1800" w:type="dxa"/>
            <w:vAlign w:val="bottom"/>
          </w:tcPr>
          <w:p w14:paraId="14502652"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0.0004</w:t>
            </w:r>
          </w:p>
        </w:tc>
      </w:tr>
      <w:tr w:rsidR="002456FC" w14:paraId="6BACD0BD" w14:textId="77777777">
        <w:trPr>
          <w:trHeight w:val="225"/>
        </w:trPr>
        <w:tc>
          <w:tcPr>
            <w:tcW w:w="2227" w:type="dxa"/>
            <w:vAlign w:val="bottom"/>
          </w:tcPr>
          <w:p w14:paraId="2075AFBB"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LNMANP(</w:t>
            </w:r>
            <w:proofErr w:type="gramEnd"/>
            <w:r>
              <w:rPr>
                <w:rFonts w:ascii="Arial" w:eastAsia="Arial" w:hAnsi="Arial" w:cs="Arial"/>
                <w:color w:val="000000"/>
                <w:sz w:val="20"/>
                <w:szCs w:val="20"/>
              </w:rPr>
              <w:t>-3))</w:t>
            </w:r>
          </w:p>
        </w:tc>
        <w:tc>
          <w:tcPr>
            <w:tcW w:w="1518" w:type="dxa"/>
            <w:vAlign w:val="bottom"/>
          </w:tcPr>
          <w:p w14:paraId="5DE36F66"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0.316709</w:t>
            </w:r>
          </w:p>
        </w:tc>
        <w:tc>
          <w:tcPr>
            <w:tcW w:w="1620" w:type="dxa"/>
            <w:vAlign w:val="bottom"/>
          </w:tcPr>
          <w:p w14:paraId="79358D6B"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0.081017</w:t>
            </w:r>
          </w:p>
        </w:tc>
        <w:tc>
          <w:tcPr>
            <w:tcW w:w="1800" w:type="dxa"/>
            <w:vAlign w:val="bottom"/>
          </w:tcPr>
          <w:p w14:paraId="167F3B42"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3.909185</w:t>
            </w:r>
          </w:p>
        </w:tc>
        <w:tc>
          <w:tcPr>
            <w:tcW w:w="1800" w:type="dxa"/>
            <w:vAlign w:val="bottom"/>
          </w:tcPr>
          <w:p w14:paraId="2A111058"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0.0045</w:t>
            </w:r>
          </w:p>
        </w:tc>
      </w:tr>
      <w:tr w:rsidR="002456FC" w14:paraId="17098225" w14:textId="77777777">
        <w:trPr>
          <w:trHeight w:val="225"/>
        </w:trPr>
        <w:tc>
          <w:tcPr>
            <w:tcW w:w="2227" w:type="dxa"/>
            <w:vAlign w:val="bottom"/>
          </w:tcPr>
          <w:p w14:paraId="5FD0DB85"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LNMANP(</w:t>
            </w:r>
            <w:proofErr w:type="gramEnd"/>
            <w:r>
              <w:rPr>
                <w:rFonts w:ascii="Arial" w:eastAsia="Arial" w:hAnsi="Arial" w:cs="Arial"/>
                <w:color w:val="000000"/>
                <w:sz w:val="20"/>
                <w:szCs w:val="20"/>
              </w:rPr>
              <w:t>-4))</w:t>
            </w:r>
          </w:p>
        </w:tc>
        <w:tc>
          <w:tcPr>
            <w:tcW w:w="1518" w:type="dxa"/>
            <w:vAlign w:val="bottom"/>
          </w:tcPr>
          <w:p w14:paraId="6A8256B4"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0.242894</w:t>
            </w:r>
          </w:p>
        </w:tc>
        <w:tc>
          <w:tcPr>
            <w:tcW w:w="1620" w:type="dxa"/>
            <w:vAlign w:val="bottom"/>
          </w:tcPr>
          <w:p w14:paraId="25452BFB"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0.083234</w:t>
            </w:r>
          </w:p>
        </w:tc>
        <w:tc>
          <w:tcPr>
            <w:tcW w:w="1800" w:type="dxa"/>
            <w:vAlign w:val="bottom"/>
          </w:tcPr>
          <w:p w14:paraId="69B507EF"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2.918216</w:t>
            </w:r>
          </w:p>
        </w:tc>
        <w:tc>
          <w:tcPr>
            <w:tcW w:w="1800" w:type="dxa"/>
            <w:vAlign w:val="bottom"/>
          </w:tcPr>
          <w:p w14:paraId="60FE4E2A"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0.0193</w:t>
            </w:r>
          </w:p>
        </w:tc>
      </w:tr>
      <w:tr w:rsidR="002456FC" w14:paraId="315FEC35" w14:textId="77777777">
        <w:trPr>
          <w:trHeight w:val="225"/>
        </w:trPr>
        <w:tc>
          <w:tcPr>
            <w:tcW w:w="2227" w:type="dxa"/>
            <w:vAlign w:val="bottom"/>
          </w:tcPr>
          <w:p w14:paraId="62D27398"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D(LNSERP)</w:t>
            </w:r>
          </w:p>
        </w:tc>
        <w:tc>
          <w:tcPr>
            <w:tcW w:w="1518" w:type="dxa"/>
            <w:vAlign w:val="bottom"/>
          </w:tcPr>
          <w:p w14:paraId="3EA98A3A"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-0.413867</w:t>
            </w:r>
          </w:p>
        </w:tc>
        <w:tc>
          <w:tcPr>
            <w:tcW w:w="1620" w:type="dxa"/>
            <w:vAlign w:val="bottom"/>
          </w:tcPr>
          <w:p w14:paraId="09289E27"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0.147561</w:t>
            </w:r>
          </w:p>
        </w:tc>
        <w:tc>
          <w:tcPr>
            <w:tcW w:w="1800" w:type="dxa"/>
            <w:vAlign w:val="bottom"/>
          </w:tcPr>
          <w:p w14:paraId="7647F1CA"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-2.804714</w:t>
            </w:r>
          </w:p>
        </w:tc>
        <w:tc>
          <w:tcPr>
            <w:tcW w:w="1800" w:type="dxa"/>
            <w:vAlign w:val="bottom"/>
          </w:tcPr>
          <w:p w14:paraId="4113D85B"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0.0230</w:t>
            </w:r>
          </w:p>
        </w:tc>
      </w:tr>
      <w:tr w:rsidR="002456FC" w14:paraId="3343C0CA" w14:textId="77777777">
        <w:trPr>
          <w:trHeight w:val="225"/>
        </w:trPr>
        <w:tc>
          <w:tcPr>
            <w:tcW w:w="2227" w:type="dxa"/>
            <w:vAlign w:val="bottom"/>
          </w:tcPr>
          <w:p w14:paraId="47F57C3A"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LNSERP(</w:t>
            </w:r>
            <w:proofErr w:type="gramEnd"/>
            <w:r>
              <w:rPr>
                <w:rFonts w:ascii="Arial" w:eastAsia="Arial" w:hAnsi="Arial" w:cs="Arial"/>
                <w:color w:val="000000"/>
                <w:sz w:val="20"/>
                <w:szCs w:val="20"/>
              </w:rPr>
              <w:t>-1))</w:t>
            </w:r>
          </w:p>
        </w:tc>
        <w:tc>
          <w:tcPr>
            <w:tcW w:w="1518" w:type="dxa"/>
            <w:vAlign w:val="bottom"/>
          </w:tcPr>
          <w:p w14:paraId="2FABA825"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0.450925</w:t>
            </w:r>
          </w:p>
        </w:tc>
        <w:tc>
          <w:tcPr>
            <w:tcW w:w="1620" w:type="dxa"/>
            <w:vAlign w:val="bottom"/>
          </w:tcPr>
          <w:p w14:paraId="675E5C92"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0.208901</w:t>
            </w:r>
          </w:p>
        </w:tc>
        <w:tc>
          <w:tcPr>
            <w:tcW w:w="1800" w:type="dxa"/>
            <w:vAlign w:val="bottom"/>
          </w:tcPr>
          <w:p w14:paraId="2A1231AB"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2.158561</w:t>
            </w:r>
          </w:p>
        </w:tc>
        <w:tc>
          <w:tcPr>
            <w:tcW w:w="1800" w:type="dxa"/>
            <w:vAlign w:val="bottom"/>
          </w:tcPr>
          <w:p w14:paraId="170844CA"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0.0629</w:t>
            </w:r>
          </w:p>
        </w:tc>
      </w:tr>
      <w:tr w:rsidR="002456FC" w14:paraId="2BC032B0" w14:textId="77777777">
        <w:trPr>
          <w:trHeight w:val="225"/>
        </w:trPr>
        <w:tc>
          <w:tcPr>
            <w:tcW w:w="2227" w:type="dxa"/>
            <w:vAlign w:val="bottom"/>
          </w:tcPr>
          <w:p w14:paraId="4947E331"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LNSERP(</w:t>
            </w:r>
            <w:proofErr w:type="gramEnd"/>
            <w:r>
              <w:rPr>
                <w:rFonts w:ascii="Arial" w:eastAsia="Arial" w:hAnsi="Arial" w:cs="Arial"/>
                <w:color w:val="000000"/>
                <w:sz w:val="20"/>
                <w:szCs w:val="20"/>
              </w:rPr>
              <w:t>-2))</w:t>
            </w:r>
          </w:p>
        </w:tc>
        <w:tc>
          <w:tcPr>
            <w:tcW w:w="1518" w:type="dxa"/>
            <w:vAlign w:val="bottom"/>
          </w:tcPr>
          <w:p w14:paraId="65E3B886"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1.437941</w:t>
            </w:r>
          </w:p>
        </w:tc>
        <w:tc>
          <w:tcPr>
            <w:tcW w:w="1620" w:type="dxa"/>
            <w:vAlign w:val="bottom"/>
          </w:tcPr>
          <w:p w14:paraId="6C2AD1D5"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0.222608</w:t>
            </w:r>
          </w:p>
        </w:tc>
        <w:tc>
          <w:tcPr>
            <w:tcW w:w="1800" w:type="dxa"/>
            <w:vAlign w:val="bottom"/>
          </w:tcPr>
          <w:p w14:paraId="41C0BA76"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6.459512</w:t>
            </w:r>
          </w:p>
        </w:tc>
        <w:tc>
          <w:tcPr>
            <w:tcW w:w="1800" w:type="dxa"/>
            <w:vAlign w:val="bottom"/>
          </w:tcPr>
          <w:p w14:paraId="19BE11DE"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0.0002</w:t>
            </w:r>
          </w:p>
        </w:tc>
      </w:tr>
      <w:tr w:rsidR="002456FC" w14:paraId="5F0C8453" w14:textId="77777777">
        <w:trPr>
          <w:trHeight w:val="225"/>
        </w:trPr>
        <w:tc>
          <w:tcPr>
            <w:tcW w:w="2227" w:type="dxa"/>
            <w:vAlign w:val="bottom"/>
          </w:tcPr>
          <w:p w14:paraId="076556E5"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LNSERP(</w:t>
            </w:r>
            <w:proofErr w:type="gramEnd"/>
            <w:r>
              <w:rPr>
                <w:rFonts w:ascii="Arial" w:eastAsia="Arial" w:hAnsi="Arial" w:cs="Arial"/>
                <w:color w:val="000000"/>
                <w:sz w:val="20"/>
                <w:szCs w:val="20"/>
              </w:rPr>
              <w:t>-3))</w:t>
            </w:r>
          </w:p>
        </w:tc>
        <w:tc>
          <w:tcPr>
            <w:tcW w:w="1518" w:type="dxa"/>
            <w:vAlign w:val="bottom"/>
          </w:tcPr>
          <w:p w14:paraId="55C33135"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1.863738</w:t>
            </w:r>
          </w:p>
        </w:tc>
        <w:tc>
          <w:tcPr>
            <w:tcW w:w="1620" w:type="dxa"/>
            <w:vAlign w:val="bottom"/>
          </w:tcPr>
          <w:p w14:paraId="3C43A9ED"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0.213432</w:t>
            </w:r>
          </w:p>
        </w:tc>
        <w:tc>
          <w:tcPr>
            <w:tcW w:w="1800" w:type="dxa"/>
            <w:vAlign w:val="bottom"/>
          </w:tcPr>
          <w:p w14:paraId="0ADAC39D"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8.732215</w:t>
            </w:r>
          </w:p>
        </w:tc>
        <w:tc>
          <w:tcPr>
            <w:tcW w:w="1800" w:type="dxa"/>
            <w:vAlign w:val="bottom"/>
          </w:tcPr>
          <w:p w14:paraId="058F21B3"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0.0000</w:t>
            </w:r>
          </w:p>
        </w:tc>
      </w:tr>
      <w:tr w:rsidR="002456FC" w14:paraId="06CDF18C" w14:textId="77777777">
        <w:trPr>
          <w:trHeight w:val="225"/>
        </w:trPr>
        <w:tc>
          <w:tcPr>
            <w:tcW w:w="2227" w:type="dxa"/>
            <w:vAlign w:val="bottom"/>
          </w:tcPr>
          <w:p w14:paraId="7E3D5C1C"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D(LNAGRP)</w:t>
            </w:r>
          </w:p>
        </w:tc>
        <w:tc>
          <w:tcPr>
            <w:tcW w:w="1518" w:type="dxa"/>
            <w:vAlign w:val="bottom"/>
          </w:tcPr>
          <w:p w14:paraId="130396F6"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0.053718</w:t>
            </w:r>
          </w:p>
        </w:tc>
        <w:tc>
          <w:tcPr>
            <w:tcW w:w="1620" w:type="dxa"/>
            <w:vAlign w:val="bottom"/>
          </w:tcPr>
          <w:p w14:paraId="0BC3075B"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0.097767</w:t>
            </w:r>
          </w:p>
        </w:tc>
        <w:tc>
          <w:tcPr>
            <w:tcW w:w="1800" w:type="dxa"/>
            <w:vAlign w:val="bottom"/>
          </w:tcPr>
          <w:p w14:paraId="53FDD313"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0.549445</w:t>
            </w:r>
          </w:p>
        </w:tc>
        <w:tc>
          <w:tcPr>
            <w:tcW w:w="1800" w:type="dxa"/>
            <w:vAlign w:val="bottom"/>
          </w:tcPr>
          <w:p w14:paraId="4B974F67"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0.5977</w:t>
            </w:r>
          </w:p>
        </w:tc>
      </w:tr>
      <w:tr w:rsidR="002456FC" w14:paraId="1898F49B" w14:textId="77777777">
        <w:trPr>
          <w:trHeight w:val="225"/>
        </w:trPr>
        <w:tc>
          <w:tcPr>
            <w:tcW w:w="2227" w:type="dxa"/>
            <w:vAlign w:val="bottom"/>
          </w:tcPr>
          <w:p w14:paraId="25B83425"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LNAGRP(</w:t>
            </w:r>
            <w:proofErr w:type="gramEnd"/>
            <w:r>
              <w:rPr>
                <w:rFonts w:ascii="Arial" w:eastAsia="Arial" w:hAnsi="Arial" w:cs="Arial"/>
                <w:color w:val="000000"/>
                <w:sz w:val="20"/>
                <w:szCs w:val="20"/>
              </w:rPr>
              <w:t>-1))</w:t>
            </w:r>
          </w:p>
        </w:tc>
        <w:tc>
          <w:tcPr>
            <w:tcW w:w="1518" w:type="dxa"/>
            <w:vAlign w:val="bottom"/>
          </w:tcPr>
          <w:p w14:paraId="26B53055"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1.024694</w:t>
            </w:r>
          </w:p>
        </w:tc>
        <w:tc>
          <w:tcPr>
            <w:tcW w:w="1620" w:type="dxa"/>
            <w:vAlign w:val="bottom"/>
          </w:tcPr>
          <w:p w14:paraId="100BEBE6"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0.187123</w:t>
            </w:r>
          </w:p>
        </w:tc>
        <w:tc>
          <w:tcPr>
            <w:tcW w:w="1800" w:type="dxa"/>
            <w:vAlign w:val="bottom"/>
          </w:tcPr>
          <w:p w14:paraId="346580D1"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5.476043</w:t>
            </w:r>
          </w:p>
        </w:tc>
        <w:tc>
          <w:tcPr>
            <w:tcW w:w="1800" w:type="dxa"/>
            <w:vAlign w:val="bottom"/>
          </w:tcPr>
          <w:p w14:paraId="350B967C"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0.0006</w:t>
            </w:r>
          </w:p>
        </w:tc>
      </w:tr>
      <w:tr w:rsidR="002456FC" w14:paraId="4E82F5C9" w14:textId="77777777">
        <w:trPr>
          <w:trHeight w:val="225"/>
        </w:trPr>
        <w:tc>
          <w:tcPr>
            <w:tcW w:w="2227" w:type="dxa"/>
            <w:vAlign w:val="bottom"/>
          </w:tcPr>
          <w:p w14:paraId="3EECA4D1"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LNAGRP(</w:t>
            </w:r>
            <w:proofErr w:type="gramEnd"/>
            <w:r>
              <w:rPr>
                <w:rFonts w:ascii="Arial" w:eastAsia="Arial" w:hAnsi="Arial" w:cs="Arial"/>
                <w:color w:val="000000"/>
                <w:sz w:val="20"/>
                <w:szCs w:val="20"/>
              </w:rPr>
              <w:t>-2))</w:t>
            </w:r>
          </w:p>
        </w:tc>
        <w:tc>
          <w:tcPr>
            <w:tcW w:w="1518" w:type="dxa"/>
            <w:vAlign w:val="bottom"/>
          </w:tcPr>
          <w:p w14:paraId="177BBCD8"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1.670967</w:t>
            </w:r>
          </w:p>
        </w:tc>
        <w:tc>
          <w:tcPr>
            <w:tcW w:w="1620" w:type="dxa"/>
            <w:vAlign w:val="bottom"/>
          </w:tcPr>
          <w:p w14:paraId="010878EC"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0.223309</w:t>
            </w:r>
          </w:p>
        </w:tc>
        <w:tc>
          <w:tcPr>
            <w:tcW w:w="1800" w:type="dxa"/>
            <w:vAlign w:val="bottom"/>
          </w:tcPr>
          <w:p w14:paraId="3D13B007"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7.482762</w:t>
            </w:r>
          </w:p>
        </w:tc>
        <w:tc>
          <w:tcPr>
            <w:tcW w:w="1800" w:type="dxa"/>
            <w:vAlign w:val="bottom"/>
          </w:tcPr>
          <w:p w14:paraId="3754E286"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0.0001</w:t>
            </w:r>
          </w:p>
        </w:tc>
      </w:tr>
      <w:tr w:rsidR="002456FC" w14:paraId="60ED1A66" w14:textId="77777777">
        <w:trPr>
          <w:trHeight w:val="225"/>
        </w:trPr>
        <w:tc>
          <w:tcPr>
            <w:tcW w:w="2227" w:type="dxa"/>
            <w:vAlign w:val="bottom"/>
          </w:tcPr>
          <w:p w14:paraId="111C0853"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LNAGRP(</w:t>
            </w:r>
            <w:proofErr w:type="gramEnd"/>
            <w:r>
              <w:rPr>
                <w:rFonts w:ascii="Arial" w:eastAsia="Arial" w:hAnsi="Arial" w:cs="Arial"/>
                <w:color w:val="000000"/>
                <w:sz w:val="20"/>
                <w:szCs w:val="20"/>
              </w:rPr>
              <w:t>-3))</w:t>
            </w:r>
          </w:p>
        </w:tc>
        <w:tc>
          <w:tcPr>
            <w:tcW w:w="1518" w:type="dxa"/>
            <w:vAlign w:val="bottom"/>
          </w:tcPr>
          <w:p w14:paraId="7B7805A1"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0.494423</w:t>
            </w:r>
          </w:p>
        </w:tc>
        <w:tc>
          <w:tcPr>
            <w:tcW w:w="1620" w:type="dxa"/>
            <w:vAlign w:val="bottom"/>
          </w:tcPr>
          <w:p w14:paraId="467CFB82"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0.108492</w:t>
            </w:r>
          </w:p>
        </w:tc>
        <w:tc>
          <w:tcPr>
            <w:tcW w:w="1800" w:type="dxa"/>
            <w:vAlign w:val="bottom"/>
          </w:tcPr>
          <w:p w14:paraId="43C9742E"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4.557216</w:t>
            </w:r>
          </w:p>
        </w:tc>
        <w:tc>
          <w:tcPr>
            <w:tcW w:w="1800" w:type="dxa"/>
            <w:vAlign w:val="bottom"/>
          </w:tcPr>
          <w:p w14:paraId="227AED44"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0.0019</w:t>
            </w:r>
          </w:p>
        </w:tc>
      </w:tr>
      <w:tr w:rsidR="002456FC" w14:paraId="21A0DA69" w14:textId="77777777">
        <w:trPr>
          <w:trHeight w:val="225"/>
        </w:trPr>
        <w:tc>
          <w:tcPr>
            <w:tcW w:w="2227" w:type="dxa"/>
            <w:vAlign w:val="bottom"/>
          </w:tcPr>
          <w:p w14:paraId="031AACF3"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LNAGRP(</w:t>
            </w:r>
            <w:proofErr w:type="gramEnd"/>
            <w:r>
              <w:rPr>
                <w:rFonts w:ascii="Arial" w:eastAsia="Arial" w:hAnsi="Arial" w:cs="Arial"/>
                <w:color w:val="000000"/>
                <w:sz w:val="20"/>
                <w:szCs w:val="20"/>
              </w:rPr>
              <w:t>-4))</w:t>
            </w:r>
          </w:p>
        </w:tc>
        <w:tc>
          <w:tcPr>
            <w:tcW w:w="1518" w:type="dxa"/>
            <w:vAlign w:val="bottom"/>
          </w:tcPr>
          <w:p w14:paraId="31699D5A"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-0.304141</w:t>
            </w:r>
          </w:p>
        </w:tc>
        <w:tc>
          <w:tcPr>
            <w:tcW w:w="1620" w:type="dxa"/>
            <w:vAlign w:val="bottom"/>
          </w:tcPr>
          <w:p w14:paraId="3BC64C95"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0.096750</w:t>
            </w:r>
          </w:p>
        </w:tc>
        <w:tc>
          <w:tcPr>
            <w:tcW w:w="1800" w:type="dxa"/>
            <w:vAlign w:val="bottom"/>
          </w:tcPr>
          <w:p w14:paraId="4174B42A"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-3.143564</w:t>
            </w:r>
          </w:p>
        </w:tc>
        <w:tc>
          <w:tcPr>
            <w:tcW w:w="1800" w:type="dxa"/>
            <w:vAlign w:val="bottom"/>
          </w:tcPr>
          <w:p w14:paraId="35308667"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0.0137</w:t>
            </w:r>
          </w:p>
        </w:tc>
      </w:tr>
      <w:tr w:rsidR="002456FC" w14:paraId="32ADB965" w14:textId="77777777">
        <w:trPr>
          <w:trHeight w:val="225"/>
        </w:trPr>
        <w:tc>
          <w:tcPr>
            <w:tcW w:w="2227" w:type="dxa"/>
            <w:vAlign w:val="bottom"/>
          </w:tcPr>
          <w:p w14:paraId="32E7C271"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D(LNGCF)</w:t>
            </w:r>
          </w:p>
        </w:tc>
        <w:tc>
          <w:tcPr>
            <w:tcW w:w="1518" w:type="dxa"/>
            <w:vAlign w:val="bottom"/>
          </w:tcPr>
          <w:p w14:paraId="001B29CB"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-0.015758</w:t>
            </w:r>
          </w:p>
        </w:tc>
        <w:tc>
          <w:tcPr>
            <w:tcW w:w="1620" w:type="dxa"/>
            <w:vAlign w:val="bottom"/>
          </w:tcPr>
          <w:p w14:paraId="2D1F01D3"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0.035114</w:t>
            </w:r>
          </w:p>
        </w:tc>
        <w:tc>
          <w:tcPr>
            <w:tcW w:w="1800" w:type="dxa"/>
            <w:vAlign w:val="bottom"/>
          </w:tcPr>
          <w:p w14:paraId="1995D485"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-0.448762</w:t>
            </w:r>
          </w:p>
        </w:tc>
        <w:tc>
          <w:tcPr>
            <w:tcW w:w="1800" w:type="dxa"/>
            <w:vAlign w:val="bottom"/>
          </w:tcPr>
          <w:p w14:paraId="2406C484"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0.6655</w:t>
            </w:r>
          </w:p>
        </w:tc>
      </w:tr>
      <w:tr w:rsidR="002456FC" w14:paraId="7B405E87" w14:textId="77777777">
        <w:trPr>
          <w:trHeight w:val="225"/>
        </w:trPr>
        <w:tc>
          <w:tcPr>
            <w:tcW w:w="2227" w:type="dxa"/>
            <w:vAlign w:val="bottom"/>
          </w:tcPr>
          <w:p w14:paraId="4DAE2F6F"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LNGCF(</w:t>
            </w:r>
            <w:proofErr w:type="gramEnd"/>
            <w:r>
              <w:rPr>
                <w:rFonts w:ascii="Arial" w:eastAsia="Arial" w:hAnsi="Arial" w:cs="Arial"/>
                <w:color w:val="000000"/>
                <w:sz w:val="20"/>
                <w:szCs w:val="20"/>
              </w:rPr>
              <w:t>-1))</w:t>
            </w:r>
          </w:p>
        </w:tc>
        <w:tc>
          <w:tcPr>
            <w:tcW w:w="1518" w:type="dxa"/>
            <w:vAlign w:val="bottom"/>
          </w:tcPr>
          <w:p w14:paraId="2E5E83B3"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-0.093208</w:t>
            </w:r>
          </w:p>
        </w:tc>
        <w:tc>
          <w:tcPr>
            <w:tcW w:w="1620" w:type="dxa"/>
            <w:vAlign w:val="bottom"/>
          </w:tcPr>
          <w:p w14:paraId="7AEF43B7"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0.046207</w:t>
            </w:r>
          </w:p>
        </w:tc>
        <w:tc>
          <w:tcPr>
            <w:tcW w:w="1800" w:type="dxa"/>
            <w:vAlign w:val="bottom"/>
          </w:tcPr>
          <w:p w14:paraId="4805AD94"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-2.017177</w:t>
            </w:r>
          </w:p>
        </w:tc>
        <w:tc>
          <w:tcPr>
            <w:tcW w:w="1800" w:type="dxa"/>
            <w:vAlign w:val="bottom"/>
          </w:tcPr>
          <w:p w14:paraId="1CE0E866"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0.0784</w:t>
            </w:r>
          </w:p>
        </w:tc>
      </w:tr>
      <w:tr w:rsidR="002456FC" w14:paraId="467DD6B2" w14:textId="77777777">
        <w:trPr>
          <w:trHeight w:val="225"/>
        </w:trPr>
        <w:tc>
          <w:tcPr>
            <w:tcW w:w="2227" w:type="dxa"/>
            <w:vAlign w:val="bottom"/>
          </w:tcPr>
          <w:p w14:paraId="6F775A33"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LNGCF(</w:t>
            </w:r>
            <w:proofErr w:type="gramEnd"/>
            <w:r>
              <w:rPr>
                <w:rFonts w:ascii="Arial" w:eastAsia="Arial" w:hAnsi="Arial" w:cs="Arial"/>
                <w:color w:val="000000"/>
                <w:sz w:val="20"/>
                <w:szCs w:val="20"/>
              </w:rPr>
              <w:t>-2))</w:t>
            </w:r>
          </w:p>
        </w:tc>
        <w:tc>
          <w:tcPr>
            <w:tcW w:w="1518" w:type="dxa"/>
            <w:vAlign w:val="bottom"/>
          </w:tcPr>
          <w:p w14:paraId="50CC4BCA"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0.269938</w:t>
            </w:r>
          </w:p>
        </w:tc>
        <w:tc>
          <w:tcPr>
            <w:tcW w:w="1620" w:type="dxa"/>
            <w:vAlign w:val="bottom"/>
          </w:tcPr>
          <w:p w14:paraId="48846890"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0.055341</w:t>
            </w:r>
          </w:p>
        </w:tc>
        <w:tc>
          <w:tcPr>
            <w:tcW w:w="1800" w:type="dxa"/>
            <w:vAlign w:val="bottom"/>
          </w:tcPr>
          <w:p w14:paraId="1AAC3089"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4.877713</w:t>
            </w:r>
          </w:p>
        </w:tc>
        <w:tc>
          <w:tcPr>
            <w:tcW w:w="1800" w:type="dxa"/>
            <w:vAlign w:val="bottom"/>
          </w:tcPr>
          <w:p w14:paraId="5ACEB18A"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0.0012</w:t>
            </w:r>
          </w:p>
        </w:tc>
      </w:tr>
      <w:tr w:rsidR="002456FC" w14:paraId="6B61681D" w14:textId="77777777">
        <w:trPr>
          <w:trHeight w:val="225"/>
        </w:trPr>
        <w:tc>
          <w:tcPr>
            <w:tcW w:w="2227" w:type="dxa"/>
            <w:vAlign w:val="bottom"/>
          </w:tcPr>
          <w:p w14:paraId="64A24327"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LNGCF(</w:t>
            </w:r>
            <w:proofErr w:type="gramEnd"/>
            <w:r>
              <w:rPr>
                <w:rFonts w:ascii="Arial" w:eastAsia="Arial" w:hAnsi="Arial" w:cs="Arial"/>
                <w:color w:val="000000"/>
                <w:sz w:val="20"/>
                <w:szCs w:val="20"/>
              </w:rPr>
              <w:t>-3))</w:t>
            </w:r>
          </w:p>
        </w:tc>
        <w:tc>
          <w:tcPr>
            <w:tcW w:w="1518" w:type="dxa"/>
            <w:vAlign w:val="bottom"/>
          </w:tcPr>
          <w:p w14:paraId="3FF71CDD"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0.582495</w:t>
            </w:r>
          </w:p>
        </w:tc>
        <w:tc>
          <w:tcPr>
            <w:tcW w:w="1620" w:type="dxa"/>
            <w:vAlign w:val="bottom"/>
          </w:tcPr>
          <w:p w14:paraId="061B2122"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0.076428</w:t>
            </w:r>
          </w:p>
        </w:tc>
        <w:tc>
          <w:tcPr>
            <w:tcW w:w="1800" w:type="dxa"/>
            <w:vAlign w:val="bottom"/>
          </w:tcPr>
          <w:p w14:paraId="59D2B678"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7.621477</w:t>
            </w:r>
          </w:p>
        </w:tc>
        <w:tc>
          <w:tcPr>
            <w:tcW w:w="1800" w:type="dxa"/>
            <w:vAlign w:val="bottom"/>
          </w:tcPr>
          <w:p w14:paraId="03AEFE60"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0.0001</w:t>
            </w:r>
          </w:p>
        </w:tc>
      </w:tr>
      <w:tr w:rsidR="002456FC" w14:paraId="787ADCA6" w14:textId="77777777">
        <w:trPr>
          <w:trHeight w:val="225"/>
        </w:trPr>
        <w:tc>
          <w:tcPr>
            <w:tcW w:w="2227" w:type="dxa"/>
            <w:vAlign w:val="bottom"/>
          </w:tcPr>
          <w:p w14:paraId="12E40611"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LNGCF(</w:t>
            </w:r>
            <w:proofErr w:type="gramEnd"/>
            <w:r>
              <w:rPr>
                <w:rFonts w:ascii="Arial" w:eastAsia="Arial" w:hAnsi="Arial" w:cs="Arial"/>
                <w:color w:val="000000"/>
                <w:sz w:val="20"/>
                <w:szCs w:val="20"/>
              </w:rPr>
              <w:t>-4))</w:t>
            </w:r>
          </w:p>
        </w:tc>
        <w:tc>
          <w:tcPr>
            <w:tcW w:w="1518" w:type="dxa"/>
            <w:vAlign w:val="bottom"/>
          </w:tcPr>
          <w:p w14:paraId="50C97272"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0.508832</w:t>
            </w:r>
          </w:p>
        </w:tc>
        <w:tc>
          <w:tcPr>
            <w:tcW w:w="1620" w:type="dxa"/>
            <w:vAlign w:val="bottom"/>
          </w:tcPr>
          <w:p w14:paraId="5B386910"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0.061511</w:t>
            </w:r>
          </w:p>
        </w:tc>
        <w:tc>
          <w:tcPr>
            <w:tcW w:w="1800" w:type="dxa"/>
            <w:vAlign w:val="bottom"/>
          </w:tcPr>
          <w:p w14:paraId="1E236900"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8.272272</w:t>
            </w:r>
          </w:p>
        </w:tc>
        <w:tc>
          <w:tcPr>
            <w:tcW w:w="1800" w:type="dxa"/>
            <w:vAlign w:val="bottom"/>
          </w:tcPr>
          <w:p w14:paraId="4F7FE4D7"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0.0000</w:t>
            </w:r>
          </w:p>
        </w:tc>
      </w:tr>
      <w:tr w:rsidR="002456FC" w14:paraId="0899986A" w14:textId="77777777">
        <w:trPr>
          <w:trHeight w:val="225"/>
        </w:trPr>
        <w:tc>
          <w:tcPr>
            <w:tcW w:w="2227" w:type="dxa"/>
            <w:vAlign w:val="bottom"/>
          </w:tcPr>
          <w:p w14:paraId="1C6FD6A0"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D(LNGE)</w:t>
            </w:r>
          </w:p>
        </w:tc>
        <w:tc>
          <w:tcPr>
            <w:tcW w:w="1518" w:type="dxa"/>
            <w:vAlign w:val="bottom"/>
          </w:tcPr>
          <w:p w14:paraId="09897798"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-0.493056</w:t>
            </w:r>
          </w:p>
        </w:tc>
        <w:tc>
          <w:tcPr>
            <w:tcW w:w="1620" w:type="dxa"/>
            <w:vAlign w:val="bottom"/>
          </w:tcPr>
          <w:p w14:paraId="79BDAFEC"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0.119749</w:t>
            </w:r>
          </w:p>
        </w:tc>
        <w:tc>
          <w:tcPr>
            <w:tcW w:w="1800" w:type="dxa"/>
            <w:vAlign w:val="bottom"/>
          </w:tcPr>
          <w:p w14:paraId="7D12E94A"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-4.117418</w:t>
            </w:r>
          </w:p>
        </w:tc>
        <w:tc>
          <w:tcPr>
            <w:tcW w:w="1800" w:type="dxa"/>
            <w:vAlign w:val="bottom"/>
          </w:tcPr>
          <w:p w14:paraId="598CC620"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0.0034</w:t>
            </w:r>
          </w:p>
        </w:tc>
      </w:tr>
      <w:tr w:rsidR="002456FC" w14:paraId="76D28901" w14:textId="77777777">
        <w:trPr>
          <w:trHeight w:val="225"/>
        </w:trPr>
        <w:tc>
          <w:tcPr>
            <w:tcW w:w="2227" w:type="dxa"/>
            <w:vAlign w:val="bottom"/>
          </w:tcPr>
          <w:p w14:paraId="0778C55F"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LNGE(</w:t>
            </w:r>
            <w:proofErr w:type="gramEnd"/>
            <w:r>
              <w:rPr>
                <w:rFonts w:ascii="Arial" w:eastAsia="Arial" w:hAnsi="Arial" w:cs="Arial"/>
                <w:color w:val="000000"/>
                <w:sz w:val="20"/>
                <w:szCs w:val="20"/>
              </w:rPr>
              <w:t>-1))</w:t>
            </w:r>
          </w:p>
        </w:tc>
        <w:tc>
          <w:tcPr>
            <w:tcW w:w="1518" w:type="dxa"/>
            <w:vAlign w:val="bottom"/>
          </w:tcPr>
          <w:p w14:paraId="3F387D17"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0.939772</w:t>
            </w:r>
          </w:p>
        </w:tc>
        <w:tc>
          <w:tcPr>
            <w:tcW w:w="1620" w:type="dxa"/>
            <w:vAlign w:val="bottom"/>
          </w:tcPr>
          <w:p w14:paraId="7523C24E"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0.138702</w:t>
            </w:r>
          </w:p>
        </w:tc>
        <w:tc>
          <w:tcPr>
            <w:tcW w:w="1800" w:type="dxa"/>
            <w:vAlign w:val="bottom"/>
          </w:tcPr>
          <w:p w14:paraId="77E21A33"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6.775478</w:t>
            </w:r>
          </w:p>
        </w:tc>
        <w:tc>
          <w:tcPr>
            <w:tcW w:w="1800" w:type="dxa"/>
            <w:vAlign w:val="bottom"/>
          </w:tcPr>
          <w:p w14:paraId="38141E13"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0.0001</w:t>
            </w:r>
          </w:p>
        </w:tc>
      </w:tr>
      <w:tr w:rsidR="002456FC" w14:paraId="2E2EB25E" w14:textId="77777777">
        <w:trPr>
          <w:trHeight w:val="225"/>
        </w:trPr>
        <w:tc>
          <w:tcPr>
            <w:tcW w:w="2227" w:type="dxa"/>
            <w:vAlign w:val="bottom"/>
          </w:tcPr>
          <w:p w14:paraId="05DEDDDC"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LNGE(</w:t>
            </w:r>
            <w:proofErr w:type="gramEnd"/>
            <w:r>
              <w:rPr>
                <w:rFonts w:ascii="Arial" w:eastAsia="Arial" w:hAnsi="Arial" w:cs="Arial"/>
                <w:color w:val="000000"/>
                <w:sz w:val="20"/>
                <w:szCs w:val="20"/>
              </w:rPr>
              <w:t>-2))</w:t>
            </w:r>
          </w:p>
        </w:tc>
        <w:tc>
          <w:tcPr>
            <w:tcW w:w="1518" w:type="dxa"/>
            <w:vAlign w:val="bottom"/>
          </w:tcPr>
          <w:p w14:paraId="51F1E303"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-0.792217</w:t>
            </w:r>
          </w:p>
        </w:tc>
        <w:tc>
          <w:tcPr>
            <w:tcW w:w="1620" w:type="dxa"/>
            <w:vAlign w:val="bottom"/>
          </w:tcPr>
          <w:p w14:paraId="479EDCBB"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0.095527</w:t>
            </w:r>
          </w:p>
        </w:tc>
        <w:tc>
          <w:tcPr>
            <w:tcW w:w="1800" w:type="dxa"/>
            <w:vAlign w:val="bottom"/>
          </w:tcPr>
          <w:p w14:paraId="3486C854"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-8.293093</w:t>
            </w:r>
          </w:p>
        </w:tc>
        <w:tc>
          <w:tcPr>
            <w:tcW w:w="1800" w:type="dxa"/>
            <w:vAlign w:val="bottom"/>
          </w:tcPr>
          <w:p w14:paraId="31C0028D"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0.0000</w:t>
            </w:r>
          </w:p>
        </w:tc>
      </w:tr>
      <w:tr w:rsidR="002456FC" w14:paraId="23E4B140" w14:textId="77777777">
        <w:trPr>
          <w:trHeight w:val="225"/>
        </w:trPr>
        <w:tc>
          <w:tcPr>
            <w:tcW w:w="2227" w:type="dxa"/>
            <w:vAlign w:val="bottom"/>
          </w:tcPr>
          <w:p w14:paraId="507D7D24"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LNGE(</w:t>
            </w:r>
            <w:proofErr w:type="gramEnd"/>
            <w:r>
              <w:rPr>
                <w:rFonts w:ascii="Arial" w:eastAsia="Arial" w:hAnsi="Arial" w:cs="Arial"/>
                <w:color w:val="000000"/>
                <w:sz w:val="20"/>
                <w:szCs w:val="20"/>
              </w:rPr>
              <w:t>-3))</w:t>
            </w:r>
          </w:p>
        </w:tc>
        <w:tc>
          <w:tcPr>
            <w:tcW w:w="1518" w:type="dxa"/>
            <w:vAlign w:val="bottom"/>
          </w:tcPr>
          <w:p w14:paraId="7936A25F"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-0.120715</w:t>
            </w:r>
          </w:p>
        </w:tc>
        <w:tc>
          <w:tcPr>
            <w:tcW w:w="1620" w:type="dxa"/>
            <w:vAlign w:val="bottom"/>
          </w:tcPr>
          <w:p w14:paraId="3FFFFD9D"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0.072287</w:t>
            </w:r>
          </w:p>
        </w:tc>
        <w:tc>
          <w:tcPr>
            <w:tcW w:w="1800" w:type="dxa"/>
            <w:vAlign w:val="bottom"/>
          </w:tcPr>
          <w:p w14:paraId="5AB1477A"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-1.669932</w:t>
            </w:r>
          </w:p>
        </w:tc>
        <w:tc>
          <w:tcPr>
            <w:tcW w:w="1800" w:type="dxa"/>
            <w:vAlign w:val="bottom"/>
          </w:tcPr>
          <w:p w14:paraId="5E0FEC2F"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0.1335</w:t>
            </w:r>
          </w:p>
        </w:tc>
      </w:tr>
      <w:tr w:rsidR="002456FC" w14:paraId="512280C5" w14:textId="77777777">
        <w:trPr>
          <w:trHeight w:val="225"/>
        </w:trPr>
        <w:tc>
          <w:tcPr>
            <w:tcW w:w="2227" w:type="dxa"/>
            <w:vAlign w:val="bottom"/>
          </w:tcPr>
          <w:p w14:paraId="1770A67D"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D(LNTOPEN)</w:t>
            </w:r>
          </w:p>
        </w:tc>
        <w:tc>
          <w:tcPr>
            <w:tcW w:w="1518" w:type="dxa"/>
            <w:vAlign w:val="bottom"/>
          </w:tcPr>
          <w:p w14:paraId="57AFD2C4"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0.146469</w:t>
            </w:r>
          </w:p>
        </w:tc>
        <w:tc>
          <w:tcPr>
            <w:tcW w:w="1620" w:type="dxa"/>
            <w:vAlign w:val="bottom"/>
          </w:tcPr>
          <w:p w14:paraId="0F357C60"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0.042161</w:t>
            </w:r>
          </w:p>
        </w:tc>
        <w:tc>
          <w:tcPr>
            <w:tcW w:w="1800" w:type="dxa"/>
            <w:vAlign w:val="bottom"/>
          </w:tcPr>
          <w:p w14:paraId="11F13A2E"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3.474071</w:t>
            </w:r>
          </w:p>
        </w:tc>
        <w:tc>
          <w:tcPr>
            <w:tcW w:w="1800" w:type="dxa"/>
            <w:vAlign w:val="bottom"/>
          </w:tcPr>
          <w:p w14:paraId="6E51BF3D"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0.0084</w:t>
            </w:r>
          </w:p>
        </w:tc>
      </w:tr>
      <w:tr w:rsidR="002456FC" w14:paraId="7D096F87" w14:textId="77777777">
        <w:trPr>
          <w:trHeight w:val="225"/>
        </w:trPr>
        <w:tc>
          <w:tcPr>
            <w:tcW w:w="2227" w:type="dxa"/>
            <w:vAlign w:val="bottom"/>
          </w:tcPr>
          <w:p w14:paraId="33B2D7EA"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LNTOPEN(</w:t>
            </w:r>
            <w:proofErr w:type="gramEnd"/>
            <w:r>
              <w:rPr>
                <w:rFonts w:ascii="Arial" w:eastAsia="Arial" w:hAnsi="Arial" w:cs="Arial"/>
                <w:color w:val="000000"/>
                <w:sz w:val="20"/>
                <w:szCs w:val="20"/>
              </w:rPr>
              <w:t>-1))</w:t>
            </w:r>
          </w:p>
        </w:tc>
        <w:tc>
          <w:tcPr>
            <w:tcW w:w="1518" w:type="dxa"/>
            <w:vAlign w:val="bottom"/>
          </w:tcPr>
          <w:p w14:paraId="6F11F762"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-0.001584</w:t>
            </w:r>
          </w:p>
        </w:tc>
        <w:tc>
          <w:tcPr>
            <w:tcW w:w="1620" w:type="dxa"/>
            <w:vAlign w:val="bottom"/>
          </w:tcPr>
          <w:p w14:paraId="1F4C6077"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0.027108</w:t>
            </w:r>
          </w:p>
        </w:tc>
        <w:tc>
          <w:tcPr>
            <w:tcW w:w="1800" w:type="dxa"/>
            <w:vAlign w:val="bottom"/>
          </w:tcPr>
          <w:p w14:paraId="501D846E"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-0.058427</w:t>
            </w:r>
          </w:p>
        </w:tc>
        <w:tc>
          <w:tcPr>
            <w:tcW w:w="1800" w:type="dxa"/>
            <w:vAlign w:val="bottom"/>
          </w:tcPr>
          <w:p w14:paraId="176E4994"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0.9548</w:t>
            </w:r>
          </w:p>
        </w:tc>
      </w:tr>
      <w:tr w:rsidR="002456FC" w14:paraId="39A17665" w14:textId="77777777">
        <w:trPr>
          <w:trHeight w:val="225"/>
        </w:trPr>
        <w:tc>
          <w:tcPr>
            <w:tcW w:w="2227" w:type="dxa"/>
            <w:vAlign w:val="bottom"/>
          </w:tcPr>
          <w:p w14:paraId="6E089A28"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LNTOPEN(</w:t>
            </w:r>
            <w:proofErr w:type="gramEnd"/>
            <w:r>
              <w:rPr>
                <w:rFonts w:ascii="Arial" w:eastAsia="Arial" w:hAnsi="Arial" w:cs="Arial"/>
                <w:color w:val="000000"/>
                <w:sz w:val="20"/>
                <w:szCs w:val="20"/>
              </w:rPr>
              <w:t>-2))</w:t>
            </w:r>
          </w:p>
        </w:tc>
        <w:tc>
          <w:tcPr>
            <w:tcW w:w="1518" w:type="dxa"/>
            <w:vAlign w:val="bottom"/>
          </w:tcPr>
          <w:p w14:paraId="5B0EE425"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-0.248915</w:t>
            </w:r>
          </w:p>
        </w:tc>
        <w:tc>
          <w:tcPr>
            <w:tcW w:w="1620" w:type="dxa"/>
            <w:vAlign w:val="bottom"/>
          </w:tcPr>
          <w:p w14:paraId="655343C5"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0.037787</w:t>
            </w:r>
          </w:p>
        </w:tc>
        <w:tc>
          <w:tcPr>
            <w:tcW w:w="1800" w:type="dxa"/>
            <w:vAlign w:val="bottom"/>
          </w:tcPr>
          <w:p w14:paraId="465BBEB9"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-6.587371</w:t>
            </w:r>
          </w:p>
        </w:tc>
        <w:tc>
          <w:tcPr>
            <w:tcW w:w="1800" w:type="dxa"/>
            <w:vAlign w:val="bottom"/>
          </w:tcPr>
          <w:p w14:paraId="48B09719"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0.0002</w:t>
            </w:r>
          </w:p>
        </w:tc>
      </w:tr>
      <w:tr w:rsidR="002456FC" w14:paraId="6080DBD2" w14:textId="77777777">
        <w:trPr>
          <w:trHeight w:val="225"/>
        </w:trPr>
        <w:tc>
          <w:tcPr>
            <w:tcW w:w="2227" w:type="dxa"/>
            <w:vAlign w:val="bottom"/>
          </w:tcPr>
          <w:p w14:paraId="0247D224"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LNTOPEN(</w:t>
            </w:r>
            <w:proofErr w:type="gramEnd"/>
            <w:r>
              <w:rPr>
                <w:rFonts w:ascii="Arial" w:eastAsia="Arial" w:hAnsi="Arial" w:cs="Arial"/>
                <w:color w:val="000000"/>
                <w:sz w:val="20"/>
                <w:szCs w:val="20"/>
              </w:rPr>
              <w:t>-3))</w:t>
            </w:r>
          </w:p>
        </w:tc>
        <w:tc>
          <w:tcPr>
            <w:tcW w:w="1518" w:type="dxa"/>
            <w:vAlign w:val="bottom"/>
          </w:tcPr>
          <w:p w14:paraId="18557391"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-0.364365</w:t>
            </w:r>
          </w:p>
        </w:tc>
        <w:tc>
          <w:tcPr>
            <w:tcW w:w="1620" w:type="dxa"/>
            <w:vAlign w:val="bottom"/>
          </w:tcPr>
          <w:p w14:paraId="213F35E8"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0.047699</w:t>
            </w:r>
          </w:p>
        </w:tc>
        <w:tc>
          <w:tcPr>
            <w:tcW w:w="1800" w:type="dxa"/>
            <w:vAlign w:val="bottom"/>
          </w:tcPr>
          <w:p w14:paraId="1103C08D"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-7.638857</w:t>
            </w:r>
          </w:p>
        </w:tc>
        <w:tc>
          <w:tcPr>
            <w:tcW w:w="1800" w:type="dxa"/>
            <w:vAlign w:val="bottom"/>
          </w:tcPr>
          <w:p w14:paraId="57FEAEB3"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0.0001</w:t>
            </w:r>
          </w:p>
        </w:tc>
      </w:tr>
      <w:tr w:rsidR="002456FC" w14:paraId="64750168" w14:textId="77777777">
        <w:trPr>
          <w:trHeight w:val="225"/>
        </w:trPr>
        <w:tc>
          <w:tcPr>
            <w:tcW w:w="2227" w:type="dxa"/>
            <w:vAlign w:val="bottom"/>
          </w:tcPr>
          <w:p w14:paraId="4A7DFC7A"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D(POPGR)</w:t>
            </w:r>
          </w:p>
        </w:tc>
        <w:tc>
          <w:tcPr>
            <w:tcW w:w="1518" w:type="dxa"/>
            <w:vAlign w:val="bottom"/>
          </w:tcPr>
          <w:p w14:paraId="5E4BB174"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-0.609884</w:t>
            </w:r>
          </w:p>
        </w:tc>
        <w:tc>
          <w:tcPr>
            <w:tcW w:w="1620" w:type="dxa"/>
            <w:vAlign w:val="bottom"/>
          </w:tcPr>
          <w:p w14:paraId="18E3A6E1"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0.143503</w:t>
            </w:r>
          </w:p>
        </w:tc>
        <w:tc>
          <w:tcPr>
            <w:tcW w:w="1800" w:type="dxa"/>
            <w:vAlign w:val="bottom"/>
          </w:tcPr>
          <w:p w14:paraId="7085C340"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-4.249974</w:t>
            </w:r>
          </w:p>
        </w:tc>
        <w:tc>
          <w:tcPr>
            <w:tcW w:w="1800" w:type="dxa"/>
            <w:vAlign w:val="bottom"/>
          </w:tcPr>
          <w:p w14:paraId="56A07352"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0.0028</w:t>
            </w:r>
          </w:p>
        </w:tc>
      </w:tr>
      <w:tr w:rsidR="002456FC" w14:paraId="57764120" w14:textId="77777777">
        <w:trPr>
          <w:trHeight w:val="225"/>
        </w:trPr>
        <w:tc>
          <w:tcPr>
            <w:tcW w:w="2227" w:type="dxa"/>
            <w:vAlign w:val="bottom"/>
          </w:tcPr>
          <w:p w14:paraId="77C3CCD8"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POPGR(</w:t>
            </w:r>
            <w:proofErr w:type="gramEnd"/>
            <w:r>
              <w:rPr>
                <w:rFonts w:ascii="Arial" w:eastAsia="Arial" w:hAnsi="Arial" w:cs="Arial"/>
                <w:color w:val="000000"/>
                <w:sz w:val="20"/>
                <w:szCs w:val="20"/>
              </w:rPr>
              <w:t>-1))</w:t>
            </w:r>
          </w:p>
        </w:tc>
        <w:tc>
          <w:tcPr>
            <w:tcW w:w="1518" w:type="dxa"/>
            <w:vAlign w:val="bottom"/>
          </w:tcPr>
          <w:p w14:paraId="2D96610C"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-0.110460</w:t>
            </w:r>
          </w:p>
        </w:tc>
        <w:tc>
          <w:tcPr>
            <w:tcW w:w="1620" w:type="dxa"/>
            <w:vAlign w:val="bottom"/>
          </w:tcPr>
          <w:p w14:paraId="7D15D675"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0.162587</w:t>
            </w:r>
          </w:p>
        </w:tc>
        <w:tc>
          <w:tcPr>
            <w:tcW w:w="1800" w:type="dxa"/>
            <w:vAlign w:val="bottom"/>
          </w:tcPr>
          <w:p w14:paraId="49D1432F"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-0.679393</w:t>
            </w:r>
          </w:p>
        </w:tc>
        <w:tc>
          <w:tcPr>
            <w:tcW w:w="1800" w:type="dxa"/>
            <w:vAlign w:val="bottom"/>
          </w:tcPr>
          <w:p w14:paraId="7C0B4580"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0.5161</w:t>
            </w:r>
          </w:p>
        </w:tc>
      </w:tr>
      <w:tr w:rsidR="002456FC" w14:paraId="0C9AA9B9" w14:textId="77777777">
        <w:trPr>
          <w:trHeight w:val="225"/>
        </w:trPr>
        <w:tc>
          <w:tcPr>
            <w:tcW w:w="2227" w:type="dxa"/>
            <w:vAlign w:val="bottom"/>
          </w:tcPr>
          <w:p w14:paraId="6EAD4BC1"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POPGR(</w:t>
            </w:r>
            <w:proofErr w:type="gramEnd"/>
            <w:r>
              <w:rPr>
                <w:rFonts w:ascii="Arial" w:eastAsia="Arial" w:hAnsi="Arial" w:cs="Arial"/>
                <w:color w:val="000000"/>
                <w:sz w:val="20"/>
                <w:szCs w:val="20"/>
              </w:rPr>
              <w:t>-2))</w:t>
            </w:r>
          </w:p>
        </w:tc>
        <w:tc>
          <w:tcPr>
            <w:tcW w:w="1518" w:type="dxa"/>
            <w:vAlign w:val="bottom"/>
          </w:tcPr>
          <w:p w14:paraId="094010DF"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0.575381</w:t>
            </w:r>
          </w:p>
        </w:tc>
        <w:tc>
          <w:tcPr>
            <w:tcW w:w="1620" w:type="dxa"/>
            <w:vAlign w:val="bottom"/>
          </w:tcPr>
          <w:p w14:paraId="79D3E1E5"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0.185131</w:t>
            </w:r>
          </w:p>
        </w:tc>
        <w:tc>
          <w:tcPr>
            <w:tcW w:w="1800" w:type="dxa"/>
            <w:vAlign w:val="bottom"/>
          </w:tcPr>
          <w:p w14:paraId="508E18CF"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3.107970</w:t>
            </w:r>
          </w:p>
        </w:tc>
        <w:tc>
          <w:tcPr>
            <w:tcW w:w="1800" w:type="dxa"/>
            <w:vAlign w:val="bottom"/>
          </w:tcPr>
          <w:p w14:paraId="765A9889"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0.0145</w:t>
            </w:r>
          </w:p>
        </w:tc>
      </w:tr>
      <w:tr w:rsidR="002456FC" w14:paraId="1100AF81" w14:textId="77777777">
        <w:trPr>
          <w:trHeight w:val="225"/>
        </w:trPr>
        <w:tc>
          <w:tcPr>
            <w:tcW w:w="2227" w:type="dxa"/>
            <w:vAlign w:val="bottom"/>
          </w:tcPr>
          <w:p w14:paraId="246DCBB1"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POPGR(</w:t>
            </w:r>
            <w:proofErr w:type="gramEnd"/>
            <w:r>
              <w:rPr>
                <w:rFonts w:ascii="Arial" w:eastAsia="Arial" w:hAnsi="Arial" w:cs="Arial"/>
                <w:color w:val="000000"/>
                <w:sz w:val="20"/>
                <w:szCs w:val="20"/>
              </w:rPr>
              <w:t>-3))</w:t>
            </w:r>
          </w:p>
        </w:tc>
        <w:tc>
          <w:tcPr>
            <w:tcW w:w="1518" w:type="dxa"/>
            <w:vAlign w:val="bottom"/>
          </w:tcPr>
          <w:p w14:paraId="232C0298"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0.458878</w:t>
            </w:r>
          </w:p>
        </w:tc>
        <w:tc>
          <w:tcPr>
            <w:tcW w:w="1620" w:type="dxa"/>
            <w:vAlign w:val="bottom"/>
          </w:tcPr>
          <w:p w14:paraId="6A6C4B05"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0.157589</w:t>
            </w:r>
          </w:p>
        </w:tc>
        <w:tc>
          <w:tcPr>
            <w:tcW w:w="1800" w:type="dxa"/>
            <w:vAlign w:val="bottom"/>
          </w:tcPr>
          <w:p w14:paraId="5786FBCC"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2.911867</w:t>
            </w:r>
          </w:p>
        </w:tc>
        <w:tc>
          <w:tcPr>
            <w:tcW w:w="1800" w:type="dxa"/>
            <w:vAlign w:val="bottom"/>
          </w:tcPr>
          <w:p w14:paraId="70769A0C"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0.0195</w:t>
            </w:r>
          </w:p>
        </w:tc>
      </w:tr>
      <w:tr w:rsidR="002456FC" w14:paraId="1E0C4B14" w14:textId="77777777">
        <w:trPr>
          <w:trHeight w:val="225"/>
        </w:trPr>
        <w:tc>
          <w:tcPr>
            <w:tcW w:w="2227" w:type="dxa"/>
            <w:vAlign w:val="bottom"/>
          </w:tcPr>
          <w:p w14:paraId="6259A620"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D(INF)</w:t>
            </w:r>
          </w:p>
        </w:tc>
        <w:tc>
          <w:tcPr>
            <w:tcW w:w="1518" w:type="dxa"/>
            <w:vAlign w:val="bottom"/>
          </w:tcPr>
          <w:p w14:paraId="244717A8"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0.004492</w:t>
            </w:r>
          </w:p>
        </w:tc>
        <w:tc>
          <w:tcPr>
            <w:tcW w:w="1620" w:type="dxa"/>
            <w:vAlign w:val="bottom"/>
          </w:tcPr>
          <w:p w14:paraId="56634F70"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0.000986</w:t>
            </w:r>
          </w:p>
        </w:tc>
        <w:tc>
          <w:tcPr>
            <w:tcW w:w="1800" w:type="dxa"/>
            <w:vAlign w:val="bottom"/>
          </w:tcPr>
          <w:p w14:paraId="3AEB5980"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4.555652</w:t>
            </w:r>
          </w:p>
        </w:tc>
        <w:tc>
          <w:tcPr>
            <w:tcW w:w="1800" w:type="dxa"/>
            <w:vAlign w:val="bottom"/>
          </w:tcPr>
          <w:p w14:paraId="71D546DC"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0.0019</w:t>
            </w:r>
          </w:p>
        </w:tc>
      </w:tr>
      <w:tr w:rsidR="002456FC" w14:paraId="3D2C8F6D" w14:textId="77777777">
        <w:trPr>
          <w:trHeight w:val="225"/>
        </w:trPr>
        <w:tc>
          <w:tcPr>
            <w:tcW w:w="2227" w:type="dxa"/>
            <w:vAlign w:val="bottom"/>
          </w:tcPr>
          <w:p w14:paraId="58A8FA22"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INF(</w:t>
            </w:r>
            <w:proofErr w:type="gramEnd"/>
            <w:r>
              <w:rPr>
                <w:rFonts w:ascii="Arial" w:eastAsia="Arial" w:hAnsi="Arial" w:cs="Arial"/>
                <w:color w:val="000000"/>
                <w:sz w:val="20"/>
                <w:szCs w:val="20"/>
              </w:rPr>
              <w:t>-1))</w:t>
            </w:r>
          </w:p>
        </w:tc>
        <w:tc>
          <w:tcPr>
            <w:tcW w:w="1518" w:type="dxa"/>
            <w:vAlign w:val="bottom"/>
          </w:tcPr>
          <w:p w14:paraId="6590C935"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-0.012615</w:t>
            </w:r>
          </w:p>
        </w:tc>
        <w:tc>
          <w:tcPr>
            <w:tcW w:w="1620" w:type="dxa"/>
            <w:vAlign w:val="bottom"/>
          </w:tcPr>
          <w:p w14:paraId="7E83F4CE"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0.001776</w:t>
            </w:r>
          </w:p>
        </w:tc>
        <w:tc>
          <w:tcPr>
            <w:tcW w:w="1800" w:type="dxa"/>
            <w:vAlign w:val="bottom"/>
          </w:tcPr>
          <w:p w14:paraId="27537B06"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-7.102405</w:t>
            </w:r>
          </w:p>
        </w:tc>
        <w:tc>
          <w:tcPr>
            <w:tcW w:w="1800" w:type="dxa"/>
            <w:vAlign w:val="bottom"/>
          </w:tcPr>
          <w:p w14:paraId="48A35624"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0.0001</w:t>
            </w:r>
          </w:p>
        </w:tc>
      </w:tr>
      <w:tr w:rsidR="002456FC" w14:paraId="35CC512A" w14:textId="77777777">
        <w:trPr>
          <w:trHeight w:val="225"/>
        </w:trPr>
        <w:tc>
          <w:tcPr>
            <w:tcW w:w="2227" w:type="dxa"/>
            <w:vAlign w:val="bottom"/>
          </w:tcPr>
          <w:p w14:paraId="71871519"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INF(</w:t>
            </w:r>
            <w:proofErr w:type="gramEnd"/>
            <w:r>
              <w:rPr>
                <w:rFonts w:ascii="Arial" w:eastAsia="Arial" w:hAnsi="Arial" w:cs="Arial"/>
                <w:color w:val="000000"/>
                <w:sz w:val="20"/>
                <w:szCs w:val="20"/>
              </w:rPr>
              <w:t>-2))</w:t>
            </w:r>
          </w:p>
        </w:tc>
        <w:tc>
          <w:tcPr>
            <w:tcW w:w="1518" w:type="dxa"/>
            <w:vAlign w:val="bottom"/>
          </w:tcPr>
          <w:p w14:paraId="66414B61"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-0.008197</w:t>
            </w:r>
          </w:p>
        </w:tc>
        <w:tc>
          <w:tcPr>
            <w:tcW w:w="1620" w:type="dxa"/>
            <w:vAlign w:val="bottom"/>
          </w:tcPr>
          <w:p w14:paraId="71F5A645"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0.001337</w:t>
            </w:r>
          </w:p>
        </w:tc>
        <w:tc>
          <w:tcPr>
            <w:tcW w:w="1800" w:type="dxa"/>
            <w:vAlign w:val="bottom"/>
          </w:tcPr>
          <w:p w14:paraId="77F8A3B1"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-6.130810</w:t>
            </w:r>
          </w:p>
        </w:tc>
        <w:tc>
          <w:tcPr>
            <w:tcW w:w="1800" w:type="dxa"/>
            <w:vAlign w:val="bottom"/>
          </w:tcPr>
          <w:p w14:paraId="18ACBC9B"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0.0003</w:t>
            </w:r>
          </w:p>
        </w:tc>
      </w:tr>
      <w:tr w:rsidR="002456FC" w14:paraId="11BB9446" w14:textId="77777777">
        <w:trPr>
          <w:trHeight w:val="225"/>
        </w:trPr>
        <w:tc>
          <w:tcPr>
            <w:tcW w:w="2227" w:type="dxa"/>
            <w:vAlign w:val="bottom"/>
          </w:tcPr>
          <w:p w14:paraId="7A527D57"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INF(</w:t>
            </w:r>
            <w:proofErr w:type="gramEnd"/>
            <w:r>
              <w:rPr>
                <w:rFonts w:ascii="Arial" w:eastAsia="Arial" w:hAnsi="Arial" w:cs="Arial"/>
                <w:color w:val="000000"/>
                <w:sz w:val="20"/>
                <w:szCs w:val="20"/>
              </w:rPr>
              <w:t>-3))</w:t>
            </w:r>
          </w:p>
        </w:tc>
        <w:tc>
          <w:tcPr>
            <w:tcW w:w="1518" w:type="dxa"/>
            <w:vAlign w:val="bottom"/>
          </w:tcPr>
          <w:p w14:paraId="499F5E94"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-0.008989</w:t>
            </w:r>
          </w:p>
        </w:tc>
        <w:tc>
          <w:tcPr>
            <w:tcW w:w="1620" w:type="dxa"/>
            <w:vAlign w:val="bottom"/>
          </w:tcPr>
          <w:p w14:paraId="01FC23DE"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0.001407</w:t>
            </w:r>
          </w:p>
        </w:tc>
        <w:tc>
          <w:tcPr>
            <w:tcW w:w="1800" w:type="dxa"/>
            <w:vAlign w:val="bottom"/>
          </w:tcPr>
          <w:p w14:paraId="40F8B5CB"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-6.386570</w:t>
            </w:r>
          </w:p>
        </w:tc>
        <w:tc>
          <w:tcPr>
            <w:tcW w:w="1800" w:type="dxa"/>
            <w:vAlign w:val="bottom"/>
          </w:tcPr>
          <w:p w14:paraId="206304CB"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0.0002</w:t>
            </w:r>
          </w:p>
        </w:tc>
      </w:tr>
      <w:tr w:rsidR="002456FC" w14:paraId="72851AD8" w14:textId="77777777">
        <w:trPr>
          <w:trHeight w:val="225"/>
        </w:trPr>
        <w:tc>
          <w:tcPr>
            <w:tcW w:w="2227" w:type="dxa"/>
            <w:vAlign w:val="bottom"/>
          </w:tcPr>
          <w:p w14:paraId="64340191"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D(</w:t>
            </w:r>
            <w:proofErr w:type="gramStart"/>
            <w:r>
              <w:rPr>
                <w:rFonts w:ascii="Arial" w:eastAsia="Arial" w:hAnsi="Arial" w:cs="Arial"/>
                <w:color w:val="000000"/>
                <w:sz w:val="20"/>
                <w:szCs w:val="20"/>
              </w:rPr>
              <w:t>INF(</w:t>
            </w:r>
            <w:proofErr w:type="gramEnd"/>
            <w:r>
              <w:rPr>
                <w:rFonts w:ascii="Arial" w:eastAsia="Arial" w:hAnsi="Arial" w:cs="Arial"/>
                <w:color w:val="000000"/>
                <w:sz w:val="20"/>
                <w:szCs w:val="20"/>
              </w:rPr>
              <w:t>-4))</w:t>
            </w:r>
          </w:p>
        </w:tc>
        <w:tc>
          <w:tcPr>
            <w:tcW w:w="1518" w:type="dxa"/>
            <w:vAlign w:val="bottom"/>
          </w:tcPr>
          <w:p w14:paraId="3A2D0419"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-0.001075</w:t>
            </w:r>
          </w:p>
        </w:tc>
        <w:tc>
          <w:tcPr>
            <w:tcW w:w="1620" w:type="dxa"/>
            <w:vAlign w:val="bottom"/>
          </w:tcPr>
          <w:p w14:paraId="6C03068D"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0.000645</w:t>
            </w:r>
          </w:p>
        </w:tc>
        <w:tc>
          <w:tcPr>
            <w:tcW w:w="1800" w:type="dxa"/>
            <w:vAlign w:val="bottom"/>
          </w:tcPr>
          <w:p w14:paraId="4B1F3666"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-1.666147</w:t>
            </w:r>
          </w:p>
        </w:tc>
        <w:tc>
          <w:tcPr>
            <w:tcW w:w="1800" w:type="dxa"/>
            <w:vAlign w:val="bottom"/>
          </w:tcPr>
          <w:p w14:paraId="0776C58B"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0.1342</w:t>
            </w:r>
          </w:p>
        </w:tc>
      </w:tr>
      <w:tr w:rsidR="002456FC" w14:paraId="736DB3FE" w14:textId="77777777">
        <w:trPr>
          <w:trHeight w:val="225"/>
        </w:trPr>
        <w:tc>
          <w:tcPr>
            <w:tcW w:w="2227" w:type="dxa"/>
            <w:tcBorders>
              <w:bottom w:val="single" w:sz="4" w:space="0" w:color="000000"/>
            </w:tcBorders>
            <w:vAlign w:val="bottom"/>
          </w:tcPr>
          <w:p w14:paraId="7763B6E5" w14:textId="77777777" w:rsidR="002456FC" w:rsidRDefault="00000000">
            <w:pPr>
              <w:spacing w:after="0" w:line="240" w:lineRule="auto"/>
              <w:rPr>
                <w:rFonts w:ascii="Arial" w:eastAsia="Arial" w:hAnsi="Arial" w:cs="Arial"/>
                <w:color w:val="000000"/>
                <w:sz w:val="20"/>
                <w:szCs w:val="20"/>
              </w:rPr>
            </w:pPr>
            <w:proofErr w:type="spellStart"/>
            <w:proofErr w:type="gramStart"/>
            <w:r>
              <w:rPr>
                <w:rFonts w:ascii="Arial" w:eastAsia="Arial" w:hAnsi="Arial" w:cs="Arial"/>
                <w:color w:val="000000"/>
                <w:sz w:val="20"/>
                <w:szCs w:val="20"/>
              </w:rPr>
              <w:t>CointEq</w:t>
            </w:r>
            <w:proofErr w:type="spellEnd"/>
            <w:r>
              <w:rPr>
                <w:rFonts w:ascii="Arial" w:eastAsia="Arial" w:hAnsi="Arial" w:cs="Arial"/>
                <w:color w:val="000000"/>
                <w:sz w:val="20"/>
                <w:szCs w:val="20"/>
              </w:rPr>
              <w:t>(</w:t>
            </w:r>
            <w:proofErr w:type="gramEnd"/>
            <w:r>
              <w:rPr>
                <w:rFonts w:ascii="Arial" w:eastAsia="Arial" w:hAnsi="Arial" w:cs="Arial"/>
                <w:color w:val="000000"/>
                <w:sz w:val="20"/>
                <w:szCs w:val="20"/>
              </w:rPr>
              <w:t>-</w:t>
            </w:r>
            <w:proofErr w:type="gramStart"/>
            <w:r>
              <w:rPr>
                <w:rFonts w:ascii="Arial" w:eastAsia="Arial" w:hAnsi="Arial" w:cs="Arial"/>
                <w:color w:val="000000"/>
                <w:sz w:val="20"/>
                <w:szCs w:val="20"/>
              </w:rPr>
              <w:t>1)*</w:t>
            </w:r>
            <w:proofErr w:type="gramEnd"/>
          </w:p>
        </w:tc>
        <w:tc>
          <w:tcPr>
            <w:tcW w:w="1518" w:type="dxa"/>
            <w:tcBorders>
              <w:bottom w:val="single" w:sz="4" w:space="0" w:color="000000"/>
            </w:tcBorders>
            <w:vAlign w:val="bottom"/>
          </w:tcPr>
          <w:p w14:paraId="476C54B8"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-0.640502</w:t>
            </w:r>
          </w:p>
        </w:tc>
        <w:tc>
          <w:tcPr>
            <w:tcW w:w="1620" w:type="dxa"/>
            <w:tcBorders>
              <w:bottom w:val="single" w:sz="4" w:space="0" w:color="000000"/>
            </w:tcBorders>
            <w:vAlign w:val="bottom"/>
          </w:tcPr>
          <w:p w14:paraId="21FAF57B"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0.077245</w:t>
            </w:r>
          </w:p>
        </w:tc>
        <w:tc>
          <w:tcPr>
            <w:tcW w:w="1800" w:type="dxa"/>
            <w:tcBorders>
              <w:bottom w:val="single" w:sz="4" w:space="0" w:color="000000"/>
            </w:tcBorders>
            <w:vAlign w:val="bottom"/>
          </w:tcPr>
          <w:p w14:paraId="33A832F8"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-8.291825</w:t>
            </w:r>
          </w:p>
        </w:tc>
        <w:tc>
          <w:tcPr>
            <w:tcW w:w="1800" w:type="dxa"/>
            <w:tcBorders>
              <w:bottom w:val="single" w:sz="4" w:space="0" w:color="000000"/>
            </w:tcBorders>
            <w:vAlign w:val="bottom"/>
          </w:tcPr>
          <w:p w14:paraId="56B83247"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0.0000</w:t>
            </w:r>
          </w:p>
        </w:tc>
      </w:tr>
      <w:tr w:rsidR="002456FC" w14:paraId="004C8DC0" w14:textId="77777777">
        <w:trPr>
          <w:trHeight w:val="225"/>
        </w:trPr>
        <w:tc>
          <w:tcPr>
            <w:tcW w:w="2227" w:type="dxa"/>
            <w:tcBorders>
              <w:top w:val="single" w:sz="4" w:space="0" w:color="000000"/>
              <w:bottom w:val="single" w:sz="4" w:space="0" w:color="000000"/>
            </w:tcBorders>
            <w:vAlign w:val="bottom"/>
          </w:tcPr>
          <w:p w14:paraId="529F0E2F"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R-squared</w:t>
            </w:r>
          </w:p>
        </w:tc>
        <w:tc>
          <w:tcPr>
            <w:tcW w:w="1518" w:type="dxa"/>
            <w:tcBorders>
              <w:top w:val="single" w:sz="4" w:space="0" w:color="000000"/>
              <w:bottom w:val="single" w:sz="4" w:space="0" w:color="000000"/>
            </w:tcBorders>
            <w:vAlign w:val="bottom"/>
          </w:tcPr>
          <w:p w14:paraId="3AF0051B"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0.973878</w:t>
            </w:r>
          </w:p>
        </w:tc>
        <w:tc>
          <w:tcPr>
            <w:tcW w:w="3420" w:type="dxa"/>
            <w:gridSpan w:val="2"/>
            <w:tcBorders>
              <w:top w:val="single" w:sz="4" w:space="0" w:color="000000"/>
            </w:tcBorders>
            <w:vAlign w:val="bottom"/>
          </w:tcPr>
          <w:p w14:paraId="2500A318" w14:textId="77777777" w:rsidR="002456FC" w:rsidRDefault="002456FC">
            <w:pPr>
              <w:spacing w:after="0" w:line="240" w:lineRule="auto"/>
              <w:ind w:right="10"/>
              <w:rPr>
                <w:rFonts w:ascii="Arial" w:eastAsia="Arial" w:hAnsi="Arial" w:cs="Arial"/>
                <w:color w:val="000000"/>
                <w:sz w:val="20"/>
                <w:szCs w:val="20"/>
              </w:rPr>
            </w:pPr>
          </w:p>
        </w:tc>
        <w:tc>
          <w:tcPr>
            <w:tcW w:w="1800" w:type="dxa"/>
            <w:tcBorders>
              <w:top w:val="single" w:sz="4" w:space="0" w:color="000000"/>
            </w:tcBorders>
            <w:vAlign w:val="bottom"/>
          </w:tcPr>
          <w:p w14:paraId="247D91BC" w14:textId="77777777" w:rsidR="002456FC" w:rsidRDefault="002456FC">
            <w:pPr>
              <w:spacing w:after="0" w:line="240" w:lineRule="auto"/>
              <w:ind w:right="10"/>
              <w:rPr>
                <w:rFonts w:ascii="Arial" w:eastAsia="Arial" w:hAnsi="Arial" w:cs="Arial"/>
                <w:color w:val="000000"/>
                <w:sz w:val="20"/>
                <w:szCs w:val="20"/>
              </w:rPr>
            </w:pPr>
          </w:p>
        </w:tc>
      </w:tr>
      <w:tr w:rsidR="002456FC" w14:paraId="169EE6A6" w14:textId="77777777">
        <w:trPr>
          <w:trHeight w:val="225"/>
        </w:trPr>
        <w:tc>
          <w:tcPr>
            <w:tcW w:w="2227" w:type="dxa"/>
            <w:tcBorders>
              <w:top w:val="single" w:sz="4" w:space="0" w:color="000000"/>
              <w:bottom w:val="single" w:sz="4" w:space="0" w:color="000000"/>
            </w:tcBorders>
            <w:vAlign w:val="bottom"/>
          </w:tcPr>
          <w:p w14:paraId="13E6B7EC" w14:textId="77777777" w:rsidR="002456FC" w:rsidRDefault="00000000">
            <w:pPr>
              <w:spacing w:after="0" w:line="240" w:lineRule="auto"/>
              <w:rPr>
                <w:rFonts w:ascii="Arial" w:eastAsia="Arial" w:hAnsi="Arial" w:cs="Arial"/>
                <w:color w:val="000000"/>
                <w:sz w:val="20"/>
                <w:szCs w:val="20"/>
              </w:rPr>
            </w:pPr>
            <w:r>
              <w:rPr>
                <w:rFonts w:ascii="Arial" w:eastAsia="Arial" w:hAnsi="Arial" w:cs="Arial"/>
                <w:color w:val="000000"/>
                <w:sz w:val="20"/>
                <w:szCs w:val="20"/>
              </w:rPr>
              <w:t>Adjusted R-squared</w:t>
            </w:r>
          </w:p>
        </w:tc>
        <w:tc>
          <w:tcPr>
            <w:tcW w:w="1518" w:type="dxa"/>
            <w:tcBorders>
              <w:top w:val="single" w:sz="4" w:space="0" w:color="000000"/>
              <w:bottom w:val="single" w:sz="4" w:space="0" w:color="000000"/>
            </w:tcBorders>
            <w:vAlign w:val="bottom"/>
          </w:tcPr>
          <w:p w14:paraId="152AA2EB" w14:textId="77777777" w:rsidR="002456FC" w:rsidRDefault="00000000">
            <w:pPr>
              <w:spacing w:after="0" w:line="240" w:lineRule="auto"/>
              <w:ind w:right="10"/>
              <w:rPr>
                <w:rFonts w:ascii="Arial" w:eastAsia="Arial" w:hAnsi="Arial" w:cs="Arial"/>
                <w:color w:val="000000"/>
                <w:sz w:val="20"/>
                <w:szCs w:val="20"/>
              </w:rPr>
            </w:pPr>
            <w:r>
              <w:rPr>
                <w:rFonts w:ascii="Arial" w:eastAsia="Arial" w:hAnsi="Arial" w:cs="Arial"/>
                <w:color w:val="000000"/>
                <w:sz w:val="20"/>
                <w:szCs w:val="20"/>
              </w:rPr>
              <w:t>0.908573</w:t>
            </w:r>
          </w:p>
        </w:tc>
        <w:tc>
          <w:tcPr>
            <w:tcW w:w="3420" w:type="dxa"/>
            <w:gridSpan w:val="2"/>
            <w:tcBorders>
              <w:bottom w:val="single" w:sz="4" w:space="0" w:color="000000"/>
            </w:tcBorders>
            <w:vAlign w:val="bottom"/>
          </w:tcPr>
          <w:p w14:paraId="1FB8CC79" w14:textId="77777777" w:rsidR="002456FC" w:rsidRDefault="002456FC">
            <w:pPr>
              <w:spacing w:after="0" w:line="240" w:lineRule="auto"/>
              <w:ind w:right="10"/>
              <w:rPr>
                <w:rFonts w:ascii="Arial" w:eastAsia="Arial" w:hAnsi="Arial" w:cs="Arial"/>
                <w:color w:val="000000"/>
                <w:sz w:val="20"/>
                <w:szCs w:val="20"/>
              </w:rPr>
            </w:pPr>
          </w:p>
        </w:tc>
        <w:tc>
          <w:tcPr>
            <w:tcW w:w="1800" w:type="dxa"/>
            <w:tcBorders>
              <w:bottom w:val="single" w:sz="4" w:space="0" w:color="000000"/>
            </w:tcBorders>
            <w:vAlign w:val="bottom"/>
          </w:tcPr>
          <w:p w14:paraId="0F890559" w14:textId="77777777" w:rsidR="002456FC" w:rsidRDefault="002456FC">
            <w:pPr>
              <w:spacing w:after="0" w:line="240" w:lineRule="auto"/>
              <w:ind w:right="10"/>
              <w:rPr>
                <w:rFonts w:ascii="Arial" w:eastAsia="Arial" w:hAnsi="Arial" w:cs="Arial"/>
                <w:color w:val="000000"/>
                <w:sz w:val="20"/>
                <w:szCs w:val="20"/>
              </w:rPr>
            </w:pPr>
          </w:p>
        </w:tc>
      </w:tr>
    </w:tbl>
    <w:p w14:paraId="6903346F" w14:textId="77777777" w:rsidR="002456FC"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i/>
          <w:sz w:val="20"/>
          <w:szCs w:val="20"/>
        </w:rPr>
        <w:t>***p &lt; 0.01, **p &lt; 0.05, *p &lt; 0.1; Source: Authors' Own</w:t>
      </w:r>
      <w:r>
        <w:rPr>
          <w:rFonts w:ascii="Arial" w:eastAsia="Arial" w:hAnsi="Arial" w:cs="Arial"/>
          <w:sz w:val="20"/>
          <w:szCs w:val="20"/>
        </w:rPr>
        <w:t xml:space="preserve"> calculation.</w:t>
      </w:r>
    </w:p>
    <w:p w14:paraId="3AFF8720" w14:textId="77777777" w:rsidR="002456FC" w:rsidRDefault="002456FC">
      <w:pPr>
        <w:tabs>
          <w:tab w:val="left" w:pos="1071"/>
        </w:tabs>
        <w:spacing w:after="0" w:line="240" w:lineRule="auto"/>
        <w:jc w:val="both"/>
        <w:rPr>
          <w:rFonts w:ascii="Arial" w:eastAsia="Arial" w:hAnsi="Arial" w:cs="Arial"/>
          <w:color w:val="000000"/>
          <w:sz w:val="20"/>
          <w:szCs w:val="20"/>
        </w:rPr>
      </w:pPr>
    </w:p>
    <w:p w14:paraId="248AAF7E" w14:textId="0602B27C" w:rsidR="00181D1F" w:rsidRPr="00181D1F" w:rsidRDefault="00000000">
      <w:pPr>
        <w:tabs>
          <w:tab w:val="left" w:pos="1071"/>
        </w:tabs>
        <w:spacing w:after="0" w:line="240" w:lineRule="auto"/>
        <w:jc w:val="both"/>
        <w:rPr>
          <w:rFonts w:ascii="Arial" w:eastAsia="Arial" w:hAnsi="Arial" w:cs="Arial"/>
          <w:color w:val="C00000"/>
          <w:sz w:val="20"/>
          <w:szCs w:val="20"/>
        </w:rPr>
      </w:pPr>
      <w:r>
        <w:rPr>
          <w:rFonts w:ascii="Arial" w:eastAsia="Arial" w:hAnsi="Arial" w:cs="Arial"/>
          <w:color w:val="000000"/>
          <w:sz w:val="20"/>
          <w:szCs w:val="20"/>
        </w:rPr>
        <w:t>The results of Error Correction Model given in Table 6 show</w:t>
      </w:r>
      <w:r>
        <w:rPr>
          <w:rFonts w:ascii="Arial" w:eastAsia="Arial" w:hAnsi="Arial" w:cs="Arial"/>
          <w:sz w:val="20"/>
          <w:szCs w:val="20"/>
        </w:rPr>
        <w:t xml:space="preserve"> that in the short- run the</w:t>
      </w:r>
      <w:r>
        <w:rPr>
          <w:rFonts w:ascii="Arial" w:eastAsia="Arial" w:hAnsi="Arial" w:cs="Arial"/>
          <w:color w:val="000000"/>
          <w:sz w:val="20"/>
          <w:szCs w:val="20"/>
        </w:rPr>
        <w:t xml:space="preserve"> coefficient associated with trade openness, government expenditure and inflation are negative but coefficient of gross capital formation is positive. Similarly, the coefficients of all the three sectors of economy are positive. </w:t>
      </w:r>
      <w:r w:rsidR="00181D1F" w:rsidRPr="00181D1F">
        <w:rPr>
          <w:rFonts w:ascii="Arial" w:eastAsia="Arial" w:hAnsi="Arial" w:cs="Arial"/>
          <w:color w:val="C00000"/>
          <w:sz w:val="20"/>
          <w:szCs w:val="20"/>
        </w:rPr>
        <w:t>The negative and statistically significant value of δ (−0.64) indicates the presence of long-run convergence towards equilibrium following short-run disequilibrium. Specifically, approximately 64</w:t>
      </w:r>
      <w:r w:rsidR="00181D1F" w:rsidRPr="00181D1F">
        <w:rPr>
          <w:rFonts w:ascii="Arial" w:eastAsia="Arial" w:hAnsi="Arial" w:cs="Arial"/>
          <w:color w:val="C00000"/>
          <w:sz w:val="20"/>
          <w:szCs w:val="20"/>
        </w:rPr>
        <w:t xml:space="preserve"> per cent</w:t>
      </w:r>
      <w:r w:rsidR="00181D1F" w:rsidRPr="00181D1F">
        <w:rPr>
          <w:rFonts w:ascii="Arial" w:eastAsia="Arial" w:hAnsi="Arial" w:cs="Arial"/>
          <w:color w:val="C00000"/>
          <w:sz w:val="20"/>
          <w:szCs w:val="20"/>
        </w:rPr>
        <w:t xml:space="preserve"> of the disequilibrium is corrected each year, suggesting a relatively fast speed of adjustment. This implies that the economy has a strong tendency to return to its equilibrium path after short-term deviations.</w:t>
      </w:r>
    </w:p>
    <w:p w14:paraId="42B326FF" w14:textId="77777777" w:rsidR="002456FC" w:rsidRDefault="00000000">
      <w:pPr>
        <w:tabs>
          <w:tab w:val="left" w:pos="712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AF12521" w14:textId="77777777" w:rsidR="002456FC" w:rsidRDefault="002456FC">
      <w:pPr>
        <w:tabs>
          <w:tab w:val="left" w:pos="1071"/>
        </w:tabs>
        <w:spacing w:after="0" w:line="240" w:lineRule="auto"/>
        <w:jc w:val="both"/>
        <w:rPr>
          <w:rFonts w:ascii="Times New Roman" w:eastAsia="Times New Roman" w:hAnsi="Times New Roman" w:cs="Times New Roman"/>
          <w:sz w:val="24"/>
          <w:szCs w:val="24"/>
        </w:rPr>
      </w:pPr>
    </w:p>
    <w:p w14:paraId="602A2CDE" w14:textId="77777777" w:rsidR="002456FC" w:rsidRDefault="00000000">
      <w:pPr>
        <w:pStyle w:val="Heading3"/>
        <w:spacing w:before="280" w:after="280" w:line="360" w:lineRule="auto"/>
        <w:rPr>
          <w:rFonts w:ascii="Arial" w:eastAsia="Arial" w:hAnsi="Arial" w:cs="Arial"/>
          <w:sz w:val="22"/>
          <w:szCs w:val="22"/>
        </w:rPr>
      </w:pPr>
      <w:r>
        <w:rPr>
          <w:rFonts w:ascii="Arial" w:eastAsia="Arial" w:hAnsi="Arial" w:cs="Arial"/>
          <w:sz w:val="22"/>
          <w:szCs w:val="22"/>
        </w:rPr>
        <w:lastRenderedPageBreak/>
        <w:t>4.8 Stability of Estimated Model</w:t>
      </w:r>
    </w:p>
    <w:p w14:paraId="4D081E3C" w14:textId="77777777" w:rsidR="002456FC"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The long-run stability tests of estimated regression coefficients of model were performed using the CUSUM and CUSUM of squares as suggested by Brown et al. (1975). The results are shown in Figure 4 and Figure 5. </w:t>
      </w:r>
    </w:p>
    <w:p w14:paraId="4B7CB89E" w14:textId="77777777" w:rsidR="002456FC" w:rsidRDefault="002456FC">
      <w:pPr>
        <w:spacing w:after="0" w:line="360" w:lineRule="auto"/>
        <w:jc w:val="both"/>
        <w:rPr>
          <w:rFonts w:ascii="Arial" w:eastAsia="Arial" w:hAnsi="Arial" w:cs="Arial"/>
          <w:b/>
          <w:sz w:val="20"/>
          <w:szCs w:val="20"/>
        </w:rPr>
      </w:pPr>
    </w:p>
    <w:p w14:paraId="0AC3508E" w14:textId="77777777" w:rsidR="002456FC" w:rsidRDefault="00000000">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object w:dxaOrig="8190" w:dyaOrig="3960" w14:anchorId="4E984F88">
          <v:shape id="_x0000_i1028" type="#_x0000_t75" style="width:409.2pt;height:197.75pt" o:ole="">
            <v:imagedata r:id="rId13" o:title=""/>
          </v:shape>
          <o:OLEObject Type="Embed" ProgID="EViews.Workfile.2" ShapeID="_x0000_i1028" DrawAspect="Content" ObjectID="_1821802499" r:id="rId14"/>
        </w:object>
      </w:r>
      <w:r>
        <w:rPr>
          <w:rFonts w:ascii="Times New Roman" w:eastAsia="Times New Roman" w:hAnsi="Times New Roman" w:cs="Times New Roman"/>
        </w:rPr>
        <w:t xml:space="preserve"> </w:t>
      </w:r>
    </w:p>
    <w:p w14:paraId="01F6122F" w14:textId="77777777" w:rsidR="002456FC" w:rsidRDefault="00000000">
      <w:pPr>
        <w:spacing w:line="360" w:lineRule="auto"/>
        <w:jc w:val="center"/>
        <w:rPr>
          <w:rFonts w:ascii="Times New Roman" w:eastAsia="Times New Roman" w:hAnsi="Times New Roman" w:cs="Times New Roman"/>
          <w:sz w:val="24"/>
          <w:szCs w:val="24"/>
        </w:rPr>
      </w:pPr>
      <w:r>
        <w:rPr>
          <w:rFonts w:ascii="Arial" w:eastAsia="Arial" w:hAnsi="Arial" w:cs="Arial"/>
          <w:i/>
          <w:sz w:val="20"/>
          <w:szCs w:val="20"/>
        </w:rPr>
        <w:t>Source: Prepared by authors</w:t>
      </w:r>
      <w:r>
        <w:rPr>
          <w:rFonts w:ascii="Times New Roman" w:eastAsia="Times New Roman" w:hAnsi="Times New Roman" w:cs="Times New Roman"/>
          <w:sz w:val="24"/>
          <w:szCs w:val="24"/>
        </w:rPr>
        <w:t>.</w:t>
      </w:r>
    </w:p>
    <w:p w14:paraId="58244A32" w14:textId="77777777" w:rsidR="002456FC" w:rsidRDefault="002456FC">
      <w:pPr>
        <w:spacing w:after="0" w:line="360" w:lineRule="auto"/>
        <w:jc w:val="both"/>
        <w:rPr>
          <w:rFonts w:ascii="Times New Roman" w:eastAsia="Times New Roman" w:hAnsi="Times New Roman" w:cs="Times New Roman"/>
          <w:sz w:val="24"/>
          <w:szCs w:val="24"/>
        </w:rPr>
      </w:pPr>
    </w:p>
    <w:p w14:paraId="033F580E" w14:textId="77777777" w:rsidR="002456FC" w:rsidRDefault="00000000">
      <w:pPr>
        <w:spacing w:after="0" w:line="360" w:lineRule="auto"/>
        <w:jc w:val="center"/>
        <w:rPr>
          <w:rFonts w:ascii="Arial" w:eastAsia="Arial" w:hAnsi="Arial" w:cs="Arial"/>
          <w:b/>
        </w:rPr>
      </w:pPr>
      <w:r>
        <w:rPr>
          <w:rFonts w:ascii="Arial" w:eastAsia="Arial" w:hAnsi="Arial" w:cs="Arial"/>
          <w:b/>
        </w:rPr>
        <w:t>Figure 4. CUSUM test</w:t>
      </w:r>
    </w:p>
    <w:p w14:paraId="3021CD2E" w14:textId="77777777" w:rsidR="002456FC" w:rsidRDefault="002456FC">
      <w:pPr>
        <w:spacing w:after="0" w:line="240" w:lineRule="auto"/>
        <w:rPr>
          <w:rFonts w:ascii="Times New Roman" w:eastAsia="Times New Roman" w:hAnsi="Times New Roman" w:cs="Times New Roman"/>
          <w:sz w:val="24"/>
          <w:szCs w:val="24"/>
        </w:rPr>
      </w:pPr>
    </w:p>
    <w:p w14:paraId="1BC92B1E" w14:textId="77777777" w:rsidR="002456FC" w:rsidRDefault="00000000">
      <w:pPr>
        <w:spacing w:after="0" w:line="240" w:lineRule="auto"/>
        <w:rPr>
          <w:rFonts w:ascii="Times New Roman" w:eastAsia="Times New Roman" w:hAnsi="Times New Roman" w:cs="Times New Roman"/>
          <w:b/>
          <w:sz w:val="24"/>
          <w:szCs w:val="24"/>
        </w:rPr>
      </w:pPr>
      <w:r>
        <w:object w:dxaOrig="8640" w:dyaOrig="4380" w14:anchorId="443003F9">
          <v:shape id="_x0000_i1029" type="#_x0000_t75" style="width:6in;height:218.75pt" o:ole="">
            <v:imagedata r:id="rId15" o:title=""/>
          </v:shape>
          <o:OLEObject Type="Embed" ProgID="EViews.Workfile.2" ShapeID="_x0000_i1029" DrawAspect="Content" ObjectID="_1821802500" r:id="rId16"/>
        </w:object>
      </w:r>
    </w:p>
    <w:p w14:paraId="0F87DA5E" w14:textId="77777777" w:rsidR="002456FC" w:rsidRDefault="002456FC">
      <w:pPr>
        <w:spacing w:after="0" w:line="240" w:lineRule="auto"/>
        <w:rPr>
          <w:rFonts w:ascii="Times New Roman" w:eastAsia="Times New Roman" w:hAnsi="Times New Roman" w:cs="Times New Roman"/>
          <w:b/>
          <w:sz w:val="24"/>
          <w:szCs w:val="24"/>
        </w:rPr>
      </w:pPr>
    </w:p>
    <w:p w14:paraId="69D11207" w14:textId="77777777" w:rsidR="002456FC" w:rsidRDefault="00000000">
      <w:pPr>
        <w:spacing w:line="360" w:lineRule="auto"/>
        <w:jc w:val="center"/>
        <w:rPr>
          <w:rFonts w:ascii="Arial" w:eastAsia="Arial" w:hAnsi="Arial" w:cs="Arial"/>
          <w:sz w:val="20"/>
          <w:szCs w:val="20"/>
        </w:rPr>
      </w:pPr>
      <w:r>
        <w:rPr>
          <w:rFonts w:ascii="Arial" w:eastAsia="Arial" w:hAnsi="Arial" w:cs="Arial"/>
          <w:i/>
          <w:sz w:val="20"/>
          <w:szCs w:val="20"/>
        </w:rPr>
        <w:t>Source: Prepared by authors</w:t>
      </w:r>
      <w:r>
        <w:rPr>
          <w:rFonts w:ascii="Arial" w:eastAsia="Arial" w:hAnsi="Arial" w:cs="Arial"/>
          <w:sz w:val="20"/>
          <w:szCs w:val="20"/>
        </w:rPr>
        <w:t>.</w:t>
      </w:r>
    </w:p>
    <w:p w14:paraId="14AD7422" w14:textId="77777777" w:rsidR="002456FC" w:rsidRDefault="00000000">
      <w:pPr>
        <w:spacing w:after="0" w:line="360" w:lineRule="auto"/>
        <w:jc w:val="center"/>
        <w:rPr>
          <w:rFonts w:ascii="Arial" w:eastAsia="Arial" w:hAnsi="Arial" w:cs="Arial"/>
          <w:b/>
        </w:rPr>
      </w:pPr>
      <w:r>
        <w:rPr>
          <w:rFonts w:ascii="Arial" w:eastAsia="Arial" w:hAnsi="Arial" w:cs="Arial"/>
          <w:b/>
        </w:rPr>
        <w:t>Figure 5. CUSUM of squares test</w:t>
      </w:r>
    </w:p>
    <w:p w14:paraId="5D4CEACE" w14:textId="77777777" w:rsidR="002456FC" w:rsidRDefault="002456FC">
      <w:pPr>
        <w:spacing w:line="360" w:lineRule="auto"/>
        <w:jc w:val="center"/>
        <w:rPr>
          <w:rFonts w:ascii="Arial" w:eastAsia="Arial" w:hAnsi="Arial" w:cs="Arial"/>
        </w:rPr>
      </w:pPr>
    </w:p>
    <w:p w14:paraId="6AD8D25A" w14:textId="77777777" w:rsidR="002456FC" w:rsidRDefault="002456FC">
      <w:pPr>
        <w:spacing w:line="360" w:lineRule="auto"/>
        <w:jc w:val="center"/>
        <w:rPr>
          <w:rFonts w:ascii="Times New Roman" w:eastAsia="Times New Roman" w:hAnsi="Times New Roman" w:cs="Times New Roman"/>
          <w:sz w:val="24"/>
          <w:szCs w:val="24"/>
        </w:rPr>
      </w:pPr>
    </w:p>
    <w:p w14:paraId="1B0AA7A8" w14:textId="77777777" w:rsidR="002456FC" w:rsidRDefault="002456FC">
      <w:pPr>
        <w:spacing w:after="0" w:line="240" w:lineRule="auto"/>
        <w:rPr>
          <w:rFonts w:ascii="Times New Roman" w:eastAsia="Times New Roman" w:hAnsi="Times New Roman" w:cs="Times New Roman"/>
          <w:sz w:val="20"/>
          <w:szCs w:val="20"/>
        </w:rPr>
      </w:pPr>
    </w:p>
    <w:p w14:paraId="02CE8D4F" w14:textId="77777777" w:rsidR="002456FC" w:rsidRDefault="00000000">
      <w:pPr>
        <w:spacing w:after="0" w:line="240" w:lineRule="auto"/>
        <w:jc w:val="both"/>
        <w:rPr>
          <w:rFonts w:ascii="Arial" w:eastAsia="Arial" w:hAnsi="Arial" w:cs="Arial"/>
          <w:sz w:val="20"/>
          <w:szCs w:val="20"/>
        </w:rPr>
      </w:pPr>
      <w:r>
        <w:rPr>
          <w:rFonts w:ascii="Arial" w:eastAsia="Arial" w:hAnsi="Arial" w:cs="Arial"/>
          <w:sz w:val="20"/>
          <w:szCs w:val="20"/>
        </w:rPr>
        <w:t>From Figure 4 and Figure 5, it can be concluded that the model is stable since in both the CUSUM test and CUSUM of Squares tests, the values lie within the 5 per cent significance boundaries during the sample period. Thus, the stability of the short run and long run coefficients of the estimated ARDL model is established.</w:t>
      </w:r>
    </w:p>
    <w:p w14:paraId="490FC8CB" w14:textId="77777777" w:rsidR="002456FC" w:rsidRDefault="002456FC">
      <w:pPr>
        <w:spacing w:after="0" w:line="240" w:lineRule="auto"/>
        <w:jc w:val="both"/>
        <w:rPr>
          <w:rFonts w:ascii="Arial" w:eastAsia="Arial" w:hAnsi="Arial" w:cs="Arial"/>
          <w:sz w:val="20"/>
          <w:szCs w:val="20"/>
        </w:rPr>
      </w:pPr>
    </w:p>
    <w:p w14:paraId="7D96FD52" w14:textId="77777777" w:rsidR="002456FC" w:rsidRDefault="00000000">
      <w:pPr>
        <w:spacing w:after="0" w:line="240" w:lineRule="auto"/>
        <w:jc w:val="both"/>
        <w:rPr>
          <w:rFonts w:ascii="Arial" w:eastAsia="Arial" w:hAnsi="Arial" w:cs="Arial"/>
          <w:sz w:val="20"/>
          <w:szCs w:val="20"/>
        </w:rPr>
      </w:pPr>
      <w:r>
        <w:rPr>
          <w:rFonts w:ascii="Arial" w:eastAsia="Arial" w:hAnsi="Arial" w:cs="Arial"/>
          <w:sz w:val="20"/>
          <w:szCs w:val="20"/>
        </w:rPr>
        <w:t>Jarque-Bera test of normality of residuals is given in figure 6.</w:t>
      </w:r>
    </w:p>
    <w:p w14:paraId="24812103" w14:textId="77777777" w:rsidR="002456FC" w:rsidRDefault="002456FC">
      <w:pPr>
        <w:spacing w:after="0" w:line="360" w:lineRule="auto"/>
        <w:jc w:val="both"/>
        <w:rPr>
          <w:rFonts w:ascii="Times New Roman" w:eastAsia="Times New Roman" w:hAnsi="Times New Roman" w:cs="Times New Roman"/>
          <w:sz w:val="24"/>
          <w:szCs w:val="24"/>
        </w:rPr>
      </w:pPr>
    </w:p>
    <w:p w14:paraId="08DC2B10" w14:textId="77777777" w:rsidR="002456FC" w:rsidRDefault="002456FC">
      <w:pPr>
        <w:spacing w:after="0" w:line="240" w:lineRule="auto"/>
        <w:rPr>
          <w:rFonts w:ascii="Times New Roman" w:eastAsia="Times New Roman" w:hAnsi="Times New Roman" w:cs="Times New Roman"/>
          <w:sz w:val="24"/>
          <w:szCs w:val="24"/>
        </w:rPr>
      </w:pPr>
    </w:p>
    <w:p w14:paraId="016CB66B" w14:textId="77777777" w:rsidR="002456FC" w:rsidRDefault="00000000">
      <w:pPr>
        <w:spacing w:line="360" w:lineRule="auto"/>
        <w:jc w:val="both"/>
        <w:rPr>
          <w:rFonts w:ascii="Times New Roman" w:eastAsia="Times New Roman" w:hAnsi="Times New Roman" w:cs="Times New Roman"/>
          <w:sz w:val="24"/>
          <w:szCs w:val="24"/>
        </w:rPr>
      </w:pPr>
      <w:r>
        <w:object w:dxaOrig="9420" w:dyaOrig="4425" w14:anchorId="0115530F">
          <v:shape id="_x0000_i1030" type="#_x0000_t75" style="width:471.2pt;height:221.45pt" o:ole="">
            <v:imagedata r:id="rId17" o:title=""/>
          </v:shape>
          <o:OLEObject Type="Embed" ProgID="EViews.Workfile.2" ShapeID="_x0000_i1030" DrawAspect="Content" ObjectID="_1821802501" r:id="rId18"/>
        </w:object>
      </w:r>
    </w:p>
    <w:p w14:paraId="429EE3CA" w14:textId="77777777" w:rsidR="002456FC" w:rsidRDefault="00000000">
      <w:pPr>
        <w:spacing w:line="360" w:lineRule="auto"/>
        <w:jc w:val="center"/>
        <w:rPr>
          <w:rFonts w:ascii="Arial" w:eastAsia="Arial" w:hAnsi="Arial" w:cs="Arial"/>
          <w:sz w:val="20"/>
          <w:szCs w:val="20"/>
        </w:rPr>
      </w:pPr>
      <w:r>
        <w:rPr>
          <w:rFonts w:ascii="Arial" w:eastAsia="Arial" w:hAnsi="Arial" w:cs="Arial"/>
          <w:i/>
          <w:sz w:val="20"/>
          <w:szCs w:val="20"/>
        </w:rPr>
        <w:t>Source: Prepared by authors</w:t>
      </w:r>
      <w:r>
        <w:rPr>
          <w:rFonts w:ascii="Arial" w:eastAsia="Arial" w:hAnsi="Arial" w:cs="Arial"/>
          <w:sz w:val="20"/>
          <w:szCs w:val="20"/>
        </w:rPr>
        <w:t>.</w:t>
      </w:r>
    </w:p>
    <w:p w14:paraId="649589B5" w14:textId="77777777" w:rsidR="002456FC" w:rsidRDefault="00000000">
      <w:pPr>
        <w:spacing w:after="0" w:line="360" w:lineRule="auto"/>
        <w:jc w:val="center"/>
        <w:rPr>
          <w:rFonts w:ascii="Arial" w:eastAsia="Arial" w:hAnsi="Arial" w:cs="Arial"/>
          <w:b/>
        </w:rPr>
      </w:pPr>
      <w:r>
        <w:rPr>
          <w:rFonts w:ascii="Arial" w:eastAsia="Arial" w:hAnsi="Arial" w:cs="Arial"/>
          <w:b/>
        </w:rPr>
        <w:t>Figure 6. Normality of residual graph</w:t>
      </w:r>
    </w:p>
    <w:p w14:paraId="57D0DB70" w14:textId="77777777" w:rsidR="002456FC" w:rsidRDefault="002456FC">
      <w:pPr>
        <w:spacing w:line="360" w:lineRule="auto"/>
        <w:jc w:val="center"/>
        <w:rPr>
          <w:rFonts w:ascii="Times New Roman" w:eastAsia="Times New Roman" w:hAnsi="Times New Roman" w:cs="Times New Roman"/>
          <w:sz w:val="24"/>
          <w:szCs w:val="24"/>
        </w:rPr>
      </w:pPr>
    </w:p>
    <w:p w14:paraId="027F4D1B" w14:textId="77777777" w:rsidR="002456FC" w:rsidRDefault="00000000">
      <w:pPr>
        <w:spacing w:line="360" w:lineRule="auto"/>
        <w:jc w:val="both"/>
        <w:rPr>
          <w:rFonts w:ascii="Arial" w:eastAsia="Arial" w:hAnsi="Arial" w:cs="Arial"/>
          <w:sz w:val="20"/>
          <w:szCs w:val="20"/>
        </w:rPr>
      </w:pPr>
      <w:r>
        <w:rPr>
          <w:rFonts w:ascii="Arial" w:eastAsia="Arial" w:hAnsi="Arial" w:cs="Arial"/>
          <w:sz w:val="20"/>
          <w:szCs w:val="20"/>
        </w:rPr>
        <w:t>Results of Jarque-Bera given in Figure 6 show that residuals are normally distributed.</w:t>
      </w:r>
    </w:p>
    <w:p w14:paraId="68BDAA1F" w14:textId="77777777" w:rsidR="002456FC" w:rsidRDefault="00000000">
      <w:pPr>
        <w:pStyle w:val="Heading3"/>
        <w:spacing w:before="280" w:after="280" w:line="360" w:lineRule="auto"/>
        <w:rPr>
          <w:rFonts w:ascii="Arial" w:eastAsia="Arial" w:hAnsi="Arial" w:cs="Arial"/>
          <w:sz w:val="22"/>
          <w:szCs w:val="22"/>
        </w:rPr>
      </w:pPr>
      <w:r>
        <w:rPr>
          <w:rFonts w:ascii="Arial" w:eastAsia="Arial" w:hAnsi="Arial" w:cs="Arial"/>
          <w:sz w:val="22"/>
          <w:szCs w:val="22"/>
        </w:rPr>
        <w:t xml:space="preserve">4.9 Residual Diagnostic Tests </w:t>
      </w:r>
    </w:p>
    <w:p w14:paraId="4F3452A3" w14:textId="77777777" w:rsidR="002456FC" w:rsidRDefault="00000000">
      <w:pPr>
        <w:spacing w:line="240" w:lineRule="auto"/>
        <w:jc w:val="both"/>
        <w:rPr>
          <w:rFonts w:ascii="Arial" w:eastAsia="Arial" w:hAnsi="Arial" w:cs="Arial"/>
          <w:sz w:val="20"/>
          <w:szCs w:val="20"/>
        </w:rPr>
      </w:pPr>
      <w:r>
        <w:rPr>
          <w:rFonts w:ascii="Arial" w:eastAsia="Arial" w:hAnsi="Arial" w:cs="Arial"/>
          <w:sz w:val="20"/>
          <w:szCs w:val="20"/>
        </w:rPr>
        <w:t>To determine the robustness of the model, some standard diagnostic tests are conducted on the residuals. The results of these tests are presented in the Table 7.</w:t>
      </w:r>
    </w:p>
    <w:p w14:paraId="25530CDC" w14:textId="77777777" w:rsidR="002456FC" w:rsidRDefault="00000000">
      <w:pPr>
        <w:spacing w:after="0" w:line="240" w:lineRule="auto"/>
        <w:jc w:val="center"/>
        <w:rPr>
          <w:rFonts w:ascii="Arial" w:eastAsia="Arial" w:hAnsi="Arial" w:cs="Arial"/>
          <w:b/>
        </w:rPr>
      </w:pPr>
      <w:r>
        <w:rPr>
          <w:rFonts w:ascii="Arial" w:eastAsia="Arial" w:hAnsi="Arial" w:cs="Arial"/>
          <w:b/>
        </w:rPr>
        <w:t>Table 7. Results of diagnostic tests on residuals</w:t>
      </w:r>
    </w:p>
    <w:tbl>
      <w:tblPr>
        <w:tblStyle w:val="a5"/>
        <w:tblW w:w="909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965"/>
        <w:gridCol w:w="1620"/>
        <w:gridCol w:w="1170"/>
        <w:gridCol w:w="3335"/>
      </w:tblGrid>
      <w:tr w:rsidR="002456FC" w14:paraId="2934CE19" w14:textId="77777777">
        <w:tc>
          <w:tcPr>
            <w:tcW w:w="2965" w:type="dxa"/>
            <w:tcBorders>
              <w:top w:val="single" w:sz="4" w:space="0" w:color="000000"/>
              <w:bottom w:val="single" w:sz="4" w:space="0" w:color="000000"/>
            </w:tcBorders>
          </w:tcPr>
          <w:p w14:paraId="7E211EFF" w14:textId="77777777" w:rsidR="002456FC" w:rsidRDefault="00000000">
            <w:pPr>
              <w:rPr>
                <w:rFonts w:ascii="Arial" w:eastAsia="Arial" w:hAnsi="Arial" w:cs="Arial"/>
                <w:b/>
                <w:sz w:val="20"/>
                <w:szCs w:val="20"/>
              </w:rPr>
            </w:pPr>
            <w:r>
              <w:rPr>
                <w:rFonts w:ascii="Arial" w:eastAsia="Arial" w:hAnsi="Arial" w:cs="Arial"/>
                <w:b/>
                <w:sz w:val="20"/>
                <w:szCs w:val="20"/>
              </w:rPr>
              <w:t>Test</w:t>
            </w:r>
          </w:p>
        </w:tc>
        <w:tc>
          <w:tcPr>
            <w:tcW w:w="1620" w:type="dxa"/>
            <w:tcBorders>
              <w:top w:val="single" w:sz="4" w:space="0" w:color="000000"/>
              <w:bottom w:val="single" w:sz="4" w:space="0" w:color="000000"/>
            </w:tcBorders>
          </w:tcPr>
          <w:p w14:paraId="57AF1CFD" w14:textId="77777777" w:rsidR="002456FC" w:rsidRDefault="00000000">
            <w:pPr>
              <w:rPr>
                <w:rFonts w:ascii="Arial" w:eastAsia="Arial" w:hAnsi="Arial" w:cs="Arial"/>
                <w:b/>
                <w:sz w:val="20"/>
                <w:szCs w:val="20"/>
              </w:rPr>
            </w:pPr>
            <w:r>
              <w:rPr>
                <w:rFonts w:ascii="Arial" w:eastAsia="Arial" w:hAnsi="Arial" w:cs="Arial"/>
                <w:b/>
                <w:sz w:val="20"/>
                <w:szCs w:val="20"/>
              </w:rPr>
              <w:t>Test statistic</w:t>
            </w:r>
          </w:p>
        </w:tc>
        <w:tc>
          <w:tcPr>
            <w:tcW w:w="1170" w:type="dxa"/>
            <w:tcBorders>
              <w:top w:val="single" w:sz="4" w:space="0" w:color="000000"/>
              <w:bottom w:val="single" w:sz="4" w:space="0" w:color="000000"/>
            </w:tcBorders>
          </w:tcPr>
          <w:p w14:paraId="73F7F597" w14:textId="77777777" w:rsidR="002456FC" w:rsidRDefault="00000000">
            <w:pPr>
              <w:rPr>
                <w:rFonts w:ascii="Arial" w:eastAsia="Arial" w:hAnsi="Arial" w:cs="Arial"/>
                <w:b/>
                <w:sz w:val="20"/>
                <w:szCs w:val="20"/>
              </w:rPr>
            </w:pPr>
            <w:r>
              <w:rPr>
                <w:rFonts w:ascii="Arial" w:eastAsia="Arial" w:hAnsi="Arial" w:cs="Arial"/>
                <w:b/>
                <w:sz w:val="20"/>
                <w:szCs w:val="20"/>
              </w:rPr>
              <w:t>p value</w:t>
            </w:r>
          </w:p>
        </w:tc>
        <w:tc>
          <w:tcPr>
            <w:tcW w:w="3335" w:type="dxa"/>
            <w:tcBorders>
              <w:top w:val="single" w:sz="4" w:space="0" w:color="000000"/>
              <w:bottom w:val="single" w:sz="4" w:space="0" w:color="000000"/>
            </w:tcBorders>
          </w:tcPr>
          <w:p w14:paraId="0A95A057" w14:textId="77777777" w:rsidR="002456FC" w:rsidRDefault="00000000">
            <w:pPr>
              <w:rPr>
                <w:rFonts w:ascii="Arial" w:eastAsia="Arial" w:hAnsi="Arial" w:cs="Arial"/>
                <w:b/>
                <w:sz w:val="20"/>
                <w:szCs w:val="20"/>
              </w:rPr>
            </w:pPr>
            <w:r>
              <w:rPr>
                <w:rFonts w:ascii="Arial" w:eastAsia="Arial" w:hAnsi="Arial" w:cs="Arial"/>
                <w:b/>
                <w:sz w:val="20"/>
                <w:szCs w:val="20"/>
              </w:rPr>
              <w:t>Conclusion</w:t>
            </w:r>
          </w:p>
        </w:tc>
      </w:tr>
      <w:tr w:rsidR="002456FC" w14:paraId="5F09C828" w14:textId="77777777">
        <w:tc>
          <w:tcPr>
            <w:tcW w:w="2965" w:type="dxa"/>
            <w:tcBorders>
              <w:top w:val="single" w:sz="4" w:space="0" w:color="000000"/>
            </w:tcBorders>
          </w:tcPr>
          <w:p w14:paraId="69D35A2A" w14:textId="77777777" w:rsidR="002456FC" w:rsidRDefault="00000000">
            <w:pPr>
              <w:rPr>
                <w:rFonts w:ascii="Arial" w:eastAsia="Arial" w:hAnsi="Arial" w:cs="Arial"/>
                <w:sz w:val="20"/>
                <w:szCs w:val="20"/>
              </w:rPr>
            </w:pPr>
            <w:r>
              <w:rPr>
                <w:rFonts w:ascii="Arial" w:eastAsia="Arial" w:hAnsi="Arial" w:cs="Arial"/>
                <w:sz w:val="20"/>
                <w:szCs w:val="20"/>
              </w:rPr>
              <w:t>Ramsey Reset Test</w:t>
            </w:r>
          </w:p>
        </w:tc>
        <w:tc>
          <w:tcPr>
            <w:tcW w:w="1620" w:type="dxa"/>
            <w:tcBorders>
              <w:top w:val="single" w:sz="4" w:space="0" w:color="000000"/>
            </w:tcBorders>
          </w:tcPr>
          <w:p w14:paraId="6C36E93A" w14:textId="77777777" w:rsidR="002456FC" w:rsidRDefault="00000000">
            <w:pPr>
              <w:rPr>
                <w:rFonts w:ascii="Arial" w:eastAsia="Arial" w:hAnsi="Arial" w:cs="Arial"/>
                <w:sz w:val="20"/>
                <w:szCs w:val="20"/>
              </w:rPr>
            </w:pPr>
            <w:r>
              <w:rPr>
                <w:rFonts w:ascii="Arial" w:eastAsia="Arial" w:hAnsi="Arial" w:cs="Arial"/>
                <w:sz w:val="20"/>
                <w:szCs w:val="20"/>
              </w:rPr>
              <w:t>F = 0.494</w:t>
            </w:r>
          </w:p>
        </w:tc>
        <w:tc>
          <w:tcPr>
            <w:tcW w:w="1170" w:type="dxa"/>
            <w:tcBorders>
              <w:top w:val="single" w:sz="4" w:space="0" w:color="000000"/>
            </w:tcBorders>
          </w:tcPr>
          <w:p w14:paraId="119E4C76" w14:textId="77777777" w:rsidR="002456FC" w:rsidRDefault="00000000">
            <w:pPr>
              <w:rPr>
                <w:rFonts w:ascii="Arial" w:eastAsia="Arial" w:hAnsi="Arial" w:cs="Arial"/>
                <w:sz w:val="20"/>
                <w:szCs w:val="20"/>
              </w:rPr>
            </w:pPr>
            <w:r>
              <w:rPr>
                <w:rFonts w:ascii="Arial" w:eastAsia="Arial" w:hAnsi="Arial" w:cs="Arial"/>
                <w:sz w:val="20"/>
                <w:szCs w:val="20"/>
              </w:rPr>
              <w:t>0.504</w:t>
            </w:r>
          </w:p>
        </w:tc>
        <w:tc>
          <w:tcPr>
            <w:tcW w:w="3335" w:type="dxa"/>
            <w:tcBorders>
              <w:top w:val="single" w:sz="4" w:space="0" w:color="000000"/>
            </w:tcBorders>
          </w:tcPr>
          <w:p w14:paraId="00E7FE0C" w14:textId="77777777" w:rsidR="002456FC" w:rsidRDefault="00000000">
            <w:pPr>
              <w:rPr>
                <w:rFonts w:ascii="Arial" w:eastAsia="Arial" w:hAnsi="Arial" w:cs="Arial"/>
                <w:sz w:val="20"/>
                <w:szCs w:val="20"/>
              </w:rPr>
            </w:pPr>
            <w:r>
              <w:rPr>
                <w:rFonts w:ascii="Arial" w:eastAsia="Arial" w:hAnsi="Arial" w:cs="Arial"/>
                <w:sz w:val="20"/>
                <w:szCs w:val="20"/>
              </w:rPr>
              <w:t>Model is correctly specified</w:t>
            </w:r>
          </w:p>
        </w:tc>
      </w:tr>
      <w:tr w:rsidR="002456FC" w14:paraId="11234D3F" w14:textId="77777777">
        <w:tc>
          <w:tcPr>
            <w:tcW w:w="2965" w:type="dxa"/>
          </w:tcPr>
          <w:p w14:paraId="15509069" w14:textId="77777777" w:rsidR="002456FC" w:rsidRDefault="00000000">
            <w:pPr>
              <w:rPr>
                <w:rFonts w:ascii="Arial" w:eastAsia="Arial" w:hAnsi="Arial" w:cs="Arial"/>
                <w:sz w:val="20"/>
                <w:szCs w:val="20"/>
              </w:rPr>
            </w:pPr>
            <w:r>
              <w:rPr>
                <w:rFonts w:ascii="Arial" w:eastAsia="Arial" w:hAnsi="Arial" w:cs="Arial"/>
                <w:sz w:val="20"/>
                <w:szCs w:val="20"/>
              </w:rPr>
              <w:t>Breusch-Godfrey LM test for Serial Correlation</w:t>
            </w:r>
          </w:p>
        </w:tc>
        <w:tc>
          <w:tcPr>
            <w:tcW w:w="1620" w:type="dxa"/>
          </w:tcPr>
          <w:p w14:paraId="4EC0BDF9" w14:textId="77777777" w:rsidR="002456FC" w:rsidRDefault="00000000">
            <w:pPr>
              <w:rPr>
                <w:rFonts w:ascii="Arial" w:eastAsia="Arial" w:hAnsi="Arial" w:cs="Arial"/>
                <w:sz w:val="20"/>
                <w:szCs w:val="20"/>
              </w:rPr>
            </w:pPr>
            <w:r>
              <w:rPr>
                <w:rFonts w:ascii="Arial" w:eastAsia="Arial" w:hAnsi="Arial" w:cs="Arial"/>
                <w:sz w:val="20"/>
                <w:szCs w:val="20"/>
              </w:rPr>
              <w:t>F = 3.146</w:t>
            </w:r>
          </w:p>
        </w:tc>
        <w:tc>
          <w:tcPr>
            <w:tcW w:w="1170" w:type="dxa"/>
          </w:tcPr>
          <w:p w14:paraId="5344CB47" w14:textId="77777777" w:rsidR="002456FC" w:rsidRDefault="00000000">
            <w:pPr>
              <w:rPr>
                <w:rFonts w:ascii="Arial" w:eastAsia="Arial" w:hAnsi="Arial" w:cs="Arial"/>
                <w:sz w:val="20"/>
                <w:szCs w:val="20"/>
              </w:rPr>
            </w:pPr>
            <w:r>
              <w:rPr>
                <w:rFonts w:ascii="Arial" w:eastAsia="Arial" w:hAnsi="Arial" w:cs="Arial"/>
                <w:sz w:val="20"/>
                <w:szCs w:val="20"/>
              </w:rPr>
              <w:t>0.504</w:t>
            </w:r>
          </w:p>
        </w:tc>
        <w:tc>
          <w:tcPr>
            <w:tcW w:w="3335" w:type="dxa"/>
          </w:tcPr>
          <w:p w14:paraId="11374A1F" w14:textId="77777777" w:rsidR="002456FC" w:rsidRDefault="00000000">
            <w:pPr>
              <w:rPr>
                <w:rFonts w:ascii="Arial" w:eastAsia="Arial" w:hAnsi="Arial" w:cs="Arial"/>
                <w:sz w:val="20"/>
                <w:szCs w:val="20"/>
              </w:rPr>
            </w:pPr>
            <w:r>
              <w:rPr>
                <w:rFonts w:ascii="Arial" w:eastAsia="Arial" w:hAnsi="Arial" w:cs="Arial"/>
                <w:sz w:val="20"/>
                <w:szCs w:val="20"/>
              </w:rPr>
              <w:t>No serial correlation in residuals</w:t>
            </w:r>
          </w:p>
        </w:tc>
      </w:tr>
      <w:tr w:rsidR="002456FC" w14:paraId="5E3CAFDE" w14:textId="77777777">
        <w:tc>
          <w:tcPr>
            <w:tcW w:w="2965" w:type="dxa"/>
            <w:tcBorders>
              <w:bottom w:val="single" w:sz="4" w:space="0" w:color="000000"/>
            </w:tcBorders>
          </w:tcPr>
          <w:p w14:paraId="12573664" w14:textId="77777777" w:rsidR="002456FC" w:rsidRDefault="00000000">
            <w:pPr>
              <w:rPr>
                <w:rFonts w:ascii="Arial" w:eastAsia="Arial" w:hAnsi="Arial" w:cs="Arial"/>
                <w:sz w:val="20"/>
                <w:szCs w:val="20"/>
              </w:rPr>
            </w:pPr>
            <w:r>
              <w:rPr>
                <w:rFonts w:ascii="Arial" w:eastAsia="Arial" w:hAnsi="Arial" w:cs="Arial"/>
                <w:sz w:val="20"/>
                <w:szCs w:val="20"/>
              </w:rPr>
              <w:t>Breusch-Pagan-Godfrey Test for Heteroscedasticity</w:t>
            </w:r>
          </w:p>
        </w:tc>
        <w:tc>
          <w:tcPr>
            <w:tcW w:w="1620" w:type="dxa"/>
            <w:tcBorders>
              <w:bottom w:val="single" w:sz="4" w:space="0" w:color="000000"/>
            </w:tcBorders>
          </w:tcPr>
          <w:p w14:paraId="36CE5F43" w14:textId="77777777" w:rsidR="002456FC" w:rsidRDefault="00000000">
            <w:pPr>
              <w:rPr>
                <w:rFonts w:ascii="Arial" w:eastAsia="Arial" w:hAnsi="Arial" w:cs="Arial"/>
                <w:sz w:val="20"/>
                <w:szCs w:val="20"/>
              </w:rPr>
            </w:pPr>
            <w:r>
              <w:rPr>
                <w:rFonts w:ascii="Arial" w:eastAsia="Arial" w:hAnsi="Arial" w:cs="Arial"/>
                <w:sz w:val="20"/>
                <w:szCs w:val="20"/>
              </w:rPr>
              <w:t>F = 0.289</w:t>
            </w:r>
          </w:p>
        </w:tc>
        <w:tc>
          <w:tcPr>
            <w:tcW w:w="1170" w:type="dxa"/>
            <w:tcBorders>
              <w:bottom w:val="single" w:sz="4" w:space="0" w:color="000000"/>
            </w:tcBorders>
          </w:tcPr>
          <w:p w14:paraId="26296B60" w14:textId="77777777" w:rsidR="002456FC" w:rsidRDefault="00000000">
            <w:pPr>
              <w:rPr>
                <w:rFonts w:ascii="Arial" w:eastAsia="Arial" w:hAnsi="Arial" w:cs="Arial"/>
                <w:sz w:val="20"/>
                <w:szCs w:val="20"/>
              </w:rPr>
            </w:pPr>
            <w:r>
              <w:rPr>
                <w:rFonts w:ascii="Arial" w:eastAsia="Arial" w:hAnsi="Arial" w:cs="Arial"/>
                <w:sz w:val="20"/>
                <w:szCs w:val="20"/>
              </w:rPr>
              <w:t>0.995</w:t>
            </w:r>
          </w:p>
        </w:tc>
        <w:tc>
          <w:tcPr>
            <w:tcW w:w="3335" w:type="dxa"/>
            <w:tcBorders>
              <w:bottom w:val="single" w:sz="4" w:space="0" w:color="000000"/>
            </w:tcBorders>
          </w:tcPr>
          <w:p w14:paraId="1E091A25" w14:textId="77777777" w:rsidR="002456FC" w:rsidRDefault="00000000">
            <w:pPr>
              <w:rPr>
                <w:rFonts w:ascii="Arial" w:eastAsia="Arial" w:hAnsi="Arial" w:cs="Arial"/>
                <w:sz w:val="20"/>
                <w:szCs w:val="20"/>
              </w:rPr>
            </w:pPr>
            <w:r>
              <w:rPr>
                <w:rFonts w:ascii="Arial" w:eastAsia="Arial" w:hAnsi="Arial" w:cs="Arial"/>
                <w:sz w:val="20"/>
                <w:szCs w:val="20"/>
              </w:rPr>
              <w:t>No heteroscedasticity in residuals</w:t>
            </w:r>
          </w:p>
        </w:tc>
      </w:tr>
    </w:tbl>
    <w:p w14:paraId="5933BADA" w14:textId="77777777" w:rsidR="002456FC" w:rsidRDefault="00000000">
      <w:pPr>
        <w:spacing w:line="360" w:lineRule="auto"/>
        <w:jc w:val="center"/>
        <w:rPr>
          <w:rFonts w:ascii="Times New Roman" w:eastAsia="Times New Roman" w:hAnsi="Times New Roman" w:cs="Times New Roman"/>
          <w:b/>
          <w:sz w:val="24"/>
          <w:szCs w:val="24"/>
        </w:rPr>
      </w:pPr>
      <w:r>
        <w:rPr>
          <w:rFonts w:ascii="Arial" w:eastAsia="Arial" w:hAnsi="Arial" w:cs="Arial"/>
          <w:i/>
          <w:sz w:val="20"/>
          <w:szCs w:val="20"/>
        </w:rPr>
        <w:t>Source: Authors' Own</w:t>
      </w:r>
      <w:r>
        <w:rPr>
          <w:rFonts w:ascii="Arial" w:eastAsia="Arial" w:hAnsi="Arial" w:cs="Arial"/>
          <w:sz w:val="20"/>
          <w:szCs w:val="20"/>
        </w:rPr>
        <w:t xml:space="preserve"> calculation.</w:t>
      </w:r>
    </w:p>
    <w:p w14:paraId="309429EB" w14:textId="77777777" w:rsidR="002456FC" w:rsidRDefault="00000000">
      <w:pPr>
        <w:spacing w:line="240" w:lineRule="auto"/>
        <w:jc w:val="both"/>
        <w:rPr>
          <w:rFonts w:ascii="Arial" w:eastAsia="Arial" w:hAnsi="Arial" w:cs="Arial"/>
          <w:sz w:val="20"/>
          <w:szCs w:val="20"/>
        </w:rPr>
      </w:pPr>
      <w:r>
        <w:rPr>
          <w:rFonts w:ascii="Arial" w:eastAsia="Arial" w:hAnsi="Arial" w:cs="Arial"/>
          <w:sz w:val="20"/>
          <w:szCs w:val="20"/>
        </w:rPr>
        <w:t>From Table 7, it is clear that the model is correctly specified and it is free from the problems of serial correlation and heteroscedasticity. Thus, the results of stability tests and residual diagnostic tests indicate that the estimated ARDL model is appropriate for analytical purposes.</w:t>
      </w:r>
    </w:p>
    <w:p w14:paraId="6CC5831B" w14:textId="77777777" w:rsidR="00A43425" w:rsidRDefault="00A43425">
      <w:pPr>
        <w:spacing w:line="240" w:lineRule="auto"/>
        <w:jc w:val="both"/>
        <w:rPr>
          <w:rFonts w:ascii="Arial" w:eastAsia="Arial" w:hAnsi="Arial" w:cs="Arial"/>
          <w:b/>
          <w:color w:val="FF0000"/>
        </w:rPr>
      </w:pPr>
    </w:p>
    <w:p w14:paraId="3F18E55A" w14:textId="3225BCB7" w:rsidR="002456FC" w:rsidRDefault="00000000">
      <w:pPr>
        <w:spacing w:line="240" w:lineRule="auto"/>
        <w:jc w:val="both"/>
        <w:rPr>
          <w:rFonts w:ascii="Arial" w:eastAsia="Arial" w:hAnsi="Arial" w:cs="Arial"/>
          <w:b/>
          <w:color w:val="FF0000"/>
        </w:rPr>
      </w:pPr>
      <w:r>
        <w:rPr>
          <w:rFonts w:ascii="Arial" w:eastAsia="Arial" w:hAnsi="Arial" w:cs="Arial"/>
          <w:b/>
          <w:color w:val="FF0000"/>
        </w:rPr>
        <w:lastRenderedPageBreak/>
        <w:t xml:space="preserve">4.10 Discussion </w:t>
      </w:r>
    </w:p>
    <w:p w14:paraId="39238463" w14:textId="77777777" w:rsidR="002456FC" w:rsidRDefault="00000000">
      <w:pPr>
        <w:spacing w:after="0" w:line="240" w:lineRule="auto"/>
        <w:jc w:val="both"/>
        <w:rPr>
          <w:rFonts w:ascii="Arial" w:eastAsia="Arial" w:hAnsi="Arial" w:cs="Arial"/>
          <w:color w:val="FF0000"/>
          <w:sz w:val="20"/>
          <w:szCs w:val="20"/>
        </w:rPr>
      </w:pPr>
      <w:r>
        <w:rPr>
          <w:rFonts w:ascii="Arial" w:eastAsia="Arial" w:hAnsi="Arial" w:cs="Arial"/>
          <w:color w:val="FF0000"/>
          <w:sz w:val="20"/>
          <w:szCs w:val="20"/>
        </w:rPr>
        <w:t xml:space="preserve">The results indicate that manufacturing sector is an important driver of India’s economic growth.  The coefficient of LNMANP is 0.81, observed to be positive and significant at 5 per cent level of significance, indicating that manufacturing sector is the major driven of India’s economic growth.  Supporting this, the literature has also underpinned the significance of manufacturing sector. Fagerberg and </w:t>
      </w:r>
      <w:proofErr w:type="spellStart"/>
      <w:r>
        <w:rPr>
          <w:rFonts w:ascii="Arial" w:eastAsia="Arial" w:hAnsi="Arial" w:cs="Arial"/>
          <w:color w:val="FF0000"/>
          <w:sz w:val="20"/>
          <w:szCs w:val="20"/>
        </w:rPr>
        <w:t>Vespagen</w:t>
      </w:r>
      <w:proofErr w:type="spellEnd"/>
      <w:r>
        <w:rPr>
          <w:rFonts w:ascii="Arial" w:eastAsia="Arial" w:hAnsi="Arial" w:cs="Arial"/>
          <w:color w:val="FF0000"/>
          <w:sz w:val="20"/>
          <w:szCs w:val="20"/>
        </w:rPr>
        <w:t xml:space="preserve"> (1999) found that greater growth coefficient of the manufacturing sector reflects high share in GDP. Thus, it can be considered as the engine of economy’s growth. In similar vein, the study by Kathuria and Natarajan (2013) revealed that despite the declining share, the Indian manufacturing sector had a key role in boosting the Indian economy. It concluded that </w:t>
      </w:r>
      <w:proofErr w:type="spellStart"/>
      <w:r>
        <w:rPr>
          <w:rFonts w:ascii="Arial" w:eastAsia="Arial" w:hAnsi="Arial" w:cs="Arial"/>
          <w:color w:val="FF0000"/>
          <w:sz w:val="20"/>
          <w:szCs w:val="20"/>
        </w:rPr>
        <w:t>highercaptial</w:t>
      </w:r>
      <w:proofErr w:type="spellEnd"/>
      <w:r>
        <w:rPr>
          <w:rFonts w:ascii="Arial" w:eastAsia="Arial" w:hAnsi="Arial" w:cs="Arial"/>
          <w:color w:val="FF0000"/>
          <w:sz w:val="20"/>
          <w:szCs w:val="20"/>
        </w:rPr>
        <w:t xml:space="preserve"> inputs and labour usage drove the growth of the sector, ultimately contributing to the national economy. </w:t>
      </w:r>
    </w:p>
    <w:p w14:paraId="6CAEADE2" w14:textId="77777777" w:rsidR="00D3068F" w:rsidRDefault="00D3068F">
      <w:pPr>
        <w:spacing w:after="0" w:line="240" w:lineRule="auto"/>
        <w:jc w:val="both"/>
        <w:rPr>
          <w:rFonts w:ascii="Arial" w:eastAsia="Arial" w:hAnsi="Arial" w:cs="Arial"/>
          <w:color w:val="FF0000"/>
          <w:sz w:val="20"/>
          <w:szCs w:val="20"/>
        </w:rPr>
      </w:pPr>
    </w:p>
    <w:p w14:paraId="229AA9E0" w14:textId="4223A646" w:rsidR="002456FC" w:rsidRDefault="00000000">
      <w:pPr>
        <w:spacing w:after="0" w:line="240" w:lineRule="auto"/>
        <w:jc w:val="both"/>
        <w:rPr>
          <w:rFonts w:ascii="Arial" w:eastAsia="Arial" w:hAnsi="Arial" w:cs="Arial"/>
          <w:color w:val="FF0000"/>
          <w:sz w:val="20"/>
          <w:szCs w:val="20"/>
        </w:rPr>
      </w:pPr>
      <w:r>
        <w:rPr>
          <w:rFonts w:ascii="Arial" w:eastAsia="Arial" w:hAnsi="Arial" w:cs="Arial"/>
          <w:color w:val="FF0000"/>
          <w:sz w:val="20"/>
          <w:szCs w:val="20"/>
        </w:rPr>
        <w:t xml:space="preserve">Adding to the above discussion, </w:t>
      </w:r>
      <w:proofErr w:type="spellStart"/>
      <w:r>
        <w:rPr>
          <w:rFonts w:ascii="Arial" w:eastAsia="Arial" w:hAnsi="Arial" w:cs="Arial"/>
          <w:color w:val="FF0000"/>
          <w:sz w:val="20"/>
          <w:szCs w:val="20"/>
        </w:rPr>
        <w:t>Attiah</w:t>
      </w:r>
      <w:proofErr w:type="spellEnd"/>
      <w:r>
        <w:rPr>
          <w:rFonts w:ascii="Arial" w:eastAsia="Arial" w:hAnsi="Arial" w:cs="Arial"/>
          <w:color w:val="FF0000"/>
          <w:sz w:val="20"/>
          <w:szCs w:val="20"/>
        </w:rPr>
        <w:t xml:space="preserve"> (2019) denoted that manufacturing sector is primary driver of growth due to export expansion and productivity gains. In contrast, Dasgupta and Singh (2006) found that India’s service sector has the major contribution to GDP. Service sector is growing at faster pace than manufacturing sector, underpinning this notion. However, the study’s result showcase that the coefficient of service sector is 0.02, which is highly insignificant. On the other, the coefficient of agricultural sector is 0.55, suggesting that it is emerging as a driving force of the country’s growth.</w:t>
      </w:r>
    </w:p>
    <w:p w14:paraId="2273BD09" w14:textId="77777777" w:rsidR="002456FC" w:rsidRDefault="002456FC">
      <w:pPr>
        <w:spacing w:after="0" w:line="240" w:lineRule="auto"/>
        <w:rPr>
          <w:rFonts w:ascii="Arial" w:eastAsia="Arial" w:hAnsi="Arial" w:cs="Arial"/>
          <w:b/>
        </w:rPr>
      </w:pPr>
    </w:p>
    <w:p w14:paraId="4D27C0C2" w14:textId="77777777" w:rsidR="002456FC" w:rsidRDefault="00000000">
      <w:pPr>
        <w:spacing w:after="0" w:line="240" w:lineRule="auto"/>
        <w:rPr>
          <w:rFonts w:ascii="Arial" w:eastAsia="Arial" w:hAnsi="Arial" w:cs="Arial"/>
          <w:b/>
        </w:rPr>
      </w:pPr>
      <w:r>
        <w:rPr>
          <w:rFonts w:ascii="Arial" w:eastAsia="Arial" w:hAnsi="Arial" w:cs="Arial"/>
          <w:b/>
        </w:rPr>
        <w:t xml:space="preserve">5. CONCLUSION AND RECOMMENDATIONS </w:t>
      </w:r>
    </w:p>
    <w:p w14:paraId="091ABF0D" w14:textId="77777777" w:rsidR="002456FC" w:rsidRDefault="002456FC">
      <w:pPr>
        <w:spacing w:after="0" w:line="240" w:lineRule="auto"/>
        <w:rPr>
          <w:rFonts w:ascii="Times New Roman" w:eastAsia="Times New Roman" w:hAnsi="Times New Roman" w:cs="Times New Roman"/>
          <w:b/>
          <w:sz w:val="24"/>
          <w:szCs w:val="24"/>
        </w:rPr>
      </w:pPr>
    </w:p>
    <w:p w14:paraId="622010C4" w14:textId="77777777" w:rsidR="002456FC" w:rsidRDefault="00000000">
      <w:pPr>
        <w:spacing w:line="240" w:lineRule="auto"/>
        <w:jc w:val="both"/>
        <w:rPr>
          <w:rFonts w:ascii="Arial" w:eastAsia="Arial" w:hAnsi="Arial" w:cs="Arial"/>
          <w:sz w:val="20"/>
          <w:szCs w:val="20"/>
        </w:rPr>
      </w:pPr>
      <w:bookmarkStart w:id="22" w:name="_r493pxqi8899" w:colFirst="0" w:colLast="0"/>
      <w:bookmarkEnd w:id="22"/>
      <w:r>
        <w:rPr>
          <w:rFonts w:ascii="Arial" w:eastAsia="Arial" w:hAnsi="Arial" w:cs="Arial"/>
          <w:sz w:val="20"/>
          <w:szCs w:val="20"/>
        </w:rPr>
        <w:t xml:space="preserve">This study aims to examine a critical question: among the three sectors—agriculture, manufacturing, and services—which one serves as the key driver of India’s economic growth. The analysis uses annual data from 1960 to 2023, sourced from the World Bank’s World Development Indicators (WDI) and the Penn World Table. To identify the primary contributors to economic growth, the study employs the Autoregressive Distributed Lag (ARDL) bounds testing approach. Real GDP (RGDP) is used as the dependent variable, while the three main independent variables are AGRP, MANP, and SERP, representing the shares of agriculture, manufacturing, and service sectors in GDP, respectively. In addition, five control variables are incorporated: government expenditure (GE) as a percentage of GDP, gross capital formation (GCF) as a percentage of GDP, inflation (INF), trade openness (TOP, defined as exports plus imports as a percentage of GDP), and population growth rate (POP). Since the variables are a mix of stationary at level </w:t>
      </w:r>
      <w:proofErr w:type="gramStart"/>
      <w:r>
        <w:rPr>
          <w:rFonts w:ascii="Arial" w:eastAsia="Arial" w:hAnsi="Arial" w:cs="Arial"/>
          <w:sz w:val="20"/>
          <w:szCs w:val="20"/>
        </w:rPr>
        <w:t>I(</w:t>
      </w:r>
      <w:proofErr w:type="gramEnd"/>
      <w:r>
        <w:rPr>
          <w:rFonts w:ascii="Arial" w:eastAsia="Arial" w:hAnsi="Arial" w:cs="Arial"/>
          <w:sz w:val="20"/>
          <w:szCs w:val="20"/>
        </w:rPr>
        <w:t xml:space="preserve">0) and at first difference </w:t>
      </w:r>
      <w:proofErr w:type="gramStart"/>
      <w:r>
        <w:rPr>
          <w:rFonts w:ascii="Arial" w:eastAsia="Arial" w:hAnsi="Arial" w:cs="Arial"/>
          <w:sz w:val="20"/>
          <w:szCs w:val="20"/>
        </w:rPr>
        <w:t>I(</w:t>
      </w:r>
      <w:proofErr w:type="gramEnd"/>
      <w:r>
        <w:rPr>
          <w:rFonts w:ascii="Arial" w:eastAsia="Arial" w:hAnsi="Arial" w:cs="Arial"/>
          <w:sz w:val="20"/>
          <w:szCs w:val="20"/>
        </w:rPr>
        <w:t>1), the ARDL approach is suitable for this analysis.</w:t>
      </w:r>
    </w:p>
    <w:p w14:paraId="03300E24" w14:textId="77777777" w:rsidR="002456FC"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The results of the bounds test indicate that the estimated F-statistic exceeds the upper bound value </w:t>
      </w:r>
      <w:proofErr w:type="gramStart"/>
      <w:r>
        <w:rPr>
          <w:rFonts w:ascii="Arial" w:eastAsia="Arial" w:hAnsi="Arial" w:cs="Arial"/>
          <w:sz w:val="20"/>
          <w:szCs w:val="20"/>
        </w:rPr>
        <w:t>I(</w:t>
      </w:r>
      <w:proofErr w:type="gramEnd"/>
      <w:r>
        <w:rPr>
          <w:rFonts w:ascii="Arial" w:eastAsia="Arial" w:hAnsi="Arial" w:cs="Arial"/>
          <w:sz w:val="20"/>
          <w:szCs w:val="20"/>
        </w:rPr>
        <w:t>1) at the 5 per cent significance level, confirming the existence of a long-run relationship between India’s real GDP and the explanatory variables. The stability and robustness of the model parameters are further validated through a series of standard diagnostic tests. Both the CUSUM and CUSUM of Squares tests show that the values remain within the 5 per cent significance boundaries throughout the sample period, demonstrating the stability of the short-run and long-run coefficients of the estimated ARDL model. Additionally, the Ramsey RESET test confirms that the model is correctly specified, and diagnostic tests indicate no issues of autocorrelation or heteroskedasticity. The residuals are also normally distributed, reinforcing the robustness of the estimated model.</w:t>
      </w:r>
    </w:p>
    <w:p w14:paraId="659B33DF" w14:textId="77777777" w:rsidR="002456FC" w:rsidRDefault="002456FC">
      <w:pPr>
        <w:spacing w:after="0" w:line="240" w:lineRule="auto"/>
        <w:jc w:val="both"/>
        <w:rPr>
          <w:rFonts w:ascii="Arial" w:eastAsia="Arial" w:hAnsi="Arial" w:cs="Arial"/>
          <w:sz w:val="20"/>
          <w:szCs w:val="20"/>
        </w:rPr>
      </w:pPr>
    </w:p>
    <w:p w14:paraId="0E21E615" w14:textId="77777777" w:rsidR="002456FC" w:rsidRDefault="00000000">
      <w:pPr>
        <w:tabs>
          <w:tab w:val="left" w:pos="7710"/>
        </w:tabs>
        <w:spacing w:after="0" w:line="240" w:lineRule="auto"/>
        <w:jc w:val="both"/>
        <w:rPr>
          <w:rFonts w:ascii="Arial" w:eastAsia="Arial" w:hAnsi="Arial" w:cs="Arial"/>
          <w:sz w:val="20"/>
          <w:szCs w:val="20"/>
        </w:rPr>
      </w:pPr>
      <w:r>
        <w:rPr>
          <w:rFonts w:ascii="Arial" w:eastAsia="Arial" w:hAnsi="Arial" w:cs="Arial"/>
          <w:sz w:val="20"/>
          <w:szCs w:val="20"/>
        </w:rPr>
        <w:t xml:space="preserve">The study shows that the coefficients of trade openness, population growth and inflation are negative and significant, but the coefficients of gross capital formation and government expenditure are positive and significant. The most important result </w:t>
      </w:r>
      <w:r>
        <w:rPr>
          <w:rFonts w:ascii="Arial" w:eastAsia="Arial" w:hAnsi="Arial" w:cs="Arial"/>
          <w:color w:val="000000"/>
          <w:sz w:val="20"/>
          <w:szCs w:val="20"/>
        </w:rPr>
        <w:t>of the study is that, the coefficient of LNSERP is positive and highly insignificant, which indicates that now service sector is not driving force of India’s economic growth.</w:t>
      </w:r>
      <w:r>
        <w:rPr>
          <w:rFonts w:ascii="Arial" w:eastAsia="Arial" w:hAnsi="Arial" w:cs="Arial"/>
          <w:sz w:val="20"/>
          <w:szCs w:val="20"/>
        </w:rPr>
        <w:t xml:space="preserve"> However, the coefficient of </w:t>
      </w:r>
      <w:r>
        <w:rPr>
          <w:rFonts w:ascii="Arial" w:eastAsia="Arial" w:hAnsi="Arial" w:cs="Arial"/>
          <w:color w:val="000000"/>
          <w:sz w:val="20"/>
          <w:szCs w:val="20"/>
        </w:rPr>
        <w:t>LNMANP</w:t>
      </w:r>
      <w:r>
        <w:rPr>
          <w:rFonts w:ascii="Arial" w:eastAsia="Arial" w:hAnsi="Arial" w:cs="Arial"/>
          <w:sz w:val="20"/>
          <w:szCs w:val="20"/>
        </w:rPr>
        <w:t xml:space="preserve"> is positive and significant at 5 per cent level of significance. This indicates that in the current scenario manufacturing sector is main driver of economic growth of India. Similarly, coefficient of </w:t>
      </w:r>
      <w:r>
        <w:rPr>
          <w:rFonts w:ascii="Arial" w:eastAsia="Arial" w:hAnsi="Arial" w:cs="Arial"/>
          <w:color w:val="000000"/>
          <w:sz w:val="20"/>
          <w:szCs w:val="20"/>
        </w:rPr>
        <w:t>LNAGRP</w:t>
      </w:r>
      <w:r>
        <w:rPr>
          <w:rFonts w:ascii="Arial" w:eastAsia="Arial" w:hAnsi="Arial" w:cs="Arial"/>
          <w:sz w:val="20"/>
          <w:szCs w:val="20"/>
        </w:rPr>
        <w:t xml:space="preserve"> is also positive and significant at 1 per cent level of significance. This finding indicates that now the importance of agriculture as a driving force of India’s economic growth has emerged, particularly after Covid 19. The most important conclusion is that among the three sectors of the economy the effect of manufacturing sector is the highest therefore it can be considered as engine of the Indian economy, followed by agricultural sector.</w:t>
      </w:r>
    </w:p>
    <w:p w14:paraId="4584659B" w14:textId="77777777" w:rsidR="002456FC" w:rsidRDefault="002456FC">
      <w:pPr>
        <w:tabs>
          <w:tab w:val="left" w:pos="7710"/>
        </w:tabs>
        <w:spacing w:after="0" w:line="240" w:lineRule="auto"/>
        <w:jc w:val="both"/>
        <w:rPr>
          <w:rFonts w:ascii="Arial" w:eastAsia="Arial" w:hAnsi="Arial" w:cs="Arial"/>
          <w:sz w:val="20"/>
          <w:szCs w:val="20"/>
        </w:rPr>
      </w:pPr>
    </w:p>
    <w:p w14:paraId="033ACB12" w14:textId="77777777" w:rsidR="002456FC" w:rsidRDefault="00000000">
      <w:pPr>
        <w:tabs>
          <w:tab w:val="left" w:pos="7710"/>
        </w:tabs>
        <w:spacing w:after="0" w:line="240" w:lineRule="auto"/>
        <w:jc w:val="both"/>
        <w:rPr>
          <w:rFonts w:ascii="Arial" w:eastAsia="Arial" w:hAnsi="Arial" w:cs="Arial"/>
          <w:sz w:val="20"/>
          <w:szCs w:val="20"/>
        </w:rPr>
      </w:pPr>
      <w:r>
        <w:rPr>
          <w:rFonts w:ascii="Arial" w:eastAsia="Arial" w:hAnsi="Arial" w:cs="Arial"/>
          <w:sz w:val="20"/>
          <w:szCs w:val="20"/>
        </w:rPr>
        <w:t xml:space="preserve">The government should prioritize strengthening the manufacturing sector through initiatives such as Make in India and Startup India, ensuring their effective implementation and support to stimulate industrial growth. Addressing infrastructure needs is essential to enhance efficiency. Growth in sectors like renewable energy, electronics, and pharmaceuticals should be promoted through targeted </w:t>
      </w:r>
      <w:r>
        <w:rPr>
          <w:rFonts w:ascii="Arial" w:eastAsia="Arial" w:hAnsi="Arial" w:cs="Arial"/>
          <w:sz w:val="20"/>
          <w:szCs w:val="20"/>
        </w:rPr>
        <w:lastRenderedPageBreak/>
        <w:t>incentives. In agriculture, strategic investments in water management and irrigation systems are crucial, alongside providing farmers with efficient crop insurance and well-integrated market linkages to ensure fair prices. Collectively, these measures can create an environment conducive to employment generation, innovation, and sustainable growth in both the manufacturing and agricultural sectors.</w:t>
      </w:r>
    </w:p>
    <w:p w14:paraId="018D2A44" w14:textId="77777777" w:rsidR="002456FC" w:rsidRDefault="002456FC">
      <w:pPr>
        <w:tabs>
          <w:tab w:val="left" w:pos="7710"/>
        </w:tabs>
        <w:spacing w:after="0" w:line="240" w:lineRule="auto"/>
        <w:jc w:val="both"/>
        <w:rPr>
          <w:rFonts w:ascii="Arial" w:eastAsia="Arial" w:hAnsi="Arial" w:cs="Arial"/>
        </w:rPr>
      </w:pPr>
    </w:p>
    <w:p w14:paraId="1F9B1314" w14:textId="77777777" w:rsidR="002456FC" w:rsidRDefault="00000000">
      <w:pPr>
        <w:jc w:val="both"/>
        <w:rPr>
          <w:rFonts w:ascii="Arial" w:eastAsia="Arial" w:hAnsi="Arial" w:cs="Arial"/>
          <w:b/>
          <w:color w:val="FF0000"/>
        </w:rPr>
      </w:pPr>
      <w:r>
        <w:rPr>
          <w:rFonts w:ascii="Arial" w:eastAsia="Arial" w:hAnsi="Arial" w:cs="Arial"/>
          <w:b/>
          <w:color w:val="FF0000"/>
        </w:rPr>
        <w:t>5.1 Limitations and Recommendations for Future Research</w:t>
      </w:r>
    </w:p>
    <w:p w14:paraId="1B379C5C" w14:textId="77777777" w:rsidR="002456FC" w:rsidRDefault="00000000">
      <w:pPr>
        <w:jc w:val="both"/>
        <w:rPr>
          <w:rFonts w:ascii="Arial" w:eastAsia="Arial" w:hAnsi="Arial" w:cs="Arial"/>
          <w:color w:val="FF0000"/>
          <w:sz w:val="20"/>
          <w:szCs w:val="20"/>
        </w:rPr>
      </w:pPr>
      <w:r>
        <w:rPr>
          <w:rFonts w:ascii="Arial" w:eastAsia="Arial" w:hAnsi="Arial" w:cs="Arial"/>
          <w:color w:val="FF0000"/>
          <w:sz w:val="20"/>
          <w:szCs w:val="20"/>
        </w:rPr>
        <w:t xml:space="preserve">The current study has relied on annual data from 1960 to 2023, which might have overlooked the regional differences and short-term fluctuations in India. The use of ARDL model was suitable for mixed integration; however, it does not account for non-linear relationships or structural breaks among the variables. </w:t>
      </w:r>
    </w:p>
    <w:p w14:paraId="3F7641A9" w14:textId="77777777" w:rsidR="002456FC" w:rsidRDefault="00000000">
      <w:pPr>
        <w:jc w:val="both"/>
        <w:rPr>
          <w:rFonts w:ascii="Arial" w:eastAsia="Arial" w:hAnsi="Arial" w:cs="Arial"/>
          <w:color w:val="FF0000"/>
          <w:sz w:val="20"/>
          <w:szCs w:val="20"/>
        </w:rPr>
      </w:pPr>
      <w:r>
        <w:rPr>
          <w:rFonts w:ascii="Arial" w:eastAsia="Arial" w:hAnsi="Arial" w:cs="Arial"/>
          <w:color w:val="FF0000"/>
          <w:sz w:val="20"/>
          <w:szCs w:val="20"/>
        </w:rPr>
        <w:t xml:space="preserve">For future research, the use of panel data is recommended to take time series and cross-sectional data into account for obtaining more information for higher efficiency of estimates. Further, future researchers are recommended to employ advanced econometric techniques like Nonlinear ARDL to capture dynamic sectorial interactions and regional variations.   </w:t>
      </w:r>
    </w:p>
    <w:p w14:paraId="36C1D67C" w14:textId="77777777" w:rsidR="002456FC" w:rsidRDefault="002456FC">
      <w:pPr>
        <w:rPr>
          <w:rFonts w:ascii="Arial" w:eastAsia="Arial" w:hAnsi="Arial" w:cs="Arial"/>
          <w:b/>
          <w:highlight w:val="yellow"/>
        </w:rPr>
      </w:pPr>
    </w:p>
    <w:p w14:paraId="454E2C5D" w14:textId="77777777" w:rsidR="002456FC" w:rsidRDefault="00000000">
      <w:pPr>
        <w:rPr>
          <w:rFonts w:ascii="Arial" w:eastAsia="Arial" w:hAnsi="Arial" w:cs="Arial"/>
          <w:b/>
          <w:highlight w:val="yellow"/>
        </w:rPr>
      </w:pPr>
      <w:r>
        <w:rPr>
          <w:rFonts w:ascii="Arial" w:eastAsia="Arial" w:hAnsi="Arial" w:cs="Arial"/>
          <w:b/>
          <w:highlight w:val="yellow"/>
        </w:rPr>
        <w:t>Disclaimer (Artificial intelligence)</w:t>
      </w:r>
    </w:p>
    <w:p w14:paraId="6308B30A" w14:textId="77777777" w:rsidR="002456FC" w:rsidRDefault="00000000">
      <w:pPr>
        <w:jc w:val="both"/>
        <w:rPr>
          <w:rFonts w:ascii="Arial" w:eastAsia="Arial" w:hAnsi="Arial" w:cs="Arial"/>
          <w:sz w:val="20"/>
          <w:szCs w:val="20"/>
          <w:highlight w:val="yellow"/>
        </w:rPr>
      </w:pPr>
      <w:r>
        <w:rPr>
          <w:rFonts w:ascii="Arial" w:eastAsia="Arial" w:hAnsi="Arial" w:cs="Arial"/>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p w14:paraId="5FC97CDE" w14:textId="77777777" w:rsidR="002456FC" w:rsidRDefault="002456FC">
      <w:pPr>
        <w:spacing w:after="0" w:line="240" w:lineRule="auto"/>
        <w:rPr>
          <w:rFonts w:ascii="Arial" w:eastAsia="Arial" w:hAnsi="Arial" w:cs="Arial"/>
          <w:b/>
          <w:color w:val="0D0D0D"/>
          <w:highlight w:val="white"/>
        </w:rPr>
      </w:pPr>
    </w:p>
    <w:p w14:paraId="4FC8429D" w14:textId="77777777" w:rsidR="002456FC" w:rsidRDefault="002456FC">
      <w:pPr>
        <w:spacing w:after="0" w:line="240" w:lineRule="auto"/>
        <w:rPr>
          <w:rFonts w:ascii="Arial" w:eastAsia="Arial" w:hAnsi="Arial" w:cs="Arial"/>
          <w:b/>
          <w:color w:val="0D0D0D"/>
          <w:highlight w:val="white"/>
        </w:rPr>
      </w:pPr>
    </w:p>
    <w:p w14:paraId="50B06570" w14:textId="77777777" w:rsidR="002456FC" w:rsidRDefault="00000000">
      <w:pPr>
        <w:spacing w:after="0" w:line="240" w:lineRule="auto"/>
        <w:rPr>
          <w:rFonts w:ascii="Arial" w:eastAsia="Arial" w:hAnsi="Arial" w:cs="Arial"/>
          <w:b/>
          <w:color w:val="0D0D0D"/>
          <w:highlight w:val="white"/>
        </w:rPr>
      </w:pPr>
      <w:r>
        <w:rPr>
          <w:rFonts w:ascii="Arial" w:eastAsia="Arial" w:hAnsi="Arial" w:cs="Arial"/>
          <w:b/>
          <w:color w:val="0D0D0D"/>
          <w:highlight w:val="white"/>
        </w:rPr>
        <w:t xml:space="preserve">REFERENCE </w:t>
      </w:r>
    </w:p>
    <w:p w14:paraId="1A3062D1" w14:textId="77777777" w:rsidR="002456FC" w:rsidRDefault="002456FC">
      <w:pPr>
        <w:spacing w:after="0" w:line="240" w:lineRule="auto"/>
        <w:rPr>
          <w:rFonts w:ascii="Times New Roman" w:eastAsia="Times New Roman" w:hAnsi="Times New Roman" w:cs="Times New Roman"/>
          <w:sz w:val="20"/>
          <w:szCs w:val="20"/>
        </w:rPr>
      </w:pPr>
    </w:p>
    <w:p w14:paraId="4D4B9955" w14:textId="77777777" w:rsidR="002456FC" w:rsidRDefault="00000000">
      <w:pPr>
        <w:spacing w:after="0" w:line="240" w:lineRule="auto"/>
        <w:ind w:left="720" w:hanging="720"/>
        <w:jc w:val="both"/>
        <w:rPr>
          <w:rFonts w:ascii="Arial" w:eastAsia="Arial" w:hAnsi="Arial" w:cs="Arial"/>
          <w:sz w:val="20"/>
          <w:szCs w:val="20"/>
          <w:highlight w:val="white"/>
        </w:rPr>
      </w:pPr>
      <w:proofErr w:type="spellStart"/>
      <w:r>
        <w:rPr>
          <w:rFonts w:ascii="Arial" w:eastAsia="Arial" w:hAnsi="Arial" w:cs="Arial"/>
          <w:sz w:val="20"/>
          <w:szCs w:val="20"/>
          <w:highlight w:val="white"/>
        </w:rPr>
        <w:t>Attiah</w:t>
      </w:r>
      <w:proofErr w:type="spellEnd"/>
      <w:r>
        <w:rPr>
          <w:rFonts w:ascii="Arial" w:eastAsia="Arial" w:hAnsi="Arial" w:cs="Arial"/>
          <w:sz w:val="20"/>
          <w:szCs w:val="20"/>
          <w:highlight w:val="white"/>
        </w:rPr>
        <w:t>, E. (2019). The role of manufacturing and service sectors in economic growth: An empirical study of developing countries. </w:t>
      </w:r>
      <w:r>
        <w:rPr>
          <w:rFonts w:ascii="Arial" w:eastAsia="Arial" w:hAnsi="Arial" w:cs="Arial"/>
          <w:i/>
          <w:sz w:val="20"/>
          <w:szCs w:val="20"/>
          <w:highlight w:val="white"/>
        </w:rPr>
        <w:t>European Research Studies Journal</w:t>
      </w:r>
      <w:r>
        <w:rPr>
          <w:rFonts w:ascii="Arial" w:eastAsia="Arial" w:hAnsi="Arial" w:cs="Arial"/>
          <w:sz w:val="20"/>
          <w:szCs w:val="20"/>
          <w:highlight w:val="white"/>
        </w:rPr>
        <w:t>, </w:t>
      </w:r>
      <w:r>
        <w:rPr>
          <w:rFonts w:ascii="Arial" w:eastAsia="Arial" w:hAnsi="Arial" w:cs="Arial"/>
          <w:i/>
          <w:sz w:val="20"/>
          <w:szCs w:val="20"/>
          <w:highlight w:val="white"/>
        </w:rPr>
        <w:t>22</w:t>
      </w:r>
      <w:r>
        <w:rPr>
          <w:rFonts w:ascii="Arial" w:eastAsia="Arial" w:hAnsi="Arial" w:cs="Arial"/>
          <w:sz w:val="20"/>
          <w:szCs w:val="20"/>
          <w:highlight w:val="white"/>
        </w:rPr>
        <w:t>(1), 112-127.</w:t>
      </w:r>
    </w:p>
    <w:p w14:paraId="68462E90" w14:textId="77777777" w:rsidR="002456FC" w:rsidRDefault="00000000">
      <w:pPr>
        <w:spacing w:after="0" w:line="240" w:lineRule="auto"/>
        <w:ind w:left="720" w:hanging="720"/>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Brown, R. L., Durbin, J., &amp; Evans, J. M. (1975). Techniques for testing the constancy of regression relationships over time. </w:t>
      </w:r>
      <w:r>
        <w:rPr>
          <w:rFonts w:ascii="Arial" w:eastAsia="Arial" w:hAnsi="Arial" w:cs="Arial"/>
          <w:i/>
          <w:color w:val="222222"/>
          <w:sz w:val="20"/>
          <w:szCs w:val="20"/>
          <w:highlight w:val="white"/>
        </w:rPr>
        <w:t>Journal of the Royal Statistical Society Series B: Statistical Methodology</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37</w:t>
      </w:r>
      <w:r>
        <w:rPr>
          <w:rFonts w:ascii="Arial" w:eastAsia="Arial" w:hAnsi="Arial" w:cs="Arial"/>
          <w:color w:val="222222"/>
          <w:sz w:val="20"/>
          <w:szCs w:val="20"/>
          <w:highlight w:val="white"/>
        </w:rPr>
        <w:t>(2), 149-163.</w:t>
      </w:r>
    </w:p>
    <w:p w14:paraId="67753E99" w14:textId="77777777" w:rsidR="002456FC" w:rsidRDefault="00000000">
      <w:pPr>
        <w:spacing w:after="0" w:line="240" w:lineRule="auto"/>
        <w:ind w:left="720" w:hanging="720"/>
        <w:jc w:val="both"/>
        <w:rPr>
          <w:rFonts w:ascii="Arial" w:eastAsia="Arial" w:hAnsi="Arial" w:cs="Arial"/>
          <w:sz w:val="20"/>
          <w:szCs w:val="20"/>
        </w:rPr>
      </w:pPr>
      <w:r>
        <w:rPr>
          <w:rFonts w:ascii="Arial" w:eastAsia="Arial" w:hAnsi="Arial" w:cs="Arial"/>
          <w:sz w:val="20"/>
          <w:szCs w:val="20"/>
        </w:rPr>
        <w:t xml:space="preserve">Chakravarty, S. &amp; Mitra, A. (2009). Is industry still the engine of growth? An econometric study of the organized sector employment in India. </w:t>
      </w:r>
      <w:r>
        <w:rPr>
          <w:rFonts w:ascii="Arial" w:eastAsia="Arial" w:hAnsi="Arial" w:cs="Arial"/>
          <w:i/>
          <w:sz w:val="20"/>
          <w:szCs w:val="20"/>
        </w:rPr>
        <w:t>Journal of Policy Modeling</w:t>
      </w:r>
      <w:r>
        <w:rPr>
          <w:rFonts w:ascii="Arial" w:eastAsia="Arial" w:hAnsi="Arial" w:cs="Arial"/>
          <w:sz w:val="20"/>
          <w:szCs w:val="20"/>
        </w:rPr>
        <w:t>, (31), 22-35.</w:t>
      </w:r>
    </w:p>
    <w:p w14:paraId="17EF7031" w14:textId="77777777" w:rsidR="002456FC" w:rsidRDefault="00000000">
      <w:pPr>
        <w:spacing w:after="0" w:line="240" w:lineRule="auto"/>
        <w:ind w:left="720" w:hanging="720"/>
        <w:jc w:val="both"/>
        <w:rPr>
          <w:rFonts w:ascii="Arial" w:eastAsia="Arial" w:hAnsi="Arial" w:cs="Arial"/>
          <w:i/>
          <w:sz w:val="20"/>
          <w:szCs w:val="20"/>
        </w:rPr>
      </w:pPr>
      <w:r>
        <w:rPr>
          <w:rFonts w:ascii="Arial" w:eastAsia="Arial" w:hAnsi="Arial" w:cs="Arial"/>
          <w:sz w:val="20"/>
          <w:szCs w:val="20"/>
        </w:rPr>
        <w:t xml:space="preserve">Cornwall, J. (1977). Modern Capitalism- Its growth and transformation. </w:t>
      </w:r>
      <w:r>
        <w:rPr>
          <w:rFonts w:ascii="Arial" w:eastAsia="Arial" w:hAnsi="Arial" w:cs="Arial"/>
          <w:i/>
          <w:sz w:val="20"/>
          <w:szCs w:val="20"/>
        </w:rPr>
        <w:t xml:space="preserve">Journal of Economic Issue,13, </w:t>
      </w:r>
      <w:r>
        <w:rPr>
          <w:rFonts w:ascii="Arial" w:eastAsia="Arial" w:hAnsi="Arial" w:cs="Arial"/>
          <w:sz w:val="20"/>
          <w:szCs w:val="20"/>
        </w:rPr>
        <w:t>796-799.</w:t>
      </w:r>
    </w:p>
    <w:p w14:paraId="57AFBDE6" w14:textId="77777777" w:rsidR="002456FC" w:rsidRDefault="00000000">
      <w:pPr>
        <w:spacing w:after="0" w:line="240" w:lineRule="auto"/>
        <w:ind w:left="720" w:hanging="720"/>
        <w:jc w:val="both"/>
        <w:rPr>
          <w:rFonts w:ascii="Arial" w:eastAsia="Arial" w:hAnsi="Arial" w:cs="Arial"/>
          <w:sz w:val="20"/>
          <w:szCs w:val="20"/>
        </w:rPr>
      </w:pPr>
      <w:r>
        <w:rPr>
          <w:rFonts w:ascii="Arial" w:eastAsia="Arial" w:hAnsi="Arial" w:cs="Arial"/>
          <w:sz w:val="20"/>
          <w:szCs w:val="20"/>
        </w:rPr>
        <w:t xml:space="preserve">Dasgupta, S. &amp; Singh, A. (2006). Manufacturing, services, and premature deindustrialization in developing countries: A </w:t>
      </w:r>
      <w:proofErr w:type="spellStart"/>
      <w:r>
        <w:rPr>
          <w:rFonts w:ascii="Arial" w:eastAsia="Arial" w:hAnsi="Arial" w:cs="Arial"/>
          <w:sz w:val="20"/>
          <w:szCs w:val="20"/>
        </w:rPr>
        <w:t>Kaldorian</w:t>
      </w:r>
      <w:proofErr w:type="spellEnd"/>
      <w:r>
        <w:rPr>
          <w:rFonts w:ascii="Arial" w:eastAsia="Arial" w:hAnsi="Arial" w:cs="Arial"/>
          <w:sz w:val="20"/>
          <w:szCs w:val="20"/>
        </w:rPr>
        <w:t xml:space="preserve"> analysis. </w:t>
      </w:r>
      <w:r>
        <w:rPr>
          <w:rFonts w:ascii="Arial" w:eastAsia="Arial" w:hAnsi="Arial" w:cs="Arial"/>
          <w:i/>
          <w:sz w:val="20"/>
          <w:szCs w:val="20"/>
        </w:rPr>
        <w:t>World Institute for Development Economic Research</w:t>
      </w:r>
      <w:r>
        <w:rPr>
          <w:rFonts w:ascii="Arial" w:eastAsia="Arial" w:hAnsi="Arial" w:cs="Arial"/>
          <w:sz w:val="20"/>
          <w:szCs w:val="20"/>
        </w:rPr>
        <w:t>, Research Paper No. 2006/49.</w:t>
      </w:r>
    </w:p>
    <w:p w14:paraId="0C14FFF1" w14:textId="77777777" w:rsidR="002456FC" w:rsidRDefault="00000000">
      <w:pPr>
        <w:spacing w:after="0" w:line="240" w:lineRule="auto"/>
        <w:ind w:left="720" w:hanging="720"/>
        <w:jc w:val="both"/>
        <w:rPr>
          <w:rFonts w:ascii="Arial" w:eastAsia="Arial" w:hAnsi="Arial" w:cs="Arial"/>
          <w:sz w:val="20"/>
          <w:szCs w:val="20"/>
        </w:rPr>
      </w:pPr>
      <w:proofErr w:type="spellStart"/>
      <w:r>
        <w:rPr>
          <w:rFonts w:ascii="Arial" w:eastAsia="Arial" w:hAnsi="Arial" w:cs="Arial"/>
          <w:sz w:val="20"/>
          <w:szCs w:val="20"/>
        </w:rPr>
        <w:t>Djidonou</w:t>
      </w:r>
      <w:proofErr w:type="spellEnd"/>
      <w:r>
        <w:rPr>
          <w:rFonts w:ascii="Arial" w:eastAsia="Arial" w:hAnsi="Arial" w:cs="Arial"/>
          <w:sz w:val="20"/>
          <w:szCs w:val="20"/>
        </w:rPr>
        <w:t xml:space="preserve">, G. R.&amp; Foster-McGregor, N. (2023). Stagnant manufacturing growth in India: The role of the informal economy. </w:t>
      </w:r>
      <w:r>
        <w:rPr>
          <w:rFonts w:ascii="Arial" w:eastAsia="Arial" w:hAnsi="Arial" w:cs="Arial"/>
          <w:i/>
          <w:sz w:val="20"/>
          <w:szCs w:val="20"/>
        </w:rPr>
        <w:t>Structural Change and Economic Dynamics,</w:t>
      </w:r>
      <w:r>
        <w:rPr>
          <w:rFonts w:ascii="Arial" w:eastAsia="Arial" w:hAnsi="Arial" w:cs="Arial"/>
          <w:sz w:val="20"/>
          <w:szCs w:val="20"/>
        </w:rPr>
        <w:t xml:space="preserve"> Vol (63), 528-543.</w:t>
      </w:r>
    </w:p>
    <w:p w14:paraId="1CAB7CCC" w14:textId="77777777" w:rsidR="002456FC" w:rsidRDefault="00000000">
      <w:pPr>
        <w:spacing w:after="0" w:line="240" w:lineRule="auto"/>
        <w:jc w:val="both"/>
        <w:rPr>
          <w:rFonts w:ascii="Arial" w:eastAsia="Arial" w:hAnsi="Arial" w:cs="Arial"/>
          <w:sz w:val="20"/>
          <w:szCs w:val="20"/>
        </w:rPr>
      </w:pPr>
      <w:proofErr w:type="spellStart"/>
      <w:r>
        <w:rPr>
          <w:rFonts w:ascii="Arial" w:eastAsia="Arial" w:hAnsi="Arial" w:cs="Arial"/>
          <w:sz w:val="20"/>
          <w:szCs w:val="20"/>
        </w:rPr>
        <w:t>Erumban</w:t>
      </w:r>
      <w:proofErr w:type="spellEnd"/>
      <w:r>
        <w:rPr>
          <w:rFonts w:ascii="Arial" w:eastAsia="Arial" w:hAnsi="Arial" w:cs="Arial"/>
          <w:sz w:val="20"/>
          <w:szCs w:val="20"/>
        </w:rPr>
        <w:t>, A. A., Das, D. K., Aggarwal, S. &amp; Das, P. C. (2019). Structural change and economic growth</w:t>
      </w:r>
    </w:p>
    <w:p w14:paraId="79DF5315" w14:textId="77777777" w:rsidR="002456FC" w:rsidRDefault="00000000">
      <w:pPr>
        <w:spacing w:after="0" w:line="240" w:lineRule="auto"/>
        <w:ind w:left="720" w:hanging="720"/>
        <w:jc w:val="both"/>
        <w:rPr>
          <w:rFonts w:ascii="Arial" w:eastAsia="Arial" w:hAnsi="Arial" w:cs="Arial"/>
          <w:sz w:val="20"/>
          <w:szCs w:val="20"/>
          <w:highlight w:val="white"/>
        </w:rPr>
      </w:pPr>
      <w:r>
        <w:rPr>
          <w:rFonts w:ascii="Arial" w:eastAsia="Arial" w:hAnsi="Arial" w:cs="Arial"/>
          <w:sz w:val="20"/>
          <w:szCs w:val="20"/>
          <w:highlight w:val="white"/>
        </w:rPr>
        <w:t xml:space="preserve">Fagerberg, J. &amp; </w:t>
      </w:r>
      <w:proofErr w:type="spellStart"/>
      <w:r>
        <w:rPr>
          <w:rFonts w:ascii="Arial" w:eastAsia="Arial" w:hAnsi="Arial" w:cs="Arial"/>
          <w:sz w:val="20"/>
          <w:szCs w:val="20"/>
          <w:highlight w:val="white"/>
        </w:rPr>
        <w:t>Verspagen</w:t>
      </w:r>
      <w:proofErr w:type="spellEnd"/>
      <w:r>
        <w:rPr>
          <w:rFonts w:ascii="Arial" w:eastAsia="Arial" w:hAnsi="Arial" w:cs="Arial"/>
          <w:sz w:val="20"/>
          <w:szCs w:val="20"/>
          <w:highlight w:val="white"/>
        </w:rPr>
        <w:t xml:space="preserve">, B. (1999). ‘Modern Capitalism ’in the 1970s and 1980s’. in </w:t>
      </w:r>
      <w:r>
        <w:rPr>
          <w:rFonts w:ascii="Arial" w:eastAsia="Arial" w:hAnsi="Arial" w:cs="Arial"/>
          <w:i/>
          <w:sz w:val="20"/>
          <w:szCs w:val="20"/>
          <w:highlight w:val="white"/>
        </w:rPr>
        <w:t>Growth, employment, and inflation: Essays in Honour of John Cornwall</w:t>
      </w:r>
      <w:r>
        <w:rPr>
          <w:rFonts w:ascii="Arial" w:eastAsia="Arial" w:hAnsi="Arial" w:cs="Arial"/>
          <w:sz w:val="20"/>
          <w:szCs w:val="20"/>
          <w:highlight w:val="white"/>
        </w:rPr>
        <w:t>, 113-126. London: Palgrave Macmillan UK.</w:t>
      </w:r>
    </w:p>
    <w:p w14:paraId="07833695" w14:textId="77777777" w:rsidR="002456FC" w:rsidRDefault="00000000">
      <w:pPr>
        <w:spacing w:after="0" w:line="240" w:lineRule="auto"/>
        <w:ind w:left="720" w:hanging="720"/>
        <w:jc w:val="both"/>
        <w:rPr>
          <w:rFonts w:ascii="Arial" w:eastAsia="Arial" w:hAnsi="Arial" w:cs="Arial"/>
          <w:sz w:val="20"/>
          <w:szCs w:val="20"/>
        </w:rPr>
      </w:pPr>
      <w:r>
        <w:rPr>
          <w:rFonts w:ascii="Arial" w:eastAsia="Arial" w:hAnsi="Arial" w:cs="Arial"/>
          <w:sz w:val="20"/>
          <w:szCs w:val="20"/>
        </w:rPr>
        <w:t xml:space="preserve">Fagerberg, J. &amp; </w:t>
      </w:r>
      <w:proofErr w:type="spellStart"/>
      <w:r>
        <w:rPr>
          <w:rFonts w:ascii="Arial" w:eastAsia="Arial" w:hAnsi="Arial" w:cs="Arial"/>
          <w:sz w:val="20"/>
          <w:szCs w:val="20"/>
        </w:rPr>
        <w:t>Verspagen</w:t>
      </w:r>
      <w:proofErr w:type="spellEnd"/>
      <w:r>
        <w:rPr>
          <w:rFonts w:ascii="Arial" w:eastAsia="Arial" w:hAnsi="Arial" w:cs="Arial"/>
          <w:sz w:val="20"/>
          <w:szCs w:val="20"/>
        </w:rPr>
        <w:t xml:space="preserve">, B. (2002). Technology-gaps, innovation-diffusion and transformation: An evolutionary interpretation. </w:t>
      </w:r>
      <w:r>
        <w:rPr>
          <w:rFonts w:ascii="Arial" w:eastAsia="Arial" w:hAnsi="Arial" w:cs="Arial"/>
          <w:i/>
          <w:sz w:val="20"/>
          <w:szCs w:val="20"/>
        </w:rPr>
        <w:t>Research Policy,</w:t>
      </w:r>
      <w:r>
        <w:rPr>
          <w:rFonts w:ascii="Arial" w:eastAsia="Arial" w:hAnsi="Arial" w:cs="Arial"/>
          <w:sz w:val="20"/>
          <w:szCs w:val="20"/>
        </w:rPr>
        <w:t xml:space="preserve"> 31, 1291-1304.</w:t>
      </w:r>
    </w:p>
    <w:p w14:paraId="4FD19F9C" w14:textId="77777777" w:rsidR="002456FC" w:rsidRDefault="00000000">
      <w:pPr>
        <w:spacing w:after="0" w:line="240" w:lineRule="auto"/>
        <w:ind w:left="720" w:hanging="720"/>
        <w:jc w:val="both"/>
        <w:rPr>
          <w:rFonts w:ascii="Arial" w:eastAsia="Arial" w:hAnsi="Arial" w:cs="Arial"/>
          <w:sz w:val="20"/>
          <w:szCs w:val="20"/>
        </w:rPr>
      </w:pPr>
      <w:r>
        <w:rPr>
          <w:rFonts w:ascii="Arial" w:eastAsia="Arial" w:hAnsi="Arial" w:cs="Arial"/>
          <w:sz w:val="20"/>
          <w:szCs w:val="20"/>
        </w:rPr>
        <w:t>Fei, J. C. &amp; Ranis, G. (1964</w:t>
      </w:r>
      <w:r>
        <w:rPr>
          <w:rFonts w:ascii="Arial" w:eastAsia="Arial" w:hAnsi="Arial" w:cs="Arial"/>
          <w:i/>
          <w:sz w:val="20"/>
          <w:szCs w:val="20"/>
        </w:rPr>
        <w:t>). Development of the Labor Surplus Economy: Theory and policy</w:t>
      </w:r>
      <w:r>
        <w:rPr>
          <w:rFonts w:ascii="Arial" w:eastAsia="Arial" w:hAnsi="Arial" w:cs="Arial"/>
          <w:sz w:val="20"/>
          <w:szCs w:val="20"/>
        </w:rPr>
        <w:t>.</w:t>
      </w:r>
      <w:r>
        <w:rPr>
          <w:rFonts w:ascii="Arial" w:eastAsia="Arial" w:hAnsi="Arial" w:cs="Arial"/>
          <w:i/>
          <w:sz w:val="20"/>
          <w:szCs w:val="20"/>
        </w:rPr>
        <w:t xml:space="preserve"> </w:t>
      </w:r>
      <w:r>
        <w:rPr>
          <w:rFonts w:ascii="Arial" w:eastAsia="Arial" w:hAnsi="Arial" w:cs="Arial"/>
          <w:sz w:val="20"/>
          <w:szCs w:val="20"/>
          <w:highlight w:val="white"/>
        </w:rPr>
        <w:t>Cambridge University Press.</w:t>
      </w:r>
      <w:r>
        <w:rPr>
          <w:rFonts w:ascii="Arial" w:eastAsia="Arial" w:hAnsi="Arial" w:cs="Arial"/>
          <w:sz w:val="20"/>
          <w:szCs w:val="20"/>
        </w:rPr>
        <w:t xml:space="preserve"> </w:t>
      </w:r>
    </w:p>
    <w:p w14:paraId="37E50754" w14:textId="77777777" w:rsidR="002456FC" w:rsidRDefault="00000000">
      <w:pPr>
        <w:spacing w:after="0" w:line="240" w:lineRule="auto"/>
        <w:ind w:left="720" w:hanging="720"/>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Ghose, A. K., &amp; Mehta, B. S. (2022). </w:t>
      </w:r>
      <w:r>
        <w:rPr>
          <w:rFonts w:ascii="Arial" w:eastAsia="Arial" w:hAnsi="Arial" w:cs="Arial"/>
          <w:i/>
          <w:color w:val="222222"/>
          <w:sz w:val="20"/>
          <w:szCs w:val="20"/>
          <w:highlight w:val="white"/>
        </w:rPr>
        <w:t>New technologies, employment and inequality in the Indian economy</w:t>
      </w:r>
      <w:r>
        <w:rPr>
          <w:rFonts w:ascii="Arial" w:eastAsia="Arial" w:hAnsi="Arial" w:cs="Arial"/>
          <w:color w:val="222222"/>
          <w:sz w:val="20"/>
          <w:szCs w:val="20"/>
          <w:highlight w:val="white"/>
        </w:rPr>
        <w:t>. Institute for Human Development.</w:t>
      </w:r>
    </w:p>
    <w:p w14:paraId="6856EB51" w14:textId="77777777" w:rsidR="002456FC" w:rsidRDefault="00000000">
      <w:pPr>
        <w:spacing w:after="0" w:line="240" w:lineRule="auto"/>
        <w:ind w:left="720" w:hanging="720"/>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Goldar, B., Das, P. C., &amp; Dutta, S. (2024). The role of services in India's post-reform economic growth. </w:t>
      </w:r>
      <w:r>
        <w:rPr>
          <w:rFonts w:ascii="Arial" w:eastAsia="Arial" w:hAnsi="Arial" w:cs="Arial"/>
          <w:i/>
          <w:color w:val="222222"/>
          <w:sz w:val="20"/>
          <w:szCs w:val="20"/>
          <w:highlight w:val="white"/>
        </w:rPr>
        <w:t>Structural Change and Economic Dynamics</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68</w:t>
      </w:r>
      <w:r>
        <w:rPr>
          <w:rFonts w:ascii="Arial" w:eastAsia="Arial" w:hAnsi="Arial" w:cs="Arial"/>
          <w:color w:val="222222"/>
          <w:sz w:val="20"/>
          <w:szCs w:val="20"/>
          <w:highlight w:val="white"/>
        </w:rPr>
        <w:t>, 355-370.</w:t>
      </w:r>
    </w:p>
    <w:p w14:paraId="698E7F67" w14:textId="77777777" w:rsidR="002456FC" w:rsidRDefault="00000000">
      <w:pPr>
        <w:spacing w:after="0" w:line="240" w:lineRule="auto"/>
        <w:ind w:left="720" w:hanging="720"/>
        <w:jc w:val="both"/>
        <w:rPr>
          <w:rFonts w:ascii="Arial" w:eastAsia="Arial" w:hAnsi="Arial" w:cs="Arial"/>
          <w:sz w:val="20"/>
          <w:szCs w:val="20"/>
        </w:rPr>
      </w:pPr>
      <w:r>
        <w:rPr>
          <w:rFonts w:ascii="Arial" w:eastAsia="Arial" w:hAnsi="Arial" w:cs="Arial"/>
          <w:sz w:val="20"/>
          <w:szCs w:val="20"/>
          <w:highlight w:val="white"/>
        </w:rPr>
        <w:t>Hirschman, A.O. (1958).</w:t>
      </w:r>
      <w:r>
        <w:t xml:space="preserve"> </w:t>
      </w:r>
      <w:r>
        <w:rPr>
          <w:rFonts w:ascii="Arial" w:eastAsia="Arial" w:hAnsi="Arial" w:cs="Arial"/>
          <w:i/>
          <w:sz w:val="20"/>
          <w:szCs w:val="20"/>
          <w:highlight w:val="white"/>
        </w:rPr>
        <w:t>The Strategy of Economic Development.</w:t>
      </w:r>
      <w:r>
        <w:t xml:space="preserve"> </w:t>
      </w:r>
      <w:r>
        <w:rPr>
          <w:rFonts w:ascii="Arial" w:eastAsia="Arial" w:hAnsi="Arial" w:cs="Arial"/>
          <w:sz w:val="20"/>
          <w:szCs w:val="20"/>
          <w:highlight w:val="white"/>
        </w:rPr>
        <w:t xml:space="preserve">New Haven, </w:t>
      </w:r>
      <w:proofErr w:type="gramStart"/>
      <w:r>
        <w:rPr>
          <w:rFonts w:ascii="Arial" w:eastAsia="Arial" w:hAnsi="Arial" w:cs="Arial"/>
          <w:sz w:val="20"/>
          <w:szCs w:val="20"/>
          <w:highlight w:val="white"/>
        </w:rPr>
        <w:t>Conn. :</w:t>
      </w:r>
      <w:proofErr w:type="gramEnd"/>
      <w:r>
        <w:rPr>
          <w:rFonts w:ascii="Arial" w:eastAsia="Arial" w:hAnsi="Arial" w:cs="Arial"/>
          <w:sz w:val="20"/>
          <w:szCs w:val="20"/>
          <w:highlight w:val="white"/>
        </w:rPr>
        <w:t xml:space="preserve"> Yale University</w:t>
      </w:r>
      <w:r>
        <w:rPr>
          <w:rFonts w:ascii="Arial" w:eastAsia="Arial" w:hAnsi="Arial" w:cs="Arial"/>
          <w:sz w:val="20"/>
          <w:szCs w:val="20"/>
        </w:rPr>
        <w:t xml:space="preserve"> in India. </w:t>
      </w:r>
      <w:r>
        <w:rPr>
          <w:rFonts w:ascii="Arial" w:eastAsia="Arial" w:hAnsi="Arial" w:cs="Arial"/>
          <w:i/>
          <w:sz w:val="20"/>
          <w:szCs w:val="20"/>
        </w:rPr>
        <w:t>Structural Change and Economic Dynamics</w:t>
      </w:r>
      <w:r>
        <w:rPr>
          <w:rFonts w:ascii="Arial" w:eastAsia="Arial" w:hAnsi="Arial" w:cs="Arial"/>
          <w:sz w:val="20"/>
          <w:szCs w:val="20"/>
        </w:rPr>
        <w:t>, 51,186-202.</w:t>
      </w:r>
    </w:p>
    <w:p w14:paraId="1ABA91B9" w14:textId="77777777" w:rsidR="002456FC" w:rsidRDefault="00000000">
      <w:pPr>
        <w:spacing w:after="0" w:line="240" w:lineRule="auto"/>
        <w:ind w:left="720" w:hanging="720"/>
        <w:jc w:val="both"/>
        <w:rPr>
          <w:rFonts w:ascii="Arial" w:eastAsia="Arial" w:hAnsi="Arial" w:cs="Arial"/>
          <w:sz w:val="20"/>
          <w:szCs w:val="20"/>
        </w:rPr>
      </w:pPr>
      <w:r>
        <w:rPr>
          <w:rFonts w:ascii="Arial" w:eastAsia="Arial" w:hAnsi="Arial" w:cs="Arial"/>
          <w:sz w:val="20"/>
          <w:szCs w:val="20"/>
        </w:rPr>
        <w:t>Juhász, R., Lane, N., &amp; Rodrik, D. (2023). The new economics of industrial policy. Annual Review of Economics, 15, 589–613.</w:t>
      </w:r>
    </w:p>
    <w:p w14:paraId="027530FD" w14:textId="77777777" w:rsidR="002456FC" w:rsidRDefault="00000000">
      <w:pPr>
        <w:spacing w:after="0" w:line="240" w:lineRule="auto"/>
        <w:ind w:left="720" w:hanging="720"/>
        <w:jc w:val="both"/>
        <w:rPr>
          <w:rFonts w:ascii="Arial" w:eastAsia="Arial" w:hAnsi="Arial" w:cs="Arial"/>
          <w:sz w:val="20"/>
          <w:szCs w:val="20"/>
          <w:highlight w:val="white"/>
        </w:rPr>
      </w:pPr>
      <w:r>
        <w:rPr>
          <w:rFonts w:ascii="Arial" w:eastAsia="Arial" w:hAnsi="Arial" w:cs="Arial"/>
          <w:sz w:val="20"/>
          <w:szCs w:val="20"/>
          <w:highlight w:val="white"/>
        </w:rPr>
        <w:lastRenderedPageBreak/>
        <w:t>Kaldor, N. (1967</w:t>
      </w:r>
      <w:r>
        <w:rPr>
          <w:rFonts w:ascii="Arial" w:eastAsia="Arial" w:hAnsi="Arial" w:cs="Arial"/>
          <w:i/>
          <w:sz w:val="20"/>
          <w:szCs w:val="20"/>
          <w:highlight w:val="white"/>
        </w:rPr>
        <w:t>). Strategic Factors in Economic Development</w:t>
      </w:r>
      <w:r>
        <w:rPr>
          <w:rFonts w:ascii="Arial" w:eastAsia="Arial" w:hAnsi="Arial" w:cs="Arial"/>
          <w:sz w:val="20"/>
          <w:szCs w:val="20"/>
          <w:highlight w:val="white"/>
        </w:rPr>
        <w:t>.</w:t>
      </w:r>
      <w:r>
        <w:rPr>
          <w:rFonts w:ascii="Arial" w:eastAsia="Arial" w:hAnsi="Arial" w:cs="Arial"/>
          <w:sz w:val="20"/>
          <w:szCs w:val="20"/>
        </w:rPr>
        <w:t xml:space="preserve"> </w:t>
      </w:r>
      <w:r>
        <w:rPr>
          <w:rFonts w:ascii="Arial" w:eastAsia="Arial" w:hAnsi="Arial" w:cs="Arial"/>
          <w:sz w:val="20"/>
          <w:szCs w:val="20"/>
          <w:highlight w:val="white"/>
        </w:rPr>
        <w:t xml:space="preserve">New York State School of Industrial and </w:t>
      </w:r>
      <w:r>
        <w:rPr>
          <w:rFonts w:ascii="Arial" w:eastAsia="Arial" w:hAnsi="Arial" w:cs="Arial"/>
          <w:color w:val="000000"/>
          <w:sz w:val="20"/>
          <w:szCs w:val="20"/>
          <w:highlight w:val="white"/>
        </w:rPr>
        <w:t>Labor Relations, Cornell University.</w:t>
      </w:r>
    </w:p>
    <w:p w14:paraId="64E51806" w14:textId="77777777" w:rsidR="002456FC" w:rsidRDefault="00000000">
      <w:pPr>
        <w:spacing w:after="0" w:line="240" w:lineRule="auto"/>
        <w:ind w:left="720" w:hanging="720"/>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Kaldor, N. (1996). </w:t>
      </w:r>
      <w:r>
        <w:rPr>
          <w:rFonts w:ascii="Arial" w:eastAsia="Arial" w:hAnsi="Arial" w:cs="Arial"/>
          <w:i/>
          <w:color w:val="000000"/>
          <w:sz w:val="20"/>
          <w:szCs w:val="20"/>
          <w:highlight w:val="white"/>
        </w:rPr>
        <w:t>Causes Of Growth and Stagnation in the World Economy</w:t>
      </w:r>
      <w:r>
        <w:rPr>
          <w:rFonts w:ascii="Arial" w:eastAsia="Arial" w:hAnsi="Arial" w:cs="Arial"/>
          <w:color w:val="000000"/>
          <w:sz w:val="20"/>
          <w:szCs w:val="20"/>
          <w:highlight w:val="white"/>
        </w:rPr>
        <w:t>.</w:t>
      </w:r>
      <w:r>
        <w:rPr>
          <w:rFonts w:ascii="Arial" w:eastAsia="Arial" w:hAnsi="Arial" w:cs="Arial"/>
          <w:i/>
          <w:color w:val="000000"/>
          <w:sz w:val="20"/>
          <w:szCs w:val="20"/>
          <w:highlight w:val="white"/>
        </w:rPr>
        <w:t xml:space="preserve"> </w:t>
      </w:r>
      <w:r>
        <w:rPr>
          <w:rFonts w:ascii="Arial" w:eastAsia="Arial" w:hAnsi="Arial" w:cs="Arial"/>
          <w:color w:val="000000"/>
          <w:sz w:val="20"/>
          <w:szCs w:val="20"/>
          <w:highlight w:val="white"/>
        </w:rPr>
        <w:t>Cambridge University Press, 55-70.</w:t>
      </w:r>
    </w:p>
    <w:p w14:paraId="43D78E46" w14:textId="77777777" w:rsidR="002456FC" w:rsidRDefault="00000000">
      <w:pPr>
        <w:spacing w:after="0" w:line="240" w:lineRule="auto"/>
        <w:ind w:left="720" w:hanging="720"/>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Kathuria, V., &amp; Natarajan, R. R. (2013). Is manufacturing an engine of growth in India in the post-nineties? </w:t>
      </w:r>
      <w:r>
        <w:rPr>
          <w:rFonts w:ascii="Arial" w:eastAsia="Arial" w:hAnsi="Arial" w:cs="Arial"/>
          <w:i/>
          <w:color w:val="000000"/>
          <w:sz w:val="20"/>
          <w:szCs w:val="20"/>
          <w:highlight w:val="white"/>
        </w:rPr>
        <w:t>Journal of South Asian Development</w:t>
      </w:r>
      <w:r>
        <w:rPr>
          <w:rFonts w:ascii="Arial" w:eastAsia="Arial" w:hAnsi="Arial" w:cs="Arial"/>
          <w:color w:val="000000"/>
          <w:sz w:val="20"/>
          <w:szCs w:val="20"/>
          <w:highlight w:val="white"/>
        </w:rPr>
        <w:t>, 8(3), 385-408.</w:t>
      </w:r>
    </w:p>
    <w:p w14:paraId="3F79FA15" w14:textId="77777777" w:rsidR="002456FC" w:rsidRDefault="00000000">
      <w:pPr>
        <w:spacing w:after="0" w:line="240" w:lineRule="auto"/>
        <w:ind w:left="720" w:hanging="720"/>
        <w:jc w:val="both"/>
        <w:rPr>
          <w:rFonts w:ascii="Arial" w:eastAsia="Arial" w:hAnsi="Arial" w:cs="Arial"/>
          <w:sz w:val="20"/>
          <w:szCs w:val="20"/>
        </w:rPr>
      </w:pPr>
      <w:proofErr w:type="spellStart"/>
      <w:r>
        <w:rPr>
          <w:rFonts w:ascii="Arial" w:eastAsia="Arial" w:hAnsi="Arial" w:cs="Arial"/>
          <w:sz w:val="20"/>
          <w:szCs w:val="20"/>
        </w:rPr>
        <w:t>Katuria</w:t>
      </w:r>
      <w:proofErr w:type="spellEnd"/>
      <w:r>
        <w:rPr>
          <w:rFonts w:ascii="Arial" w:eastAsia="Arial" w:hAnsi="Arial" w:cs="Arial"/>
          <w:sz w:val="20"/>
          <w:szCs w:val="20"/>
        </w:rPr>
        <w:t>, V., &amp; Raj, R. (2013). Is manufacturing an engine of growth in India? Analysis in the post nineties</w:t>
      </w:r>
      <w:r>
        <w:rPr>
          <w:rFonts w:ascii="Arial" w:eastAsia="Arial" w:hAnsi="Arial" w:cs="Arial"/>
          <w:i/>
          <w:sz w:val="20"/>
          <w:szCs w:val="20"/>
        </w:rPr>
        <w:t>. Journal for South Asian Development</w:t>
      </w:r>
      <w:r>
        <w:rPr>
          <w:rFonts w:ascii="Arial" w:eastAsia="Arial" w:hAnsi="Arial" w:cs="Arial"/>
          <w:sz w:val="20"/>
          <w:szCs w:val="20"/>
        </w:rPr>
        <w:t xml:space="preserve">.8(3). </w:t>
      </w:r>
    </w:p>
    <w:p w14:paraId="457BCBA0" w14:textId="77777777" w:rsidR="002456FC" w:rsidRDefault="00000000">
      <w:pPr>
        <w:spacing w:after="0" w:line="240" w:lineRule="auto"/>
        <w:ind w:left="720" w:hanging="720"/>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Khan, I., 2024. Analyzing the impact of positive and negative remittance inflow shocks on economic growth of India. </w:t>
      </w:r>
      <w:r>
        <w:rPr>
          <w:rFonts w:ascii="Arial" w:eastAsia="Arial" w:hAnsi="Arial" w:cs="Arial"/>
          <w:i/>
          <w:color w:val="222222"/>
          <w:sz w:val="20"/>
          <w:szCs w:val="20"/>
          <w:highlight w:val="white"/>
        </w:rPr>
        <w:t>Journal of Economic Studies</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51</w:t>
      </w:r>
      <w:r>
        <w:rPr>
          <w:rFonts w:ascii="Arial" w:eastAsia="Arial" w:hAnsi="Arial" w:cs="Arial"/>
          <w:color w:val="222222"/>
          <w:sz w:val="20"/>
          <w:szCs w:val="20"/>
          <w:highlight w:val="white"/>
        </w:rPr>
        <w:t>(2), pp.338-356.</w:t>
      </w:r>
    </w:p>
    <w:p w14:paraId="393F845B" w14:textId="77777777" w:rsidR="002456FC" w:rsidRDefault="00000000">
      <w:pPr>
        <w:spacing w:after="0" w:line="240" w:lineRule="auto"/>
        <w:ind w:left="720" w:hanging="720"/>
        <w:jc w:val="both"/>
        <w:rPr>
          <w:rFonts w:ascii="Arial" w:eastAsia="Arial" w:hAnsi="Arial" w:cs="Arial"/>
          <w:sz w:val="20"/>
          <w:szCs w:val="20"/>
        </w:rPr>
      </w:pPr>
      <w:r>
        <w:rPr>
          <w:rFonts w:ascii="Arial" w:eastAsia="Arial" w:hAnsi="Arial" w:cs="Arial"/>
          <w:sz w:val="20"/>
          <w:szCs w:val="20"/>
        </w:rPr>
        <w:t xml:space="preserve">Krishna, K. L., Bishwanath, G., Suresh, C.A., Deb, K.D., Abdul, A.E., &amp; Pilu, C.D(2018). Productivity growth and levels: A comparison of formal and informal manufacturing in India. </w:t>
      </w:r>
      <w:r>
        <w:rPr>
          <w:rFonts w:ascii="Arial" w:eastAsia="Arial" w:hAnsi="Arial" w:cs="Arial"/>
          <w:i/>
          <w:sz w:val="20"/>
          <w:szCs w:val="20"/>
        </w:rPr>
        <w:t>Centre for Development Economics, Delhi School of Economics</w:t>
      </w:r>
      <w:r>
        <w:rPr>
          <w:rFonts w:ascii="Arial" w:eastAsia="Arial" w:hAnsi="Arial" w:cs="Arial"/>
          <w:b/>
          <w:sz w:val="20"/>
          <w:szCs w:val="20"/>
        </w:rPr>
        <w:t xml:space="preserve">, </w:t>
      </w:r>
      <w:r>
        <w:rPr>
          <w:rFonts w:ascii="Arial" w:eastAsia="Arial" w:hAnsi="Arial" w:cs="Arial"/>
          <w:sz w:val="20"/>
          <w:szCs w:val="20"/>
        </w:rPr>
        <w:t>291.</w:t>
      </w:r>
    </w:p>
    <w:p w14:paraId="54C5589F" w14:textId="77777777" w:rsidR="002456FC" w:rsidRDefault="00000000">
      <w:pPr>
        <w:spacing w:after="0" w:line="240" w:lineRule="auto"/>
        <w:ind w:left="720" w:hanging="720"/>
        <w:jc w:val="both"/>
        <w:rPr>
          <w:rFonts w:ascii="Arial" w:eastAsia="Arial" w:hAnsi="Arial" w:cs="Arial"/>
          <w:sz w:val="20"/>
          <w:szCs w:val="20"/>
          <w:highlight w:val="white"/>
        </w:rPr>
      </w:pPr>
      <w:r>
        <w:rPr>
          <w:rFonts w:ascii="Arial" w:eastAsia="Arial" w:hAnsi="Arial" w:cs="Arial"/>
          <w:sz w:val="20"/>
          <w:szCs w:val="20"/>
          <w:highlight w:val="white"/>
        </w:rPr>
        <w:t xml:space="preserve">Kucera, D., &amp; </w:t>
      </w:r>
      <w:proofErr w:type="spellStart"/>
      <w:r>
        <w:rPr>
          <w:rFonts w:ascii="Arial" w:eastAsia="Arial" w:hAnsi="Arial" w:cs="Arial"/>
          <w:sz w:val="20"/>
          <w:szCs w:val="20"/>
          <w:highlight w:val="white"/>
        </w:rPr>
        <w:t>Roncolato</w:t>
      </w:r>
      <w:proofErr w:type="spellEnd"/>
      <w:r>
        <w:rPr>
          <w:rFonts w:ascii="Arial" w:eastAsia="Arial" w:hAnsi="Arial" w:cs="Arial"/>
          <w:sz w:val="20"/>
          <w:szCs w:val="20"/>
          <w:highlight w:val="white"/>
        </w:rPr>
        <w:t>, L. (2016). The manufacturing–services dynamic in economic development. International labour review, 155(2), 171-199.</w:t>
      </w:r>
    </w:p>
    <w:p w14:paraId="31E5A321" w14:textId="77777777" w:rsidR="002456FC" w:rsidRDefault="00000000">
      <w:pPr>
        <w:spacing w:after="0" w:line="240" w:lineRule="auto"/>
        <w:ind w:left="720" w:hanging="720"/>
        <w:jc w:val="both"/>
        <w:rPr>
          <w:rFonts w:ascii="Arial" w:eastAsia="Arial" w:hAnsi="Arial" w:cs="Arial"/>
          <w:sz w:val="20"/>
          <w:szCs w:val="20"/>
        </w:rPr>
      </w:pPr>
      <w:r>
        <w:rPr>
          <w:rFonts w:ascii="Arial" w:eastAsia="Arial" w:hAnsi="Arial" w:cs="Arial"/>
          <w:sz w:val="20"/>
          <w:szCs w:val="20"/>
        </w:rPr>
        <w:t>Kuznets, S., &amp; Murphy, J. T. (1966). </w:t>
      </w:r>
      <w:r>
        <w:rPr>
          <w:rFonts w:ascii="Arial" w:eastAsia="Arial" w:hAnsi="Arial" w:cs="Arial"/>
          <w:i/>
          <w:sz w:val="20"/>
          <w:szCs w:val="20"/>
        </w:rPr>
        <w:t xml:space="preserve">Modern Economic Growth: Rate, Structure, and Spread </w:t>
      </w:r>
      <w:r>
        <w:rPr>
          <w:rFonts w:ascii="Arial" w:eastAsia="Arial" w:hAnsi="Arial" w:cs="Arial"/>
          <w:sz w:val="20"/>
          <w:szCs w:val="20"/>
        </w:rPr>
        <w:t>(vol. 2). New Haven: Yale University Press.</w:t>
      </w:r>
    </w:p>
    <w:p w14:paraId="51AFFAE2" w14:textId="77777777" w:rsidR="002456FC" w:rsidRDefault="00000000">
      <w:pPr>
        <w:spacing w:after="0" w:line="240" w:lineRule="auto"/>
        <w:ind w:left="720" w:hanging="720"/>
        <w:jc w:val="both"/>
        <w:rPr>
          <w:rFonts w:ascii="Arial" w:eastAsia="Arial" w:hAnsi="Arial" w:cs="Arial"/>
          <w:sz w:val="20"/>
          <w:szCs w:val="20"/>
          <w:highlight w:val="white"/>
        </w:rPr>
      </w:pPr>
      <w:r>
        <w:rPr>
          <w:rFonts w:ascii="Arial" w:eastAsia="Arial" w:hAnsi="Arial" w:cs="Arial"/>
          <w:sz w:val="20"/>
          <w:szCs w:val="20"/>
          <w:highlight w:val="white"/>
        </w:rPr>
        <w:t xml:space="preserve">Lee, J. W., &amp; McKibbin, W. J. (2018). Service sector productivity and economic growth in Asia. </w:t>
      </w:r>
      <w:r w:rsidRPr="007457B4">
        <w:rPr>
          <w:rFonts w:ascii="Arial" w:eastAsia="Arial" w:hAnsi="Arial" w:cs="Arial"/>
          <w:i/>
          <w:iCs/>
          <w:sz w:val="20"/>
          <w:szCs w:val="20"/>
          <w:highlight w:val="white"/>
        </w:rPr>
        <w:t>Economic modelling</w:t>
      </w:r>
      <w:r>
        <w:rPr>
          <w:rFonts w:ascii="Arial" w:eastAsia="Arial" w:hAnsi="Arial" w:cs="Arial"/>
          <w:sz w:val="20"/>
          <w:szCs w:val="20"/>
          <w:highlight w:val="white"/>
        </w:rPr>
        <w:t>, 74, 247-263.</w:t>
      </w:r>
    </w:p>
    <w:p w14:paraId="67389E65" w14:textId="77777777" w:rsidR="002456FC" w:rsidRDefault="00000000">
      <w:pPr>
        <w:spacing w:after="0" w:line="240" w:lineRule="auto"/>
        <w:ind w:left="720" w:hanging="720"/>
        <w:jc w:val="both"/>
        <w:rPr>
          <w:rFonts w:ascii="Arial" w:eastAsia="Arial" w:hAnsi="Arial" w:cs="Arial"/>
          <w:sz w:val="20"/>
          <w:szCs w:val="20"/>
        </w:rPr>
      </w:pPr>
      <w:r>
        <w:rPr>
          <w:rFonts w:ascii="Arial" w:eastAsia="Arial" w:hAnsi="Arial" w:cs="Arial"/>
          <w:sz w:val="20"/>
          <w:szCs w:val="20"/>
        </w:rPr>
        <w:t xml:space="preserve">Lewis, W.A. (1954). </w:t>
      </w:r>
      <w:r>
        <w:rPr>
          <w:rFonts w:ascii="Arial" w:eastAsia="Arial" w:hAnsi="Arial" w:cs="Arial"/>
          <w:i/>
          <w:sz w:val="20"/>
          <w:szCs w:val="20"/>
        </w:rPr>
        <w:t>Economic Development with Unlimited Supplies of Labour</w:t>
      </w:r>
      <w:r>
        <w:rPr>
          <w:rFonts w:ascii="Arial" w:eastAsia="Arial" w:hAnsi="Arial" w:cs="Arial"/>
          <w:sz w:val="20"/>
          <w:szCs w:val="20"/>
        </w:rPr>
        <w:t>.</w:t>
      </w:r>
      <w:r>
        <w:rPr>
          <w:rFonts w:ascii="Arial" w:eastAsia="Arial" w:hAnsi="Arial" w:cs="Arial"/>
          <w:i/>
          <w:sz w:val="20"/>
          <w:szCs w:val="20"/>
        </w:rPr>
        <w:t xml:space="preserve"> </w:t>
      </w:r>
      <w:r>
        <w:rPr>
          <w:rFonts w:ascii="Arial" w:eastAsia="Arial" w:hAnsi="Arial" w:cs="Arial"/>
          <w:sz w:val="20"/>
          <w:szCs w:val="20"/>
        </w:rPr>
        <w:t>The Manchester School.</w:t>
      </w:r>
    </w:p>
    <w:p w14:paraId="022170EC" w14:textId="77777777" w:rsidR="002456FC" w:rsidRDefault="00000000">
      <w:pPr>
        <w:spacing w:after="0" w:line="240" w:lineRule="auto"/>
        <w:ind w:left="720" w:hanging="720"/>
        <w:jc w:val="both"/>
        <w:rPr>
          <w:rFonts w:ascii="Arial" w:eastAsia="Arial" w:hAnsi="Arial" w:cs="Arial"/>
          <w:sz w:val="20"/>
          <w:szCs w:val="20"/>
        </w:rPr>
      </w:pPr>
      <w:r>
        <w:rPr>
          <w:rFonts w:ascii="Arial" w:eastAsia="Arial" w:hAnsi="Arial" w:cs="Arial"/>
          <w:sz w:val="20"/>
          <w:szCs w:val="20"/>
        </w:rPr>
        <w:t>McMillan, M. S., &amp; Rodrik, D. (2011). </w:t>
      </w:r>
      <w:r>
        <w:rPr>
          <w:rFonts w:ascii="Arial" w:eastAsia="Arial" w:hAnsi="Arial" w:cs="Arial"/>
          <w:i/>
          <w:sz w:val="20"/>
          <w:szCs w:val="20"/>
        </w:rPr>
        <w:t>Globalization, structural change and productivity growth.</w:t>
      </w:r>
      <w:r>
        <w:rPr>
          <w:rFonts w:ascii="Arial" w:eastAsia="Arial" w:hAnsi="Arial" w:cs="Arial"/>
          <w:sz w:val="20"/>
          <w:szCs w:val="20"/>
        </w:rPr>
        <w:t xml:space="preserve"> National Bureau of Economic Research.</w:t>
      </w:r>
    </w:p>
    <w:p w14:paraId="57F5B43F" w14:textId="77777777" w:rsidR="002456FC" w:rsidRDefault="00000000">
      <w:pPr>
        <w:spacing w:after="0" w:line="240" w:lineRule="auto"/>
        <w:ind w:left="720" w:hanging="720"/>
        <w:jc w:val="both"/>
        <w:rPr>
          <w:rFonts w:ascii="Arial" w:eastAsia="Arial" w:hAnsi="Arial" w:cs="Arial"/>
          <w:sz w:val="20"/>
          <w:szCs w:val="20"/>
        </w:rPr>
      </w:pPr>
      <w:r>
        <w:rPr>
          <w:rFonts w:ascii="Arial" w:eastAsia="Arial" w:hAnsi="Arial" w:cs="Arial"/>
          <w:sz w:val="20"/>
          <w:szCs w:val="20"/>
        </w:rPr>
        <w:t>Mensah, E., Soloman, O., Neil, F.G., &amp; Adam, S. (2022). Structural change, productivity growth and labour market turbulence in Sub-Saharan Africa, </w:t>
      </w:r>
      <w:r>
        <w:rPr>
          <w:rFonts w:ascii="Arial" w:eastAsia="Arial" w:hAnsi="Arial" w:cs="Arial"/>
          <w:i/>
          <w:sz w:val="20"/>
          <w:szCs w:val="20"/>
        </w:rPr>
        <w:t>Journal of African Economies</w:t>
      </w:r>
      <w:r>
        <w:rPr>
          <w:rFonts w:ascii="Arial" w:eastAsia="Arial" w:hAnsi="Arial" w:cs="Arial"/>
          <w:sz w:val="20"/>
          <w:szCs w:val="20"/>
        </w:rPr>
        <w:t xml:space="preserve">, 32,175–208,  </w:t>
      </w:r>
    </w:p>
    <w:p w14:paraId="0810BCAB" w14:textId="77777777" w:rsidR="002456FC" w:rsidRDefault="00000000">
      <w:pPr>
        <w:spacing w:after="0" w:line="240" w:lineRule="auto"/>
        <w:ind w:left="720" w:hanging="720"/>
        <w:jc w:val="both"/>
        <w:rPr>
          <w:rFonts w:ascii="Arial" w:eastAsia="Arial" w:hAnsi="Arial" w:cs="Arial"/>
          <w:sz w:val="20"/>
          <w:szCs w:val="20"/>
        </w:rPr>
      </w:pPr>
      <w:r w:rsidRPr="007457B4">
        <w:rPr>
          <w:rFonts w:ascii="Arial" w:eastAsia="Arial" w:hAnsi="Arial" w:cs="Arial"/>
          <w:sz w:val="20"/>
          <w:szCs w:val="20"/>
          <w:lang w:val="pt-BR"/>
        </w:rPr>
        <w:t xml:space="preserve">Nayyar, G., Cruz, M., &amp; Zhu, L. (2021). </w:t>
      </w:r>
      <w:r>
        <w:rPr>
          <w:rFonts w:ascii="Arial" w:eastAsia="Arial" w:hAnsi="Arial" w:cs="Arial"/>
          <w:sz w:val="20"/>
          <w:szCs w:val="20"/>
        </w:rPr>
        <w:t>Does premature deindustrialization matter? The role of manufacturing versus services in development. </w:t>
      </w:r>
      <w:r>
        <w:rPr>
          <w:rFonts w:ascii="Arial" w:eastAsia="Arial" w:hAnsi="Arial" w:cs="Arial"/>
          <w:i/>
          <w:sz w:val="20"/>
          <w:szCs w:val="20"/>
        </w:rPr>
        <w:t>Journal of Globalization and Development</w:t>
      </w:r>
      <w:r>
        <w:rPr>
          <w:rFonts w:ascii="Arial" w:eastAsia="Arial" w:hAnsi="Arial" w:cs="Arial"/>
          <w:sz w:val="20"/>
          <w:szCs w:val="20"/>
        </w:rPr>
        <w:t>, </w:t>
      </w:r>
      <w:r>
        <w:rPr>
          <w:rFonts w:ascii="Arial" w:eastAsia="Arial" w:hAnsi="Arial" w:cs="Arial"/>
          <w:i/>
          <w:sz w:val="20"/>
          <w:szCs w:val="20"/>
        </w:rPr>
        <w:t>12</w:t>
      </w:r>
      <w:r>
        <w:rPr>
          <w:rFonts w:ascii="Arial" w:eastAsia="Arial" w:hAnsi="Arial" w:cs="Arial"/>
          <w:sz w:val="20"/>
          <w:szCs w:val="20"/>
        </w:rPr>
        <w:t>(1), 63-102.</w:t>
      </w:r>
    </w:p>
    <w:p w14:paraId="0522A632" w14:textId="77777777" w:rsidR="002456FC" w:rsidRDefault="00000000">
      <w:pPr>
        <w:spacing w:after="0" w:line="240" w:lineRule="auto"/>
        <w:ind w:left="720" w:hanging="720"/>
        <w:jc w:val="both"/>
        <w:rPr>
          <w:rFonts w:ascii="Arial" w:eastAsia="Arial" w:hAnsi="Arial" w:cs="Arial"/>
          <w:sz w:val="20"/>
          <w:szCs w:val="20"/>
          <w:highlight w:val="white"/>
        </w:rPr>
      </w:pPr>
      <w:r>
        <w:rPr>
          <w:rFonts w:ascii="Arial" w:eastAsia="Arial" w:hAnsi="Arial" w:cs="Arial"/>
          <w:sz w:val="20"/>
          <w:szCs w:val="20"/>
          <w:highlight w:val="white"/>
        </w:rPr>
        <w:t>Pacheco-López, P. &amp; Thirlwall (2014). A new interpretation of Kaldor's first growth law for open developing economies. </w:t>
      </w:r>
      <w:r>
        <w:rPr>
          <w:rFonts w:ascii="Arial" w:eastAsia="Arial" w:hAnsi="Arial" w:cs="Arial"/>
          <w:i/>
          <w:sz w:val="20"/>
          <w:szCs w:val="20"/>
          <w:highlight w:val="white"/>
        </w:rPr>
        <w:t>Review of Keynesian Economics</w:t>
      </w:r>
      <w:r>
        <w:rPr>
          <w:rFonts w:ascii="Arial" w:eastAsia="Arial" w:hAnsi="Arial" w:cs="Arial"/>
          <w:sz w:val="20"/>
          <w:szCs w:val="20"/>
          <w:highlight w:val="white"/>
        </w:rPr>
        <w:t>, </w:t>
      </w:r>
      <w:r>
        <w:rPr>
          <w:rFonts w:ascii="Arial" w:eastAsia="Arial" w:hAnsi="Arial" w:cs="Arial"/>
          <w:i/>
          <w:sz w:val="20"/>
          <w:szCs w:val="20"/>
          <w:highlight w:val="white"/>
        </w:rPr>
        <w:t>2</w:t>
      </w:r>
      <w:r>
        <w:rPr>
          <w:rFonts w:ascii="Arial" w:eastAsia="Arial" w:hAnsi="Arial" w:cs="Arial"/>
          <w:sz w:val="20"/>
          <w:szCs w:val="20"/>
          <w:highlight w:val="white"/>
        </w:rPr>
        <w:t>(3), 384-398.</w:t>
      </w:r>
    </w:p>
    <w:p w14:paraId="1D4E76E0" w14:textId="77777777" w:rsidR="002456FC" w:rsidRDefault="00000000">
      <w:pPr>
        <w:spacing w:after="0" w:line="240" w:lineRule="auto"/>
        <w:ind w:left="720" w:hanging="720"/>
        <w:jc w:val="both"/>
        <w:rPr>
          <w:rFonts w:ascii="Arial" w:eastAsia="Arial" w:hAnsi="Arial" w:cs="Arial"/>
          <w:sz w:val="20"/>
          <w:szCs w:val="20"/>
          <w:highlight w:val="white"/>
        </w:rPr>
      </w:pPr>
      <w:r>
        <w:rPr>
          <w:rFonts w:ascii="Arial" w:eastAsia="Arial" w:hAnsi="Arial" w:cs="Arial"/>
          <w:sz w:val="20"/>
          <w:szCs w:val="20"/>
        </w:rPr>
        <w:t xml:space="preserve">Pesaran, M.H., &amp; Shin, Y. (1999). An autoregressive distributed lag modeling approach to co integration, </w:t>
      </w:r>
      <w:r>
        <w:rPr>
          <w:rFonts w:ascii="Arial" w:eastAsia="Arial" w:hAnsi="Arial" w:cs="Arial"/>
          <w:i/>
          <w:sz w:val="20"/>
          <w:szCs w:val="20"/>
        </w:rPr>
        <w:t>Econometrics and Economic Theory in the 20th Century</w:t>
      </w:r>
      <w:r>
        <w:rPr>
          <w:rFonts w:ascii="Arial" w:eastAsia="Arial" w:hAnsi="Arial" w:cs="Arial"/>
          <w:sz w:val="20"/>
          <w:szCs w:val="20"/>
        </w:rPr>
        <w:t xml:space="preserve">: </w:t>
      </w:r>
    </w:p>
    <w:p w14:paraId="66333761" w14:textId="77777777" w:rsidR="002456FC" w:rsidRDefault="00000000">
      <w:pPr>
        <w:spacing w:after="0" w:line="240" w:lineRule="auto"/>
        <w:ind w:left="720" w:hanging="720"/>
        <w:jc w:val="both"/>
        <w:rPr>
          <w:rFonts w:ascii="Arial" w:eastAsia="Arial" w:hAnsi="Arial" w:cs="Arial"/>
          <w:sz w:val="20"/>
          <w:szCs w:val="20"/>
        </w:rPr>
      </w:pPr>
      <w:r>
        <w:rPr>
          <w:rFonts w:ascii="Arial" w:eastAsia="Arial" w:hAnsi="Arial" w:cs="Arial"/>
          <w:sz w:val="20"/>
          <w:szCs w:val="20"/>
        </w:rPr>
        <w:t xml:space="preserve">Pesaran, M.H., Shin, Y., &amp; Smith, R.J. (2001). Bounds testing approaches to the analysis of level relationships. </w:t>
      </w:r>
      <w:r>
        <w:rPr>
          <w:rFonts w:ascii="Arial" w:eastAsia="Arial" w:hAnsi="Arial" w:cs="Arial"/>
          <w:i/>
          <w:sz w:val="20"/>
          <w:szCs w:val="20"/>
        </w:rPr>
        <w:t>Journal of Applied Econometrics.</w:t>
      </w:r>
      <w:r>
        <w:rPr>
          <w:rFonts w:ascii="Arial" w:eastAsia="Arial" w:hAnsi="Arial" w:cs="Arial"/>
          <w:sz w:val="20"/>
          <w:szCs w:val="20"/>
        </w:rPr>
        <w:t>16(3), 289–326.Frisch Centennial Symposium, Strom, S.(ed.). Cambridge University Press.</w:t>
      </w:r>
    </w:p>
    <w:p w14:paraId="55E0736E" w14:textId="77777777" w:rsidR="002456FC" w:rsidRDefault="00000000">
      <w:pPr>
        <w:spacing w:after="0" w:line="240" w:lineRule="auto"/>
        <w:ind w:left="720" w:hanging="720"/>
        <w:jc w:val="both"/>
        <w:rPr>
          <w:rFonts w:ascii="Arial" w:eastAsia="Arial" w:hAnsi="Arial" w:cs="Arial"/>
          <w:i/>
          <w:sz w:val="20"/>
          <w:szCs w:val="20"/>
          <w:highlight w:val="white"/>
        </w:rPr>
      </w:pPr>
      <w:r>
        <w:rPr>
          <w:rFonts w:ascii="Arial" w:eastAsia="Arial" w:hAnsi="Arial" w:cs="Arial"/>
          <w:sz w:val="20"/>
          <w:szCs w:val="20"/>
          <w:highlight w:val="white"/>
        </w:rPr>
        <w:t xml:space="preserve">Rodrik, D. (2014). Has sustained growth decoupled from industrialization. </w:t>
      </w:r>
      <w:r>
        <w:rPr>
          <w:rFonts w:ascii="Arial" w:eastAsia="Arial" w:hAnsi="Arial" w:cs="Arial"/>
          <w:i/>
          <w:sz w:val="20"/>
          <w:szCs w:val="20"/>
          <w:highlight w:val="white"/>
        </w:rPr>
        <w:t>In Symposium on frontier issues in economic growth.</w:t>
      </w:r>
      <w:r>
        <w:rPr>
          <w:rFonts w:ascii="Arial" w:eastAsia="Arial" w:hAnsi="Arial" w:cs="Arial"/>
          <w:sz w:val="20"/>
          <w:szCs w:val="20"/>
          <w:highlight w:val="white"/>
        </w:rPr>
        <w:t>10,1-22.</w:t>
      </w:r>
    </w:p>
    <w:p w14:paraId="1EB93215" w14:textId="77777777" w:rsidR="002456FC" w:rsidRDefault="00000000">
      <w:pPr>
        <w:spacing w:after="0" w:line="240" w:lineRule="auto"/>
        <w:ind w:left="720" w:hanging="720"/>
        <w:jc w:val="both"/>
        <w:rPr>
          <w:rFonts w:ascii="Arial" w:eastAsia="Arial" w:hAnsi="Arial" w:cs="Arial"/>
          <w:sz w:val="20"/>
          <w:szCs w:val="20"/>
          <w:highlight w:val="white"/>
        </w:rPr>
      </w:pPr>
      <w:r>
        <w:rPr>
          <w:rFonts w:ascii="Arial" w:eastAsia="Arial" w:hAnsi="Arial" w:cs="Arial"/>
          <w:sz w:val="20"/>
          <w:szCs w:val="20"/>
          <w:highlight w:val="white"/>
        </w:rPr>
        <w:t>Rodrik, D. (2016). Premature deindustrialization. </w:t>
      </w:r>
      <w:r>
        <w:rPr>
          <w:rFonts w:ascii="Arial" w:eastAsia="Arial" w:hAnsi="Arial" w:cs="Arial"/>
          <w:i/>
          <w:sz w:val="20"/>
          <w:szCs w:val="20"/>
          <w:highlight w:val="white"/>
        </w:rPr>
        <w:t>Journal of Economic Growth</w:t>
      </w:r>
      <w:r>
        <w:rPr>
          <w:rFonts w:ascii="Arial" w:eastAsia="Arial" w:hAnsi="Arial" w:cs="Arial"/>
          <w:sz w:val="20"/>
          <w:szCs w:val="20"/>
          <w:highlight w:val="white"/>
        </w:rPr>
        <w:t>, 21, 1-33.</w:t>
      </w:r>
    </w:p>
    <w:p w14:paraId="41C3116B" w14:textId="77777777" w:rsidR="002456FC" w:rsidRDefault="00000000">
      <w:pPr>
        <w:spacing w:after="0" w:line="240" w:lineRule="auto"/>
        <w:ind w:left="720" w:hanging="720"/>
        <w:jc w:val="both"/>
        <w:rPr>
          <w:rFonts w:ascii="Arial" w:eastAsia="Arial" w:hAnsi="Arial" w:cs="Arial"/>
          <w:sz w:val="20"/>
          <w:szCs w:val="20"/>
          <w:highlight w:val="white"/>
        </w:rPr>
      </w:pPr>
      <w:r>
        <w:rPr>
          <w:rFonts w:ascii="Arial" w:eastAsia="Arial" w:hAnsi="Arial" w:cs="Arial"/>
          <w:sz w:val="20"/>
          <w:szCs w:val="20"/>
          <w:highlight w:val="white"/>
        </w:rPr>
        <w:t>Rodrik, D. (2017). Growth without industrialization. </w:t>
      </w:r>
      <w:r>
        <w:rPr>
          <w:rFonts w:ascii="Arial" w:eastAsia="Arial" w:hAnsi="Arial" w:cs="Arial"/>
          <w:i/>
          <w:sz w:val="20"/>
          <w:szCs w:val="20"/>
          <w:highlight w:val="white"/>
        </w:rPr>
        <w:t>Project Syndicate</w:t>
      </w:r>
      <w:r>
        <w:rPr>
          <w:rFonts w:ascii="Arial" w:eastAsia="Arial" w:hAnsi="Arial" w:cs="Arial"/>
          <w:sz w:val="20"/>
          <w:szCs w:val="20"/>
          <w:highlight w:val="white"/>
        </w:rPr>
        <w:t>, 10.</w:t>
      </w:r>
    </w:p>
    <w:p w14:paraId="737FFBC7" w14:textId="77777777" w:rsidR="002456FC" w:rsidRDefault="00000000">
      <w:pPr>
        <w:spacing w:after="0" w:line="240" w:lineRule="auto"/>
        <w:ind w:left="720" w:hanging="720"/>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Solanki, S., Singh, S., &amp; Murthy, I. K. (2022). Agricultural exports and performance of agricultural firms in India: An empirical analysis using system GMM. </w:t>
      </w:r>
      <w:r>
        <w:rPr>
          <w:rFonts w:ascii="Arial" w:eastAsia="Arial" w:hAnsi="Arial" w:cs="Arial"/>
          <w:i/>
          <w:color w:val="222222"/>
          <w:sz w:val="20"/>
          <w:szCs w:val="20"/>
          <w:highlight w:val="white"/>
        </w:rPr>
        <w:t>Asian Economic and Financial Review</w:t>
      </w:r>
      <w:r>
        <w:rPr>
          <w:rFonts w:ascii="Arial" w:eastAsia="Arial" w:hAnsi="Arial" w:cs="Arial"/>
          <w:color w:val="222222"/>
          <w:sz w:val="20"/>
          <w:szCs w:val="20"/>
          <w:highlight w:val="white"/>
        </w:rPr>
        <w:t>, </w:t>
      </w:r>
      <w:r>
        <w:rPr>
          <w:rFonts w:ascii="Arial" w:eastAsia="Arial" w:hAnsi="Arial" w:cs="Arial"/>
          <w:i/>
          <w:color w:val="222222"/>
          <w:sz w:val="20"/>
          <w:szCs w:val="20"/>
          <w:highlight w:val="white"/>
        </w:rPr>
        <w:t>12</w:t>
      </w:r>
      <w:r>
        <w:rPr>
          <w:rFonts w:ascii="Arial" w:eastAsia="Arial" w:hAnsi="Arial" w:cs="Arial"/>
          <w:color w:val="222222"/>
          <w:sz w:val="20"/>
          <w:szCs w:val="20"/>
          <w:highlight w:val="white"/>
        </w:rPr>
        <w:t>(2), 121.</w:t>
      </w:r>
    </w:p>
    <w:p w14:paraId="0FEAED31" w14:textId="77777777" w:rsidR="002456FC" w:rsidRDefault="00000000">
      <w:pPr>
        <w:spacing w:after="0" w:line="240" w:lineRule="auto"/>
        <w:ind w:left="720" w:hanging="720"/>
        <w:jc w:val="both"/>
        <w:rPr>
          <w:rFonts w:ascii="Arial" w:eastAsia="Arial" w:hAnsi="Arial" w:cs="Arial"/>
          <w:sz w:val="20"/>
          <w:szCs w:val="20"/>
        </w:rPr>
      </w:pPr>
      <w:r>
        <w:rPr>
          <w:rFonts w:ascii="Arial" w:eastAsia="Arial" w:hAnsi="Arial" w:cs="Arial"/>
          <w:sz w:val="20"/>
          <w:szCs w:val="20"/>
        </w:rPr>
        <w:t>Szirmai, A. (2009). Industrialisation as an engine of growth in developing countries, 1950–2005</w:t>
      </w:r>
      <w:r>
        <w:rPr>
          <w:rFonts w:ascii="Arial" w:eastAsia="Arial" w:hAnsi="Arial" w:cs="Arial"/>
          <w:i/>
          <w:sz w:val="20"/>
          <w:szCs w:val="20"/>
        </w:rPr>
        <w:t>. Structural Change and Economic Dynamics</w:t>
      </w:r>
      <w:r>
        <w:rPr>
          <w:rFonts w:ascii="Arial" w:eastAsia="Arial" w:hAnsi="Arial" w:cs="Arial"/>
          <w:sz w:val="20"/>
          <w:szCs w:val="20"/>
        </w:rPr>
        <w:t>, 23(4), 461-482.</w:t>
      </w:r>
    </w:p>
    <w:p w14:paraId="429A39DB" w14:textId="77777777" w:rsidR="002456FC" w:rsidRDefault="00000000">
      <w:pPr>
        <w:spacing w:after="0" w:line="240" w:lineRule="auto"/>
        <w:ind w:left="720" w:hanging="720"/>
        <w:jc w:val="both"/>
        <w:rPr>
          <w:rFonts w:ascii="Arial" w:eastAsia="Arial" w:hAnsi="Arial" w:cs="Arial"/>
          <w:sz w:val="20"/>
          <w:szCs w:val="20"/>
        </w:rPr>
      </w:pPr>
      <w:r>
        <w:rPr>
          <w:rFonts w:ascii="Arial" w:eastAsia="Arial" w:hAnsi="Arial" w:cs="Arial"/>
          <w:sz w:val="20"/>
          <w:szCs w:val="20"/>
        </w:rPr>
        <w:t xml:space="preserve">Szirmai, A., &amp; </w:t>
      </w:r>
      <w:proofErr w:type="spellStart"/>
      <w:r>
        <w:rPr>
          <w:rFonts w:ascii="Arial" w:eastAsia="Arial" w:hAnsi="Arial" w:cs="Arial"/>
          <w:sz w:val="20"/>
          <w:szCs w:val="20"/>
        </w:rPr>
        <w:t>Verspagen</w:t>
      </w:r>
      <w:proofErr w:type="spellEnd"/>
      <w:r>
        <w:rPr>
          <w:rFonts w:ascii="Arial" w:eastAsia="Arial" w:hAnsi="Arial" w:cs="Arial"/>
          <w:sz w:val="20"/>
          <w:szCs w:val="20"/>
        </w:rPr>
        <w:t>, B. (2015). Manufacturing and economic growth in developing countries, 1950–2005. </w:t>
      </w:r>
      <w:r>
        <w:rPr>
          <w:rFonts w:ascii="Arial" w:eastAsia="Arial" w:hAnsi="Arial" w:cs="Arial"/>
          <w:i/>
          <w:sz w:val="20"/>
          <w:szCs w:val="20"/>
        </w:rPr>
        <w:t>Structural Change and Economic Dynamics</w:t>
      </w:r>
      <w:r>
        <w:rPr>
          <w:rFonts w:ascii="Arial" w:eastAsia="Arial" w:hAnsi="Arial" w:cs="Arial"/>
          <w:sz w:val="20"/>
          <w:szCs w:val="20"/>
        </w:rPr>
        <w:t>, 34,46-59.</w:t>
      </w:r>
    </w:p>
    <w:p w14:paraId="31AA6438" w14:textId="77777777" w:rsidR="002456FC" w:rsidRDefault="00000000">
      <w:pPr>
        <w:spacing w:after="0" w:line="240" w:lineRule="auto"/>
        <w:ind w:left="720" w:hanging="720"/>
        <w:jc w:val="both"/>
        <w:rPr>
          <w:rFonts w:ascii="Arial" w:eastAsia="Arial" w:hAnsi="Arial" w:cs="Arial"/>
          <w:sz w:val="20"/>
          <w:szCs w:val="20"/>
        </w:rPr>
      </w:pPr>
      <w:r>
        <w:rPr>
          <w:rFonts w:ascii="Arial" w:eastAsia="Arial" w:hAnsi="Arial" w:cs="Arial"/>
          <w:sz w:val="20"/>
          <w:szCs w:val="20"/>
        </w:rPr>
        <w:t xml:space="preserve">Thomas, J. J. (2009). Why is </w:t>
      </w:r>
      <w:r>
        <w:rPr>
          <w:rFonts w:ascii="Arial" w:eastAsia="Arial" w:hAnsi="Arial" w:cs="Arial"/>
          <w:i/>
          <w:sz w:val="20"/>
          <w:szCs w:val="20"/>
        </w:rPr>
        <w:t>Manufacturing Not the Engine of India’s Economic Growth, Examining Trends</w:t>
      </w:r>
      <w:r>
        <w:rPr>
          <w:rFonts w:ascii="Arial" w:eastAsia="Arial" w:hAnsi="Arial" w:cs="Arial"/>
          <w:sz w:val="20"/>
          <w:szCs w:val="20"/>
        </w:rPr>
        <w:t xml:space="preserve">, </w:t>
      </w:r>
      <w:r>
        <w:rPr>
          <w:rFonts w:ascii="Arial" w:eastAsia="Arial" w:hAnsi="Arial" w:cs="Arial"/>
          <w:i/>
          <w:sz w:val="20"/>
          <w:szCs w:val="20"/>
        </w:rPr>
        <w:t>1959–60 to 2008/9</w:t>
      </w:r>
      <w:r>
        <w:rPr>
          <w:rFonts w:ascii="Arial" w:eastAsia="Arial" w:hAnsi="Arial" w:cs="Arial"/>
          <w:sz w:val="20"/>
          <w:szCs w:val="20"/>
        </w:rPr>
        <w:t>. Mimeo, New Delhi.</w:t>
      </w:r>
    </w:p>
    <w:p w14:paraId="70D39421" w14:textId="77777777" w:rsidR="002456FC" w:rsidRDefault="002456FC">
      <w:pPr>
        <w:spacing w:after="0" w:line="240" w:lineRule="auto"/>
        <w:jc w:val="both"/>
        <w:rPr>
          <w:rFonts w:ascii="Arial" w:eastAsia="Arial" w:hAnsi="Arial" w:cs="Arial"/>
          <w:sz w:val="20"/>
          <w:szCs w:val="20"/>
        </w:rPr>
      </w:pPr>
    </w:p>
    <w:sectPr w:rsidR="002456FC">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B69CD" w14:textId="77777777" w:rsidR="00095F8A" w:rsidRDefault="00095F8A">
      <w:pPr>
        <w:spacing w:after="0" w:line="240" w:lineRule="auto"/>
      </w:pPr>
      <w:r>
        <w:separator/>
      </w:r>
    </w:p>
  </w:endnote>
  <w:endnote w:type="continuationSeparator" w:id="0">
    <w:p w14:paraId="32B7FBEA" w14:textId="77777777" w:rsidR="00095F8A" w:rsidRDefault="00095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9C75" w14:textId="77777777" w:rsidR="002456FC" w:rsidRDefault="002456F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38A2" w14:textId="77777777" w:rsidR="002456FC"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457B4">
      <w:rPr>
        <w:noProof/>
        <w:color w:val="000000"/>
      </w:rPr>
      <w:t>1</w:t>
    </w:r>
    <w:r>
      <w:rPr>
        <w:color w:val="000000"/>
      </w:rPr>
      <w:fldChar w:fldCharType="end"/>
    </w:r>
  </w:p>
  <w:p w14:paraId="583CA4F9" w14:textId="77777777" w:rsidR="002456FC" w:rsidRDefault="002456FC">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BE1AF" w14:textId="77777777" w:rsidR="002456FC" w:rsidRDefault="002456F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994A" w14:textId="77777777" w:rsidR="00095F8A" w:rsidRDefault="00095F8A">
      <w:pPr>
        <w:spacing w:after="0" w:line="240" w:lineRule="auto"/>
      </w:pPr>
      <w:r>
        <w:separator/>
      </w:r>
    </w:p>
  </w:footnote>
  <w:footnote w:type="continuationSeparator" w:id="0">
    <w:p w14:paraId="290F2768" w14:textId="77777777" w:rsidR="00095F8A" w:rsidRDefault="00095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2ABB4" w14:textId="77777777" w:rsidR="002456FC"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30FE6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535.8pt;height:100.45pt;rotation:315;z-index:-251657728;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EF9E" w14:textId="77777777" w:rsidR="002456FC"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2B06E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35.8pt;height:100.45pt;rotation:315;z-index:-251659776;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31F8" w14:textId="77777777" w:rsidR="002456FC" w:rsidRDefault="00000000">
    <w:pPr>
      <w:pBdr>
        <w:top w:val="nil"/>
        <w:left w:val="nil"/>
        <w:bottom w:val="nil"/>
        <w:right w:val="nil"/>
        <w:between w:val="nil"/>
      </w:pBdr>
      <w:tabs>
        <w:tab w:val="center" w:pos="4513"/>
        <w:tab w:val="right" w:pos="9026"/>
      </w:tabs>
      <w:spacing w:after="0" w:line="240" w:lineRule="auto"/>
      <w:rPr>
        <w:color w:val="000000"/>
      </w:rPr>
    </w:pPr>
    <w:r>
      <w:rPr>
        <w:color w:val="000000"/>
      </w:rPr>
      <w:pict w14:anchorId="41D03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35.8pt;height:100.45pt;rotation:315;z-index:-251658752;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097F05"/>
    <w:multiLevelType w:val="multilevel"/>
    <w:tmpl w:val="33FCD8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3902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6FC"/>
    <w:rsid w:val="0004242E"/>
    <w:rsid w:val="00080FD9"/>
    <w:rsid w:val="00095F8A"/>
    <w:rsid w:val="000B6F1B"/>
    <w:rsid w:val="00114053"/>
    <w:rsid w:val="00140DE1"/>
    <w:rsid w:val="00181D1F"/>
    <w:rsid w:val="001826FE"/>
    <w:rsid w:val="002456FC"/>
    <w:rsid w:val="002C5857"/>
    <w:rsid w:val="00316631"/>
    <w:rsid w:val="003B1730"/>
    <w:rsid w:val="003C7757"/>
    <w:rsid w:val="00457EBC"/>
    <w:rsid w:val="006E3733"/>
    <w:rsid w:val="007457B4"/>
    <w:rsid w:val="007D2721"/>
    <w:rsid w:val="0087532D"/>
    <w:rsid w:val="008849B9"/>
    <w:rsid w:val="008E79B4"/>
    <w:rsid w:val="00930F02"/>
    <w:rsid w:val="009F5CDF"/>
    <w:rsid w:val="00A43425"/>
    <w:rsid w:val="00A57975"/>
    <w:rsid w:val="00A86F5D"/>
    <w:rsid w:val="00AF2383"/>
    <w:rsid w:val="00B74B95"/>
    <w:rsid w:val="00BA1777"/>
    <w:rsid w:val="00C32161"/>
    <w:rsid w:val="00D3068F"/>
    <w:rsid w:val="00E05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D8474"/>
  <w15:docId w15:val="{2B4E1302-71C4-42EC-B7F3-B6239275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0" w:type="dxa"/>
        <w:bottom w:w="0" w:type="dxa"/>
        <w:right w:w="0"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0" w:type="dxa"/>
        <w:bottom w:w="0" w:type="dxa"/>
        <w:right w:w="0" w:type="dxa"/>
      </w:tblCellMar>
    </w:tblPr>
  </w:style>
  <w:style w:type="table" w:customStyle="1" w:styleId="a3">
    <w:basedOn w:val="TableNormal0"/>
    <w:tblPr>
      <w:tblStyleRowBandSize w:val="1"/>
      <w:tblStyleColBandSize w:val="1"/>
      <w:tblCellMar>
        <w:top w:w="0" w:type="dxa"/>
        <w:left w:w="0" w:type="dxa"/>
        <w:bottom w:w="0" w:type="dxa"/>
        <w:right w:w="0" w:type="dxa"/>
      </w:tblCellMar>
    </w:tblPr>
  </w:style>
  <w:style w:type="table" w:customStyle="1" w:styleId="a4">
    <w:basedOn w:val="TableNormal0"/>
    <w:tblPr>
      <w:tblStyleRowBandSize w:val="1"/>
      <w:tblStyleColBandSize w:val="1"/>
      <w:tblCellMar>
        <w:top w:w="0" w:type="dxa"/>
        <w:left w:w="0" w:type="dxa"/>
        <w:bottom w:w="0" w:type="dxa"/>
        <w:right w:w="0" w:type="dxa"/>
      </w:tblCellMar>
    </w:tbl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19</Pages>
  <Words>9290</Words>
  <Characters>52954</Characters>
  <Application>Microsoft Office Word</Application>
  <DocSecurity>0</DocSecurity>
  <Lines>441</Lines>
  <Paragraphs>124</Paragraphs>
  <ScaleCrop>false</ScaleCrop>
  <Company/>
  <LinksUpToDate>false</LinksUpToDate>
  <CharactersWithSpaces>62120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45</cp:revision>
  <dcterms:created xsi:type="dcterms:W3CDTF">2025-10-12T12:32:00Z</dcterms:created>
  <dcterms:modified xsi:type="dcterms:W3CDTF">2025-10-12T13:57:00Z</dcterms:modified>
</cp:coreProperties>
</file>