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AB57" w14:textId="28FDB68E" w:rsidR="00754C9A" w:rsidRDefault="00514693" w:rsidP="00441B6F">
      <w:pPr>
        <w:pStyle w:val="Title"/>
        <w:spacing w:after="0"/>
        <w:jc w:val="both"/>
        <w:rPr>
          <w:rFonts w:ascii="Arial" w:hAnsi="Arial" w:cs="Arial"/>
        </w:rPr>
      </w:pPr>
      <w:r w:rsidRPr="00514693">
        <w:rPr>
          <w:rFonts w:ascii="Arial" w:hAnsi="Arial" w:cs="Arial"/>
        </w:rPr>
        <w:t>Original Research Article</w:t>
      </w:r>
    </w:p>
    <w:p w14:paraId="686C323F" w14:textId="77777777" w:rsidR="00514693" w:rsidRDefault="00514693" w:rsidP="00441B6F">
      <w:pPr>
        <w:pStyle w:val="Title"/>
        <w:spacing w:after="0"/>
        <w:jc w:val="both"/>
        <w:rPr>
          <w:rFonts w:ascii="Arial" w:hAnsi="Arial" w:cs="Arial"/>
        </w:rPr>
      </w:pPr>
    </w:p>
    <w:p w14:paraId="35F6FB29" w14:textId="77777777" w:rsidR="00514693" w:rsidRDefault="00514693" w:rsidP="00441B6F">
      <w:pPr>
        <w:pStyle w:val="Title"/>
        <w:spacing w:after="0"/>
        <w:jc w:val="both"/>
        <w:rPr>
          <w:rFonts w:ascii="Arial" w:hAnsi="Arial" w:cs="Arial"/>
        </w:rPr>
      </w:pPr>
    </w:p>
    <w:p w14:paraId="7A84E54B" w14:textId="00BABF6B" w:rsidR="00163BC4" w:rsidRPr="00163BC4" w:rsidRDefault="00BD530D" w:rsidP="00441B6F">
      <w:pPr>
        <w:pStyle w:val="Author"/>
        <w:spacing w:line="240" w:lineRule="auto"/>
        <w:rPr>
          <w:rFonts w:ascii="Arial" w:hAnsi="Arial" w:cs="Arial"/>
          <w:bCs/>
          <w:iCs/>
          <w:kern w:val="28"/>
          <w:sz w:val="36"/>
        </w:rPr>
      </w:pPr>
      <w:r>
        <w:rPr>
          <w:rFonts w:ascii="Arial" w:hAnsi="Arial" w:cs="Arial"/>
          <w:bCs/>
          <w:iCs/>
          <w:kern w:val="28"/>
          <w:sz w:val="36"/>
        </w:rPr>
        <w:t>Governance Quality for Sustainable Growth: Evidence from Upper-Middle-Income Economies</w:t>
      </w:r>
      <w:r w:rsidR="00231920">
        <w:rPr>
          <w:rFonts w:ascii="Arial" w:hAnsi="Arial" w:cs="Arial"/>
          <w:bCs/>
          <w:iCs/>
          <w:kern w:val="28"/>
          <w:sz w:val="36"/>
        </w:rPr>
        <w:t xml:space="preserve"> </w:t>
      </w:r>
    </w:p>
    <w:p w14:paraId="575D7364" w14:textId="77777777" w:rsidR="00A258C3" w:rsidRPr="00790ADA" w:rsidRDefault="00A258C3" w:rsidP="00441B6F">
      <w:pPr>
        <w:pStyle w:val="Author"/>
        <w:spacing w:line="240" w:lineRule="auto"/>
        <w:jc w:val="both"/>
        <w:rPr>
          <w:rFonts w:ascii="Arial" w:hAnsi="Arial" w:cs="Arial"/>
          <w:sz w:val="36"/>
        </w:rPr>
      </w:pPr>
    </w:p>
    <w:p w14:paraId="5222A089" w14:textId="7AAA067A" w:rsidR="00633614" w:rsidRDefault="00633614" w:rsidP="00441B6F">
      <w:pPr>
        <w:pStyle w:val="Affiliation"/>
        <w:spacing w:after="0" w:line="240" w:lineRule="auto"/>
        <w:rPr>
          <w:rFonts w:ascii="Arial" w:hAnsi="Arial" w:cs="Arial"/>
          <w:i/>
        </w:rPr>
      </w:pPr>
    </w:p>
    <w:p w14:paraId="67C77133" w14:textId="694EAD88" w:rsidR="00CE37D5" w:rsidRDefault="00CE37D5" w:rsidP="00441B6F">
      <w:pPr>
        <w:pStyle w:val="Affiliation"/>
        <w:spacing w:after="0" w:line="240" w:lineRule="auto"/>
        <w:rPr>
          <w:rFonts w:ascii="Arial" w:hAnsi="Arial" w:cs="Arial"/>
          <w:i/>
        </w:rPr>
      </w:pPr>
    </w:p>
    <w:p w14:paraId="0A642BDA" w14:textId="3FF2FDD2" w:rsidR="00CE37D5" w:rsidRDefault="00CE37D5" w:rsidP="00441B6F">
      <w:pPr>
        <w:pStyle w:val="Affiliation"/>
        <w:spacing w:after="0" w:line="240" w:lineRule="auto"/>
        <w:rPr>
          <w:rFonts w:ascii="Arial" w:hAnsi="Arial" w:cs="Arial"/>
          <w:i/>
        </w:rPr>
      </w:pPr>
    </w:p>
    <w:p w14:paraId="680040E5" w14:textId="77777777" w:rsidR="00CE37D5" w:rsidRDefault="00CE37D5" w:rsidP="00441B6F">
      <w:pPr>
        <w:pStyle w:val="Affiliation"/>
        <w:spacing w:after="0" w:line="240" w:lineRule="auto"/>
        <w:rPr>
          <w:rFonts w:ascii="Arial" w:hAnsi="Arial" w:cs="Arial"/>
          <w:i/>
        </w:rPr>
      </w:pPr>
    </w:p>
    <w:p w14:paraId="15757878" w14:textId="77777777" w:rsidR="00790ADA" w:rsidRDefault="00790ADA" w:rsidP="00441B6F">
      <w:pPr>
        <w:pStyle w:val="Affiliation"/>
        <w:spacing w:after="0" w:line="240" w:lineRule="auto"/>
        <w:jc w:val="both"/>
        <w:rPr>
          <w:rFonts w:ascii="Arial" w:hAnsi="Arial" w:cs="Arial"/>
        </w:rPr>
      </w:pPr>
    </w:p>
    <w:p w14:paraId="569B5F1F" w14:textId="77777777" w:rsidR="002C57D2" w:rsidRPr="00FB3A86" w:rsidRDefault="002C57D2" w:rsidP="00441B6F">
      <w:pPr>
        <w:pStyle w:val="Affiliation"/>
        <w:spacing w:after="0" w:line="240" w:lineRule="auto"/>
        <w:jc w:val="both"/>
        <w:rPr>
          <w:rFonts w:ascii="Arial" w:hAnsi="Arial" w:cs="Arial"/>
        </w:rPr>
      </w:pPr>
    </w:p>
    <w:p w14:paraId="219D05B3" w14:textId="77777777" w:rsidR="00B01FCD" w:rsidRPr="00FB3A86" w:rsidRDefault="00DD5892" w:rsidP="00441B6F">
      <w:pPr>
        <w:pStyle w:val="Copyright"/>
        <w:spacing w:after="0" w:line="240" w:lineRule="auto"/>
        <w:jc w:val="both"/>
        <w:rPr>
          <w:rFonts w:ascii="Arial" w:hAnsi="Arial" w:cs="Arial"/>
        </w:rPr>
        <w:sectPr w:rsidR="00B01FCD" w:rsidRPr="00FB3A86" w:rsidSect="00CE37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E97E5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FF06AE9" w14:textId="6D0A885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4240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EE59F6" w14:textId="77777777" w:rsidTr="001E44FE">
        <w:tc>
          <w:tcPr>
            <w:tcW w:w="9576" w:type="dxa"/>
            <w:shd w:val="clear" w:color="auto" w:fill="F2F2F2"/>
          </w:tcPr>
          <w:p w14:paraId="049F6B91" w14:textId="27A02FEA" w:rsidR="00505F06" w:rsidRPr="00775235" w:rsidRDefault="00775235" w:rsidP="00441B6F">
            <w:pPr>
              <w:pStyle w:val="Body"/>
              <w:spacing w:after="0"/>
              <w:rPr>
                <w:rFonts w:ascii="Arial" w:eastAsia="Calibri" w:hAnsi="Arial" w:cs="Arial"/>
                <w:color w:val="FF0000"/>
                <w:szCs w:val="22"/>
              </w:rPr>
            </w:pPr>
            <w:r w:rsidRPr="00775235">
              <w:rPr>
                <w:rFonts w:ascii="Arial" w:eastAsia="Calibri" w:hAnsi="Arial" w:cs="Arial"/>
                <w:color w:val="FF0000"/>
                <w:szCs w:val="22"/>
              </w:rPr>
              <w:t xml:space="preserve">This study examines the governance–growth nexus in an unbalanced panel of 30 upper-middle-income countries (1996–2023, 750 observations). Addressing a gap in the literature that has often overlooked this income group, the paper employs both static panel models (Pooled OLS, Fixed Effects, Random Effects) and dynamic estimators (Difference and System GMM) to mitigate endogeneity and capture growth persistence. Static results indicate that government effectiveness, regulatory quality, and the rule of law are positively and significantly associated with per capita income (coefficients range from 0.16 to 0.50, significant at 1–5%). By contrast, control of corruption and voice and accountability remain insignificant, while political stability is significant only in pooled models. Dynamic GMM estimates confirm strong income persistence (lagged GDP ≈ 1.0, p&lt;0.01) but governance indicators lose significance once endogeneity is addressed, implying that static correlations may partly reflect time-invariant, cross-country heterogeneity rather than short-run causal effects. Robustness checks (Hansen test non-rejection, </w:t>
            </w:r>
            <w:proofErr w:type="gramStart"/>
            <w:r w:rsidRPr="00775235">
              <w:rPr>
                <w:rFonts w:ascii="Arial" w:eastAsia="Calibri" w:hAnsi="Arial" w:cs="Arial"/>
                <w:color w:val="FF0000"/>
                <w:szCs w:val="22"/>
              </w:rPr>
              <w:t>AR(</w:t>
            </w:r>
            <w:proofErr w:type="gramEnd"/>
            <w:r w:rsidRPr="00775235">
              <w:rPr>
                <w:rFonts w:ascii="Arial" w:eastAsia="Calibri" w:hAnsi="Arial" w:cs="Arial"/>
                <w:color w:val="FF0000"/>
                <w:szCs w:val="22"/>
              </w:rPr>
              <w:t xml:space="preserve">2) test no second-order autocorrelation) support the validity of the GMM specification, despite some </w:t>
            </w:r>
            <w:proofErr w:type="spellStart"/>
            <w:r w:rsidRPr="00775235">
              <w:rPr>
                <w:rFonts w:ascii="Arial" w:eastAsia="Calibri" w:hAnsi="Arial" w:cs="Arial"/>
                <w:color w:val="FF0000"/>
                <w:szCs w:val="22"/>
              </w:rPr>
              <w:t>Sargan</w:t>
            </w:r>
            <w:proofErr w:type="spellEnd"/>
            <w:r w:rsidRPr="00775235">
              <w:rPr>
                <w:rFonts w:ascii="Arial" w:eastAsia="Calibri" w:hAnsi="Arial" w:cs="Arial"/>
                <w:color w:val="FF0000"/>
                <w:szCs w:val="22"/>
              </w:rPr>
              <w:t xml:space="preserve"> test sensitivity. These findings suggest that while governance quality provides a critical institutional foundation for long-run development, its growth payoffs in upper-middle-income economies materialize gradually rather than immediately. </w:t>
            </w:r>
            <w:r w:rsidR="00B07D49" w:rsidRPr="00B07D49">
              <w:rPr>
                <w:rFonts w:ascii="Arial" w:eastAsia="Calibri" w:hAnsi="Arial" w:cs="Arial"/>
                <w:color w:val="FF0000"/>
                <w:szCs w:val="22"/>
              </w:rPr>
              <w:t xml:space="preserve">As a policy recommendation, sustained governance reforms are essential for avoiding the middle-income trap, though policymakers should maintain realistic expectations about their </w:t>
            </w:r>
            <w:proofErr w:type="gramStart"/>
            <w:r w:rsidR="00B07D49" w:rsidRPr="00B07D49">
              <w:rPr>
                <w:rFonts w:ascii="Arial" w:eastAsia="Calibri" w:hAnsi="Arial" w:cs="Arial"/>
                <w:color w:val="FF0000"/>
                <w:szCs w:val="22"/>
              </w:rPr>
              <w:t>long-run</w:t>
            </w:r>
            <w:proofErr w:type="gramEnd"/>
            <w:r w:rsidR="00B07D49" w:rsidRPr="00B07D49">
              <w:rPr>
                <w:rFonts w:ascii="Arial" w:eastAsia="Calibri" w:hAnsi="Arial" w:cs="Arial"/>
                <w:color w:val="FF0000"/>
                <w:szCs w:val="22"/>
              </w:rPr>
              <w:t xml:space="preserve"> rather than immediate impact on economic growth.</w:t>
            </w:r>
          </w:p>
        </w:tc>
      </w:tr>
    </w:tbl>
    <w:p w14:paraId="3CFE2CBA" w14:textId="77777777" w:rsidR="00636EB2" w:rsidRDefault="00636EB2" w:rsidP="00441B6F">
      <w:pPr>
        <w:pStyle w:val="Body"/>
        <w:spacing w:after="0"/>
        <w:rPr>
          <w:rFonts w:ascii="Arial" w:hAnsi="Arial" w:cs="Arial"/>
          <w:i/>
        </w:rPr>
      </w:pPr>
    </w:p>
    <w:p w14:paraId="7E06A6DF" w14:textId="03D76F7C" w:rsidR="00A24E7E" w:rsidRDefault="00A24E7E" w:rsidP="00441B6F">
      <w:pPr>
        <w:pStyle w:val="Body"/>
        <w:spacing w:after="0"/>
        <w:rPr>
          <w:rFonts w:ascii="Arial" w:hAnsi="Arial" w:cs="Arial"/>
          <w:i/>
        </w:rPr>
      </w:pPr>
      <w:r>
        <w:rPr>
          <w:rFonts w:ascii="Arial" w:hAnsi="Arial" w:cs="Arial"/>
          <w:i/>
        </w:rPr>
        <w:t>Keywords:</w:t>
      </w:r>
      <w:r w:rsidR="00BD530D">
        <w:rPr>
          <w:rFonts w:ascii="Arial" w:hAnsi="Arial" w:cs="Arial"/>
          <w:i/>
        </w:rPr>
        <w:t xml:space="preserve"> </w:t>
      </w:r>
      <w:r w:rsidR="00F860BA" w:rsidRPr="00F860BA">
        <w:rPr>
          <w:rFonts w:ascii="Arial" w:hAnsi="Arial" w:cs="Arial"/>
          <w:i/>
          <w:color w:val="FF0000"/>
        </w:rPr>
        <w:t xml:space="preserve">Dynamic </w:t>
      </w:r>
      <w:r w:rsidR="00F860BA" w:rsidRPr="00F860BA">
        <w:rPr>
          <w:rFonts w:ascii="Arial" w:hAnsi="Arial" w:cs="Arial"/>
          <w:i/>
          <w:color w:val="FF0000"/>
        </w:rPr>
        <w:t>Panel, Economic</w:t>
      </w:r>
      <w:r w:rsidR="00BD530D" w:rsidRPr="00F860BA">
        <w:rPr>
          <w:rFonts w:ascii="Arial" w:hAnsi="Arial" w:cs="Arial"/>
          <w:i/>
          <w:color w:val="FF0000"/>
        </w:rPr>
        <w:t xml:space="preserve"> Growth, Governance, </w:t>
      </w:r>
      <w:r w:rsidR="004A09D7" w:rsidRPr="00F860BA">
        <w:rPr>
          <w:rFonts w:ascii="Arial" w:hAnsi="Arial" w:cs="Arial"/>
          <w:i/>
          <w:color w:val="FF0000"/>
        </w:rPr>
        <w:t>Growth Persistence, Middle-income Trap</w:t>
      </w:r>
      <w:r w:rsidR="00F860BA" w:rsidRPr="00F860BA">
        <w:rPr>
          <w:rFonts w:ascii="Arial" w:hAnsi="Arial" w:cs="Arial"/>
          <w:i/>
          <w:color w:val="FF0000"/>
        </w:rPr>
        <w:t xml:space="preserve">, </w:t>
      </w:r>
      <w:r w:rsidR="00F860BA" w:rsidRPr="00F860BA">
        <w:rPr>
          <w:rFonts w:ascii="Arial" w:hAnsi="Arial" w:cs="Arial"/>
          <w:i/>
          <w:color w:val="FF0000"/>
        </w:rPr>
        <w:t>System GMM,</w:t>
      </w:r>
    </w:p>
    <w:p w14:paraId="603CA7E7" w14:textId="77777777" w:rsidR="00790ADA" w:rsidRDefault="00790ADA" w:rsidP="00441B6F">
      <w:pPr>
        <w:pStyle w:val="Body"/>
        <w:spacing w:after="0"/>
        <w:rPr>
          <w:rFonts w:ascii="Arial" w:hAnsi="Arial" w:cs="Arial"/>
          <w:i/>
        </w:rPr>
      </w:pPr>
    </w:p>
    <w:p w14:paraId="6A8872D5" w14:textId="6069D52C" w:rsidR="00B52896" w:rsidRDefault="00B52896" w:rsidP="004A09D7">
      <w:pPr>
        <w:pStyle w:val="Body"/>
        <w:spacing w:after="0"/>
        <w:rPr>
          <w:rFonts w:ascii="Arial" w:hAnsi="Arial" w:cs="Arial"/>
          <w:i/>
          <w:sz w:val="18"/>
        </w:rPr>
      </w:pPr>
    </w:p>
    <w:p w14:paraId="2A449996"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1. Introduction</w:t>
      </w:r>
    </w:p>
    <w:p w14:paraId="24C4D2B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pivotal role of institutional quality as a driver of economic growth is a cornerstone of modern economic thought. Governance, encompassing dimensions such as control of corruption, government effectiveness, political stability, regulatory quality, rule of law, and voice and accountability, shapes the investment climate, ensures the efficient allocation of resources, and protects property rights. Empirically, this relationship has been explored through various lenses. Global studies often confirm a </w:t>
      </w:r>
      <w:r w:rsidRPr="004A09D7">
        <w:rPr>
          <w:rFonts w:ascii="Arial" w:hAnsi="Arial" w:cs="Arial"/>
          <w:iCs/>
          <w:sz w:val="18"/>
        </w:rPr>
        <w:lastRenderedPageBreak/>
        <w:t xml:space="preserve">strong positive correlation between indicators like the rule of law, regulatory quality, and economic performance (Kaufmann, Kraay, &amp; </w:t>
      </w:r>
      <w:proofErr w:type="spellStart"/>
      <w:r w:rsidRPr="004A09D7">
        <w:rPr>
          <w:rFonts w:ascii="Arial" w:hAnsi="Arial" w:cs="Arial"/>
          <w:iCs/>
          <w:sz w:val="18"/>
        </w:rPr>
        <w:t>Zoido</w:t>
      </w:r>
      <w:proofErr w:type="spellEnd"/>
      <w:r w:rsidRPr="004A09D7">
        <w:rPr>
          <w:rFonts w:ascii="Arial" w:hAnsi="Arial" w:cs="Arial"/>
          <w:iCs/>
          <w:sz w:val="18"/>
        </w:rPr>
        <w:t>, 1999).</w:t>
      </w:r>
    </w:p>
    <w:p w14:paraId="2DD41A9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Despite these insights, a clear consensus on the precise magnitude and direction of the governance-growth nexus remains elusive. The empirical evidence is marked by contradictory findings, as some studies underscore the growth-enhancing role of governance (Maune, 2017; Bayar, 2016). Conversely, other research reports are negligible or even negative effects (Abdelkader, 2017).</w:t>
      </w:r>
    </w:p>
    <w:p w14:paraId="3D0D96A2"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These inconsistencies often stem from methodological differences, including reliance on static panel models prone to endogeneity and omitted variable bias, as well as variations in sample composition (Acemoglu et al., 2005; Blundell &amp; Bond, 1998). More recent works employing dynamic estimators such as generalized method of moments (GMM) provide nuanced results, suggesting that governance may influence growth indirectly through long-run institutional development rather than producing immediate effects (Uddin et al., 2017; Medina-Moral &amp; Montes-Gan, 2018).</w:t>
      </w:r>
    </w:p>
    <w:p w14:paraId="4D58950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Upper-middle-income countries present a particularly relevant yet underexplored context for examining these dynamics. According to the World Bank classification, these economies—characterized by per capita incomes ranging from $4,046 to $12,535—exhibit transitional institutional structures. They often demonstrate improvements in governance compared to low-income countries but remain vulnerable to corruption, political volatility, and policy inconsistencies. As a result, they face the dual challenge of consolidating governance reforms while striving to avoid the so-called “middle-income trap” (Zubair &amp; Khan, 2014). Understanding how governance interacts with macroeconomic variables in these economies is crucial for charting pathways toward sustainable growth.</w:t>
      </w:r>
    </w:p>
    <w:p w14:paraId="5A59EEA8" w14:textId="10004BC1" w:rsidR="004A09D7" w:rsidRPr="004A09D7" w:rsidRDefault="004A09D7" w:rsidP="004A09D7">
      <w:pPr>
        <w:pStyle w:val="Body"/>
        <w:spacing w:after="0"/>
        <w:rPr>
          <w:rFonts w:ascii="Arial" w:hAnsi="Arial" w:cs="Arial"/>
          <w:iCs/>
          <w:sz w:val="18"/>
        </w:rPr>
      </w:pPr>
      <w:r w:rsidRPr="004A09D7">
        <w:rPr>
          <w:rFonts w:ascii="Arial" w:hAnsi="Arial" w:cs="Arial"/>
          <w:iCs/>
          <w:sz w:val="18"/>
        </w:rPr>
        <w:t>Against this backdrop, the present study contributes to the literature by empirically investigating the role of governance in shaping economic growth in 30 upper-middle-income countries over the period 1996–2023. By employing both static panel models and advanced dynamic estimators (difference GMM and system GMM), the study addresses methodological limitations of earlier works and provides evidence on the governance–growth nexus. Furthermore, the analysis integrates key macroeconomic controls, including inflation, interest rates, and education expenditure, thereby situating governance within the broader growth environment. In doing so, the study not only advances academic understanding but also offers actionable insights for policymakers seeking to design governance reforms that foster long-term, inclusive development.</w:t>
      </w:r>
    </w:p>
    <w:p w14:paraId="472576F3"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remainder of the paper is structured as follows. Section 2 reviews the relevant literature and outlines the research objectives. Section 3 details the data and methodology. Section 4 presents and discusses the empirical results, and Section 5 concludes with policy implications and suggestions for future research.</w:t>
      </w:r>
    </w:p>
    <w:p w14:paraId="035132E8" w14:textId="77777777" w:rsidR="004A09D7" w:rsidRPr="004A09D7" w:rsidRDefault="004A09D7" w:rsidP="004A09D7">
      <w:pPr>
        <w:pStyle w:val="Body"/>
        <w:spacing w:after="0"/>
        <w:rPr>
          <w:rFonts w:ascii="Arial" w:hAnsi="Arial" w:cs="Arial"/>
          <w:iCs/>
          <w:sz w:val="18"/>
        </w:rPr>
      </w:pPr>
    </w:p>
    <w:p w14:paraId="5D1A8D9A"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 Literature Review</w:t>
      </w:r>
      <w:r w:rsidRPr="004A09D7">
        <w:rPr>
          <w:rFonts w:ascii="Arial" w:hAnsi="Arial" w:cs="Arial"/>
          <w:b/>
          <w:bCs/>
          <w:iCs/>
          <w:sz w:val="18"/>
        </w:rPr>
        <w:tab/>
      </w:r>
    </w:p>
    <w:p w14:paraId="5EB723F0"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2.1 Synthesis of Empirical Findings</w:t>
      </w:r>
    </w:p>
    <w:p w14:paraId="32EA9A9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quality of governance has increasingly been recognized as a key determinant of economic growth, both in theory and empirical research. Governance encompasses institutional effectiveness, the </w:t>
      </w:r>
      <w:proofErr w:type="gramStart"/>
      <w:r w:rsidRPr="004A09D7">
        <w:rPr>
          <w:rFonts w:ascii="Arial" w:hAnsi="Arial" w:cs="Arial"/>
          <w:iCs/>
          <w:sz w:val="18"/>
        </w:rPr>
        <w:t>rule</w:t>
      </w:r>
      <w:proofErr w:type="gramEnd"/>
      <w:r w:rsidRPr="004A09D7">
        <w:rPr>
          <w:rFonts w:ascii="Arial" w:hAnsi="Arial" w:cs="Arial"/>
          <w:iCs/>
          <w:sz w:val="18"/>
        </w:rPr>
        <w:t xml:space="preserve"> of law, political stability, and control of corruption, which collectively shape the investment climate and the efficiency of public administration. According to Acemoglu et al. (2005), institutions influence investment in technology, physical, and human capital—drivers of long-run growth.</w:t>
      </w:r>
    </w:p>
    <w:p w14:paraId="6D3A262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Early contributions (Kaufmann et al., 1999; Dollar &amp; Kraay, 2002; Easterly &amp; Levine, 2003) emphasized the strong role of institutional quality in shaping growth trajectories, with particular importance given to the rule of law and openness. </w:t>
      </w:r>
      <w:proofErr w:type="spellStart"/>
      <w:r w:rsidRPr="004A09D7">
        <w:rPr>
          <w:rFonts w:ascii="Arial" w:hAnsi="Arial" w:cs="Arial"/>
          <w:iCs/>
          <w:sz w:val="18"/>
        </w:rPr>
        <w:t>Rigobon</w:t>
      </w:r>
      <w:proofErr w:type="spellEnd"/>
      <w:r w:rsidRPr="004A09D7">
        <w:rPr>
          <w:rFonts w:ascii="Arial" w:hAnsi="Arial" w:cs="Arial"/>
          <w:iCs/>
          <w:sz w:val="18"/>
        </w:rPr>
        <w:t xml:space="preserve"> and Rodrik (2005) confirmed that institutional frameworks, especially the rule of law, are more strongly associated with growth than other democratic dimensions.</w:t>
      </w:r>
    </w:p>
    <w:p w14:paraId="6AD61A41"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In developing regions, evidence remains mixed. </w:t>
      </w:r>
      <w:proofErr w:type="spellStart"/>
      <w:r w:rsidRPr="004A09D7">
        <w:rPr>
          <w:rFonts w:ascii="Arial" w:hAnsi="Arial" w:cs="Arial"/>
          <w:iCs/>
          <w:sz w:val="18"/>
        </w:rPr>
        <w:t>Fayissa</w:t>
      </w:r>
      <w:proofErr w:type="spellEnd"/>
      <w:r w:rsidRPr="004A09D7">
        <w:rPr>
          <w:rFonts w:ascii="Arial" w:hAnsi="Arial" w:cs="Arial"/>
          <w:iCs/>
          <w:sz w:val="18"/>
        </w:rPr>
        <w:t xml:space="preserve"> and Nsiah (2013) showed that governance matters for growth in Sub-Saharan Africa, though the effect varies with income level. Gani (2011) argued that government effectiveness and political stability stimulate growth in developing countries, while voice and accountability may hinder it under certain contexts. Similarly, </w:t>
      </w:r>
      <w:proofErr w:type="spellStart"/>
      <w:r w:rsidRPr="004A09D7">
        <w:rPr>
          <w:rFonts w:ascii="Arial" w:hAnsi="Arial" w:cs="Arial"/>
          <w:iCs/>
          <w:sz w:val="18"/>
        </w:rPr>
        <w:t>Yerrabati</w:t>
      </w:r>
      <w:proofErr w:type="spellEnd"/>
      <w:r w:rsidRPr="004A09D7">
        <w:rPr>
          <w:rFonts w:ascii="Arial" w:hAnsi="Arial" w:cs="Arial"/>
          <w:iCs/>
          <w:sz w:val="18"/>
        </w:rPr>
        <w:t xml:space="preserve"> and Hawkes (2015) found that corruption and regulatory inefficiency impede growth across Asia-Pacific economies.</w:t>
      </w:r>
    </w:p>
    <w:p w14:paraId="32BA0E19"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Country-specific studies provide further nuance. For instance, political stability enhanced growth in Zimbabwe (Maune, 2017) but instability significantly reduced growth in Egypt (Abdelkader, 2017). In Pakistan, stability was crucial for long-run growth (Zubair &amp; Khan, 2014), whereas external debt and inflation exerted adverse effects (</w:t>
      </w:r>
      <w:proofErr w:type="spellStart"/>
      <w:r w:rsidRPr="004A09D7">
        <w:rPr>
          <w:rFonts w:ascii="Arial" w:hAnsi="Arial" w:cs="Arial"/>
          <w:iCs/>
          <w:sz w:val="18"/>
        </w:rPr>
        <w:t>Sallahuddin</w:t>
      </w:r>
      <w:proofErr w:type="spellEnd"/>
      <w:r w:rsidRPr="004A09D7">
        <w:rPr>
          <w:rFonts w:ascii="Arial" w:hAnsi="Arial" w:cs="Arial"/>
          <w:iCs/>
          <w:sz w:val="18"/>
        </w:rPr>
        <w:t xml:space="preserve"> &amp; Awan, 2017). Studies in East Africa (</w:t>
      </w:r>
      <w:proofErr w:type="spellStart"/>
      <w:r w:rsidRPr="004A09D7">
        <w:rPr>
          <w:rFonts w:ascii="Arial" w:hAnsi="Arial" w:cs="Arial"/>
          <w:iCs/>
          <w:sz w:val="18"/>
        </w:rPr>
        <w:t>Orayo</w:t>
      </w:r>
      <w:proofErr w:type="spellEnd"/>
      <w:r w:rsidRPr="004A09D7">
        <w:rPr>
          <w:rFonts w:ascii="Arial" w:hAnsi="Arial" w:cs="Arial"/>
          <w:iCs/>
          <w:sz w:val="18"/>
        </w:rPr>
        <w:t xml:space="preserve"> &amp; Mose, 2016) confirmed that regulatory quality and political stability foster growth, while in European transitional economies, Bayar (2016) highlighted the positive influence of voice and accountability.</w:t>
      </w:r>
    </w:p>
    <w:p w14:paraId="26BBB0DF"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Recent global analyses continue to highlight the complexity of governance–growth dynamics. Medina-Moral and Montes-Gan (2018) demonstrated that economic freedom, alongside governance, fosters sustainable development. Uddin et al. (2017) confirmed political stability as a consistent growth driver </w:t>
      </w:r>
      <w:r w:rsidRPr="004A09D7">
        <w:rPr>
          <w:rFonts w:ascii="Arial" w:hAnsi="Arial" w:cs="Arial"/>
          <w:iCs/>
          <w:sz w:val="18"/>
        </w:rPr>
        <w:lastRenderedPageBreak/>
        <w:t xml:space="preserve">using dynamic GMM, while Yahyaoui and </w:t>
      </w:r>
      <w:proofErr w:type="spellStart"/>
      <w:r w:rsidRPr="004A09D7">
        <w:rPr>
          <w:rFonts w:ascii="Arial" w:hAnsi="Arial" w:cs="Arial"/>
          <w:iCs/>
          <w:sz w:val="18"/>
        </w:rPr>
        <w:t>Bouchoucha</w:t>
      </w:r>
      <w:proofErr w:type="spellEnd"/>
      <w:r w:rsidRPr="004A09D7">
        <w:rPr>
          <w:rFonts w:ascii="Arial" w:hAnsi="Arial" w:cs="Arial"/>
          <w:iCs/>
          <w:sz w:val="18"/>
        </w:rPr>
        <w:t xml:space="preserve"> (2020) found that institutional quality conditions the effectiveness of foreign aid in Africa.</w:t>
      </w:r>
    </w:p>
    <w:p w14:paraId="097D220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Overall, the literature suggests that governance exerts both direct and indirect effects on economic growth. While institutions such as rule of law and government effectiveness generally enhance economic performance, the effects of anti-corruption measures, political stability, and voice and accountability are more context dependent.</w:t>
      </w:r>
    </w:p>
    <w:p w14:paraId="385D010F"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2.2 Comparative Review of Related Studies</w:t>
      </w:r>
    </w:p>
    <w:tbl>
      <w:tblPr>
        <w:tblStyle w:val="TableGrid1"/>
        <w:tblW w:w="5000" w:type="pct"/>
        <w:tblInd w:w="0" w:type="dxa"/>
        <w:tblLook w:val="04A0" w:firstRow="1" w:lastRow="0" w:firstColumn="1" w:lastColumn="0" w:noHBand="0" w:noVBand="1"/>
      </w:tblPr>
      <w:tblGrid>
        <w:gridCol w:w="1376"/>
        <w:gridCol w:w="898"/>
        <w:gridCol w:w="1616"/>
        <w:gridCol w:w="1540"/>
        <w:gridCol w:w="2994"/>
      </w:tblGrid>
      <w:tr w:rsidR="004A09D7" w:rsidRPr="004A09D7" w14:paraId="6240B8B6" w14:textId="77777777" w:rsidTr="004A09D7">
        <w:tc>
          <w:tcPr>
            <w:tcW w:w="817" w:type="pct"/>
            <w:vAlign w:val="center"/>
            <w:hideMark/>
          </w:tcPr>
          <w:p w14:paraId="62FE614E"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Author(s)</w:t>
            </w:r>
          </w:p>
        </w:tc>
        <w:tc>
          <w:tcPr>
            <w:tcW w:w="533" w:type="pct"/>
            <w:vAlign w:val="center"/>
            <w:hideMark/>
          </w:tcPr>
          <w:p w14:paraId="53E7EAC4"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Year</w:t>
            </w:r>
          </w:p>
        </w:tc>
        <w:tc>
          <w:tcPr>
            <w:tcW w:w="959" w:type="pct"/>
            <w:vAlign w:val="center"/>
            <w:hideMark/>
          </w:tcPr>
          <w:p w14:paraId="03263D98"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Methodology</w:t>
            </w:r>
          </w:p>
        </w:tc>
        <w:tc>
          <w:tcPr>
            <w:tcW w:w="914" w:type="pct"/>
            <w:vAlign w:val="center"/>
            <w:hideMark/>
          </w:tcPr>
          <w:p w14:paraId="6D15A245"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Observations</w:t>
            </w:r>
          </w:p>
        </w:tc>
        <w:tc>
          <w:tcPr>
            <w:tcW w:w="1777" w:type="pct"/>
            <w:vAlign w:val="center"/>
            <w:hideMark/>
          </w:tcPr>
          <w:p w14:paraId="71FF17CB"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Main Findings</w:t>
            </w:r>
          </w:p>
        </w:tc>
      </w:tr>
      <w:tr w:rsidR="004A09D7" w:rsidRPr="004A09D7" w14:paraId="550A8B89" w14:textId="77777777" w:rsidTr="004A09D7">
        <w:tc>
          <w:tcPr>
            <w:tcW w:w="817" w:type="pct"/>
            <w:vAlign w:val="center"/>
            <w:hideMark/>
          </w:tcPr>
          <w:p w14:paraId="67FB029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Kaufmann et al.</w:t>
            </w:r>
          </w:p>
        </w:tc>
        <w:tc>
          <w:tcPr>
            <w:tcW w:w="533" w:type="pct"/>
            <w:vAlign w:val="center"/>
            <w:hideMark/>
          </w:tcPr>
          <w:p w14:paraId="239F715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1999</w:t>
            </w:r>
          </w:p>
        </w:tc>
        <w:tc>
          <w:tcPr>
            <w:tcW w:w="959" w:type="pct"/>
            <w:vAlign w:val="center"/>
            <w:hideMark/>
          </w:tcPr>
          <w:p w14:paraId="36CAD9B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governance indicators</w:t>
            </w:r>
          </w:p>
        </w:tc>
        <w:tc>
          <w:tcPr>
            <w:tcW w:w="914" w:type="pct"/>
            <w:vAlign w:val="center"/>
            <w:hideMark/>
          </w:tcPr>
          <w:p w14:paraId="1F0EF82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Global sample</w:t>
            </w:r>
          </w:p>
        </w:tc>
        <w:tc>
          <w:tcPr>
            <w:tcW w:w="1777" w:type="pct"/>
            <w:vAlign w:val="center"/>
            <w:hideMark/>
          </w:tcPr>
          <w:p w14:paraId="1C53C71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Good governance is strongly linked to higher growth.</w:t>
            </w:r>
          </w:p>
        </w:tc>
      </w:tr>
      <w:tr w:rsidR="004A09D7" w:rsidRPr="004A09D7" w14:paraId="00E923D1" w14:textId="77777777" w:rsidTr="004A09D7">
        <w:tc>
          <w:tcPr>
            <w:tcW w:w="817" w:type="pct"/>
            <w:vAlign w:val="center"/>
            <w:hideMark/>
          </w:tcPr>
          <w:p w14:paraId="1097E51C"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Dollar &amp; Kraay</w:t>
            </w:r>
          </w:p>
        </w:tc>
        <w:tc>
          <w:tcPr>
            <w:tcW w:w="533" w:type="pct"/>
            <w:vAlign w:val="center"/>
            <w:hideMark/>
          </w:tcPr>
          <w:p w14:paraId="2E3D0A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2002</w:t>
            </w:r>
          </w:p>
        </w:tc>
        <w:tc>
          <w:tcPr>
            <w:tcW w:w="959" w:type="pct"/>
            <w:vAlign w:val="center"/>
            <w:hideMark/>
          </w:tcPr>
          <w:p w14:paraId="76CBE4CC"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regressions</w:t>
            </w:r>
          </w:p>
        </w:tc>
        <w:tc>
          <w:tcPr>
            <w:tcW w:w="914" w:type="pct"/>
            <w:vAlign w:val="center"/>
            <w:hideMark/>
          </w:tcPr>
          <w:p w14:paraId="07154A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92 countries</w:t>
            </w:r>
          </w:p>
        </w:tc>
        <w:tc>
          <w:tcPr>
            <w:tcW w:w="1777" w:type="pct"/>
            <w:vAlign w:val="center"/>
            <w:hideMark/>
          </w:tcPr>
          <w:p w14:paraId="56E3EC32" w14:textId="77777777" w:rsidR="004A09D7" w:rsidRPr="004A09D7" w:rsidRDefault="004A09D7" w:rsidP="004A09D7">
            <w:pPr>
              <w:pStyle w:val="Body"/>
              <w:spacing w:after="0"/>
              <w:jc w:val="center"/>
              <w:rPr>
                <w:rFonts w:ascii="Arial" w:hAnsi="Arial" w:cs="Arial"/>
                <w:iCs/>
                <w:sz w:val="18"/>
              </w:rPr>
            </w:pPr>
            <w:proofErr w:type="gramStart"/>
            <w:r w:rsidRPr="004A09D7">
              <w:rPr>
                <w:rFonts w:ascii="Arial" w:hAnsi="Arial" w:cs="Arial"/>
                <w:iCs/>
                <w:sz w:val="18"/>
              </w:rPr>
              <w:t>Rule</w:t>
            </w:r>
            <w:proofErr w:type="gramEnd"/>
            <w:r w:rsidRPr="004A09D7">
              <w:rPr>
                <w:rFonts w:ascii="Arial" w:hAnsi="Arial" w:cs="Arial"/>
                <w:iCs/>
                <w:sz w:val="18"/>
              </w:rPr>
              <w:t xml:space="preserve"> of law and openness increase income; growth benefits the poor.</w:t>
            </w:r>
          </w:p>
        </w:tc>
      </w:tr>
      <w:tr w:rsidR="004A09D7" w:rsidRPr="004A09D7" w14:paraId="2521E2E5" w14:textId="77777777" w:rsidTr="004A09D7">
        <w:tc>
          <w:tcPr>
            <w:tcW w:w="817" w:type="pct"/>
            <w:vAlign w:val="center"/>
            <w:hideMark/>
          </w:tcPr>
          <w:p w14:paraId="0B0FC0C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Easterly &amp; Levine</w:t>
            </w:r>
          </w:p>
        </w:tc>
        <w:tc>
          <w:tcPr>
            <w:tcW w:w="533" w:type="pct"/>
            <w:vAlign w:val="center"/>
            <w:hideMark/>
          </w:tcPr>
          <w:p w14:paraId="766245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2003</w:t>
            </w:r>
          </w:p>
        </w:tc>
        <w:tc>
          <w:tcPr>
            <w:tcW w:w="959" w:type="pct"/>
            <w:vAlign w:val="center"/>
            <w:hideMark/>
          </w:tcPr>
          <w:p w14:paraId="33148DE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econometric study</w:t>
            </w:r>
          </w:p>
        </w:tc>
        <w:tc>
          <w:tcPr>
            <w:tcW w:w="914" w:type="pct"/>
            <w:vAlign w:val="center"/>
            <w:hideMark/>
          </w:tcPr>
          <w:p w14:paraId="3694C9A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80 countries</w:t>
            </w:r>
          </w:p>
        </w:tc>
        <w:tc>
          <w:tcPr>
            <w:tcW w:w="1777" w:type="pct"/>
            <w:vAlign w:val="center"/>
            <w:hideMark/>
          </w:tcPr>
          <w:p w14:paraId="0508293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Institutions explain differences in income levels.</w:t>
            </w:r>
          </w:p>
        </w:tc>
      </w:tr>
      <w:tr w:rsidR="004A09D7" w:rsidRPr="004A09D7" w14:paraId="409DA350" w14:textId="77777777" w:rsidTr="004A09D7">
        <w:tc>
          <w:tcPr>
            <w:tcW w:w="817" w:type="pct"/>
            <w:vAlign w:val="center"/>
            <w:hideMark/>
          </w:tcPr>
          <w:p w14:paraId="200A42B6"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Rigobon</w:t>
            </w:r>
            <w:proofErr w:type="spellEnd"/>
            <w:r w:rsidRPr="004A09D7">
              <w:rPr>
                <w:rFonts w:ascii="Arial" w:hAnsi="Arial" w:cs="Arial"/>
                <w:iCs/>
                <w:sz w:val="18"/>
              </w:rPr>
              <w:t xml:space="preserve"> &amp; Rodrik</w:t>
            </w:r>
          </w:p>
        </w:tc>
        <w:tc>
          <w:tcPr>
            <w:tcW w:w="533" w:type="pct"/>
            <w:vAlign w:val="center"/>
            <w:hideMark/>
          </w:tcPr>
          <w:p w14:paraId="44ADF9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2005</w:t>
            </w:r>
          </w:p>
        </w:tc>
        <w:tc>
          <w:tcPr>
            <w:tcW w:w="959" w:type="pct"/>
            <w:vAlign w:val="center"/>
            <w:hideMark/>
          </w:tcPr>
          <w:p w14:paraId="614CD58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Instrumental Variable (IV) regression</w:t>
            </w:r>
          </w:p>
        </w:tc>
        <w:tc>
          <w:tcPr>
            <w:tcW w:w="914" w:type="pct"/>
            <w:vAlign w:val="center"/>
            <w:hideMark/>
          </w:tcPr>
          <w:p w14:paraId="5BA91E7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72 countries</w:t>
            </w:r>
          </w:p>
        </w:tc>
        <w:tc>
          <w:tcPr>
            <w:tcW w:w="1777" w:type="pct"/>
            <w:vAlign w:val="center"/>
            <w:hideMark/>
          </w:tcPr>
          <w:p w14:paraId="0202CDCB" w14:textId="77777777" w:rsidR="004A09D7" w:rsidRPr="004A09D7" w:rsidRDefault="004A09D7" w:rsidP="004A09D7">
            <w:pPr>
              <w:pStyle w:val="Body"/>
              <w:spacing w:after="0"/>
              <w:jc w:val="center"/>
              <w:rPr>
                <w:rFonts w:ascii="Arial" w:hAnsi="Arial" w:cs="Arial"/>
                <w:iCs/>
                <w:sz w:val="18"/>
              </w:rPr>
            </w:pPr>
            <w:proofErr w:type="gramStart"/>
            <w:r w:rsidRPr="004A09D7">
              <w:rPr>
                <w:rFonts w:ascii="Arial" w:hAnsi="Arial" w:cs="Arial"/>
                <w:iCs/>
                <w:sz w:val="18"/>
              </w:rPr>
              <w:t>Rule</w:t>
            </w:r>
            <w:proofErr w:type="gramEnd"/>
            <w:r w:rsidRPr="004A09D7">
              <w:rPr>
                <w:rFonts w:ascii="Arial" w:hAnsi="Arial" w:cs="Arial"/>
                <w:iCs/>
                <w:sz w:val="18"/>
              </w:rPr>
              <w:t xml:space="preserve"> of law significantly </w:t>
            </w:r>
            <w:proofErr w:type="gramStart"/>
            <w:r w:rsidRPr="004A09D7">
              <w:rPr>
                <w:rFonts w:ascii="Arial" w:hAnsi="Arial" w:cs="Arial"/>
                <w:iCs/>
                <w:sz w:val="18"/>
              </w:rPr>
              <w:t>boosts</w:t>
            </w:r>
            <w:proofErr w:type="gramEnd"/>
            <w:r w:rsidRPr="004A09D7">
              <w:rPr>
                <w:rFonts w:ascii="Arial" w:hAnsi="Arial" w:cs="Arial"/>
                <w:iCs/>
                <w:sz w:val="18"/>
              </w:rPr>
              <w:t xml:space="preserve"> growth.</w:t>
            </w:r>
          </w:p>
        </w:tc>
      </w:tr>
      <w:tr w:rsidR="004A09D7" w:rsidRPr="004A09D7" w14:paraId="236392F5" w14:textId="77777777" w:rsidTr="004A09D7">
        <w:tc>
          <w:tcPr>
            <w:tcW w:w="817" w:type="pct"/>
            <w:vAlign w:val="center"/>
            <w:hideMark/>
          </w:tcPr>
          <w:p w14:paraId="7A8F013D"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Jalilian et al.</w:t>
            </w:r>
          </w:p>
        </w:tc>
        <w:tc>
          <w:tcPr>
            <w:tcW w:w="533" w:type="pct"/>
            <w:vAlign w:val="center"/>
            <w:hideMark/>
          </w:tcPr>
          <w:p w14:paraId="5B2F757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2006</w:t>
            </w:r>
          </w:p>
        </w:tc>
        <w:tc>
          <w:tcPr>
            <w:tcW w:w="959" w:type="pct"/>
            <w:vAlign w:val="center"/>
            <w:hideMark/>
          </w:tcPr>
          <w:p w14:paraId="46B9930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regression</w:t>
            </w:r>
          </w:p>
        </w:tc>
        <w:tc>
          <w:tcPr>
            <w:tcW w:w="914" w:type="pct"/>
            <w:vAlign w:val="center"/>
            <w:hideMark/>
          </w:tcPr>
          <w:p w14:paraId="584A034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52 developing countries</w:t>
            </w:r>
          </w:p>
        </w:tc>
        <w:tc>
          <w:tcPr>
            <w:tcW w:w="1777" w:type="pct"/>
            <w:vAlign w:val="center"/>
            <w:hideMark/>
          </w:tcPr>
          <w:p w14:paraId="2A6C9A2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Regulatory quality enhances growth.</w:t>
            </w:r>
          </w:p>
        </w:tc>
      </w:tr>
      <w:tr w:rsidR="004A09D7" w:rsidRPr="004A09D7" w14:paraId="4C3E5914" w14:textId="77777777" w:rsidTr="004A09D7">
        <w:tc>
          <w:tcPr>
            <w:tcW w:w="817" w:type="pct"/>
            <w:vAlign w:val="center"/>
            <w:hideMark/>
          </w:tcPr>
          <w:p w14:paraId="3E0975FB"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Fayissa</w:t>
            </w:r>
            <w:proofErr w:type="spellEnd"/>
            <w:r w:rsidRPr="004A09D7">
              <w:rPr>
                <w:rFonts w:ascii="Arial" w:hAnsi="Arial" w:cs="Arial"/>
                <w:iCs/>
                <w:sz w:val="18"/>
              </w:rPr>
              <w:t xml:space="preserve"> &amp; Nsiah</w:t>
            </w:r>
          </w:p>
        </w:tc>
        <w:tc>
          <w:tcPr>
            <w:tcW w:w="533" w:type="pct"/>
            <w:vAlign w:val="center"/>
            <w:hideMark/>
          </w:tcPr>
          <w:p w14:paraId="0BFFE1C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2013</w:t>
            </w:r>
          </w:p>
        </w:tc>
        <w:tc>
          <w:tcPr>
            <w:tcW w:w="959" w:type="pct"/>
            <w:vAlign w:val="center"/>
            <w:hideMark/>
          </w:tcPr>
          <w:p w14:paraId="7285164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data (FE, RE)</w:t>
            </w:r>
          </w:p>
        </w:tc>
        <w:tc>
          <w:tcPr>
            <w:tcW w:w="914" w:type="pct"/>
            <w:vAlign w:val="center"/>
            <w:hideMark/>
          </w:tcPr>
          <w:p w14:paraId="76B3DE0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38 African countries</w:t>
            </w:r>
          </w:p>
        </w:tc>
        <w:tc>
          <w:tcPr>
            <w:tcW w:w="1777" w:type="pct"/>
            <w:vAlign w:val="center"/>
            <w:hideMark/>
          </w:tcPr>
          <w:p w14:paraId="6D5AB77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Governance–growth link varies with income level.</w:t>
            </w:r>
          </w:p>
        </w:tc>
      </w:tr>
      <w:tr w:rsidR="004A09D7" w:rsidRPr="004A09D7" w14:paraId="17867789" w14:textId="77777777" w:rsidTr="004A09D7">
        <w:tc>
          <w:tcPr>
            <w:tcW w:w="817" w:type="pct"/>
            <w:vAlign w:val="center"/>
            <w:hideMark/>
          </w:tcPr>
          <w:p w14:paraId="0EEC3B4C"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Gani</w:t>
            </w:r>
          </w:p>
        </w:tc>
        <w:tc>
          <w:tcPr>
            <w:tcW w:w="533" w:type="pct"/>
            <w:vAlign w:val="center"/>
            <w:hideMark/>
          </w:tcPr>
          <w:p w14:paraId="17AB7CB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2011</w:t>
            </w:r>
          </w:p>
        </w:tc>
        <w:tc>
          <w:tcPr>
            <w:tcW w:w="959" w:type="pct"/>
            <w:vAlign w:val="center"/>
            <w:hideMark/>
          </w:tcPr>
          <w:p w14:paraId="28DC7BD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2D875D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93 developing countries</w:t>
            </w:r>
          </w:p>
        </w:tc>
        <w:tc>
          <w:tcPr>
            <w:tcW w:w="1777" w:type="pct"/>
            <w:vAlign w:val="center"/>
            <w:hideMark/>
          </w:tcPr>
          <w:p w14:paraId="3D26E0A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 effectiveness &amp; stability positive; voice &amp; accountability negative.</w:t>
            </w:r>
          </w:p>
        </w:tc>
      </w:tr>
      <w:tr w:rsidR="004A09D7" w:rsidRPr="004A09D7" w14:paraId="03882023" w14:textId="77777777" w:rsidTr="004A09D7">
        <w:tc>
          <w:tcPr>
            <w:tcW w:w="817" w:type="pct"/>
            <w:vAlign w:val="center"/>
            <w:hideMark/>
          </w:tcPr>
          <w:p w14:paraId="1CA4941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Huynh &amp; Jacho-Chavez</w:t>
            </w:r>
          </w:p>
        </w:tc>
        <w:tc>
          <w:tcPr>
            <w:tcW w:w="533" w:type="pct"/>
            <w:vAlign w:val="center"/>
            <w:hideMark/>
          </w:tcPr>
          <w:p w14:paraId="70D12D1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2009</w:t>
            </w:r>
          </w:p>
        </w:tc>
        <w:tc>
          <w:tcPr>
            <w:tcW w:w="959" w:type="pct"/>
            <w:vAlign w:val="center"/>
            <w:hideMark/>
          </w:tcPr>
          <w:p w14:paraId="23BB87D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Nonparametric quantile analysis</w:t>
            </w:r>
          </w:p>
        </w:tc>
        <w:tc>
          <w:tcPr>
            <w:tcW w:w="914" w:type="pct"/>
            <w:vAlign w:val="center"/>
            <w:hideMark/>
          </w:tcPr>
          <w:p w14:paraId="6C56739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80 countries</w:t>
            </w:r>
          </w:p>
        </w:tc>
        <w:tc>
          <w:tcPr>
            <w:tcW w:w="1777" w:type="pct"/>
            <w:vAlign w:val="center"/>
            <w:hideMark/>
          </w:tcPr>
          <w:p w14:paraId="4B9DE5DD"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Rule of law, gov. effectiveness, and stability positively affect growth.</w:t>
            </w:r>
          </w:p>
        </w:tc>
      </w:tr>
      <w:tr w:rsidR="004A09D7" w:rsidRPr="004A09D7" w14:paraId="516EF9D6" w14:textId="77777777" w:rsidTr="004A09D7">
        <w:tc>
          <w:tcPr>
            <w:tcW w:w="817" w:type="pct"/>
            <w:vAlign w:val="center"/>
            <w:hideMark/>
          </w:tcPr>
          <w:p w14:paraId="184591D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Maune</w:t>
            </w:r>
          </w:p>
        </w:tc>
        <w:tc>
          <w:tcPr>
            <w:tcW w:w="533" w:type="pct"/>
            <w:vAlign w:val="center"/>
            <w:hideMark/>
          </w:tcPr>
          <w:p w14:paraId="3FF7D41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219170E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Case study (Zimbabwe)</w:t>
            </w:r>
          </w:p>
        </w:tc>
        <w:tc>
          <w:tcPr>
            <w:tcW w:w="914" w:type="pct"/>
            <w:vAlign w:val="center"/>
            <w:hideMark/>
          </w:tcPr>
          <w:p w14:paraId="63A4CD8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1968–2015</w:t>
            </w:r>
          </w:p>
        </w:tc>
        <w:tc>
          <w:tcPr>
            <w:tcW w:w="1777" w:type="pct"/>
            <w:vAlign w:val="center"/>
            <w:hideMark/>
          </w:tcPr>
          <w:p w14:paraId="446E2AD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is positive; corruption negative.</w:t>
            </w:r>
          </w:p>
        </w:tc>
      </w:tr>
      <w:tr w:rsidR="004A09D7" w:rsidRPr="004A09D7" w14:paraId="2DFDB0D9" w14:textId="77777777" w:rsidTr="004A09D7">
        <w:tc>
          <w:tcPr>
            <w:tcW w:w="817" w:type="pct"/>
            <w:vAlign w:val="center"/>
            <w:hideMark/>
          </w:tcPr>
          <w:p w14:paraId="29735E4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Abdelkader</w:t>
            </w:r>
          </w:p>
        </w:tc>
        <w:tc>
          <w:tcPr>
            <w:tcW w:w="533" w:type="pct"/>
            <w:vAlign w:val="center"/>
            <w:hideMark/>
          </w:tcPr>
          <w:p w14:paraId="49F3E9C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2D5D904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Time series (ARDL)</w:t>
            </w:r>
          </w:p>
        </w:tc>
        <w:tc>
          <w:tcPr>
            <w:tcW w:w="914" w:type="pct"/>
            <w:vAlign w:val="center"/>
            <w:hideMark/>
          </w:tcPr>
          <w:p w14:paraId="7973D03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Egypt (1970–2014)</w:t>
            </w:r>
          </w:p>
        </w:tc>
        <w:tc>
          <w:tcPr>
            <w:tcW w:w="1777" w:type="pct"/>
            <w:vAlign w:val="center"/>
            <w:hideMark/>
          </w:tcPr>
          <w:p w14:paraId="6B0806E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instability significantly reduces growth.</w:t>
            </w:r>
          </w:p>
        </w:tc>
      </w:tr>
      <w:tr w:rsidR="004A09D7" w:rsidRPr="004A09D7" w14:paraId="5B571C1F" w14:textId="77777777" w:rsidTr="004A09D7">
        <w:tc>
          <w:tcPr>
            <w:tcW w:w="817" w:type="pct"/>
            <w:vAlign w:val="center"/>
            <w:hideMark/>
          </w:tcPr>
          <w:p w14:paraId="7876421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Zubair &amp; Khan</w:t>
            </w:r>
          </w:p>
        </w:tc>
        <w:tc>
          <w:tcPr>
            <w:tcW w:w="533" w:type="pct"/>
            <w:vAlign w:val="center"/>
            <w:hideMark/>
          </w:tcPr>
          <w:p w14:paraId="6BD203E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2014</w:t>
            </w:r>
          </w:p>
        </w:tc>
        <w:tc>
          <w:tcPr>
            <w:tcW w:w="959" w:type="pct"/>
            <w:vAlign w:val="center"/>
            <w:hideMark/>
          </w:tcPr>
          <w:p w14:paraId="72EBD07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Time series (cointegration)</w:t>
            </w:r>
          </w:p>
        </w:tc>
        <w:tc>
          <w:tcPr>
            <w:tcW w:w="914" w:type="pct"/>
            <w:vAlign w:val="center"/>
            <w:hideMark/>
          </w:tcPr>
          <w:p w14:paraId="5BA842B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Pakistan (1972–2010)</w:t>
            </w:r>
          </w:p>
        </w:tc>
        <w:tc>
          <w:tcPr>
            <w:tcW w:w="1777" w:type="pct"/>
            <w:vAlign w:val="center"/>
            <w:hideMark/>
          </w:tcPr>
          <w:p w14:paraId="61141AD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is critical for growth.</w:t>
            </w:r>
          </w:p>
        </w:tc>
      </w:tr>
      <w:tr w:rsidR="004A09D7" w:rsidRPr="004A09D7" w14:paraId="2F1E4E58" w14:textId="77777777" w:rsidTr="004A09D7">
        <w:tc>
          <w:tcPr>
            <w:tcW w:w="817" w:type="pct"/>
            <w:vAlign w:val="center"/>
            <w:hideMark/>
          </w:tcPr>
          <w:p w14:paraId="37DEC5ED"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Orayo</w:t>
            </w:r>
            <w:proofErr w:type="spellEnd"/>
            <w:r w:rsidRPr="004A09D7">
              <w:rPr>
                <w:rFonts w:ascii="Arial" w:hAnsi="Arial" w:cs="Arial"/>
                <w:iCs/>
                <w:sz w:val="18"/>
              </w:rPr>
              <w:t xml:space="preserve"> &amp; Mose</w:t>
            </w:r>
          </w:p>
        </w:tc>
        <w:tc>
          <w:tcPr>
            <w:tcW w:w="533" w:type="pct"/>
            <w:vAlign w:val="center"/>
            <w:hideMark/>
          </w:tcPr>
          <w:p w14:paraId="785BE7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2016</w:t>
            </w:r>
          </w:p>
        </w:tc>
        <w:tc>
          <w:tcPr>
            <w:tcW w:w="959" w:type="pct"/>
            <w:vAlign w:val="center"/>
            <w:hideMark/>
          </w:tcPr>
          <w:p w14:paraId="78D92B2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3E590BC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 East African countries</w:t>
            </w:r>
          </w:p>
        </w:tc>
        <w:tc>
          <w:tcPr>
            <w:tcW w:w="1777" w:type="pct"/>
            <w:vAlign w:val="center"/>
            <w:hideMark/>
          </w:tcPr>
          <w:p w14:paraId="792582F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&amp; regulatory quality promote growth.</w:t>
            </w:r>
          </w:p>
        </w:tc>
      </w:tr>
      <w:tr w:rsidR="004A09D7" w:rsidRPr="004A09D7" w14:paraId="54D12C39" w14:textId="77777777" w:rsidTr="004A09D7">
        <w:tc>
          <w:tcPr>
            <w:tcW w:w="817" w:type="pct"/>
            <w:vAlign w:val="center"/>
            <w:hideMark/>
          </w:tcPr>
          <w:p w14:paraId="38B04F5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Bayar</w:t>
            </w:r>
          </w:p>
        </w:tc>
        <w:tc>
          <w:tcPr>
            <w:tcW w:w="533" w:type="pct"/>
            <w:vAlign w:val="center"/>
            <w:hideMark/>
          </w:tcPr>
          <w:p w14:paraId="5EDFF65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2016</w:t>
            </w:r>
          </w:p>
        </w:tc>
        <w:tc>
          <w:tcPr>
            <w:tcW w:w="959" w:type="pct"/>
            <w:vAlign w:val="center"/>
            <w:hideMark/>
          </w:tcPr>
          <w:p w14:paraId="50F9997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1280E60A"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11 EU transition economies</w:t>
            </w:r>
          </w:p>
        </w:tc>
        <w:tc>
          <w:tcPr>
            <w:tcW w:w="1777" w:type="pct"/>
            <w:vAlign w:val="center"/>
            <w:hideMark/>
          </w:tcPr>
          <w:p w14:paraId="7605BA8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Voice &amp; accountability and rule of law boost growth.</w:t>
            </w:r>
          </w:p>
        </w:tc>
      </w:tr>
      <w:tr w:rsidR="004A09D7" w:rsidRPr="004A09D7" w14:paraId="1148C795" w14:textId="77777777" w:rsidTr="004A09D7">
        <w:tc>
          <w:tcPr>
            <w:tcW w:w="817" w:type="pct"/>
            <w:vAlign w:val="center"/>
            <w:hideMark/>
          </w:tcPr>
          <w:p w14:paraId="779A71A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Medina-Moral &amp; Montes-Gan</w:t>
            </w:r>
          </w:p>
        </w:tc>
        <w:tc>
          <w:tcPr>
            <w:tcW w:w="533" w:type="pct"/>
            <w:vAlign w:val="center"/>
            <w:hideMark/>
          </w:tcPr>
          <w:p w14:paraId="7B060F0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2018</w:t>
            </w:r>
          </w:p>
        </w:tc>
        <w:tc>
          <w:tcPr>
            <w:tcW w:w="959" w:type="pct"/>
            <w:vAlign w:val="center"/>
            <w:hideMark/>
          </w:tcPr>
          <w:p w14:paraId="327C060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Dynamic panel GMM</w:t>
            </w:r>
          </w:p>
        </w:tc>
        <w:tc>
          <w:tcPr>
            <w:tcW w:w="914" w:type="pct"/>
            <w:vAlign w:val="center"/>
            <w:hideMark/>
          </w:tcPr>
          <w:p w14:paraId="5AFFAC6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140 countries</w:t>
            </w:r>
          </w:p>
        </w:tc>
        <w:tc>
          <w:tcPr>
            <w:tcW w:w="1777" w:type="pct"/>
            <w:vAlign w:val="center"/>
            <w:hideMark/>
          </w:tcPr>
          <w:p w14:paraId="1D84F8C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Governance and economic freedom foster development.</w:t>
            </w:r>
          </w:p>
        </w:tc>
      </w:tr>
      <w:tr w:rsidR="004A09D7" w:rsidRPr="004A09D7" w14:paraId="733B2A99" w14:textId="77777777" w:rsidTr="004A09D7">
        <w:tc>
          <w:tcPr>
            <w:tcW w:w="817" w:type="pct"/>
            <w:vAlign w:val="center"/>
            <w:hideMark/>
          </w:tcPr>
          <w:p w14:paraId="301D581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Uddin et al.</w:t>
            </w:r>
          </w:p>
        </w:tc>
        <w:tc>
          <w:tcPr>
            <w:tcW w:w="533" w:type="pct"/>
            <w:vAlign w:val="center"/>
            <w:hideMark/>
          </w:tcPr>
          <w:p w14:paraId="70C8AC8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5D90099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Dynamic GMM &amp; quantile regression</w:t>
            </w:r>
          </w:p>
        </w:tc>
        <w:tc>
          <w:tcPr>
            <w:tcW w:w="914" w:type="pct"/>
            <w:vAlign w:val="center"/>
            <w:hideMark/>
          </w:tcPr>
          <w:p w14:paraId="79CCCF9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70 countries</w:t>
            </w:r>
          </w:p>
        </w:tc>
        <w:tc>
          <w:tcPr>
            <w:tcW w:w="1777" w:type="pct"/>
            <w:vAlign w:val="center"/>
            <w:hideMark/>
          </w:tcPr>
          <w:p w14:paraId="414445E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consistently enhances growth.</w:t>
            </w:r>
          </w:p>
        </w:tc>
      </w:tr>
      <w:tr w:rsidR="004A09D7" w:rsidRPr="004A09D7" w14:paraId="2CCBDF6E" w14:textId="77777777" w:rsidTr="004A09D7">
        <w:tc>
          <w:tcPr>
            <w:tcW w:w="817" w:type="pct"/>
            <w:vAlign w:val="center"/>
            <w:hideMark/>
          </w:tcPr>
          <w:p w14:paraId="3FDE34C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 xml:space="preserve">Yahyaoui &amp; </w:t>
            </w:r>
            <w:proofErr w:type="spellStart"/>
            <w:r w:rsidRPr="004A09D7">
              <w:rPr>
                <w:rFonts w:ascii="Arial" w:hAnsi="Arial" w:cs="Arial"/>
                <w:iCs/>
                <w:sz w:val="18"/>
              </w:rPr>
              <w:t>Bouchoucha</w:t>
            </w:r>
            <w:proofErr w:type="spellEnd"/>
          </w:p>
        </w:tc>
        <w:tc>
          <w:tcPr>
            <w:tcW w:w="533" w:type="pct"/>
            <w:vAlign w:val="center"/>
            <w:hideMark/>
          </w:tcPr>
          <w:p w14:paraId="4A9C9B2D"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2020</w:t>
            </w:r>
          </w:p>
        </w:tc>
        <w:tc>
          <w:tcPr>
            <w:tcW w:w="959" w:type="pct"/>
            <w:vAlign w:val="center"/>
            <w:hideMark/>
          </w:tcPr>
          <w:p w14:paraId="74F9ED1A"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GMM</w:t>
            </w:r>
          </w:p>
        </w:tc>
        <w:tc>
          <w:tcPr>
            <w:tcW w:w="914" w:type="pct"/>
            <w:vAlign w:val="center"/>
            <w:hideMark/>
          </w:tcPr>
          <w:p w14:paraId="330A03E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50 African countries</w:t>
            </w:r>
          </w:p>
        </w:tc>
        <w:tc>
          <w:tcPr>
            <w:tcW w:w="1777" w:type="pct"/>
            <w:vAlign w:val="center"/>
            <w:hideMark/>
          </w:tcPr>
          <w:p w14:paraId="22442F0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Institutional quality conditions aid effectiveness.</w:t>
            </w:r>
          </w:p>
        </w:tc>
      </w:tr>
      <w:tr w:rsidR="0055194C" w:rsidRPr="004A09D7" w14:paraId="78AB5B83" w14:textId="77777777" w:rsidTr="004A09D7">
        <w:tc>
          <w:tcPr>
            <w:tcW w:w="817" w:type="pct"/>
            <w:vAlign w:val="center"/>
          </w:tcPr>
          <w:p w14:paraId="6F2B81EB" w14:textId="6C932394" w:rsidR="0055194C" w:rsidRPr="0055194C" w:rsidRDefault="0055194C" w:rsidP="004A09D7">
            <w:pPr>
              <w:pStyle w:val="Body"/>
              <w:spacing w:after="0"/>
              <w:jc w:val="center"/>
              <w:rPr>
                <w:rFonts w:ascii="Arial" w:hAnsi="Arial" w:cs="Arial"/>
                <w:iCs/>
                <w:color w:val="FF0000"/>
                <w:sz w:val="18"/>
              </w:rPr>
            </w:pPr>
            <w:r w:rsidRPr="0055194C">
              <w:rPr>
                <w:rFonts w:ascii="Arial" w:hAnsi="Arial" w:cs="Arial"/>
                <w:iCs/>
                <w:color w:val="FF0000"/>
                <w:sz w:val="18"/>
              </w:rPr>
              <w:t>Amorim, G.</w:t>
            </w:r>
          </w:p>
        </w:tc>
        <w:tc>
          <w:tcPr>
            <w:tcW w:w="533" w:type="pct"/>
            <w:vAlign w:val="center"/>
          </w:tcPr>
          <w:p w14:paraId="7324182B" w14:textId="47AC4DDD" w:rsidR="0055194C" w:rsidRPr="0055194C" w:rsidRDefault="0055194C" w:rsidP="004A09D7">
            <w:pPr>
              <w:pStyle w:val="Body"/>
              <w:spacing w:after="0"/>
              <w:jc w:val="center"/>
              <w:rPr>
                <w:rFonts w:ascii="Arial" w:hAnsi="Arial" w:cs="Arial"/>
                <w:iCs/>
                <w:color w:val="FF0000"/>
                <w:sz w:val="18"/>
              </w:rPr>
            </w:pPr>
            <w:r w:rsidRPr="0055194C">
              <w:rPr>
                <w:rFonts w:ascii="Arial" w:hAnsi="Arial" w:cs="Arial"/>
                <w:iCs/>
                <w:color w:val="FF0000"/>
                <w:sz w:val="18"/>
              </w:rPr>
              <w:t>2023</w:t>
            </w:r>
          </w:p>
        </w:tc>
        <w:tc>
          <w:tcPr>
            <w:tcW w:w="959" w:type="pct"/>
            <w:vAlign w:val="center"/>
          </w:tcPr>
          <w:p w14:paraId="4AC016F1" w14:textId="163BA835" w:rsidR="0055194C" w:rsidRPr="0055194C" w:rsidRDefault="0055194C" w:rsidP="004A09D7">
            <w:pPr>
              <w:pStyle w:val="Body"/>
              <w:spacing w:after="0"/>
              <w:jc w:val="center"/>
              <w:rPr>
                <w:rFonts w:ascii="Arial" w:hAnsi="Arial" w:cs="Arial"/>
                <w:iCs/>
                <w:color w:val="FF0000"/>
                <w:sz w:val="18"/>
              </w:rPr>
            </w:pPr>
            <w:r w:rsidRPr="0055194C">
              <w:rPr>
                <w:rFonts w:ascii="Arial" w:hAnsi="Arial" w:cs="Arial"/>
                <w:iCs/>
                <w:color w:val="FF0000"/>
                <w:sz w:val="18"/>
              </w:rPr>
              <w:t>Panel VAR</w:t>
            </w:r>
          </w:p>
        </w:tc>
        <w:tc>
          <w:tcPr>
            <w:tcW w:w="914" w:type="pct"/>
            <w:vAlign w:val="center"/>
          </w:tcPr>
          <w:p w14:paraId="463CF5FD" w14:textId="0C0F142C" w:rsidR="0055194C" w:rsidRPr="0055194C" w:rsidRDefault="0055194C" w:rsidP="004A09D7">
            <w:pPr>
              <w:pStyle w:val="Body"/>
              <w:spacing w:after="0"/>
              <w:jc w:val="center"/>
              <w:rPr>
                <w:rFonts w:ascii="Arial" w:hAnsi="Arial" w:cs="Arial"/>
                <w:iCs/>
                <w:color w:val="FF0000"/>
                <w:sz w:val="18"/>
              </w:rPr>
            </w:pPr>
            <w:r w:rsidRPr="0055194C">
              <w:rPr>
                <w:rFonts w:ascii="Arial" w:hAnsi="Arial" w:cs="Arial"/>
                <w:iCs/>
                <w:color w:val="FF0000"/>
                <w:sz w:val="18"/>
              </w:rPr>
              <w:t>214 countries</w:t>
            </w:r>
          </w:p>
        </w:tc>
        <w:tc>
          <w:tcPr>
            <w:tcW w:w="1777" w:type="pct"/>
            <w:vAlign w:val="center"/>
          </w:tcPr>
          <w:p w14:paraId="2BB5CDF8" w14:textId="73E07A17" w:rsidR="0055194C" w:rsidRPr="0055194C" w:rsidRDefault="0055194C" w:rsidP="004A09D7">
            <w:pPr>
              <w:pStyle w:val="Body"/>
              <w:spacing w:after="0"/>
              <w:jc w:val="center"/>
              <w:rPr>
                <w:rFonts w:ascii="Arial" w:hAnsi="Arial" w:cs="Arial"/>
                <w:iCs/>
                <w:color w:val="FF0000"/>
                <w:sz w:val="18"/>
              </w:rPr>
            </w:pPr>
            <w:r w:rsidRPr="0055194C">
              <w:rPr>
                <w:rFonts w:ascii="Arial" w:hAnsi="Arial" w:cs="Arial"/>
                <w:iCs/>
                <w:color w:val="FF0000"/>
                <w:sz w:val="18"/>
              </w:rPr>
              <w:t>Governance shocks boost long-run growth, and growth in turn strengthens governance.</w:t>
            </w:r>
          </w:p>
        </w:tc>
      </w:tr>
      <w:tr w:rsidR="0055194C" w:rsidRPr="004A09D7" w14:paraId="36CB47CC" w14:textId="77777777" w:rsidTr="004A09D7">
        <w:tc>
          <w:tcPr>
            <w:tcW w:w="817" w:type="pct"/>
            <w:vAlign w:val="center"/>
          </w:tcPr>
          <w:p w14:paraId="6A7D736F" w14:textId="0622C691" w:rsidR="0055194C" w:rsidRPr="0055194C" w:rsidRDefault="001427D2" w:rsidP="004A09D7">
            <w:pPr>
              <w:pStyle w:val="Body"/>
              <w:spacing w:after="0"/>
              <w:jc w:val="center"/>
              <w:rPr>
                <w:rFonts w:ascii="Arial" w:hAnsi="Arial" w:cs="Arial"/>
                <w:iCs/>
                <w:color w:val="FF0000"/>
                <w:sz w:val="18"/>
              </w:rPr>
            </w:pPr>
            <w:r>
              <w:rPr>
                <w:rFonts w:ascii="Arial" w:hAnsi="Arial" w:cs="Arial"/>
                <w:iCs/>
                <w:color w:val="FF0000"/>
                <w:sz w:val="18"/>
              </w:rPr>
              <w:t>Ali et al.</w:t>
            </w:r>
          </w:p>
        </w:tc>
        <w:tc>
          <w:tcPr>
            <w:tcW w:w="533" w:type="pct"/>
            <w:vAlign w:val="center"/>
          </w:tcPr>
          <w:p w14:paraId="69C25392" w14:textId="6AF24FD2" w:rsidR="0055194C" w:rsidRPr="0055194C" w:rsidRDefault="001427D2" w:rsidP="004A09D7">
            <w:pPr>
              <w:pStyle w:val="Body"/>
              <w:spacing w:after="0"/>
              <w:jc w:val="center"/>
              <w:rPr>
                <w:rFonts w:ascii="Arial" w:hAnsi="Arial" w:cs="Arial"/>
                <w:iCs/>
                <w:color w:val="FF0000"/>
                <w:sz w:val="18"/>
              </w:rPr>
            </w:pPr>
            <w:r>
              <w:rPr>
                <w:rFonts w:ascii="Arial" w:hAnsi="Arial" w:cs="Arial"/>
                <w:iCs/>
                <w:color w:val="FF0000"/>
                <w:sz w:val="18"/>
              </w:rPr>
              <w:t>2024</w:t>
            </w:r>
          </w:p>
        </w:tc>
        <w:tc>
          <w:tcPr>
            <w:tcW w:w="959" w:type="pct"/>
            <w:vAlign w:val="center"/>
          </w:tcPr>
          <w:p w14:paraId="5F0CF79B" w14:textId="26558F73" w:rsidR="0055194C" w:rsidRPr="0055194C" w:rsidRDefault="001427D2" w:rsidP="004A09D7">
            <w:pPr>
              <w:pStyle w:val="Body"/>
              <w:spacing w:after="0"/>
              <w:jc w:val="center"/>
              <w:rPr>
                <w:rFonts w:ascii="Arial" w:hAnsi="Arial" w:cs="Arial"/>
                <w:iCs/>
                <w:color w:val="FF0000"/>
                <w:sz w:val="18"/>
              </w:rPr>
            </w:pPr>
            <w:r>
              <w:rPr>
                <w:rFonts w:ascii="Arial" w:hAnsi="Arial" w:cs="Arial"/>
                <w:iCs/>
                <w:color w:val="FF0000"/>
                <w:sz w:val="18"/>
              </w:rPr>
              <w:t>P</w:t>
            </w:r>
            <w:r w:rsidRPr="001427D2">
              <w:rPr>
                <w:rFonts w:ascii="Arial" w:hAnsi="Arial" w:cs="Arial"/>
                <w:iCs/>
                <w:color w:val="FF0000"/>
                <w:sz w:val="18"/>
              </w:rPr>
              <w:t>ooled regression</w:t>
            </w:r>
          </w:p>
        </w:tc>
        <w:tc>
          <w:tcPr>
            <w:tcW w:w="914" w:type="pct"/>
            <w:vAlign w:val="center"/>
          </w:tcPr>
          <w:p w14:paraId="0F83E0E9" w14:textId="62BDBE12" w:rsidR="0055194C" w:rsidRPr="0055194C" w:rsidRDefault="001427D2" w:rsidP="004A09D7">
            <w:pPr>
              <w:pStyle w:val="Body"/>
              <w:spacing w:after="0"/>
              <w:jc w:val="center"/>
              <w:rPr>
                <w:rFonts w:ascii="Arial" w:hAnsi="Arial" w:cs="Arial"/>
                <w:iCs/>
                <w:color w:val="FF0000"/>
                <w:sz w:val="18"/>
              </w:rPr>
            </w:pPr>
            <w:r>
              <w:rPr>
                <w:rFonts w:ascii="Arial" w:hAnsi="Arial" w:cs="Arial"/>
                <w:iCs/>
                <w:color w:val="FF0000"/>
                <w:sz w:val="18"/>
              </w:rPr>
              <w:t xml:space="preserve">48 </w:t>
            </w:r>
            <w:r w:rsidRPr="001427D2">
              <w:rPr>
                <w:rFonts w:ascii="Arial" w:hAnsi="Arial" w:cs="Arial"/>
                <w:iCs/>
                <w:color w:val="FF0000"/>
                <w:sz w:val="18"/>
              </w:rPr>
              <w:t>high-income countries</w:t>
            </w:r>
          </w:p>
        </w:tc>
        <w:tc>
          <w:tcPr>
            <w:tcW w:w="1777" w:type="pct"/>
            <w:vAlign w:val="center"/>
          </w:tcPr>
          <w:p w14:paraId="5157F7D3" w14:textId="2E99CB82" w:rsidR="0055194C" w:rsidRPr="0055194C" w:rsidRDefault="001427D2" w:rsidP="004A09D7">
            <w:pPr>
              <w:pStyle w:val="Body"/>
              <w:spacing w:after="0"/>
              <w:jc w:val="center"/>
              <w:rPr>
                <w:rFonts w:ascii="Arial" w:hAnsi="Arial" w:cs="Arial"/>
                <w:iCs/>
                <w:color w:val="FF0000"/>
                <w:sz w:val="18"/>
              </w:rPr>
            </w:pPr>
            <w:r w:rsidRPr="001427D2">
              <w:rPr>
                <w:rFonts w:ascii="Arial" w:hAnsi="Arial" w:cs="Arial"/>
                <w:iCs/>
                <w:color w:val="FF0000"/>
                <w:sz w:val="18"/>
              </w:rPr>
              <w:t>Good governance enhances per capita income by attracting FDI, boosting exports and urbanization</w:t>
            </w:r>
          </w:p>
        </w:tc>
      </w:tr>
      <w:tr w:rsidR="001427D2" w:rsidRPr="004A09D7" w14:paraId="0CECE403" w14:textId="77777777" w:rsidTr="004A09D7">
        <w:tc>
          <w:tcPr>
            <w:tcW w:w="817" w:type="pct"/>
            <w:vAlign w:val="center"/>
          </w:tcPr>
          <w:p w14:paraId="35DBD3C3" w14:textId="53E459F1" w:rsidR="001427D2" w:rsidRDefault="001427D2" w:rsidP="004A09D7">
            <w:pPr>
              <w:pStyle w:val="Body"/>
              <w:spacing w:after="0"/>
              <w:jc w:val="center"/>
              <w:rPr>
                <w:rFonts w:ascii="Arial" w:hAnsi="Arial" w:cs="Arial"/>
                <w:iCs/>
                <w:color w:val="FF0000"/>
                <w:sz w:val="18"/>
              </w:rPr>
            </w:pPr>
            <w:r w:rsidRPr="001427D2">
              <w:rPr>
                <w:rFonts w:ascii="Arial" w:hAnsi="Arial" w:cs="Arial"/>
                <w:iCs/>
                <w:color w:val="FF0000"/>
                <w:sz w:val="18"/>
              </w:rPr>
              <w:t xml:space="preserve">Karagiannis &amp; </w:t>
            </w:r>
            <w:proofErr w:type="spellStart"/>
            <w:r w:rsidRPr="001427D2">
              <w:rPr>
                <w:rFonts w:ascii="Arial" w:hAnsi="Arial" w:cs="Arial"/>
                <w:iCs/>
                <w:color w:val="FF0000"/>
                <w:sz w:val="18"/>
              </w:rPr>
              <w:t>Paleologou</w:t>
            </w:r>
            <w:proofErr w:type="spellEnd"/>
          </w:p>
        </w:tc>
        <w:tc>
          <w:tcPr>
            <w:tcW w:w="533" w:type="pct"/>
            <w:vAlign w:val="center"/>
          </w:tcPr>
          <w:p w14:paraId="4D57BFD3" w14:textId="2B118EE5" w:rsidR="001427D2" w:rsidRDefault="001427D2" w:rsidP="004A09D7">
            <w:pPr>
              <w:pStyle w:val="Body"/>
              <w:spacing w:after="0"/>
              <w:jc w:val="center"/>
              <w:rPr>
                <w:rFonts w:ascii="Arial" w:hAnsi="Arial" w:cs="Arial"/>
                <w:iCs/>
                <w:color w:val="FF0000"/>
                <w:sz w:val="18"/>
              </w:rPr>
            </w:pPr>
            <w:r>
              <w:rPr>
                <w:rFonts w:ascii="Arial" w:hAnsi="Arial" w:cs="Arial"/>
                <w:iCs/>
                <w:color w:val="FF0000"/>
                <w:sz w:val="18"/>
              </w:rPr>
              <w:t>2025</w:t>
            </w:r>
          </w:p>
        </w:tc>
        <w:tc>
          <w:tcPr>
            <w:tcW w:w="959" w:type="pct"/>
            <w:vAlign w:val="center"/>
          </w:tcPr>
          <w:p w14:paraId="3A66CF47" w14:textId="787720DD" w:rsidR="001427D2" w:rsidRDefault="001427D2" w:rsidP="004A09D7">
            <w:pPr>
              <w:pStyle w:val="Body"/>
              <w:spacing w:after="0"/>
              <w:jc w:val="center"/>
              <w:rPr>
                <w:rFonts w:ascii="Arial" w:hAnsi="Arial" w:cs="Arial"/>
                <w:iCs/>
                <w:color w:val="FF0000"/>
                <w:sz w:val="18"/>
              </w:rPr>
            </w:pPr>
            <w:r>
              <w:rPr>
                <w:rFonts w:ascii="Arial" w:hAnsi="Arial" w:cs="Arial"/>
                <w:iCs/>
                <w:color w:val="FF0000"/>
                <w:sz w:val="18"/>
              </w:rPr>
              <w:t>L</w:t>
            </w:r>
            <w:r w:rsidRPr="001427D2">
              <w:rPr>
                <w:rFonts w:ascii="Arial" w:hAnsi="Arial" w:cs="Arial"/>
                <w:iCs/>
                <w:color w:val="FF0000"/>
                <w:sz w:val="18"/>
              </w:rPr>
              <w:t>inear</w:t>
            </w:r>
            <w:r w:rsidRPr="001427D2">
              <w:rPr>
                <w:rFonts w:ascii="Arial" w:hAnsi="Arial" w:cs="Arial"/>
                <w:iCs/>
                <w:color w:val="FF0000"/>
                <w:sz w:val="18"/>
              </w:rPr>
              <w:t xml:space="preserve"> and dynamic GMM </w:t>
            </w:r>
          </w:p>
        </w:tc>
        <w:tc>
          <w:tcPr>
            <w:tcW w:w="914" w:type="pct"/>
            <w:vAlign w:val="center"/>
          </w:tcPr>
          <w:p w14:paraId="152AB787" w14:textId="6052F0AC" w:rsidR="001427D2" w:rsidRDefault="001427D2" w:rsidP="004A09D7">
            <w:pPr>
              <w:pStyle w:val="Body"/>
              <w:spacing w:after="0"/>
              <w:jc w:val="center"/>
              <w:rPr>
                <w:rFonts w:ascii="Arial" w:hAnsi="Arial" w:cs="Arial"/>
                <w:iCs/>
                <w:color w:val="FF0000"/>
                <w:sz w:val="18"/>
              </w:rPr>
            </w:pPr>
            <w:r>
              <w:rPr>
                <w:rFonts w:ascii="Arial" w:hAnsi="Arial" w:cs="Arial"/>
                <w:iCs/>
                <w:color w:val="FF0000"/>
                <w:sz w:val="18"/>
              </w:rPr>
              <w:t>50 countries</w:t>
            </w:r>
          </w:p>
        </w:tc>
        <w:tc>
          <w:tcPr>
            <w:tcW w:w="1777" w:type="pct"/>
            <w:vAlign w:val="center"/>
          </w:tcPr>
          <w:p w14:paraId="22CF7CA1" w14:textId="1DD9C2C1" w:rsidR="001427D2" w:rsidRPr="001427D2" w:rsidRDefault="001427D2" w:rsidP="004A09D7">
            <w:pPr>
              <w:pStyle w:val="Body"/>
              <w:spacing w:after="0"/>
              <w:jc w:val="center"/>
              <w:rPr>
                <w:rFonts w:ascii="Arial" w:hAnsi="Arial" w:cs="Arial"/>
                <w:iCs/>
                <w:color w:val="FF0000"/>
                <w:sz w:val="18"/>
              </w:rPr>
            </w:pPr>
            <w:r w:rsidRPr="001427D2">
              <w:rPr>
                <w:rFonts w:ascii="Arial" w:hAnsi="Arial" w:cs="Arial"/>
                <w:iCs/>
                <w:color w:val="FF0000"/>
                <w:sz w:val="18"/>
              </w:rPr>
              <w:t>Governance quality significantly boosts economic growth in Africa under linear and dynamic GMM, while fixed effects reveal a U-</w:t>
            </w:r>
            <w:r w:rsidRPr="001427D2">
              <w:rPr>
                <w:rFonts w:ascii="Arial" w:hAnsi="Arial" w:cs="Arial"/>
                <w:iCs/>
                <w:color w:val="FF0000"/>
                <w:sz w:val="18"/>
              </w:rPr>
              <w:lastRenderedPageBreak/>
              <w:t>shaped relation suggesting growth benefits may also arise at low governance levels.</w:t>
            </w:r>
          </w:p>
        </w:tc>
      </w:tr>
    </w:tbl>
    <w:p w14:paraId="24473CEE" w14:textId="77777777" w:rsidR="004A09D7" w:rsidRPr="004A09D7" w:rsidRDefault="004A09D7" w:rsidP="004A09D7">
      <w:pPr>
        <w:pStyle w:val="Body"/>
        <w:spacing w:after="0"/>
        <w:rPr>
          <w:rFonts w:ascii="Arial" w:hAnsi="Arial" w:cs="Arial"/>
          <w:b/>
          <w:bCs/>
          <w:iCs/>
          <w:sz w:val="18"/>
        </w:rPr>
      </w:pPr>
    </w:p>
    <w:p w14:paraId="4E3BBEB5" w14:textId="507C9C7B" w:rsidR="009C6735" w:rsidRDefault="009C6735" w:rsidP="004A09D7">
      <w:pPr>
        <w:pStyle w:val="Body"/>
        <w:spacing w:after="0"/>
        <w:rPr>
          <w:rFonts w:ascii="Arial" w:hAnsi="Arial" w:cs="Arial"/>
          <w:b/>
          <w:bCs/>
          <w:iCs/>
          <w:sz w:val="18"/>
        </w:rPr>
      </w:pPr>
      <w:r>
        <w:rPr>
          <w:rFonts w:ascii="Arial" w:hAnsi="Arial" w:cs="Arial"/>
          <w:b/>
          <w:bCs/>
          <w:iCs/>
          <w:sz w:val="18"/>
        </w:rPr>
        <w:t>List 1-</w:t>
      </w:r>
      <w:r w:rsidR="00996413">
        <w:rPr>
          <w:rFonts w:ascii="Arial" w:hAnsi="Arial" w:cs="Arial"/>
          <w:b/>
          <w:bCs/>
          <w:iCs/>
          <w:sz w:val="18"/>
        </w:rPr>
        <w:t xml:space="preserve"> </w:t>
      </w:r>
      <w:r w:rsidR="00996413" w:rsidRPr="00996413">
        <w:rPr>
          <w:rFonts w:ascii="Arial" w:hAnsi="Arial" w:cs="Arial"/>
          <w:b/>
          <w:bCs/>
          <w:iCs/>
          <w:sz w:val="18"/>
        </w:rPr>
        <w:t>Comparative Review of Related Studies</w:t>
      </w:r>
    </w:p>
    <w:p w14:paraId="5BF93241" w14:textId="5638705F"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2.3 Research Gap</w:t>
      </w:r>
    </w:p>
    <w:p w14:paraId="0209BF82"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Although the relationship between governance and economic growth has been widely examined, several gaps remain. First, much of the existing literature has concentrated either on single-country analyses (e.g., Egypt, Pakistan, Zimbabwe) or on regional groupings (e.g., Sub-Saharan Africa, Asia-Pacific, East Africa), with limited attention given to systematic cross-country comparisons of developed and upper-middle-income economies. This is crucial because, as per the World Bank classification, upper-middle-income countries constitute a distinct group that often exhibits transitional institutional structures, more advanced than low-income economies but still vulnerable to governance inefficiencies. Yet, empirical evidence on this group remains sparse.</w:t>
      </w:r>
    </w:p>
    <w:p w14:paraId="4B04942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Second, previous findings are often inconsistent or contradictory. While some studies report that political stability and control of corruption stimulate growth, others observe negative or insignificant effects. These mixed results are partly attributable to differences in datasets, sample composition, and econometric techniques. For instance, many earlier works employed pooled OLS, fixed effects, or cross-sectional regressions, which are prone to bias due to endogeneity. Comparatively fewer studies have adopted advanced dynamic models such as the generalized method of moments (GMM) or system GMM that can better address such econometric challenges.</w:t>
      </w:r>
    </w:p>
    <w:p w14:paraId="09B553C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Finally, the interaction between governance quality and key macroeconomic variables (such as inflation, interest rates, and education expenditure) remains underexplored. Existing studies tend to examine governance indicators in isolation, without fully integrating into how they interact with the broader macroeconomic environment, particularly in upper-middle-income countries.</w:t>
      </w:r>
    </w:p>
    <w:p w14:paraId="0C5C949A" w14:textId="77777777" w:rsidR="004A09D7" w:rsidRPr="004A09D7" w:rsidRDefault="004A09D7" w:rsidP="004A09D7">
      <w:pPr>
        <w:pStyle w:val="Body"/>
        <w:spacing w:after="0"/>
        <w:rPr>
          <w:rFonts w:ascii="Arial" w:hAnsi="Arial" w:cs="Arial"/>
          <w:iCs/>
          <w:sz w:val="18"/>
        </w:rPr>
      </w:pPr>
    </w:p>
    <w:p w14:paraId="56BD831A"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2.4 Research Objectives</w:t>
      </w:r>
    </w:p>
    <w:p w14:paraId="3F5B6E43"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Based on these gaps, the present study pursues the following objectives:</w:t>
      </w:r>
    </w:p>
    <w:p w14:paraId="31A1D6CF"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empirically examine the impact of governance indicators, including control of corruption, government effectiveness, political stability, regulatory quality, rule of law, and voice and accountability on economic growth in upper-middle-income countries as classified by the World Bank.</w:t>
      </w:r>
    </w:p>
    <w:p w14:paraId="28BA8E34" w14:textId="71BA37EC"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compare the outcomes of traditional panel models (pooled OLS, fixed effects, and random effects) with advanced dynamic techniques (difference GMM and system GMM) to address potential endogeneity and provide evidence on the governance–growth relationship.</w:t>
      </w:r>
    </w:p>
    <w:p w14:paraId="17EE33EA"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provide evidence on whether governance exerts direct or indirect effects on growth once key macroeconomic variables such as inflation, GDP growth, interest rates, and education expenditure are controlled for.</w:t>
      </w:r>
    </w:p>
    <w:p w14:paraId="284A5560"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contribute to policy debate by identifying which dimensions of governance are most critical for sustaining long-term growth in developed economies.</w:t>
      </w:r>
    </w:p>
    <w:p w14:paraId="46BA14A6" w14:textId="77777777" w:rsidR="004A09D7" w:rsidRPr="004A09D7" w:rsidRDefault="004A09D7" w:rsidP="004A09D7">
      <w:pPr>
        <w:pStyle w:val="Body"/>
        <w:spacing w:after="0"/>
        <w:rPr>
          <w:rFonts w:ascii="Arial" w:hAnsi="Arial" w:cs="Arial"/>
          <w:iCs/>
          <w:sz w:val="18"/>
        </w:rPr>
      </w:pPr>
    </w:p>
    <w:p w14:paraId="6BB6F6CC" w14:textId="77777777" w:rsidR="004A09D7" w:rsidRPr="004A09D7" w:rsidRDefault="004A09D7" w:rsidP="004A09D7">
      <w:pPr>
        <w:pStyle w:val="Body"/>
        <w:spacing w:after="0"/>
        <w:rPr>
          <w:rFonts w:ascii="Arial" w:hAnsi="Arial" w:cs="Arial"/>
          <w:iCs/>
          <w:sz w:val="18"/>
        </w:rPr>
      </w:pPr>
    </w:p>
    <w:p w14:paraId="6526EFC9"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3. DATA AND METHODOLOGY</w:t>
      </w:r>
    </w:p>
    <w:p w14:paraId="21C9DFA4" w14:textId="77777777" w:rsidR="004A09D7" w:rsidRPr="004A09D7" w:rsidRDefault="004A09D7" w:rsidP="004A09D7">
      <w:pPr>
        <w:pStyle w:val="Body"/>
        <w:spacing w:after="0"/>
        <w:rPr>
          <w:rFonts w:ascii="Arial" w:hAnsi="Arial" w:cs="Arial"/>
          <w:b/>
          <w:bCs/>
          <w:iCs/>
          <w:sz w:val="18"/>
        </w:rPr>
      </w:pPr>
    </w:p>
    <w:p w14:paraId="58956673"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3.1 Data Source and Sample Selection</w:t>
      </w:r>
    </w:p>
    <w:p w14:paraId="76883BBE" w14:textId="4D9C879F"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empirical analysis is based on a panel of 30 upper-middle-income economies observed annually from 1996 to 2023. The initial universe of countries was defined according to the World Bank's classification of 54 upper-middle-income economies. However, due to constraints in data availability and consistency for the entire study period, the final sample was restricted to 30 countries for which complete data on all variables were obtainable. The definitions, measurements, and sources of all variables used in the analysis are summarized in Table </w:t>
      </w:r>
      <w:r w:rsidR="00FD38B8">
        <w:rPr>
          <w:rFonts w:ascii="Arial" w:hAnsi="Arial" w:cs="Arial"/>
          <w:iCs/>
          <w:sz w:val="18"/>
        </w:rPr>
        <w:t>1</w:t>
      </w:r>
      <w:r w:rsidRPr="004A09D7">
        <w:rPr>
          <w:rFonts w:ascii="Arial" w:hAnsi="Arial" w:cs="Arial"/>
          <w:iCs/>
          <w:sz w:val="18"/>
        </w:rPr>
        <w:t>.</w:t>
      </w:r>
    </w:p>
    <w:p w14:paraId="6368CC6D" w14:textId="57268A50" w:rsidR="004A09D7" w:rsidRPr="004A09D7" w:rsidRDefault="004A09D7" w:rsidP="004A09D7">
      <w:pPr>
        <w:pStyle w:val="Body"/>
        <w:spacing w:after="0"/>
        <w:rPr>
          <w:rFonts w:ascii="Arial" w:hAnsi="Arial" w:cs="Arial"/>
          <w:b/>
          <w:bCs/>
          <w:iCs/>
          <w:sz w:val="18"/>
          <w:lang w:val="en-IN"/>
        </w:rPr>
      </w:pPr>
      <w:r w:rsidRPr="004A09D7">
        <w:rPr>
          <w:rFonts w:ascii="Arial" w:hAnsi="Arial" w:cs="Arial"/>
          <w:b/>
          <w:bCs/>
          <w:iCs/>
          <w:sz w:val="18"/>
          <w:lang w:val="en-IN"/>
        </w:rPr>
        <w:t xml:space="preserve">Table </w:t>
      </w:r>
      <w:r w:rsidR="00FD38B8">
        <w:rPr>
          <w:rFonts w:ascii="Arial" w:hAnsi="Arial" w:cs="Arial"/>
          <w:b/>
          <w:bCs/>
          <w:iCs/>
          <w:sz w:val="18"/>
          <w:lang w:val="en-IN"/>
        </w:rPr>
        <w:t>1</w:t>
      </w:r>
      <w:r w:rsidRPr="004A09D7">
        <w:rPr>
          <w:rFonts w:ascii="Arial" w:hAnsi="Arial" w:cs="Arial"/>
          <w:b/>
          <w:bCs/>
          <w:iCs/>
          <w:sz w:val="18"/>
          <w:lang w:val="en-IN"/>
        </w:rPr>
        <w:t xml:space="preserve">. </w:t>
      </w:r>
      <w:r w:rsidRPr="004A09D7">
        <w:rPr>
          <w:rFonts w:ascii="Arial" w:hAnsi="Arial" w:cs="Arial"/>
          <w:b/>
          <w:bCs/>
          <w:iCs/>
          <w:sz w:val="18"/>
        </w:rPr>
        <w:t>Definition of Variables, Measurement Units, and Data Sources (Annual Frequency)</w:t>
      </w:r>
    </w:p>
    <w:tbl>
      <w:tblPr>
        <w:tblStyle w:val="TableGrid"/>
        <w:tblW w:w="0" w:type="auto"/>
        <w:jc w:val="center"/>
        <w:tblLook w:val="04A0" w:firstRow="1" w:lastRow="0" w:firstColumn="1" w:lastColumn="0" w:noHBand="0" w:noVBand="1"/>
      </w:tblPr>
      <w:tblGrid>
        <w:gridCol w:w="2335"/>
        <w:gridCol w:w="3652"/>
        <w:gridCol w:w="1610"/>
        <w:gridCol w:w="827"/>
      </w:tblGrid>
      <w:tr w:rsidR="004A09D7" w:rsidRPr="004A09D7" w14:paraId="6BE03EF9" w14:textId="77777777" w:rsidTr="004A09D7">
        <w:trPr>
          <w:jc w:val="center"/>
        </w:trPr>
        <w:tc>
          <w:tcPr>
            <w:tcW w:w="0" w:type="auto"/>
            <w:gridSpan w:val="4"/>
            <w:vAlign w:val="center"/>
          </w:tcPr>
          <w:p w14:paraId="46775AB9" w14:textId="77777777" w:rsidR="004A09D7" w:rsidRPr="004A09D7" w:rsidRDefault="004A09D7" w:rsidP="004A09D7">
            <w:pPr>
              <w:pStyle w:val="Body"/>
              <w:spacing w:after="0"/>
              <w:jc w:val="left"/>
              <w:rPr>
                <w:rFonts w:ascii="Arial" w:eastAsia="Times New Roman" w:hAnsi="Arial" w:cs="Arial"/>
                <w:b/>
                <w:bCs/>
                <w:iCs/>
                <w:sz w:val="18"/>
                <w:lang w:val="en-IN"/>
              </w:rPr>
            </w:pPr>
            <w:r w:rsidRPr="004A09D7">
              <w:rPr>
                <w:rFonts w:ascii="Arial" w:eastAsia="Times New Roman" w:hAnsi="Arial" w:cs="Arial"/>
                <w:b/>
                <w:bCs/>
                <w:iCs/>
                <w:sz w:val="18"/>
                <w:lang w:val="en-IN"/>
              </w:rPr>
              <w:t>Dependent Variable</w:t>
            </w:r>
          </w:p>
        </w:tc>
      </w:tr>
      <w:tr w:rsidR="004A09D7" w:rsidRPr="004A09D7" w14:paraId="03C9D5E6" w14:textId="77777777" w:rsidTr="004A09D7">
        <w:trPr>
          <w:jc w:val="center"/>
        </w:trPr>
        <w:tc>
          <w:tcPr>
            <w:tcW w:w="2335" w:type="dxa"/>
            <w:vAlign w:val="center"/>
          </w:tcPr>
          <w:p w14:paraId="14DCD982"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Variable</w:t>
            </w:r>
          </w:p>
        </w:tc>
        <w:tc>
          <w:tcPr>
            <w:tcW w:w="3652" w:type="dxa"/>
            <w:vAlign w:val="center"/>
          </w:tcPr>
          <w:p w14:paraId="77911E39"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Description</w:t>
            </w:r>
          </w:p>
        </w:tc>
        <w:tc>
          <w:tcPr>
            <w:tcW w:w="0" w:type="auto"/>
            <w:vAlign w:val="center"/>
          </w:tcPr>
          <w:p w14:paraId="15417449"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Units</w:t>
            </w:r>
          </w:p>
        </w:tc>
        <w:tc>
          <w:tcPr>
            <w:tcW w:w="0" w:type="auto"/>
            <w:vAlign w:val="center"/>
          </w:tcPr>
          <w:p w14:paraId="0B16C680"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Source</w:t>
            </w:r>
          </w:p>
        </w:tc>
      </w:tr>
      <w:tr w:rsidR="004A09D7" w:rsidRPr="004A09D7" w14:paraId="4167BD0F" w14:textId="77777777" w:rsidTr="004A09D7">
        <w:trPr>
          <w:jc w:val="center"/>
        </w:trPr>
        <w:tc>
          <w:tcPr>
            <w:tcW w:w="2335" w:type="dxa"/>
            <w:vAlign w:val="center"/>
          </w:tcPr>
          <w:p w14:paraId="711F9146" w14:textId="77777777" w:rsidR="004A09D7" w:rsidRPr="004A09D7" w:rsidRDefault="004A09D7" w:rsidP="004A09D7">
            <w:pPr>
              <w:pStyle w:val="Body"/>
              <w:spacing w:after="0"/>
              <w:jc w:val="center"/>
              <w:rPr>
                <w:rFonts w:ascii="Arial" w:eastAsia="Times New Roman" w:hAnsi="Arial" w:cs="Arial"/>
                <w:iCs/>
                <w:sz w:val="18"/>
                <w:lang w:val="en-IN"/>
              </w:rPr>
            </w:pPr>
            <w:proofErr w:type="spellStart"/>
            <w:r w:rsidRPr="004A09D7">
              <w:rPr>
                <w:rFonts w:ascii="Arial" w:eastAsia="Times New Roman" w:hAnsi="Arial" w:cs="Arial"/>
                <w:iCs/>
                <w:sz w:val="18"/>
              </w:rPr>
              <w:t>logGDP</w:t>
            </w:r>
            <w:proofErr w:type="spellEnd"/>
          </w:p>
        </w:tc>
        <w:tc>
          <w:tcPr>
            <w:tcW w:w="3652" w:type="dxa"/>
            <w:vAlign w:val="center"/>
          </w:tcPr>
          <w:p w14:paraId="63151786"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Economic Growth (Measured as GDP per capita)</w:t>
            </w:r>
          </w:p>
        </w:tc>
        <w:tc>
          <w:tcPr>
            <w:tcW w:w="0" w:type="auto"/>
            <w:vAlign w:val="center"/>
          </w:tcPr>
          <w:p w14:paraId="3B345B81" w14:textId="4F3C10BD"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 xml:space="preserve">Logarithm of GDP per capita </w:t>
            </w:r>
            <w:r w:rsidRPr="004A09D7">
              <w:rPr>
                <w:rFonts w:ascii="Arial" w:eastAsia="Times New Roman" w:hAnsi="Arial" w:cs="Arial"/>
                <w:iCs/>
                <w:sz w:val="18"/>
                <w:lang w:val="en-IN"/>
              </w:rPr>
              <w:t xml:space="preserve">(reference year </w:t>
            </w:r>
            <w:r w:rsidRPr="004A09D7">
              <w:rPr>
                <w:rFonts w:ascii="Arial" w:eastAsia="Times New Roman" w:hAnsi="Arial" w:cs="Arial"/>
                <w:iCs/>
                <w:sz w:val="18"/>
                <w:lang w:val="en-IN"/>
              </w:rPr>
              <w:lastRenderedPageBreak/>
              <w:t>2015 in USD).</w:t>
            </w:r>
          </w:p>
        </w:tc>
        <w:tc>
          <w:tcPr>
            <w:tcW w:w="0" w:type="auto"/>
            <w:vAlign w:val="center"/>
          </w:tcPr>
          <w:p w14:paraId="62A725F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lastRenderedPageBreak/>
              <w:t>WDI</w:t>
            </w:r>
            <w:r w:rsidRPr="004A09D7">
              <w:rPr>
                <w:rFonts w:ascii="Arial" w:eastAsia="Times New Roman" w:hAnsi="Arial" w:cs="Arial"/>
                <w:iCs/>
                <w:sz w:val="18"/>
                <w:vertAlign w:val="superscript"/>
                <w:lang w:val="en-IN"/>
              </w:rPr>
              <w:footnoteReference w:id="1"/>
            </w:r>
          </w:p>
        </w:tc>
      </w:tr>
      <w:tr w:rsidR="004A09D7" w:rsidRPr="004A09D7" w14:paraId="2182BFD7" w14:textId="77777777" w:rsidTr="004A09D7">
        <w:trPr>
          <w:jc w:val="center"/>
        </w:trPr>
        <w:tc>
          <w:tcPr>
            <w:tcW w:w="0" w:type="auto"/>
            <w:gridSpan w:val="4"/>
            <w:vAlign w:val="center"/>
          </w:tcPr>
          <w:p w14:paraId="43CCC3DD" w14:textId="77777777" w:rsidR="004A09D7" w:rsidRPr="004A09D7" w:rsidRDefault="004A09D7" w:rsidP="004A09D7">
            <w:pPr>
              <w:pStyle w:val="Body"/>
              <w:spacing w:after="0"/>
              <w:jc w:val="left"/>
              <w:rPr>
                <w:rFonts w:ascii="Arial" w:eastAsia="Times New Roman" w:hAnsi="Arial" w:cs="Arial"/>
                <w:iCs/>
                <w:sz w:val="18"/>
                <w:lang w:val="en-IN"/>
              </w:rPr>
            </w:pPr>
            <w:r w:rsidRPr="004A09D7">
              <w:rPr>
                <w:rFonts w:ascii="Arial" w:eastAsia="Times New Roman" w:hAnsi="Arial" w:cs="Arial"/>
                <w:b/>
                <w:bCs/>
                <w:iCs/>
                <w:sz w:val="18"/>
                <w:lang w:val="en-IN"/>
              </w:rPr>
              <w:t>Independent Variables</w:t>
            </w:r>
          </w:p>
        </w:tc>
      </w:tr>
      <w:tr w:rsidR="004A09D7" w:rsidRPr="004A09D7" w14:paraId="29D3F02E" w14:textId="77777777" w:rsidTr="004A09D7">
        <w:trPr>
          <w:jc w:val="center"/>
        </w:trPr>
        <w:tc>
          <w:tcPr>
            <w:tcW w:w="2335" w:type="dxa"/>
            <w:vAlign w:val="center"/>
          </w:tcPr>
          <w:p w14:paraId="30066AAE"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CC (</w:t>
            </w:r>
            <w:r w:rsidRPr="004A09D7">
              <w:rPr>
                <w:rFonts w:ascii="Arial" w:eastAsia="Times New Roman" w:hAnsi="Arial" w:cs="Arial"/>
                <w:iCs/>
                <w:sz w:val="18"/>
              </w:rPr>
              <w:t>Control of Corruption)</w:t>
            </w:r>
          </w:p>
        </w:tc>
        <w:tc>
          <w:tcPr>
            <w:tcW w:w="3652" w:type="dxa"/>
            <w:vAlign w:val="center"/>
          </w:tcPr>
          <w:p w14:paraId="01376B4F" w14:textId="4E5B136D"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public power being used for private gain, including both petty and grand corruption.</w:t>
            </w:r>
          </w:p>
        </w:tc>
        <w:tc>
          <w:tcPr>
            <w:tcW w:w="0" w:type="auto"/>
            <w:vAlign w:val="center"/>
          </w:tcPr>
          <w:p w14:paraId="461C5DD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(weak) to 2.5 (strong).</w:t>
            </w:r>
          </w:p>
        </w:tc>
        <w:tc>
          <w:tcPr>
            <w:tcW w:w="0" w:type="auto"/>
            <w:vAlign w:val="center"/>
          </w:tcPr>
          <w:p w14:paraId="4949A88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r w:rsidRPr="004A09D7">
              <w:rPr>
                <w:rFonts w:ascii="Arial" w:eastAsia="Times New Roman" w:hAnsi="Arial" w:cs="Arial"/>
                <w:iCs/>
                <w:sz w:val="18"/>
                <w:vertAlign w:val="superscript"/>
                <w:lang w:val="en-IN"/>
              </w:rPr>
              <w:footnoteReference w:id="2"/>
            </w:r>
          </w:p>
        </w:tc>
      </w:tr>
      <w:tr w:rsidR="004A09D7" w:rsidRPr="004A09D7" w14:paraId="2918AE65" w14:textId="77777777" w:rsidTr="004A09D7">
        <w:trPr>
          <w:jc w:val="center"/>
        </w:trPr>
        <w:tc>
          <w:tcPr>
            <w:tcW w:w="2335" w:type="dxa"/>
            <w:vAlign w:val="center"/>
          </w:tcPr>
          <w:p w14:paraId="42B1EF1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GE (</w:t>
            </w:r>
            <w:r w:rsidRPr="004A09D7">
              <w:rPr>
                <w:rFonts w:ascii="Arial" w:eastAsia="Times New Roman" w:hAnsi="Arial" w:cs="Arial"/>
                <w:iCs/>
                <w:sz w:val="18"/>
              </w:rPr>
              <w:t>Government Effectiveness)</w:t>
            </w:r>
          </w:p>
        </w:tc>
        <w:tc>
          <w:tcPr>
            <w:tcW w:w="3652" w:type="dxa"/>
            <w:vAlign w:val="center"/>
          </w:tcPr>
          <w:p w14:paraId="3F2D87FD" w14:textId="1705249A"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quality of public services, civil service, policy formulation and implementation, and the government's credibility.</w:t>
            </w:r>
          </w:p>
        </w:tc>
        <w:tc>
          <w:tcPr>
            <w:tcW w:w="0" w:type="auto"/>
            <w:vAlign w:val="center"/>
          </w:tcPr>
          <w:p w14:paraId="50C6D7D1"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(low) to 2.5 (high).</w:t>
            </w:r>
          </w:p>
        </w:tc>
        <w:tc>
          <w:tcPr>
            <w:tcW w:w="0" w:type="auto"/>
            <w:vAlign w:val="center"/>
          </w:tcPr>
          <w:p w14:paraId="77523DC5"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7BB6CD96" w14:textId="77777777" w:rsidTr="004A09D7">
        <w:trPr>
          <w:jc w:val="center"/>
        </w:trPr>
        <w:tc>
          <w:tcPr>
            <w:tcW w:w="2335" w:type="dxa"/>
            <w:vAlign w:val="center"/>
          </w:tcPr>
          <w:p w14:paraId="32E72E09"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PS (</w:t>
            </w:r>
            <w:r w:rsidRPr="004A09D7">
              <w:rPr>
                <w:rFonts w:ascii="Arial" w:eastAsia="Times New Roman" w:hAnsi="Arial" w:cs="Arial"/>
                <w:iCs/>
                <w:sz w:val="18"/>
              </w:rPr>
              <w:t>Political Stability and Absence of Violence/Terrorism)</w:t>
            </w:r>
          </w:p>
        </w:tc>
        <w:tc>
          <w:tcPr>
            <w:tcW w:w="3652" w:type="dxa"/>
            <w:vAlign w:val="center"/>
          </w:tcPr>
          <w:p w14:paraId="69DDE4D6" w14:textId="3B59DFEB"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likelihood of political instability and/or politically motivated violence.</w:t>
            </w:r>
          </w:p>
        </w:tc>
        <w:tc>
          <w:tcPr>
            <w:tcW w:w="0" w:type="auto"/>
            <w:vAlign w:val="center"/>
          </w:tcPr>
          <w:p w14:paraId="00A0D03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(less stable) to 2.5 (more stable).</w:t>
            </w:r>
          </w:p>
        </w:tc>
        <w:tc>
          <w:tcPr>
            <w:tcW w:w="0" w:type="auto"/>
            <w:vAlign w:val="center"/>
          </w:tcPr>
          <w:p w14:paraId="3460AC1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7C6E1FDF" w14:textId="77777777" w:rsidTr="004A09D7">
        <w:trPr>
          <w:jc w:val="center"/>
        </w:trPr>
        <w:tc>
          <w:tcPr>
            <w:tcW w:w="2335" w:type="dxa"/>
            <w:vAlign w:val="center"/>
          </w:tcPr>
          <w:p w14:paraId="2EF9FA0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RQ (</w:t>
            </w:r>
            <w:r w:rsidRPr="004A09D7">
              <w:rPr>
                <w:rFonts w:ascii="Arial" w:eastAsia="Times New Roman" w:hAnsi="Arial" w:cs="Arial"/>
                <w:iCs/>
                <w:sz w:val="18"/>
              </w:rPr>
              <w:t>Regulatory Quality)</w:t>
            </w:r>
          </w:p>
        </w:tc>
        <w:tc>
          <w:tcPr>
            <w:tcW w:w="3652" w:type="dxa"/>
            <w:vAlign w:val="center"/>
          </w:tcPr>
          <w:p w14:paraId="46F9AA72"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Perceptions of the government's ability to formulate and implement sound policies and regulations that promote private sector development.</w:t>
            </w:r>
          </w:p>
        </w:tc>
        <w:tc>
          <w:tcPr>
            <w:tcW w:w="0" w:type="auto"/>
            <w:vAlign w:val="center"/>
          </w:tcPr>
          <w:p w14:paraId="730CB153"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Measured on a standardized scale from approximately -2.5 (low) to 2.5 (high).</w:t>
            </w:r>
          </w:p>
        </w:tc>
        <w:tc>
          <w:tcPr>
            <w:tcW w:w="0" w:type="auto"/>
            <w:vAlign w:val="center"/>
          </w:tcPr>
          <w:p w14:paraId="48FBBC2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584216CA" w14:textId="77777777" w:rsidTr="004A09D7">
        <w:trPr>
          <w:jc w:val="center"/>
        </w:trPr>
        <w:tc>
          <w:tcPr>
            <w:tcW w:w="2335" w:type="dxa"/>
            <w:vAlign w:val="center"/>
          </w:tcPr>
          <w:p w14:paraId="27C9A9F2"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RL (</w:t>
            </w:r>
            <w:r w:rsidRPr="004A09D7">
              <w:rPr>
                <w:rFonts w:ascii="Arial" w:eastAsia="Times New Roman" w:hAnsi="Arial" w:cs="Arial"/>
                <w:iCs/>
                <w:sz w:val="18"/>
              </w:rPr>
              <w:t>Rule of Law)</w:t>
            </w:r>
          </w:p>
        </w:tc>
        <w:tc>
          <w:tcPr>
            <w:tcW w:w="3652" w:type="dxa"/>
            <w:vAlign w:val="center"/>
          </w:tcPr>
          <w:p w14:paraId="7E896D2C" w14:textId="01F0082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extent to which rules of society are observed, including the quality of contract enforcement, property rights, police, and courts.</w:t>
            </w:r>
          </w:p>
        </w:tc>
        <w:tc>
          <w:tcPr>
            <w:tcW w:w="0" w:type="auto"/>
            <w:vAlign w:val="center"/>
          </w:tcPr>
          <w:p w14:paraId="792E1D0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(weak) to 2.5 (strong).</w:t>
            </w:r>
          </w:p>
        </w:tc>
        <w:tc>
          <w:tcPr>
            <w:tcW w:w="0" w:type="auto"/>
            <w:vAlign w:val="center"/>
          </w:tcPr>
          <w:p w14:paraId="791C930B"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162CC066" w14:textId="77777777" w:rsidTr="004A09D7">
        <w:trPr>
          <w:jc w:val="center"/>
        </w:trPr>
        <w:tc>
          <w:tcPr>
            <w:tcW w:w="2335" w:type="dxa"/>
            <w:vAlign w:val="center"/>
          </w:tcPr>
          <w:p w14:paraId="7A711EB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VA (</w:t>
            </w:r>
            <w:r w:rsidRPr="004A09D7">
              <w:rPr>
                <w:rFonts w:ascii="Arial" w:eastAsia="Times New Roman" w:hAnsi="Arial" w:cs="Arial"/>
                <w:iCs/>
                <w:sz w:val="18"/>
              </w:rPr>
              <w:t>Voice and Accountability)</w:t>
            </w:r>
          </w:p>
        </w:tc>
        <w:tc>
          <w:tcPr>
            <w:tcW w:w="3652" w:type="dxa"/>
            <w:vAlign w:val="center"/>
          </w:tcPr>
          <w:p w14:paraId="60B462CA" w14:textId="7075621C"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extent to which citizens can participate in selecting their government, and enjoy freedom of expression, association, and media.</w:t>
            </w:r>
          </w:p>
        </w:tc>
        <w:tc>
          <w:tcPr>
            <w:tcW w:w="0" w:type="auto"/>
            <w:vAlign w:val="center"/>
          </w:tcPr>
          <w:p w14:paraId="033ED99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(low) to 2.5 (high).</w:t>
            </w:r>
          </w:p>
        </w:tc>
        <w:tc>
          <w:tcPr>
            <w:tcW w:w="0" w:type="auto"/>
            <w:vAlign w:val="center"/>
          </w:tcPr>
          <w:p w14:paraId="1D2E598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518D5CEF" w14:textId="77777777" w:rsidTr="004A09D7">
        <w:trPr>
          <w:jc w:val="center"/>
        </w:trPr>
        <w:tc>
          <w:tcPr>
            <w:tcW w:w="0" w:type="auto"/>
            <w:gridSpan w:val="4"/>
            <w:vAlign w:val="center"/>
          </w:tcPr>
          <w:p w14:paraId="4DDDD050" w14:textId="77777777" w:rsidR="004A09D7" w:rsidRPr="004A09D7" w:rsidRDefault="004A09D7" w:rsidP="004A09D7">
            <w:pPr>
              <w:pStyle w:val="Body"/>
              <w:spacing w:after="0"/>
              <w:jc w:val="left"/>
              <w:rPr>
                <w:rFonts w:ascii="Arial" w:eastAsia="Times New Roman" w:hAnsi="Arial" w:cs="Arial"/>
                <w:iCs/>
                <w:sz w:val="18"/>
                <w:lang w:val="en-IN"/>
              </w:rPr>
            </w:pPr>
            <w:r w:rsidRPr="004A09D7">
              <w:rPr>
                <w:rFonts w:ascii="Arial" w:eastAsia="Times New Roman" w:hAnsi="Arial" w:cs="Arial"/>
                <w:b/>
                <w:bCs/>
                <w:iCs/>
                <w:sz w:val="18"/>
                <w:lang w:val="en-IN"/>
              </w:rPr>
              <w:t>Control Variables</w:t>
            </w:r>
          </w:p>
        </w:tc>
      </w:tr>
      <w:tr w:rsidR="004A09D7" w:rsidRPr="004A09D7" w14:paraId="2FB71A4E" w14:textId="77777777" w:rsidTr="004A09D7">
        <w:trPr>
          <w:jc w:val="center"/>
        </w:trPr>
        <w:tc>
          <w:tcPr>
            <w:tcW w:w="2335" w:type="dxa"/>
            <w:vAlign w:val="center"/>
          </w:tcPr>
          <w:p w14:paraId="37332ECA"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GGDP</w:t>
            </w:r>
          </w:p>
        </w:tc>
        <w:tc>
          <w:tcPr>
            <w:tcW w:w="3652" w:type="dxa"/>
            <w:vAlign w:val="center"/>
          </w:tcPr>
          <w:p w14:paraId="4196DFC9"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GDP Growth</w:t>
            </w:r>
          </w:p>
        </w:tc>
        <w:tc>
          <w:tcPr>
            <w:tcW w:w="0" w:type="auto"/>
            <w:vAlign w:val="center"/>
          </w:tcPr>
          <w:p w14:paraId="54140B25"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Annual percentage growth rate of GDP</w:t>
            </w:r>
          </w:p>
        </w:tc>
        <w:tc>
          <w:tcPr>
            <w:tcW w:w="0" w:type="auto"/>
            <w:vAlign w:val="center"/>
          </w:tcPr>
          <w:p w14:paraId="1FFC5E3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64CA86C4" w14:textId="77777777" w:rsidTr="004A09D7">
        <w:trPr>
          <w:jc w:val="center"/>
        </w:trPr>
        <w:tc>
          <w:tcPr>
            <w:tcW w:w="2335" w:type="dxa"/>
            <w:vAlign w:val="center"/>
          </w:tcPr>
          <w:p w14:paraId="1E78F044"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INF</w:t>
            </w:r>
          </w:p>
        </w:tc>
        <w:tc>
          <w:tcPr>
            <w:tcW w:w="3652" w:type="dxa"/>
            <w:vAlign w:val="center"/>
          </w:tcPr>
          <w:p w14:paraId="20A61096"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Inflation</w:t>
            </w:r>
          </w:p>
        </w:tc>
        <w:tc>
          <w:tcPr>
            <w:tcW w:w="0" w:type="auto"/>
            <w:vAlign w:val="center"/>
          </w:tcPr>
          <w:p w14:paraId="1DD70098"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Annual percentage change in the consumer price index</w:t>
            </w:r>
          </w:p>
        </w:tc>
        <w:tc>
          <w:tcPr>
            <w:tcW w:w="0" w:type="auto"/>
            <w:vAlign w:val="center"/>
          </w:tcPr>
          <w:p w14:paraId="5C3E803D"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1C172F10" w14:textId="77777777" w:rsidTr="004A09D7">
        <w:trPr>
          <w:jc w:val="center"/>
        </w:trPr>
        <w:tc>
          <w:tcPr>
            <w:tcW w:w="2335" w:type="dxa"/>
            <w:vAlign w:val="center"/>
          </w:tcPr>
          <w:p w14:paraId="48A0E88A"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INR</w:t>
            </w:r>
          </w:p>
        </w:tc>
        <w:tc>
          <w:tcPr>
            <w:tcW w:w="3652" w:type="dxa"/>
            <w:vAlign w:val="center"/>
          </w:tcPr>
          <w:p w14:paraId="6005E014"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The real interest rate is the lending interest rate adjusted for inflation as measured by the GDP deflator.</w:t>
            </w:r>
          </w:p>
        </w:tc>
        <w:tc>
          <w:tcPr>
            <w:tcW w:w="0" w:type="auto"/>
            <w:vAlign w:val="center"/>
          </w:tcPr>
          <w:p w14:paraId="5C725953"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Expressed as a percentage.</w:t>
            </w:r>
          </w:p>
        </w:tc>
        <w:tc>
          <w:tcPr>
            <w:tcW w:w="0" w:type="auto"/>
            <w:vAlign w:val="center"/>
          </w:tcPr>
          <w:p w14:paraId="29D99ADF"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23C2A68F" w14:textId="77777777" w:rsidTr="004A09D7">
        <w:trPr>
          <w:jc w:val="center"/>
        </w:trPr>
        <w:tc>
          <w:tcPr>
            <w:tcW w:w="2335" w:type="dxa"/>
            <w:vAlign w:val="center"/>
          </w:tcPr>
          <w:p w14:paraId="40752851"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GEDU</w:t>
            </w:r>
          </w:p>
        </w:tc>
        <w:tc>
          <w:tcPr>
            <w:tcW w:w="3652" w:type="dxa"/>
            <w:vAlign w:val="center"/>
          </w:tcPr>
          <w:p w14:paraId="69988B68" w14:textId="6241B0E0"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Total government spending on education (current, capital, and transfers)</w:t>
            </w:r>
          </w:p>
        </w:tc>
        <w:tc>
          <w:tcPr>
            <w:tcW w:w="0" w:type="auto"/>
            <w:vAlign w:val="center"/>
          </w:tcPr>
          <w:p w14:paraId="1C2908C6"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Percentage of GDP.</w:t>
            </w:r>
          </w:p>
        </w:tc>
        <w:tc>
          <w:tcPr>
            <w:tcW w:w="0" w:type="auto"/>
            <w:vAlign w:val="center"/>
          </w:tcPr>
          <w:p w14:paraId="6D424E4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bl>
    <w:p w14:paraId="7D7C739E" w14:textId="77777777" w:rsidR="004A09D7" w:rsidRPr="004A09D7" w:rsidRDefault="004A09D7" w:rsidP="004A09D7">
      <w:pPr>
        <w:pStyle w:val="Body"/>
        <w:spacing w:after="0"/>
        <w:rPr>
          <w:rFonts w:ascii="Arial" w:hAnsi="Arial" w:cs="Arial"/>
          <w:iCs/>
          <w:sz w:val="18"/>
        </w:rPr>
      </w:pPr>
    </w:p>
    <w:p w14:paraId="2A6C7307" w14:textId="77777777" w:rsidR="004A09D7" w:rsidRPr="004A09D7" w:rsidRDefault="004A09D7" w:rsidP="004A09D7">
      <w:pPr>
        <w:pStyle w:val="Body"/>
        <w:spacing w:after="0"/>
        <w:rPr>
          <w:rFonts w:ascii="Arial" w:hAnsi="Arial" w:cs="Arial"/>
          <w:iCs/>
          <w:sz w:val="18"/>
        </w:rPr>
      </w:pPr>
    </w:p>
    <w:p w14:paraId="1D85AC7C"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lastRenderedPageBreak/>
        <w:t xml:space="preserve">3.2 Econometric Modeling </w:t>
      </w:r>
    </w:p>
    <w:p w14:paraId="2C36DBD4" w14:textId="77777777" w:rsidR="004A09D7" w:rsidRPr="004A09D7" w:rsidRDefault="004A09D7" w:rsidP="004A09D7">
      <w:pPr>
        <w:pStyle w:val="Body"/>
        <w:spacing w:after="0"/>
        <w:rPr>
          <w:rFonts w:ascii="Arial" w:hAnsi="Arial" w:cs="Arial"/>
          <w:b/>
          <w:bCs/>
          <w:iCs/>
          <w:sz w:val="18"/>
        </w:rPr>
      </w:pPr>
      <w:r w:rsidRPr="004A09D7">
        <w:rPr>
          <w:rFonts w:ascii="Arial" w:hAnsi="Arial" w:cs="Arial"/>
          <w:iCs/>
          <w:sz w:val="18"/>
        </w:rPr>
        <w:t>The empirical strategy employs a combination of static and dynamic panel data techniques to ensure robust estimation. Initial specifications are estimated using pooled OLS, fixed-effects, and random-effects models, which provide a baseline but do not adequately address potential endogeneity. Dynamic panel estimators are employed to address these limitations, specifically the first-difference GMM and the system GMM, both of which provide a stronger treatment of endogeneity and greater efficiency in estimation.</w:t>
      </w:r>
    </w:p>
    <w:p w14:paraId="4F9C1221"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Static Model</w:t>
      </w:r>
    </w:p>
    <w:p w14:paraId="31706C15"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influence of governance on economic growth in upper-middle-income economies may be evaluated using the following model:</w:t>
      </w:r>
    </w:p>
    <w:bookmarkStart w:id="0" w:name="_Hlk209552030"/>
    <w:p w14:paraId="40EF3147" w14:textId="1C22A964" w:rsidR="004A09D7" w:rsidRPr="004A09D7" w:rsidRDefault="00DD5892" w:rsidP="004A09D7">
      <w:pPr>
        <w:pStyle w:val="Body"/>
        <w:spacing w:after="0"/>
        <w:rPr>
          <w:rFonts w:ascii="Arial" w:hAnsi="Arial" w:cs="Arial"/>
          <w:iCs/>
          <w:sz w:val="18"/>
          <w:vertAlign w:val="subscript"/>
        </w:rPr>
      </w:pPr>
      <m:oMath>
        <m:sSub>
          <m:sSubPr>
            <m:ctrlPr>
              <w:rPr>
                <w:rFonts w:ascii="Cambria Math" w:hAnsi="Cambria Math" w:cs="Arial"/>
                <w:i/>
                <w:iCs/>
                <w:sz w:val="18"/>
              </w:rPr>
            </m:ctrlPr>
          </m:sSubPr>
          <m:e>
            <m:r>
              <w:rPr>
                <w:rFonts w:ascii="Cambria Math" w:hAnsi="Cambria Math" w:cs="Arial"/>
                <w:sz w:val="18"/>
              </w:rPr>
              <m:t>logGDP</m:t>
            </m:r>
          </m:e>
          <m:sub>
            <m:r>
              <w:rPr>
                <w:rFonts w:ascii="Cambria Math" w:hAnsi="Cambria Math" w:cs="Arial"/>
                <w:sz w:val="18"/>
              </w:rPr>
              <m:t xml:space="preserve">it  </m:t>
            </m:r>
          </m:sub>
        </m:sSub>
      </m:oMath>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m:t>
            </m:r>
          </m:sub>
        </m:sSub>
      </m:oMath>
      <w:r w:rsidR="004A09D7" w:rsidRPr="004A09D7">
        <w:rPr>
          <w:rFonts w:ascii="Arial" w:hAnsi="Arial" w:cs="Arial"/>
          <w:iCs/>
          <w:sz w:val="18"/>
        </w:rPr>
        <w:t>CC</w:t>
      </w:r>
      <w:r w:rsidR="004A09D7" w:rsidRPr="004A09D7">
        <w:rPr>
          <w:rFonts w:ascii="Arial" w:hAnsi="Arial" w:cs="Arial"/>
          <w:iCs/>
          <w:sz w:val="18"/>
          <w:vertAlign w:val="subscript"/>
        </w:rPr>
        <w:t xml:space="preserve">it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2</m:t>
            </m:r>
          </m:sub>
        </m:sSub>
      </m:oMath>
      <w:r w:rsidR="004A09D7" w:rsidRPr="004A09D7">
        <w:rPr>
          <w:rFonts w:ascii="Arial" w:hAnsi="Arial" w:cs="Arial"/>
          <w:iCs/>
          <w:sz w:val="18"/>
        </w:rPr>
        <w:t>GE</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3</m:t>
            </m:r>
          </m:sub>
        </m:sSub>
      </m:oMath>
      <w:r w:rsidR="004A09D7" w:rsidRPr="004A09D7">
        <w:rPr>
          <w:rFonts w:ascii="Arial" w:hAnsi="Arial" w:cs="Arial"/>
          <w:iCs/>
          <w:sz w:val="18"/>
        </w:rPr>
        <w:t>PS</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4</m:t>
            </m:r>
          </m:sub>
        </m:sSub>
      </m:oMath>
      <w:r w:rsidR="004A09D7" w:rsidRPr="004A09D7">
        <w:rPr>
          <w:rFonts w:ascii="Arial" w:hAnsi="Arial" w:cs="Arial"/>
          <w:iCs/>
          <w:sz w:val="18"/>
        </w:rPr>
        <w:t>RQ</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5</m:t>
            </m:r>
          </m:sub>
        </m:sSub>
      </m:oMath>
      <w:r w:rsidR="004A09D7" w:rsidRPr="004A09D7">
        <w:rPr>
          <w:rFonts w:ascii="Arial" w:hAnsi="Arial" w:cs="Arial"/>
          <w:iCs/>
          <w:sz w:val="18"/>
        </w:rPr>
        <w:t>RL</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6</m:t>
            </m:r>
          </m:sub>
        </m:sSub>
      </m:oMath>
      <w:r w:rsidR="004A09D7" w:rsidRPr="004A09D7">
        <w:rPr>
          <w:rFonts w:ascii="Arial" w:hAnsi="Arial" w:cs="Arial"/>
          <w:iCs/>
          <w:sz w:val="18"/>
        </w:rPr>
        <w:t>VA</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7</m:t>
            </m:r>
          </m:sub>
        </m:sSub>
      </m:oMath>
      <w:r w:rsidR="004A09D7" w:rsidRPr="004A09D7">
        <w:rPr>
          <w:rFonts w:ascii="Arial" w:hAnsi="Arial" w:cs="Arial"/>
          <w:iCs/>
          <w:sz w:val="18"/>
        </w:rPr>
        <w:t>GGDP</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8</m:t>
            </m:r>
          </m:sub>
        </m:sSub>
      </m:oMath>
      <w:r w:rsidR="004A09D7" w:rsidRPr="004A09D7">
        <w:rPr>
          <w:rFonts w:ascii="Arial" w:hAnsi="Arial" w:cs="Arial"/>
          <w:iCs/>
          <w:sz w:val="18"/>
        </w:rPr>
        <w:t>INF</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9</m:t>
            </m:r>
          </m:sub>
        </m:sSub>
      </m:oMath>
      <w:r w:rsidR="004A09D7" w:rsidRPr="004A09D7">
        <w:rPr>
          <w:rFonts w:ascii="Arial" w:hAnsi="Arial" w:cs="Arial"/>
          <w:iCs/>
          <w:sz w:val="18"/>
        </w:rPr>
        <w:t>INR</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10</m:t>
            </m:r>
          </m:sub>
        </m:sSub>
      </m:oMath>
      <w:r w:rsidR="004A09D7" w:rsidRPr="004A09D7">
        <w:rPr>
          <w:rFonts w:ascii="Arial" w:hAnsi="Arial" w:cs="Arial"/>
          <w:iCs/>
          <w:sz w:val="18"/>
        </w:rPr>
        <w:t>GEDU</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r>
          <w:rPr>
            <w:rFonts w:ascii="Cambria Math" w:hAnsi="Cambria Math" w:cs="Arial"/>
            <w:sz w:val="18"/>
          </w:rPr>
          <m:t>ε</m:t>
        </m:r>
      </m:oMath>
      <w:r w:rsidR="004A09D7" w:rsidRPr="004A09D7">
        <w:rPr>
          <w:rFonts w:ascii="Arial" w:hAnsi="Arial" w:cs="Arial"/>
          <w:iCs/>
          <w:sz w:val="18"/>
          <w:vertAlign w:val="subscript"/>
        </w:rPr>
        <w:t xml:space="preserve">it   </w:t>
      </w:r>
      <w:r w:rsidR="004A09D7" w:rsidRPr="004A09D7">
        <w:rPr>
          <w:rFonts w:ascii="Arial" w:hAnsi="Arial" w:cs="Arial"/>
          <w:iCs/>
          <w:sz w:val="18"/>
        </w:rPr>
        <w:t>……………………………</w:t>
      </w:r>
      <w:r w:rsidR="004A09D7" w:rsidRPr="004A09D7">
        <w:rPr>
          <w:rFonts w:ascii="Arial" w:hAnsi="Arial" w:cs="Arial"/>
          <w:iCs/>
          <w:sz w:val="18"/>
          <w:vertAlign w:val="subscript"/>
        </w:rPr>
        <w:t>.</w:t>
      </w:r>
      <w:r w:rsidR="004A09D7" w:rsidRPr="004A09D7">
        <w:rPr>
          <w:rFonts w:ascii="Arial" w:hAnsi="Arial" w:cs="Arial"/>
          <w:iCs/>
          <w:sz w:val="18"/>
        </w:rPr>
        <w:t>(I)</w:t>
      </w:r>
    </w:p>
    <w:bookmarkEnd w:id="0"/>
    <w:p w14:paraId="33424DDB" w14:textId="77777777" w:rsidR="004A09D7" w:rsidRPr="004A09D7" w:rsidRDefault="004A09D7" w:rsidP="004A09D7">
      <w:pPr>
        <w:pStyle w:val="Body"/>
        <w:spacing w:after="0"/>
        <w:rPr>
          <w:rFonts w:ascii="Arial" w:hAnsi="Arial" w:cs="Arial"/>
          <w:b/>
          <w:bCs/>
          <w:iCs/>
          <w:sz w:val="18"/>
        </w:rPr>
      </w:pPr>
    </w:p>
    <w:p w14:paraId="11B194F7" w14:textId="6E45CF48"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In the model, </w:t>
      </w:r>
      <w:r w:rsidRPr="004A09D7">
        <w:rPr>
          <w:rFonts w:ascii="Arial" w:hAnsi="Arial" w:cs="Arial"/>
          <w:i/>
          <w:iCs/>
          <w:sz w:val="18"/>
        </w:rPr>
        <w:t>log</w:t>
      </w:r>
      <w:r w:rsidRPr="004A09D7">
        <w:rPr>
          <w:rFonts w:ascii="Arial" w:hAnsi="Arial" w:cs="Arial"/>
          <w:iCs/>
          <w:sz w:val="18"/>
        </w:rPr>
        <w:t xml:space="preserve"> denotes the natural logarithm, </w:t>
      </w:r>
      <w:proofErr w:type="spellStart"/>
      <w:r w:rsidRPr="004A09D7">
        <w:rPr>
          <w:rFonts w:ascii="Arial" w:hAnsi="Arial" w:cs="Arial"/>
          <w:i/>
          <w:iCs/>
          <w:sz w:val="18"/>
        </w:rPr>
        <w:t>i</w:t>
      </w:r>
      <w:proofErr w:type="spellEnd"/>
      <w:r w:rsidRPr="004A09D7">
        <w:rPr>
          <w:rFonts w:ascii="Arial" w:hAnsi="Arial" w:cs="Arial"/>
          <w:iCs/>
          <w:sz w:val="18"/>
        </w:rPr>
        <w:t xml:space="preserve"> refers to country, </w:t>
      </w:r>
      <w:r w:rsidRPr="004A09D7">
        <w:rPr>
          <w:rFonts w:ascii="Arial" w:hAnsi="Arial" w:cs="Arial"/>
          <w:i/>
          <w:iCs/>
          <w:sz w:val="18"/>
        </w:rPr>
        <w:t>t</w:t>
      </w:r>
      <w:r w:rsidRPr="004A09D7">
        <w:rPr>
          <w:rFonts w:ascii="Arial" w:hAnsi="Arial" w:cs="Arial"/>
          <w:iCs/>
          <w:sz w:val="18"/>
        </w:rPr>
        <w:t xml:space="preserve"> to time, </w:t>
      </w:r>
      <m:oMath>
        <m:sSub>
          <m:sSubPr>
            <m:ctrlPr>
              <w:rPr>
                <w:rFonts w:ascii="Cambria Math" w:hAnsi="Cambria Math" w:cs="Arial"/>
                <w:b/>
                <w:bCs/>
                <w:i/>
                <w:iCs/>
                <w:sz w:val="18"/>
              </w:rPr>
            </m:ctrlPr>
          </m:sSubPr>
          <m:e>
            <m:r>
              <m:rPr>
                <m:sty m:val="bi"/>
              </m:rPr>
              <w:rPr>
                <w:rFonts w:ascii="Cambria Math" w:hAnsi="Cambria Math" w:cs="Arial"/>
                <w:sz w:val="18"/>
              </w:rPr>
              <m:t>δ</m:t>
            </m:r>
          </m:e>
          <m:sub>
            <m:r>
              <m:rPr>
                <m:sty m:val="bi"/>
              </m:rPr>
              <w:rPr>
                <w:rFonts w:ascii="Cambria Math" w:hAnsi="Cambria Math" w:cs="Arial"/>
                <w:sz w:val="18"/>
              </w:rPr>
              <m:t>0</m:t>
            </m:r>
          </m:sub>
        </m:sSub>
      </m:oMath>
      <w:r w:rsidRPr="004A09D7">
        <w:rPr>
          <w:rFonts w:ascii="Arial" w:hAnsi="Arial" w:cs="Arial"/>
          <w:iCs/>
          <w:sz w:val="18"/>
        </w:rPr>
        <w:t xml:space="preserve"> is the constant, </w:t>
      </w:r>
      <m:oMath>
        <m:sSub>
          <m:sSubPr>
            <m:ctrlPr>
              <w:rPr>
                <w:rFonts w:ascii="Cambria Math" w:hAnsi="Cambria Math" w:cs="Arial"/>
                <w:b/>
                <w:bCs/>
                <w:i/>
                <w:iCs/>
                <w:sz w:val="18"/>
              </w:rPr>
            </m:ctrlPr>
          </m:sSubPr>
          <m:e>
            <m:r>
              <m:rPr>
                <m:sty m:val="bi"/>
              </m:rPr>
              <w:rPr>
                <w:rFonts w:ascii="Cambria Math" w:hAnsi="Cambria Math" w:cs="Arial"/>
                <w:sz w:val="18"/>
              </w:rPr>
              <m:t>δ</m:t>
            </m:r>
          </m:e>
          <m:sub>
            <m:r>
              <m:rPr>
                <m:sty m:val="bi"/>
              </m:rPr>
              <w:rPr>
                <w:rFonts w:ascii="Cambria Math" w:hAnsi="Cambria Math" w:cs="Arial"/>
                <w:sz w:val="18"/>
              </w:rPr>
              <m:t>i</m:t>
            </m:r>
          </m:sub>
        </m:sSub>
      </m:oMath>
      <w:r w:rsidRPr="004A09D7">
        <w:rPr>
          <w:rFonts w:ascii="Arial" w:hAnsi="Arial" w:cs="Arial"/>
          <w:iCs/>
          <w:sz w:val="18"/>
        </w:rPr>
        <w:t xml:space="preserve"> the estimated coefficients, and εᵢ</w:t>
      </w:r>
      <w:r w:rsidRPr="004A09D7">
        <w:rPr>
          <w:rFonts w:ascii="Cambria Math" w:hAnsi="Cambria Math" w:cs="Cambria Math"/>
          <w:iCs/>
          <w:sz w:val="18"/>
        </w:rPr>
        <w:t>ₜ</w:t>
      </w:r>
      <w:r w:rsidRPr="004A09D7">
        <w:rPr>
          <w:rFonts w:ascii="Arial" w:hAnsi="Arial" w:cs="Arial"/>
          <w:iCs/>
          <w:sz w:val="18"/>
        </w:rPr>
        <w:t xml:space="preserve"> the error term. The variables are defined as follows: GDP (GDP per capita, constant 2015 US$), CC (control of corruption), GE (government effectiveness), PS (political stability and absence of violence), RQ (regulatory quality), RL (rule of law), VA (voice and accountability), GGDP (annual GDP growth, %), INF (inflation, annual % of consumer prices), INR (real interest rate, %), and GEDU (government expenditure on education, % of total).</w:t>
      </w:r>
    </w:p>
    <w:p w14:paraId="64AC895E"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Fixed Effects Model</w:t>
      </w:r>
    </w:p>
    <w:p w14:paraId="4A1EB97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We employ the fixed effects model in this study because it addresses the influence of unobserved heterogeneity. These are time-invariant factors that could otherwise bias the estimates. The analysis is based on 30 upper-middle-income countries.  Each country is treated as a separate group with its own </w:t>
      </w:r>
      <w:proofErr w:type="gramStart"/>
      <w:r w:rsidRPr="004A09D7">
        <w:rPr>
          <w:rFonts w:ascii="Arial" w:hAnsi="Arial" w:cs="Arial"/>
          <w:iCs/>
          <w:sz w:val="18"/>
        </w:rPr>
        <w:t>intercept</w:t>
      </w:r>
      <w:proofErr w:type="gramEnd"/>
      <w:r w:rsidRPr="004A09D7">
        <w:rPr>
          <w:rFonts w:ascii="Arial" w:hAnsi="Arial" w:cs="Arial"/>
          <w:iCs/>
          <w:sz w:val="18"/>
        </w:rPr>
        <w:t xml:space="preserve">. The model assumes that the coefficients of the independent variables are constant across groups. At the same time, the </w:t>
      </w:r>
      <w:proofErr w:type="gramStart"/>
      <w:r w:rsidRPr="004A09D7">
        <w:rPr>
          <w:rFonts w:ascii="Arial" w:hAnsi="Arial" w:cs="Arial"/>
          <w:iCs/>
          <w:sz w:val="18"/>
        </w:rPr>
        <w:t>intercepts</w:t>
      </w:r>
      <w:proofErr w:type="gramEnd"/>
      <w:r w:rsidRPr="004A09D7">
        <w:rPr>
          <w:rFonts w:ascii="Arial" w:hAnsi="Arial" w:cs="Arial"/>
          <w:iCs/>
          <w:sz w:val="18"/>
        </w:rPr>
        <w:t xml:space="preserve"> vary to capture country-specific effects. This approach improves the reliability of the results by addressing unobserved factors. Finally, the study </w:t>
      </w:r>
      <w:proofErr w:type="gramStart"/>
      <w:r w:rsidRPr="004A09D7">
        <w:rPr>
          <w:rFonts w:ascii="Arial" w:hAnsi="Arial" w:cs="Arial"/>
          <w:iCs/>
          <w:sz w:val="18"/>
        </w:rPr>
        <w:t>test</w:t>
      </w:r>
      <w:proofErr w:type="gramEnd"/>
      <w:r w:rsidRPr="004A09D7">
        <w:rPr>
          <w:rFonts w:ascii="Arial" w:hAnsi="Arial" w:cs="Arial"/>
          <w:iCs/>
          <w:sz w:val="18"/>
        </w:rPr>
        <w:t xml:space="preserve"> whether the fixed effects specification is appropriate for the study to ensure robustness of the findings.</w:t>
      </w:r>
    </w:p>
    <w:p w14:paraId="17BE97D3" w14:textId="77777777" w:rsidR="004A09D7" w:rsidRPr="004A09D7" w:rsidRDefault="004A09D7" w:rsidP="004A09D7">
      <w:pPr>
        <w:pStyle w:val="Body"/>
        <w:spacing w:after="0"/>
        <w:rPr>
          <w:rFonts w:ascii="Arial" w:hAnsi="Arial" w:cs="Arial"/>
          <w:b/>
          <w:bCs/>
          <w:iCs/>
          <w:sz w:val="18"/>
        </w:rPr>
      </w:pPr>
    </w:p>
    <w:p w14:paraId="05D341F6"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Random Effects Model</w:t>
      </w:r>
    </w:p>
    <w:p w14:paraId="149638B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random effects model is used in panel data analysis when it is assumed that individual-specific unobserved heterogeneity is random and uncorrelated with the explanatory variables. In this approach, these unobserved effects are treated as random variables drawn from a common distribution, allowing for both within- and between-entity variation. The random effects model is suitable when analysis includes variables that do not change over time. It is often chosen to estimate the impact of such time-invariant characteristics. Robust standard errors are commonly used to improve the reliability of estimation. These robust errors help to address potential heteroskedasticity in the data</w:t>
      </w:r>
    </w:p>
    <w:p w14:paraId="620A5663" w14:textId="77777777" w:rsidR="004A09D7" w:rsidRPr="004A09D7" w:rsidRDefault="004A09D7" w:rsidP="004A09D7">
      <w:pPr>
        <w:pStyle w:val="Body"/>
        <w:spacing w:after="0"/>
        <w:rPr>
          <w:rFonts w:ascii="Arial" w:hAnsi="Arial" w:cs="Arial"/>
          <w:b/>
          <w:bCs/>
          <w:i/>
          <w:iCs/>
          <w:sz w:val="18"/>
        </w:rPr>
      </w:pPr>
      <w:r w:rsidRPr="004A09D7">
        <w:rPr>
          <w:rFonts w:ascii="Arial" w:hAnsi="Arial" w:cs="Arial"/>
          <w:b/>
          <w:bCs/>
          <w:iCs/>
          <w:sz w:val="18"/>
        </w:rPr>
        <w:t>Hausman Specification Test</w:t>
      </w:r>
      <w:r w:rsidRPr="004A09D7">
        <w:rPr>
          <w:rFonts w:ascii="Arial" w:hAnsi="Arial" w:cs="Arial"/>
          <w:b/>
          <w:bCs/>
          <w:i/>
          <w:iCs/>
          <w:sz w:val="18"/>
        </w:rPr>
        <w:t xml:space="preserve"> </w:t>
      </w:r>
    </w:p>
    <w:p w14:paraId="41A0FD9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Hausman specification test is designed to determine whether the fixed effects or random effects estimator is more appropriate for the given panel data analysis. The test helps to decide between these two models by examining whether the unique errors are correlated with the regressors. If the test indicates that such correlation exists, the fixed effects model is preferred; otherwise, the random effects model may be used.</w:t>
      </w:r>
    </w:p>
    <w:p w14:paraId="582E4E38"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Dynamic Model</w:t>
      </w:r>
    </w:p>
    <w:p w14:paraId="037BA08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relationship between governance and economic growth is examined empirically through the following model specification.</w:t>
      </w:r>
    </w:p>
    <w:p w14:paraId="38CAEB68" w14:textId="3349DEEF" w:rsidR="004A09D7" w:rsidRPr="004A09D7" w:rsidRDefault="00DD5892" w:rsidP="004A09D7">
      <w:pPr>
        <w:pStyle w:val="Body"/>
        <w:spacing w:after="0"/>
        <w:rPr>
          <w:rFonts w:ascii="Arial" w:hAnsi="Arial" w:cs="Arial"/>
          <w:iCs/>
          <w:sz w:val="18"/>
        </w:rPr>
      </w:pPr>
      <m:oMath>
        <m:sSub>
          <m:sSubPr>
            <m:ctrlPr>
              <w:rPr>
                <w:rFonts w:ascii="Cambria Math" w:hAnsi="Cambria Math" w:cs="Arial"/>
                <w:i/>
                <w:iCs/>
                <w:sz w:val="18"/>
              </w:rPr>
            </m:ctrlPr>
          </m:sSubPr>
          <m:e>
            <m:r>
              <w:rPr>
                <w:rFonts w:ascii="Cambria Math" w:hAnsi="Cambria Math" w:cs="Arial"/>
                <w:sz w:val="18"/>
              </w:rPr>
              <m:t>logGDP</m:t>
            </m:r>
          </m:e>
          <m:sub>
            <m:r>
              <w:rPr>
                <w:rFonts w:ascii="Cambria Math" w:hAnsi="Cambria Math" w:cs="Arial"/>
                <w:sz w:val="18"/>
              </w:rPr>
              <m:t xml:space="preserve">it  </m:t>
            </m:r>
          </m:sub>
        </m:sSub>
      </m:oMath>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m:t>
            </m:r>
          </m:sub>
        </m:sSub>
        <m:sSub>
          <m:sSubPr>
            <m:ctrlPr>
              <w:rPr>
                <w:rFonts w:ascii="Cambria Math" w:hAnsi="Cambria Math" w:cs="Arial"/>
                <w:i/>
                <w:iCs/>
                <w:sz w:val="18"/>
              </w:rPr>
            </m:ctrlPr>
          </m:sSubPr>
          <m:e>
            <m:r>
              <w:rPr>
                <w:rFonts w:ascii="Cambria Math" w:hAnsi="Cambria Math" w:cs="Arial"/>
                <w:sz w:val="18"/>
              </w:rPr>
              <m:t>log(GDP)</m:t>
            </m:r>
          </m:e>
          <m:sub>
            <m:r>
              <w:rPr>
                <w:rFonts w:ascii="Cambria Math" w:hAnsi="Cambria Math" w:cs="Arial"/>
                <w:sz w:val="18"/>
              </w:rPr>
              <m:t xml:space="preserve">it-1  </m:t>
            </m:r>
          </m:sub>
        </m:sSub>
      </m:oMath>
      <w:r w:rsidR="004A09D7" w:rsidRPr="004A09D7">
        <w:rPr>
          <w:rFonts w:ascii="Arial" w:hAnsi="Arial" w:cs="Arial"/>
          <w:iCs/>
          <w:sz w:val="18"/>
          <w:vertAlign w:val="subscript"/>
        </w:rPr>
        <w:t xml:space="preserve"> +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2</m:t>
            </m:r>
          </m:sub>
        </m:sSub>
      </m:oMath>
      <w:r w:rsidR="004A09D7" w:rsidRPr="004A09D7">
        <w:rPr>
          <w:rFonts w:ascii="Arial" w:hAnsi="Arial" w:cs="Arial"/>
          <w:iCs/>
          <w:sz w:val="18"/>
        </w:rPr>
        <w:t>CC</w:t>
      </w:r>
      <w:r w:rsidR="004A09D7" w:rsidRPr="004A09D7">
        <w:rPr>
          <w:rFonts w:ascii="Arial" w:hAnsi="Arial" w:cs="Arial"/>
          <w:iCs/>
          <w:sz w:val="18"/>
          <w:vertAlign w:val="subscript"/>
        </w:rPr>
        <w:t xml:space="preserve">it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3</m:t>
            </m:r>
          </m:sub>
        </m:sSub>
      </m:oMath>
      <w:r w:rsidR="004A09D7" w:rsidRPr="004A09D7">
        <w:rPr>
          <w:rFonts w:ascii="Arial" w:hAnsi="Arial" w:cs="Arial"/>
          <w:iCs/>
          <w:sz w:val="18"/>
        </w:rPr>
        <w:t>GE</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4</m:t>
            </m:r>
          </m:sub>
        </m:sSub>
      </m:oMath>
      <w:r w:rsidR="004A09D7" w:rsidRPr="004A09D7">
        <w:rPr>
          <w:rFonts w:ascii="Arial" w:hAnsi="Arial" w:cs="Arial"/>
          <w:iCs/>
          <w:sz w:val="18"/>
        </w:rPr>
        <w:t>PS</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5</m:t>
            </m:r>
          </m:sub>
        </m:sSub>
      </m:oMath>
      <w:r w:rsidR="004A09D7" w:rsidRPr="004A09D7">
        <w:rPr>
          <w:rFonts w:ascii="Arial" w:hAnsi="Arial" w:cs="Arial"/>
          <w:iCs/>
          <w:sz w:val="18"/>
        </w:rPr>
        <w:t>RQ</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6</m:t>
            </m:r>
          </m:sub>
        </m:sSub>
      </m:oMath>
      <w:r w:rsidR="004A09D7" w:rsidRPr="004A09D7">
        <w:rPr>
          <w:rFonts w:ascii="Arial" w:hAnsi="Arial" w:cs="Arial"/>
          <w:iCs/>
          <w:sz w:val="18"/>
        </w:rPr>
        <w:t>RL</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7</m:t>
            </m:r>
          </m:sub>
        </m:sSub>
      </m:oMath>
      <w:r w:rsidR="004A09D7" w:rsidRPr="004A09D7">
        <w:rPr>
          <w:rFonts w:ascii="Arial" w:hAnsi="Arial" w:cs="Arial"/>
          <w:iCs/>
          <w:sz w:val="18"/>
        </w:rPr>
        <w:t>VA</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8</m:t>
            </m:r>
          </m:sub>
        </m:sSub>
      </m:oMath>
      <w:r w:rsidR="004A09D7" w:rsidRPr="004A09D7">
        <w:rPr>
          <w:rFonts w:ascii="Arial" w:hAnsi="Arial" w:cs="Arial"/>
          <w:iCs/>
          <w:sz w:val="18"/>
        </w:rPr>
        <w:t>GGDP</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9</m:t>
            </m:r>
          </m:sub>
        </m:sSub>
      </m:oMath>
      <w:r w:rsidR="004A09D7" w:rsidRPr="004A09D7">
        <w:rPr>
          <w:rFonts w:ascii="Arial" w:hAnsi="Arial" w:cs="Arial"/>
          <w:iCs/>
          <w:sz w:val="18"/>
        </w:rPr>
        <w:t>INF</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10</m:t>
            </m:r>
          </m:sub>
        </m:sSub>
      </m:oMath>
      <w:r w:rsidR="004A09D7" w:rsidRPr="004A09D7">
        <w:rPr>
          <w:rFonts w:ascii="Arial" w:hAnsi="Arial" w:cs="Arial"/>
          <w:iCs/>
          <w:sz w:val="18"/>
        </w:rPr>
        <w:t>INR</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11</m:t>
            </m:r>
          </m:sub>
        </m:sSub>
      </m:oMath>
      <w:r w:rsidR="004A09D7" w:rsidRPr="004A09D7">
        <w:rPr>
          <w:rFonts w:ascii="Arial" w:hAnsi="Arial" w:cs="Arial"/>
          <w:iCs/>
          <w:sz w:val="18"/>
        </w:rPr>
        <w:t>GEDU</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r>
          <w:rPr>
            <w:rFonts w:ascii="Cambria Math" w:hAnsi="Cambria Math" w:cs="Arial"/>
            <w:sz w:val="18"/>
          </w:rPr>
          <m:t>μ</m:t>
        </m:r>
      </m:oMath>
      <w:r w:rsidR="004A09D7" w:rsidRPr="004A09D7">
        <w:rPr>
          <w:rFonts w:ascii="Arial" w:hAnsi="Arial" w:cs="Arial"/>
          <w:iCs/>
          <w:sz w:val="18"/>
          <w:vertAlign w:val="subscript"/>
        </w:rPr>
        <w:t xml:space="preserve">it   </w:t>
      </w:r>
      <w:r w:rsidR="004A09D7" w:rsidRPr="004A09D7">
        <w:rPr>
          <w:rFonts w:ascii="Arial" w:hAnsi="Arial" w:cs="Arial"/>
          <w:iCs/>
          <w:sz w:val="18"/>
        </w:rPr>
        <w:t>……………………………</w:t>
      </w:r>
      <w:r w:rsidR="004A09D7" w:rsidRPr="004A09D7">
        <w:rPr>
          <w:rFonts w:ascii="Arial" w:hAnsi="Arial" w:cs="Arial"/>
          <w:iCs/>
          <w:sz w:val="18"/>
          <w:vertAlign w:val="subscript"/>
        </w:rPr>
        <w:t>.</w:t>
      </w:r>
      <w:r w:rsidR="004A09D7" w:rsidRPr="004A09D7">
        <w:rPr>
          <w:rFonts w:ascii="Arial" w:hAnsi="Arial" w:cs="Arial"/>
          <w:iCs/>
          <w:sz w:val="18"/>
        </w:rPr>
        <w:t>(II)</w:t>
      </w:r>
    </w:p>
    <w:p w14:paraId="5BB5D8BC" w14:textId="5C8B7E43" w:rsidR="004A09D7" w:rsidRPr="004A09D7" w:rsidRDefault="004A09D7" w:rsidP="004A09D7">
      <w:pPr>
        <w:pStyle w:val="Body"/>
        <w:spacing w:after="0"/>
        <w:rPr>
          <w:rFonts w:ascii="Arial" w:hAnsi="Arial" w:cs="Arial"/>
          <w:iCs/>
          <w:sz w:val="18"/>
        </w:rPr>
      </w:pPr>
      <w:r w:rsidRPr="004A09D7">
        <w:rPr>
          <w:rFonts w:ascii="Arial" w:hAnsi="Arial" w:cs="Arial"/>
          <w:iCs/>
          <w:sz w:val="18"/>
        </w:rPr>
        <w:t>In dynamic panel models, the country dimension is denoted by </w:t>
      </w:r>
      <w:proofErr w:type="spellStart"/>
      <w:r w:rsidRPr="004A09D7">
        <w:rPr>
          <w:rFonts w:ascii="Arial" w:hAnsi="Arial" w:cs="Arial"/>
          <w:iCs/>
          <w:sz w:val="18"/>
        </w:rPr>
        <w:t>i</w:t>
      </w:r>
      <w:proofErr w:type="spellEnd"/>
      <w:r w:rsidRPr="004A09D7">
        <w:rPr>
          <w:rFonts w:ascii="Arial" w:hAnsi="Arial" w:cs="Arial"/>
          <w:iCs/>
          <w:sz w:val="18"/>
        </w:rPr>
        <w:t xml:space="preserve"> and the time dimension by t, with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Pr="004A09D7">
        <w:rPr>
          <w:rFonts w:ascii="Arial" w:hAnsi="Arial" w:cs="Arial"/>
          <w:iCs/>
          <w:sz w:val="18"/>
        </w:rPr>
        <w:t xml:space="preserve">  representing the </w:t>
      </w:r>
      <w:proofErr w:type="gramStart"/>
      <w:r w:rsidRPr="004A09D7">
        <w:rPr>
          <w:rFonts w:ascii="Arial" w:hAnsi="Arial" w:cs="Arial"/>
          <w:iCs/>
          <w:sz w:val="18"/>
        </w:rPr>
        <w:t>intercept</w:t>
      </w:r>
      <w:proofErr w:type="gramEnd"/>
      <w:r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i</m:t>
            </m:r>
          </m:sub>
        </m:sSub>
      </m:oMath>
      <w:r w:rsidRPr="004A09D7">
        <w:rPr>
          <w:rFonts w:ascii="Arial" w:hAnsi="Arial" w:cs="Arial"/>
          <w:iCs/>
          <w:sz w:val="18"/>
        </w:rPr>
        <w:t xml:space="preserve"> capturing the coefficients of the explanatory variables, and μᵢ</w:t>
      </w:r>
      <w:r w:rsidRPr="004A09D7">
        <w:rPr>
          <w:rFonts w:ascii="Cambria Math" w:hAnsi="Cambria Math" w:cs="Cambria Math"/>
          <w:iCs/>
          <w:sz w:val="18"/>
        </w:rPr>
        <w:t>ₜ</w:t>
      </w:r>
      <w:r w:rsidRPr="004A09D7">
        <w:rPr>
          <w:rFonts w:ascii="Arial" w:hAnsi="Arial" w:cs="Arial"/>
          <w:iCs/>
          <w:sz w:val="18"/>
        </w:rPr>
        <w:t xml:space="preserve"> denoting the disturbance term. Estimation in such models frequently relies on the Generalized Method of Moments (GMM), for which two principal estimators are available. The first is the difference GMM estimator introduced by Arellano and Bond (1991), which relies on transforming the data through first differencing. This method eliminates unobserved, time-invariant country-specific effects. It also reduces within-country variation and can generate weak instrument problems when variables are persistent. To address these limitations, Arellano and Bover (1995) and Blundell and Bond (1998) developed the system GMM estimator, which augments the difference equations with additional moment conditions in levels. By strengthening the instrumentation strategy and improving efficiency, system GMM is generally regarded as a more reliable approach compared with the </w:t>
      </w:r>
      <w:proofErr w:type="gramStart"/>
      <w:r w:rsidRPr="004A09D7">
        <w:rPr>
          <w:rFonts w:ascii="Arial" w:hAnsi="Arial" w:cs="Arial"/>
          <w:iCs/>
          <w:sz w:val="18"/>
        </w:rPr>
        <w:t>difference</w:t>
      </w:r>
      <w:proofErr w:type="gramEnd"/>
      <w:r w:rsidRPr="004A09D7">
        <w:rPr>
          <w:rFonts w:ascii="Arial" w:hAnsi="Arial" w:cs="Arial"/>
          <w:iCs/>
          <w:sz w:val="18"/>
        </w:rPr>
        <w:t xml:space="preserve"> GMM. In this study, </w:t>
      </w:r>
      <w:r w:rsidRPr="004A09D7">
        <w:rPr>
          <w:rFonts w:ascii="Arial" w:hAnsi="Arial" w:cs="Arial"/>
          <w:iCs/>
          <w:sz w:val="18"/>
        </w:rPr>
        <w:lastRenderedPageBreak/>
        <w:t>system GMM is therefore employed as the primary method, with results from difference GMM reported to validate robustness.</w:t>
      </w:r>
    </w:p>
    <w:p w14:paraId="6A4889F9" w14:textId="77777777" w:rsidR="004A09D7" w:rsidRPr="004A09D7" w:rsidRDefault="004A09D7" w:rsidP="004A09D7">
      <w:pPr>
        <w:pStyle w:val="Body"/>
        <w:spacing w:after="0"/>
        <w:rPr>
          <w:rFonts w:ascii="Arial" w:hAnsi="Arial" w:cs="Arial"/>
          <w:b/>
          <w:bCs/>
          <w:iCs/>
          <w:sz w:val="18"/>
        </w:rPr>
      </w:pPr>
    </w:p>
    <w:p w14:paraId="7BE201F3" w14:textId="77777777" w:rsidR="004A09D7" w:rsidRPr="004A09D7" w:rsidRDefault="004A09D7" w:rsidP="004A09D7">
      <w:pPr>
        <w:pStyle w:val="Body"/>
        <w:numPr>
          <w:ilvl w:val="0"/>
          <w:numId w:val="37"/>
        </w:numPr>
        <w:spacing w:after="0"/>
        <w:rPr>
          <w:rFonts w:ascii="Arial" w:hAnsi="Arial" w:cs="Arial"/>
          <w:b/>
          <w:bCs/>
          <w:iCs/>
          <w:sz w:val="18"/>
          <w:lang w:val="en-IN"/>
        </w:rPr>
      </w:pPr>
      <w:r w:rsidRPr="004A09D7">
        <w:rPr>
          <w:rFonts w:ascii="Arial" w:hAnsi="Arial" w:cs="Arial"/>
          <w:b/>
          <w:bCs/>
          <w:iCs/>
          <w:sz w:val="18"/>
          <w:lang w:val="en-IN"/>
        </w:rPr>
        <w:t>RESULTS AND DISCUSSION</w:t>
      </w:r>
    </w:p>
    <w:p w14:paraId="2871C815" w14:textId="1AA86DE1" w:rsidR="004A09D7" w:rsidRPr="004A09D7" w:rsidRDefault="004A09D7" w:rsidP="005A47EE">
      <w:pPr>
        <w:pStyle w:val="Body"/>
        <w:spacing w:after="0"/>
        <w:rPr>
          <w:rFonts w:ascii="Arial" w:hAnsi="Arial" w:cs="Arial"/>
          <w:b/>
          <w:bCs/>
          <w:iCs/>
          <w:sz w:val="18"/>
        </w:rPr>
      </w:pPr>
    </w:p>
    <w:p w14:paraId="30158A66" w14:textId="5643C286"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 </w:t>
      </w:r>
      <w:r w:rsidR="00FD38B8">
        <w:rPr>
          <w:rFonts w:ascii="Arial" w:hAnsi="Arial" w:cs="Arial"/>
          <w:iCs/>
          <w:sz w:val="18"/>
        </w:rPr>
        <w:t>2</w:t>
      </w:r>
      <w:r w:rsidRPr="004A09D7">
        <w:rPr>
          <w:rFonts w:ascii="Arial" w:hAnsi="Arial" w:cs="Arial"/>
          <w:iCs/>
          <w:sz w:val="18"/>
        </w:rPr>
        <w:t xml:space="preserve"> presents the descriptive statistics of the key variables used in the analysis, based on an unbalanced panel of 30 upper-middle-income economies over the period 1996–2023. The natural logarithm of GDP (</w:t>
      </w:r>
      <w:proofErr w:type="spellStart"/>
      <w:r w:rsidRPr="004A09D7">
        <w:rPr>
          <w:rFonts w:ascii="Arial" w:hAnsi="Arial" w:cs="Arial"/>
          <w:iCs/>
          <w:sz w:val="18"/>
        </w:rPr>
        <w:t>logGDP</w:t>
      </w:r>
      <w:proofErr w:type="spellEnd"/>
      <w:r w:rsidRPr="004A09D7">
        <w:rPr>
          <w:rFonts w:ascii="Arial" w:hAnsi="Arial" w:cs="Arial"/>
          <w:iCs/>
          <w:sz w:val="18"/>
        </w:rPr>
        <w:t xml:space="preserve">) has a mean of 8.468 with moderate variation (standard deviation of 0.501), reflecting moderate cross-country economic size variation.  Governance indicators such as control of corruption (CC), government effectiveness (GE), political stability (PS), regulatory quality (RQ), rule of law (RL), and voice and accountability (VA) exhibit mean values near zero with standard deviations ranging from 0.528 to 0.746, indicating diverse governance quality across countries. The average economic growth rate (GGDP) stands at 3.791 percent but with considerable dispersion (standard deviation of 5.495), highlighting heterogeneous growth experiences. Macroeconomic indicators such as inflation (INF) and interest (INR) exhibit wide variation, including negative and </w:t>
      </w:r>
      <w:proofErr w:type="gramStart"/>
      <w:r w:rsidRPr="004A09D7">
        <w:rPr>
          <w:rFonts w:ascii="Arial" w:hAnsi="Arial" w:cs="Arial"/>
          <w:iCs/>
          <w:sz w:val="18"/>
        </w:rPr>
        <w:t>extreme</w:t>
      </w:r>
      <w:proofErr w:type="gramEnd"/>
      <w:r w:rsidRPr="004A09D7">
        <w:rPr>
          <w:rFonts w:ascii="Arial" w:hAnsi="Arial" w:cs="Arial"/>
          <w:iCs/>
          <w:sz w:val="18"/>
        </w:rPr>
        <w:t xml:space="preserve"> positive values. The measure of Government expenditure for education (GEDU) shows a mean of 4.258 years with a standard deviation of 1.34. These statistics reveal considerable heterogeneity across countries and time, underscoring the need for dynamic panel estimation techniques employed in the study.</w:t>
      </w:r>
    </w:p>
    <w:p w14:paraId="456B2A72" w14:textId="1FF5CA70"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Table </w:t>
      </w:r>
      <w:r w:rsidR="00FD38B8">
        <w:rPr>
          <w:rFonts w:ascii="Arial" w:hAnsi="Arial" w:cs="Arial"/>
          <w:b/>
          <w:bCs/>
          <w:iCs/>
          <w:sz w:val="18"/>
        </w:rPr>
        <w:t>2</w:t>
      </w:r>
      <w:r w:rsidRPr="004A09D7">
        <w:rPr>
          <w:rFonts w:ascii="Arial" w:hAnsi="Arial" w:cs="Arial"/>
          <w:b/>
          <w:bCs/>
          <w:iCs/>
          <w:sz w:val="18"/>
        </w:rPr>
        <w:t>. 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800"/>
        <w:gridCol w:w="1400"/>
        <w:gridCol w:w="1400"/>
        <w:gridCol w:w="1400"/>
        <w:gridCol w:w="1400"/>
      </w:tblGrid>
      <w:tr w:rsidR="004A09D7" w:rsidRPr="004A09D7" w14:paraId="216EE11E" w14:textId="77777777" w:rsidTr="001514BC">
        <w:tc>
          <w:tcPr>
            <w:tcW w:w="2508" w:type="dxa"/>
            <w:vAlign w:val="center"/>
          </w:tcPr>
          <w:p w14:paraId="3B482484"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Variable</w:t>
            </w:r>
          </w:p>
        </w:tc>
        <w:tc>
          <w:tcPr>
            <w:tcW w:w="800" w:type="dxa"/>
            <w:vAlign w:val="center"/>
          </w:tcPr>
          <w:p w14:paraId="59ADB245" w14:textId="67B750CC" w:rsidR="004A09D7" w:rsidRPr="004A09D7" w:rsidRDefault="004A09D7" w:rsidP="001514BC">
            <w:pPr>
              <w:pStyle w:val="Body"/>
              <w:spacing w:after="0"/>
              <w:jc w:val="center"/>
              <w:rPr>
                <w:rFonts w:ascii="Arial" w:hAnsi="Arial" w:cs="Arial"/>
                <w:iCs/>
                <w:sz w:val="18"/>
              </w:rPr>
            </w:pPr>
            <w:proofErr w:type="spellStart"/>
            <w:r w:rsidRPr="004A09D7">
              <w:rPr>
                <w:rFonts w:ascii="Arial" w:hAnsi="Arial" w:cs="Arial"/>
                <w:iCs/>
                <w:sz w:val="18"/>
              </w:rPr>
              <w:t>Obs</w:t>
            </w:r>
            <w:proofErr w:type="spellEnd"/>
          </w:p>
        </w:tc>
        <w:tc>
          <w:tcPr>
            <w:tcW w:w="1400" w:type="dxa"/>
            <w:vAlign w:val="center"/>
          </w:tcPr>
          <w:p w14:paraId="779CE47E" w14:textId="7EA386F6"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Mean</w:t>
            </w:r>
          </w:p>
        </w:tc>
        <w:tc>
          <w:tcPr>
            <w:tcW w:w="1400" w:type="dxa"/>
            <w:vAlign w:val="center"/>
          </w:tcPr>
          <w:p w14:paraId="58F6B766" w14:textId="627D77F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Std. Dev.</w:t>
            </w:r>
          </w:p>
        </w:tc>
        <w:tc>
          <w:tcPr>
            <w:tcW w:w="1400" w:type="dxa"/>
            <w:vAlign w:val="center"/>
          </w:tcPr>
          <w:p w14:paraId="0BE6A730" w14:textId="026F13AC"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Min</w:t>
            </w:r>
          </w:p>
        </w:tc>
        <w:tc>
          <w:tcPr>
            <w:tcW w:w="1400" w:type="dxa"/>
            <w:vAlign w:val="center"/>
          </w:tcPr>
          <w:p w14:paraId="2AA89BD4" w14:textId="7A526D05"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Max</w:t>
            </w:r>
          </w:p>
        </w:tc>
      </w:tr>
      <w:tr w:rsidR="004A09D7" w:rsidRPr="004A09D7" w14:paraId="022010ED" w14:textId="77777777" w:rsidTr="001514BC">
        <w:tc>
          <w:tcPr>
            <w:tcW w:w="2508" w:type="dxa"/>
            <w:vAlign w:val="center"/>
          </w:tcPr>
          <w:p w14:paraId="35BF1237" w14:textId="472D5A38" w:rsidR="004A09D7" w:rsidRPr="004A09D7" w:rsidRDefault="004A09D7" w:rsidP="001514BC">
            <w:pPr>
              <w:pStyle w:val="Body"/>
              <w:spacing w:after="0"/>
              <w:jc w:val="center"/>
              <w:rPr>
                <w:rFonts w:ascii="Arial" w:hAnsi="Arial" w:cs="Arial"/>
                <w:iCs/>
                <w:sz w:val="18"/>
              </w:rPr>
            </w:pPr>
            <w:proofErr w:type="spellStart"/>
            <w:r w:rsidRPr="004A09D7">
              <w:rPr>
                <w:rFonts w:ascii="Arial" w:hAnsi="Arial" w:cs="Arial"/>
                <w:iCs/>
                <w:sz w:val="18"/>
              </w:rPr>
              <w:t>logGDP</w:t>
            </w:r>
            <w:proofErr w:type="spellEnd"/>
          </w:p>
        </w:tc>
        <w:tc>
          <w:tcPr>
            <w:tcW w:w="800" w:type="dxa"/>
            <w:vAlign w:val="center"/>
          </w:tcPr>
          <w:p w14:paraId="7E2AAB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45FEB6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8.468</w:t>
            </w:r>
          </w:p>
        </w:tc>
        <w:tc>
          <w:tcPr>
            <w:tcW w:w="1400" w:type="dxa"/>
            <w:vAlign w:val="center"/>
          </w:tcPr>
          <w:p w14:paraId="57A896E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.501</w:t>
            </w:r>
          </w:p>
        </w:tc>
        <w:tc>
          <w:tcPr>
            <w:tcW w:w="1400" w:type="dxa"/>
            <w:vAlign w:val="center"/>
          </w:tcPr>
          <w:p w14:paraId="79B24E6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6.903</w:t>
            </w:r>
          </w:p>
        </w:tc>
        <w:tc>
          <w:tcPr>
            <w:tcW w:w="1400" w:type="dxa"/>
            <w:vAlign w:val="center"/>
          </w:tcPr>
          <w:p w14:paraId="48766C2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9.432</w:t>
            </w:r>
          </w:p>
        </w:tc>
      </w:tr>
      <w:tr w:rsidR="004A09D7" w:rsidRPr="004A09D7" w14:paraId="4CB8AE38" w14:textId="77777777" w:rsidTr="001514BC">
        <w:tc>
          <w:tcPr>
            <w:tcW w:w="2508" w:type="dxa"/>
            <w:vAlign w:val="center"/>
          </w:tcPr>
          <w:p w14:paraId="23361822" w14:textId="31EAFB6C"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CC</w:t>
            </w:r>
          </w:p>
        </w:tc>
        <w:tc>
          <w:tcPr>
            <w:tcW w:w="800" w:type="dxa"/>
            <w:vAlign w:val="center"/>
          </w:tcPr>
          <w:p w14:paraId="6D48A77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174E872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-.285</w:t>
            </w:r>
          </w:p>
        </w:tc>
        <w:tc>
          <w:tcPr>
            <w:tcW w:w="1400" w:type="dxa"/>
            <w:vAlign w:val="center"/>
          </w:tcPr>
          <w:p w14:paraId="3AA2EEA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.575</w:t>
            </w:r>
          </w:p>
        </w:tc>
        <w:tc>
          <w:tcPr>
            <w:tcW w:w="1400" w:type="dxa"/>
            <w:vAlign w:val="center"/>
          </w:tcPr>
          <w:p w14:paraId="17AA6B9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-1.527</w:t>
            </w:r>
          </w:p>
        </w:tc>
        <w:tc>
          <w:tcPr>
            <w:tcW w:w="1400" w:type="dxa"/>
            <w:vAlign w:val="center"/>
          </w:tcPr>
          <w:p w14:paraId="7FED468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1.331</w:t>
            </w:r>
          </w:p>
        </w:tc>
      </w:tr>
      <w:tr w:rsidR="004A09D7" w:rsidRPr="004A09D7" w14:paraId="72FE3BBA" w14:textId="77777777" w:rsidTr="001514BC">
        <w:tc>
          <w:tcPr>
            <w:tcW w:w="2508" w:type="dxa"/>
            <w:vAlign w:val="center"/>
          </w:tcPr>
          <w:p w14:paraId="64008544" w14:textId="1EBC3959"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GE</w:t>
            </w:r>
          </w:p>
        </w:tc>
        <w:tc>
          <w:tcPr>
            <w:tcW w:w="800" w:type="dxa"/>
            <w:vAlign w:val="center"/>
          </w:tcPr>
          <w:p w14:paraId="03056344"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0BDC7D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-.106</w:t>
            </w:r>
          </w:p>
        </w:tc>
        <w:tc>
          <w:tcPr>
            <w:tcW w:w="1400" w:type="dxa"/>
            <w:vAlign w:val="center"/>
          </w:tcPr>
          <w:p w14:paraId="0BA8A6C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.532</w:t>
            </w:r>
          </w:p>
        </w:tc>
        <w:tc>
          <w:tcPr>
            <w:tcW w:w="1400" w:type="dxa"/>
            <w:vAlign w:val="center"/>
          </w:tcPr>
          <w:p w14:paraId="6011F93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-1.21</w:t>
            </w:r>
          </w:p>
        </w:tc>
        <w:tc>
          <w:tcPr>
            <w:tcW w:w="1400" w:type="dxa"/>
            <w:vAlign w:val="center"/>
          </w:tcPr>
          <w:p w14:paraId="2C91DDF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1.238</w:t>
            </w:r>
          </w:p>
        </w:tc>
      </w:tr>
      <w:tr w:rsidR="004A09D7" w:rsidRPr="004A09D7" w14:paraId="6E8142D8" w14:textId="77777777" w:rsidTr="001514BC">
        <w:tc>
          <w:tcPr>
            <w:tcW w:w="2508" w:type="dxa"/>
            <w:vAlign w:val="center"/>
          </w:tcPr>
          <w:p w14:paraId="1E464256" w14:textId="35F0E06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PS</w:t>
            </w:r>
          </w:p>
        </w:tc>
        <w:tc>
          <w:tcPr>
            <w:tcW w:w="800" w:type="dxa"/>
            <w:vAlign w:val="center"/>
          </w:tcPr>
          <w:p w14:paraId="086BA92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2544CA5B"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-.122</w:t>
            </w:r>
          </w:p>
        </w:tc>
        <w:tc>
          <w:tcPr>
            <w:tcW w:w="1400" w:type="dxa"/>
            <w:vAlign w:val="center"/>
          </w:tcPr>
          <w:p w14:paraId="5B13DDB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.746</w:t>
            </w:r>
          </w:p>
        </w:tc>
        <w:tc>
          <w:tcPr>
            <w:tcW w:w="1400" w:type="dxa"/>
            <w:vAlign w:val="center"/>
          </w:tcPr>
          <w:p w14:paraId="242CF14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-2.376</w:t>
            </w:r>
          </w:p>
        </w:tc>
        <w:tc>
          <w:tcPr>
            <w:tcW w:w="1400" w:type="dxa"/>
            <w:vAlign w:val="center"/>
          </w:tcPr>
          <w:p w14:paraId="6B31BF3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1.344</w:t>
            </w:r>
          </w:p>
        </w:tc>
      </w:tr>
      <w:tr w:rsidR="004A09D7" w:rsidRPr="004A09D7" w14:paraId="32C27339" w14:textId="77777777" w:rsidTr="001514BC">
        <w:tc>
          <w:tcPr>
            <w:tcW w:w="2508" w:type="dxa"/>
            <w:vAlign w:val="center"/>
          </w:tcPr>
          <w:p w14:paraId="6FEE5C91" w14:textId="74DCA2EE"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RQ</w:t>
            </w:r>
          </w:p>
        </w:tc>
        <w:tc>
          <w:tcPr>
            <w:tcW w:w="800" w:type="dxa"/>
            <w:vAlign w:val="center"/>
          </w:tcPr>
          <w:p w14:paraId="2662098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1A138A2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-.077</w:t>
            </w:r>
          </w:p>
        </w:tc>
        <w:tc>
          <w:tcPr>
            <w:tcW w:w="1400" w:type="dxa"/>
            <w:vAlign w:val="center"/>
          </w:tcPr>
          <w:p w14:paraId="7AA8EB4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.528</w:t>
            </w:r>
          </w:p>
        </w:tc>
        <w:tc>
          <w:tcPr>
            <w:tcW w:w="1400" w:type="dxa"/>
            <w:vAlign w:val="center"/>
          </w:tcPr>
          <w:p w14:paraId="3D566067"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-1.709</w:t>
            </w:r>
          </w:p>
        </w:tc>
        <w:tc>
          <w:tcPr>
            <w:tcW w:w="1400" w:type="dxa"/>
            <w:vAlign w:val="center"/>
          </w:tcPr>
          <w:p w14:paraId="35BD1B0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1.26</w:t>
            </w:r>
          </w:p>
        </w:tc>
      </w:tr>
      <w:tr w:rsidR="004A09D7" w:rsidRPr="004A09D7" w14:paraId="15D0D959" w14:textId="77777777" w:rsidTr="001514BC">
        <w:tc>
          <w:tcPr>
            <w:tcW w:w="2508" w:type="dxa"/>
            <w:vAlign w:val="center"/>
          </w:tcPr>
          <w:p w14:paraId="68CB1477" w14:textId="4F637F6B"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RL</w:t>
            </w:r>
          </w:p>
        </w:tc>
        <w:tc>
          <w:tcPr>
            <w:tcW w:w="800" w:type="dxa"/>
            <w:vAlign w:val="center"/>
          </w:tcPr>
          <w:p w14:paraId="51DD135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293CB37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-.24</w:t>
            </w:r>
          </w:p>
        </w:tc>
        <w:tc>
          <w:tcPr>
            <w:tcW w:w="1400" w:type="dxa"/>
            <w:vAlign w:val="center"/>
          </w:tcPr>
          <w:p w14:paraId="18BDF6E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.585</w:t>
            </w:r>
          </w:p>
        </w:tc>
        <w:tc>
          <w:tcPr>
            <w:tcW w:w="1400" w:type="dxa"/>
            <w:vAlign w:val="center"/>
          </w:tcPr>
          <w:p w14:paraId="4AB5125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-1.304</w:t>
            </w:r>
          </w:p>
        </w:tc>
        <w:tc>
          <w:tcPr>
            <w:tcW w:w="1400" w:type="dxa"/>
            <w:vAlign w:val="center"/>
          </w:tcPr>
          <w:p w14:paraId="1F8D966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1.271</w:t>
            </w:r>
          </w:p>
        </w:tc>
      </w:tr>
      <w:tr w:rsidR="004A09D7" w:rsidRPr="004A09D7" w14:paraId="0375CC89" w14:textId="77777777" w:rsidTr="001514BC">
        <w:tc>
          <w:tcPr>
            <w:tcW w:w="2508" w:type="dxa"/>
            <w:vAlign w:val="center"/>
          </w:tcPr>
          <w:p w14:paraId="082EE794" w14:textId="371C088F"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VA</w:t>
            </w:r>
          </w:p>
        </w:tc>
        <w:tc>
          <w:tcPr>
            <w:tcW w:w="800" w:type="dxa"/>
            <w:vAlign w:val="center"/>
          </w:tcPr>
          <w:p w14:paraId="0A76CDB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ABFB59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-.048</w:t>
            </w:r>
          </w:p>
        </w:tc>
        <w:tc>
          <w:tcPr>
            <w:tcW w:w="1400" w:type="dxa"/>
            <w:vAlign w:val="center"/>
          </w:tcPr>
          <w:p w14:paraId="77A6F55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.733</w:t>
            </w:r>
          </w:p>
        </w:tc>
        <w:tc>
          <w:tcPr>
            <w:tcW w:w="1400" w:type="dxa"/>
            <w:vAlign w:val="center"/>
          </w:tcPr>
          <w:p w14:paraId="5B1FECD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-1.767</w:t>
            </w:r>
          </w:p>
        </w:tc>
        <w:tc>
          <w:tcPr>
            <w:tcW w:w="1400" w:type="dxa"/>
            <w:vAlign w:val="center"/>
          </w:tcPr>
          <w:p w14:paraId="72CED2B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1.222</w:t>
            </w:r>
          </w:p>
        </w:tc>
      </w:tr>
      <w:tr w:rsidR="004A09D7" w:rsidRPr="004A09D7" w14:paraId="535CCA5F" w14:textId="77777777" w:rsidTr="001514BC">
        <w:tc>
          <w:tcPr>
            <w:tcW w:w="2508" w:type="dxa"/>
            <w:vAlign w:val="center"/>
          </w:tcPr>
          <w:p w14:paraId="59345D8A" w14:textId="498123E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GGDP</w:t>
            </w:r>
          </w:p>
        </w:tc>
        <w:tc>
          <w:tcPr>
            <w:tcW w:w="800" w:type="dxa"/>
            <w:vAlign w:val="center"/>
          </w:tcPr>
          <w:p w14:paraId="48F552B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6724F2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3.791</w:t>
            </w:r>
          </w:p>
        </w:tc>
        <w:tc>
          <w:tcPr>
            <w:tcW w:w="1400" w:type="dxa"/>
            <w:vAlign w:val="center"/>
          </w:tcPr>
          <w:p w14:paraId="6A5378D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5.495</w:t>
            </w:r>
          </w:p>
        </w:tc>
        <w:tc>
          <w:tcPr>
            <w:tcW w:w="1400" w:type="dxa"/>
            <w:vAlign w:val="center"/>
          </w:tcPr>
          <w:p w14:paraId="1F508D2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-32.909</w:t>
            </w:r>
          </w:p>
        </w:tc>
        <w:tc>
          <w:tcPr>
            <w:tcW w:w="1400" w:type="dxa"/>
            <w:vAlign w:val="center"/>
          </w:tcPr>
          <w:p w14:paraId="7042F27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37.508</w:t>
            </w:r>
          </w:p>
        </w:tc>
      </w:tr>
      <w:tr w:rsidR="004A09D7" w:rsidRPr="004A09D7" w14:paraId="18248171" w14:textId="77777777" w:rsidTr="001514BC">
        <w:tc>
          <w:tcPr>
            <w:tcW w:w="2508" w:type="dxa"/>
            <w:vAlign w:val="center"/>
          </w:tcPr>
          <w:p w14:paraId="29CC8431" w14:textId="7A4A1E9D"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INF</w:t>
            </w:r>
          </w:p>
        </w:tc>
        <w:tc>
          <w:tcPr>
            <w:tcW w:w="800" w:type="dxa"/>
            <w:vAlign w:val="center"/>
          </w:tcPr>
          <w:p w14:paraId="25F811F0"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38D4D84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6.726</w:t>
            </w:r>
          </w:p>
        </w:tc>
        <w:tc>
          <w:tcPr>
            <w:tcW w:w="1400" w:type="dxa"/>
            <w:vAlign w:val="center"/>
          </w:tcPr>
          <w:p w14:paraId="5879656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10.438</w:t>
            </w:r>
          </w:p>
        </w:tc>
        <w:tc>
          <w:tcPr>
            <w:tcW w:w="1400" w:type="dxa"/>
            <w:vAlign w:val="center"/>
          </w:tcPr>
          <w:p w14:paraId="4433B27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-7.114</w:t>
            </w:r>
          </w:p>
        </w:tc>
        <w:tc>
          <w:tcPr>
            <w:tcW w:w="1400" w:type="dxa"/>
            <w:vAlign w:val="center"/>
          </w:tcPr>
          <w:p w14:paraId="0E52C38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168.62</w:t>
            </w:r>
          </w:p>
        </w:tc>
      </w:tr>
      <w:tr w:rsidR="004A09D7" w:rsidRPr="004A09D7" w14:paraId="4BE58775" w14:textId="77777777" w:rsidTr="001514BC">
        <w:tc>
          <w:tcPr>
            <w:tcW w:w="2508" w:type="dxa"/>
            <w:vAlign w:val="center"/>
          </w:tcPr>
          <w:p w14:paraId="4B868CA3" w14:textId="08856FDD"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INR</w:t>
            </w:r>
          </w:p>
        </w:tc>
        <w:tc>
          <w:tcPr>
            <w:tcW w:w="800" w:type="dxa"/>
            <w:vAlign w:val="center"/>
          </w:tcPr>
          <w:p w14:paraId="03CE391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712</w:t>
            </w:r>
          </w:p>
        </w:tc>
        <w:tc>
          <w:tcPr>
            <w:tcW w:w="1400" w:type="dxa"/>
            <w:vAlign w:val="center"/>
          </w:tcPr>
          <w:p w14:paraId="1970BBB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7.772</w:t>
            </w:r>
          </w:p>
        </w:tc>
        <w:tc>
          <w:tcPr>
            <w:tcW w:w="1400" w:type="dxa"/>
            <w:vAlign w:val="center"/>
          </w:tcPr>
          <w:p w14:paraId="14DF04B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9.859</w:t>
            </w:r>
          </w:p>
        </w:tc>
        <w:tc>
          <w:tcPr>
            <w:tcW w:w="1400" w:type="dxa"/>
            <w:vAlign w:val="center"/>
          </w:tcPr>
          <w:p w14:paraId="4AC4F67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-41.23</w:t>
            </w:r>
          </w:p>
        </w:tc>
        <w:tc>
          <w:tcPr>
            <w:tcW w:w="1400" w:type="dxa"/>
            <w:vAlign w:val="center"/>
          </w:tcPr>
          <w:p w14:paraId="0130E59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77.617</w:t>
            </w:r>
          </w:p>
        </w:tc>
      </w:tr>
      <w:tr w:rsidR="004A09D7" w:rsidRPr="004A09D7" w14:paraId="3F645D28" w14:textId="77777777" w:rsidTr="001514BC">
        <w:tc>
          <w:tcPr>
            <w:tcW w:w="2508" w:type="dxa"/>
            <w:vAlign w:val="center"/>
          </w:tcPr>
          <w:p w14:paraId="3F8A8206" w14:textId="02212A76"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GEDU</w:t>
            </w:r>
          </w:p>
        </w:tc>
        <w:tc>
          <w:tcPr>
            <w:tcW w:w="800" w:type="dxa"/>
            <w:vAlign w:val="center"/>
          </w:tcPr>
          <w:p w14:paraId="3FAB026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624</w:t>
            </w:r>
          </w:p>
        </w:tc>
        <w:tc>
          <w:tcPr>
            <w:tcW w:w="1400" w:type="dxa"/>
            <w:vAlign w:val="center"/>
          </w:tcPr>
          <w:p w14:paraId="1E88550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4.258</w:t>
            </w:r>
          </w:p>
        </w:tc>
        <w:tc>
          <w:tcPr>
            <w:tcW w:w="1400" w:type="dxa"/>
            <w:vAlign w:val="center"/>
          </w:tcPr>
          <w:p w14:paraId="6F31DF8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1.34</w:t>
            </w:r>
          </w:p>
        </w:tc>
        <w:tc>
          <w:tcPr>
            <w:tcW w:w="1400" w:type="dxa"/>
            <w:vAlign w:val="center"/>
          </w:tcPr>
          <w:p w14:paraId="675A1C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.243</w:t>
            </w:r>
          </w:p>
        </w:tc>
        <w:tc>
          <w:tcPr>
            <w:tcW w:w="1400" w:type="dxa"/>
            <w:vAlign w:val="center"/>
          </w:tcPr>
          <w:p w14:paraId="0700A91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9.897</w:t>
            </w:r>
          </w:p>
        </w:tc>
      </w:tr>
    </w:tbl>
    <w:p w14:paraId="08569409" w14:textId="77777777" w:rsidR="004A09D7" w:rsidRPr="004A09D7" w:rsidRDefault="004A09D7" w:rsidP="004A09D7">
      <w:pPr>
        <w:pStyle w:val="Body"/>
        <w:spacing w:after="0"/>
        <w:rPr>
          <w:rFonts w:ascii="Arial" w:hAnsi="Arial" w:cs="Arial"/>
          <w:b/>
          <w:bCs/>
          <w:iCs/>
          <w:sz w:val="18"/>
        </w:rPr>
      </w:pPr>
    </w:p>
    <w:p w14:paraId="7C79E233" w14:textId="77777777" w:rsidR="004A09D7" w:rsidRPr="004A09D7" w:rsidRDefault="004A09D7" w:rsidP="004A09D7">
      <w:pPr>
        <w:pStyle w:val="Body"/>
        <w:spacing w:after="0"/>
        <w:rPr>
          <w:rFonts w:ascii="Arial" w:hAnsi="Arial" w:cs="Arial"/>
          <w:b/>
          <w:bCs/>
          <w:iCs/>
          <w:sz w:val="18"/>
        </w:rPr>
      </w:pPr>
    </w:p>
    <w:p w14:paraId="582DD670" w14:textId="77777777" w:rsidR="004A09D7" w:rsidRPr="004A09D7" w:rsidRDefault="004A09D7" w:rsidP="004A09D7">
      <w:pPr>
        <w:pStyle w:val="Body"/>
        <w:spacing w:after="0"/>
        <w:rPr>
          <w:rFonts w:ascii="Arial" w:hAnsi="Arial" w:cs="Arial"/>
          <w:b/>
          <w:bCs/>
          <w:iCs/>
          <w:sz w:val="18"/>
        </w:rPr>
      </w:pPr>
    </w:p>
    <w:p w14:paraId="71886685" w14:textId="01D9F52C"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Tables </w:t>
      </w:r>
      <w:r w:rsidR="00FD38B8">
        <w:rPr>
          <w:rFonts w:ascii="Arial" w:hAnsi="Arial" w:cs="Arial"/>
          <w:iCs/>
          <w:sz w:val="18"/>
        </w:rPr>
        <w:t>3</w:t>
      </w:r>
      <w:r w:rsidRPr="004A09D7">
        <w:rPr>
          <w:rFonts w:ascii="Arial" w:hAnsi="Arial" w:cs="Arial"/>
          <w:iCs/>
          <w:sz w:val="18"/>
        </w:rPr>
        <w:t xml:space="preserve"> and </w:t>
      </w:r>
      <w:r w:rsidR="00FD38B8">
        <w:rPr>
          <w:rFonts w:ascii="Arial" w:hAnsi="Arial" w:cs="Arial"/>
          <w:iCs/>
          <w:sz w:val="18"/>
        </w:rPr>
        <w:t>4</w:t>
      </w:r>
      <w:r w:rsidRPr="004A09D7">
        <w:rPr>
          <w:rFonts w:ascii="Arial" w:hAnsi="Arial" w:cs="Arial"/>
          <w:iCs/>
          <w:sz w:val="18"/>
        </w:rPr>
        <w:t xml:space="preserve"> provide complementary evidence on the relationship between various governance indicators and economic growth among upper-middle-income economies from 1996 to 2023. Table </w:t>
      </w:r>
      <w:r w:rsidR="00FD38B8">
        <w:rPr>
          <w:rFonts w:ascii="Arial" w:hAnsi="Arial" w:cs="Arial"/>
          <w:iCs/>
          <w:sz w:val="18"/>
        </w:rPr>
        <w:t xml:space="preserve">3 </w:t>
      </w:r>
      <w:r w:rsidRPr="004A09D7">
        <w:rPr>
          <w:rFonts w:ascii="Arial" w:hAnsi="Arial" w:cs="Arial"/>
          <w:iCs/>
          <w:sz w:val="18"/>
        </w:rPr>
        <w:t>reports the results from static panel estimates (pooled OLS, fixed effects, random effects), while Table 5 presents findings from dynamic panel models using GMM and system GMM estimators, which control endogeneity and persistence.</w:t>
      </w:r>
    </w:p>
    <w:p w14:paraId="18D1E25F" w14:textId="4025DBB5"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 </w:t>
      </w:r>
      <w:r w:rsidR="00FD38B8">
        <w:rPr>
          <w:rFonts w:ascii="Arial" w:hAnsi="Arial" w:cs="Arial"/>
          <w:iCs/>
          <w:sz w:val="18"/>
        </w:rPr>
        <w:t>3</w:t>
      </w:r>
      <w:r w:rsidRPr="004A09D7">
        <w:rPr>
          <w:rFonts w:ascii="Arial" w:hAnsi="Arial" w:cs="Arial"/>
          <w:iCs/>
          <w:sz w:val="18"/>
        </w:rPr>
        <w:t xml:space="preserve"> shows that some governance dimensions have a statistically significant association with economic growth in the static framework. Government Effectiveness (GE) is consistently significant and positive across all models. This suggests that improvements in the quality of public services, bureaucracy, and policy implementation foster economic growth in upper-middle-income economies. This outcome aligns with Mehanna et al. (2010) and Medina-Moral &amp; Montes-Gan (2018), who also documented a strong positive role of effective institutions.</w:t>
      </w:r>
    </w:p>
    <w:p w14:paraId="46E6194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results of Rule of Law (RL) are mixed across the models. It emerges as negative and significant under pooled OLS (-0.257), but positive and significant under FE (0.185) and RE (0.167). This contrast suggests that once country-specific heterogeneity is controlled for (FE/RE), rule of law indeed strengthens growth. This supports the arguments of Acemoglu, Johnson &amp; Robinson (2005) that institutional enforcement is critical for long-run growth.</w:t>
      </w:r>
    </w:p>
    <w:p w14:paraId="0464663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Political stability is positive and significant in OLS (0.153) but loses significance in FE and RE models. This implies that stability matters at the cross-country level, but its within-country effect is limited. In line with Uddin et al. (2017), stability may promote growth, but its effect depends on institutional maturity.</w:t>
      </w:r>
    </w:p>
    <w:p w14:paraId="1AB18F37"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RQ is positive and significant under FE/RE but not in OLS, suggesting that sound regulation promotes private sector growth once country heterogeneity is accounted for. Similar conclusions were drawn by Jalilian, Kirkpatrick &amp; Parker (2006) regarding regulation and development.</w:t>
      </w:r>
    </w:p>
    <w:p w14:paraId="28CFFEE8"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Both Control of Corruption (CC) and Voice and Accountability (VA) are statistically insignificant across models. This may imply that, in upper-middle-income countries, corruption control and accountability </w:t>
      </w:r>
      <w:r w:rsidRPr="004A09D7">
        <w:rPr>
          <w:rFonts w:ascii="Arial" w:hAnsi="Arial" w:cs="Arial"/>
          <w:iCs/>
          <w:sz w:val="18"/>
        </w:rPr>
        <w:lastRenderedPageBreak/>
        <w:t>mechanisms are not yet robust enough to drive measurable growth impacts. This diverges from findings in developed economies (Zhang et al., 2020), where CC and VA were strong growth drivers.</w:t>
      </w:r>
    </w:p>
    <w:p w14:paraId="4E72E08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Macroeconomic controls behave as expected. Inflation and interest rates have positive and significant coefficients in FE and RE, which are counterintuitive but may reflect controlled inflationary environments or financial deepening in these economies. Education expenditure remains insignificant, indicating that the growth effects of education spending are long-term and not immediately visible. The significant Hausman statistic (p=0.000) confirms that the FE model is more appropriate than RE, as regressors are correlated with unobserved effects.</w:t>
      </w:r>
    </w:p>
    <w:p w14:paraId="281C5125" w14:textId="77777777" w:rsidR="004A09D7" w:rsidRPr="004A09D7" w:rsidRDefault="004A09D7" w:rsidP="004A09D7">
      <w:pPr>
        <w:pStyle w:val="Body"/>
        <w:spacing w:after="0"/>
        <w:rPr>
          <w:rFonts w:ascii="Arial" w:hAnsi="Arial" w:cs="Arial"/>
          <w:iCs/>
          <w:sz w:val="18"/>
        </w:rPr>
      </w:pPr>
    </w:p>
    <w:p w14:paraId="6161B176" w14:textId="77777777" w:rsidR="004A09D7" w:rsidRPr="004A09D7" w:rsidRDefault="004A09D7" w:rsidP="004A09D7">
      <w:pPr>
        <w:pStyle w:val="Body"/>
        <w:spacing w:after="0"/>
        <w:rPr>
          <w:rFonts w:ascii="Arial" w:hAnsi="Arial" w:cs="Arial"/>
          <w:b/>
          <w:bCs/>
          <w:iCs/>
          <w:sz w:val="18"/>
        </w:rPr>
      </w:pPr>
    </w:p>
    <w:p w14:paraId="7BE1DE78" w14:textId="1478DAA5"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Table </w:t>
      </w:r>
      <w:r w:rsidR="00FD38B8">
        <w:rPr>
          <w:rFonts w:ascii="Arial" w:hAnsi="Arial" w:cs="Arial"/>
          <w:b/>
          <w:bCs/>
          <w:iCs/>
          <w:sz w:val="18"/>
        </w:rPr>
        <w:t>3</w:t>
      </w:r>
      <w:r w:rsidRPr="004A09D7">
        <w:rPr>
          <w:rFonts w:ascii="Arial" w:hAnsi="Arial" w:cs="Arial"/>
          <w:b/>
          <w:bCs/>
          <w:iCs/>
          <w:sz w:val="18"/>
        </w:rPr>
        <w:t>. Impact of Governance on Economic Growth: Estimates from Static Panel Models</w:t>
      </w:r>
    </w:p>
    <w:tbl>
      <w:tblPr>
        <w:tblStyle w:val="TableGrid1"/>
        <w:tblW w:w="0" w:type="auto"/>
        <w:tblInd w:w="0" w:type="dxa"/>
        <w:tblLook w:val="04A0" w:firstRow="1" w:lastRow="0" w:firstColumn="1" w:lastColumn="0" w:noHBand="0" w:noVBand="1"/>
      </w:tblPr>
      <w:tblGrid>
        <w:gridCol w:w="2109"/>
        <w:gridCol w:w="2105"/>
        <w:gridCol w:w="2105"/>
        <w:gridCol w:w="2105"/>
      </w:tblGrid>
      <w:tr w:rsidR="004A09D7" w:rsidRPr="004A09D7" w14:paraId="366E9DD4" w14:textId="77777777" w:rsidTr="001514BC">
        <w:tc>
          <w:tcPr>
            <w:tcW w:w="2337" w:type="dxa"/>
            <w:tcBorders>
              <w:top w:val="single" w:sz="4" w:space="0" w:color="auto"/>
              <w:left w:val="single" w:sz="4" w:space="0" w:color="auto"/>
              <w:bottom w:val="single" w:sz="4" w:space="0" w:color="auto"/>
              <w:right w:val="single" w:sz="4" w:space="0" w:color="auto"/>
            </w:tcBorders>
            <w:vAlign w:val="center"/>
            <w:hideMark/>
          </w:tcPr>
          <w:p w14:paraId="2320A34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 xml:space="preserve">Dependent variable: </w:t>
            </w:r>
            <w:proofErr w:type="spellStart"/>
            <w:r w:rsidRPr="004A09D7">
              <w:rPr>
                <w:rFonts w:ascii="Arial" w:eastAsia="Times New Roman" w:hAnsi="Arial" w:cs="Arial"/>
                <w:iCs/>
                <w:sz w:val="18"/>
              </w:rPr>
              <w:t>logGDP</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36255E4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Pooled OLS</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29E57B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Fixed effect</w:t>
            </w:r>
          </w:p>
        </w:tc>
        <w:tc>
          <w:tcPr>
            <w:tcW w:w="2338" w:type="dxa"/>
            <w:tcBorders>
              <w:top w:val="single" w:sz="4" w:space="0" w:color="auto"/>
              <w:left w:val="single" w:sz="4" w:space="0" w:color="auto"/>
              <w:bottom w:val="single" w:sz="4" w:space="0" w:color="auto"/>
              <w:right w:val="single" w:sz="4" w:space="0" w:color="auto"/>
            </w:tcBorders>
            <w:vAlign w:val="center"/>
            <w:hideMark/>
          </w:tcPr>
          <w:p w14:paraId="1F98728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Random effect</w:t>
            </w:r>
          </w:p>
        </w:tc>
      </w:tr>
      <w:tr w:rsidR="004A09D7" w:rsidRPr="004A09D7" w14:paraId="2D07FB10"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CA9A05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CC</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279DB2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0.0696</w:t>
            </w:r>
          </w:p>
          <w:p w14:paraId="37D9A9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452469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-0.0350</w:t>
            </w:r>
          </w:p>
          <w:p w14:paraId="536B54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7990C1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-0.0273</w:t>
            </w:r>
          </w:p>
          <w:p w14:paraId="25724D3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(-0.51)</w:t>
            </w:r>
          </w:p>
        </w:tc>
      </w:tr>
      <w:tr w:rsidR="004A09D7" w:rsidRPr="004A09D7" w14:paraId="64BDF3F1"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637596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46C731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0.500***</w:t>
            </w:r>
          </w:p>
          <w:p w14:paraId="3F87400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2B0E34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0.163***</w:t>
            </w:r>
          </w:p>
          <w:p w14:paraId="170BE93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(3.20)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EFFD02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0.172***</w:t>
            </w:r>
          </w:p>
          <w:p w14:paraId="76E25AA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(3.40)</w:t>
            </w:r>
          </w:p>
        </w:tc>
      </w:tr>
      <w:tr w:rsidR="004A09D7" w:rsidRPr="004A09D7" w14:paraId="7928CC89"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664454D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PS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678AD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0.153***</w:t>
            </w:r>
          </w:p>
          <w:p w14:paraId="3E9974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(4.01)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01A906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-0.0287</w:t>
            </w:r>
          </w:p>
          <w:p w14:paraId="3621DD0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(-0.95)</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C298F8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-0.0221</w:t>
            </w:r>
          </w:p>
          <w:p w14:paraId="71738E5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(-0.75)</w:t>
            </w:r>
          </w:p>
        </w:tc>
      </w:tr>
      <w:tr w:rsidR="004A09D7" w:rsidRPr="004A09D7" w14:paraId="531D9311"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D3BACA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RQ</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55BCA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0.0170</w:t>
            </w:r>
          </w:p>
          <w:p w14:paraId="0D68FB9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(0.29)</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F87B8E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0.121**</w:t>
            </w:r>
          </w:p>
          <w:p w14:paraId="64CC42F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(2.28)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B32C70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0.113**</w:t>
            </w:r>
          </w:p>
          <w:p w14:paraId="360AB06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(2.24)</w:t>
            </w:r>
          </w:p>
        </w:tc>
      </w:tr>
      <w:tr w:rsidR="004A09D7" w:rsidRPr="004A09D7" w14:paraId="12B12A17"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309FC97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RL</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D01CA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-0.257***</w:t>
            </w:r>
          </w:p>
          <w:p w14:paraId="48B7082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(-3.30)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0C0A34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0.185***</w:t>
            </w:r>
          </w:p>
          <w:p w14:paraId="6945805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A5A3CE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0.167**</w:t>
            </w:r>
          </w:p>
          <w:p w14:paraId="62DEA6C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(2.43)</w:t>
            </w:r>
          </w:p>
        </w:tc>
      </w:tr>
      <w:tr w:rsidR="004A09D7" w:rsidRPr="004A09D7" w14:paraId="01C192A0"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31A8694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VA</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4DAC59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-0.0495</w:t>
            </w:r>
          </w:p>
          <w:p w14:paraId="77DB300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(-1.37)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ECE9E9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-0.00467</w:t>
            </w:r>
          </w:p>
          <w:p w14:paraId="47A7C2A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(-0.09)</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9E4584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-0.0104</w:t>
            </w:r>
          </w:p>
          <w:p w14:paraId="181BE8E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(-0.23)</w:t>
            </w:r>
          </w:p>
        </w:tc>
      </w:tr>
      <w:tr w:rsidR="004A09D7" w:rsidRPr="004A09D7" w14:paraId="245FE738"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7A22AEE8" w14:textId="56B8575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GGDP</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9CEFA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-0.00629**</w:t>
            </w:r>
          </w:p>
          <w:p w14:paraId="62A1828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(-1.98)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91A22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0.00430**</w:t>
            </w:r>
          </w:p>
          <w:p w14:paraId="2AA0F8F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(-2.58)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C7B33E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0.00435***</w:t>
            </w:r>
          </w:p>
          <w:p w14:paraId="1D82220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(-2.60)</w:t>
            </w:r>
          </w:p>
        </w:tc>
      </w:tr>
      <w:tr w:rsidR="004A09D7" w:rsidRPr="004A09D7" w14:paraId="0523BEA5"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0E361B2D" w14:textId="78FC1559"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INF</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CBD39E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0.00567***</w:t>
            </w:r>
          </w:p>
          <w:p w14:paraId="12643C3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A672B9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0.00850***</w:t>
            </w:r>
          </w:p>
          <w:p w14:paraId="5300851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(-7.05)</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5FDBA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0.00841***</w:t>
            </w:r>
          </w:p>
          <w:p w14:paraId="01D5E0F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(-6.97)</w:t>
            </w:r>
          </w:p>
        </w:tc>
      </w:tr>
      <w:tr w:rsidR="004A09D7" w:rsidRPr="004A09D7" w14:paraId="6C2B8E08"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75576CB" w14:textId="79CBE89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INR</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4BB12B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0.00203</w:t>
            </w:r>
          </w:p>
          <w:p w14:paraId="07C9E4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746490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0.0128***</w:t>
            </w:r>
          </w:p>
          <w:p w14:paraId="0E6DAE2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(-9.03)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0BFB32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0.0126***</w:t>
            </w:r>
          </w:p>
          <w:p w14:paraId="754827C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(-8.99)</w:t>
            </w:r>
          </w:p>
        </w:tc>
      </w:tr>
      <w:tr w:rsidR="004A09D7" w:rsidRPr="004A09D7" w14:paraId="4C32A976"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5DF4A956" w14:textId="1EA80E2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GEDU</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E113F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0.000193</w:t>
            </w:r>
          </w:p>
          <w:p w14:paraId="46C79E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3089D1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0.0160</w:t>
            </w:r>
          </w:p>
          <w:p w14:paraId="2C7E5E4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6F4BAF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0.0148</w:t>
            </w:r>
          </w:p>
          <w:p w14:paraId="75B56D6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(-1.20)</w:t>
            </w:r>
          </w:p>
        </w:tc>
      </w:tr>
      <w:tr w:rsidR="004A09D7" w:rsidRPr="004A09D7" w14:paraId="17E4022E"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E9BF1C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cons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F96437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8.579***</w:t>
            </w:r>
          </w:p>
          <w:p w14:paraId="52A6271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(115.21)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B3633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8.780***</w:t>
            </w:r>
          </w:p>
          <w:p w14:paraId="7952A06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(140.98)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1E00E8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8.779***</w:t>
            </w:r>
          </w:p>
          <w:p w14:paraId="3B99D74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(97.83)</w:t>
            </w:r>
          </w:p>
        </w:tc>
      </w:tr>
      <w:tr w:rsidR="004A09D7" w:rsidRPr="004A09D7" w14:paraId="6BD3AF9B"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134543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Hausman test</w:t>
            </w: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6F8F699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r>
      <w:tr w:rsidR="004A09D7" w:rsidRPr="004A09D7" w14:paraId="6E8B4878" w14:textId="77777777" w:rsidTr="001514BC">
        <w:tc>
          <w:tcPr>
            <w:tcW w:w="2337" w:type="dxa"/>
            <w:tcBorders>
              <w:top w:val="single" w:sz="4" w:space="0" w:color="auto"/>
              <w:left w:val="single" w:sz="4" w:space="0" w:color="auto"/>
              <w:bottom w:val="single" w:sz="4" w:space="0" w:color="auto"/>
              <w:right w:val="single" w:sz="4" w:space="0" w:color="auto"/>
            </w:tcBorders>
            <w:vAlign w:val="center"/>
            <w:hideMark/>
          </w:tcPr>
          <w:p w14:paraId="3304CC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N</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A136EE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69339C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91CBCF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r>
    </w:tbl>
    <w:p w14:paraId="70680885" w14:textId="77777777" w:rsidR="004A09D7" w:rsidRPr="004A09D7" w:rsidRDefault="004A09D7" w:rsidP="004A09D7">
      <w:pPr>
        <w:pStyle w:val="Body"/>
        <w:spacing w:after="0"/>
        <w:rPr>
          <w:rFonts w:ascii="Arial" w:hAnsi="Arial" w:cs="Arial"/>
          <w:b/>
          <w:bCs/>
          <w:iCs/>
          <w:sz w:val="18"/>
        </w:rPr>
      </w:pPr>
    </w:p>
    <w:p w14:paraId="621BC9EE" w14:textId="77777777" w:rsidR="004A09D7" w:rsidRPr="004A09D7" w:rsidRDefault="004A09D7" w:rsidP="004A09D7">
      <w:pPr>
        <w:pStyle w:val="Body"/>
        <w:spacing w:after="0"/>
        <w:rPr>
          <w:rFonts w:ascii="Arial" w:hAnsi="Arial" w:cs="Arial"/>
          <w:b/>
          <w:bCs/>
          <w:iCs/>
          <w:sz w:val="18"/>
        </w:rPr>
      </w:pPr>
      <w:r w:rsidRPr="004A09D7">
        <w:rPr>
          <w:rFonts w:ascii="Arial" w:hAnsi="Arial" w:cs="Arial"/>
          <w:iCs/>
          <w:noProof/>
          <w:sz w:val="18"/>
        </w:rPr>
        <w:drawing>
          <wp:inline distT="0" distB="0" distL="0" distR="0" wp14:anchorId="7BF77264" wp14:editId="5EEC58BE">
            <wp:extent cx="5943600" cy="270510"/>
            <wp:effectExtent l="0" t="0" r="0" b="0"/>
            <wp:docPr id="49356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0510"/>
                    </a:xfrm>
                    <a:prstGeom prst="rect">
                      <a:avLst/>
                    </a:prstGeom>
                    <a:noFill/>
                    <a:ln>
                      <a:noFill/>
                    </a:ln>
                  </pic:spPr>
                </pic:pic>
              </a:graphicData>
            </a:graphic>
          </wp:inline>
        </w:drawing>
      </w:r>
    </w:p>
    <w:p w14:paraId="5F1E93CA" w14:textId="18E00A55"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Dynamic estimators address endogeneity and persistence in growth. Table </w:t>
      </w:r>
      <w:r w:rsidR="00FD38B8">
        <w:rPr>
          <w:rFonts w:ascii="Arial" w:hAnsi="Arial" w:cs="Arial"/>
          <w:iCs/>
          <w:sz w:val="18"/>
        </w:rPr>
        <w:t>4</w:t>
      </w:r>
      <w:r w:rsidRPr="004A09D7">
        <w:rPr>
          <w:rFonts w:ascii="Arial" w:hAnsi="Arial" w:cs="Arial"/>
          <w:iCs/>
          <w:sz w:val="18"/>
        </w:rPr>
        <w:t xml:space="preserve"> shows Lagged GDP (</w:t>
      </w:r>
      <w:proofErr w:type="spellStart"/>
      <w:r w:rsidRPr="004A09D7">
        <w:rPr>
          <w:rFonts w:ascii="Arial" w:hAnsi="Arial" w:cs="Arial"/>
          <w:iCs/>
          <w:sz w:val="18"/>
        </w:rPr>
        <w:t>logGDP</w:t>
      </w:r>
      <w:proofErr w:type="spellEnd"/>
      <w:r w:rsidRPr="004A09D7">
        <w:rPr>
          <w:rFonts w:ascii="Arial" w:hAnsi="Arial" w:cs="Arial"/>
          <w:iCs/>
          <w:sz w:val="18"/>
        </w:rPr>
        <w:t xml:space="preserve">) is strongly positive (≈1.0, highly significant) which confirms growth persistence. It means today’s income is strongly dependent on past income. This is consistent with endogenous growth theory (Blundell &amp; Bond, 1998). Surprisingly, none of the governance indicators remain statistically significant once endogeneity and growth persistence are accounted for using the GMM and system GMM estimators. This suggests that the apparent governance-growth nexus observed in static models may, in part, reflect cross-country differences rather than within-country causal effects. The finding implies that governance reforms in upper-middle-income economies may operate indirectly or through long-run institutional channels, rather than generating immediate growth effects detectable in short-run panel regressions. This interpretation is consistent with </w:t>
      </w:r>
      <w:proofErr w:type="gramStart"/>
      <w:r w:rsidRPr="004A09D7">
        <w:rPr>
          <w:rFonts w:ascii="Arial" w:hAnsi="Arial" w:cs="Arial"/>
          <w:iCs/>
          <w:sz w:val="18"/>
        </w:rPr>
        <w:t>the broader</w:t>
      </w:r>
      <w:proofErr w:type="gramEnd"/>
      <w:r w:rsidRPr="004A09D7">
        <w:rPr>
          <w:rFonts w:ascii="Arial" w:hAnsi="Arial" w:cs="Arial"/>
          <w:iCs/>
          <w:sz w:val="18"/>
        </w:rPr>
        <w:t xml:space="preserve"> literature, which highlights that institutional variables are often highly persistent and may be poorly captured by short-term dynamic estimators. Arellano and Bond (1991) cautioned that governance-type variables can produce weak </w:t>
      </w:r>
      <w:r w:rsidRPr="004A09D7">
        <w:rPr>
          <w:rFonts w:ascii="Arial" w:hAnsi="Arial" w:cs="Arial"/>
          <w:iCs/>
          <w:sz w:val="18"/>
        </w:rPr>
        <w:lastRenderedPageBreak/>
        <w:t>instrumentation problems when they are slow-moving, which reduces their significance in GMM frameworks. Blundell and Bond (1998) further emphasized that while system GMM improves efficiency, persistent variables like governance indicators may still exhibit muted short-term effects. Taken together, the dynamic results underscore that although governance quality matters for long-term development, its measurable impact on year-to-year income dynamics in upper-middle-income economies is limited, requiring sustained reforms for effects to materialize.</w:t>
      </w:r>
    </w:p>
    <w:p w14:paraId="33188E8A"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To validate the robustness of the dynamic panel estimations, both the </w:t>
      </w:r>
      <w:proofErr w:type="spellStart"/>
      <w:r w:rsidRPr="004A09D7">
        <w:rPr>
          <w:rFonts w:ascii="Arial" w:hAnsi="Arial" w:cs="Arial"/>
          <w:iCs/>
          <w:sz w:val="18"/>
        </w:rPr>
        <w:t>Sargan</w:t>
      </w:r>
      <w:proofErr w:type="spellEnd"/>
      <w:r w:rsidRPr="004A09D7">
        <w:rPr>
          <w:rFonts w:ascii="Arial" w:hAnsi="Arial" w:cs="Arial"/>
          <w:iCs/>
          <w:sz w:val="18"/>
        </w:rPr>
        <w:t xml:space="preserve"> test of over-identifying restrictions and the Arellano–Bond </w:t>
      </w:r>
      <w:proofErr w:type="gramStart"/>
      <w:r w:rsidRPr="004A09D7">
        <w:rPr>
          <w:rFonts w:ascii="Arial" w:hAnsi="Arial" w:cs="Arial"/>
          <w:iCs/>
          <w:sz w:val="18"/>
        </w:rPr>
        <w:t>AR(</w:t>
      </w:r>
      <w:proofErr w:type="gramEnd"/>
      <w:r w:rsidRPr="004A09D7">
        <w:rPr>
          <w:rFonts w:ascii="Arial" w:hAnsi="Arial" w:cs="Arial"/>
          <w:iCs/>
          <w:sz w:val="18"/>
        </w:rPr>
        <w:t>2) test for second-order serial correlation were conducted.</w:t>
      </w:r>
    </w:p>
    <w:p w14:paraId="50211C0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results of the </w:t>
      </w:r>
      <w:proofErr w:type="spellStart"/>
      <w:r w:rsidRPr="004A09D7">
        <w:rPr>
          <w:rFonts w:ascii="Arial" w:hAnsi="Arial" w:cs="Arial"/>
          <w:iCs/>
          <w:sz w:val="18"/>
        </w:rPr>
        <w:t>Sargan</w:t>
      </w:r>
      <w:proofErr w:type="spellEnd"/>
      <w:r w:rsidRPr="004A09D7">
        <w:rPr>
          <w:rFonts w:ascii="Arial" w:hAnsi="Arial" w:cs="Arial"/>
          <w:iCs/>
          <w:sz w:val="18"/>
        </w:rPr>
        <w:t xml:space="preserve"> test reveal statistically significant values in both the difference GMM (χ² = 76.84, p = 0.000) and system GMM (χ² = 19.94, p = 0.000) models. While this might indicate potential issues with instrument validity, the Hansen test, which is considered more reliable in finite samples, provides non-rejection of the null hypothesis for both estimators (difference GMM: χ² = 20.57, p = 0.361; system GMM: χ² = 5.89, p = 0.053). These results suggest that the instruments employed are valid and not correlated with the error term.</w:t>
      </w:r>
    </w:p>
    <w:p w14:paraId="39962939" w14:textId="482B8309"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Furthermore, the Arellano–Bond </w:t>
      </w:r>
      <w:proofErr w:type="gramStart"/>
      <w:r w:rsidRPr="004A09D7">
        <w:rPr>
          <w:rFonts w:ascii="Arial" w:hAnsi="Arial" w:cs="Arial"/>
          <w:iCs/>
          <w:sz w:val="18"/>
        </w:rPr>
        <w:t>AR(</w:t>
      </w:r>
      <w:proofErr w:type="gramEnd"/>
      <w:r w:rsidRPr="004A09D7">
        <w:rPr>
          <w:rFonts w:ascii="Arial" w:hAnsi="Arial" w:cs="Arial"/>
          <w:iCs/>
          <w:sz w:val="18"/>
        </w:rPr>
        <w:t>2) test fails to reject the null hypothesis of no second-order serial correlation in both specifications (difference GMM: z = −0.95, p = 0.343; system GMM: z = −0.87, p = 0.382). This confirms that the model does not suffer from autocorrelation problems at the second order, thereby supporting the consistency of the GMM estimators.</w:t>
      </w:r>
      <w:r w:rsidR="00EA7DD2">
        <w:rPr>
          <w:rFonts w:ascii="Arial" w:hAnsi="Arial" w:cs="Arial"/>
          <w:iCs/>
          <w:sz w:val="18"/>
        </w:rPr>
        <w:t xml:space="preserve"> </w:t>
      </w:r>
      <w:r w:rsidR="00EA7DD2">
        <w:rPr>
          <w:rFonts w:ascii="Arial" w:hAnsi="Arial" w:cs="Arial"/>
          <w:iCs/>
          <w:color w:val="FF0000"/>
          <w:sz w:val="18"/>
        </w:rPr>
        <w:t>I</w:t>
      </w:r>
      <w:r w:rsidR="00EA7DD2" w:rsidRPr="00EA7DD2">
        <w:rPr>
          <w:rFonts w:ascii="Arial" w:hAnsi="Arial" w:cs="Arial"/>
          <w:iCs/>
          <w:color w:val="FF0000"/>
          <w:sz w:val="18"/>
        </w:rPr>
        <w:t xml:space="preserve"> </w:t>
      </w:r>
      <w:proofErr w:type="gramStart"/>
      <w:r w:rsidR="00EA7DD2" w:rsidRPr="00EA7DD2">
        <w:rPr>
          <w:rFonts w:ascii="Arial" w:hAnsi="Arial" w:cs="Arial"/>
          <w:iCs/>
          <w:color w:val="FF0000"/>
          <w:sz w:val="18"/>
        </w:rPr>
        <w:t>report</w:t>
      </w:r>
      <w:proofErr w:type="gramEnd"/>
      <w:r w:rsidR="00EA7DD2" w:rsidRPr="00EA7DD2">
        <w:rPr>
          <w:rFonts w:ascii="Arial" w:hAnsi="Arial" w:cs="Arial"/>
          <w:iCs/>
          <w:color w:val="FF0000"/>
          <w:sz w:val="18"/>
        </w:rPr>
        <w:t xml:space="preserve"> both the </w:t>
      </w:r>
      <w:proofErr w:type="spellStart"/>
      <w:r w:rsidR="00EA7DD2" w:rsidRPr="00EA7DD2">
        <w:rPr>
          <w:rFonts w:ascii="Arial" w:hAnsi="Arial" w:cs="Arial"/>
          <w:iCs/>
          <w:color w:val="FF0000"/>
          <w:sz w:val="18"/>
        </w:rPr>
        <w:t>Sargan</w:t>
      </w:r>
      <w:proofErr w:type="spellEnd"/>
      <w:r w:rsidR="00EA7DD2" w:rsidRPr="00EA7DD2">
        <w:rPr>
          <w:rFonts w:ascii="Arial" w:hAnsi="Arial" w:cs="Arial"/>
          <w:iCs/>
          <w:color w:val="FF0000"/>
          <w:sz w:val="18"/>
        </w:rPr>
        <w:t xml:space="preserve"> test of overidentifying restrictions and the robust Hansen J test. In </w:t>
      </w:r>
      <w:r w:rsidR="00EA7DD2">
        <w:rPr>
          <w:rFonts w:ascii="Arial" w:hAnsi="Arial" w:cs="Arial"/>
          <w:iCs/>
          <w:color w:val="FF0000"/>
          <w:sz w:val="18"/>
        </w:rPr>
        <w:t>my</w:t>
      </w:r>
      <w:r w:rsidR="00EA7DD2" w:rsidRPr="00EA7DD2">
        <w:rPr>
          <w:rFonts w:ascii="Arial" w:hAnsi="Arial" w:cs="Arial"/>
          <w:iCs/>
          <w:color w:val="FF0000"/>
          <w:sz w:val="18"/>
        </w:rPr>
        <w:t xml:space="preserve"> estimat</w:t>
      </w:r>
      <w:r w:rsidR="00EA7DD2">
        <w:rPr>
          <w:rFonts w:ascii="Arial" w:hAnsi="Arial" w:cs="Arial"/>
          <w:iCs/>
          <w:color w:val="FF0000"/>
          <w:sz w:val="18"/>
        </w:rPr>
        <w:t>ion</w:t>
      </w:r>
      <w:r w:rsidR="00EA7DD2" w:rsidRPr="00EA7DD2">
        <w:rPr>
          <w:rFonts w:ascii="Arial" w:hAnsi="Arial" w:cs="Arial"/>
          <w:iCs/>
          <w:color w:val="FF0000"/>
          <w:sz w:val="18"/>
        </w:rPr>
        <w:t xml:space="preserve">, </w:t>
      </w:r>
      <w:proofErr w:type="spellStart"/>
      <w:r w:rsidR="00EA7DD2" w:rsidRPr="00EA7DD2">
        <w:rPr>
          <w:rFonts w:ascii="Arial" w:hAnsi="Arial" w:cs="Arial"/>
          <w:iCs/>
          <w:color w:val="FF0000"/>
          <w:sz w:val="18"/>
        </w:rPr>
        <w:t>Sarga</w:t>
      </w:r>
      <w:r w:rsidR="00EA7DD2">
        <w:rPr>
          <w:rFonts w:ascii="Arial" w:hAnsi="Arial" w:cs="Arial"/>
          <w:iCs/>
          <w:color w:val="FF0000"/>
          <w:sz w:val="18"/>
        </w:rPr>
        <w:t>n</w:t>
      </w:r>
      <w:proofErr w:type="spellEnd"/>
      <w:r w:rsidR="00EA7DD2">
        <w:rPr>
          <w:rFonts w:ascii="Arial" w:hAnsi="Arial" w:cs="Arial"/>
          <w:iCs/>
          <w:color w:val="FF0000"/>
          <w:sz w:val="18"/>
        </w:rPr>
        <w:t xml:space="preserve"> test</w:t>
      </w:r>
      <w:r w:rsidR="00EA7DD2" w:rsidRPr="00EA7DD2">
        <w:rPr>
          <w:rFonts w:ascii="Arial" w:hAnsi="Arial" w:cs="Arial"/>
          <w:iCs/>
          <w:color w:val="FF0000"/>
          <w:sz w:val="18"/>
        </w:rPr>
        <w:t xml:space="preserve"> </w:t>
      </w:r>
      <w:proofErr w:type="gramStart"/>
      <w:r w:rsidR="00EA7DD2" w:rsidRPr="00EA7DD2">
        <w:rPr>
          <w:rFonts w:ascii="Arial" w:hAnsi="Arial" w:cs="Arial"/>
          <w:iCs/>
          <w:color w:val="FF0000"/>
          <w:sz w:val="18"/>
        </w:rPr>
        <w:t>rejects in</w:t>
      </w:r>
      <w:proofErr w:type="gramEnd"/>
      <w:r w:rsidR="00EA7DD2" w:rsidRPr="00EA7DD2">
        <w:rPr>
          <w:rFonts w:ascii="Arial" w:hAnsi="Arial" w:cs="Arial"/>
          <w:iCs/>
          <w:color w:val="FF0000"/>
          <w:sz w:val="18"/>
        </w:rPr>
        <w:t xml:space="preserve"> both Difference GMM and System GMM</w:t>
      </w:r>
      <w:r w:rsidR="00EA7DD2">
        <w:rPr>
          <w:rFonts w:ascii="Arial" w:hAnsi="Arial" w:cs="Arial"/>
          <w:iCs/>
          <w:color w:val="FF0000"/>
          <w:sz w:val="18"/>
        </w:rPr>
        <w:t xml:space="preserve">. By contrast, </w:t>
      </w:r>
      <w:proofErr w:type="gramStart"/>
      <w:r w:rsidR="00EA7DD2" w:rsidRPr="00EA7DD2">
        <w:rPr>
          <w:rFonts w:ascii="Arial" w:hAnsi="Arial" w:cs="Arial"/>
          <w:iCs/>
          <w:color w:val="FF0000"/>
          <w:sz w:val="18"/>
        </w:rPr>
        <w:t>the Hansen</w:t>
      </w:r>
      <w:proofErr w:type="gramEnd"/>
      <w:r w:rsidR="00EA7DD2" w:rsidRPr="00EA7DD2">
        <w:rPr>
          <w:rFonts w:ascii="Arial" w:hAnsi="Arial" w:cs="Arial"/>
          <w:iCs/>
          <w:color w:val="FF0000"/>
          <w:sz w:val="18"/>
        </w:rPr>
        <w:t xml:space="preserve"> J does not</w:t>
      </w:r>
      <w:r w:rsidR="00EA7DD2">
        <w:rPr>
          <w:rFonts w:ascii="Arial" w:hAnsi="Arial" w:cs="Arial"/>
          <w:iCs/>
          <w:color w:val="FF0000"/>
          <w:sz w:val="18"/>
        </w:rPr>
        <w:t xml:space="preserve"> reject it</w:t>
      </w:r>
      <w:r w:rsidR="00EA7DD2" w:rsidRPr="00EA7DD2">
        <w:rPr>
          <w:rFonts w:ascii="Arial" w:hAnsi="Arial" w:cs="Arial"/>
          <w:iCs/>
          <w:color w:val="FF0000"/>
          <w:sz w:val="18"/>
        </w:rPr>
        <w:t xml:space="preserve">. This inconsistency is common in finite samples. The </w:t>
      </w:r>
      <w:proofErr w:type="spellStart"/>
      <w:r w:rsidR="00EA7DD2" w:rsidRPr="00EA7DD2">
        <w:rPr>
          <w:rFonts w:ascii="Arial" w:hAnsi="Arial" w:cs="Arial"/>
          <w:iCs/>
          <w:color w:val="FF0000"/>
          <w:sz w:val="18"/>
        </w:rPr>
        <w:t>Sargan</w:t>
      </w:r>
      <w:proofErr w:type="spellEnd"/>
      <w:r w:rsidR="00EA7DD2" w:rsidRPr="00EA7DD2">
        <w:rPr>
          <w:rFonts w:ascii="Arial" w:hAnsi="Arial" w:cs="Arial"/>
          <w:iCs/>
          <w:color w:val="FF0000"/>
          <w:sz w:val="18"/>
        </w:rPr>
        <w:t xml:space="preserve"> test assumes </w:t>
      </w:r>
      <w:proofErr w:type="spellStart"/>
      <w:r w:rsidR="00EA7DD2" w:rsidRPr="00EA7DD2">
        <w:rPr>
          <w:rFonts w:ascii="Arial" w:hAnsi="Arial" w:cs="Arial"/>
          <w:iCs/>
          <w:color w:val="FF0000"/>
          <w:sz w:val="18"/>
        </w:rPr>
        <w:t>homoskedastic</w:t>
      </w:r>
      <w:proofErr w:type="spellEnd"/>
      <w:r w:rsidR="00EA7DD2" w:rsidRPr="00EA7DD2">
        <w:rPr>
          <w:rFonts w:ascii="Arial" w:hAnsi="Arial" w:cs="Arial"/>
          <w:iCs/>
          <w:color w:val="FF0000"/>
          <w:sz w:val="18"/>
        </w:rPr>
        <w:t xml:space="preserve"> errors and often over-rejects when errors are heteroskedastic or autocorrelated. The Hansen J test is robust under these conditions and is therefore preferred. We rely on Hansen for instrument validity. The </w:t>
      </w:r>
      <w:proofErr w:type="gramStart"/>
      <w:r w:rsidR="00EA7DD2" w:rsidRPr="00EA7DD2">
        <w:rPr>
          <w:rFonts w:ascii="Arial" w:hAnsi="Arial" w:cs="Arial"/>
          <w:iCs/>
          <w:color w:val="FF0000"/>
          <w:sz w:val="18"/>
        </w:rPr>
        <w:t>AR(</w:t>
      </w:r>
      <w:proofErr w:type="gramEnd"/>
      <w:r w:rsidR="00EA7DD2" w:rsidRPr="00EA7DD2">
        <w:rPr>
          <w:rFonts w:ascii="Arial" w:hAnsi="Arial" w:cs="Arial"/>
          <w:iCs/>
          <w:color w:val="FF0000"/>
          <w:sz w:val="18"/>
        </w:rPr>
        <w:t>2) test also fails to reject, which further supports the specification.</w:t>
      </w:r>
      <w:r w:rsidR="00813633">
        <w:rPr>
          <w:rFonts w:ascii="Arial" w:hAnsi="Arial" w:cs="Arial"/>
          <w:iCs/>
          <w:color w:val="FF0000"/>
          <w:sz w:val="18"/>
        </w:rPr>
        <w:t xml:space="preserve"> On the other hand, t</w:t>
      </w:r>
      <w:r w:rsidR="00813633" w:rsidRPr="00813633">
        <w:rPr>
          <w:rFonts w:ascii="Arial" w:hAnsi="Arial" w:cs="Arial"/>
          <w:iCs/>
          <w:color w:val="FF0000"/>
          <w:sz w:val="18"/>
        </w:rPr>
        <w:t xml:space="preserve">o avoid instrument proliferation, </w:t>
      </w:r>
      <w:r w:rsidR="00813633">
        <w:rPr>
          <w:rFonts w:ascii="Arial" w:hAnsi="Arial" w:cs="Arial"/>
          <w:iCs/>
          <w:color w:val="FF0000"/>
          <w:sz w:val="18"/>
        </w:rPr>
        <w:t xml:space="preserve">I have </w:t>
      </w:r>
      <w:r w:rsidR="00813633" w:rsidRPr="00813633">
        <w:rPr>
          <w:rFonts w:ascii="Arial" w:hAnsi="Arial" w:cs="Arial"/>
          <w:iCs/>
          <w:color w:val="FF0000"/>
          <w:sz w:val="18"/>
        </w:rPr>
        <w:t xml:space="preserve">restricted the lag depth of GMM-style instruments. </w:t>
      </w:r>
      <w:r w:rsidR="00813633">
        <w:rPr>
          <w:rFonts w:ascii="Arial" w:hAnsi="Arial" w:cs="Arial"/>
          <w:iCs/>
          <w:color w:val="FF0000"/>
          <w:sz w:val="18"/>
        </w:rPr>
        <w:t>I</w:t>
      </w:r>
      <w:r w:rsidR="00813633" w:rsidRPr="00813633">
        <w:rPr>
          <w:rFonts w:ascii="Arial" w:hAnsi="Arial" w:cs="Arial"/>
          <w:iCs/>
          <w:color w:val="FF0000"/>
          <w:sz w:val="18"/>
        </w:rPr>
        <w:t xml:space="preserve"> also collapsed the instrument matrix. This ensured that the number of instruments stayed below the number of countries (30) in all specifications. Reporting instrument counts makes the strategy transparent. In practice, </w:t>
      </w:r>
      <w:proofErr w:type="spellStart"/>
      <w:r w:rsidR="00813633" w:rsidRPr="00813633">
        <w:rPr>
          <w:rFonts w:ascii="Arial" w:hAnsi="Arial" w:cs="Arial"/>
          <w:iCs/>
          <w:color w:val="FF0000"/>
          <w:sz w:val="18"/>
        </w:rPr>
        <w:t>Sargan</w:t>
      </w:r>
      <w:proofErr w:type="spellEnd"/>
      <w:r w:rsidR="00813633" w:rsidRPr="00813633">
        <w:rPr>
          <w:rFonts w:ascii="Arial" w:hAnsi="Arial" w:cs="Arial"/>
          <w:iCs/>
          <w:color w:val="FF0000"/>
          <w:sz w:val="18"/>
        </w:rPr>
        <w:t xml:space="preserve"> rejection reflects finite-sample bias and its </w:t>
      </w:r>
      <w:proofErr w:type="spellStart"/>
      <w:r w:rsidR="00813633" w:rsidRPr="00813633">
        <w:rPr>
          <w:rFonts w:ascii="Arial" w:hAnsi="Arial" w:cs="Arial"/>
          <w:iCs/>
          <w:color w:val="FF0000"/>
          <w:sz w:val="18"/>
        </w:rPr>
        <w:t>homoskedastic</w:t>
      </w:r>
      <w:proofErr w:type="spellEnd"/>
      <w:r w:rsidR="00813633" w:rsidRPr="00813633">
        <w:rPr>
          <w:rFonts w:ascii="Arial" w:hAnsi="Arial" w:cs="Arial"/>
          <w:iCs/>
          <w:color w:val="FF0000"/>
          <w:sz w:val="18"/>
        </w:rPr>
        <w:t xml:space="preserve"> assumption. Hansen and </w:t>
      </w:r>
      <w:proofErr w:type="gramStart"/>
      <w:r w:rsidR="00813633" w:rsidRPr="00813633">
        <w:rPr>
          <w:rFonts w:ascii="Arial" w:hAnsi="Arial" w:cs="Arial"/>
          <w:iCs/>
          <w:color w:val="FF0000"/>
          <w:sz w:val="18"/>
        </w:rPr>
        <w:t>AR(</w:t>
      </w:r>
      <w:proofErr w:type="gramEnd"/>
      <w:r w:rsidR="00813633" w:rsidRPr="00813633">
        <w:rPr>
          <w:rFonts w:ascii="Arial" w:hAnsi="Arial" w:cs="Arial"/>
          <w:iCs/>
          <w:color w:val="FF0000"/>
          <w:sz w:val="18"/>
        </w:rPr>
        <w:t>2) results are more reliable. Together they support the validity of our instruments and the consistency of the model.</w:t>
      </w:r>
    </w:p>
    <w:p w14:paraId="50B83431" w14:textId="77777777" w:rsidR="004A09D7" w:rsidRPr="004A09D7" w:rsidRDefault="004A09D7" w:rsidP="004A09D7">
      <w:pPr>
        <w:pStyle w:val="Body"/>
        <w:spacing w:after="0"/>
        <w:rPr>
          <w:rFonts w:ascii="Arial" w:hAnsi="Arial" w:cs="Arial"/>
          <w:iCs/>
          <w:sz w:val="18"/>
        </w:rPr>
      </w:pPr>
    </w:p>
    <w:p w14:paraId="163F5118" w14:textId="77777777" w:rsidR="004A09D7" w:rsidRPr="004A09D7" w:rsidRDefault="004A09D7" w:rsidP="004A09D7">
      <w:pPr>
        <w:pStyle w:val="Body"/>
        <w:spacing w:after="0"/>
        <w:rPr>
          <w:rFonts w:ascii="Arial" w:hAnsi="Arial" w:cs="Arial"/>
          <w:b/>
          <w:bCs/>
          <w:iCs/>
          <w:sz w:val="18"/>
        </w:rPr>
      </w:pPr>
    </w:p>
    <w:p w14:paraId="1616BAB2" w14:textId="446ADD12"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Table </w:t>
      </w:r>
      <w:r w:rsidR="00FD38B8">
        <w:rPr>
          <w:rFonts w:ascii="Arial" w:hAnsi="Arial" w:cs="Arial"/>
          <w:b/>
          <w:bCs/>
          <w:iCs/>
          <w:sz w:val="18"/>
        </w:rPr>
        <w:t>4</w:t>
      </w:r>
      <w:r w:rsidRPr="004A09D7">
        <w:rPr>
          <w:rFonts w:ascii="Arial" w:hAnsi="Arial" w:cs="Arial"/>
          <w:b/>
          <w:bCs/>
          <w:iCs/>
          <w:sz w:val="18"/>
        </w:rPr>
        <w:t>. Governance Indicators and Economic Growth: GMM and System GMM Estimation Results</w:t>
      </w:r>
    </w:p>
    <w:tbl>
      <w:tblPr>
        <w:tblStyle w:val="TableGrid1"/>
        <w:tblW w:w="5000" w:type="pct"/>
        <w:tblInd w:w="0" w:type="dxa"/>
        <w:tblLook w:val="04A0" w:firstRow="1" w:lastRow="0" w:firstColumn="1" w:lastColumn="0" w:noHBand="0" w:noVBand="1"/>
      </w:tblPr>
      <w:tblGrid>
        <w:gridCol w:w="2808"/>
        <w:gridCol w:w="2807"/>
        <w:gridCol w:w="2809"/>
      </w:tblGrid>
      <w:tr w:rsidR="004A09D7" w:rsidRPr="004A09D7" w14:paraId="41357D5D" w14:textId="77777777" w:rsidTr="001514BC">
        <w:tc>
          <w:tcPr>
            <w:tcW w:w="1666" w:type="pct"/>
            <w:vAlign w:val="center"/>
          </w:tcPr>
          <w:p w14:paraId="010502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Dependent variable: GDP per capita</w:t>
            </w:r>
          </w:p>
        </w:tc>
        <w:tc>
          <w:tcPr>
            <w:tcW w:w="1666" w:type="pct"/>
            <w:vAlign w:val="center"/>
          </w:tcPr>
          <w:p w14:paraId="383424F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GMM</w:t>
            </w:r>
          </w:p>
        </w:tc>
        <w:tc>
          <w:tcPr>
            <w:tcW w:w="1667" w:type="pct"/>
            <w:vAlign w:val="center"/>
          </w:tcPr>
          <w:p w14:paraId="437A2DA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System GMM</w:t>
            </w:r>
          </w:p>
        </w:tc>
      </w:tr>
      <w:tr w:rsidR="004A09D7" w:rsidRPr="004A09D7" w14:paraId="50D98219" w14:textId="77777777" w:rsidTr="001514BC">
        <w:trPr>
          <w:trHeight w:val="368"/>
        </w:trPr>
        <w:tc>
          <w:tcPr>
            <w:tcW w:w="1666" w:type="pct"/>
            <w:vAlign w:val="center"/>
          </w:tcPr>
          <w:p w14:paraId="3C1726A3" w14:textId="3CD317D1" w:rsidR="004A09D7" w:rsidRPr="004A09D7" w:rsidRDefault="00DD5892" w:rsidP="001514BC">
            <w:pPr>
              <w:pStyle w:val="Body"/>
              <w:spacing w:after="0"/>
              <w:jc w:val="center"/>
              <w:rPr>
                <w:rFonts w:ascii="Arial" w:eastAsia="Times New Roman" w:hAnsi="Arial" w:cs="Arial"/>
                <w:iCs/>
                <w:sz w:val="18"/>
              </w:rPr>
            </w:pPr>
            <m:oMathPara>
              <m:oMath>
                <m:sSub>
                  <m:sSubPr>
                    <m:ctrlPr>
                      <w:rPr>
                        <w:rFonts w:ascii="Cambria Math" w:eastAsia="Times New Roman" w:hAnsi="Cambria Math" w:cs="Arial"/>
                        <w:i/>
                        <w:iCs/>
                        <w:sz w:val="18"/>
                      </w:rPr>
                    </m:ctrlPr>
                  </m:sSubPr>
                  <m:e>
                    <m:r>
                      <w:rPr>
                        <w:rFonts w:ascii="Cambria Math" w:hAnsi="Cambria Math" w:cs="Arial"/>
                        <w:sz w:val="18"/>
                      </w:rPr>
                      <m:t>log(GDP)</m:t>
                    </m:r>
                  </m:e>
                  <m:sub>
                    <m:r>
                      <w:rPr>
                        <w:rFonts w:ascii="Cambria Math" w:hAnsi="Cambria Math" w:cs="Arial"/>
                        <w:sz w:val="18"/>
                      </w:rPr>
                      <m:t xml:space="preserve">it-1  </m:t>
                    </m:r>
                  </m:sub>
                </m:sSub>
              </m:oMath>
            </m:oMathPara>
          </w:p>
        </w:tc>
        <w:tc>
          <w:tcPr>
            <w:tcW w:w="1666" w:type="pct"/>
            <w:vAlign w:val="center"/>
          </w:tcPr>
          <w:p w14:paraId="5F320A7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1.010***</w:t>
            </w:r>
          </w:p>
          <w:p w14:paraId="1DC93DF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(313.04)</w:t>
            </w:r>
          </w:p>
        </w:tc>
        <w:tc>
          <w:tcPr>
            <w:tcW w:w="1667" w:type="pct"/>
            <w:vAlign w:val="center"/>
          </w:tcPr>
          <w:p w14:paraId="4C5C1848" w14:textId="1DD628D4"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1.004***</w:t>
            </w:r>
          </w:p>
          <w:p w14:paraId="041C684A" w14:textId="7534CE6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(140.56)</w:t>
            </w:r>
          </w:p>
        </w:tc>
      </w:tr>
      <w:tr w:rsidR="004A09D7" w:rsidRPr="004A09D7" w14:paraId="4B789B9A" w14:textId="77777777" w:rsidTr="001514BC">
        <w:trPr>
          <w:trHeight w:val="516"/>
        </w:trPr>
        <w:tc>
          <w:tcPr>
            <w:tcW w:w="1666" w:type="pct"/>
            <w:vAlign w:val="center"/>
          </w:tcPr>
          <w:p w14:paraId="4360E12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CC</w:t>
            </w:r>
          </w:p>
        </w:tc>
        <w:tc>
          <w:tcPr>
            <w:tcW w:w="1666" w:type="pct"/>
            <w:vAlign w:val="center"/>
          </w:tcPr>
          <w:p w14:paraId="76AAA0D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0.000698</w:t>
            </w:r>
          </w:p>
          <w:p w14:paraId="0AE8FB6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(0.25)</w:t>
            </w:r>
          </w:p>
        </w:tc>
        <w:tc>
          <w:tcPr>
            <w:tcW w:w="1667" w:type="pct"/>
            <w:vAlign w:val="center"/>
          </w:tcPr>
          <w:p w14:paraId="270140D0" w14:textId="05DF178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0.00221</w:t>
            </w:r>
          </w:p>
          <w:p w14:paraId="76202D59" w14:textId="5A96E5F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(0.44)</w:t>
            </w:r>
          </w:p>
        </w:tc>
      </w:tr>
      <w:tr w:rsidR="004A09D7" w:rsidRPr="004A09D7" w14:paraId="5C3F1685" w14:textId="77777777" w:rsidTr="001514BC">
        <w:trPr>
          <w:trHeight w:val="516"/>
        </w:trPr>
        <w:tc>
          <w:tcPr>
            <w:tcW w:w="1666" w:type="pct"/>
            <w:vAlign w:val="center"/>
          </w:tcPr>
          <w:p w14:paraId="6CF64EE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w:t>
            </w:r>
          </w:p>
        </w:tc>
        <w:tc>
          <w:tcPr>
            <w:tcW w:w="1666" w:type="pct"/>
            <w:vAlign w:val="center"/>
          </w:tcPr>
          <w:p w14:paraId="403E5D6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-0.00286</w:t>
            </w:r>
          </w:p>
          <w:p w14:paraId="3391C53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(-0.75)</w:t>
            </w:r>
          </w:p>
        </w:tc>
        <w:tc>
          <w:tcPr>
            <w:tcW w:w="1667" w:type="pct"/>
            <w:vAlign w:val="center"/>
          </w:tcPr>
          <w:p w14:paraId="7A484498" w14:textId="6A0136F4"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-0.00267</w:t>
            </w:r>
          </w:p>
          <w:p w14:paraId="417C6518" w14:textId="4BA62301"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(-0.50)</w:t>
            </w:r>
          </w:p>
        </w:tc>
      </w:tr>
      <w:tr w:rsidR="004A09D7" w:rsidRPr="004A09D7" w14:paraId="435E669D" w14:textId="77777777" w:rsidTr="001514BC">
        <w:trPr>
          <w:trHeight w:val="516"/>
        </w:trPr>
        <w:tc>
          <w:tcPr>
            <w:tcW w:w="1666" w:type="pct"/>
            <w:vAlign w:val="center"/>
          </w:tcPr>
          <w:p w14:paraId="7B4FCD1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PS</w:t>
            </w:r>
          </w:p>
        </w:tc>
        <w:tc>
          <w:tcPr>
            <w:tcW w:w="1666" w:type="pct"/>
            <w:vAlign w:val="center"/>
          </w:tcPr>
          <w:p w14:paraId="3F7D122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-0.00511</w:t>
            </w:r>
          </w:p>
          <w:p w14:paraId="3C2F223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(-1.47)</w:t>
            </w:r>
          </w:p>
        </w:tc>
        <w:tc>
          <w:tcPr>
            <w:tcW w:w="1667" w:type="pct"/>
            <w:vAlign w:val="center"/>
          </w:tcPr>
          <w:p w14:paraId="773F5D1B" w14:textId="3F99BA93"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-0.00114</w:t>
            </w:r>
          </w:p>
          <w:p w14:paraId="54E3D48F" w14:textId="079771B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(-0.37)</w:t>
            </w:r>
          </w:p>
        </w:tc>
      </w:tr>
      <w:tr w:rsidR="004A09D7" w:rsidRPr="004A09D7" w14:paraId="54934644" w14:textId="77777777" w:rsidTr="001514BC">
        <w:trPr>
          <w:trHeight w:val="516"/>
        </w:trPr>
        <w:tc>
          <w:tcPr>
            <w:tcW w:w="1666" w:type="pct"/>
            <w:vAlign w:val="center"/>
          </w:tcPr>
          <w:p w14:paraId="179367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RQ</w:t>
            </w:r>
          </w:p>
        </w:tc>
        <w:tc>
          <w:tcPr>
            <w:tcW w:w="1666" w:type="pct"/>
            <w:vAlign w:val="center"/>
          </w:tcPr>
          <w:p w14:paraId="0D00455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0.00331</w:t>
            </w:r>
          </w:p>
          <w:p w14:paraId="5E70AF2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(0.08)</w:t>
            </w:r>
          </w:p>
        </w:tc>
        <w:tc>
          <w:tcPr>
            <w:tcW w:w="1667" w:type="pct"/>
            <w:vAlign w:val="center"/>
          </w:tcPr>
          <w:p w14:paraId="23FBA2B7" w14:textId="57F365C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0.00186</w:t>
            </w:r>
          </w:p>
          <w:p w14:paraId="079E0786" w14:textId="2F9488B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(0.46)</w:t>
            </w:r>
          </w:p>
        </w:tc>
      </w:tr>
      <w:tr w:rsidR="004A09D7" w:rsidRPr="004A09D7" w14:paraId="039D8C97" w14:textId="77777777" w:rsidTr="001514BC">
        <w:trPr>
          <w:trHeight w:val="516"/>
        </w:trPr>
        <w:tc>
          <w:tcPr>
            <w:tcW w:w="1666" w:type="pct"/>
            <w:vAlign w:val="center"/>
          </w:tcPr>
          <w:p w14:paraId="30FB8D7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RL</w:t>
            </w:r>
          </w:p>
        </w:tc>
        <w:tc>
          <w:tcPr>
            <w:tcW w:w="1666" w:type="pct"/>
            <w:vAlign w:val="center"/>
          </w:tcPr>
          <w:p w14:paraId="3D6E3A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0.000135</w:t>
            </w:r>
          </w:p>
          <w:p w14:paraId="48B7388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(0.14)</w:t>
            </w:r>
          </w:p>
        </w:tc>
        <w:tc>
          <w:tcPr>
            <w:tcW w:w="1667" w:type="pct"/>
            <w:vAlign w:val="center"/>
          </w:tcPr>
          <w:p w14:paraId="37FF96E3" w14:textId="704EA7C1"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0.000994</w:t>
            </w:r>
          </w:p>
          <w:p w14:paraId="634C5D20" w14:textId="148682F0"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(0.18)</w:t>
            </w:r>
          </w:p>
        </w:tc>
      </w:tr>
      <w:tr w:rsidR="004A09D7" w:rsidRPr="004A09D7" w14:paraId="6E5C3FF5" w14:textId="77777777" w:rsidTr="001514BC">
        <w:trPr>
          <w:trHeight w:val="516"/>
        </w:trPr>
        <w:tc>
          <w:tcPr>
            <w:tcW w:w="1666" w:type="pct"/>
            <w:vAlign w:val="center"/>
          </w:tcPr>
          <w:p w14:paraId="4E2728E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VA</w:t>
            </w:r>
          </w:p>
        </w:tc>
        <w:tc>
          <w:tcPr>
            <w:tcW w:w="1666" w:type="pct"/>
            <w:vAlign w:val="center"/>
          </w:tcPr>
          <w:p w14:paraId="4F596B5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-0.00471</w:t>
            </w:r>
          </w:p>
          <w:p w14:paraId="34784D7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(0.28)</w:t>
            </w:r>
          </w:p>
        </w:tc>
        <w:tc>
          <w:tcPr>
            <w:tcW w:w="1667" w:type="pct"/>
            <w:vAlign w:val="center"/>
          </w:tcPr>
          <w:p w14:paraId="063F9131" w14:textId="20D9861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-0.00239</w:t>
            </w:r>
          </w:p>
          <w:p w14:paraId="4FB1AD90" w14:textId="53F9AAE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(-0.68)</w:t>
            </w:r>
          </w:p>
        </w:tc>
      </w:tr>
      <w:tr w:rsidR="004A09D7" w:rsidRPr="004A09D7" w14:paraId="5D624AF6" w14:textId="77777777" w:rsidTr="001514BC">
        <w:trPr>
          <w:trHeight w:val="516"/>
        </w:trPr>
        <w:tc>
          <w:tcPr>
            <w:tcW w:w="1666" w:type="pct"/>
            <w:vAlign w:val="center"/>
          </w:tcPr>
          <w:p w14:paraId="640E8141" w14:textId="2C1EEAAA"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GGDP</w:t>
            </w:r>
          </w:p>
        </w:tc>
        <w:tc>
          <w:tcPr>
            <w:tcW w:w="1666" w:type="pct"/>
            <w:vAlign w:val="center"/>
          </w:tcPr>
          <w:p w14:paraId="1B81802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0.0100***</w:t>
            </w:r>
          </w:p>
          <w:p w14:paraId="521DC3A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(102.44)</w:t>
            </w:r>
          </w:p>
        </w:tc>
        <w:tc>
          <w:tcPr>
            <w:tcW w:w="1667" w:type="pct"/>
            <w:vAlign w:val="center"/>
          </w:tcPr>
          <w:p w14:paraId="5AE726E5" w14:textId="391D47D0"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0.00974***</w:t>
            </w:r>
          </w:p>
          <w:p w14:paraId="70CC017F" w14:textId="3358B80D"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(84.27)</w:t>
            </w:r>
          </w:p>
        </w:tc>
      </w:tr>
      <w:tr w:rsidR="004A09D7" w:rsidRPr="004A09D7" w14:paraId="311D142C" w14:textId="77777777" w:rsidTr="001514BC">
        <w:trPr>
          <w:trHeight w:val="516"/>
        </w:trPr>
        <w:tc>
          <w:tcPr>
            <w:tcW w:w="1666" w:type="pct"/>
            <w:vAlign w:val="center"/>
          </w:tcPr>
          <w:p w14:paraId="1EE2B9E1" w14:textId="6D999B1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INF</w:t>
            </w:r>
          </w:p>
        </w:tc>
        <w:tc>
          <w:tcPr>
            <w:tcW w:w="1666" w:type="pct"/>
            <w:vAlign w:val="center"/>
          </w:tcPr>
          <w:p w14:paraId="7B019F89"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-0.00000720</w:t>
            </w:r>
          </w:p>
          <w:p w14:paraId="085250D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(-0.06)</w:t>
            </w:r>
          </w:p>
        </w:tc>
        <w:tc>
          <w:tcPr>
            <w:tcW w:w="1667" w:type="pct"/>
            <w:vAlign w:val="center"/>
          </w:tcPr>
          <w:p w14:paraId="58F33A1D" w14:textId="22BCF3B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-0.0000317</w:t>
            </w:r>
          </w:p>
          <w:p w14:paraId="060962B9" w14:textId="45DE78DD"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(-0.20)</w:t>
            </w:r>
          </w:p>
        </w:tc>
      </w:tr>
      <w:tr w:rsidR="004A09D7" w:rsidRPr="004A09D7" w14:paraId="049906A5" w14:textId="77777777" w:rsidTr="001514BC">
        <w:trPr>
          <w:trHeight w:val="516"/>
        </w:trPr>
        <w:tc>
          <w:tcPr>
            <w:tcW w:w="1666" w:type="pct"/>
            <w:vAlign w:val="center"/>
          </w:tcPr>
          <w:p w14:paraId="439BA1F8" w14:textId="02CF97C5"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lastRenderedPageBreak/>
              <w:t>INR</w:t>
            </w:r>
          </w:p>
        </w:tc>
        <w:tc>
          <w:tcPr>
            <w:tcW w:w="1666" w:type="pct"/>
            <w:vAlign w:val="center"/>
          </w:tcPr>
          <w:p w14:paraId="44A1739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-0.0000119</w:t>
            </w:r>
          </w:p>
          <w:p w14:paraId="00DC798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(-0.17)</w:t>
            </w:r>
          </w:p>
        </w:tc>
        <w:tc>
          <w:tcPr>
            <w:tcW w:w="1667" w:type="pct"/>
            <w:vAlign w:val="center"/>
          </w:tcPr>
          <w:p w14:paraId="252E9AFD" w14:textId="602286D9"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-0.000133</w:t>
            </w:r>
          </w:p>
          <w:p w14:paraId="07FCB42E" w14:textId="279C17EA"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(-1.09)</w:t>
            </w:r>
          </w:p>
        </w:tc>
      </w:tr>
      <w:tr w:rsidR="004A09D7" w:rsidRPr="004A09D7" w14:paraId="075BD6CA" w14:textId="77777777" w:rsidTr="001514BC">
        <w:trPr>
          <w:trHeight w:val="516"/>
        </w:trPr>
        <w:tc>
          <w:tcPr>
            <w:tcW w:w="1666" w:type="pct"/>
            <w:vAlign w:val="center"/>
          </w:tcPr>
          <w:p w14:paraId="7DA08D11" w14:textId="2A4E20C2"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GEDU</w:t>
            </w:r>
          </w:p>
        </w:tc>
        <w:tc>
          <w:tcPr>
            <w:tcW w:w="1666" w:type="pct"/>
            <w:vAlign w:val="center"/>
          </w:tcPr>
          <w:p w14:paraId="1350B25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-0.00121</w:t>
            </w:r>
          </w:p>
          <w:p w14:paraId="19D55CF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(-1.23)</w:t>
            </w:r>
          </w:p>
        </w:tc>
        <w:tc>
          <w:tcPr>
            <w:tcW w:w="1667" w:type="pct"/>
            <w:vAlign w:val="center"/>
          </w:tcPr>
          <w:p w14:paraId="295B2DAB" w14:textId="124B878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0.000845</w:t>
            </w:r>
          </w:p>
          <w:p w14:paraId="29F3C1BA" w14:textId="769AD95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(0.49)</w:t>
            </w:r>
          </w:p>
        </w:tc>
      </w:tr>
      <w:tr w:rsidR="004A09D7" w:rsidRPr="004A09D7" w14:paraId="6D33DEBE" w14:textId="77777777" w:rsidTr="001514BC">
        <w:trPr>
          <w:trHeight w:val="516"/>
        </w:trPr>
        <w:tc>
          <w:tcPr>
            <w:tcW w:w="1666" w:type="pct"/>
            <w:vAlign w:val="center"/>
          </w:tcPr>
          <w:p w14:paraId="694BAB2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cons</w:t>
            </w:r>
          </w:p>
        </w:tc>
        <w:tc>
          <w:tcPr>
            <w:tcW w:w="1666" w:type="pct"/>
            <w:vAlign w:val="center"/>
          </w:tcPr>
          <w:p w14:paraId="16F27BC5" w14:textId="77777777" w:rsidR="004A09D7" w:rsidRPr="004A09D7" w:rsidRDefault="004A09D7" w:rsidP="001514BC">
            <w:pPr>
              <w:pStyle w:val="Body"/>
              <w:spacing w:after="0"/>
              <w:jc w:val="center"/>
              <w:rPr>
                <w:rFonts w:ascii="Arial" w:eastAsia="Times New Roman" w:hAnsi="Arial" w:cs="Arial"/>
                <w:iCs/>
                <w:sz w:val="18"/>
              </w:rPr>
            </w:pPr>
          </w:p>
        </w:tc>
        <w:tc>
          <w:tcPr>
            <w:tcW w:w="1667" w:type="pct"/>
            <w:vAlign w:val="center"/>
          </w:tcPr>
          <w:p w14:paraId="6F8304AA" w14:textId="2D920C7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-0.0448</w:t>
            </w:r>
          </w:p>
          <w:p w14:paraId="1056CE45" w14:textId="56F5344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(-0.74)</w:t>
            </w:r>
          </w:p>
        </w:tc>
      </w:tr>
      <w:tr w:rsidR="004A09D7" w:rsidRPr="004A09D7" w14:paraId="43620FF9" w14:textId="77777777" w:rsidTr="001514BC">
        <w:tc>
          <w:tcPr>
            <w:tcW w:w="1666" w:type="pct"/>
            <w:vAlign w:val="center"/>
          </w:tcPr>
          <w:p w14:paraId="79F5094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N</w:t>
            </w:r>
          </w:p>
        </w:tc>
        <w:tc>
          <w:tcPr>
            <w:tcW w:w="1666" w:type="pct"/>
            <w:vAlign w:val="center"/>
          </w:tcPr>
          <w:p w14:paraId="48718BC9"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476</w:t>
            </w:r>
          </w:p>
        </w:tc>
        <w:tc>
          <w:tcPr>
            <w:tcW w:w="1667" w:type="pct"/>
            <w:vAlign w:val="center"/>
          </w:tcPr>
          <w:p w14:paraId="470C7144" w14:textId="17E37C1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529</w:t>
            </w:r>
          </w:p>
        </w:tc>
      </w:tr>
      <w:tr w:rsidR="004A09D7" w:rsidRPr="004A09D7" w14:paraId="51D5DF1C" w14:textId="77777777" w:rsidTr="001514BC">
        <w:tc>
          <w:tcPr>
            <w:tcW w:w="1666" w:type="pct"/>
            <w:vAlign w:val="center"/>
          </w:tcPr>
          <w:p w14:paraId="240BAE3B" w14:textId="77777777" w:rsidR="004A09D7" w:rsidRPr="004A09D7" w:rsidRDefault="004A09D7" w:rsidP="001514BC">
            <w:pPr>
              <w:pStyle w:val="Body"/>
              <w:spacing w:after="0"/>
              <w:jc w:val="center"/>
              <w:rPr>
                <w:rFonts w:ascii="Arial" w:eastAsia="Times New Roman" w:hAnsi="Arial" w:cs="Arial"/>
                <w:iCs/>
                <w:sz w:val="18"/>
              </w:rPr>
            </w:pPr>
            <w:proofErr w:type="spellStart"/>
            <w:r w:rsidRPr="004A09D7">
              <w:rPr>
                <w:rFonts w:ascii="Arial" w:eastAsia="Times New Roman" w:hAnsi="Arial" w:cs="Arial"/>
                <w:iCs/>
                <w:sz w:val="18"/>
              </w:rPr>
              <w:t>Sargan</w:t>
            </w:r>
            <w:proofErr w:type="spellEnd"/>
            <w:r w:rsidRPr="004A09D7">
              <w:rPr>
                <w:rFonts w:ascii="Arial" w:eastAsia="Times New Roman" w:hAnsi="Arial" w:cs="Arial"/>
                <w:iCs/>
                <w:sz w:val="18"/>
              </w:rPr>
              <w:t xml:space="preserve"> test</w:t>
            </w:r>
          </w:p>
        </w:tc>
        <w:tc>
          <w:tcPr>
            <w:tcW w:w="1666" w:type="pct"/>
            <w:vAlign w:val="center"/>
          </w:tcPr>
          <w:p w14:paraId="6F27E10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76.84</w:t>
            </w:r>
          </w:p>
          <w:p w14:paraId="67F1A4D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c>
          <w:tcPr>
            <w:tcW w:w="1667" w:type="pct"/>
            <w:vAlign w:val="center"/>
          </w:tcPr>
          <w:p w14:paraId="3C4D7BF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19.94</w:t>
            </w:r>
          </w:p>
          <w:p w14:paraId="039A4F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r>
      <w:tr w:rsidR="004A09D7" w:rsidRPr="004A09D7" w14:paraId="1488DF06" w14:textId="77777777" w:rsidTr="001514BC">
        <w:tc>
          <w:tcPr>
            <w:tcW w:w="1666" w:type="pct"/>
            <w:vAlign w:val="center"/>
          </w:tcPr>
          <w:p w14:paraId="14DD17C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Hansen Test</w:t>
            </w:r>
          </w:p>
        </w:tc>
        <w:tc>
          <w:tcPr>
            <w:tcW w:w="1666" w:type="pct"/>
            <w:vAlign w:val="center"/>
          </w:tcPr>
          <w:p w14:paraId="00E608A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20.57</w:t>
            </w:r>
          </w:p>
          <w:p w14:paraId="13E5F27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0.361</w:t>
            </w:r>
          </w:p>
        </w:tc>
        <w:tc>
          <w:tcPr>
            <w:tcW w:w="1667" w:type="pct"/>
            <w:vAlign w:val="center"/>
          </w:tcPr>
          <w:p w14:paraId="7792866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5.89</w:t>
            </w:r>
          </w:p>
          <w:p w14:paraId="4B3A3ED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0.053</w:t>
            </w:r>
          </w:p>
        </w:tc>
      </w:tr>
      <w:tr w:rsidR="004A09D7" w:rsidRPr="004A09D7" w14:paraId="2D6501AE" w14:textId="77777777" w:rsidTr="001514BC">
        <w:tc>
          <w:tcPr>
            <w:tcW w:w="1666" w:type="pct"/>
            <w:vAlign w:val="center"/>
          </w:tcPr>
          <w:p w14:paraId="61E0AFC3" w14:textId="77777777" w:rsidR="004A09D7" w:rsidRPr="004A09D7" w:rsidRDefault="004A09D7" w:rsidP="001514BC">
            <w:pPr>
              <w:pStyle w:val="Body"/>
              <w:spacing w:after="0"/>
              <w:jc w:val="center"/>
              <w:rPr>
                <w:rFonts w:ascii="Arial" w:eastAsia="Times New Roman" w:hAnsi="Arial" w:cs="Arial"/>
                <w:iCs/>
                <w:sz w:val="18"/>
              </w:rPr>
            </w:pPr>
            <w:proofErr w:type="gramStart"/>
            <w:r w:rsidRPr="004A09D7">
              <w:rPr>
                <w:rFonts w:ascii="Arial" w:eastAsia="Times New Roman" w:hAnsi="Arial" w:cs="Arial"/>
                <w:iCs/>
                <w:sz w:val="18"/>
              </w:rPr>
              <w:t>AR(</w:t>
            </w:r>
            <w:proofErr w:type="gramEnd"/>
            <w:r w:rsidRPr="004A09D7">
              <w:rPr>
                <w:rFonts w:ascii="Arial" w:eastAsia="Times New Roman" w:hAnsi="Arial" w:cs="Arial"/>
                <w:iCs/>
                <w:sz w:val="18"/>
              </w:rPr>
              <w:t>2)</w:t>
            </w:r>
          </w:p>
        </w:tc>
        <w:tc>
          <w:tcPr>
            <w:tcW w:w="1666" w:type="pct"/>
            <w:vAlign w:val="center"/>
          </w:tcPr>
          <w:p w14:paraId="03C3A9B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-0.95</w:t>
            </w:r>
          </w:p>
          <w:p w14:paraId="04530EE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0.343</w:t>
            </w:r>
          </w:p>
        </w:tc>
        <w:tc>
          <w:tcPr>
            <w:tcW w:w="1667" w:type="pct"/>
            <w:vAlign w:val="center"/>
          </w:tcPr>
          <w:p w14:paraId="016F6E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-0.87</w:t>
            </w:r>
          </w:p>
          <w:p w14:paraId="2AF252F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0.382</w:t>
            </w:r>
          </w:p>
        </w:tc>
      </w:tr>
    </w:tbl>
    <w:p w14:paraId="16FE478B" w14:textId="77777777" w:rsidR="004A09D7" w:rsidRPr="004A09D7" w:rsidRDefault="004A09D7" w:rsidP="004A09D7">
      <w:pPr>
        <w:pStyle w:val="Body"/>
        <w:spacing w:after="0"/>
        <w:rPr>
          <w:rFonts w:ascii="Arial" w:hAnsi="Arial" w:cs="Arial"/>
          <w:b/>
          <w:bCs/>
          <w:iCs/>
          <w:sz w:val="18"/>
        </w:rPr>
      </w:pPr>
    </w:p>
    <w:p w14:paraId="340B5ABA" w14:textId="77777777" w:rsidR="004A09D7" w:rsidRPr="004A09D7" w:rsidRDefault="004A09D7" w:rsidP="004A09D7">
      <w:pPr>
        <w:pStyle w:val="Body"/>
        <w:spacing w:after="0"/>
        <w:rPr>
          <w:rFonts w:ascii="Arial" w:hAnsi="Arial" w:cs="Arial"/>
          <w:b/>
          <w:bCs/>
          <w:iCs/>
          <w:sz w:val="18"/>
        </w:rPr>
      </w:pPr>
      <w:r w:rsidRPr="004A09D7">
        <w:rPr>
          <w:rFonts w:ascii="Arial" w:hAnsi="Arial" w:cs="Arial"/>
          <w:iCs/>
          <w:noProof/>
          <w:sz w:val="18"/>
        </w:rPr>
        <w:drawing>
          <wp:inline distT="0" distB="0" distL="0" distR="0" wp14:anchorId="2C1558F3" wp14:editId="4A0239A5">
            <wp:extent cx="5943600" cy="270510"/>
            <wp:effectExtent l="0" t="0" r="0" b="0"/>
            <wp:docPr id="2084890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0510"/>
                    </a:xfrm>
                    <a:prstGeom prst="rect">
                      <a:avLst/>
                    </a:prstGeom>
                    <a:noFill/>
                    <a:ln>
                      <a:noFill/>
                    </a:ln>
                  </pic:spPr>
                </pic:pic>
              </a:graphicData>
            </a:graphic>
          </wp:inline>
        </w:drawing>
      </w:r>
    </w:p>
    <w:p w14:paraId="1BD7E440" w14:textId="77777777" w:rsidR="004A09D7" w:rsidRPr="004A09D7" w:rsidRDefault="004A09D7" w:rsidP="004A09D7">
      <w:pPr>
        <w:pStyle w:val="Body"/>
        <w:spacing w:after="0"/>
        <w:rPr>
          <w:rFonts w:ascii="Arial" w:hAnsi="Arial" w:cs="Arial"/>
          <w:b/>
          <w:bCs/>
          <w:iCs/>
          <w:sz w:val="18"/>
        </w:rPr>
      </w:pPr>
    </w:p>
    <w:p w14:paraId="445C1DD4"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Conclusion:</w:t>
      </w:r>
    </w:p>
    <w:p w14:paraId="1CF118CC" w14:textId="024B1D15"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  This study set out to investigate the impact of governance on economic growth in 30 upper-middle-income economies from 1996 to 2023. Employing a comprehensive analytical framework that included both static (Pooled OLS, Fixed Effects, Random Effects) and dynamic (Difference GMM, System GMM) panel data estimators, the analysis yields nuanced insights into this complex relationship.</w:t>
      </w:r>
    </w:p>
    <w:p w14:paraId="68510839"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Static model estimations reveal a significant positive association between key governance dimensions—specifically, government effectiveness, regulatory quality, and the rule of law—and economic growth. These findings underscore the critical role of sound institutions, effective public service delivery, and a predictable regulatory environment in fostering economic development, aligning with established literature (e.g., Acemoglu et al., 2005; Jalilian et al., 2006).</w:t>
      </w:r>
    </w:p>
    <w:p w14:paraId="07B562CE"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However, the dynamic panel estimations, which robustly account for growth persistence and potential endogeneity, present a more tempered perspective. While a strong persistence effect in economic growth is confirmed, the statistical significance of the governance indicators diminishes. This suggests that the positive correlations observed in static models may partly reflect time-invariant, cross-country differences rather than short-term, causal within-country effects. It indicates that the growth returns from governance improvements are not instantaneous but are likely realized over a longer horizon, as institutional changes permeate the economy gradually.</w:t>
      </w:r>
    </w:p>
    <w:p w14:paraId="549C221F"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key contribution of this study lies in highlighting this temporal dimension of the governance-growth nexus. For policymakers in upper-middle-income economies, the results deliver a crucial message. Governance reforms are a fundamental foundation for long-term, sustainable growth but should not be viewed as a mechanism for quick economic gains. The findings imply that escaping the middle-income trap requires persistent, long-term commitment to strengthening institutions, alongside complementary investments in human capital and innovation. This aligns with broader evidence that successful transitions to high-income status, as seen in countries like South Korea, require decades of consistent institutional strengthening and innovation.</w:t>
      </w:r>
    </w:p>
    <w:p w14:paraId="04D5DC5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A limitation of this study is the potential for weak instrumentation of the slow-moving governance variables in the GMM framework. Future research could explore alternative econometric techniques, incorporate more frequent data, or investigate non-linearities and threshold effects to further unravel the conditions under which governance reforms most effectively translate into tangible growth outcomes. Extending the analysis to compare low-income and high-income countries could also provide a more comprehensive understanding of how the governance-growth relationship evolves across different stages of economic development.</w:t>
      </w:r>
    </w:p>
    <w:p w14:paraId="1B72268F" w14:textId="77777777" w:rsidR="004A09D7" w:rsidRPr="004A09D7" w:rsidRDefault="004A09D7" w:rsidP="004A09D7">
      <w:pPr>
        <w:pStyle w:val="Body"/>
        <w:spacing w:after="0"/>
        <w:rPr>
          <w:rFonts w:ascii="Arial" w:hAnsi="Arial" w:cs="Arial"/>
          <w:b/>
          <w:bCs/>
          <w:iCs/>
          <w:sz w:val="18"/>
        </w:rPr>
      </w:pPr>
    </w:p>
    <w:p w14:paraId="23C81743" w14:textId="77777777" w:rsidR="00315186" w:rsidRDefault="00315186" w:rsidP="00441B6F"/>
    <w:p w14:paraId="2807FF65" w14:textId="77777777" w:rsidR="001514BC" w:rsidRPr="00315186" w:rsidRDefault="001514BC" w:rsidP="00441B6F"/>
    <w:p w14:paraId="5D3730C0" w14:textId="77777777" w:rsidR="001514BC" w:rsidRDefault="001514BC" w:rsidP="001514BC">
      <w:r>
        <w:t>DISCLAIMER</w:t>
      </w:r>
    </w:p>
    <w:p w14:paraId="29561B48" w14:textId="77777777" w:rsidR="001514BC" w:rsidRDefault="001514BC" w:rsidP="001514BC">
      <w:r>
        <w:t>The author confirms that this manuscript is his original work. All analysis was conducted by</w:t>
      </w:r>
    </w:p>
    <w:p w14:paraId="6761515A" w14:textId="388E0AAE" w:rsidR="001514BC" w:rsidRDefault="001514BC" w:rsidP="009D095A">
      <w:pPr>
        <w:jc w:val="both"/>
      </w:pPr>
      <w:proofErr w:type="gramStart"/>
      <w:r>
        <w:t>the</w:t>
      </w:r>
      <w:proofErr w:type="gramEnd"/>
      <w:r>
        <w:t xml:space="preserve"> author </w:t>
      </w:r>
      <w:proofErr w:type="gramStart"/>
      <w:r>
        <w:t>using</w:t>
      </w:r>
      <w:proofErr w:type="gramEnd"/>
      <w:r>
        <w:t xml:space="preserve"> the STATA econometrics software package. No generative artificial</w:t>
      </w:r>
    </w:p>
    <w:p w14:paraId="1B7ACC61" w14:textId="77777777" w:rsidR="001514BC" w:rsidRDefault="001514BC" w:rsidP="001514BC">
      <w:r>
        <w:t>intelligence (AI) technologies were used in the writing, analysis, or interpretation of the</w:t>
      </w:r>
    </w:p>
    <w:p w14:paraId="4E311AD7" w14:textId="50FF612E" w:rsidR="00315186" w:rsidRPr="00315186" w:rsidRDefault="001514BC" w:rsidP="001514BC">
      <w:r>
        <w:t>results presented in this paper.</w:t>
      </w:r>
    </w:p>
    <w:p w14:paraId="4CDF781B" w14:textId="77777777" w:rsidR="00315186" w:rsidRPr="00315186" w:rsidRDefault="00315186" w:rsidP="00441B6F"/>
    <w:p w14:paraId="340F8105" w14:textId="77777777" w:rsidR="00315186" w:rsidRPr="00315186" w:rsidRDefault="00315186" w:rsidP="00441B6F"/>
    <w:p w14:paraId="4ED73EB9" w14:textId="77777777" w:rsidR="002B685A" w:rsidRDefault="002B685A" w:rsidP="00441B6F">
      <w:pPr>
        <w:pStyle w:val="ReferHead"/>
        <w:spacing w:after="0"/>
        <w:jc w:val="both"/>
        <w:rPr>
          <w:rFonts w:ascii="Arial" w:hAnsi="Arial" w:cs="Arial"/>
          <w:b w:val="0"/>
          <w:caps w:val="0"/>
          <w:sz w:val="20"/>
        </w:rPr>
      </w:pPr>
    </w:p>
    <w:p w14:paraId="040E8E9D" w14:textId="77777777" w:rsidR="00685F35" w:rsidRDefault="00685F35" w:rsidP="00441B6F">
      <w:pPr>
        <w:pStyle w:val="ReferHead"/>
        <w:spacing w:after="0"/>
        <w:jc w:val="both"/>
        <w:rPr>
          <w:rFonts w:ascii="Arial" w:hAnsi="Arial" w:cs="Arial"/>
          <w:b w:val="0"/>
          <w:caps w:val="0"/>
          <w:sz w:val="20"/>
        </w:rPr>
      </w:pPr>
    </w:p>
    <w:p w14:paraId="0CD65E0F" w14:textId="77777777" w:rsidR="00685F35" w:rsidRDefault="00685F35" w:rsidP="00685F35">
      <w:pPr>
        <w:pStyle w:val="DefAcrHead"/>
        <w:spacing w:after="0"/>
        <w:jc w:val="both"/>
        <w:rPr>
          <w:rFonts w:ascii="Arial" w:hAnsi="Arial" w:cs="Arial"/>
        </w:rPr>
      </w:pPr>
      <w:r w:rsidRPr="00FB3A86">
        <w:rPr>
          <w:rFonts w:ascii="Arial" w:hAnsi="Arial" w:cs="Arial"/>
        </w:rPr>
        <w:t>Definition</w:t>
      </w:r>
    </w:p>
    <w:p w14:paraId="16E31734" w14:textId="77777777" w:rsidR="00685F35" w:rsidRPr="00387C97" w:rsidRDefault="00685F35" w:rsidP="00685F35">
      <w:pPr>
        <w:pStyle w:val="Body"/>
        <w:spacing w:after="0"/>
        <w:rPr>
          <w:rFonts w:ascii="Arial" w:hAnsi="Arial" w:cs="Arial"/>
          <w:b/>
          <w:bCs/>
        </w:rPr>
      </w:pPr>
      <w:r w:rsidRPr="00FB3A86">
        <w:rPr>
          <w:rFonts w:ascii="Arial" w:hAnsi="Arial" w:cs="Arial"/>
          <w:b/>
        </w:rPr>
        <w:t>Term</w:t>
      </w:r>
      <w:r w:rsidRPr="00FB3A86">
        <w:rPr>
          <w:rFonts w:ascii="Arial" w:hAnsi="Arial" w:cs="Arial"/>
        </w:rPr>
        <w:t xml:space="preserve">: </w:t>
      </w:r>
      <w:r w:rsidRPr="00387C97">
        <w:rPr>
          <w:rFonts w:ascii="Arial" w:hAnsi="Arial" w:cs="Arial"/>
          <w:b/>
          <w:bCs/>
        </w:rPr>
        <w:t>Upper-Middle-Income Countries (World Bank)</w:t>
      </w:r>
    </w:p>
    <w:p w14:paraId="20FDF0BF" w14:textId="77777777" w:rsidR="00685F35" w:rsidRPr="00387C97" w:rsidRDefault="00685F35" w:rsidP="00685F35">
      <w:pPr>
        <w:pStyle w:val="Body"/>
        <w:spacing w:after="0"/>
        <w:rPr>
          <w:rFonts w:ascii="Arial" w:hAnsi="Arial" w:cs="Arial"/>
        </w:rPr>
      </w:pPr>
      <w:r w:rsidRPr="00387C97">
        <w:rPr>
          <w:rFonts w:ascii="Arial" w:hAnsi="Arial" w:cs="Arial"/>
        </w:rPr>
        <w:t>The World Bank classifies the world's economies into four income groups for analytical purposes: low, lower-middle, upper-middle, and high income. This classification is based on a metric called </w:t>
      </w:r>
      <w:r w:rsidRPr="00387C97">
        <w:rPr>
          <w:rFonts w:ascii="Arial" w:hAnsi="Arial" w:cs="Arial"/>
          <w:b/>
          <w:bCs/>
        </w:rPr>
        <w:t>Gross National Income (GNI) per capita</w:t>
      </w:r>
      <w:r w:rsidRPr="00387C97">
        <w:rPr>
          <w:rFonts w:ascii="Arial" w:hAnsi="Arial" w:cs="Arial"/>
        </w:rPr>
        <w:t>, calculated using the </w:t>
      </w:r>
      <w:r w:rsidRPr="00387C97">
        <w:rPr>
          <w:rFonts w:ascii="Arial" w:hAnsi="Arial" w:cs="Arial"/>
          <w:b/>
          <w:bCs/>
        </w:rPr>
        <w:t>Atlas method</w:t>
      </w:r>
      <w:r w:rsidRPr="00387C97">
        <w:rPr>
          <w:rFonts w:ascii="Arial" w:hAnsi="Arial" w:cs="Arial"/>
        </w:rPr>
        <w:t>.</w:t>
      </w:r>
    </w:p>
    <w:p w14:paraId="49099478" w14:textId="77777777" w:rsidR="00685F35" w:rsidRPr="00387C97" w:rsidRDefault="00685F35" w:rsidP="00685F35">
      <w:pPr>
        <w:pStyle w:val="Body"/>
        <w:spacing w:after="0"/>
        <w:rPr>
          <w:rFonts w:ascii="Arial" w:hAnsi="Arial" w:cs="Arial"/>
        </w:rPr>
      </w:pPr>
      <w:r w:rsidRPr="00387C97">
        <w:rPr>
          <w:rFonts w:ascii="Arial" w:hAnsi="Arial" w:cs="Arial"/>
        </w:rPr>
        <w:t>An </w:t>
      </w:r>
      <w:r w:rsidRPr="00387C97">
        <w:rPr>
          <w:rFonts w:ascii="Arial" w:hAnsi="Arial" w:cs="Arial"/>
          <w:b/>
          <w:bCs/>
        </w:rPr>
        <w:t>Upper-Middle-Income Country (UMIC)</w:t>
      </w:r>
      <w:r w:rsidRPr="00387C97">
        <w:rPr>
          <w:rFonts w:ascii="Arial" w:hAnsi="Arial" w:cs="Arial"/>
        </w:rPr>
        <w:t> is defined as an economy with a GNI per capita that falls within a specific threshold band. This threshold is </w:t>
      </w:r>
      <w:r w:rsidRPr="00387C97">
        <w:rPr>
          <w:rFonts w:ascii="Arial" w:hAnsi="Arial" w:cs="Arial"/>
          <w:b/>
          <w:bCs/>
        </w:rPr>
        <w:t>adjusted annually</w:t>
      </w:r>
      <w:r w:rsidRPr="00387C97">
        <w:rPr>
          <w:rFonts w:ascii="Arial" w:hAnsi="Arial" w:cs="Arial"/>
        </w:rPr>
        <w:t> to account for inflation and changes in the global economy.</w:t>
      </w:r>
    </w:p>
    <w:p w14:paraId="0F91AB92" w14:textId="77777777" w:rsidR="00685F35" w:rsidRPr="00387C97" w:rsidRDefault="00685F35" w:rsidP="00685F35">
      <w:pPr>
        <w:pStyle w:val="Body"/>
        <w:spacing w:after="0"/>
        <w:rPr>
          <w:rFonts w:ascii="Arial" w:hAnsi="Arial" w:cs="Arial"/>
          <w:b/>
          <w:bCs/>
        </w:rPr>
      </w:pPr>
      <w:r w:rsidRPr="00387C97">
        <w:rPr>
          <w:rFonts w:ascii="Arial" w:hAnsi="Arial" w:cs="Arial"/>
          <w:b/>
          <w:bCs/>
        </w:rPr>
        <w:t>Key Criteria:</w:t>
      </w:r>
    </w:p>
    <w:p w14:paraId="626FA9B3" w14:textId="77777777" w:rsidR="00685F35" w:rsidRPr="00387C97" w:rsidRDefault="00685F35" w:rsidP="00685F35">
      <w:pPr>
        <w:pStyle w:val="Body"/>
        <w:numPr>
          <w:ilvl w:val="0"/>
          <w:numId w:val="44"/>
        </w:numPr>
        <w:rPr>
          <w:rFonts w:ascii="Arial" w:hAnsi="Arial" w:cs="Arial"/>
        </w:rPr>
      </w:pPr>
      <w:r w:rsidRPr="00387C97">
        <w:rPr>
          <w:rFonts w:ascii="Arial" w:hAnsi="Arial" w:cs="Arial"/>
          <w:b/>
          <w:bCs/>
        </w:rPr>
        <w:t>Benchmark Metric:</w:t>
      </w:r>
      <w:r w:rsidRPr="00387C97">
        <w:rPr>
          <w:rFonts w:ascii="Arial" w:hAnsi="Arial" w:cs="Arial"/>
        </w:rPr>
        <w:t> Gross National Income (GNI) per capita, using the Atlas method.</w:t>
      </w:r>
    </w:p>
    <w:p w14:paraId="70CE1190" w14:textId="77777777" w:rsidR="00685F35" w:rsidRPr="00387C97" w:rsidRDefault="00685F35" w:rsidP="00685F35">
      <w:pPr>
        <w:pStyle w:val="Body"/>
        <w:numPr>
          <w:ilvl w:val="0"/>
          <w:numId w:val="44"/>
        </w:numPr>
        <w:spacing w:after="0"/>
        <w:rPr>
          <w:rFonts w:ascii="Arial" w:hAnsi="Arial" w:cs="Arial"/>
        </w:rPr>
      </w:pPr>
      <w:r w:rsidRPr="00387C97">
        <w:rPr>
          <w:rFonts w:ascii="Arial" w:hAnsi="Arial" w:cs="Arial"/>
          <w:b/>
          <w:bCs/>
        </w:rPr>
        <w:t>Current Threshold (Fiscal Year 2025 - based on 2023 data):</w:t>
      </w:r>
    </w:p>
    <w:p w14:paraId="2C84C3D7" w14:textId="77777777" w:rsidR="00685F35" w:rsidRPr="00387C97" w:rsidRDefault="00685F35" w:rsidP="00685F35">
      <w:pPr>
        <w:pStyle w:val="NoSpacing"/>
      </w:pPr>
      <w:r w:rsidRPr="00387C97">
        <w:t>Lower bound: $4,516</w:t>
      </w:r>
    </w:p>
    <w:p w14:paraId="7C59D2C3" w14:textId="77777777" w:rsidR="00685F35" w:rsidRPr="00387C97" w:rsidRDefault="00685F35" w:rsidP="00685F35">
      <w:pPr>
        <w:pStyle w:val="NoSpacing"/>
      </w:pPr>
      <w:r w:rsidRPr="00387C97">
        <w:t>Upper bound: $14,005</w:t>
      </w:r>
    </w:p>
    <w:p w14:paraId="1CF783DE" w14:textId="77777777" w:rsidR="00685F35" w:rsidRPr="00387C97" w:rsidRDefault="00685F35" w:rsidP="00685F35">
      <w:pPr>
        <w:pStyle w:val="Body"/>
        <w:numPr>
          <w:ilvl w:val="0"/>
          <w:numId w:val="44"/>
        </w:numPr>
        <w:rPr>
          <w:rFonts w:ascii="Arial" w:hAnsi="Arial" w:cs="Arial"/>
        </w:rPr>
      </w:pPr>
      <w:r w:rsidRPr="00387C97">
        <w:rPr>
          <w:rFonts w:ascii="Arial" w:hAnsi="Arial" w:cs="Arial"/>
          <w:b/>
          <w:bCs/>
        </w:rPr>
        <w:t>Purpose:</w:t>
      </w:r>
      <w:r w:rsidRPr="00387C97">
        <w:rPr>
          <w:rFonts w:ascii="Arial" w:hAnsi="Arial" w:cs="Arial"/>
        </w:rPr>
        <w:t> The classification is primarily a statistical tool for operational and analytical purposes. It helps the World Bank allocate resources and tailor its lending and advisory services. It is </w:t>
      </w:r>
      <w:r w:rsidRPr="00387C97">
        <w:rPr>
          <w:rFonts w:ascii="Arial" w:hAnsi="Arial" w:cs="Arial"/>
          <w:b/>
          <w:bCs/>
        </w:rPr>
        <w:t>not</w:t>
      </w:r>
      <w:r w:rsidRPr="00387C97">
        <w:rPr>
          <w:rFonts w:ascii="Arial" w:hAnsi="Arial" w:cs="Arial"/>
        </w:rPr>
        <w:t> a measure of development status, which encompasses a wider range of social, institutional, and environmental factors.</w:t>
      </w:r>
    </w:p>
    <w:p w14:paraId="652A1603" w14:textId="77777777" w:rsidR="00685F35" w:rsidRDefault="00685F35" w:rsidP="00441B6F">
      <w:pPr>
        <w:pStyle w:val="ReferHead"/>
        <w:spacing w:after="0"/>
        <w:jc w:val="both"/>
        <w:rPr>
          <w:rFonts w:ascii="Arial" w:hAnsi="Arial" w:cs="Arial"/>
          <w:b w:val="0"/>
          <w:caps w:val="0"/>
          <w:sz w:val="20"/>
        </w:rPr>
      </w:pPr>
    </w:p>
    <w:p w14:paraId="67CE28B0" w14:textId="041FAB2D" w:rsidR="005C784C" w:rsidRDefault="005C784C" w:rsidP="00441B6F">
      <w:pPr>
        <w:pStyle w:val="ReferHead"/>
        <w:spacing w:after="0"/>
        <w:jc w:val="both"/>
        <w:rPr>
          <w:rFonts w:ascii="Arial" w:hAnsi="Arial" w:cs="Arial"/>
          <w:b w:val="0"/>
          <w:caps w:val="0"/>
          <w:sz w:val="20"/>
        </w:rPr>
      </w:pPr>
    </w:p>
    <w:p w14:paraId="056CB3DB" w14:textId="77777777" w:rsidR="00221773" w:rsidRPr="00270720" w:rsidRDefault="00221773" w:rsidP="00221773">
      <w:pPr>
        <w:rPr>
          <w:highlight w:val="yellow"/>
        </w:rPr>
      </w:pPr>
      <w:r w:rsidRPr="00270720">
        <w:rPr>
          <w:highlight w:val="yellow"/>
        </w:rPr>
        <w:t>Disclaimer (Artificial intelligence)</w:t>
      </w:r>
    </w:p>
    <w:p w14:paraId="363C940D" w14:textId="77777777" w:rsidR="00221773" w:rsidRPr="00270720" w:rsidRDefault="00221773" w:rsidP="00221773">
      <w:pPr>
        <w:rPr>
          <w:highlight w:val="yellow"/>
        </w:rPr>
      </w:pPr>
    </w:p>
    <w:p w14:paraId="4D08991A" w14:textId="77777777" w:rsidR="00221773" w:rsidRPr="00270720" w:rsidRDefault="00221773" w:rsidP="00221773">
      <w:pPr>
        <w:rPr>
          <w:highlight w:val="yellow"/>
        </w:rPr>
      </w:pPr>
      <w:r w:rsidRPr="00270720">
        <w:rPr>
          <w:highlight w:val="yellow"/>
        </w:rPr>
        <w:t xml:space="preserve">Option 1: </w:t>
      </w:r>
    </w:p>
    <w:p w14:paraId="5DE6673D" w14:textId="77777777" w:rsidR="00221773" w:rsidRPr="00270720" w:rsidRDefault="00221773" w:rsidP="00221773">
      <w:pPr>
        <w:rPr>
          <w:highlight w:val="yellow"/>
        </w:rPr>
      </w:pPr>
    </w:p>
    <w:p w14:paraId="6B138578" w14:textId="262431BD" w:rsidR="00221773" w:rsidRPr="00270720" w:rsidRDefault="00221773" w:rsidP="00221773">
      <w:pPr>
        <w:rPr>
          <w:highlight w:val="yellow"/>
        </w:rPr>
      </w:pPr>
      <w:r w:rsidRPr="00270720">
        <w:rPr>
          <w:highlight w:val="yellow"/>
        </w:rPr>
        <w:t xml:space="preserve">Author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6F44587" w14:textId="77777777" w:rsidR="00221773" w:rsidRPr="00270720" w:rsidRDefault="00221773" w:rsidP="00221773">
      <w:pPr>
        <w:rPr>
          <w:highlight w:val="yellow"/>
        </w:rPr>
      </w:pPr>
    </w:p>
    <w:p w14:paraId="4DF68582" w14:textId="77777777" w:rsidR="00221773" w:rsidRDefault="00221773" w:rsidP="00441B6F">
      <w:pPr>
        <w:pStyle w:val="ReferHead"/>
        <w:spacing w:after="0"/>
        <w:jc w:val="both"/>
        <w:rPr>
          <w:rFonts w:ascii="Arial" w:hAnsi="Arial" w:cs="Arial"/>
          <w:b w:val="0"/>
          <w:caps w:val="0"/>
          <w:sz w:val="20"/>
        </w:rPr>
      </w:pPr>
    </w:p>
    <w:p w14:paraId="785E8C56" w14:textId="77777777" w:rsidR="00860000" w:rsidRDefault="00860000" w:rsidP="00441B6F">
      <w:pPr>
        <w:pStyle w:val="ReferHead"/>
        <w:spacing w:after="0"/>
        <w:jc w:val="both"/>
        <w:rPr>
          <w:rFonts w:ascii="Arial" w:hAnsi="Arial" w:cs="Arial"/>
        </w:rPr>
      </w:pPr>
    </w:p>
    <w:p w14:paraId="5E3AB3C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0EDE57" w14:textId="77777777" w:rsidR="00790ADA" w:rsidRPr="00FB3A86" w:rsidRDefault="00790ADA" w:rsidP="00441B6F">
      <w:pPr>
        <w:pStyle w:val="ReferHead"/>
        <w:spacing w:after="0"/>
        <w:jc w:val="both"/>
        <w:rPr>
          <w:rFonts w:ascii="Arial" w:hAnsi="Arial" w:cs="Arial"/>
        </w:rPr>
      </w:pPr>
    </w:p>
    <w:p w14:paraId="2E37F177" w14:textId="77777777" w:rsidR="001514BC" w:rsidRPr="001514BC" w:rsidRDefault="001514BC" w:rsidP="001514BC">
      <w:pPr>
        <w:pStyle w:val="Body"/>
        <w:spacing w:after="0"/>
      </w:pPr>
      <w:r w:rsidRPr="001514BC">
        <w:t xml:space="preserve">Abdelkader, H. E. M. (2017). Political instability and economic growth in Egypt. </w:t>
      </w:r>
      <w:r w:rsidRPr="001514BC">
        <w:rPr>
          <w:i/>
          <w:iCs/>
        </w:rPr>
        <w:t>Review of Middle East Economics and Finance, 13</w:t>
      </w:r>
      <w:r w:rsidRPr="001514BC">
        <w:t>(2), 1–11.</w:t>
      </w:r>
    </w:p>
    <w:p w14:paraId="33372165" w14:textId="77777777" w:rsidR="001514BC" w:rsidRDefault="001514BC" w:rsidP="001514BC">
      <w:pPr>
        <w:pStyle w:val="Body"/>
        <w:spacing w:after="0"/>
      </w:pPr>
      <w:r w:rsidRPr="001514BC">
        <w:t xml:space="preserve">Acemoglu, D., Johnson, S., &amp; Robinson, J. A. (2005). Institutions as a fundamental cause of long-run growth. In P. Aghion &amp; S. </w:t>
      </w:r>
      <w:proofErr w:type="spellStart"/>
      <w:r w:rsidRPr="001514BC">
        <w:t>Durlauf</w:t>
      </w:r>
      <w:proofErr w:type="spellEnd"/>
      <w:r w:rsidRPr="001514BC">
        <w:t xml:space="preserve"> (Eds.), </w:t>
      </w:r>
      <w:r w:rsidRPr="001514BC">
        <w:rPr>
          <w:i/>
          <w:iCs/>
        </w:rPr>
        <w:t>Handbook of economic growth</w:t>
      </w:r>
      <w:r w:rsidRPr="001514BC">
        <w:t xml:space="preserve"> (Vol. 1, pp. 385–472). Elsevier.</w:t>
      </w:r>
    </w:p>
    <w:p w14:paraId="75F08AC2" w14:textId="77777777" w:rsidR="00EF08F8" w:rsidRDefault="00EF08F8" w:rsidP="00EF08F8">
      <w:pPr>
        <w:pStyle w:val="Body"/>
        <w:rPr>
          <w:color w:val="FF0000"/>
        </w:rPr>
      </w:pPr>
      <w:r w:rsidRPr="00EF08F8">
        <w:rPr>
          <w:color w:val="FF0000"/>
        </w:rPr>
        <w:t xml:space="preserve">Ali, S., Azeem, A., Xiaohong, Z., Naseem, M. A., &amp; Haider, S. W. (2024). Validity of Governance-Prosperity: Fresh Evidence Under Homogeneous and Heterogeneous Methods. </w:t>
      </w:r>
      <w:r w:rsidRPr="00EF08F8">
        <w:rPr>
          <w:i/>
          <w:iCs/>
          <w:color w:val="FF0000"/>
        </w:rPr>
        <w:t>Sage Open</w:t>
      </w:r>
      <w:r w:rsidRPr="00EF08F8">
        <w:rPr>
          <w:color w:val="FF0000"/>
        </w:rPr>
        <w:t xml:space="preserve">, </w:t>
      </w:r>
      <w:r w:rsidRPr="00EF08F8">
        <w:rPr>
          <w:i/>
          <w:iCs/>
          <w:color w:val="FF0000"/>
        </w:rPr>
        <w:t>14</w:t>
      </w:r>
      <w:r w:rsidRPr="00EF08F8">
        <w:rPr>
          <w:color w:val="FF0000"/>
        </w:rPr>
        <w:t xml:space="preserve">(4). </w:t>
      </w:r>
      <w:hyperlink r:id="rId15" w:history="1">
        <w:r w:rsidRPr="00EF08F8">
          <w:rPr>
            <w:rStyle w:val="Hyperlink"/>
          </w:rPr>
          <w:t>https://doi.org/10.1177/21582440241297090</w:t>
        </w:r>
      </w:hyperlink>
      <w:r w:rsidRPr="00EF08F8">
        <w:rPr>
          <w:color w:val="FF0000"/>
        </w:rPr>
        <w:t xml:space="preserve"> </w:t>
      </w:r>
    </w:p>
    <w:p w14:paraId="263329BB" w14:textId="2830DF3A" w:rsidR="0055194C" w:rsidRPr="0055194C" w:rsidRDefault="0055194C" w:rsidP="00EF08F8">
      <w:pPr>
        <w:pStyle w:val="Body"/>
        <w:rPr>
          <w:color w:val="FF0000"/>
        </w:rPr>
      </w:pPr>
      <w:r w:rsidRPr="0055194C">
        <w:rPr>
          <w:color w:val="FF0000"/>
        </w:rPr>
        <w:t xml:space="preserve">Amorim, G. (2023). Dynamics of economic growth and governance quality: Evidence from a broad country panel. </w:t>
      </w:r>
      <w:r w:rsidRPr="0055194C">
        <w:rPr>
          <w:i/>
          <w:iCs/>
          <w:color w:val="FF0000"/>
        </w:rPr>
        <w:t>Economics Bulletin, 43</w:t>
      </w:r>
      <w:r w:rsidRPr="0055194C">
        <w:rPr>
          <w:color w:val="FF0000"/>
        </w:rPr>
        <w:t xml:space="preserve">(4), 1–11. Retrieved from </w:t>
      </w:r>
      <w:hyperlink r:id="rId16" w:tgtFrame="_new" w:history="1">
        <w:r w:rsidRPr="0055194C">
          <w:rPr>
            <w:rStyle w:val="Hyperlink"/>
            <w:color w:val="FF0000"/>
          </w:rPr>
          <w:t>https://www.accessecon.com/Pubs/EB/2023/Volume43/EB-23-V43-I4-P163.pdf</w:t>
        </w:r>
      </w:hyperlink>
    </w:p>
    <w:p w14:paraId="6508FE40" w14:textId="77777777" w:rsidR="001514BC" w:rsidRPr="001514BC" w:rsidRDefault="001514BC" w:rsidP="001514BC">
      <w:pPr>
        <w:pStyle w:val="Body"/>
        <w:spacing w:after="0"/>
        <w:jc w:val="left"/>
      </w:pPr>
      <w:r w:rsidRPr="001514BC">
        <w:lastRenderedPageBreak/>
        <w:t xml:space="preserve">Arellano, M., &amp; Bond, S. (1991). Some tests of specification for panel data: Monte Carlo evidence and an application to employment equations. The Review of Economic Studies, 58(2), 277–297. </w:t>
      </w:r>
    </w:p>
    <w:p w14:paraId="250EBFEF" w14:textId="77777777" w:rsidR="001514BC" w:rsidRPr="001514BC" w:rsidRDefault="001514BC" w:rsidP="001514BC">
      <w:pPr>
        <w:pStyle w:val="Body"/>
        <w:spacing w:after="0"/>
        <w:jc w:val="left"/>
      </w:pPr>
      <w:r w:rsidRPr="001514BC">
        <w:t>Arellano, M., &amp; Bover, O. (1995). Another look at the instrumental variable estimation of error-components models. Journal of Econometrics, 68(1), 29–51.</w:t>
      </w:r>
    </w:p>
    <w:p w14:paraId="41E5EFC4" w14:textId="77777777" w:rsidR="001514BC" w:rsidRPr="001514BC" w:rsidRDefault="001514BC" w:rsidP="001514BC">
      <w:pPr>
        <w:pStyle w:val="Body"/>
        <w:spacing w:after="0"/>
      </w:pPr>
      <w:r w:rsidRPr="001514BC">
        <w:t xml:space="preserve">Bayar, Y. (2016). Public governance and economic growth in the transitional economies of the European Union. </w:t>
      </w:r>
      <w:r w:rsidRPr="001514BC">
        <w:rPr>
          <w:i/>
          <w:iCs/>
        </w:rPr>
        <w:t>Transylvanian Review of Administrative Sciences, 12</w:t>
      </w:r>
      <w:r w:rsidRPr="001514BC">
        <w:t>(48), 5–18.</w:t>
      </w:r>
    </w:p>
    <w:p w14:paraId="2D2C1808" w14:textId="77777777" w:rsidR="001514BC" w:rsidRPr="001514BC" w:rsidRDefault="001514BC" w:rsidP="001514BC">
      <w:pPr>
        <w:pStyle w:val="Body"/>
        <w:spacing w:after="0"/>
      </w:pPr>
      <w:r w:rsidRPr="001514BC">
        <w:t>Blundell, R., &amp; Bond, S. (1998). Initial conditions and moment restrictions in dynamic panel data models. Journal of Econometrics, 87(1), 115–143.</w:t>
      </w:r>
    </w:p>
    <w:p w14:paraId="0FA2BEFB" w14:textId="77777777" w:rsidR="001514BC" w:rsidRPr="001514BC" w:rsidRDefault="001514BC" w:rsidP="001514BC">
      <w:pPr>
        <w:pStyle w:val="Body"/>
        <w:spacing w:after="0"/>
      </w:pPr>
      <w:proofErr w:type="gramStart"/>
      <w:r w:rsidRPr="001514BC">
        <w:t>Dollar</w:t>
      </w:r>
      <w:proofErr w:type="gramEnd"/>
      <w:r w:rsidRPr="001514BC">
        <w:t xml:space="preserve">, D., &amp; Kraay, A. (2002). Growth is good for the poor. </w:t>
      </w:r>
      <w:r w:rsidRPr="001514BC">
        <w:rPr>
          <w:i/>
          <w:iCs/>
        </w:rPr>
        <w:t>Journal of Economic Growth, 7</w:t>
      </w:r>
      <w:r w:rsidRPr="001514BC">
        <w:t>(3), 195–225.</w:t>
      </w:r>
    </w:p>
    <w:p w14:paraId="71854F04" w14:textId="77777777" w:rsidR="001514BC" w:rsidRPr="001514BC" w:rsidRDefault="001514BC" w:rsidP="001514BC">
      <w:pPr>
        <w:pStyle w:val="Body"/>
        <w:spacing w:after="0"/>
      </w:pPr>
      <w:r w:rsidRPr="001514BC">
        <w:t xml:space="preserve">Easterly, W., &amp; Levine, R. (2003). Tropics, germs, and crops: How endowments influence economic development. </w:t>
      </w:r>
      <w:r w:rsidRPr="001514BC">
        <w:rPr>
          <w:i/>
          <w:iCs/>
        </w:rPr>
        <w:t>Journal of Monetary Economics, 50</w:t>
      </w:r>
      <w:r w:rsidRPr="001514BC">
        <w:t>(1), 3–39.</w:t>
      </w:r>
    </w:p>
    <w:p w14:paraId="22353042" w14:textId="77777777" w:rsidR="001514BC" w:rsidRPr="001514BC" w:rsidRDefault="001514BC" w:rsidP="001514BC">
      <w:pPr>
        <w:pStyle w:val="Body"/>
        <w:spacing w:after="0"/>
      </w:pPr>
      <w:r w:rsidRPr="001514BC">
        <w:t xml:space="preserve">Fayissa, B., &amp; Nsiah, C. (2013). The impact of governance on economic growth in Africa. </w:t>
      </w:r>
      <w:r w:rsidRPr="001514BC">
        <w:rPr>
          <w:i/>
          <w:iCs/>
        </w:rPr>
        <w:t>The Journal of Developing Areas, 47</w:t>
      </w:r>
      <w:r w:rsidRPr="001514BC">
        <w:t>(1), 91–108.</w:t>
      </w:r>
    </w:p>
    <w:p w14:paraId="6D892BB7" w14:textId="77777777" w:rsidR="001514BC" w:rsidRPr="001514BC" w:rsidRDefault="001514BC" w:rsidP="001514BC">
      <w:pPr>
        <w:pStyle w:val="Body"/>
        <w:spacing w:after="0"/>
      </w:pPr>
      <w:r w:rsidRPr="001514BC">
        <w:t xml:space="preserve">Gani, A. (2011). Governance and growth in developing countries. </w:t>
      </w:r>
      <w:r w:rsidRPr="001514BC">
        <w:rPr>
          <w:i/>
          <w:iCs/>
        </w:rPr>
        <w:t>Journal of Economic Issues, 45</w:t>
      </w:r>
      <w:r w:rsidRPr="001514BC">
        <w:t>(1), 19–39.</w:t>
      </w:r>
    </w:p>
    <w:p w14:paraId="425F0038" w14:textId="77777777" w:rsidR="001514BC" w:rsidRPr="001514BC" w:rsidRDefault="001514BC" w:rsidP="001514BC">
      <w:pPr>
        <w:pStyle w:val="Body"/>
        <w:spacing w:after="0"/>
      </w:pPr>
      <w:r w:rsidRPr="001514BC">
        <w:t xml:space="preserve">Huynh, K. P., &amp; Jacho-Chavez, D. T. (2009). Growth and governance: A nonparametric analysis. </w:t>
      </w:r>
      <w:r w:rsidRPr="001514BC">
        <w:rPr>
          <w:i/>
          <w:iCs/>
        </w:rPr>
        <w:t>Advances in Econometrics, 25</w:t>
      </w:r>
      <w:r w:rsidRPr="001514BC">
        <w:t>, 193–221.</w:t>
      </w:r>
    </w:p>
    <w:p w14:paraId="51983E2F" w14:textId="77777777" w:rsidR="001514BC" w:rsidRDefault="001514BC" w:rsidP="001514BC">
      <w:pPr>
        <w:pStyle w:val="Body"/>
        <w:spacing w:after="0"/>
      </w:pPr>
      <w:r w:rsidRPr="001514BC">
        <w:t xml:space="preserve">Jalilian, H., Kirkpatrick, C., &amp; Parker, D. (2006). The impact of regulation on economic growth in developing countries: A cross-country analysis. </w:t>
      </w:r>
      <w:r w:rsidRPr="001514BC">
        <w:rPr>
          <w:i/>
          <w:iCs/>
        </w:rPr>
        <w:t>World Development, 35</w:t>
      </w:r>
      <w:r w:rsidRPr="001514BC">
        <w:t>(1), 87–103.</w:t>
      </w:r>
    </w:p>
    <w:p w14:paraId="1DFE2DF0" w14:textId="56A67D8C" w:rsidR="001427D2" w:rsidRPr="001427D2" w:rsidRDefault="001427D2" w:rsidP="001514BC">
      <w:pPr>
        <w:pStyle w:val="Body"/>
        <w:spacing w:after="0"/>
        <w:rPr>
          <w:color w:val="FF0000"/>
        </w:rPr>
      </w:pPr>
      <w:r w:rsidRPr="001427D2">
        <w:rPr>
          <w:color w:val="FF0000"/>
        </w:rPr>
        <w:t xml:space="preserve">Karagiannis, G., &amp; </w:t>
      </w:r>
      <w:proofErr w:type="spellStart"/>
      <w:r w:rsidRPr="001427D2">
        <w:rPr>
          <w:color w:val="FF0000"/>
        </w:rPr>
        <w:t>Paleologou</w:t>
      </w:r>
      <w:proofErr w:type="spellEnd"/>
      <w:r w:rsidRPr="001427D2">
        <w:rPr>
          <w:color w:val="FF0000"/>
        </w:rPr>
        <w:t xml:space="preserve">, S.-M. (2025). Governance and economic growth in Africa: Evidence from linear, nonlinear and dynamic panel analysis. </w:t>
      </w:r>
      <w:r w:rsidRPr="001427D2">
        <w:rPr>
          <w:i/>
          <w:iCs/>
          <w:color w:val="FF0000"/>
        </w:rPr>
        <w:t>Empirical Economics, 69</w:t>
      </w:r>
      <w:r w:rsidRPr="001427D2">
        <w:rPr>
          <w:color w:val="FF0000"/>
        </w:rPr>
        <w:t>, 39–75. https://doi.org/10.1007/s00181-025-02726-z</w:t>
      </w:r>
    </w:p>
    <w:p w14:paraId="589662BF" w14:textId="77777777" w:rsidR="001514BC" w:rsidRPr="001514BC" w:rsidRDefault="001514BC" w:rsidP="001514BC">
      <w:pPr>
        <w:pStyle w:val="Body"/>
        <w:spacing w:after="0"/>
      </w:pPr>
      <w:r w:rsidRPr="001514BC">
        <w:t xml:space="preserve">Kaufmann, D., Kraay, A., &amp; </w:t>
      </w:r>
      <w:proofErr w:type="spellStart"/>
      <w:r w:rsidRPr="001514BC">
        <w:t>Zoido</w:t>
      </w:r>
      <w:proofErr w:type="spellEnd"/>
      <w:r w:rsidRPr="001514BC">
        <w:t xml:space="preserve">, P. (1999). Governance matters. </w:t>
      </w:r>
      <w:r w:rsidRPr="001514BC">
        <w:rPr>
          <w:i/>
          <w:iCs/>
        </w:rPr>
        <w:t>World Bank Policy Research Working Paper</w:t>
      </w:r>
      <w:r w:rsidRPr="001514BC">
        <w:t xml:space="preserve"> No. 2196.</w:t>
      </w:r>
    </w:p>
    <w:p w14:paraId="1C5712C7" w14:textId="77777777" w:rsidR="001514BC" w:rsidRPr="001514BC" w:rsidRDefault="001514BC" w:rsidP="001514BC">
      <w:pPr>
        <w:pStyle w:val="Body"/>
        <w:spacing w:after="0"/>
      </w:pPr>
      <w:r w:rsidRPr="001514BC">
        <w:t xml:space="preserve">Maune, A. (2017). The strong influence of sound corporate governance on economic growth: Evidence from Zimbabwe. </w:t>
      </w:r>
      <w:r w:rsidRPr="001514BC">
        <w:rPr>
          <w:i/>
          <w:iCs/>
        </w:rPr>
        <w:t>Problems and Perspectives in Management, 15</w:t>
      </w:r>
      <w:r w:rsidRPr="001514BC">
        <w:t>(2), 445–455.</w:t>
      </w:r>
    </w:p>
    <w:p w14:paraId="53782A84" w14:textId="77777777" w:rsidR="001514BC" w:rsidRPr="001514BC" w:rsidRDefault="001514BC" w:rsidP="001514BC">
      <w:pPr>
        <w:pStyle w:val="Body"/>
        <w:spacing w:after="0"/>
      </w:pPr>
      <w:r w:rsidRPr="001514BC">
        <w:t xml:space="preserve">Medina-Moral, E., &amp; Montes-Gan, V. J. (2018). Economic freedom, good governance and the dynamics of development. </w:t>
      </w:r>
      <w:r w:rsidRPr="001514BC">
        <w:rPr>
          <w:i/>
          <w:iCs/>
        </w:rPr>
        <w:t>Journal of Applied Economics, 21</w:t>
      </w:r>
      <w:r w:rsidRPr="001514BC">
        <w:t>(1), 44–66.</w:t>
      </w:r>
    </w:p>
    <w:p w14:paraId="4403FC12" w14:textId="77777777" w:rsidR="001514BC" w:rsidRPr="001514BC" w:rsidRDefault="001514BC" w:rsidP="001514BC">
      <w:pPr>
        <w:pStyle w:val="Body"/>
        <w:spacing w:after="0"/>
      </w:pPr>
      <w:proofErr w:type="spellStart"/>
      <w:r w:rsidRPr="001514BC">
        <w:t>Orayo</w:t>
      </w:r>
      <w:proofErr w:type="spellEnd"/>
      <w:r w:rsidRPr="001514BC">
        <w:t xml:space="preserve">, J. A., &amp; Mose, G. N. (2016). A comparative study on contribution of governance on economic growth in the East African community countries. </w:t>
      </w:r>
      <w:r w:rsidRPr="001514BC">
        <w:rPr>
          <w:i/>
          <w:iCs/>
        </w:rPr>
        <w:t>International Journal of Regional Development, 3</w:t>
      </w:r>
      <w:r w:rsidRPr="001514BC">
        <w:t>(2), 89–106.</w:t>
      </w:r>
    </w:p>
    <w:p w14:paraId="67EA0A84" w14:textId="77777777" w:rsidR="001514BC" w:rsidRPr="001514BC" w:rsidRDefault="001514BC" w:rsidP="001514BC">
      <w:pPr>
        <w:pStyle w:val="Body"/>
        <w:spacing w:after="0"/>
      </w:pPr>
      <w:proofErr w:type="spellStart"/>
      <w:r w:rsidRPr="001514BC">
        <w:t>Rigobon</w:t>
      </w:r>
      <w:proofErr w:type="spellEnd"/>
      <w:r w:rsidRPr="001514BC">
        <w:t xml:space="preserve">, R., &amp; Rodrik, D. (2005). Rule of law, democracy, openness, and income: Estimating the interrelationships. </w:t>
      </w:r>
      <w:r w:rsidRPr="001514BC">
        <w:rPr>
          <w:i/>
          <w:iCs/>
        </w:rPr>
        <w:t>The Economics of Transition, 13</w:t>
      </w:r>
      <w:r w:rsidRPr="001514BC">
        <w:t>(3), 533–564.</w:t>
      </w:r>
    </w:p>
    <w:p w14:paraId="18A24AD7" w14:textId="77777777" w:rsidR="001514BC" w:rsidRPr="001514BC" w:rsidRDefault="001514BC" w:rsidP="001514BC">
      <w:pPr>
        <w:pStyle w:val="Body"/>
        <w:spacing w:after="0"/>
      </w:pPr>
      <w:proofErr w:type="spellStart"/>
      <w:r w:rsidRPr="001514BC">
        <w:t>Sallahuddin</w:t>
      </w:r>
      <w:proofErr w:type="spellEnd"/>
      <w:r w:rsidRPr="001514BC">
        <w:t xml:space="preserve">, N. U. A., &amp; Awan, P. D. A. G. (2017). Impact of political instability on Pakistan’s economic growth. </w:t>
      </w:r>
      <w:r w:rsidRPr="001514BC">
        <w:rPr>
          <w:i/>
          <w:iCs/>
        </w:rPr>
        <w:t>Global Journal of Management, Social Sciences and Humanities, 3</w:t>
      </w:r>
      <w:r w:rsidRPr="001514BC">
        <w:t>(4), 729–748.</w:t>
      </w:r>
    </w:p>
    <w:p w14:paraId="251DC843" w14:textId="77777777" w:rsidR="001514BC" w:rsidRPr="001514BC" w:rsidRDefault="001514BC" w:rsidP="001514BC">
      <w:pPr>
        <w:pStyle w:val="Body"/>
        <w:spacing w:after="0"/>
      </w:pPr>
      <w:r w:rsidRPr="001514BC">
        <w:t xml:space="preserve">Uddin, M. A., Ali, M. H., &amp; Masih, M. (2017). Political stability and growth: An application of dynamic GMM and quantile regression. </w:t>
      </w:r>
      <w:r w:rsidRPr="001514BC">
        <w:rPr>
          <w:i/>
          <w:iCs/>
        </w:rPr>
        <w:t>Economic Modelling, 64</w:t>
      </w:r>
      <w:r w:rsidRPr="001514BC">
        <w:t>, 610–625.</w:t>
      </w:r>
    </w:p>
    <w:p w14:paraId="029887FD" w14:textId="77777777" w:rsidR="001514BC" w:rsidRPr="001514BC" w:rsidRDefault="001514BC" w:rsidP="001514BC">
      <w:pPr>
        <w:pStyle w:val="Body"/>
        <w:spacing w:after="0"/>
      </w:pPr>
      <w:r w:rsidRPr="001514BC">
        <w:t xml:space="preserve">Yahyaoui, I., &amp; </w:t>
      </w:r>
      <w:proofErr w:type="spellStart"/>
      <w:r w:rsidRPr="001514BC">
        <w:t>Bouchoucha</w:t>
      </w:r>
      <w:proofErr w:type="spellEnd"/>
      <w:r w:rsidRPr="001514BC">
        <w:t xml:space="preserve">, N. (2020). Foreign aid-growth nexus in Africa: Do institutions matter? </w:t>
      </w:r>
      <w:r w:rsidRPr="001514BC">
        <w:rPr>
          <w:i/>
          <w:iCs/>
        </w:rPr>
        <w:t>Journal of the Knowledge Economy, 11</w:t>
      </w:r>
      <w:r w:rsidRPr="001514BC">
        <w:t>(2), 1–27.</w:t>
      </w:r>
    </w:p>
    <w:p w14:paraId="30A599A0" w14:textId="77777777" w:rsidR="001514BC" w:rsidRPr="001514BC" w:rsidRDefault="001514BC" w:rsidP="001514BC">
      <w:pPr>
        <w:pStyle w:val="Body"/>
        <w:spacing w:after="0"/>
      </w:pPr>
      <w:proofErr w:type="spellStart"/>
      <w:r w:rsidRPr="001514BC">
        <w:t>Yerrabati</w:t>
      </w:r>
      <w:proofErr w:type="spellEnd"/>
      <w:r w:rsidRPr="001514BC">
        <w:t xml:space="preserve">, S., &amp; Hawkes, D. (2015). Economic governance and economic growth in South and East Asia &amp; Pacific region: Evidence from systematic literature reviews and meta-analysis. </w:t>
      </w:r>
      <w:r w:rsidRPr="001514BC">
        <w:rPr>
          <w:i/>
          <w:iCs/>
        </w:rPr>
        <w:t>Advances in Economics and Business, 3</w:t>
      </w:r>
      <w:r w:rsidRPr="001514BC">
        <w:t>(1), 1–21.</w:t>
      </w:r>
    </w:p>
    <w:p w14:paraId="5C03691D" w14:textId="77777777" w:rsidR="001514BC" w:rsidRPr="001514BC" w:rsidRDefault="001514BC" w:rsidP="001514BC">
      <w:pPr>
        <w:pStyle w:val="Body"/>
        <w:spacing w:after="0"/>
      </w:pPr>
      <w:r w:rsidRPr="001514BC">
        <w:t xml:space="preserve">Zubair, S. S., &amp; Khan, M. A. (2014). Good governance: Pakistan’s economic growth and worldwide governance indicators. </w:t>
      </w:r>
      <w:r w:rsidRPr="001514BC">
        <w:rPr>
          <w:i/>
          <w:iCs/>
        </w:rPr>
        <w:t>Pakistan Journal of Commerce and Social Sciences, 8</w:t>
      </w:r>
      <w:r w:rsidRPr="001514BC">
        <w:t>(1), 274–287.</w:t>
      </w:r>
    </w:p>
    <w:p w14:paraId="1C00E871" w14:textId="77777777" w:rsidR="00441B6F" w:rsidRDefault="00441B6F" w:rsidP="00441B6F">
      <w:pPr>
        <w:pStyle w:val="Body"/>
        <w:spacing w:after="0"/>
        <w:jc w:val="left"/>
      </w:pPr>
    </w:p>
    <w:p w14:paraId="69E1E521" w14:textId="77777777" w:rsidR="00441B6F" w:rsidRDefault="00441B6F" w:rsidP="00441B6F">
      <w:pPr>
        <w:pStyle w:val="Body"/>
        <w:spacing w:after="0"/>
        <w:jc w:val="left"/>
        <w:rPr>
          <w:rFonts w:ascii="Arial" w:hAnsi="Arial" w:cs="Arial"/>
        </w:rPr>
      </w:pPr>
    </w:p>
    <w:p w14:paraId="1A201807" w14:textId="77777777" w:rsidR="00B01FCD" w:rsidRPr="00FB3A86" w:rsidRDefault="00B01FCD" w:rsidP="00441B6F">
      <w:pPr>
        <w:pStyle w:val="Reference"/>
        <w:numPr>
          <w:ilvl w:val="0"/>
          <w:numId w:val="0"/>
        </w:numPr>
        <w:spacing w:line="240" w:lineRule="auto"/>
        <w:rPr>
          <w:rFonts w:ascii="Arial" w:hAnsi="Arial" w:cs="Arial"/>
        </w:rPr>
      </w:pPr>
    </w:p>
    <w:p w14:paraId="56448558" w14:textId="55CB7B90" w:rsidR="00B01FCD" w:rsidRDefault="00B01FCD" w:rsidP="00441B6F">
      <w:pPr>
        <w:pStyle w:val="Body"/>
        <w:spacing w:after="0"/>
        <w:rPr>
          <w:rFonts w:ascii="Arial" w:hAnsi="Arial" w:cs="Arial"/>
        </w:rPr>
      </w:pPr>
    </w:p>
    <w:p w14:paraId="1DBC66B9" w14:textId="77777777" w:rsidR="00790ADA" w:rsidRPr="00FB3A86" w:rsidRDefault="00790ADA" w:rsidP="00441B6F">
      <w:pPr>
        <w:pStyle w:val="Body"/>
        <w:spacing w:after="0"/>
        <w:rPr>
          <w:rFonts w:ascii="Arial" w:hAnsi="Arial" w:cs="Arial"/>
        </w:rPr>
      </w:pPr>
    </w:p>
    <w:p w14:paraId="5FBD944E" w14:textId="544FBD9A" w:rsidR="004D4277" w:rsidRPr="00FB3A86" w:rsidRDefault="004D4277" w:rsidP="00441B6F">
      <w:pPr>
        <w:pStyle w:val="Appendix"/>
        <w:spacing w:after="0"/>
        <w:jc w:val="both"/>
        <w:rPr>
          <w:rFonts w:ascii="Arial" w:hAnsi="Arial" w:cs="Arial"/>
          <w:b w:val="0"/>
        </w:rPr>
        <w:sectPr w:rsidR="004D4277" w:rsidRPr="00FB3A86" w:rsidSect="00CE37D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8809276" w14:textId="77777777" w:rsidR="009D095A" w:rsidRPr="004A09D7" w:rsidRDefault="009D095A" w:rsidP="009D095A">
      <w:pPr>
        <w:pStyle w:val="Body"/>
        <w:spacing w:after="0"/>
        <w:rPr>
          <w:rFonts w:ascii="Arial" w:hAnsi="Arial" w:cs="Arial"/>
          <w:b/>
          <w:bCs/>
          <w:iCs/>
          <w:sz w:val="18"/>
        </w:rPr>
      </w:pPr>
    </w:p>
    <w:p w14:paraId="177F86A5" w14:textId="19DAB632" w:rsidR="009D095A" w:rsidRPr="004A09D7" w:rsidRDefault="009D095A" w:rsidP="009D095A">
      <w:pPr>
        <w:pStyle w:val="Body"/>
        <w:spacing w:after="0"/>
        <w:jc w:val="center"/>
        <w:rPr>
          <w:rFonts w:ascii="Arial" w:hAnsi="Arial" w:cs="Arial"/>
          <w:b/>
          <w:bCs/>
          <w:iCs/>
          <w:sz w:val="18"/>
        </w:rPr>
      </w:pPr>
      <w:r w:rsidRPr="009D095A">
        <w:rPr>
          <w:rFonts w:ascii="Arial" w:hAnsi="Arial" w:cs="Arial"/>
          <w:b/>
          <w:bCs/>
          <w:iCs/>
          <w:sz w:val="18"/>
        </w:rPr>
        <w:t>Sample of Upper-Middle-Income Economies with Complete Data Coverage</w:t>
      </w:r>
      <w:r w:rsidRPr="009D095A">
        <w:rPr>
          <w:rFonts w:ascii="Arial" w:hAnsi="Arial" w:cs="Arial"/>
          <w:b/>
          <w:bCs/>
          <w:iCs/>
          <w:sz w:val="18"/>
        </w:rPr>
        <w:t xml:space="preserve"> </w:t>
      </w:r>
      <w:r w:rsidRPr="004A09D7">
        <w:rPr>
          <w:rFonts w:ascii="Arial" w:hAnsi="Arial" w:cs="Arial"/>
          <w:b/>
          <w:bCs/>
          <w:iCs/>
          <w:sz w:val="18"/>
        </w:rPr>
        <w:t>($4,496 TO $13,935)</w:t>
      </w:r>
    </w:p>
    <w:tbl>
      <w:tblPr>
        <w:tblStyle w:val="TableGrid"/>
        <w:tblW w:w="0" w:type="auto"/>
        <w:jc w:val="center"/>
        <w:tblLook w:val="04A0" w:firstRow="1" w:lastRow="0" w:firstColumn="1" w:lastColumn="0" w:noHBand="0" w:noVBand="1"/>
      </w:tblPr>
      <w:tblGrid>
        <w:gridCol w:w="1817"/>
        <w:gridCol w:w="1617"/>
        <w:gridCol w:w="2718"/>
      </w:tblGrid>
      <w:tr w:rsidR="009D095A" w:rsidRPr="004A09D7" w14:paraId="217A7510" w14:textId="77777777" w:rsidTr="009D095A">
        <w:trPr>
          <w:jc w:val="center"/>
        </w:trPr>
        <w:tc>
          <w:tcPr>
            <w:tcW w:w="0" w:type="auto"/>
            <w:vAlign w:val="center"/>
            <w:hideMark/>
          </w:tcPr>
          <w:p w14:paraId="125D3040"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Albania</w:t>
            </w:r>
          </w:p>
        </w:tc>
        <w:tc>
          <w:tcPr>
            <w:tcW w:w="0" w:type="auto"/>
            <w:vAlign w:val="center"/>
            <w:hideMark/>
          </w:tcPr>
          <w:p w14:paraId="1C10C598"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Fiji</w:t>
            </w:r>
          </w:p>
        </w:tc>
        <w:tc>
          <w:tcPr>
            <w:tcW w:w="0" w:type="auto"/>
            <w:vAlign w:val="center"/>
            <w:hideMark/>
          </w:tcPr>
          <w:p w14:paraId="4A79107D"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Moldova</w:t>
            </w:r>
          </w:p>
        </w:tc>
      </w:tr>
      <w:tr w:rsidR="009D095A" w:rsidRPr="004A09D7" w14:paraId="728F3ACE" w14:textId="77777777" w:rsidTr="009D095A">
        <w:trPr>
          <w:jc w:val="center"/>
        </w:trPr>
        <w:tc>
          <w:tcPr>
            <w:tcW w:w="0" w:type="auto"/>
            <w:vAlign w:val="center"/>
          </w:tcPr>
          <w:p w14:paraId="71E99EA2"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Armenia</w:t>
            </w:r>
          </w:p>
        </w:tc>
        <w:tc>
          <w:tcPr>
            <w:tcW w:w="0" w:type="auto"/>
            <w:vAlign w:val="center"/>
            <w:hideMark/>
          </w:tcPr>
          <w:p w14:paraId="2A77930E"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Georgia</w:t>
            </w:r>
          </w:p>
        </w:tc>
        <w:tc>
          <w:tcPr>
            <w:tcW w:w="0" w:type="auto"/>
            <w:vAlign w:val="center"/>
            <w:hideMark/>
          </w:tcPr>
          <w:p w14:paraId="485150A2"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Mongolia</w:t>
            </w:r>
          </w:p>
        </w:tc>
      </w:tr>
      <w:tr w:rsidR="009D095A" w:rsidRPr="004A09D7" w14:paraId="378D22DA" w14:textId="77777777" w:rsidTr="009D095A">
        <w:trPr>
          <w:jc w:val="center"/>
        </w:trPr>
        <w:tc>
          <w:tcPr>
            <w:tcW w:w="0" w:type="auto"/>
            <w:vAlign w:val="center"/>
          </w:tcPr>
          <w:p w14:paraId="7BCFD683"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Azerbaijan</w:t>
            </w:r>
          </w:p>
        </w:tc>
        <w:tc>
          <w:tcPr>
            <w:tcW w:w="0" w:type="auto"/>
            <w:vAlign w:val="center"/>
            <w:hideMark/>
          </w:tcPr>
          <w:p w14:paraId="6F654C29"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Guatemala</w:t>
            </w:r>
          </w:p>
        </w:tc>
        <w:tc>
          <w:tcPr>
            <w:tcW w:w="0" w:type="auto"/>
            <w:vAlign w:val="center"/>
          </w:tcPr>
          <w:p w14:paraId="1C27A261"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Paraguay</w:t>
            </w:r>
          </w:p>
        </w:tc>
      </w:tr>
      <w:tr w:rsidR="009D095A" w:rsidRPr="004A09D7" w14:paraId="4ACFC507" w14:textId="77777777" w:rsidTr="009D095A">
        <w:trPr>
          <w:jc w:val="center"/>
        </w:trPr>
        <w:tc>
          <w:tcPr>
            <w:tcW w:w="0" w:type="auto"/>
            <w:vAlign w:val="center"/>
            <w:hideMark/>
          </w:tcPr>
          <w:p w14:paraId="3C7EE734"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Belarus</w:t>
            </w:r>
          </w:p>
        </w:tc>
        <w:tc>
          <w:tcPr>
            <w:tcW w:w="0" w:type="auto"/>
            <w:vAlign w:val="center"/>
            <w:hideMark/>
          </w:tcPr>
          <w:p w14:paraId="6B787FD8"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Indonesia</w:t>
            </w:r>
          </w:p>
        </w:tc>
        <w:tc>
          <w:tcPr>
            <w:tcW w:w="0" w:type="auto"/>
            <w:vAlign w:val="center"/>
          </w:tcPr>
          <w:p w14:paraId="08CD6607"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Peru</w:t>
            </w:r>
          </w:p>
        </w:tc>
      </w:tr>
      <w:tr w:rsidR="009D095A" w:rsidRPr="004A09D7" w14:paraId="6F9A8F7F" w14:textId="77777777" w:rsidTr="009D095A">
        <w:trPr>
          <w:jc w:val="center"/>
        </w:trPr>
        <w:tc>
          <w:tcPr>
            <w:tcW w:w="0" w:type="auto"/>
            <w:vAlign w:val="center"/>
            <w:hideMark/>
          </w:tcPr>
          <w:p w14:paraId="1FC67702"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Belize</w:t>
            </w:r>
          </w:p>
        </w:tc>
        <w:tc>
          <w:tcPr>
            <w:tcW w:w="0" w:type="auto"/>
            <w:vAlign w:val="center"/>
            <w:hideMark/>
          </w:tcPr>
          <w:p w14:paraId="1BD05CEC"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Iran, Islamic Rep.</w:t>
            </w:r>
          </w:p>
        </w:tc>
        <w:tc>
          <w:tcPr>
            <w:tcW w:w="0" w:type="auto"/>
            <w:vAlign w:val="center"/>
            <w:hideMark/>
          </w:tcPr>
          <w:p w14:paraId="2389915E"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Samoa</w:t>
            </w:r>
          </w:p>
        </w:tc>
      </w:tr>
      <w:tr w:rsidR="009D095A" w:rsidRPr="004A09D7" w14:paraId="7C4DA99B" w14:textId="77777777" w:rsidTr="009D095A">
        <w:trPr>
          <w:jc w:val="center"/>
        </w:trPr>
        <w:tc>
          <w:tcPr>
            <w:tcW w:w="0" w:type="auto"/>
            <w:vAlign w:val="center"/>
            <w:hideMark/>
          </w:tcPr>
          <w:p w14:paraId="177FFEDD"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Brazil</w:t>
            </w:r>
          </w:p>
        </w:tc>
        <w:tc>
          <w:tcPr>
            <w:tcW w:w="0" w:type="auto"/>
            <w:vAlign w:val="center"/>
            <w:hideMark/>
          </w:tcPr>
          <w:p w14:paraId="2461245A"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Jamaica</w:t>
            </w:r>
          </w:p>
        </w:tc>
        <w:tc>
          <w:tcPr>
            <w:tcW w:w="0" w:type="auto"/>
            <w:vAlign w:val="center"/>
            <w:hideMark/>
          </w:tcPr>
          <w:p w14:paraId="3DBC4FC9"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South Africa</w:t>
            </w:r>
          </w:p>
        </w:tc>
      </w:tr>
      <w:tr w:rsidR="009D095A" w:rsidRPr="004A09D7" w14:paraId="1E89E43D" w14:textId="77777777" w:rsidTr="009D095A">
        <w:trPr>
          <w:jc w:val="center"/>
        </w:trPr>
        <w:tc>
          <w:tcPr>
            <w:tcW w:w="0" w:type="auto"/>
            <w:vAlign w:val="center"/>
            <w:hideMark/>
          </w:tcPr>
          <w:p w14:paraId="4A70AC79"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Cabo Verde</w:t>
            </w:r>
          </w:p>
        </w:tc>
        <w:tc>
          <w:tcPr>
            <w:tcW w:w="0" w:type="auto"/>
            <w:vAlign w:val="center"/>
            <w:hideMark/>
          </w:tcPr>
          <w:p w14:paraId="5F957FE3"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Malaysia</w:t>
            </w:r>
          </w:p>
        </w:tc>
        <w:tc>
          <w:tcPr>
            <w:tcW w:w="0" w:type="auto"/>
            <w:vAlign w:val="center"/>
            <w:hideMark/>
          </w:tcPr>
          <w:p w14:paraId="055810D1"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St. Lucia</w:t>
            </w:r>
          </w:p>
        </w:tc>
      </w:tr>
      <w:tr w:rsidR="009D095A" w:rsidRPr="004A09D7" w14:paraId="2C7E8BDA" w14:textId="77777777" w:rsidTr="009D095A">
        <w:trPr>
          <w:jc w:val="center"/>
        </w:trPr>
        <w:tc>
          <w:tcPr>
            <w:tcW w:w="0" w:type="auto"/>
            <w:vAlign w:val="center"/>
          </w:tcPr>
          <w:p w14:paraId="2B05C87C"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China</w:t>
            </w:r>
          </w:p>
        </w:tc>
        <w:tc>
          <w:tcPr>
            <w:tcW w:w="0" w:type="auto"/>
            <w:vAlign w:val="center"/>
            <w:hideMark/>
          </w:tcPr>
          <w:p w14:paraId="17E90C19"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Maldives</w:t>
            </w:r>
          </w:p>
        </w:tc>
        <w:tc>
          <w:tcPr>
            <w:tcW w:w="0" w:type="auto"/>
            <w:vAlign w:val="center"/>
            <w:hideMark/>
          </w:tcPr>
          <w:p w14:paraId="6281E6C2"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St. Vincent and the Grenadines</w:t>
            </w:r>
          </w:p>
        </w:tc>
      </w:tr>
      <w:tr w:rsidR="009D095A" w:rsidRPr="004A09D7" w14:paraId="70719E2B" w14:textId="77777777" w:rsidTr="009D095A">
        <w:trPr>
          <w:jc w:val="center"/>
        </w:trPr>
        <w:tc>
          <w:tcPr>
            <w:tcW w:w="0" w:type="auto"/>
            <w:vAlign w:val="center"/>
          </w:tcPr>
          <w:p w14:paraId="0DC7E8D7"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Colombia</w:t>
            </w:r>
          </w:p>
        </w:tc>
        <w:tc>
          <w:tcPr>
            <w:tcW w:w="0" w:type="auto"/>
            <w:vAlign w:val="center"/>
            <w:hideMark/>
          </w:tcPr>
          <w:p w14:paraId="493C2DE3"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Mauritius</w:t>
            </w:r>
          </w:p>
        </w:tc>
        <w:tc>
          <w:tcPr>
            <w:tcW w:w="0" w:type="auto"/>
            <w:vAlign w:val="center"/>
            <w:hideMark/>
          </w:tcPr>
          <w:p w14:paraId="24B936A2"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Thailand</w:t>
            </w:r>
          </w:p>
        </w:tc>
      </w:tr>
      <w:tr w:rsidR="009D095A" w:rsidRPr="004A09D7" w14:paraId="3ADD160F" w14:textId="77777777" w:rsidTr="009D095A">
        <w:trPr>
          <w:jc w:val="center"/>
        </w:trPr>
        <w:tc>
          <w:tcPr>
            <w:tcW w:w="0" w:type="auto"/>
            <w:vAlign w:val="center"/>
            <w:hideMark/>
          </w:tcPr>
          <w:p w14:paraId="51CDD619"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Dominican Republic</w:t>
            </w:r>
          </w:p>
        </w:tc>
        <w:tc>
          <w:tcPr>
            <w:tcW w:w="0" w:type="auto"/>
            <w:vAlign w:val="center"/>
            <w:hideMark/>
          </w:tcPr>
          <w:p w14:paraId="609B6E4C"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Mexico</w:t>
            </w:r>
          </w:p>
        </w:tc>
        <w:tc>
          <w:tcPr>
            <w:tcW w:w="0" w:type="auto"/>
            <w:vAlign w:val="center"/>
            <w:hideMark/>
          </w:tcPr>
          <w:p w14:paraId="45E3450E" w14:textId="77777777" w:rsidR="009D095A" w:rsidRPr="004A09D7" w:rsidRDefault="009D095A" w:rsidP="002139AA">
            <w:pPr>
              <w:pStyle w:val="Body"/>
              <w:spacing w:after="0"/>
              <w:jc w:val="center"/>
              <w:rPr>
                <w:rFonts w:ascii="Arial" w:hAnsi="Arial" w:cs="Arial"/>
                <w:iCs/>
                <w:sz w:val="18"/>
              </w:rPr>
            </w:pPr>
            <w:r w:rsidRPr="004A09D7">
              <w:rPr>
                <w:rFonts w:ascii="Arial" w:hAnsi="Arial" w:cs="Arial"/>
                <w:iCs/>
                <w:sz w:val="18"/>
              </w:rPr>
              <w:t>Ukraine</w:t>
            </w:r>
          </w:p>
        </w:tc>
      </w:tr>
    </w:tbl>
    <w:p w14:paraId="4EA40D79" w14:textId="77777777" w:rsidR="009D095A" w:rsidRPr="004A09D7" w:rsidRDefault="009D095A" w:rsidP="009D095A">
      <w:pPr>
        <w:pStyle w:val="Body"/>
        <w:spacing w:after="0"/>
        <w:rPr>
          <w:rFonts w:ascii="Arial" w:hAnsi="Arial" w:cs="Arial"/>
          <w:iCs/>
          <w:sz w:val="18"/>
        </w:rPr>
      </w:pPr>
    </w:p>
    <w:p w14:paraId="06EF7105" w14:textId="77777777" w:rsidR="00B01FCD" w:rsidRPr="00FB3A86" w:rsidRDefault="00B01FCD" w:rsidP="00441B6F">
      <w:pPr>
        <w:pStyle w:val="Appendix"/>
        <w:spacing w:after="0"/>
        <w:jc w:val="both"/>
        <w:rPr>
          <w:rFonts w:ascii="Arial" w:hAnsi="Arial" w:cs="Arial"/>
          <w:b w:val="0"/>
        </w:rPr>
      </w:pPr>
    </w:p>
    <w:sectPr w:rsidR="00B01FCD" w:rsidRPr="00FB3A86" w:rsidSect="00CE37D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5F03" w14:textId="77777777" w:rsidR="006074D0" w:rsidRDefault="006074D0" w:rsidP="00C37E61">
      <w:r>
        <w:separator/>
      </w:r>
    </w:p>
  </w:endnote>
  <w:endnote w:type="continuationSeparator" w:id="0">
    <w:p w14:paraId="13100892" w14:textId="77777777" w:rsidR="006074D0" w:rsidRDefault="006074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2801" w14:textId="77777777" w:rsidR="002D1345" w:rsidRDefault="002D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656" w14:textId="77777777" w:rsidR="002D1345" w:rsidRDefault="002D1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4D17" w14:textId="6CC688B3" w:rsidR="00754C9A" w:rsidRPr="00CE37D5" w:rsidRDefault="00754C9A" w:rsidP="00CE3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2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A5AE" w14:textId="77777777" w:rsidR="006074D0" w:rsidRDefault="006074D0" w:rsidP="00C37E61">
      <w:r>
        <w:separator/>
      </w:r>
    </w:p>
  </w:footnote>
  <w:footnote w:type="continuationSeparator" w:id="0">
    <w:p w14:paraId="03FFA456" w14:textId="77777777" w:rsidR="006074D0" w:rsidRDefault="006074D0" w:rsidP="00C37E61">
      <w:r>
        <w:continuationSeparator/>
      </w:r>
    </w:p>
  </w:footnote>
  <w:footnote w:id="1">
    <w:p w14:paraId="526A40D6" w14:textId="77777777" w:rsidR="004A09D7" w:rsidRDefault="004A09D7" w:rsidP="004A09D7">
      <w:pPr>
        <w:pStyle w:val="FootnoteText"/>
      </w:pPr>
      <w:r>
        <w:rPr>
          <w:rStyle w:val="FootnoteReference"/>
        </w:rPr>
        <w:footnoteRef/>
      </w:r>
      <w:r>
        <w:t xml:space="preserve"> </w:t>
      </w:r>
      <w:r w:rsidRPr="00A95D48">
        <w:t>World Development Indicators (WDI), World Bank.</w:t>
      </w:r>
    </w:p>
  </w:footnote>
  <w:footnote w:id="2">
    <w:p w14:paraId="51464009" w14:textId="77777777" w:rsidR="004A09D7" w:rsidRDefault="004A09D7" w:rsidP="004A09D7">
      <w:pPr>
        <w:pStyle w:val="FootnoteText"/>
      </w:pPr>
      <w:r>
        <w:rPr>
          <w:rStyle w:val="FootnoteReference"/>
        </w:rPr>
        <w:footnoteRef/>
      </w:r>
      <w:r>
        <w:t xml:space="preserve"> </w:t>
      </w:r>
      <w:r w:rsidRPr="004176E1">
        <w:t>Worldwide Governance Indicators (WGI), World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3C9D" w14:textId="4B2D02BA" w:rsidR="002D1345" w:rsidRDefault="00DD5892">
    <w:pPr>
      <w:pStyle w:val="Header"/>
    </w:pPr>
    <w:r>
      <w:rPr>
        <w:noProof/>
      </w:rPr>
      <w:pict w14:anchorId="75294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A088" w14:textId="752816CE" w:rsidR="002D1345" w:rsidRDefault="00DD5892">
    <w:pPr>
      <w:pStyle w:val="Header"/>
    </w:pPr>
    <w:r>
      <w:rPr>
        <w:noProof/>
      </w:rPr>
      <w:pict w14:anchorId="0542F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1988" w14:textId="2EDFB895" w:rsidR="00296529" w:rsidRPr="00296529" w:rsidRDefault="00DD5892" w:rsidP="00296529">
    <w:pPr>
      <w:ind w:left="2160"/>
      <w:jc w:val="center"/>
      <w:rPr>
        <w:rFonts w:ascii="Times New Roman" w:eastAsia="Calibri" w:hAnsi="Times New Roman"/>
        <w:i/>
        <w:sz w:val="18"/>
        <w:szCs w:val="22"/>
      </w:rPr>
    </w:pPr>
    <w:r>
      <w:rPr>
        <w:noProof/>
      </w:rPr>
      <w:pict w14:anchorId="0B0A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EE55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49E9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EC8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6C02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A588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80061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EC6E" w14:textId="20D2EBC1" w:rsidR="002D1345" w:rsidRDefault="00DD5892">
    <w:pPr>
      <w:pStyle w:val="Header"/>
    </w:pPr>
    <w:r>
      <w:rPr>
        <w:noProof/>
      </w:rPr>
      <w:pict w14:anchorId="2268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6CE3" w14:textId="1DE0CF39" w:rsidR="002D1345" w:rsidRDefault="00DD5892">
    <w:pPr>
      <w:pStyle w:val="Header"/>
    </w:pPr>
    <w:r>
      <w:rPr>
        <w:noProof/>
      </w:rPr>
      <w:pict w14:anchorId="5AF2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35ED" w14:textId="168FB603" w:rsidR="002D1345" w:rsidRDefault="00DD5892">
    <w:pPr>
      <w:pStyle w:val="Header"/>
    </w:pPr>
    <w:r>
      <w:rPr>
        <w:noProof/>
      </w:rPr>
      <w:pict w14:anchorId="3F2F5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FC48DE"/>
    <w:multiLevelType w:val="multilevel"/>
    <w:tmpl w:val="5EC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44F3B"/>
    <w:multiLevelType w:val="multilevel"/>
    <w:tmpl w:val="B49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A2928"/>
    <w:multiLevelType w:val="multilevel"/>
    <w:tmpl w:val="3D36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C3BB5"/>
    <w:multiLevelType w:val="multilevel"/>
    <w:tmpl w:val="8E1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B45D93"/>
    <w:multiLevelType w:val="hybridMultilevel"/>
    <w:tmpl w:val="9B22F0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8245BA"/>
    <w:multiLevelType w:val="multilevel"/>
    <w:tmpl w:val="890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E15747"/>
    <w:multiLevelType w:val="multilevel"/>
    <w:tmpl w:val="FEF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B7761"/>
    <w:multiLevelType w:val="multilevel"/>
    <w:tmpl w:val="047E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D2D6B"/>
    <w:multiLevelType w:val="multilevel"/>
    <w:tmpl w:val="5F90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A0386"/>
    <w:multiLevelType w:val="multilevel"/>
    <w:tmpl w:val="950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B278AB"/>
    <w:multiLevelType w:val="multilevel"/>
    <w:tmpl w:val="04DA5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1CC15CF"/>
    <w:multiLevelType w:val="multilevel"/>
    <w:tmpl w:val="D4CE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0C7974"/>
    <w:multiLevelType w:val="multilevel"/>
    <w:tmpl w:val="647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00831"/>
    <w:multiLevelType w:val="multilevel"/>
    <w:tmpl w:val="B2282D7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330688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0640503">
    <w:abstractNumId w:val="24"/>
  </w:num>
  <w:num w:numId="3" w16cid:durableId="476189893">
    <w:abstractNumId w:val="37"/>
  </w:num>
  <w:num w:numId="4" w16cid:durableId="17522366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0805160">
    <w:abstractNumId w:val="11"/>
  </w:num>
  <w:num w:numId="6" w16cid:durableId="2080321704">
    <w:abstractNumId w:val="6"/>
  </w:num>
  <w:num w:numId="7" w16cid:durableId="446386051">
    <w:abstractNumId w:val="1"/>
  </w:num>
  <w:num w:numId="8" w16cid:durableId="461658534">
    <w:abstractNumId w:val="17"/>
  </w:num>
  <w:num w:numId="9" w16cid:durableId="1150828710">
    <w:abstractNumId w:val="39"/>
  </w:num>
  <w:num w:numId="10" w16cid:durableId="1891304074">
    <w:abstractNumId w:val="2"/>
  </w:num>
  <w:num w:numId="11" w16cid:durableId="65685740">
    <w:abstractNumId w:val="30"/>
  </w:num>
  <w:num w:numId="12" w16cid:durableId="467821380">
    <w:abstractNumId w:val="3"/>
  </w:num>
  <w:num w:numId="13" w16cid:durableId="1877615803">
    <w:abstractNumId w:val="28"/>
  </w:num>
  <w:num w:numId="14" w16cid:durableId="1445878410">
    <w:abstractNumId w:val="12"/>
  </w:num>
  <w:num w:numId="15" w16cid:durableId="1623489947">
    <w:abstractNumId w:val="35"/>
  </w:num>
  <w:num w:numId="16" w16cid:durableId="1841116311">
    <w:abstractNumId w:val="5"/>
  </w:num>
  <w:num w:numId="17" w16cid:durableId="1982465037">
    <w:abstractNumId w:val="36"/>
  </w:num>
  <w:num w:numId="18" w16cid:durableId="1875920116">
    <w:abstractNumId w:val="19"/>
  </w:num>
  <w:num w:numId="19" w16cid:durableId="1438016168">
    <w:abstractNumId w:val="42"/>
  </w:num>
  <w:num w:numId="20" w16cid:durableId="1352561254">
    <w:abstractNumId w:val="16"/>
  </w:num>
  <w:num w:numId="21" w16cid:durableId="1521889992">
    <w:abstractNumId w:val="14"/>
  </w:num>
  <w:num w:numId="22" w16cid:durableId="679889738">
    <w:abstractNumId w:val="18"/>
  </w:num>
  <w:num w:numId="23" w16cid:durableId="399669283">
    <w:abstractNumId w:val="33"/>
  </w:num>
  <w:num w:numId="24" w16cid:durableId="1506171012">
    <w:abstractNumId w:val="40"/>
  </w:num>
  <w:num w:numId="25" w16cid:durableId="1830168856">
    <w:abstractNumId w:val="4"/>
  </w:num>
  <w:num w:numId="26" w16cid:durableId="604505844">
    <w:abstractNumId w:val="25"/>
  </w:num>
  <w:num w:numId="27" w16cid:durableId="918291375">
    <w:abstractNumId w:val="34"/>
  </w:num>
  <w:num w:numId="28" w16cid:durableId="1159999374">
    <w:abstractNumId w:val="41"/>
  </w:num>
  <w:num w:numId="29" w16cid:durableId="1648704763">
    <w:abstractNumId w:val="38"/>
  </w:num>
  <w:num w:numId="30" w16cid:durableId="545727290">
    <w:abstractNumId w:val="15"/>
  </w:num>
  <w:num w:numId="31" w16cid:durableId="1802530972">
    <w:abstractNumId w:val="22"/>
  </w:num>
  <w:num w:numId="32" w16cid:durableId="676344213">
    <w:abstractNumId w:val="8"/>
  </w:num>
  <w:num w:numId="33" w16cid:durableId="295260314">
    <w:abstractNumId w:val="26"/>
  </w:num>
  <w:num w:numId="34" w16cid:durableId="1439907429">
    <w:abstractNumId w:val="20"/>
  </w:num>
  <w:num w:numId="35" w16cid:durableId="2070415550">
    <w:abstractNumId w:val="21"/>
  </w:num>
  <w:num w:numId="36" w16cid:durableId="1212963385">
    <w:abstractNumId w:val="13"/>
  </w:num>
  <w:num w:numId="37" w16cid:durableId="662586694">
    <w:abstractNumId w:val="32"/>
  </w:num>
  <w:num w:numId="38" w16cid:durableId="446509768">
    <w:abstractNumId w:val="29"/>
  </w:num>
  <w:num w:numId="39" w16cid:durableId="1116871918">
    <w:abstractNumId w:val="9"/>
  </w:num>
  <w:num w:numId="40" w16cid:durableId="231087458">
    <w:abstractNumId w:val="10"/>
  </w:num>
  <w:num w:numId="41" w16cid:durableId="152071281">
    <w:abstractNumId w:val="7"/>
  </w:num>
  <w:num w:numId="42" w16cid:durableId="957418680">
    <w:abstractNumId w:val="23"/>
  </w:num>
  <w:num w:numId="43" w16cid:durableId="809177526">
    <w:abstractNumId w:val="31"/>
  </w:num>
  <w:num w:numId="44" w16cid:durableId="10597842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MzQwt7CwtDQwMTBX0lEKTi0uzszPAykwrAUAYTgboSwAAAA="/>
  </w:docVars>
  <w:rsids>
    <w:rsidRoot w:val="00AA6219"/>
    <w:rsid w:val="00000F8F"/>
    <w:rsid w:val="00030174"/>
    <w:rsid w:val="0004579C"/>
    <w:rsid w:val="00077C83"/>
    <w:rsid w:val="000A023C"/>
    <w:rsid w:val="000A47FA"/>
    <w:rsid w:val="000A65D3"/>
    <w:rsid w:val="000B1E33"/>
    <w:rsid w:val="000D689F"/>
    <w:rsid w:val="000E7A79"/>
    <w:rsid w:val="000E7B7B"/>
    <w:rsid w:val="000E7D62"/>
    <w:rsid w:val="00103357"/>
    <w:rsid w:val="00123C9F"/>
    <w:rsid w:val="00126190"/>
    <w:rsid w:val="00130F17"/>
    <w:rsid w:val="001320BF"/>
    <w:rsid w:val="001427D2"/>
    <w:rsid w:val="001514BC"/>
    <w:rsid w:val="00163BC4"/>
    <w:rsid w:val="00191062"/>
    <w:rsid w:val="00192B72"/>
    <w:rsid w:val="001A29D8"/>
    <w:rsid w:val="001A5CAA"/>
    <w:rsid w:val="001B0427"/>
    <w:rsid w:val="001D3A51"/>
    <w:rsid w:val="001E10D2"/>
    <w:rsid w:val="001E25B4"/>
    <w:rsid w:val="001E44FE"/>
    <w:rsid w:val="00200595"/>
    <w:rsid w:val="00204835"/>
    <w:rsid w:val="00221773"/>
    <w:rsid w:val="00231920"/>
    <w:rsid w:val="0023195C"/>
    <w:rsid w:val="0024282C"/>
    <w:rsid w:val="002460DC"/>
    <w:rsid w:val="00250985"/>
    <w:rsid w:val="002556F6"/>
    <w:rsid w:val="00283105"/>
    <w:rsid w:val="00284C4C"/>
    <w:rsid w:val="00287E68"/>
    <w:rsid w:val="00296529"/>
    <w:rsid w:val="002B27FB"/>
    <w:rsid w:val="002B685A"/>
    <w:rsid w:val="002C57D2"/>
    <w:rsid w:val="002D1345"/>
    <w:rsid w:val="002E0D56"/>
    <w:rsid w:val="00315186"/>
    <w:rsid w:val="0033343E"/>
    <w:rsid w:val="00333DC7"/>
    <w:rsid w:val="003512C2"/>
    <w:rsid w:val="00371FB6"/>
    <w:rsid w:val="003763C1"/>
    <w:rsid w:val="00376BBE"/>
    <w:rsid w:val="00387C97"/>
    <w:rsid w:val="0039224F"/>
    <w:rsid w:val="003A43A4"/>
    <w:rsid w:val="003A7E18"/>
    <w:rsid w:val="003C4C86"/>
    <w:rsid w:val="003C6258"/>
    <w:rsid w:val="003E2904"/>
    <w:rsid w:val="00401927"/>
    <w:rsid w:val="004024A9"/>
    <w:rsid w:val="0041027F"/>
    <w:rsid w:val="00412475"/>
    <w:rsid w:val="00423789"/>
    <w:rsid w:val="00440F43"/>
    <w:rsid w:val="00441B6F"/>
    <w:rsid w:val="00446221"/>
    <w:rsid w:val="00450E62"/>
    <w:rsid w:val="004539DB"/>
    <w:rsid w:val="00471A80"/>
    <w:rsid w:val="0049037B"/>
    <w:rsid w:val="004A09D7"/>
    <w:rsid w:val="004A3BD7"/>
    <w:rsid w:val="004D305E"/>
    <w:rsid w:val="004D4277"/>
    <w:rsid w:val="00502516"/>
    <w:rsid w:val="00505F06"/>
    <w:rsid w:val="00506828"/>
    <w:rsid w:val="00514693"/>
    <w:rsid w:val="0053056E"/>
    <w:rsid w:val="0055194C"/>
    <w:rsid w:val="00554FDA"/>
    <w:rsid w:val="005A47EE"/>
    <w:rsid w:val="005C784C"/>
    <w:rsid w:val="005D17F6"/>
    <w:rsid w:val="005E5539"/>
    <w:rsid w:val="00602BF5"/>
    <w:rsid w:val="006074D0"/>
    <w:rsid w:val="00617FDD"/>
    <w:rsid w:val="00633614"/>
    <w:rsid w:val="00633F68"/>
    <w:rsid w:val="00636EB2"/>
    <w:rsid w:val="006375B8"/>
    <w:rsid w:val="0066510A"/>
    <w:rsid w:val="00673F9F"/>
    <w:rsid w:val="00685F35"/>
    <w:rsid w:val="00686953"/>
    <w:rsid w:val="00687DEA"/>
    <w:rsid w:val="00687E67"/>
    <w:rsid w:val="006967F7"/>
    <w:rsid w:val="006A250C"/>
    <w:rsid w:val="006B21D3"/>
    <w:rsid w:val="006B57D0"/>
    <w:rsid w:val="006D30FF"/>
    <w:rsid w:val="006D4015"/>
    <w:rsid w:val="006D6940"/>
    <w:rsid w:val="006F11EC"/>
    <w:rsid w:val="0070082C"/>
    <w:rsid w:val="007369E6"/>
    <w:rsid w:val="00746E59"/>
    <w:rsid w:val="00754C9A"/>
    <w:rsid w:val="0075599A"/>
    <w:rsid w:val="00761D52"/>
    <w:rsid w:val="00775235"/>
    <w:rsid w:val="0077749E"/>
    <w:rsid w:val="00790ADA"/>
    <w:rsid w:val="007D2288"/>
    <w:rsid w:val="007E088F"/>
    <w:rsid w:val="007F7B32"/>
    <w:rsid w:val="00804BC2"/>
    <w:rsid w:val="00813633"/>
    <w:rsid w:val="0081431A"/>
    <w:rsid w:val="0083216F"/>
    <w:rsid w:val="00860000"/>
    <w:rsid w:val="00863BD3"/>
    <w:rsid w:val="008641ED"/>
    <w:rsid w:val="00866D66"/>
    <w:rsid w:val="008671C6"/>
    <w:rsid w:val="00875803"/>
    <w:rsid w:val="00882FD8"/>
    <w:rsid w:val="008B459E"/>
    <w:rsid w:val="008E13AE"/>
    <w:rsid w:val="008E1506"/>
    <w:rsid w:val="008E710C"/>
    <w:rsid w:val="008F69D6"/>
    <w:rsid w:val="00902823"/>
    <w:rsid w:val="00915CA6"/>
    <w:rsid w:val="00927834"/>
    <w:rsid w:val="009500A6"/>
    <w:rsid w:val="00957C18"/>
    <w:rsid w:val="009659BA"/>
    <w:rsid w:val="00983040"/>
    <w:rsid w:val="00996413"/>
    <w:rsid w:val="009B3FB9"/>
    <w:rsid w:val="009C2465"/>
    <w:rsid w:val="009C6735"/>
    <w:rsid w:val="009D095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CF2"/>
    <w:rsid w:val="00AC6BB8"/>
    <w:rsid w:val="00AE008F"/>
    <w:rsid w:val="00B01FCD"/>
    <w:rsid w:val="00B07D49"/>
    <w:rsid w:val="00B1776C"/>
    <w:rsid w:val="00B52583"/>
    <w:rsid w:val="00B52896"/>
    <w:rsid w:val="00B95236"/>
    <w:rsid w:val="00B96BD9"/>
    <w:rsid w:val="00B96D79"/>
    <w:rsid w:val="00BA1B01"/>
    <w:rsid w:val="00BA2641"/>
    <w:rsid w:val="00BB37AA"/>
    <w:rsid w:val="00BC53A0"/>
    <w:rsid w:val="00BD530D"/>
    <w:rsid w:val="00BE62AD"/>
    <w:rsid w:val="00BF121F"/>
    <w:rsid w:val="00BF1F80"/>
    <w:rsid w:val="00C02A2C"/>
    <w:rsid w:val="00C166EF"/>
    <w:rsid w:val="00C17EB0"/>
    <w:rsid w:val="00C27F5F"/>
    <w:rsid w:val="00C30A0F"/>
    <w:rsid w:val="00C37E61"/>
    <w:rsid w:val="00C70F1B"/>
    <w:rsid w:val="00C71A47"/>
    <w:rsid w:val="00C7464C"/>
    <w:rsid w:val="00C85588"/>
    <w:rsid w:val="00CC557A"/>
    <w:rsid w:val="00CD6755"/>
    <w:rsid w:val="00CD6856"/>
    <w:rsid w:val="00CE0089"/>
    <w:rsid w:val="00CE37D5"/>
    <w:rsid w:val="00CE793C"/>
    <w:rsid w:val="00CF193C"/>
    <w:rsid w:val="00D173F1"/>
    <w:rsid w:val="00D23C4B"/>
    <w:rsid w:val="00D74CB0"/>
    <w:rsid w:val="00D8295D"/>
    <w:rsid w:val="00DC2A65"/>
    <w:rsid w:val="00DD589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DD2"/>
    <w:rsid w:val="00EC6A55"/>
    <w:rsid w:val="00ED0288"/>
    <w:rsid w:val="00EE52CB"/>
    <w:rsid w:val="00EF08F8"/>
    <w:rsid w:val="00EF581D"/>
    <w:rsid w:val="00EF7FD8"/>
    <w:rsid w:val="00F06F59"/>
    <w:rsid w:val="00F17988"/>
    <w:rsid w:val="00F469F0"/>
    <w:rsid w:val="00F53273"/>
    <w:rsid w:val="00F755E4"/>
    <w:rsid w:val="00F77D02"/>
    <w:rsid w:val="00F860BA"/>
    <w:rsid w:val="00FB3A86"/>
    <w:rsid w:val="00FD36C8"/>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A4EB6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A09D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09D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09D7"/>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09D7"/>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09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09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09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09D7"/>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A09D7"/>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4A09D7"/>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4A09D7"/>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4A09D7"/>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4A09D7"/>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4A09D7"/>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4A09D7"/>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4A09D7"/>
    <w:rPr>
      <w:rFonts w:asciiTheme="minorHAnsi" w:eastAsiaTheme="majorEastAsia" w:hAnsiTheme="minorHAnsi" w:cstheme="majorBidi"/>
      <w:color w:val="272727" w:themeColor="text1" w:themeTint="D8"/>
      <w:kern w:val="2"/>
      <w:sz w:val="22"/>
      <w:szCs w:val="22"/>
    </w:rPr>
  </w:style>
  <w:style w:type="character" w:customStyle="1" w:styleId="Heading1Char">
    <w:name w:val="Heading 1 Char"/>
    <w:basedOn w:val="DefaultParagraphFont"/>
    <w:link w:val="Heading1"/>
    <w:uiPriority w:val="9"/>
    <w:rsid w:val="004A09D7"/>
    <w:rPr>
      <w:rFonts w:ascii="Arial" w:hAnsi="Arial"/>
      <w:b/>
      <w:kern w:val="28"/>
      <w:sz w:val="28"/>
    </w:rPr>
  </w:style>
  <w:style w:type="character" w:customStyle="1" w:styleId="TitleChar">
    <w:name w:val="Title Char"/>
    <w:basedOn w:val="DefaultParagraphFont"/>
    <w:link w:val="Title"/>
    <w:uiPriority w:val="10"/>
    <w:rsid w:val="004A09D7"/>
    <w:rPr>
      <w:rFonts w:ascii="Helvetica" w:hAnsi="Helvetica"/>
      <w:b/>
      <w:kern w:val="28"/>
      <w:sz w:val="36"/>
    </w:rPr>
  </w:style>
  <w:style w:type="paragraph" w:styleId="Subtitle">
    <w:name w:val="Subtitle"/>
    <w:basedOn w:val="Normal"/>
    <w:next w:val="Normal"/>
    <w:link w:val="SubtitleChar"/>
    <w:uiPriority w:val="11"/>
    <w:qFormat/>
    <w:rsid w:val="004A09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A09D7"/>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4A09D7"/>
    <w:pPr>
      <w:spacing w:before="160" w:after="160" w:line="259" w:lineRule="auto"/>
      <w:jc w:val="center"/>
    </w:pPr>
    <w:rPr>
      <w:rFonts w:ascii="Times New Roman" w:eastAsiaTheme="minorHAnsi" w:hAnsi="Times New Roman"/>
      <w:i/>
      <w:iCs/>
      <w:color w:val="404040" w:themeColor="text1" w:themeTint="BF"/>
      <w:kern w:val="2"/>
      <w:sz w:val="22"/>
      <w:szCs w:val="22"/>
    </w:rPr>
  </w:style>
  <w:style w:type="character" w:customStyle="1" w:styleId="QuoteChar">
    <w:name w:val="Quote Char"/>
    <w:basedOn w:val="DefaultParagraphFont"/>
    <w:link w:val="Quote"/>
    <w:uiPriority w:val="29"/>
    <w:rsid w:val="004A09D7"/>
    <w:rPr>
      <w:rFonts w:eastAsiaTheme="minorHAnsi"/>
      <w:i/>
      <w:iCs/>
      <w:color w:val="404040" w:themeColor="text1" w:themeTint="BF"/>
      <w:kern w:val="2"/>
      <w:sz w:val="22"/>
      <w:szCs w:val="22"/>
    </w:rPr>
  </w:style>
  <w:style w:type="paragraph" w:styleId="ListParagraph">
    <w:name w:val="List Paragraph"/>
    <w:basedOn w:val="Normal"/>
    <w:uiPriority w:val="34"/>
    <w:qFormat/>
    <w:rsid w:val="004A09D7"/>
    <w:pPr>
      <w:spacing w:after="160" w:line="259" w:lineRule="auto"/>
      <w:ind w:left="720"/>
      <w:contextualSpacing/>
    </w:pPr>
    <w:rPr>
      <w:rFonts w:ascii="Times New Roman" w:eastAsiaTheme="minorHAnsi" w:hAnsi="Times New Roman"/>
      <w:kern w:val="2"/>
      <w:sz w:val="22"/>
      <w:szCs w:val="22"/>
    </w:rPr>
  </w:style>
  <w:style w:type="character" w:styleId="IntenseEmphasis">
    <w:name w:val="Intense Emphasis"/>
    <w:basedOn w:val="DefaultParagraphFont"/>
    <w:uiPriority w:val="21"/>
    <w:qFormat/>
    <w:rsid w:val="004A09D7"/>
    <w:rPr>
      <w:i/>
      <w:iCs/>
      <w:color w:val="365F91" w:themeColor="accent1" w:themeShade="BF"/>
    </w:rPr>
  </w:style>
  <w:style w:type="paragraph" w:styleId="IntenseQuote">
    <w:name w:val="Intense Quote"/>
    <w:basedOn w:val="Normal"/>
    <w:next w:val="Normal"/>
    <w:link w:val="IntenseQuoteChar"/>
    <w:uiPriority w:val="30"/>
    <w:qFormat/>
    <w:rsid w:val="004A09D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eastAsiaTheme="minorHAnsi" w:hAnsi="Times New Roman"/>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09D7"/>
    <w:rPr>
      <w:rFonts w:eastAsiaTheme="minorHAnsi"/>
      <w:i/>
      <w:iCs/>
      <w:color w:val="365F91" w:themeColor="accent1" w:themeShade="BF"/>
      <w:kern w:val="2"/>
      <w:sz w:val="22"/>
      <w:szCs w:val="22"/>
    </w:rPr>
  </w:style>
  <w:style w:type="character" w:styleId="IntenseReference">
    <w:name w:val="Intense Reference"/>
    <w:basedOn w:val="DefaultParagraphFont"/>
    <w:uiPriority w:val="32"/>
    <w:qFormat/>
    <w:rsid w:val="004A09D7"/>
    <w:rPr>
      <w:b/>
      <w:bCs/>
      <w:smallCaps/>
      <w:color w:val="365F91" w:themeColor="accent1" w:themeShade="BF"/>
      <w:spacing w:val="5"/>
    </w:rPr>
  </w:style>
  <w:style w:type="character" w:styleId="PlaceholderText">
    <w:name w:val="Placeholder Text"/>
    <w:basedOn w:val="DefaultParagraphFont"/>
    <w:uiPriority w:val="99"/>
    <w:semiHidden/>
    <w:rsid w:val="004A09D7"/>
    <w:rPr>
      <w:color w:val="666666"/>
    </w:rPr>
  </w:style>
  <w:style w:type="paragraph" w:styleId="FootnoteText">
    <w:name w:val="footnote text"/>
    <w:basedOn w:val="Normal"/>
    <w:link w:val="FootnoteTextChar"/>
    <w:uiPriority w:val="99"/>
    <w:semiHidden/>
    <w:unhideWhenUsed/>
    <w:rsid w:val="004A09D7"/>
    <w:rPr>
      <w:rFonts w:ascii="Times New Roman" w:eastAsiaTheme="minorHAnsi" w:hAnsi="Times New Roman"/>
      <w:kern w:val="2"/>
    </w:rPr>
  </w:style>
  <w:style w:type="character" w:customStyle="1" w:styleId="FootnoteTextChar">
    <w:name w:val="Footnote Text Char"/>
    <w:basedOn w:val="DefaultParagraphFont"/>
    <w:link w:val="FootnoteText"/>
    <w:uiPriority w:val="99"/>
    <w:semiHidden/>
    <w:rsid w:val="004A09D7"/>
    <w:rPr>
      <w:rFonts w:eastAsiaTheme="minorHAnsi"/>
      <w:kern w:val="2"/>
    </w:rPr>
  </w:style>
  <w:style w:type="character" w:styleId="FootnoteReference">
    <w:name w:val="footnote reference"/>
    <w:basedOn w:val="DefaultParagraphFont"/>
    <w:uiPriority w:val="99"/>
    <w:semiHidden/>
    <w:unhideWhenUsed/>
    <w:rsid w:val="004A09D7"/>
    <w:rPr>
      <w:vertAlign w:val="superscript"/>
    </w:rPr>
  </w:style>
  <w:style w:type="table" w:customStyle="1" w:styleId="TableGrid1">
    <w:name w:val="Table Grid1"/>
    <w:basedOn w:val="TableNormal"/>
    <w:next w:val="TableGrid"/>
    <w:uiPriority w:val="39"/>
    <w:rsid w:val="004A09D7"/>
    <w:rPr>
      <w:rFonts w:eastAsia="Aptos"/>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09D7"/>
    <w:rPr>
      <w:rFonts w:eastAsiaTheme="minorHAnsi"/>
      <w:kern w:val="2"/>
      <w:sz w:val="22"/>
      <w:szCs w:val="22"/>
    </w:rPr>
  </w:style>
  <w:style w:type="character" w:styleId="UnresolvedMention">
    <w:name w:val="Unresolved Mention"/>
    <w:basedOn w:val="DefaultParagraphFont"/>
    <w:uiPriority w:val="99"/>
    <w:semiHidden/>
    <w:unhideWhenUsed/>
    <w:rsid w:val="0055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ccessecon.com/Pubs/EB/2023/Volume43/EB-23-V43-I4-P163.pdf?utm_source=chatgpt.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21582440241297090"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B98C2-23B3-4B5D-A4BD-C5302FD7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13</Pages>
  <Words>5683</Words>
  <Characters>35371</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t85035</cp:lastModifiedBy>
  <cp:revision>28</cp:revision>
  <cp:lastPrinted>1999-07-06T11:00:00Z</cp:lastPrinted>
  <dcterms:created xsi:type="dcterms:W3CDTF">2014-10-25T14:34:00Z</dcterms:created>
  <dcterms:modified xsi:type="dcterms:W3CDTF">2025-10-07T16:29:00Z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03de4796-4631-48fd-ab5e-92dea0ecd835</vt:lpwstr>
  </property>
</Properties>
</file>