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4C9A" w:rsidRDefault="00754C9A" w:rsidP="00441B6F">
      <w:pPr>
        <w:pStyle w:val="Title"/>
        <w:spacing w:after="0"/>
        <w:jc w:val="both"/>
        <w:rPr>
          <w:rFonts w:ascii="Arial" w:hAnsi="Arial" w:cs="Arial"/>
        </w:rPr>
      </w:pPr>
    </w:p>
    <w:p w:rsidR="007B7317" w:rsidRPr="00163BC4" w:rsidRDefault="007B7317" w:rsidP="00A43582">
      <w:pPr>
        <w:pStyle w:val="Author"/>
        <w:spacing w:line="240" w:lineRule="auto"/>
        <w:rPr>
          <w:rFonts w:ascii="Arial" w:hAnsi="Arial" w:cs="Arial"/>
          <w:bCs/>
          <w:iCs/>
          <w:kern w:val="28"/>
          <w:sz w:val="36"/>
        </w:rPr>
      </w:pPr>
      <w:r>
        <w:t>ESG Score and Financial Performance in Indo</w:t>
      </w:r>
      <w:bookmarkStart w:id="0" w:name="_GoBack"/>
      <w:bookmarkEnd w:id="0"/>
      <w:r>
        <w:t>nesian Energy Companies: The Moderating Role of Digital Transformation</w:t>
      </w:r>
    </w:p>
    <w:p w:rsidR="00A258C3" w:rsidRPr="00790ADA" w:rsidRDefault="00A258C3" w:rsidP="00441B6F">
      <w:pPr>
        <w:pStyle w:val="Author"/>
        <w:spacing w:line="240" w:lineRule="auto"/>
        <w:jc w:val="both"/>
        <w:rPr>
          <w:rFonts w:ascii="Arial" w:hAnsi="Arial" w:cs="Arial"/>
          <w:sz w:val="36"/>
        </w:rPr>
      </w:pPr>
    </w:p>
    <w:p w:rsidR="00B01FCD" w:rsidRPr="0083216F" w:rsidRDefault="00B01FCD" w:rsidP="00441B6F">
      <w:pPr>
        <w:pStyle w:val="Affiliation"/>
        <w:spacing w:after="0" w:line="240" w:lineRule="auto"/>
        <w:rPr>
          <w:rFonts w:ascii="Arial" w:hAnsi="Arial" w:cs="Arial"/>
          <w:i/>
        </w:rPr>
      </w:pPr>
    </w:p>
    <w:p w:rsidR="00633614" w:rsidRDefault="00633614" w:rsidP="00441B6F">
      <w:pPr>
        <w:pStyle w:val="Affiliation"/>
        <w:spacing w:after="0" w:line="240" w:lineRule="auto"/>
        <w:rPr>
          <w:rFonts w:ascii="Arial" w:hAnsi="Arial" w:cs="Arial"/>
          <w:i/>
        </w:rPr>
      </w:pPr>
    </w:p>
    <w:p w:rsidR="00790ADA" w:rsidRDefault="00790ADA" w:rsidP="00441B6F">
      <w:pPr>
        <w:pStyle w:val="Affiliation"/>
        <w:spacing w:after="0" w:line="240" w:lineRule="auto"/>
        <w:jc w:val="both"/>
        <w:rPr>
          <w:rFonts w:ascii="Arial" w:hAnsi="Arial" w:cs="Arial"/>
        </w:rPr>
      </w:pPr>
    </w:p>
    <w:p w:rsidR="002C57D2" w:rsidRPr="00FB3A86" w:rsidRDefault="002C57D2" w:rsidP="00441B6F">
      <w:pPr>
        <w:pStyle w:val="Affiliation"/>
        <w:spacing w:after="0" w:line="240" w:lineRule="auto"/>
        <w:jc w:val="both"/>
        <w:rPr>
          <w:rFonts w:ascii="Arial" w:hAnsi="Arial" w:cs="Arial"/>
        </w:rPr>
      </w:pPr>
    </w:p>
    <w:p w:rsidR="00B01FCD" w:rsidRPr="00FB3A86" w:rsidRDefault="008939FE" w:rsidP="00441B6F">
      <w:pPr>
        <w:pStyle w:val="Copyright"/>
        <w:spacing w:after="0" w:line="240" w:lineRule="auto"/>
        <w:jc w:val="both"/>
        <w:rPr>
          <w:rFonts w:ascii="Arial" w:hAnsi="Arial" w:cs="Arial"/>
        </w:rPr>
        <w:sectPr w:rsidR="00B01FCD" w:rsidRPr="00FB3A86" w:rsidSect="00412475">
          <w:headerReference w:type="first" r:id="rId8"/>
          <w:footerReference w:type="first" r:id="rId9"/>
          <w:pgSz w:w="12240" w:h="15840" w:code="1"/>
          <w:pgMar w:top="1440" w:right="2016" w:bottom="2016" w:left="2016" w:header="720" w:footer="1296" w:gutter="0"/>
          <w:lnNumType w:countBy="1" w:restart="continuous"/>
          <w:cols w:space="720"/>
          <w:docGrid w:linePitch="272"/>
        </w:sectPr>
      </w:pPr>
      <w:r>
        <w:rPr>
          <w:rFonts w:ascii="Arial" w:hAnsi="Arial" w:cs="Arial"/>
          <w:noProof/>
        </w:rPr>
      </w:r>
      <w:r>
        <w:rPr>
          <w:rFonts w:ascii="Arial" w:hAnsi="Arial" w:cs="Arial"/>
          <w:noProof/>
        </w:rPr>
        <w:pict>
          <v:shapetype id="_x0000_t32" coordsize="21600,21600" o:spt="32" o:oned="t" path="m,l21600,21600e" filled="f">
            <v:path arrowok="t" fillok="f" o:connecttype="none"/>
            <o:lock v:ext="edit" shapetype="t"/>
          </v:shapetype>
          <v:shape id="AutoShape 2" o:spid="_x0000_s1026" type="#_x0000_t32" style="width:417.6pt;height:.0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" strokeweight="1.5pt">
            <w10:wrap type="none"/>
            <w10:anchorlock/>
          </v:shape>
        </w:pict>
      </w:r>
      <w:r w:rsidR="00FB3A86">
        <w:rPr>
          <w:rFonts w:ascii="Arial" w:hAnsi="Arial" w:cs="Arial"/>
        </w:rPr>
        <w:t>.</w:t>
      </w:r>
    </w:p>
    <w:tbl>
      <w:tblPr>
        <w:tblpPr w:leftFromText="180" w:rightFromText="180" w:vertAnchor="text" w:horzAnchor="margin" w:tblpY="56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tblPr>
      <w:tblGrid>
        <w:gridCol w:w="8424"/>
      </w:tblGrid>
      <w:tr w:rsidR="00A137C1" w:rsidRPr="001E44FE" w:rsidTr="0025619F">
        <w:trPr>
          <w:trHeight w:val="4527"/>
        </w:trPr>
        <w:tc>
          <w:tcPr>
            <w:tcW w:w="8424" w:type="dxa"/>
            <w:shd w:val="clear" w:color="auto" w:fill="F2F2F2"/>
          </w:tcPr>
          <w:p w:rsidR="00A137C1" w:rsidRDefault="00A137C1" w:rsidP="00A137C1">
            <w:pPr>
              <w:pStyle w:val="Body"/>
              <w:spacing w:after="0"/>
              <w:rPr>
                <w:rFonts w:ascii="Arial" w:eastAsia="Calibri" w:hAnsi="Arial" w:cs="Arial"/>
                <w:szCs w:val="22"/>
              </w:rPr>
            </w:pPr>
            <w:r w:rsidRPr="00BA1B01">
              <w:rPr>
                <w:rFonts w:ascii="Arial" w:eastAsia="Calibri" w:hAnsi="Arial" w:cs="Arial"/>
                <w:b/>
                <w:szCs w:val="22"/>
              </w:rPr>
              <w:t xml:space="preserve">Aims: </w:t>
            </w:r>
            <w:r w:rsidRPr="000761F9">
              <w:rPr>
                <w:rFonts w:ascii="Arial" w:eastAsia="Calibri" w:hAnsi="Arial" w:cs="Arial"/>
                <w:szCs w:val="22"/>
              </w:rPr>
              <w:t>To examine the influence of ESG score on financial performance of Indonesian energy companies and evaluate digital transformation as a moderating variable.</w:t>
            </w:r>
          </w:p>
          <w:p w:rsidR="00A137C1" w:rsidRPr="00BA1B01" w:rsidRDefault="00A137C1" w:rsidP="00A137C1">
            <w:pPr>
              <w:pStyle w:val="Body"/>
              <w:spacing w:after="0"/>
              <w:rPr>
                <w:rFonts w:ascii="Arial" w:eastAsia="Calibri" w:hAnsi="Arial" w:cs="Arial"/>
                <w:szCs w:val="22"/>
              </w:rPr>
            </w:pPr>
            <w:r w:rsidRPr="00BA1B01">
              <w:rPr>
                <w:rFonts w:ascii="Arial" w:eastAsia="Calibri" w:hAnsi="Arial" w:cs="Arial"/>
                <w:b/>
                <w:szCs w:val="22"/>
              </w:rPr>
              <w:t>Study design:</w:t>
            </w:r>
            <w:r w:rsidRPr="000761F9">
              <w:rPr>
                <w:rFonts w:ascii="Arial" w:eastAsia="Calibri" w:hAnsi="Arial" w:cs="Arial"/>
                <w:szCs w:val="22"/>
              </w:rPr>
              <w:t>Causal research with quantitative approach using secondary data analysis.</w:t>
            </w:r>
          </w:p>
          <w:p w:rsidR="00A137C1" w:rsidRPr="00BA1B01" w:rsidRDefault="00A137C1" w:rsidP="00A137C1">
            <w:pPr>
              <w:pStyle w:val="Body"/>
              <w:spacing w:after="0"/>
              <w:rPr>
                <w:rFonts w:ascii="Arial" w:eastAsia="Calibri" w:hAnsi="Arial" w:cs="Arial"/>
                <w:szCs w:val="22"/>
              </w:rPr>
            </w:pPr>
            <w:r w:rsidRPr="00BA1B01">
              <w:rPr>
                <w:rFonts w:ascii="Arial" w:eastAsia="Calibri" w:hAnsi="Arial" w:cs="Arial"/>
                <w:b/>
                <w:szCs w:val="22"/>
              </w:rPr>
              <w:t>Place and Duration of Study:</w:t>
            </w:r>
            <w:r w:rsidRPr="000761F9">
              <w:rPr>
                <w:rFonts w:ascii="Arial" w:eastAsia="Calibri" w:hAnsi="Arial" w:cs="Arial"/>
                <w:szCs w:val="22"/>
              </w:rPr>
              <w:t>Energy sector companies listed on Indonesia Stock Exchange (IDX), 2021-2023 period.</w:t>
            </w:r>
          </w:p>
          <w:p w:rsidR="00A137C1" w:rsidRPr="00BA1B01" w:rsidRDefault="00A137C1" w:rsidP="00A137C1">
            <w:pPr>
              <w:pStyle w:val="Body"/>
              <w:spacing w:after="0"/>
              <w:rPr>
                <w:rFonts w:ascii="Arial" w:eastAsia="Calibri" w:hAnsi="Arial" w:cs="Arial"/>
                <w:szCs w:val="22"/>
              </w:rPr>
            </w:pPr>
            <w:r w:rsidRPr="00BA1B01">
              <w:rPr>
                <w:rFonts w:ascii="Arial" w:eastAsia="Calibri" w:hAnsi="Arial" w:cs="Arial"/>
                <w:b/>
                <w:bCs/>
                <w:szCs w:val="22"/>
              </w:rPr>
              <w:t>Methodology:</w:t>
            </w:r>
            <w:r w:rsidRPr="000761F9">
              <w:rPr>
                <w:rFonts w:ascii="Arial" w:eastAsia="Calibri" w:hAnsi="Arial" w:cs="Arial"/>
                <w:szCs w:val="22"/>
              </w:rPr>
              <w:t>Purposive sampling from 91 energy companies yielded 8 companies meeting criteria with 24 observations. Data collected from annual reports, sustainability reports, and financial statements. Multiple linear regression analysis Y=α+β</w:t>
            </w:r>
            <w:r w:rsidRPr="000761F9">
              <w:rPr>
                <w:rFonts w:ascii="Cambria Math" w:eastAsia="Calibri" w:hAnsi="Cambria Math" w:cs="Cambria Math"/>
                <w:szCs w:val="22"/>
              </w:rPr>
              <w:t>₁</w:t>
            </w:r>
            <w:r w:rsidRPr="000761F9">
              <w:rPr>
                <w:rFonts w:ascii="Arial" w:eastAsia="Calibri" w:hAnsi="Arial" w:cs="Arial"/>
                <w:szCs w:val="22"/>
              </w:rPr>
              <w:t>X+β</w:t>
            </w:r>
            <w:r w:rsidRPr="000761F9">
              <w:rPr>
                <w:rFonts w:ascii="Cambria Math" w:eastAsia="Calibri" w:hAnsi="Cambria Math" w:cs="Cambria Math"/>
                <w:szCs w:val="22"/>
              </w:rPr>
              <w:t>₂</w:t>
            </w:r>
            <w:r w:rsidRPr="000761F9">
              <w:rPr>
                <w:rFonts w:ascii="Arial" w:eastAsia="Calibri" w:hAnsi="Arial" w:cs="Arial"/>
                <w:szCs w:val="22"/>
              </w:rPr>
              <w:t>Z+β</w:t>
            </w:r>
            <w:r w:rsidRPr="000761F9">
              <w:rPr>
                <w:rFonts w:ascii="Cambria Math" w:eastAsia="Calibri" w:hAnsi="Cambria Math" w:cs="Cambria Math"/>
                <w:szCs w:val="22"/>
              </w:rPr>
              <w:t>₃</w:t>
            </w:r>
            <w:r w:rsidRPr="000761F9">
              <w:rPr>
                <w:rFonts w:ascii="Arial" w:eastAsia="Calibri" w:hAnsi="Arial" w:cs="Arial"/>
                <w:szCs w:val="22"/>
              </w:rPr>
              <w:t>(X*Z)+ε was applied using SPSS, with classical assumption tests performed.</w:t>
            </w:r>
          </w:p>
          <w:p w:rsidR="00A137C1" w:rsidRPr="00BA1B01" w:rsidRDefault="00A137C1" w:rsidP="00A137C1">
            <w:pPr>
              <w:pStyle w:val="Body"/>
              <w:spacing w:after="0"/>
              <w:rPr>
                <w:rFonts w:ascii="Arial" w:eastAsia="Calibri" w:hAnsi="Arial" w:cs="Arial"/>
                <w:b/>
                <w:bCs/>
                <w:szCs w:val="22"/>
              </w:rPr>
            </w:pPr>
            <w:r w:rsidRPr="00BA1B01">
              <w:rPr>
                <w:rFonts w:ascii="Arial" w:eastAsia="Calibri" w:hAnsi="Arial" w:cs="Arial"/>
                <w:b/>
                <w:bCs/>
                <w:szCs w:val="22"/>
              </w:rPr>
              <w:t>Results:</w:t>
            </w:r>
            <w:r w:rsidRPr="000761F9">
              <w:rPr>
                <w:rFonts w:ascii="Arial" w:eastAsia="Calibri" w:hAnsi="Arial" w:cs="Arial"/>
                <w:szCs w:val="22"/>
              </w:rPr>
              <w:t>ESG Score showed no significant effect on ROA (coefficient = 526.077, P = .810). Digital transformation failed to moderate the ESG-ROA relationship (interaction coefficient = -1612.144, P = .621). F-test indicated overall model insignificance (F = 0.333, P = .801). Classical assumptions were met except multicollinearity in interaction variables (VIF &gt; 10).</w:t>
            </w:r>
          </w:p>
          <w:p w:rsidR="00A137C1" w:rsidRDefault="00A137C1" w:rsidP="00A137C1">
            <w:pPr>
              <w:pStyle w:val="Body"/>
              <w:spacing w:after="0"/>
              <w:rPr>
                <w:rFonts w:ascii="Arial" w:eastAsia="Calibri" w:hAnsi="Arial" w:cs="Arial"/>
                <w:szCs w:val="22"/>
              </w:rPr>
            </w:pPr>
            <w:r w:rsidRPr="00BA1B01">
              <w:rPr>
                <w:rFonts w:ascii="Arial" w:eastAsia="Calibri" w:hAnsi="Arial" w:cs="Arial"/>
                <w:b/>
                <w:bCs/>
                <w:szCs w:val="22"/>
              </w:rPr>
              <w:t>Conclusion:</w:t>
            </w:r>
            <w:r w:rsidRPr="000761F9">
              <w:rPr>
                <w:rFonts w:ascii="Arial" w:eastAsia="Calibri" w:hAnsi="Arial" w:cs="Arial"/>
                <w:szCs w:val="22"/>
              </w:rPr>
              <w:t>ESG practices remain compliance-oriented rather than value-creating in Indonesian energy sector. Digital transformation lacks measurable short-term financial impact. External factors like commodity prices and government policies appear more influential on financial performance than ESG and digitalization efforts.</w:t>
            </w:r>
          </w:p>
          <w:p w:rsidR="0025619F" w:rsidRDefault="0025619F" w:rsidP="00A137C1">
            <w:pPr>
              <w:pStyle w:val="Body"/>
              <w:spacing w:after="0"/>
              <w:rPr>
                <w:rFonts w:ascii="Arial" w:eastAsia="Calibri" w:hAnsi="Arial" w:cs="Arial"/>
                <w:szCs w:val="22"/>
              </w:rPr>
            </w:pPr>
          </w:p>
          <w:p w:rsidR="0025619F" w:rsidRPr="00BA1B01" w:rsidRDefault="0025619F" w:rsidP="0025619F">
            <w:pPr>
              <w:pStyle w:val="Body"/>
              <w:spacing w:after="0"/>
              <w:rPr>
                <w:rFonts w:ascii="Arial" w:eastAsia="Calibri" w:hAnsi="Arial" w:cs="Arial"/>
                <w:szCs w:val="22"/>
              </w:rPr>
            </w:pPr>
            <w:r w:rsidRPr="0025619F">
              <w:rPr>
                <w:rFonts w:ascii="Arial" w:eastAsia="Calibri" w:hAnsi="Arial" w:cs="Arial"/>
                <w:b/>
                <w:szCs w:val="22"/>
              </w:rPr>
              <w:t>Key words:</w:t>
            </w:r>
            <w:r>
              <w:rPr>
                <w:rFonts w:ascii="Arial" w:eastAsia="Calibri" w:hAnsi="Arial" w:cs="Arial"/>
                <w:szCs w:val="22"/>
              </w:rPr>
              <w:t xml:space="preserve"> </w:t>
            </w:r>
            <w:r>
              <w:t xml:space="preserve"> </w:t>
            </w:r>
            <w:r>
              <w:rPr>
                <w:rFonts w:ascii="Arial" w:eastAsia="Calibri" w:hAnsi="Arial" w:cs="Arial"/>
                <w:szCs w:val="22"/>
              </w:rPr>
              <w:t xml:space="preserve">ESG Score, </w:t>
            </w:r>
            <w:r w:rsidRPr="0025619F">
              <w:rPr>
                <w:rFonts w:ascii="Arial" w:eastAsia="Calibri" w:hAnsi="Arial" w:cs="Arial"/>
                <w:szCs w:val="22"/>
              </w:rPr>
              <w:t>Financial Performance</w:t>
            </w:r>
            <w:r>
              <w:rPr>
                <w:rFonts w:ascii="Arial" w:eastAsia="Calibri" w:hAnsi="Arial" w:cs="Arial"/>
                <w:szCs w:val="22"/>
              </w:rPr>
              <w:t>,</w:t>
            </w:r>
            <w:r w:rsidRPr="0025619F">
              <w:rPr>
                <w:rFonts w:ascii="Arial" w:eastAsia="Calibri" w:hAnsi="Arial" w:cs="Arial"/>
                <w:szCs w:val="22"/>
              </w:rPr>
              <w:t xml:space="preserve"> Indonesian Energy Companies</w:t>
            </w:r>
            <w:r>
              <w:rPr>
                <w:rFonts w:ascii="Arial" w:eastAsia="Calibri" w:hAnsi="Arial" w:cs="Arial"/>
                <w:szCs w:val="22"/>
              </w:rPr>
              <w:t>,</w:t>
            </w:r>
            <w:r w:rsidRPr="0025619F">
              <w:rPr>
                <w:rFonts w:ascii="Arial" w:eastAsia="Calibri" w:hAnsi="Arial" w:cs="Arial"/>
                <w:szCs w:val="22"/>
              </w:rPr>
              <w:t xml:space="preserve"> Digital Transformation</w:t>
            </w:r>
          </w:p>
        </w:tc>
      </w:tr>
    </w:tbl>
    <w:p w:rsidR="00B01FCD" w:rsidRDefault="00A137C1" w:rsidP="00441B6F">
      <w:pPr>
        <w:pStyle w:val="AbstHead"/>
        <w:spacing w:after="0"/>
        <w:jc w:val="both"/>
        <w:rPr>
          <w:rFonts w:ascii="Arial" w:hAnsi="Arial" w:cs="Arial"/>
        </w:rPr>
      </w:pPr>
      <w:r w:rsidRPr="00FB3A86">
        <w:rPr>
          <w:rFonts w:ascii="Arial" w:hAnsi="Arial" w:cs="Arial"/>
        </w:rPr>
        <w:lastRenderedPageBreak/>
        <w:t xml:space="preserve"> </w:t>
      </w:r>
      <w:r w:rsidR="00B01FCD" w:rsidRPr="00FB3A86">
        <w:rPr>
          <w:rFonts w:ascii="Arial" w:hAnsi="Arial" w:cs="Arial"/>
        </w:rPr>
        <w:t>ABSTRACT</w:t>
      </w:r>
    </w:p>
    <w:p w:rsidR="00790ADA" w:rsidRPr="00FB3A86" w:rsidRDefault="00790ADA" w:rsidP="00441B6F">
      <w:pPr>
        <w:pStyle w:val="AbstHead"/>
        <w:spacing w:after="0"/>
        <w:jc w:val="both"/>
        <w:rPr>
          <w:rFonts w:ascii="Arial" w:hAnsi="Arial" w:cs="Arial"/>
        </w:rPr>
      </w:pPr>
    </w:p>
    <w:p w:rsidR="00636EB2" w:rsidRDefault="00636EB2" w:rsidP="00441B6F">
      <w:pPr>
        <w:pStyle w:val="Body"/>
        <w:spacing w:after="0"/>
        <w:rPr>
          <w:rFonts w:ascii="Arial" w:hAnsi="Arial" w:cs="Arial"/>
          <w:i/>
        </w:rPr>
      </w:pPr>
    </w:p>
    <w:p w:rsidR="00A24E7E" w:rsidRPr="00A43582" w:rsidRDefault="00A24E7E" w:rsidP="00441B6F">
      <w:pPr>
        <w:pStyle w:val="Body"/>
        <w:spacing w:after="0"/>
        <w:rPr>
          <w:rFonts w:ascii="Arial" w:hAnsi="Arial" w:cs="Arial"/>
          <w:i/>
        </w:rPr>
      </w:pPr>
      <w:r w:rsidRPr="00A027FA">
        <w:rPr>
          <w:rFonts w:ascii="Arial" w:hAnsi="Arial" w:cs="Arial"/>
          <w:highlight w:val="yellow"/>
        </w:rPr>
        <w:t xml:space="preserve">This study examines the influence of ESG Score on the financial performance of Indonesian energy companies, with Digital Transformation as a moderating variable. Theoretically, the study is grounded in Stakeholder Theory and the Resource-Based View (RBV), emphasizing ESG as a strategic element for long-term value creation. Using a causal quantitative design and secondary data, the final sample consists of 8 energy firms (24 firm-year observations) listed on the Indonesia Stock Exchange during 2021–2023. Regression analysis with classical assumption tests was applied. The findings show that ESG Score does not significantly affect Return on Assets (ROA), and Digital Transformation, measured by a dummy proxy, does not strengthen this relationship. While results are statistically insignificant, they highlight that ESG implementation in Indonesia remains compliance-driven rather than value-oriented, and that digitalization in the energy sector is still at an early stage without measurable financial outcomes. These insights contribute to the ongoing debate on ESG in emerging markets and stress the need for policy frameworks, stronger regulatory enforcement, and more strategic integration of ESG and digitalization in corporate governance. The study is exploratory in nature due to its limited sample and short observation period. The contribution of this research lies in providing empirical evidence from an emerging market context, showing that ESG in Indonesia remains compliance-driven, and highlighting the role of digital transformation as an early-stage, efficiency-focused practice. This study enriches ESG literature in developing countries and offers </w:t>
      </w:r>
      <w:r w:rsidRPr="00A027FA">
        <w:rPr>
          <w:rFonts w:ascii="Arial" w:hAnsi="Arial" w:cs="Arial"/>
          <w:highlight w:val="yellow"/>
        </w:rPr>
        <w:lastRenderedPageBreak/>
        <w:t>implications for policymakers, investors, and corporate managers in designing sustainability strategies.</w:t>
      </w:r>
    </w:p>
    <w:p w:rsidR="0024282C" w:rsidRDefault="0024282C" w:rsidP="00441B6F">
      <w:pPr>
        <w:pStyle w:val="Body"/>
        <w:spacing w:after="0"/>
        <w:rPr>
          <w:rFonts w:ascii="Arial" w:hAnsi="Arial" w:cs="Arial"/>
          <w:i/>
          <w:sz w:val="18"/>
        </w:rPr>
      </w:pPr>
    </w:p>
    <w:p w:rsidR="00505F06" w:rsidRPr="00A24E7E" w:rsidRDefault="00505F06" w:rsidP="00441B6F">
      <w:pPr>
        <w:pStyle w:val="Body"/>
        <w:spacing w:after="0"/>
        <w:rPr>
          <w:rFonts w:ascii="Arial" w:hAnsi="Arial" w:cs="Arial"/>
          <w:i/>
        </w:rPr>
      </w:pPr>
    </w:p>
    <w:p w:rsidR="00505F06" w:rsidRPr="00000900" w:rsidRDefault="00902823" w:rsidP="000761F9">
      <w:pPr>
        <w:pStyle w:val="AbstHead"/>
        <w:spacing w:after="0"/>
        <w:jc w:val="both"/>
        <w:rPr>
          <w:rFonts w:ascii="Arial" w:hAnsi="Arial" w:cs="Arial"/>
          <w:szCs w:val="22"/>
        </w:rPr>
      </w:pPr>
      <w:r w:rsidRPr="00000900">
        <w:rPr>
          <w:rFonts w:ascii="Arial" w:hAnsi="Arial" w:cs="Arial"/>
          <w:szCs w:val="22"/>
        </w:rPr>
        <w:t xml:space="preserve">1. </w:t>
      </w:r>
      <w:r w:rsidR="00B01FCD" w:rsidRPr="00000900">
        <w:rPr>
          <w:rFonts w:ascii="Arial" w:hAnsi="Arial" w:cs="Arial"/>
          <w:szCs w:val="22"/>
        </w:rPr>
        <w:t>INTRODUCTION</w:t>
      </w:r>
    </w:p>
    <w:p w:rsidR="001B734D" w:rsidRPr="00000900" w:rsidRDefault="001B734D" w:rsidP="001B734D">
      <w:pPr>
        <w:pStyle w:val="AbstHead"/>
        <w:jc w:val="both"/>
        <w:rPr>
          <w:rFonts w:ascii="Arial" w:hAnsi="Arial" w:cs="Arial"/>
          <w:b w:val="0"/>
          <w:caps w:val="0"/>
          <w:sz w:val="20"/>
        </w:rPr>
      </w:pPr>
      <w:r w:rsidRPr="00000900">
        <w:rPr>
          <w:rFonts w:ascii="Arial" w:hAnsi="Arial" w:cs="Arial"/>
          <w:b w:val="0"/>
          <w:caps w:val="0"/>
          <w:sz w:val="20"/>
        </w:rPr>
        <w:t>Sustainability has become a central agenda in corporate governance worldwide, particularly in the energy sector, which contributes significantly to environmental and social impacts. The adoption of Environmental, Social, and Governance (ESG) practices is no longer viewed as an optional responsibility but as a strategic driver of long-term value creation. ESG integration has been shown to enhance corporate reputation, improve operational efficiency, and strengthen relationships with stakeholders, including investors, regulators, and communities (Eccles et al., 2014; Friede et al., 2015). In this context, energy companies are under increasing pressure to align their business strategies with global sustainability standards.</w:t>
      </w:r>
    </w:p>
    <w:p w:rsidR="001B734D" w:rsidRPr="00000900" w:rsidRDefault="001B734D" w:rsidP="001B734D">
      <w:pPr>
        <w:pStyle w:val="AbstHead"/>
        <w:jc w:val="both"/>
        <w:rPr>
          <w:rFonts w:ascii="Arial" w:hAnsi="Arial" w:cs="Arial"/>
          <w:b w:val="0"/>
          <w:caps w:val="0"/>
          <w:sz w:val="20"/>
        </w:rPr>
      </w:pPr>
      <w:r w:rsidRPr="00000900">
        <w:rPr>
          <w:rFonts w:ascii="Arial" w:hAnsi="Arial" w:cs="Arial"/>
          <w:b w:val="0"/>
          <w:caps w:val="0"/>
          <w:sz w:val="20"/>
        </w:rPr>
        <w:t>In Indonesia, the energy sector plays a critical role in national economic development while simultaneously facing challenges related to environmental degradation, regulatory compliance, and the global energy transition. ESG disclosure in Indonesian energy firms has been found to significantly influence firm value, enhance transparency, and reduce practices such as tax aggressiveness (Pebrianti&amp;Mayangsari, 2025; Lumbantobing&amp;Harahap, 2025). These findings emphasize the growing importance of ESG for companies listed on the Indonesia Stock Exchange (IDX). Nevertheless, research has also shown that the effectiveness of ESG disclosure may vary depending on firm size and industry-specific factors (Makarim et al., n.d.; Putri &amp; Paramita, 2025).</w:t>
      </w:r>
    </w:p>
    <w:p w:rsidR="001B734D" w:rsidRPr="00000900" w:rsidRDefault="001B734D" w:rsidP="001B734D">
      <w:pPr>
        <w:pStyle w:val="AbstHead"/>
        <w:jc w:val="both"/>
        <w:rPr>
          <w:rFonts w:ascii="Arial" w:hAnsi="Arial" w:cs="Arial"/>
          <w:b w:val="0"/>
          <w:caps w:val="0"/>
          <w:sz w:val="20"/>
        </w:rPr>
      </w:pPr>
      <w:r w:rsidRPr="00000900">
        <w:rPr>
          <w:rFonts w:ascii="Arial" w:hAnsi="Arial" w:cs="Arial"/>
          <w:b w:val="0"/>
          <w:caps w:val="0"/>
          <w:sz w:val="20"/>
        </w:rPr>
        <w:t>Despite the increasing relevance of ESG, the relationship between ESG performance and financial outcomes remains inconclusive. While some studies report positive associations between ESG and indicators such as Return on Assets (ROA) and investment efficiency (Nugroho&amp;Hersugondo, 2022; Inawati&amp;Rahmawati, 2023), others find negative or insignificant effects depending on governance quality, political stability, or industry context (Sekar Sari et al., 2023; Zhang &amp;Xiong, 2024). This suggests that ESG implementation may create additional costs in the short term, and its financial benefits may only materialize in the long run.</w:t>
      </w:r>
    </w:p>
    <w:p w:rsidR="001B734D" w:rsidRPr="00000900" w:rsidRDefault="001B734D" w:rsidP="001B734D">
      <w:pPr>
        <w:pStyle w:val="AbstHead"/>
        <w:jc w:val="both"/>
        <w:rPr>
          <w:rFonts w:ascii="Arial" w:hAnsi="Arial" w:cs="Arial"/>
          <w:b w:val="0"/>
          <w:caps w:val="0"/>
          <w:sz w:val="20"/>
        </w:rPr>
      </w:pPr>
      <w:r w:rsidRPr="00000900">
        <w:rPr>
          <w:rFonts w:ascii="Arial" w:hAnsi="Arial" w:cs="Arial"/>
          <w:b w:val="0"/>
          <w:caps w:val="0"/>
          <w:sz w:val="20"/>
        </w:rPr>
        <w:t>Digital transformation has emerged as a strategic enabler that may strengthen the link between ESG practices and firm performance. Technologies such as big data analytics, artificial intelligence, and cloud computing can enhance ESG reporting, improve monitoring systems, and foster innovation (Peng et al., 2023; Truant et al., 2023). Prior studies highlight that digitalization improves operational efficiency, reduces financing constraints, and fosters green innovation, all of which can potentially magnify the impact of ESG on corporate financial outcomes (Cai et al., 2023; Zhong et al., 2023).However, the empirical evidence regarding the moderating role of digital transformation in the ESG–performance nexus is still limited, particularly in emerging markets. While research in developed economies suggests that digitalization can amplify the positive effects of ESG, studies in developing countries such as Indonesia often reveal weak or insignificant relationships (Pertiwi et al., 2024; Husada&amp;Handayani, 2021). This indicates that the adoption of ESG and digital initiatives in Indonesian energy companies may remain compliance-oriented, lacking the strategic integration necessary to produce measurable financial outcomes.</w:t>
      </w:r>
    </w:p>
    <w:p w:rsidR="00000900" w:rsidRDefault="001B734D" w:rsidP="001B734D">
      <w:pPr>
        <w:pStyle w:val="AbstHead"/>
        <w:spacing w:after="0"/>
        <w:jc w:val="both"/>
        <w:rPr>
          <w:rFonts w:ascii="Arial" w:hAnsi="Arial" w:cs="Arial"/>
          <w:b w:val="0"/>
          <w:caps w:val="0"/>
          <w:sz w:val="20"/>
        </w:rPr>
      </w:pPr>
      <w:r w:rsidRPr="00000900">
        <w:rPr>
          <w:rFonts w:ascii="Arial" w:hAnsi="Arial" w:cs="Arial"/>
          <w:b w:val="0"/>
          <w:caps w:val="0"/>
          <w:sz w:val="20"/>
        </w:rPr>
        <w:t xml:space="preserve">Therefore, this study aims to examine the effect of ESG Score on the financial performance of energy companies listed on the IDX and to assess the moderating role of digital transformation. By focusing on the Indonesian energy sector, which is both capital-intensive and highly regulated, this study contributes to the ongoing debate on ESG effectiveness in </w:t>
      </w:r>
      <w:r w:rsidRPr="00000900">
        <w:rPr>
          <w:rFonts w:ascii="Arial" w:hAnsi="Arial" w:cs="Arial"/>
          <w:b w:val="0"/>
          <w:caps w:val="0"/>
          <w:sz w:val="20"/>
        </w:rPr>
        <w:lastRenderedPageBreak/>
        <w:t>emerging markets. The findings are expected to enrich the literature by providing empirical evidence from a developing economy, while offering practical insights for policymakers, corporate managers, and investors in designing sustainability strategies that integrate both ESG practices and digital transformation.</w:t>
      </w:r>
    </w:p>
    <w:p w:rsidR="00000900" w:rsidRPr="00000900" w:rsidRDefault="00000900" w:rsidP="001B734D">
      <w:pPr>
        <w:pStyle w:val="AbstHead"/>
        <w:spacing w:after="0"/>
        <w:jc w:val="both"/>
        <w:rPr>
          <w:rFonts w:ascii="Arial" w:hAnsi="Arial" w:cs="Arial"/>
          <w:b w:val="0"/>
          <w:caps w:val="0"/>
          <w:sz w:val="20"/>
        </w:rPr>
      </w:pPr>
    </w:p>
    <w:p w:rsidR="00790ADA" w:rsidRPr="00000900" w:rsidRDefault="00902823" w:rsidP="001B734D">
      <w:pPr>
        <w:pStyle w:val="AbstHead"/>
        <w:spacing w:after="0"/>
        <w:jc w:val="both"/>
        <w:rPr>
          <w:rFonts w:ascii="Arial" w:hAnsi="Arial" w:cs="Arial"/>
          <w:szCs w:val="22"/>
        </w:rPr>
      </w:pPr>
      <w:r w:rsidRPr="00000900">
        <w:rPr>
          <w:rFonts w:ascii="Arial" w:hAnsi="Arial" w:cs="Arial"/>
          <w:szCs w:val="22"/>
        </w:rPr>
        <w:t>2. material and method</w:t>
      </w:r>
      <w:r w:rsidR="00000F8F" w:rsidRPr="00000900">
        <w:rPr>
          <w:rFonts w:ascii="Arial" w:hAnsi="Arial" w:cs="Arial"/>
          <w:szCs w:val="22"/>
        </w:rPr>
        <w:t>s</w:t>
      </w:r>
    </w:p>
    <w:p w:rsidR="000761F9" w:rsidRPr="00000900" w:rsidRDefault="001A5F98" w:rsidP="000761F9">
      <w:pPr>
        <w:pStyle w:val="NormalWeb"/>
        <w:jc w:val="both"/>
        <w:rPr>
          <w:rFonts w:ascii="Arial" w:hAnsi="Arial" w:cs="Arial"/>
          <w:b/>
          <w:bCs/>
          <w:sz w:val="20"/>
          <w:szCs w:val="20"/>
        </w:rPr>
      </w:pPr>
      <w:r w:rsidRPr="00000900">
        <w:rPr>
          <w:rFonts w:ascii="Arial" w:hAnsi="Arial" w:cs="Arial"/>
          <w:b/>
          <w:bCs/>
          <w:sz w:val="20"/>
          <w:szCs w:val="20"/>
        </w:rPr>
        <w:t xml:space="preserve">2.1 </w:t>
      </w:r>
      <w:r w:rsidR="000761F9" w:rsidRPr="00000900">
        <w:rPr>
          <w:rFonts w:ascii="Arial" w:hAnsi="Arial" w:cs="Arial"/>
          <w:b/>
          <w:bCs/>
          <w:sz w:val="20"/>
          <w:szCs w:val="20"/>
        </w:rPr>
        <w:t>Literature Review</w:t>
      </w:r>
    </w:p>
    <w:p w:rsidR="000761F9" w:rsidRPr="00000900" w:rsidRDefault="000761F9" w:rsidP="000761F9">
      <w:pPr>
        <w:pStyle w:val="NormalWeb"/>
        <w:jc w:val="both"/>
        <w:rPr>
          <w:rFonts w:ascii="Arial" w:hAnsi="Arial" w:cs="Arial"/>
          <w:sz w:val="20"/>
          <w:szCs w:val="20"/>
        </w:rPr>
      </w:pPr>
      <w:r w:rsidRPr="00000900">
        <w:rPr>
          <w:rFonts w:ascii="Arial" w:hAnsi="Arial" w:cs="Arial"/>
          <w:sz w:val="20"/>
          <w:szCs w:val="20"/>
        </w:rPr>
        <w:t>Research on the relationship between ESG and financial performance shows mixed results. (Linawati et al., 2024) found that ESG has a positive effect on ROA, with Woman on Board and Firm Age having a negative effect, and digital transformation moderating Woman on Board. Similarly, (Ningsih et al., 2024) in their study on ESG disclosure and investment efficiency found that the Environmental and Social dimensions had a significant positive effect, but Governance was not significant, with Audit Quality having a negative effect and digital transformation strengthening the Environmental dimension. The findings of Nugroho&amp;Hersugondo (2022) found that ESG Disclosure has a significant positive effect on ROA, but CSR has a significant negative effect, while Environmental and Corporate Governance are not significant. (Nugroho&amp;Hersugondo, 2022) found that ESG has no significant effect in Indonesia and Malaysia, but a significant positive effect in Singapore, with ESG components actually showing a negative direction. Research related to digital transformation shows the important role of digitalization as a moderator, as found by (Pertiwi et al., 2024) that ESG increases operational efficiency by up to 20%, with digital strengthening it by up to 30% and energy sector revenue increasing by up to 35%.</w:t>
      </w:r>
      <w:r w:rsidR="002F49F6" w:rsidRPr="00000900">
        <w:rPr>
          <w:rFonts w:ascii="Arial" w:hAnsi="Arial" w:cs="Arial"/>
          <w:sz w:val="20"/>
          <w:szCs w:val="20"/>
        </w:rPr>
        <w:t xml:space="preserve"> In line with this, recent evidence from </w:t>
      </w:r>
      <w:r w:rsidR="002F49F6" w:rsidRPr="00000900">
        <w:rPr>
          <w:rFonts w:ascii="Arial" w:hAnsi="Arial" w:cs="Arial"/>
          <w:i/>
          <w:iCs/>
          <w:sz w:val="20"/>
          <w:szCs w:val="20"/>
        </w:rPr>
        <w:t xml:space="preserve">Le Bo &amp; Jia Li </w:t>
      </w:r>
      <w:r w:rsidR="002F49F6" w:rsidRPr="00000900">
        <w:rPr>
          <w:rFonts w:ascii="Arial" w:hAnsi="Arial" w:cs="Arial"/>
          <w:sz w:val="20"/>
          <w:szCs w:val="20"/>
        </w:rPr>
        <w:t xml:space="preserve">(2025) demonstrates that digital transformation significantly enhances ESG performance through the mediating role of technological innovation and the reduction of financing constraints, with stronger effects observed in large private firms and those operating in high-tech and high-pollution industries. </w:t>
      </w:r>
    </w:p>
    <w:p w:rsidR="00BA5A35" w:rsidRDefault="000761F9" w:rsidP="00BA5A35">
      <w:pPr>
        <w:pStyle w:val="NormalWeb"/>
        <w:jc w:val="both"/>
        <w:rPr>
          <w:rFonts w:ascii="Arial" w:hAnsi="Arial" w:cs="Arial"/>
          <w:sz w:val="20"/>
          <w:szCs w:val="20"/>
        </w:rPr>
      </w:pPr>
      <w:r w:rsidRPr="00000900">
        <w:rPr>
          <w:rFonts w:ascii="Arial" w:hAnsi="Arial" w:cs="Arial"/>
          <w:sz w:val="20"/>
          <w:szCs w:val="20"/>
        </w:rPr>
        <w:t>This study is primarily grounded in Stakeholder Theory (Freeman, 1984), which emphasizes that companies are responsible not only to shareholders but also to a wider set of stakeholders, including employees, governments, and the community. Additionally, Legitimacy Theory is relevant, as it stresses that firms adopt ESG practices to gain social acceptance and regulatory approval. Together, these theories provide a foundation for analyzing the effect of ESG Score on financial performance with digitalization as a moderating variable.</w:t>
      </w:r>
    </w:p>
    <w:p w:rsidR="00BA5A35" w:rsidRDefault="00BA5A35" w:rsidP="00BA5A35">
      <w:pPr>
        <w:pStyle w:val="NormalWeb"/>
        <w:jc w:val="both"/>
        <w:rPr>
          <w:rFonts w:ascii="Arial" w:hAnsi="Arial" w:cs="Arial"/>
          <w:sz w:val="20"/>
          <w:szCs w:val="20"/>
        </w:rPr>
      </w:pPr>
      <w:r w:rsidRPr="00BA5A35">
        <w:rPr>
          <w:rFonts w:ascii="Arial" w:hAnsi="Arial" w:cs="Arial"/>
          <w:sz w:val="20"/>
          <w:szCs w:val="20"/>
        </w:rPr>
        <w:t>The insignificant relationship between Environmental, Social, and Governance (ESG) and financial performance among Indonesian energy firms can be explained through several theoretical perspectives. According to Legitimacy Theory (Suchman, 1995), ESG adoption in developing countries remains symbolic and compliance-oriented, primarily aimed at maintaining social legitimacy and meeting regulatory expectations rather than enhancing profitability (Jamali et al., 2021).From the standpoint of Institutional Theory (DiMaggio &amp; Powell, 1983), ESG practices are often driven by weak institutional pressures and imitation rather than strategic motives (Aguilera et al., 2019). Consequently, ESG disclosure in Indonesia lacks the economic incentives necessary to generate measurable financial outcomes.Meanwhile, the Resource-Based View (RBV) (Barney, 1991; Hart, 1995) suggests that ESG can improve firm performance only when it becomes a valuable and inimitable strategic capability. However, in Indonesia’s energy sector, ESG remains a cost-oriented initiative rather than a competitive resource. Similarly, Slack Resource Theory (Waddock&amp; Graves, 1997) posits that firms with limited financial resources are less able to translate ESG investments into short-term financial gains.</w:t>
      </w:r>
    </w:p>
    <w:p w:rsidR="00A44E35" w:rsidRPr="00000900" w:rsidRDefault="00BA5A35" w:rsidP="000761F9">
      <w:pPr>
        <w:pStyle w:val="NormalWeb"/>
        <w:jc w:val="both"/>
        <w:rPr>
          <w:rFonts w:ascii="Arial" w:hAnsi="Arial" w:cs="Arial"/>
          <w:sz w:val="20"/>
          <w:szCs w:val="20"/>
        </w:rPr>
      </w:pPr>
      <w:r w:rsidRPr="00BA5A35">
        <w:rPr>
          <w:rFonts w:ascii="Arial" w:hAnsi="Arial" w:cs="Arial"/>
          <w:sz w:val="20"/>
          <w:szCs w:val="20"/>
        </w:rPr>
        <w:lastRenderedPageBreak/>
        <w:t>Empirical studies (Velte, 2022; Nizam et al., 2019) also confirm that in emerging markets, ESG’s impact on profitability tends to be insignificant due to weak institutional frameworks and the symbolic nature of sustainability practices. Therefore, ESG in Indonesia currently serves more as a tool of legitimacy and reputation than as a source of sustainable competitive advantage.</w:t>
      </w:r>
      <w:r w:rsidR="000761F9" w:rsidRPr="00000900">
        <w:rPr>
          <w:rFonts w:ascii="Arial" w:hAnsi="Arial" w:cs="Arial"/>
          <w:sz w:val="20"/>
          <w:szCs w:val="20"/>
        </w:rPr>
        <w:t xml:space="preserve">Digitalization is hypothesized to act as a moderating variable that can strengthen the relationship between ESG performance and financial performance, enabling increased transparency, efficiency, and accountability in the management of environmental, social, and governance aspects, as found by </w:t>
      </w:r>
      <w:r w:rsidR="008939FE" w:rsidRPr="00000900">
        <w:rPr>
          <w:rFonts w:ascii="Arial" w:hAnsi="Arial" w:cs="Arial"/>
          <w:sz w:val="20"/>
          <w:szCs w:val="20"/>
        </w:rPr>
        <w:fldChar w:fldCharType="begin" w:fldLock="1"/>
      </w:r>
      <w:r w:rsidR="00586FAA" w:rsidRPr="00000900">
        <w:rPr>
          <w:rFonts w:ascii="Arial" w:hAnsi="Arial" w:cs="Arial"/>
          <w:sz w:val="20"/>
          <w:szCs w:val="20"/>
        </w:rPr>
        <w:instrText>ADDIN CSL_CITATION {"citationItems":[{"id":"ITEM-1","itemData":{"author":[{"dropping-particle":"","family":"Waskito","given":"Saptono Kusdanu","non-dropping-particle":"","parse-names":false,"suffix":""},{"dropping-particle":"","family":"Rahayu","given":"Muji","non-dropping-particle":"","parse-names":false,"suffix":""}],"container-title":"YUME : Journal of Management","id":"ITEM-1","issue":"1","issued":{"date-parts":[["2025"]]},"page":"421-436","title":"Pengaruh Strategi Bisnis Logistik Terhadap Kinerja Perusahaan Distributor Karpet Bandung (DKB) dengan Transformasi Digital Sebagai Variabel Moderasi","type":"article-journal","volume":"8"},"uris":["http://www.mendeley.com/documents/?uuid=84df6729-a699-40bf-b87e-abaa8738fa20"]}],"mendeley":{"formattedCitation":"(Waskito &amp; Rahayu, 2025)","plainTextFormattedCitation":"(Waskito &amp; Rahayu, 2025)","previouslyFormattedCitation":"(Waskito &amp; Rahayu, 2025)"},"properties":{"noteIndex":0},"schema":"https://github.com/citation-style-language/schema/raw/master/csl-citation.json"}</w:instrText>
      </w:r>
      <w:r w:rsidR="008939FE" w:rsidRPr="00000900">
        <w:rPr>
          <w:rFonts w:ascii="Arial" w:hAnsi="Arial" w:cs="Arial"/>
          <w:sz w:val="20"/>
          <w:szCs w:val="20"/>
        </w:rPr>
        <w:fldChar w:fldCharType="separate"/>
      </w:r>
      <w:r w:rsidR="00626AAA" w:rsidRPr="00000900">
        <w:rPr>
          <w:rFonts w:ascii="Arial" w:hAnsi="Arial" w:cs="Arial"/>
          <w:noProof/>
          <w:sz w:val="20"/>
          <w:szCs w:val="20"/>
        </w:rPr>
        <w:t>(Waskito &amp; Rahayu, 2025)</w:t>
      </w:r>
      <w:r w:rsidR="008939FE" w:rsidRPr="00000900">
        <w:rPr>
          <w:rFonts w:ascii="Arial" w:hAnsi="Arial" w:cs="Arial"/>
          <w:sz w:val="20"/>
          <w:szCs w:val="20"/>
        </w:rPr>
        <w:fldChar w:fldCharType="end"/>
      </w:r>
      <w:r w:rsidR="000761F9" w:rsidRPr="00000900">
        <w:rPr>
          <w:rFonts w:ascii="Arial" w:hAnsi="Arial" w:cs="Arial"/>
          <w:sz w:val="20"/>
          <w:szCs w:val="20"/>
        </w:rPr>
        <w:t>that digitalization strengthens the influence of ESG disclosure on investment efficiency.</w:t>
      </w:r>
    </w:p>
    <w:p w:rsidR="000761F9" w:rsidRPr="00000900" w:rsidRDefault="000761F9" w:rsidP="000761F9">
      <w:pPr>
        <w:jc w:val="both"/>
        <w:rPr>
          <w:rFonts w:ascii="Arial" w:hAnsi="Arial" w:cs="Arial"/>
          <w:b/>
        </w:rPr>
      </w:pPr>
      <w:r w:rsidRPr="00000900">
        <w:rPr>
          <w:rFonts w:ascii="Arial" w:hAnsi="Arial" w:cs="Arial"/>
          <w:b/>
        </w:rPr>
        <w:t>2.2 Research Methods</w:t>
      </w:r>
    </w:p>
    <w:p w:rsidR="00624979" w:rsidRPr="00000900" w:rsidRDefault="000761F9" w:rsidP="00624979">
      <w:pPr>
        <w:pStyle w:val="NormalWeb"/>
        <w:jc w:val="both"/>
        <w:rPr>
          <w:rFonts w:ascii="Arial" w:hAnsi="Arial" w:cs="Arial"/>
          <w:sz w:val="20"/>
          <w:szCs w:val="20"/>
        </w:rPr>
      </w:pPr>
      <w:r w:rsidRPr="00000900">
        <w:rPr>
          <w:rFonts w:ascii="Arial" w:hAnsi="Arial" w:cs="Arial"/>
          <w:sz w:val="20"/>
          <w:szCs w:val="20"/>
        </w:rPr>
        <w:t xml:space="preserve">This study uses a causal research design with a quantitative approach to examine the causal relationship between independent and dependent variables. The research was conducted on energy sector companies listed on the Indonesia Stock Exchange (IDX) for the period 2021–2023. Secondary data were obtained from annual reports, sustainability reports, and financial statements. After applying purposive sampling, only 8 companies met the criteria, resulting in 24 firm-year observations. </w:t>
      </w:r>
    </w:p>
    <w:tbl>
      <w:tblPr>
        <w:tblStyle w:val="TableGrid"/>
        <w:tblW w:w="0" w:type="auto"/>
        <w:tblLook w:val="04A0"/>
      </w:tblPr>
      <w:tblGrid>
        <w:gridCol w:w="4650"/>
        <w:gridCol w:w="1807"/>
        <w:gridCol w:w="1967"/>
      </w:tblGrid>
      <w:tr w:rsidR="00624979" w:rsidRPr="00624979" w:rsidTr="00624979">
        <w:tc>
          <w:tcPr>
            <w:tcW w:w="0" w:type="auto"/>
            <w:hideMark/>
          </w:tcPr>
          <w:p w:rsidR="00624979" w:rsidRPr="00624979" w:rsidRDefault="00624979" w:rsidP="00624979">
            <w:pPr>
              <w:jc w:val="center"/>
              <w:rPr>
                <w:rFonts w:ascii="Arial" w:hAnsi="Arial" w:cs="Arial"/>
                <w:b/>
                <w:bCs/>
                <w:sz w:val="20"/>
                <w:szCs w:val="20"/>
              </w:rPr>
            </w:pPr>
            <w:r w:rsidRPr="00624979">
              <w:rPr>
                <w:rFonts w:ascii="Arial" w:hAnsi="Arial" w:cs="Arial"/>
                <w:b/>
                <w:bCs/>
                <w:sz w:val="20"/>
                <w:szCs w:val="20"/>
              </w:rPr>
              <w:t>Selection Stage</w:t>
            </w:r>
          </w:p>
        </w:tc>
        <w:tc>
          <w:tcPr>
            <w:tcW w:w="0" w:type="auto"/>
            <w:hideMark/>
          </w:tcPr>
          <w:p w:rsidR="00624979" w:rsidRPr="00624979" w:rsidRDefault="00624979" w:rsidP="00624979">
            <w:pPr>
              <w:jc w:val="center"/>
              <w:rPr>
                <w:rFonts w:ascii="Arial" w:hAnsi="Arial" w:cs="Arial"/>
                <w:b/>
                <w:bCs/>
                <w:sz w:val="20"/>
                <w:szCs w:val="20"/>
              </w:rPr>
            </w:pPr>
            <w:r w:rsidRPr="00624979">
              <w:rPr>
                <w:rFonts w:ascii="Arial" w:hAnsi="Arial" w:cs="Arial"/>
                <w:b/>
                <w:bCs/>
                <w:sz w:val="20"/>
                <w:szCs w:val="20"/>
              </w:rPr>
              <w:t>Number of Companies</w:t>
            </w:r>
          </w:p>
        </w:tc>
        <w:tc>
          <w:tcPr>
            <w:tcW w:w="0" w:type="auto"/>
            <w:hideMark/>
          </w:tcPr>
          <w:p w:rsidR="00624979" w:rsidRPr="00624979" w:rsidRDefault="00624979" w:rsidP="00624979">
            <w:pPr>
              <w:jc w:val="center"/>
              <w:rPr>
                <w:rFonts w:ascii="Arial" w:hAnsi="Arial" w:cs="Arial"/>
                <w:b/>
                <w:bCs/>
                <w:sz w:val="20"/>
                <w:szCs w:val="20"/>
              </w:rPr>
            </w:pPr>
            <w:r w:rsidRPr="00624979">
              <w:rPr>
                <w:rFonts w:ascii="Arial" w:hAnsi="Arial" w:cs="Arial"/>
                <w:b/>
                <w:bCs/>
                <w:sz w:val="20"/>
                <w:szCs w:val="20"/>
              </w:rPr>
              <w:t>Remarks</w:t>
            </w:r>
          </w:p>
        </w:tc>
      </w:tr>
      <w:tr w:rsidR="00624979" w:rsidRPr="00624979" w:rsidTr="00624979">
        <w:tc>
          <w:tcPr>
            <w:tcW w:w="0" w:type="auto"/>
            <w:hideMark/>
          </w:tcPr>
          <w:p w:rsidR="00624979" w:rsidRPr="00624979" w:rsidRDefault="00624979" w:rsidP="00624979">
            <w:pPr>
              <w:rPr>
                <w:rFonts w:ascii="Arial" w:hAnsi="Arial" w:cs="Arial"/>
                <w:sz w:val="20"/>
                <w:szCs w:val="20"/>
              </w:rPr>
            </w:pPr>
            <w:r w:rsidRPr="00624979">
              <w:rPr>
                <w:rFonts w:ascii="Arial" w:hAnsi="Arial" w:cs="Arial"/>
                <w:sz w:val="20"/>
                <w:szCs w:val="20"/>
              </w:rPr>
              <w:t>Initial population: energy companies listed on the IDX (2021–2023)</w:t>
            </w:r>
          </w:p>
        </w:tc>
        <w:tc>
          <w:tcPr>
            <w:tcW w:w="0" w:type="auto"/>
            <w:hideMark/>
          </w:tcPr>
          <w:p w:rsidR="00624979" w:rsidRPr="00624979" w:rsidRDefault="00624979" w:rsidP="00B7014D">
            <w:pPr>
              <w:jc w:val="center"/>
              <w:rPr>
                <w:rFonts w:ascii="Arial" w:hAnsi="Arial" w:cs="Arial"/>
                <w:sz w:val="20"/>
                <w:szCs w:val="20"/>
              </w:rPr>
            </w:pPr>
            <w:r w:rsidRPr="00624979">
              <w:rPr>
                <w:rFonts w:ascii="Arial" w:hAnsi="Arial" w:cs="Arial"/>
                <w:sz w:val="20"/>
                <w:szCs w:val="20"/>
              </w:rPr>
              <w:t>91</w:t>
            </w:r>
          </w:p>
        </w:tc>
        <w:tc>
          <w:tcPr>
            <w:tcW w:w="0" w:type="auto"/>
            <w:hideMark/>
          </w:tcPr>
          <w:p w:rsidR="00624979" w:rsidRPr="00624979" w:rsidRDefault="00624979" w:rsidP="00624979">
            <w:pPr>
              <w:rPr>
                <w:rFonts w:ascii="Arial" w:hAnsi="Arial" w:cs="Arial"/>
                <w:sz w:val="20"/>
                <w:szCs w:val="20"/>
              </w:rPr>
            </w:pPr>
            <w:r w:rsidRPr="00624979">
              <w:rPr>
                <w:rFonts w:ascii="Arial" w:hAnsi="Arial" w:cs="Arial"/>
                <w:sz w:val="20"/>
                <w:szCs w:val="20"/>
              </w:rPr>
              <w:t>Initial population</w:t>
            </w:r>
          </w:p>
        </w:tc>
      </w:tr>
      <w:tr w:rsidR="00624979" w:rsidRPr="00624979" w:rsidTr="00624979">
        <w:tc>
          <w:tcPr>
            <w:tcW w:w="0" w:type="auto"/>
            <w:hideMark/>
          </w:tcPr>
          <w:p w:rsidR="00624979" w:rsidRPr="00624979" w:rsidRDefault="00624979" w:rsidP="00624979">
            <w:pPr>
              <w:rPr>
                <w:rFonts w:ascii="Arial" w:hAnsi="Arial" w:cs="Arial"/>
                <w:sz w:val="20"/>
                <w:szCs w:val="20"/>
              </w:rPr>
            </w:pPr>
            <w:r w:rsidRPr="00624979">
              <w:rPr>
                <w:rFonts w:ascii="Arial" w:hAnsi="Arial" w:cs="Arial"/>
                <w:sz w:val="20"/>
                <w:szCs w:val="20"/>
              </w:rPr>
              <w:t>Excluding companies without consistent publication of annual and/or sustainability reports</w:t>
            </w:r>
          </w:p>
        </w:tc>
        <w:tc>
          <w:tcPr>
            <w:tcW w:w="0" w:type="auto"/>
            <w:hideMark/>
          </w:tcPr>
          <w:p w:rsidR="00624979" w:rsidRPr="00624979" w:rsidRDefault="00624979" w:rsidP="00B7014D">
            <w:pPr>
              <w:jc w:val="center"/>
              <w:rPr>
                <w:rFonts w:ascii="Arial" w:hAnsi="Arial" w:cs="Arial"/>
                <w:sz w:val="20"/>
                <w:szCs w:val="20"/>
              </w:rPr>
            </w:pPr>
            <w:r w:rsidRPr="00624979">
              <w:rPr>
                <w:rFonts w:ascii="Arial" w:hAnsi="Arial" w:cs="Arial"/>
                <w:sz w:val="20"/>
                <w:szCs w:val="20"/>
              </w:rPr>
              <w:t>–53</w:t>
            </w:r>
          </w:p>
        </w:tc>
        <w:tc>
          <w:tcPr>
            <w:tcW w:w="0" w:type="auto"/>
            <w:hideMark/>
          </w:tcPr>
          <w:p w:rsidR="00624979" w:rsidRPr="00624979" w:rsidRDefault="00624979" w:rsidP="00624979">
            <w:pPr>
              <w:rPr>
                <w:rFonts w:ascii="Arial" w:hAnsi="Arial" w:cs="Arial"/>
                <w:sz w:val="20"/>
                <w:szCs w:val="20"/>
              </w:rPr>
            </w:pPr>
            <w:r w:rsidRPr="00624979">
              <w:rPr>
                <w:rFonts w:ascii="Arial" w:hAnsi="Arial" w:cs="Arial"/>
                <w:sz w:val="20"/>
                <w:szCs w:val="20"/>
              </w:rPr>
              <w:t>Removed</w:t>
            </w:r>
          </w:p>
        </w:tc>
      </w:tr>
      <w:tr w:rsidR="00624979" w:rsidRPr="00624979" w:rsidTr="00624979">
        <w:tc>
          <w:tcPr>
            <w:tcW w:w="0" w:type="auto"/>
            <w:hideMark/>
          </w:tcPr>
          <w:p w:rsidR="00624979" w:rsidRPr="00624979" w:rsidRDefault="00624979" w:rsidP="00624979">
            <w:pPr>
              <w:rPr>
                <w:rFonts w:ascii="Arial" w:hAnsi="Arial" w:cs="Arial"/>
                <w:sz w:val="20"/>
                <w:szCs w:val="20"/>
              </w:rPr>
            </w:pPr>
            <w:r w:rsidRPr="00624979">
              <w:rPr>
                <w:rFonts w:ascii="Arial" w:hAnsi="Arial" w:cs="Arial"/>
                <w:sz w:val="20"/>
                <w:szCs w:val="20"/>
              </w:rPr>
              <w:t>Excluding companies without ESG disclosure and digitalization data</w:t>
            </w:r>
          </w:p>
        </w:tc>
        <w:tc>
          <w:tcPr>
            <w:tcW w:w="0" w:type="auto"/>
            <w:hideMark/>
          </w:tcPr>
          <w:p w:rsidR="00624979" w:rsidRPr="00624979" w:rsidRDefault="00624979" w:rsidP="00B7014D">
            <w:pPr>
              <w:jc w:val="center"/>
              <w:rPr>
                <w:rFonts w:ascii="Arial" w:hAnsi="Arial" w:cs="Arial"/>
                <w:sz w:val="20"/>
                <w:szCs w:val="20"/>
              </w:rPr>
            </w:pPr>
            <w:r w:rsidRPr="00624979">
              <w:rPr>
                <w:rFonts w:ascii="Arial" w:hAnsi="Arial" w:cs="Arial"/>
                <w:sz w:val="20"/>
                <w:szCs w:val="20"/>
              </w:rPr>
              <w:t>–30</w:t>
            </w:r>
          </w:p>
        </w:tc>
        <w:tc>
          <w:tcPr>
            <w:tcW w:w="0" w:type="auto"/>
            <w:hideMark/>
          </w:tcPr>
          <w:p w:rsidR="00624979" w:rsidRPr="00624979" w:rsidRDefault="00624979" w:rsidP="00624979">
            <w:pPr>
              <w:rPr>
                <w:rFonts w:ascii="Arial" w:hAnsi="Arial" w:cs="Arial"/>
                <w:sz w:val="20"/>
                <w:szCs w:val="20"/>
              </w:rPr>
            </w:pPr>
            <w:r w:rsidRPr="00624979">
              <w:rPr>
                <w:rFonts w:ascii="Arial" w:hAnsi="Arial" w:cs="Arial"/>
                <w:sz w:val="20"/>
                <w:szCs w:val="20"/>
              </w:rPr>
              <w:t>Removed</w:t>
            </w:r>
          </w:p>
        </w:tc>
      </w:tr>
      <w:tr w:rsidR="00624979" w:rsidRPr="00624979" w:rsidTr="00624979">
        <w:tc>
          <w:tcPr>
            <w:tcW w:w="0" w:type="auto"/>
            <w:hideMark/>
          </w:tcPr>
          <w:p w:rsidR="00624979" w:rsidRPr="00624979" w:rsidRDefault="00624979" w:rsidP="00624979">
            <w:pPr>
              <w:rPr>
                <w:rFonts w:ascii="Arial" w:hAnsi="Arial" w:cs="Arial"/>
                <w:sz w:val="20"/>
                <w:szCs w:val="20"/>
              </w:rPr>
            </w:pPr>
            <w:r w:rsidRPr="00624979">
              <w:rPr>
                <w:rFonts w:ascii="Arial" w:hAnsi="Arial" w:cs="Arial"/>
                <w:sz w:val="20"/>
                <w:szCs w:val="20"/>
              </w:rPr>
              <w:t>Excluding delisted companies</w:t>
            </w:r>
          </w:p>
        </w:tc>
        <w:tc>
          <w:tcPr>
            <w:tcW w:w="0" w:type="auto"/>
            <w:hideMark/>
          </w:tcPr>
          <w:p w:rsidR="00624979" w:rsidRPr="00624979" w:rsidRDefault="00624979" w:rsidP="00B7014D">
            <w:pPr>
              <w:jc w:val="center"/>
              <w:rPr>
                <w:rFonts w:ascii="Arial" w:hAnsi="Arial" w:cs="Arial"/>
                <w:sz w:val="20"/>
                <w:szCs w:val="20"/>
              </w:rPr>
            </w:pPr>
            <w:r w:rsidRPr="00624979">
              <w:rPr>
                <w:rFonts w:ascii="Arial" w:hAnsi="Arial" w:cs="Arial"/>
                <w:sz w:val="20"/>
                <w:szCs w:val="20"/>
              </w:rPr>
              <w:t>0</w:t>
            </w:r>
          </w:p>
        </w:tc>
        <w:tc>
          <w:tcPr>
            <w:tcW w:w="0" w:type="auto"/>
            <w:hideMark/>
          </w:tcPr>
          <w:p w:rsidR="00624979" w:rsidRPr="00624979" w:rsidRDefault="00624979" w:rsidP="00624979">
            <w:pPr>
              <w:rPr>
                <w:rFonts w:ascii="Arial" w:hAnsi="Arial" w:cs="Arial"/>
                <w:sz w:val="20"/>
                <w:szCs w:val="20"/>
              </w:rPr>
            </w:pPr>
            <w:r w:rsidRPr="00624979">
              <w:rPr>
                <w:rFonts w:ascii="Arial" w:hAnsi="Arial" w:cs="Arial"/>
                <w:sz w:val="20"/>
                <w:szCs w:val="20"/>
              </w:rPr>
              <w:t>Removed</w:t>
            </w:r>
          </w:p>
        </w:tc>
      </w:tr>
      <w:tr w:rsidR="00624979" w:rsidRPr="00624979" w:rsidTr="00624979">
        <w:tc>
          <w:tcPr>
            <w:tcW w:w="0" w:type="auto"/>
            <w:hideMark/>
          </w:tcPr>
          <w:p w:rsidR="00624979" w:rsidRPr="00624979" w:rsidRDefault="00624979" w:rsidP="00624979">
            <w:pPr>
              <w:rPr>
                <w:rFonts w:ascii="Arial" w:hAnsi="Arial" w:cs="Arial"/>
                <w:sz w:val="20"/>
                <w:szCs w:val="20"/>
              </w:rPr>
            </w:pPr>
            <w:r w:rsidRPr="00624979">
              <w:rPr>
                <w:rFonts w:ascii="Arial" w:hAnsi="Arial" w:cs="Arial"/>
                <w:sz w:val="20"/>
                <w:szCs w:val="20"/>
              </w:rPr>
              <w:t>Final sample</w:t>
            </w:r>
          </w:p>
        </w:tc>
        <w:tc>
          <w:tcPr>
            <w:tcW w:w="0" w:type="auto"/>
            <w:hideMark/>
          </w:tcPr>
          <w:p w:rsidR="00624979" w:rsidRPr="00624979" w:rsidRDefault="00624979" w:rsidP="00B7014D">
            <w:pPr>
              <w:jc w:val="center"/>
              <w:rPr>
                <w:rFonts w:ascii="Arial" w:hAnsi="Arial" w:cs="Arial"/>
                <w:sz w:val="20"/>
                <w:szCs w:val="20"/>
              </w:rPr>
            </w:pPr>
            <w:r w:rsidRPr="00624979">
              <w:rPr>
                <w:rFonts w:ascii="Arial" w:hAnsi="Arial" w:cs="Arial"/>
                <w:sz w:val="20"/>
                <w:szCs w:val="20"/>
              </w:rPr>
              <w:t>8</w:t>
            </w:r>
          </w:p>
        </w:tc>
        <w:tc>
          <w:tcPr>
            <w:tcW w:w="0" w:type="auto"/>
            <w:hideMark/>
          </w:tcPr>
          <w:p w:rsidR="00624979" w:rsidRPr="00624979" w:rsidRDefault="00624979" w:rsidP="00624979">
            <w:pPr>
              <w:rPr>
                <w:rFonts w:ascii="Arial" w:hAnsi="Arial" w:cs="Arial"/>
                <w:sz w:val="20"/>
                <w:szCs w:val="20"/>
              </w:rPr>
            </w:pPr>
            <w:r w:rsidRPr="00624979">
              <w:rPr>
                <w:rFonts w:ascii="Arial" w:hAnsi="Arial" w:cs="Arial"/>
                <w:sz w:val="20"/>
                <w:szCs w:val="20"/>
              </w:rPr>
              <w:t>Eligible for analysis</w:t>
            </w:r>
          </w:p>
        </w:tc>
      </w:tr>
      <w:tr w:rsidR="00624979" w:rsidRPr="00624979" w:rsidTr="00624979">
        <w:tc>
          <w:tcPr>
            <w:tcW w:w="0" w:type="auto"/>
            <w:hideMark/>
          </w:tcPr>
          <w:p w:rsidR="00624979" w:rsidRPr="00624979" w:rsidRDefault="00624979" w:rsidP="00624979">
            <w:pPr>
              <w:rPr>
                <w:rFonts w:ascii="Arial" w:hAnsi="Arial" w:cs="Arial"/>
                <w:sz w:val="20"/>
                <w:szCs w:val="20"/>
              </w:rPr>
            </w:pPr>
            <w:r w:rsidRPr="00624979">
              <w:rPr>
                <w:rFonts w:ascii="Arial" w:hAnsi="Arial" w:cs="Arial"/>
                <w:sz w:val="20"/>
                <w:szCs w:val="20"/>
              </w:rPr>
              <w:t>Total observations (firm-year)</w:t>
            </w:r>
          </w:p>
        </w:tc>
        <w:tc>
          <w:tcPr>
            <w:tcW w:w="0" w:type="auto"/>
            <w:hideMark/>
          </w:tcPr>
          <w:p w:rsidR="00624979" w:rsidRPr="00624979" w:rsidRDefault="00624979" w:rsidP="00B7014D">
            <w:pPr>
              <w:jc w:val="center"/>
              <w:rPr>
                <w:rFonts w:ascii="Arial" w:hAnsi="Arial" w:cs="Arial"/>
                <w:sz w:val="20"/>
                <w:szCs w:val="20"/>
              </w:rPr>
            </w:pPr>
            <w:r w:rsidRPr="00624979">
              <w:rPr>
                <w:rFonts w:ascii="Arial" w:hAnsi="Arial" w:cs="Arial"/>
                <w:sz w:val="20"/>
                <w:szCs w:val="20"/>
              </w:rPr>
              <w:t>24</w:t>
            </w:r>
          </w:p>
        </w:tc>
        <w:tc>
          <w:tcPr>
            <w:tcW w:w="0" w:type="auto"/>
            <w:hideMark/>
          </w:tcPr>
          <w:p w:rsidR="00624979" w:rsidRPr="00624979" w:rsidRDefault="00624979" w:rsidP="00624979">
            <w:pPr>
              <w:rPr>
                <w:rFonts w:ascii="Arial" w:hAnsi="Arial" w:cs="Arial"/>
                <w:sz w:val="20"/>
                <w:szCs w:val="20"/>
              </w:rPr>
            </w:pPr>
            <w:r w:rsidRPr="00624979">
              <w:rPr>
                <w:rFonts w:ascii="Arial" w:hAnsi="Arial" w:cs="Arial"/>
                <w:sz w:val="20"/>
                <w:szCs w:val="20"/>
              </w:rPr>
              <w:t>Panel data (8 firms × 3 years)</w:t>
            </w:r>
          </w:p>
        </w:tc>
      </w:tr>
    </w:tbl>
    <w:p w:rsidR="00AA74E0" w:rsidRPr="00000900" w:rsidRDefault="000761F9" w:rsidP="00624979">
      <w:pPr>
        <w:pStyle w:val="NormalWeb"/>
        <w:jc w:val="both"/>
        <w:rPr>
          <w:rFonts w:ascii="Arial" w:hAnsi="Arial" w:cs="Arial"/>
          <w:sz w:val="20"/>
          <w:szCs w:val="20"/>
        </w:rPr>
      </w:pPr>
      <w:r w:rsidRPr="00000900">
        <w:rPr>
          <w:rFonts w:ascii="Arial" w:hAnsi="Arial" w:cs="Arial"/>
          <w:sz w:val="20"/>
          <w:szCs w:val="20"/>
        </w:rPr>
        <w:t>While this provides valuable exploratory insights, the small sample size limits the generalizability of the results. Digital Transformation was proxied using a dummy variable (presence/absence of digital initiatives), which simplifies the complexity of digital practices and represents a methodological limitation. The short three-year period also constrains the ability to capture the long-term financial impact of ESG and digitalization. Classical assumption tests (normality, multicollinearity, heteroscedasticity) and regression analysis were performed using SPSS. High multicollinearity was detected in the interaction variable (ESG × Digital Transformation), which is common in moderation models. Future research should consider applying mean-centering or alternative constructs to minimize this issue and adopt richer measures of digital transformation.</w:t>
      </w:r>
    </w:p>
    <w:p w:rsidR="00790ADA" w:rsidRPr="00000900" w:rsidRDefault="00790ADA" w:rsidP="00441B6F">
      <w:pPr>
        <w:pStyle w:val="Body"/>
        <w:spacing w:after="0"/>
        <w:rPr>
          <w:rFonts w:ascii="Arial" w:hAnsi="Arial" w:cs="Arial"/>
        </w:rPr>
      </w:pPr>
    </w:p>
    <w:p w:rsidR="00902823" w:rsidRPr="00000900" w:rsidRDefault="00000F8F" w:rsidP="00441B6F">
      <w:pPr>
        <w:pStyle w:val="Head1"/>
        <w:spacing w:after="0"/>
        <w:jc w:val="both"/>
        <w:rPr>
          <w:rFonts w:ascii="Arial" w:hAnsi="Arial" w:cs="Arial"/>
          <w:sz w:val="20"/>
        </w:rPr>
      </w:pPr>
      <w:r w:rsidRPr="00000900">
        <w:rPr>
          <w:rFonts w:ascii="Arial" w:hAnsi="Arial" w:cs="Arial"/>
          <w:sz w:val="20"/>
        </w:rPr>
        <w:t>3</w:t>
      </w:r>
      <w:r w:rsidR="00902823" w:rsidRPr="00000900">
        <w:rPr>
          <w:rFonts w:ascii="Arial" w:hAnsi="Arial" w:cs="Arial"/>
          <w:sz w:val="20"/>
        </w:rPr>
        <w:t xml:space="preserve">. </w:t>
      </w:r>
      <w:bookmarkStart w:id="1" w:name="_Hlk210318242"/>
      <w:r w:rsidRPr="00000900">
        <w:rPr>
          <w:rFonts w:ascii="Arial" w:hAnsi="Arial" w:cs="Arial"/>
          <w:sz w:val="20"/>
        </w:rPr>
        <w:t>results and discussion</w:t>
      </w:r>
    </w:p>
    <w:p w:rsidR="00790ADA" w:rsidRPr="00000900" w:rsidRDefault="00790ADA" w:rsidP="00441B6F">
      <w:pPr>
        <w:pStyle w:val="Head1"/>
        <w:spacing w:after="0"/>
        <w:jc w:val="both"/>
        <w:rPr>
          <w:rFonts w:ascii="Arial" w:hAnsi="Arial" w:cs="Arial"/>
          <w:sz w:val="20"/>
        </w:rPr>
      </w:pPr>
    </w:p>
    <w:p w:rsidR="001A5F98" w:rsidRPr="00000900" w:rsidRDefault="001A5F98" w:rsidP="001A5F98">
      <w:pPr>
        <w:pStyle w:val="ListParagraph"/>
        <w:numPr>
          <w:ilvl w:val="1"/>
          <w:numId w:val="35"/>
        </w:numPr>
        <w:ind w:left="567"/>
        <w:jc w:val="both"/>
        <w:rPr>
          <w:rFonts w:ascii="Arial" w:hAnsi="Arial" w:cs="Arial"/>
          <w:b/>
          <w:bCs/>
          <w:sz w:val="20"/>
          <w:szCs w:val="20"/>
        </w:rPr>
      </w:pPr>
      <w:r w:rsidRPr="00000900">
        <w:rPr>
          <w:rFonts w:ascii="Arial" w:hAnsi="Arial" w:cs="Arial"/>
          <w:b/>
          <w:bCs/>
          <w:sz w:val="20"/>
          <w:szCs w:val="20"/>
        </w:rPr>
        <w:t>Classical Asumption Tests</w:t>
      </w:r>
    </w:p>
    <w:p w:rsidR="001A5F98" w:rsidRPr="00000900" w:rsidRDefault="001A5F98" w:rsidP="001A5F98">
      <w:pPr>
        <w:spacing w:before="240"/>
        <w:jc w:val="both"/>
        <w:rPr>
          <w:rFonts w:ascii="Arial" w:hAnsi="Arial" w:cs="Arial"/>
        </w:rPr>
      </w:pPr>
      <w:r w:rsidRPr="00000900">
        <w:rPr>
          <w:rFonts w:ascii="Arial" w:hAnsi="Arial" w:cs="Arial"/>
        </w:rPr>
        <w:t>The regression model passes all of the classical assumption tests, indicating that it is statistically robust and suitable for further analysis.</w:t>
      </w:r>
    </w:p>
    <w:p w:rsidR="001A5F98" w:rsidRPr="00000900" w:rsidRDefault="001A5F98" w:rsidP="001A5F98">
      <w:pPr>
        <w:pStyle w:val="ListParagraph"/>
        <w:numPr>
          <w:ilvl w:val="0"/>
          <w:numId w:val="33"/>
        </w:numPr>
        <w:spacing w:before="240" w:after="0" w:line="240" w:lineRule="auto"/>
        <w:jc w:val="both"/>
        <w:rPr>
          <w:rFonts w:ascii="Arial" w:eastAsia="Times New Roman" w:hAnsi="Arial" w:cs="Arial"/>
          <w:kern w:val="0"/>
          <w:sz w:val="20"/>
          <w:szCs w:val="20"/>
          <w:lang w:val="en-US"/>
        </w:rPr>
      </w:pPr>
      <w:r w:rsidRPr="00000900">
        <w:rPr>
          <w:rFonts w:ascii="Arial" w:hAnsi="Arial" w:cs="Arial"/>
          <w:b/>
          <w:sz w:val="20"/>
          <w:szCs w:val="20"/>
        </w:rPr>
        <w:t>Normality test</w:t>
      </w:r>
    </w:p>
    <w:p w:rsidR="001A5F98" w:rsidRPr="00000900" w:rsidRDefault="001A5F98" w:rsidP="001A5F98">
      <w:pPr>
        <w:spacing w:before="240"/>
        <w:jc w:val="center"/>
        <w:rPr>
          <w:rFonts w:ascii="Arial" w:hAnsi="Arial" w:cs="Arial"/>
          <w:b/>
        </w:rPr>
      </w:pPr>
      <w:r w:rsidRPr="00000900">
        <w:rPr>
          <w:rFonts w:ascii="Arial" w:hAnsi="Arial" w:cs="Arial"/>
          <w:b/>
        </w:rPr>
        <w:lastRenderedPageBreak/>
        <w:t>Table 1. Normality test</w:t>
      </w:r>
    </w:p>
    <w:tbl>
      <w:tblPr>
        <w:tblStyle w:val="TableGrid"/>
        <w:tblW w:w="5000" w:type="pct"/>
        <w:tblLook w:val="04A0"/>
      </w:tblPr>
      <w:tblGrid>
        <w:gridCol w:w="4158"/>
        <w:gridCol w:w="2327"/>
        <w:gridCol w:w="1939"/>
      </w:tblGrid>
      <w:tr w:rsidR="001A5F98" w:rsidRPr="00000900" w:rsidTr="00A44E35">
        <w:trPr>
          <w:trHeight w:val="287"/>
        </w:trPr>
        <w:tc>
          <w:tcPr>
            <w:tcW w:w="5000" w:type="pct"/>
            <w:gridSpan w:val="3"/>
            <w:hideMark/>
          </w:tcPr>
          <w:p w:rsidR="001A5F98" w:rsidRPr="00000900" w:rsidRDefault="001A5F98" w:rsidP="00A44E35">
            <w:pPr>
              <w:jc w:val="center"/>
              <w:rPr>
                <w:rFonts w:ascii="Arial" w:eastAsia="Times New Roman" w:hAnsi="Arial" w:cs="Arial"/>
                <w:sz w:val="20"/>
                <w:szCs w:val="20"/>
              </w:rPr>
            </w:pPr>
            <w:r w:rsidRPr="00000900">
              <w:rPr>
                <w:rFonts w:ascii="Arial" w:eastAsia="Times New Roman" w:hAnsi="Arial" w:cs="Arial"/>
                <w:b/>
                <w:bCs/>
                <w:color w:val="000000"/>
                <w:sz w:val="20"/>
                <w:szCs w:val="20"/>
              </w:rPr>
              <w:t>Tests of Normality</w:t>
            </w:r>
          </w:p>
        </w:tc>
      </w:tr>
      <w:tr w:rsidR="001A5F98" w:rsidRPr="00000900" w:rsidTr="00A44E35">
        <w:trPr>
          <w:trHeight w:val="20"/>
        </w:trPr>
        <w:tc>
          <w:tcPr>
            <w:tcW w:w="2468" w:type="pct"/>
            <w:vMerge w:val="restart"/>
            <w:hideMark/>
          </w:tcPr>
          <w:p w:rsidR="001A5F98" w:rsidRPr="00000900" w:rsidRDefault="001A5F98" w:rsidP="00A44E35">
            <w:pPr>
              <w:jc w:val="both"/>
              <w:rPr>
                <w:rFonts w:ascii="Arial" w:eastAsia="Times New Roman" w:hAnsi="Arial" w:cs="Arial"/>
                <w:sz w:val="20"/>
                <w:szCs w:val="20"/>
              </w:rPr>
            </w:pPr>
            <w:r w:rsidRPr="00000900">
              <w:rPr>
                <w:rFonts w:ascii="Arial" w:eastAsia="Times New Roman" w:hAnsi="Arial" w:cs="Arial"/>
                <w:color w:val="000000"/>
                <w:sz w:val="20"/>
                <w:szCs w:val="20"/>
              </w:rPr>
              <w:t> </w:t>
            </w:r>
          </w:p>
        </w:tc>
        <w:tc>
          <w:tcPr>
            <w:tcW w:w="1381" w:type="pct"/>
            <w:vMerge w:val="restart"/>
            <w:hideMark/>
          </w:tcPr>
          <w:p w:rsidR="001A5F98" w:rsidRPr="00000900" w:rsidRDefault="001A5F98" w:rsidP="004C40DA">
            <w:pPr>
              <w:ind w:left="60" w:right="60"/>
              <w:jc w:val="both"/>
              <w:rPr>
                <w:rFonts w:ascii="Arial" w:eastAsia="Times New Roman" w:hAnsi="Arial" w:cs="Arial"/>
                <w:sz w:val="20"/>
                <w:szCs w:val="20"/>
              </w:rPr>
            </w:pPr>
            <w:r w:rsidRPr="00000900">
              <w:rPr>
                <w:rFonts w:ascii="Arial" w:eastAsia="Times New Roman" w:hAnsi="Arial" w:cs="Arial"/>
                <w:color w:val="000000"/>
                <w:sz w:val="20"/>
                <w:szCs w:val="20"/>
              </w:rPr>
              <w:t>ESG SCORE (X)</w:t>
            </w:r>
          </w:p>
        </w:tc>
        <w:tc>
          <w:tcPr>
            <w:tcW w:w="1152" w:type="pct"/>
            <w:hideMark/>
          </w:tcPr>
          <w:p w:rsidR="001A5F98" w:rsidRPr="00000900" w:rsidRDefault="001A5F98" w:rsidP="004C40DA">
            <w:pPr>
              <w:ind w:left="60" w:right="60"/>
              <w:jc w:val="both"/>
              <w:rPr>
                <w:rFonts w:ascii="Arial" w:eastAsia="Times New Roman" w:hAnsi="Arial" w:cs="Arial"/>
                <w:sz w:val="20"/>
                <w:szCs w:val="20"/>
              </w:rPr>
            </w:pPr>
            <w:r w:rsidRPr="00000900">
              <w:rPr>
                <w:rFonts w:ascii="Arial" w:eastAsia="Times New Roman" w:hAnsi="Arial" w:cs="Arial"/>
                <w:color w:val="000000"/>
                <w:sz w:val="20"/>
                <w:szCs w:val="20"/>
              </w:rPr>
              <w:t>Shapiro-Wilk</w:t>
            </w:r>
            <w:r w:rsidRPr="00000900">
              <w:rPr>
                <w:rFonts w:ascii="Arial" w:eastAsia="Times New Roman" w:hAnsi="Arial" w:cs="Arial"/>
                <w:color w:val="000000"/>
                <w:sz w:val="20"/>
                <w:szCs w:val="20"/>
                <w:vertAlign w:val="superscript"/>
              </w:rPr>
              <w:t>b</w:t>
            </w:r>
          </w:p>
        </w:tc>
      </w:tr>
      <w:tr w:rsidR="001A5F98" w:rsidRPr="00000900" w:rsidTr="00A44E35">
        <w:trPr>
          <w:trHeight w:val="20"/>
        </w:trPr>
        <w:tc>
          <w:tcPr>
            <w:tcW w:w="2468" w:type="pct"/>
            <w:vMerge/>
            <w:hideMark/>
          </w:tcPr>
          <w:p w:rsidR="001A5F98" w:rsidRPr="00000900" w:rsidRDefault="001A5F98" w:rsidP="004C40DA">
            <w:pPr>
              <w:jc w:val="both"/>
              <w:rPr>
                <w:rFonts w:ascii="Arial" w:eastAsia="Times New Roman" w:hAnsi="Arial" w:cs="Arial"/>
                <w:sz w:val="20"/>
                <w:szCs w:val="20"/>
              </w:rPr>
            </w:pPr>
          </w:p>
        </w:tc>
        <w:tc>
          <w:tcPr>
            <w:tcW w:w="1381" w:type="pct"/>
            <w:vMerge/>
            <w:hideMark/>
          </w:tcPr>
          <w:p w:rsidR="001A5F98" w:rsidRPr="00000900" w:rsidRDefault="001A5F98" w:rsidP="004C40DA">
            <w:pPr>
              <w:jc w:val="both"/>
              <w:rPr>
                <w:rFonts w:ascii="Arial" w:eastAsia="Times New Roman" w:hAnsi="Arial" w:cs="Arial"/>
                <w:sz w:val="20"/>
                <w:szCs w:val="20"/>
              </w:rPr>
            </w:pPr>
          </w:p>
        </w:tc>
        <w:tc>
          <w:tcPr>
            <w:tcW w:w="1152" w:type="pct"/>
            <w:hideMark/>
          </w:tcPr>
          <w:p w:rsidR="001A5F98" w:rsidRPr="00000900" w:rsidRDefault="001A5F98" w:rsidP="004C40DA">
            <w:pPr>
              <w:ind w:left="60" w:right="60"/>
              <w:jc w:val="both"/>
              <w:rPr>
                <w:rFonts w:ascii="Arial" w:eastAsia="Times New Roman" w:hAnsi="Arial" w:cs="Arial"/>
                <w:sz w:val="20"/>
                <w:szCs w:val="20"/>
              </w:rPr>
            </w:pPr>
            <w:r w:rsidRPr="00000900">
              <w:rPr>
                <w:rFonts w:ascii="Arial" w:eastAsia="Times New Roman" w:hAnsi="Arial" w:cs="Arial"/>
                <w:color w:val="000000"/>
                <w:sz w:val="20"/>
                <w:szCs w:val="20"/>
              </w:rPr>
              <w:t>Sig.</w:t>
            </w:r>
          </w:p>
        </w:tc>
      </w:tr>
      <w:tr w:rsidR="001A5F98" w:rsidRPr="00000900" w:rsidTr="00A44E35">
        <w:trPr>
          <w:trHeight w:val="20"/>
        </w:trPr>
        <w:tc>
          <w:tcPr>
            <w:tcW w:w="2468" w:type="pct"/>
            <w:vMerge w:val="restart"/>
            <w:hideMark/>
          </w:tcPr>
          <w:p w:rsidR="001A5F98" w:rsidRPr="00000900" w:rsidRDefault="001A5F98" w:rsidP="00A44E35">
            <w:pPr>
              <w:ind w:left="62" w:right="62"/>
              <w:jc w:val="both"/>
              <w:rPr>
                <w:rFonts w:ascii="Arial" w:eastAsia="Times New Roman" w:hAnsi="Arial" w:cs="Arial"/>
                <w:sz w:val="20"/>
                <w:szCs w:val="20"/>
              </w:rPr>
            </w:pPr>
            <w:r w:rsidRPr="00000900">
              <w:rPr>
                <w:rFonts w:ascii="Arial" w:eastAsia="Times New Roman" w:hAnsi="Arial" w:cs="Arial"/>
                <w:color w:val="000000"/>
                <w:sz w:val="20"/>
                <w:szCs w:val="20"/>
              </w:rPr>
              <w:t>KINERJA KEUANGAN (ROA) (Y)</w:t>
            </w:r>
          </w:p>
        </w:tc>
        <w:tc>
          <w:tcPr>
            <w:tcW w:w="1381" w:type="pct"/>
            <w:hideMark/>
          </w:tcPr>
          <w:p w:rsidR="001A5F98" w:rsidRPr="00000900" w:rsidRDefault="001A5F98" w:rsidP="00A44E35">
            <w:pPr>
              <w:ind w:left="62" w:right="62"/>
              <w:jc w:val="both"/>
              <w:rPr>
                <w:rFonts w:ascii="Arial" w:eastAsia="Times New Roman" w:hAnsi="Arial" w:cs="Arial"/>
                <w:sz w:val="20"/>
                <w:szCs w:val="20"/>
              </w:rPr>
            </w:pPr>
            <w:r w:rsidRPr="00000900">
              <w:rPr>
                <w:rFonts w:ascii="Arial" w:eastAsia="Times New Roman" w:hAnsi="Arial" w:cs="Arial"/>
                <w:color w:val="000000"/>
                <w:sz w:val="20"/>
                <w:szCs w:val="20"/>
              </w:rPr>
              <w:t>.12871</w:t>
            </w:r>
          </w:p>
        </w:tc>
        <w:tc>
          <w:tcPr>
            <w:tcW w:w="1152" w:type="pct"/>
            <w:hideMark/>
          </w:tcPr>
          <w:p w:rsidR="001A5F98" w:rsidRPr="00000900" w:rsidRDefault="001A5F98" w:rsidP="004C40DA">
            <w:pPr>
              <w:spacing w:before="240" w:after="240"/>
              <w:jc w:val="both"/>
              <w:rPr>
                <w:rFonts w:ascii="Arial" w:eastAsia="Times New Roman" w:hAnsi="Arial" w:cs="Arial"/>
                <w:sz w:val="20"/>
                <w:szCs w:val="20"/>
              </w:rPr>
            </w:pPr>
          </w:p>
        </w:tc>
      </w:tr>
      <w:tr w:rsidR="001A5F98" w:rsidRPr="00000900" w:rsidTr="00A44E35">
        <w:trPr>
          <w:trHeight w:val="227"/>
        </w:trPr>
        <w:tc>
          <w:tcPr>
            <w:tcW w:w="2468" w:type="pct"/>
            <w:vMerge/>
            <w:hideMark/>
          </w:tcPr>
          <w:p w:rsidR="001A5F98" w:rsidRPr="00000900" w:rsidRDefault="001A5F98" w:rsidP="004C40DA">
            <w:pPr>
              <w:jc w:val="both"/>
              <w:rPr>
                <w:rFonts w:ascii="Arial" w:eastAsia="Times New Roman" w:hAnsi="Arial" w:cs="Arial"/>
                <w:sz w:val="20"/>
                <w:szCs w:val="20"/>
              </w:rPr>
            </w:pPr>
          </w:p>
        </w:tc>
        <w:tc>
          <w:tcPr>
            <w:tcW w:w="1381" w:type="pct"/>
            <w:hideMark/>
          </w:tcPr>
          <w:p w:rsidR="001A5F98" w:rsidRPr="00000900" w:rsidRDefault="001A5F98" w:rsidP="004C40DA">
            <w:pPr>
              <w:ind w:left="60" w:right="60"/>
              <w:jc w:val="both"/>
              <w:rPr>
                <w:rFonts w:ascii="Arial" w:eastAsia="Times New Roman" w:hAnsi="Arial" w:cs="Arial"/>
                <w:sz w:val="20"/>
                <w:szCs w:val="20"/>
              </w:rPr>
            </w:pPr>
            <w:r w:rsidRPr="00000900">
              <w:rPr>
                <w:rFonts w:ascii="Arial" w:eastAsia="Times New Roman" w:hAnsi="Arial" w:cs="Arial"/>
                <w:color w:val="000000"/>
                <w:sz w:val="20"/>
                <w:szCs w:val="20"/>
              </w:rPr>
              <w:t>.29703</w:t>
            </w:r>
          </w:p>
        </w:tc>
        <w:tc>
          <w:tcPr>
            <w:tcW w:w="1152" w:type="pct"/>
            <w:hideMark/>
          </w:tcPr>
          <w:p w:rsidR="001A5F98" w:rsidRPr="00000900" w:rsidRDefault="001A5F98" w:rsidP="004C40DA">
            <w:pPr>
              <w:spacing w:before="240" w:after="240"/>
              <w:jc w:val="both"/>
              <w:rPr>
                <w:rFonts w:ascii="Arial" w:eastAsia="Times New Roman" w:hAnsi="Arial" w:cs="Arial"/>
                <w:sz w:val="20"/>
                <w:szCs w:val="20"/>
              </w:rPr>
            </w:pPr>
            <w:r w:rsidRPr="00000900">
              <w:rPr>
                <w:rFonts w:ascii="Arial" w:eastAsia="Times New Roman" w:hAnsi="Arial" w:cs="Arial"/>
                <w:color w:val="000000"/>
                <w:sz w:val="20"/>
                <w:szCs w:val="20"/>
              </w:rPr>
              <w:t> </w:t>
            </w:r>
          </w:p>
        </w:tc>
      </w:tr>
      <w:tr w:rsidR="001A5F98" w:rsidRPr="00000900" w:rsidTr="00A44E35">
        <w:trPr>
          <w:trHeight w:val="20"/>
        </w:trPr>
        <w:tc>
          <w:tcPr>
            <w:tcW w:w="2468" w:type="pct"/>
            <w:vMerge/>
            <w:hideMark/>
          </w:tcPr>
          <w:p w:rsidR="001A5F98" w:rsidRPr="00000900" w:rsidRDefault="001A5F98" w:rsidP="004C40DA">
            <w:pPr>
              <w:jc w:val="both"/>
              <w:rPr>
                <w:rFonts w:ascii="Arial" w:eastAsia="Times New Roman" w:hAnsi="Arial" w:cs="Arial"/>
                <w:sz w:val="20"/>
                <w:szCs w:val="20"/>
              </w:rPr>
            </w:pPr>
          </w:p>
        </w:tc>
        <w:tc>
          <w:tcPr>
            <w:tcW w:w="1381" w:type="pct"/>
            <w:hideMark/>
          </w:tcPr>
          <w:p w:rsidR="001A5F98" w:rsidRPr="00000900" w:rsidRDefault="001A5F98" w:rsidP="004C40DA">
            <w:pPr>
              <w:ind w:left="60" w:right="60"/>
              <w:jc w:val="both"/>
              <w:rPr>
                <w:rFonts w:ascii="Arial" w:eastAsia="Times New Roman" w:hAnsi="Arial" w:cs="Arial"/>
                <w:sz w:val="20"/>
                <w:szCs w:val="20"/>
              </w:rPr>
            </w:pPr>
            <w:r w:rsidRPr="00000900">
              <w:rPr>
                <w:rFonts w:ascii="Arial" w:eastAsia="Times New Roman" w:hAnsi="Arial" w:cs="Arial"/>
                <w:color w:val="000000"/>
                <w:sz w:val="20"/>
                <w:szCs w:val="20"/>
              </w:rPr>
              <w:t>.33663</w:t>
            </w:r>
          </w:p>
        </w:tc>
        <w:tc>
          <w:tcPr>
            <w:tcW w:w="1152" w:type="pct"/>
            <w:hideMark/>
          </w:tcPr>
          <w:p w:rsidR="001A5F98" w:rsidRPr="00000900" w:rsidRDefault="001A5F98" w:rsidP="004C40DA">
            <w:pPr>
              <w:ind w:left="60" w:right="60"/>
              <w:jc w:val="both"/>
              <w:rPr>
                <w:rFonts w:ascii="Arial" w:eastAsia="Times New Roman" w:hAnsi="Arial" w:cs="Arial"/>
                <w:sz w:val="20"/>
                <w:szCs w:val="20"/>
              </w:rPr>
            </w:pPr>
            <w:r w:rsidRPr="00000900">
              <w:rPr>
                <w:rFonts w:ascii="Arial" w:eastAsia="Times New Roman" w:hAnsi="Arial" w:cs="Arial"/>
                <w:color w:val="000000"/>
                <w:sz w:val="20"/>
                <w:szCs w:val="20"/>
              </w:rPr>
              <w:t>.812</w:t>
            </w:r>
          </w:p>
        </w:tc>
      </w:tr>
    </w:tbl>
    <w:p w:rsidR="001A5F98" w:rsidRPr="00000900" w:rsidRDefault="001A5F98" w:rsidP="001A5F98">
      <w:pPr>
        <w:pStyle w:val="NormalWeb"/>
        <w:jc w:val="both"/>
        <w:rPr>
          <w:rFonts w:ascii="Arial" w:hAnsi="Arial" w:cs="Arial"/>
          <w:sz w:val="20"/>
          <w:szCs w:val="20"/>
        </w:rPr>
      </w:pPr>
      <w:r w:rsidRPr="00000900">
        <w:rPr>
          <w:rFonts w:ascii="Arial" w:hAnsi="Arial" w:cs="Arial"/>
          <w:sz w:val="20"/>
          <w:szCs w:val="20"/>
        </w:rPr>
        <w:t>The analysis results show that financial performance measured by ROA varies across each ESG Score group. At an ESG Score of 0.12871, the average ROA is relatively high at 14.87% with a narrow range (13.03%–16.72%), indicating that the financial performance of companies at this level tends to be stable. Conversely, at an ESG Score of 0.29703, the average ROA fell to 4.15% (3.40%–4.91%), while at an ESG Score of 0.33663, the average ROA was even lower at 3.69% with a wider range (0.14%–6.87%). This shows that an increase in ESG Score is not always followed by an increase in profitability.</w:t>
      </w:r>
    </w:p>
    <w:p w:rsidR="001A5F98" w:rsidRPr="00000900" w:rsidRDefault="001A5F98" w:rsidP="001A5F98">
      <w:pPr>
        <w:pStyle w:val="NormalWeb"/>
        <w:jc w:val="both"/>
        <w:rPr>
          <w:rFonts w:ascii="Arial" w:hAnsi="Arial" w:cs="Arial"/>
          <w:sz w:val="20"/>
          <w:szCs w:val="20"/>
        </w:rPr>
      </w:pPr>
      <w:r w:rsidRPr="00000900">
        <w:rPr>
          <w:rFonts w:ascii="Arial" w:hAnsi="Arial" w:cs="Arial"/>
          <w:sz w:val="20"/>
          <w:szCs w:val="20"/>
        </w:rPr>
        <w:t>The normality test (Shapiro-Wilk) produced a significance value above 0.05, for example 0.812 at an ESG Score of 0.33663, so the data was declared to be normally distributed and met the regression assumptions. In general, these results indicate a trade-off between ESG implementation and short-term financial performance. ESG implementation has the potential to increase costs, thereby reducing profits, but in the long term, it is expected to improve reputation, attract investors, and support more sustainable financial performance.</w:t>
      </w:r>
    </w:p>
    <w:p w:rsidR="001A5F98" w:rsidRPr="00000900" w:rsidRDefault="001A5F98" w:rsidP="001A5F98">
      <w:pPr>
        <w:pStyle w:val="NormalWeb"/>
        <w:numPr>
          <w:ilvl w:val="0"/>
          <w:numId w:val="33"/>
        </w:numPr>
        <w:jc w:val="both"/>
        <w:rPr>
          <w:rFonts w:ascii="Arial" w:hAnsi="Arial" w:cs="Arial"/>
          <w:b/>
          <w:sz w:val="20"/>
          <w:szCs w:val="20"/>
        </w:rPr>
      </w:pPr>
      <w:r w:rsidRPr="00000900">
        <w:rPr>
          <w:rFonts w:ascii="Arial" w:hAnsi="Arial" w:cs="Arial"/>
          <w:b/>
          <w:sz w:val="20"/>
          <w:szCs w:val="20"/>
        </w:rPr>
        <w:t>Multicollinearity test</w:t>
      </w:r>
      <w:r w:rsidRPr="00000900">
        <w:rPr>
          <w:rFonts w:ascii="Arial" w:hAnsi="Arial" w:cs="Arial"/>
          <w:b/>
          <w:color w:val="000000"/>
          <w:sz w:val="20"/>
          <w:szCs w:val="20"/>
          <w:shd w:val="clear" w:color="auto" w:fill="FFFFFF"/>
        </w:rPr>
        <w:tab/>
      </w:r>
    </w:p>
    <w:p w:rsidR="001A5F98" w:rsidRPr="00000900" w:rsidRDefault="001A5F98" w:rsidP="001A5F98">
      <w:pPr>
        <w:spacing w:before="240"/>
        <w:jc w:val="both"/>
        <w:rPr>
          <w:rFonts w:ascii="Arial" w:hAnsi="Arial" w:cs="Arial"/>
          <w:b/>
        </w:rPr>
      </w:pPr>
      <w:r w:rsidRPr="00000900">
        <w:rPr>
          <w:rFonts w:ascii="Arial" w:hAnsi="Arial" w:cs="Arial"/>
          <w:b/>
        </w:rPr>
        <w:t>Table 2. Multicollinearity test</w:t>
      </w:r>
      <w:r w:rsidRPr="00000900">
        <w:rPr>
          <w:rFonts w:ascii="Arial" w:hAnsi="Arial" w:cs="Arial"/>
          <w:b/>
          <w:color w:val="000000"/>
          <w:shd w:val="clear" w:color="auto" w:fill="FFFFFF"/>
        </w:rPr>
        <w:tab/>
      </w:r>
    </w:p>
    <w:tbl>
      <w:tblPr>
        <w:tblStyle w:val="TableGrid"/>
        <w:tblW w:w="0" w:type="auto"/>
        <w:tblLook w:val="04A0"/>
      </w:tblPr>
      <w:tblGrid>
        <w:gridCol w:w="448"/>
        <w:gridCol w:w="5078"/>
        <w:gridCol w:w="1771"/>
        <w:gridCol w:w="1127"/>
      </w:tblGrid>
      <w:tr w:rsidR="001A5F98" w:rsidRPr="00000900" w:rsidTr="004C40DA">
        <w:trPr>
          <w:trHeight w:val="57"/>
        </w:trPr>
        <w:tc>
          <w:tcPr>
            <w:tcW w:w="8939" w:type="dxa"/>
            <w:gridSpan w:val="4"/>
            <w:vAlign w:val="center"/>
            <w:hideMark/>
          </w:tcPr>
          <w:p w:rsidR="001A5F98" w:rsidRPr="00000900" w:rsidRDefault="001A5F98" w:rsidP="004C40DA">
            <w:pPr>
              <w:ind w:left="60" w:right="60"/>
              <w:jc w:val="center"/>
              <w:rPr>
                <w:rFonts w:ascii="Arial" w:eastAsia="Times New Roman" w:hAnsi="Arial" w:cs="Arial"/>
                <w:sz w:val="20"/>
                <w:szCs w:val="20"/>
              </w:rPr>
            </w:pPr>
            <w:r w:rsidRPr="00000900">
              <w:rPr>
                <w:rFonts w:ascii="Arial" w:eastAsia="Times New Roman" w:hAnsi="Arial" w:cs="Arial"/>
                <w:b/>
                <w:bCs/>
                <w:color w:val="000000"/>
                <w:sz w:val="20"/>
                <w:szCs w:val="20"/>
                <w:shd w:val="clear" w:color="auto" w:fill="FFFFFF"/>
              </w:rPr>
              <w:t>Coefficients</w:t>
            </w:r>
            <w:r w:rsidRPr="00000900">
              <w:rPr>
                <w:rFonts w:ascii="Arial" w:eastAsia="Times New Roman" w:hAnsi="Arial" w:cs="Arial"/>
                <w:b/>
                <w:bCs/>
                <w:color w:val="000000"/>
                <w:sz w:val="20"/>
                <w:szCs w:val="20"/>
                <w:shd w:val="clear" w:color="auto" w:fill="FFFFFF"/>
                <w:vertAlign w:val="superscript"/>
              </w:rPr>
              <w:t>a</w:t>
            </w:r>
          </w:p>
        </w:tc>
      </w:tr>
      <w:tr w:rsidR="001A5F98" w:rsidRPr="00000900" w:rsidTr="004C40DA">
        <w:trPr>
          <w:trHeight w:val="57"/>
        </w:trPr>
        <w:tc>
          <w:tcPr>
            <w:tcW w:w="5949" w:type="dxa"/>
            <w:gridSpan w:val="2"/>
            <w:vMerge w:val="restart"/>
            <w:hideMark/>
          </w:tcPr>
          <w:p w:rsidR="001A5F98" w:rsidRPr="00000900" w:rsidRDefault="001A5F98" w:rsidP="004C40DA">
            <w:pPr>
              <w:ind w:left="60" w:right="60"/>
              <w:jc w:val="both"/>
              <w:rPr>
                <w:rFonts w:ascii="Arial" w:eastAsia="Times New Roman" w:hAnsi="Arial" w:cs="Arial"/>
                <w:sz w:val="20"/>
                <w:szCs w:val="20"/>
              </w:rPr>
            </w:pPr>
            <w:r w:rsidRPr="00000900">
              <w:rPr>
                <w:rFonts w:ascii="Arial" w:eastAsia="Times New Roman" w:hAnsi="Arial" w:cs="Arial"/>
                <w:color w:val="000000"/>
                <w:sz w:val="20"/>
                <w:szCs w:val="20"/>
                <w:shd w:val="clear" w:color="auto" w:fill="FFFFFF"/>
              </w:rPr>
              <w:t>Model</w:t>
            </w:r>
          </w:p>
        </w:tc>
        <w:tc>
          <w:tcPr>
            <w:tcW w:w="2990" w:type="dxa"/>
            <w:gridSpan w:val="2"/>
            <w:hideMark/>
          </w:tcPr>
          <w:p w:rsidR="001A5F98" w:rsidRPr="00000900" w:rsidRDefault="001A5F98" w:rsidP="004C40DA">
            <w:pPr>
              <w:ind w:left="60" w:right="60"/>
              <w:jc w:val="both"/>
              <w:rPr>
                <w:rFonts w:ascii="Arial" w:eastAsia="Times New Roman" w:hAnsi="Arial" w:cs="Arial"/>
                <w:sz w:val="20"/>
                <w:szCs w:val="20"/>
              </w:rPr>
            </w:pPr>
            <w:r w:rsidRPr="00000900">
              <w:rPr>
                <w:rFonts w:ascii="Arial" w:eastAsia="Times New Roman" w:hAnsi="Arial" w:cs="Arial"/>
                <w:color w:val="000000"/>
                <w:sz w:val="20"/>
                <w:szCs w:val="20"/>
                <w:shd w:val="clear" w:color="auto" w:fill="FFFFFF"/>
              </w:rPr>
              <w:t>Collinearity Statistics</w:t>
            </w:r>
          </w:p>
        </w:tc>
      </w:tr>
      <w:tr w:rsidR="001A5F98" w:rsidRPr="00000900" w:rsidTr="004C40DA">
        <w:trPr>
          <w:trHeight w:val="57"/>
        </w:trPr>
        <w:tc>
          <w:tcPr>
            <w:tcW w:w="5949" w:type="dxa"/>
            <w:gridSpan w:val="2"/>
            <w:vMerge/>
            <w:hideMark/>
          </w:tcPr>
          <w:p w:rsidR="001A5F98" w:rsidRPr="00000900" w:rsidRDefault="001A5F98" w:rsidP="004C40DA">
            <w:pPr>
              <w:jc w:val="both"/>
              <w:rPr>
                <w:rFonts w:ascii="Arial" w:eastAsia="Times New Roman" w:hAnsi="Arial" w:cs="Arial"/>
                <w:sz w:val="20"/>
                <w:szCs w:val="20"/>
              </w:rPr>
            </w:pPr>
          </w:p>
        </w:tc>
        <w:tc>
          <w:tcPr>
            <w:tcW w:w="1841" w:type="dxa"/>
            <w:hideMark/>
          </w:tcPr>
          <w:p w:rsidR="001A5F98" w:rsidRPr="00000900" w:rsidRDefault="001A5F98" w:rsidP="004C40DA">
            <w:pPr>
              <w:ind w:left="60" w:right="60"/>
              <w:jc w:val="both"/>
              <w:rPr>
                <w:rFonts w:ascii="Arial" w:eastAsia="Times New Roman" w:hAnsi="Arial" w:cs="Arial"/>
                <w:sz w:val="20"/>
                <w:szCs w:val="20"/>
              </w:rPr>
            </w:pPr>
            <w:r w:rsidRPr="00000900">
              <w:rPr>
                <w:rFonts w:ascii="Arial" w:eastAsia="Times New Roman" w:hAnsi="Arial" w:cs="Arial"/>
                <w:color w:val="000000"/>
                <w:sz w:val="20"/>
                <w:szCs w:val="20"/>
                <w:shd w:val="clear" w:color="auto" w:fill="FFFFFF"/>
              </w:rPr>
              <w:t>Tolerance</w:t>
            </w:r>
          </w:p>
        </w:tc>
        <w:tc>
          <w:tcPr>
            <w:tcW w:w="1149" w:type="dxa"/>
            <w:hideMark/>
          </w:tcPr>
          <w:p w:rsidR="001A5F98" w:rsidRPr="00000900" w:rsidRDefault="001A5F98" w:rsidP="004C40DA">
            <w:pPr>
              <w:ind w:left="60" w:right="60"/>
              <w:jc w:val="both"/>
              <w:rPr>
                <w:rFonts w:ascii="Arial" w:eastAsia="Times New Roman" w:hAnsi="Arial" w:cs="Arial"/>
                <w:sz w:val="20"/>
                <w:szCs w:val="20"/>
              </w:rPr>
            </w:pPr>
            <w:r w:rsidRPr="00000900">
              <w:rPr>
                <w:rFonts w:ascii="Arial" w:eastAsia="Times New Roman" w:hAnsi="Arial" w:cs="Arial"/>
                <w:color w:val="000000"/>
                <w:sz w:val="20"/>
                <w:szCs w:val="20"/>
                <w:shd w:val="clear" w:color="auto" w:fill="FFFFFF"/>
              </w:rPr>
              <w:t>VIF</w:t>
            </w:r>
          </w:p>
        </w:tc>
      </w:tr>
      <w:tr w:rsidR="001A5F98" w:rsidRPr="00000900" w:rsidTr="004C40DA">
        <w:trPr>
          <w:trHeight w:val="57"/>
        </w:trPr>
        <w:tc>
          <w:tcPr>
            <w:tcW w:w="0" w:type="auto"/>
            <w:vMerge w:val="restart"/>
            <w:hideMark/>
          </w:tcPr>
          <w:p w:rsidR="001A5F98" w:rsidRPr="00000900" w:rsidRDefault="001A5F98" w:rsidP="004C40DA">
            <w:pPr>
              <w:ind w:left="60" w:right="60"/>
              <w:jc w:val="both"/>
              <w:rPr>
                <w:rFonts w:ascii="Arial" w:eastAsia="Times New Roman" w:hAnsi="Arial" w:cs="Arial"/>
                <w:sz w:val="20"/>
                <w:szCs w:val="20"/>
              </w:rPr>
            </w:pPr>
            <w:r w:rsidRPr="00000900">
              <w:rPr>
                <w:rFonts w:ascii="Arial" w:eastAsia="Times New Roman" w:hAnsi="Arial" w:cs="Arial"/>
                <w:color w:val="000000"/>
                <w:sz w:val="20"/>
                <w:szCs w:val="20"/>
                <w:shd w:val="clear" w:color="auto" w:fill="FFFFFF"/>
              </w:rPr>
              <w:t>1</w:t>
            </w:r>
          </w:p>
        </w:tc>
        <w:tc>
          <w:tcPr>
            <w:tcW w:w="5489" w:type="dxa"/>
            <w:hideMark/>
          </w:tcPr>
          <w:p w:rsidR="001A5F98" w:rsidRPr="00000900" w:rsidRDefault="001A5F98" w:rsidP="004C40DA">
            <w:pPr>
              <w:ind w:left="60" w:right="60"/>
              <w:jc w:val="both"/>
              <w:rPr>
                <w:rFonts w:ascii="Arial" w:eastAsia="Times New Roman" w:hAnsi="Arial" w:cs="Arial"/>
                <w:sz w:val="20"/>
                <w:szCs w:val="20"/>
              </w:rPr>
            </w:pPr>
            <w:r w:rsidRPr="00000900">
              <w:rPr>
                <w:rFonts w:ascii="Arial" w:eastAsia="Times New Roman" w:hAnsi="Arial" w:cs="Arial"/>
                <w:color w:val="000000"/>
                <w:sz w:val="20"/>
                <w:szCs w:val="20"/>
                <w:shd w:val="clear" w:color="auto" w:fill="FFFFFF"/>
              </w:rPr>
              <w:t>(Constant)</w:t>
            </w:r>
          </w:p>
        </w:tc>
        <w:tc>
          <w:tcPr>
            <w:tcW w:w="1841" w:type="dxa"/>
            <w:hideMark/>
          </w:tcPr>
          <w:p w:rsidR="001A5F98" w:rsidRPr="00000900" w:rsidRDefault="001A5F98" w:rsidP="004C40DA">
            <w:pPr>
              <w:spacing w:before="240" w:after="240"/>
              <w:jc w:val="both"/>
              <w:rPr>
                <w:rFonts w:ascii="Arial" w:eastAsia="Times New Roman" w:hAnsi="Arial" w:cs="Arial"/>
                <w:sz w:val="20"/>
                <w:szCs w:val="20"/>
              </w:rPr>
            </w:pPr>
            <w:r w:rsidRPr="00000900">
              <w:rPr>
                <w:rFonts w:ascii="Arial" w:eastAsia="Times New Roman" w:hAnsi="Arial" w:cs="Arial"/>
                <w:color w:val="000000"/>
                <w:sz w:val="20"/>
                <w:szCs w:val="20"/>
                <w:shd w:val="clear" w:color="auto" w:fill="FFFFFF"/>
              </w:rPr>
              <w:t> </w:t>
            </w:r>
          </w:p>
        </w:tc>
        <w:tc>
          <w:tcPr>
            <w:tcW w:w="1149" w:type="dxa"/>
            <w:hideMark/>
          </w:tcPr>
          <w:p w:rsidR="001A5F98" w:rsidRPr="00000900" w:rsidRDefault="001A5F98" w:rsidP="004C40DA">
            <w:pPr>
              <w:spacing w:before="240" w:after="240"/>
              <w:jc w:val="both"/>
              <w:rPr>
                <w:rFonts w:ascii="Arial" w:eastAsia="Times New Roman" w:hAnsi="Arial" w:cs="Arial"/>
                <w:sz w:val="20"/>
                <w:szCs w:val="20"/>
              </w:rPr>
            </w:pPr>
            <w:r w:rsidRPr="00000900">
              <w:rPr>
                <w:rFonts w:ascii="Arial" w:eastAsia="Times New Roman" w:hAnsi="Arial" w:cs="Arial"/>
                <w:color w:val="000000"/>
                <w:sz w:val="20"/>
                <w:szCs w:val="20"/>
                <w:shd w:val="clear" w:color="auto" w:fill="FFFFFF"/>
              </w:rPr>
              <w:t> </w:t>
            </w:r>
          </w:p>
        </w:tc>
      </w:tr>
      <w:tr w:rsidR="001A5F98" w:rsidRPr="00000900" w:rsidTr="004C40DA">
        <w:trPr>
          <w:trHeight w:val="57"/>
        </w:trPr>
        <w:tc>
          <w:tcPr>
            <w:tcW w:w="0" w:type="auto"/>
            <w:vMerge/>
            <w:hideMark/>
          </w:tcPr>
          <w:p w:rsidR="001A5F98" w:rsidRPr="00000900" w:rsidRDefault="001A5F98" w:rsidP="004C40DA">
            <w:pPr>
              <w:jc w:val="both"/>
              <w:rPr>
                <w:rFonts w:ascii="Arial" w:eastAsia="Times New Roman" w:hAnsi="Arial" w:cs="Arial"/>
                <w:sz w:val="20"/>
                <w:szCs w:val="20"/>
              </w:rPr>
            </w:pPr>
          </w:p>
        </w:tc>
        <w:tc>
          <w:tcPr>
            <w:tcW w:w="5489" w:type="dxa"/>
            <w:hideMark/>
          </w:tcPr>
          <w:p w:rsidR="001A5F98" w:rsidRPr="00000900" w:rsidRDefault="001A5F98" w:rsidP="004C40DA">
            <w:pPr>
              <w:ind w:left="60" w:right="60"/>
              <w:jc w:val="both"/>
              <w:rPr>
                <w:rFonts w:ascii="Arial" w:eastAsia="Times New Roman" w:hAnsi="Arial" w:cs="Arial"/>
                <w:sz w:val="20"/>
                <w:szCs w:val="20"/>
              </w:rPr>
            </w:pPr>
            <w:r w:rsidRPr="00000900">
              <w:rPr>
                <w:rFonts w:ascii="Arial" w:eastAsia="Times New Roman" w:hAnsi="Arial" w:cs="Arial"/>
                <w:color w:val="000000"/>
                <w:sz w:val="20"/>
                <w:szCs w:val="20"/>
                <w:shd w:val="clear" w:color="auto" w:fill="FFFFFF"/>
              </w:rPr>
              <w:t>ESG SCORE (X)</w:t>
            </w:r>
          </w:p>
        </w:tc>
        <w:tc>
          <w:tcPr>
            <w:tcW w:w="1841" w:type="dxa"/>
            <w:hideMark/>
          </w:tcPr>
          <w:p w:rsidR="001A5F98" w:rsidRPr="00000900" w:rsidRDefault="001A5F98" w:rsidP="004C40DA">
            <w:pPr>
              <w:ind w:left="60" w:right="60"/>
              <w:jc w:val="both"/>
              <w:rPr>
                <w:rFonts w:ascii="Arial" w:eastAsia="Times New Roman" w:hAnsi="Arial" w:cs="Arial"/>
                <w:sz w:val="20"/>
                <w:szCs w:val="20"/>
              </w:rPr>
            </w:pPr>
            <w:r w:rsidRPr="00000900">
              <w:rPr>
                <w:rFonts w:ascii="Arial" w:eastAsia="Times New Roman" w:hAnsi="Arial" w:cs="Arial"/>
                <w:color w:val="000000"/>
                <w:sz w:val="20"/>
                <w:szCs w:val="20"/>
                <w:shd w:val="clear" w:color="auto" w:fill="FFFFFF"/>
              </w:rPr>
              <w:t>.544</w:t>
            </w:r>
          </w:p>
        </w:tc>
        <w:tc>
          <w:tcPr>
            <w:tcW w:w="1149" w:type="dxa"/>
            <w:hideMark/>
          </w:tcPr>
          <w:p w:rsidR="001A5F98" w:rsidRPr="00000900" w:rsidRDefault="001A5F98" w:rsidP="004C40DA">
            <w:pPr>
              <w:ind w:left="60" w:right="60"/>
              <w:jc w:val="both"/>
              <w:rPr>
                <w:rFonts w:ascii="Arial" w:eastAsia="Times New Roman" w:hAnsi="Arial" w:cs="Arial"/>
                <w:sz w:val="20"/>
                <w:szCs w:val="20"/>
              </w:rPr>
            </w:pPr>
            <w:r w:rsidRPr="00000900">
              <w:rPr>
                <w:rFonts w:ascii="Arial" w:eastAsia="Times New Roman" w:hAnsi="Arial" w:cs="Arial"/>
                <w:color w:val="000000"/>
                <w:sz w:val="20"/>
                <w:szCs w:val="20"/>
                <w:shd w:val="clear" w:color="auto" w:fill="FFFFFF"/>
              </w:rPr>
              <w:t>1.839</w:t>
            </w:r>
          </w:p>
        </w:tc>
      </w:tr>
      <w:tr w:rsidR="001A5F98" w:rsidRPr="00000900" w:rsidTr="004C40DA">
        <w:trPr>
          <w:trHeight w:val="57"/>
        </w:trPr>
        <w:tc>
          <w:tcPr>
            <w:tcW w:w="0" w:type="auto"/>
            <w:vMerge/>
            <w:hideMark/>
          </w:tcPr>
          <w:p w:rsidR="001A5F98" w:rsidRPr="00000900" w:rsidRDefault="001A5F98" w:rsidP="004C40DA">
            <w:pPr>
              <w:jc w:val="both"/>
              <w:rPr>
                <w:rFonts w:ascii="Arial" w:eastAsia="Times New Roman" w:hAnsi="Arial" w:cs="Arial"/>
                <w:sz w:val="20"/>
                <w:szCs w:val="20"/>
              </w:rPr>
            </w:pPr>
          </w:p>
        </w:tc>
        <w:tc>
          <w:tcPr>
            <w:tcW w:w="5489" w:type="dxa"/>
            <w:hideMark/>
          </w:tcPr>
          <w:p w:rsidR="001A5F98" w:rsidRPr="00000900" w:rsidRDefault="001A5F98" w:rsidP="004C40DA">
            <w:pPr>
              <w:ind w:left="60" w:right="60"/>
              <w:jc w:val="both"/>
              <w:rPr>
                <w:rFonts w:ascii="Arial" w:eastAsia="Times New Roman" w:hAnsi="Arial" w:cs="Arial"/>
                <w:sz w:val="20"/>
                <w:szCs w:val="20"/>
              </w:rPr>
            </w:pPr>
            <w:r w:rsidRPr="00000900">
              <w:rPr>
                <w:rFonts w:ascii="Arial" w:eastAsia="Times New Roman" w:hAnsi="Arial" w:cs="Arial"/>
                <w:color w:val="000000"/>
                <w:sz w:val="20"/>
                <w:szCs w:val="20"/>
                <w:shd w:val="clear" w:color="auto" w:fill="FFFFFF"/>
              </w:rPr>
              <w:t>TRANSFORMASI DIGITAL (DUMMY) (Z)</w:t>
            </w:r>
          </w:p>
        </w:tc>
        <w:tc>
          <w:tcPr>
            <w:tcW w:w="1841" w:type="dxa"/>
            <w:hideMark/>
          </w:tcPr>
          <w:p w:rsidR="001A5F98" w:rsidRPr="00000900" w:rsidRDefault="001A5F98" w:rsidP="004C40DA">
            <w:pPr>
              <w:ind w:left="60" w:right="60"/>
              <w:jc w:val="both"/>
              <w:rPr>
                <w:rFonts w:ascii="Arial" w:eastAsia="Times New Roman" w:hAnsi="Arial" w:cs="Arial"/>
                <w:sz w:val="20"/>
                <w:szCs w:val="20"/>
              </w:rPr>
            </w:pPr>
            <w:r w:rsidRPr="00000900">
              <w:rPr>
                <w:rFonts w:ascii="Arial" w:eastAsia="Times New Roman" w:hAnsi="Arial" w:cs="Arial"/>
                <w:color w:val="000000"/>
                <w:sz w:val="20"/>
                <w:szCs w:val="20"/>
                <w:shd w:val="clear" w:color="auto" w:fill="FFFFFF"/>
              </w:rPr>
              <w:t>.091</w:t>
            </w:r>
          </w:p>
        </w:tc>
        <w:tc>
          <w:tcPr>
            <w:tcW w:w="1149" w:type="dxa"/>
            <w:hideMark/>
          </w:tcPr>
          <w:p w:rsidR="001A5F98" w:rsidRPr="00000900" w:rsidRDefault="001A5F98" w:rsidP="004C40DA">
            <w:pPr>
              <w:ind w:left="60" w:right="60"/>
              <w:jc w:val="both"/>
              <w:rPr>
                <w:rFonts w:ascii="Arial" w:eastAsia="Times New Roman" w:hAnsi="Arial" w:cs="Arial"/>
                <w:sz w:val="20"/>
                <w:szCs w:val="20"/>
              </w:rPr>
            </w:pPr>
            <w:r w:rsidRPr="00000900">
              <w:rPr>
                <w:rFonts w:ascii="Arial" w:eastAsia="Times New Roman" w:hAnsi="Arial" w:cs="Arial"/>
                <w:color w:val="000000"/>
                <w:sz w:val="20"/>
                <w:szCs w:val="20"/>
                <w:shd w:val="clear" w:color="auto" w:fill="FFFFFF"/>
              </w:rPr>
              <w:t>10.940</w:t>
            </w:r>
          </w:p>
        </w:tc>
      </w:tr>
      <w:tr w:rsidR="001A5F98" w:rsidRPr="00000900" w:rsidTr="004C40DA">
        <w:trPr>
          <w:trHeight w:val="57"/>
        </w:trPr>
        <w:tc>
          <w:tcPr>
            <w:tcW w:w="0" w:type="auto"/>
            <w:vMerge/>
            <w:hideMark/>
          </w:tcPr>
          <w:p w:rsidR="001A5F98" w:rsidRPr="00000900" w:rsidRDefault="001A5F98" w:rsidP="004C40DA">
            <w:pPr>
              <w:jc w:val="both"/>
              <w:rPr>
                <w:rFonts w:ascii="Arial" w:eastAsia="Times New Roman" w:hAnsi="Arial" w:cs="Arial"/>
                <w:sz w:val="20"/>
                <w:szCs w:val="20"/>
              </w:rPr>
            </w:pPr>
          </w:p>
        </w:tc>
        <w:tc>
          <w:tcPr>
            <w:tcW w:w="5489" w:type="dxa"/>
            <w:hideMark/>
          </w:tcPr>
          <w:p w:rsidR="001A5F98" w:rsidRPr="00000900" w:rsidRDefault="001A5F98" w:rsidP="004C40DA">
            <w:pPr>
              <w:ind w:left="60" w:right="60"/>
              <w:jc w:val="both"/>
              <w:rPr>
                <w:rFonts w:ascii="Arial" w:eastAsia="Times New Roman" w:hAnsi="Arial" w:cs="Arial"/>
                <w:sz w:val="20"/>
                <w:szCs w:val="20"/>
              </w:rPr>
            </w:pPr>
            <w:r w:rsidRPr="00000900">
              <w:rPr>
                <w:rFonts w:ascii="Arial" w:eastAsia="Times New Roman" w:hAnsi="Arial" w:cs="Arial"/>
                <w:color w:val="000000"/>
                <w:sz w:val="20"/>
                <w:szCs w:val="20"/>
                <w:shd w:val="clear" w:color="auto" w:fill="FFFFFF"/>
              </w:rPr>
              <w:t>Interaksi</w:t>
            </w:r>
          </w:p>
        </w:tc>
        <w:tc>
          <w:tcPr>
            <w:tcW w:w="1841" w:type="dxa"/>
            <w:hideMark/>
          </w:tcPr>
          <w:p w:rsidR="001A5F98" w:rsidRPr="00000900" w:rsidRDefault="001A5F98" w:rsidP="004C40DA">
            <w:pPr>
              <w:ind w:left="60" w:right="60"/>
              <w:jc w:val="both"/>
              <w:rPr>
                <w:rFonts w:ascii="Arial" w:eastAsia="Times New Roman" w:hAnsi="Arial" w:cs="Arial"/>
                <w:sz w:val="20"/>
                <w:szCs w:val="20"/>
              </w:rPr>
            </w:pPr>
            <w:r w:rsidRPr="00000900">
              <w:rPr>
                <w:rFonts w:ascii="Arial" w:eastAsia="Times New Roman" w:hAnsi="Arial" w:cs="Arial"/>
                <w:color w:val="000000"/>
                <w:sz w:val="20"/>
                <w:szCs w:val="20"/>
                <w:shd w:val="clear" w:color="auto" w:fill="FFFFFF"/>
              </w:rPr>
              <w:t>.090</w:t>
            </w:r>
          </w:p>
        </w:tc>
        <w:tc>
          <w:tcPr>
            <w:tcW w:w="1149" w:type="dxa"/>
            <w:hideMark/>
          </w:tcPr>
          <w:p w:rsidR="001A5F98" w:rsidRPr="00000900" w:rsidRDefault="001A5F98" w:rsidP="004C40DA">
            <w:pPr>
              <w:ind w:left="60" w:right="60"/>
              <w:jc w:val="both"/>
              <w:rPr>
                <w:rFonts w:ascii="Arial" w:eastAsia="Times New Roman" w:hAnsi="Arial" w:cs="Arial"/>
                <w:sz w:val="20"/>
                <w:szCs w:val="20"/>
              </w:rPr>
            </w:pPr>
            <w:r w:rsidRPr="00000900">
              <w:rPr>
                <w:rFonts w:ascii="Arial" w:eastAsia="Times New Roman" w:hAnsi="Arial" w:cs="Arial"/>
                <w:color w:val="000000"/>
                <w:sz w:val="20"/>
                <w:szCs w:val="20"/>
                <w:shd w:val="clear" w:color="auto" w:fill="FFFFFF"/>
              </w:rPr>
              <w:t>11.123</w:t>
            </w:r>
          </w:p>
        </w:tc>
      </w:tr>
    </w:tbl>
    <w:p w:rsidR="001A5F98" w:rsidRPr="00000900" w:rsidRDefault="001A5F98" w:rsidP="001A5F98">
      <w:pPr>
        <w:pStyle w:val="NormalWeb"/>
        <w:jc w:val="both"/>
        <w:rPr>
          <w:rFonts w:ascii="Arial" w:hAnsi="Arial" w:cs="Arial"/>
          <w:sz w:val="20"/>
          <w:szCs w:val="20"/>
        </w:rPr>
      </w:pPr>
      <w:r w:rsidRPr="00000900">
        <w:rPr>
          <w:rFonts w:ascii="Arial" w:hAnsi="Arial" w:cs="Arial"/>
          <w:sz w:val="20"/>
          <w:szCs w:val="20"/>
        </w:rPr>
        <w:t>The multicollinearity test shows that the ESG Score variable has a Tolerance value of 0.544 with a VIF &lt; 10, so it can be declared free from multicollinearity issues. Conversely, the Digital Transformation variable and the interaction variable (ESG*Digital Transformation) have a Tolerance value close to 0.09 with a VIF above 10. This indicates high multicollinearity, which is common in regression models with interaction variables because interactions are formed from the multiplication of two variables that tend to be strongly correlated with the original variables.</w:t>
      </w:r>
    </w:p>
    <w:p w:rsidR="001A5F98" w:rsidRPr="00000900" w:rsidRDefault="001A5F98" w:rsidP="001A5F98">
      <w:pPr>
        <w:pStyle w:val="NormalWeb"/>
        <w:jc w:val="both"/>
        <w:rPr>
          <w:rFonts w:ascii="Arial" w:hAnsi="Arial" w:cs="Arial"/>
          <w:sz w:val="20"/>
          <w:szCs w:val="20"/>
        </w:rPr>
      </w:pPr>
      <w:r w:rsidRPr="00000900">
        <w:rPr>
          <w:rFonts w:ascii="Arial" w:hAnsi="Arial" w:cs="Arial"/>
          <w:sz w:val="20"/>
          <w:szCs w:val="20"/>
        </w:rPr>
        <w:t>This condition does not render the model invalid, but it can cause the regression coefficients to be less stable and their significance to weaken. Therefore, the interpretation of the moderating role of Digital Transformation needs to be done more carefully. For further research, the mean-centering technique before forming interaction variables can be considered so that the potential for multicollinearity can be suppressed.</w:t>
      </w:r>
    </w:p>
    <w:p w:rsidR="001A5F98" w:rsidRPr="00000900" w:rsidRDefault="001A5F98" w:rsidP="001A5F98">
      <w:pPr>
        <w:pStyle w:val="ListParagraph"/>
        <w:numPr>
          <w:ilvl w:val="0"/>
          <w:numId w:val="33"/>
        </w:numPr>
        <w:spacing w:before="240" w:after="0" w:line="240" w:lineRule="auto"/>
        <w:jc w:val="both"/>
        <w:rPr>
          <w:rFonts w:ascii="Arial" w:eastAsia="Times New Roman" w:hAnsi="Arial" w:cs="Arial"/>
          <w:b/>
          <w:iCs/>
          <w:color w:val="000000"/>
          <w:kern w:val="0"/>
          <w:sz w:val="20"/>
          <w:szCs w:val="20"/>
          <w:shd w:val="clear" w:color="auto" w:fill="FFFFFF"/>
          <w:lang w:val="en-US"/>
        </w:rPr>
      </w:pPr>
      <w:r w:rsidRPr="00000900">
        <w:rPr>
          <w:rFonts w:ascii="Arial" w:hAnsi="Arial" w:cs="Arial"/>
          <w:b/>
          <w:sz w:val="20"/>
          <w:szCs w:val="20"/>
        </w:rPr>
        <w:lastRenderedPageBreak/>
        <w:t>Heterokedasticity test</w:t>
      </w:r>
    </w:p>
    <w:p w:rsidR="001A5F98" w:rsidRPr="00000900" w:rsidRDefault="001A5F98" w:rsidP="001A5F98">
      <w:pPr>
        <w:ind w:left="60" w:right="60"/>
        <w:jc w:val="center"/>
        <w:rPr>
          <w:rFonts w:ascii="Arial" w:hAnsi="Arial" w:cs="Arial"/>
          <w:b/>
        </w:rPr>
      </w:pPr>
      <w:r w:rsidRPr="00000900">
        <w:rPr>
          <w:rFonts w:ascii="Arial" w:hAnsi="Arial" w:cs="Arial"/>
          <w:b/>
          <w:bCs/>
          <w:color w:val="000000"/>
          <w:shd w:val="clear" w:color="auto" w:fill="FFFFFF"/>
        </w:rPr>
        <w:t xml:space="preserve">Table 3. </w:t>
      </w:r>
      <w:r w:rsidRPr="00000900">
        <w:rPr>
          <w:rFonts w:ascii="Arial" w:hAnsi="Arial" w:cs="Arial"/>
          <w:b/>
        </w:rPr>
        <w:t>Heterokedasticity test</w:t>
      </w:r>
    </w:p>
    <w:tbl>
      <w:tblPr>
        <w:tblStyle w:val="TableGrid"/>
        <w:tblW w:w="0" w:type="auto"/>
        <w:tblLook w:val="04A0"/>
      </w:tblPr>
      <w:tblGrid>
        <w:gridCol w:w="1889"/>
        <w:gridCol w:w="1508"/>
        <w:gridCol w:w="1571"/>
        <w:gridCol w:w="1349"/>
        <w:gridCol w:w="1548"/>
        <w:gridCol w:w="559"/>
      </w:tblGrid>
      <w:tr w:rsidR="001A5F98" w:rsidRPr="00000900" w:rsidTr="00A44E35">
        <w:trPr>
          <w:trHeight w:val="333"/>
        </w:trPr>
        <w:tc>
          <w:tcPr>
            <w:tcW w:w="0" w:type="auto"/>
            <w:gridSpan w:val="6"/>
            <w:vAlign w:val="center"/>
            <w:hideMark/>
          </w:tcPr>
          <w:p w:rsidR="001A5F98" w:rsidRPr="00000900" w:rsidRDefault="001A5F98" w:rsidP="004C40DA">
            <w:pPr>
              <w:ind w:left="60" w:right="60"/>
              <w:jc w:val="center"/>
              <w:rPr>
                <w:rFonts w:ascii="Arial" w:eastAsia="Times New Roman" w:hAnsi="Arial" w:cs="Arial"/>
                <w:sz w:val="20"/>
                <w:szCs w:val="20"/>
              </w:rPr>
            </w:pPr>
            <w:r w:rsidRPr="00000900">
              <w:rPr>
                <w:rFonts w:ascii="Arial" w:eastAsia="Times New Roman" w:hAnsi="Arial" w:cs="Arial"/>
                <w:b/>
                <w:bCs/>
                <w:color w:val="000000"/>
                <w:sz w:val="20"/>
                <w:szCs w:val="20"/>
                <w:shd w:val="clear" w:color="auto" w:fill="FFFFFF"/>
              </w:rPr>
              <w:t>Residuals Statistics</w:t>
            </w:r>
            <w:r w:rsidRPr="00000900">
              <w:rPr>
                <w:rFonts w:ascii="Arial" w:eastAsia="Times New Roman" w:hAnsi="Arial" w:cs="Arial"/>
                <w:b/>
                <w:bCs/>
                <w:color w:val="000000"/>
                <w:sz w:val="20"/>
                <w:szCs w:val="20"/>
                <w:shd w:val="clear" w:color="auto" w:fill="FFFFFF"/>
                <w:vertAlign w:val="superscript"/>
              </w:rPr>
              <w:t>a</w:t>
            </w:r>
          </w:p>
        </w:tc>
      </w:tr>
      <w:tr w:rsidR="001A5F98" w:rsidRPr="00000900" w:rsidTr="004C40DA">
        <w:trPr>
          <w:trHeight w:val="720"/>
        </w:trPr>
        <w:tc>
          <w:tcPr>
            <w:tcW w:w="0" w:type="auto"/>
            <w:hideMark/>
          </w:tcPr>
          <w:p w:rsidR="001A5F98" w:rsidRPr="00000900" w:rsidRDefault="001A5F98" w:rsidP="004C40DA">
            <w:pPr>
              <w:spacing w:before="240" w:after="240"/>
              <w:jc w:val="both"/>
              <w:rPr>
                <w:rFonts w:ascii="Arial" w:eastAsia="Times New Roman" w:hAnsi="Arial" w:cs="Arial"/>
                <w:sz w:val="20"/>
                <w:szCs w:val="20"/>
              </w:rPr>
            </w:pPr>
            <w:r w:rsidRPr="00000900">
              <w:rPr>
                <w:rFonts w:ascii="Arial" w:eastAsia="Times New Roman" w:hAnsi="Arial" w:cs="Arial"/>
                <w:color w:val="000000"/>
                <w:sz w:val="20"/>
                <w:szCs w:val="20"/>
                <w:shd w:val="clear" w:color="auto" w:fill="FFFFFF"/>
              </w:rPr>
              <w:t> </w:t>
            </w:r>
          </w:p>
        </w:tc>
        <w:tc>
          <w:tcPr>
            <w:tcW w:w="0" w:type="auto"/>
            <w:hideMark/>
          </w:tcPr>
          <w:p w:rsidR="001A5F98" w:rsidRPr="00000900" w:rsidRDefault="001A5F98" w:rsidP="004C40DA">
            <w:pPr>
              <w:ind w:left="60" w:right="60"/>
              <w:jc w:val="both"/>
              <w:rPr>
                <w:rFonts w:ascii="Arial" w:eastAsia="Times New Roman" w:hAnsi="Arial" w:cs="Arial"/>
                <w:sz w:val="20"/>
                <w:szCs w:val="20"/>
              </w:rPr>
            </w:pPr>
            <w:r w:rsidRPr="00000900">
              <w:rPr>
                <w:rFonts w:ascii="Arial" w:eastAsia="Times New Roman" w:hAnsi="Arial" w:cs="Arial"/>
                <w:color w:val="000000"/>
                <w:sz w:val="20"/>
                <w:szCs w:val="20"/>
                <w:shd w:val="clear" w:color="auto" w:fill="FFFFFF"/>
              </w:rPr>
              <w:t>Minimum</w:t>
            </w:r>
          </w:p>
        </w:tc>
        <w:tc>
          <w:tcPr>
            <w:tcW w:w="0" w:type="auto"/>
            <w:hideMark/>
          </w:tcPr>
          <w:p w:rsidR="001A5F98" w:rsidRPr="00000900" w:rsidRDefault="001A5F98" w:rsidP="004C40DA">
            <w:pPr>
              <w:ind w:left="60" w:right="60"/>
              <w:jc w:val="both"/>
              <w:rPr>
                <w:rFonts w:ascii="Arial" w:eastAsia="Times New Roman" w:hAnsi="Arial" w:cs="Arial"/>
                <w:sz w:val="20"/>
                <w:szCs w:val="20"/>
              </w:rPr>
            </w:pPr>
            <w:r w:rsidRPr="00000900">
              <w:rPr>
                <w:rFonts w:ascii="Arial" w:eastAsia="Times New Roman" w:hAnsi="Arial" w:cs="Arial"/>
                <w:color w:val="000000"/>
                <w:sz w:val="20"/>
                <w:szCs w:val="20"/>
                <w:shd w:val="clear" w:color="auto" w:fill="FFFFFF"/>
              </w:rPr>
              <w:t>Maximum</w:t>
            </w:r>
          </w:p>
        </w:tc>
        <w:tc>
          <w:tcPr>
            <w:tcW w:w="0" w:type="auto"/>
            <w:hideMark/>
          </w:tcPr>
          <w:p w:rsidR="001A5F98" w:rsidRPr="00000900" w:rsidRDefault="001A5F98" w:rsidP="004C40DA">
            <w:pPr>
              <w:ind w:left="60" w:right="60"/>
              <w:jc w:val="both"/>
              <w:rPr>
                <w:rFonts w:ascii="Arial" w:eastAsia="Times New Roman" w:hAnsi="Arial" w:cs="Arial"/>
                <w:sz w:val="20"/>
                <w:szCs w:val="20"/>
              </w:rPr>
            </w:pPr>
            <w:r w:rsidRPr="00000900">
              <w:rPr>
                <w:rFonts w:ascii="Arial" w:eastAsia="Times New Roman" w:hAnsi="Arial" w:cs="Arial"/>
                <w:color w:val="000000"/>
                <w:sz w:val="20"/>
                <w:szCs w:val="20"/>
                <w:shd w:val="clear" w:color="auto" w:fill="FFFFFF"/>
              </w:rPr>
              <w:t>Mean</w:t>
            </w:r>
          </w:p>
        </w:tc>
        <w:tc>
          <w:tcPr>
            <w:tcW w:w="0" w:type="auto"/>
            <w:hideMark/>
          </w:tcPr>
          <w:p w:rsidR="001A5F98" w:rsidRPr="00000900" w:rsidRDefault="001A5F98" w:rsidP="004C40DA">
            <w:pPr>
              <w:ind w:left="60" w:right="60"/>
              <w:jc w:val="both"/>
              <w:rPr>
                <w:rFonts w:ascii="Arial" w:eastAsia="Times New Roman" w:hAnsi="Arial" w:cs="Arial"/>
                <w:sz w:val="20"/>
                <w:szCs w:val="20"/>
              </w:rPr>
            </w:pPr>
            <w:r w:rsidRPr="00000900">
              <w:rPr>
                <w:rFonts w:ascii="Arial" w:eastAsia="Times New Roman" w:hAnsi="Arial" w:cs="Arial"/>
                <w:color w:val="000000"/>
                <w:sz w:val="20"/>
                <w:szCs w:val="20"/>
                <w:shd w:val="clear" w:color="auto" w:fill="FFFFFF"/>
              </w:rPr>
              <w:t>Std. Deviation</w:t>
            </w:r>
          </w:p>
        </w:tc>
        <w:tc>
          <w:tcPr>
            <w:tcW w:w="0" w:type="auto"/>
            <w:hideMark/>
          </w:tcPr>
          <w:p w:rsidR="001A5F98" w:rsidRPr="00000900" w:rsidRDefault="001A5F98" w:rsidP="004C40DA">
            <w:pPr>
              <w:ind w:left="60" w:right="60"/>
              <w:jc w:val="both"/>
              <w:rPr>
                <w:rFonts w:ascii="Arial" w:eastAsia="Times New Roman" w:hAnsi="Arial" w:cs="Arial"/>
                <w:sz w:val="20"/>
                <w:szCs w:val="20"/>
              </w:rPr>
            </w:pPr>
            <w:r w:rsidRPr="00000900">
              <w:rPr>
                <w:rFonts w:ascii="Arial" w:eastAsia="Times New Roman" w:hAnsi="Arial" w:cs="Arial"/>
                <w:color w:val="000000"/>
                <w:sz w:val="20"/>
                <w:szCs w:val="20"/>
                <w:shd w:val="clear" w:color="auto" w:fill="FFFFFF"/>
              </w:rPr>
              <w:t>N</w:t>
            </w:r>
          </w:p>
        </w:tc>
      </w:tr>
      <w:tr w:rsidR="001A5F98" w:rsidRPr="00000900" w:rsidTr="004C40DA">
        <w:trPr>
          <w:trHeight w:val="360"/>
        </w:trPr>
        <w:tc>
          <w:tcPr>
            <w:tcW w:w="0" w:type="auto"/>
            <w:hideMark/>
          </w:tcPr>
          <w:p w:rsidR="001A5F98" w:rsidRPr="00000900" w:rsidRDefault="001A5F98" w:rsidP="004C40DA">
            <w:pPr>
              <w:ind w:left="60" w:right="60"/>
              <w:jc w:val="both"/>
              <w:rPr>
                <w:rFonts w:ascii="Arial" w:eastAsia="Times New Roman" w:hAnsi="Arial" w:cs="Arial"/>
                <w:sz w:val="20"/>
                <w:szCs w:val="20"/>
              </w:rPr>
            </w:pPr>
            <w:r w:rsidRPr="00000900">
              <w:rPr>
                <w:rFonts w:ascii="Arial" w:eastAsia="Times New Roman" w:hAnsi="Arial" w:cs="Arial"/>
                <w:color w:val="000000"/>
                <w:sz w:val="20"/>
                <w:szCs w:val="20"/>
                <w:shd w:val="clear" w:color="auto" w:fill="FFFFFF"/>
              </w:rPr>
              <w:t>Predicted Value</w:t>
            </w:r>
          </w:p>
        </w:tc>
        <w:tc>
          <w:tcPr>
            <w:tcW w:w="0" w:type="auto"/>
            <w:hideMark/>
          </w:tcPr>
          <w:p w:rsidR="001A5F98" w:rsidRPr="00000900" w:rsidRDefault="001A5F98" w:rsidP="004C40DA">
            <w:pPr>
              <w:ind w:left="60" w:right="60"/>
              <w:jc w:val="both"/>
              <w:rPr>
                <w:rFonts w:ascii="Arial" w:eastAsia="Times New Roman" w:hAnsi="Arial" w:cs="Arial"/>
                <w:sz w:val="20"/>
                <w:szCs w:val="20"/>
              </w:rPr>
            </w:pPr>
            <w:r w:rsidRPr="00000900">
              <w:rPr>
                <w:rFonts w:ascii="Arial" w:eastAsia="Times New Roman" w:hAnsi="Arial" w:cs="Arial"/>
                <w:color w:val="000000"/>
                <w:sz w:val="20"/>
                <w:szCs w:val="20"/>
                <w:shd w:val="clear" w:color="auto" w:fill="FFFFFF"/>
              </w:rPr>
              <w:t>44.9451%</w:t>
            </w:r>
          </w:p>
        </w:tc>
        <w:tc>
          <w:tcPr>
            <w:tcW w:w="0" w:type="auto"/>
            <w:hideMark/>
          </w:tcPr>
          <w:p w:rsidR="001A5F98" w:rsidRPr="00000900" w:rsidRDefault="001A5F98" w:rsidP="004C40DA">
            <w:pPr>
              <w:ind w:left="60" w:right="60"/>
              <w:jc w:val="both"/>
              <w:rPr>
                <w:rFonts w:ascii="Arial" w:eastAsia="Times New Roman" w:hAnsi="Arial" w:cs="Arial"/>
                <w:sz w:val="20"/>
                <w:szCs w:val="20"/>
              </w:rPr>
            </w:pPr>
            <w:r w:rsidRPr="00000900">
              <w:rPr>
                <w:rFonts w:ascii="Arial" w:eastAsia="Times New Roman" w:hAnsi="Arial" w:cs="Arial"/>
                <w:color w:val="000000"/>
                <w:sz w:val="20"/>
                <w:szCs w:val="20"/>
                <w:shd w:val="clear" w:color="auto" w:fill="FFFFFF"/>
              </w:rPr>
              <w:t>483.4468%</w:t>
            </w:r>
          </w:p>
        </w:tc>
        <w:tc>
          <w:tcPr>
            <w:tcW w:w="0" w:type="auto"/>
            <w:hideMark/>
          </w:tcPr>
          <w:p w:rsidR="001A5F98" w:rsidRPr="00000900" w:rsidRDefault="001A5F98" w:rsidP="004C40DA">
            <w:pPr>
              <w:ind w:left="60" w:right="60"/>
              <w:jc w:val="both"/>
              <w:rPr>
                <w:rFonts w:ascii="Arial" w:eastAsia="Times New Roman" w:hAnsi="Arial" w:cs="Arial"/>
                <w:sz w:val="20"/>
                <w:szCs w:val="20"/>
              </w:rPr>
            </w:pPr>
            <w:r w:rsidRPr="00000900">
              <w:rPr>
                <w:rFonts w:ascii="Arial" w:eastAsia="Times New Roman" w:hAnsi="Arial" w:cs="Arial"/>
                <w:color w:val="000000"/>
                <w:sz w:val="20"/>
                <w:szCs w:val="20"/>
                <w:shd w:val="clear" w:color="auto" w:fill="FFFFFF"/>
              </w:rPr>
              <w:t>231.9003%</w:t>
            </w:r>
          </w:p>
        </w:tc>
        <w:tc>
          <w:tcPr>
            <w:tcW w:w="0" w:type="auto"/>
            <w:hideMark/>
          </w:tcPr>
          <w:p w:rsidR="001A5F98" w:rsidRPr="00000900" w:rsidRDefault="001A5F98" w:rsidP="004C40DA">
            <w:pPr>
              <w:ind w:left="60" w:right="60"/>
              <w:jc w:val="both"/>
              <w:rPr>
                <w:rFonts w:ascii="Arial" w:eastAsia="Times New Roman" w:hAnsi="Arial" w:cs="Arial"/>
                <w:sz w:val="20"/>
                <w:szCs w:val="20"/>
              </w:rPr>
            </w:pPr>
            <w:r w:rsidRPr="00000900">
              <w:rPr>
                <w:rFonts w:ascii="Arial" w:eastAsia="Times New Roman" w:hAnsi="Arial" w:cs="Arial"/>
                <w:color w:val="000000"/>
                <w:sz w:val="20"/>
                <w:szCs w:val="20"/>
                <w:shd w:val="clear" w:color="auto" w:fill="FFFFFF"/>
              </w:rPr>
              <w:t>134.95607%</w:t>
            </w:r>
          </w:p>
        </w:tc>
        <w:tc>
          <w:tcPr>
            <w:tcW w:w="0" w:type="auto"/>
            <w:hideMark/>
          </w:tcPr>
          <w:p w:rsidR="001A5F98" w:rsidRPr="00000900" w:rsidRDefault="001A5F98" w:rsidP="004C40DA">
            <w:pPr>
              <w:ind w:left="60" w:right="60"/>
              <w:jc w:val="both"/>
              <w:rPr>
                <w:rFonts w:ascii="Arial" w:eastAsia="Times New Roman" w:hAnsi="Arial" w:cs="Arial"/>
                <w:sz w:val="20"/>
                <w:szCs w:val="20"/>
              </w:rPr>
            </w:pPr>
            <w:r w:rsidRPr="00000900">
              <w:rPr>
                <w:rFonts w:ascii="Arial" w:eastAsia="Times New Roman" w:hAnsi="Arial" w:cs="Arial"/>
                <w:color w:val="000000"/>
                <w:sz w:val="20"/>
                <w:szCs w:val="20"/>
                <w:shd w:val="clear" w:color="auto" w:fill="FFFFFF"/>
              </w:rPr>
              <w:t>24</w:t>
            </w:r>
          </w:p>
        </w:tc>
      </w:tr>
      <w:tr w:rsidR="001A5F98" w:rsidRPr="00000900" w:rsidTr="004C40DA">
        <w:trPr>
          <w:trHeight w:val="360"/>
        </w:trPr>
        <w:tc>
          <w:tcPr>
            <w:tcW w:w="0" w:type="auto"/>
            <w:hideMark/>
          </w:tcPr>
          <w:p w:rsidR="001A5F98" w:rsidRPr="00000900" w:rsidRDefault="001A5F98" w:rsidP="004C40DA">
            <w:pPr>
              <w:ind w:left="60" w:right="60"/>
              <w:jc w:val="both"/>
              <w:rPr>
                <w:rFonts w:ascii="Arial" w:eastAsia="Times New Roman" w:hAnsi="Arial" w:cs="Arial"/>
                <w:sz w:val="20"/>
                <w:szCs w:val="20"/>
              </w:rPr>
            </w:pPr>
            <w:r w:rsidRPr="00000900">
              <w:rPr>
                <w:rFonts w:ascii="Arial" w:eastAsia="Times New Roman" w:hAnsi="Arial" w:cs="Arial"/>
                <w:color w:val="000000"/>
                <w:sz w:val="20"/>
                <w:szCs w:val="20"/>
                <w:shd w:val="clear" w:color="auto" w:fill="FFFFFF"/>
              </w:rPr>
              <w:t>Residual</w:t>
            </w:r>
          </w:p>
        </w:tc>
        <w:tc>
          <w:tcPr>
            <w:tcW w:w="0" w:type="auto"/>
            <w:hideMark/>
          </w:tcPr>
          <w:p w:rsidR="001A5F98" w:rsidRPr="00000900" w:rsidRDefault="001A5F98" w:rsidP="004C40DA">
            <w:pPr>
              <w:ind w:left="60" w:right="60"/>
              <w:jc w:val="both"/>
              <w:rPr>
                <w:rFonts w:ascii="Arial" w:eastAsia="Times New Roman" w:hAnsi="Arial" w:cs="Arial"/>
                <w:sz w:val="20"/>
                <w:szCs w:val="20"/>
              </w:rPr>
            </w:pPr>
            <w:r w:rsidRPr="00000900">
              <w:rPr>
                <w:rFonts w:ascii="Arial" w:eastAsia="Times New Roman" w:hAnsi="Arial" w:cs="Arial"/>
                <w:color w:val="000000"/>
                <w:sz w:val="20"/>
                <w:szCs w:val="20"/>
                <w:shd w:val="clear" w:color="auto" w:fill="FFFFFF"/>
              </w:rPr>
              <w:t>-442.60773%</w:t>
            </w:r>
          </w:p>
        </w:tc>
        <w:tc>
          <w:tcPr>
            <w:tcW w:w="0" w:type="auto"/>
            <w:hideMark/>
          </w:tcPr>
          <w:p w:rsidR="001A5F98" w:rsidRPr="00000900" w:rsidRDefault="001A5F98" w:rsidP="004C40DA">
            <w:pPr>
              <w:ind w:left="60" w:right="60"/>
              <w:jc w:val="both"/>
              <w:rPr>
                <w:rFonts w:ascii="Arial" w:eastAsia="Times New Roman" w:hAnsi="Arial" w:cs="Arial"/>
                <w:sz w:val="20"/>
                <w:szCs w:val="20"/>
              </w:rPr>
            </w:pPr>
            <w:r w:rsidRPr="00000900">
              <w:rPr>
                <w:rFonts w:ascii="Arial" w:eastAsia="Times New Roman" w:hAnsi="Arial" w:cs="Arial"/>
                <w:color w:val="000000"/>
                <w:sz w:val="20"/>
                <w:szCs w:val="20"/>
                <w:shd w:val="clear" w:color="auto" w:fill="FFFFFF"/>
              </w:rPr>
              <w:t>1924.97119%</w:t>
            </w:r>
          </w:p>
        </w:tc>
        <w:tc>
          <w:tcPr>
            <w:tcW w:w="0" w:type="auto"/>
            <w:hideMark/>
          </w:tcPr>
          <w:p w:rsidR="001A5F98" w:rsidRPr="00000900" w:rsidRDefault="001A5F98" w:rsidP="004C40DA">
            <w:pPr>
              <w:ind w:left="60" w:right="60"/>
              <w:jc w:val="both"/>
              <w:rPr>
                <w:rFonts w:ascii="Arial" w:eastAsia="Times New Roman" w:hAnsi="Arial" w:cs="Arial"/>
                <w:sz w:val="20"/>
                <w:szCs w:val="20"/>
              </w:rPr>
            </w:pPr>
            <w:r w:rsidRPr="00000900">
              <w:rPr>
                <w:rFonts w:ascii="Arial" w:eastAsia="Times New Roman" w:hAnsi="Arial" w:cs="Arial"/>
                <w:color w:val="000000"/>
                <w:sz w:val="20"/>
                <w:szCs w:val="20"/>
                <w:shd w:val="clear" w:color="auto" w:fill="FFFFFF"/>
              </w:rPr>
              <w:t>0.00000%</w:t>
            </w:r>
          </w:p>
        </w:tc>
        <w:tc>
          <w:tcPr>
            <w:tcW w:w="0" w:type="auto"/>
            <w:hideMark/>
          </w:tcPr>
          <w:p w:rsidR="001A5F98" w:rsidRPr="00000900" w:rsidRDefault="001A5F98" w:rsidP="004C40DA">
            <w:pPr>
              <w:ind w:left="60" w:right="60"/>
              <w:jc w:val="both"/>
              <w:rPr>
                <w:rFonts w:ascii="Arial" w:eastAsia="Times New Roman" w:hAnsi="Arial" w:cs="Arial"/>
                <w:sz w:val="20"/>
                <w:szCs w:val="20"/>
              </w:rPr>
            </w:pPr>
            <w:r w:rsidRPr="00000900">
              <w:rPr>
                <w:rFonts w:ascii="Arial" w:eastAsia="Times New Roman" w:hAnsi="Arial" w:cs="Arial"/>
                <w:color w:val="000000"/>
                <w:sz w:val="20"/>
                <w:szCs w:val="20"/>
                <w:shd w:val="clear" w:color="auto" w:fill="FFFFFF"/>
              </w:rPr>
              <w:t>603.46810%</w:t>
            </w:r>
          </w:p>
        </w:tc>
        <w:tc>
          <w:tcPr>
            <w:tcW w:w="0" w:type="auto"/>
            <w:hideMark/>
          </w:tcPr>
          <w:p w:rsidR="001A5F98" w:rsidRPr="00000900" w:rsidRDefault="001A5F98" w:rsidP="004C40DA">
            <w:pPr>
              <w:ind w:left="60" w:right="60"/>
              <w:jc w:val="both"/>
              <w:rPr>
                <w:rFonts w:ascii="Arial" w:eastAsia="Times New Roman" w:hAnsi="Arial" w:cs="Arial"/>
                <w:sz w:val="20"/>
                <w:szCs w:val="20"/>
              </w:rPr>
            </w:pPr>
            <w:r w:rsidRPr="00000900">
              <w:rPr>
                <w:rFonts w:ascii="Arial" w:eastAsia="Times New Roman" w:hAnsi="Arial" w:cs="Arial"/>
                <w:color w:val="000000"/>
                <w:sz w:val="20"/>
                <w:szCs w:val="20"/>
                <w:shd w:val="clear" w:color="auto" w:fill="FFFFFF"/>
              </w:rPr>
              <w:t>24</w:t>
            </w:r>
          </w:p>
        </w:tc>
      </w:tr>
      <w:tr w:rsidR="001A5F98" w:rsidRPr="00000900" w:rsidTr="004C40DA">
        <w:trPr>
          <w:trHeight w:val="720"/>
        </w:trPr>
        <w:tc>
          <w:tcPr>
            <w:tcW w:w="0" w:type="auto"/>
            <w:hideMark/>
          </w:tcPr>
          <w:p w:rsidR="001A5F98" w:rsidRPr="00000900" w:rsidRDefault="001A5F98" w:rsidP="004C40DA">
            <w:pPr>
              <w:ind w:left="60" w:right="60"/>
              <w:jc w:val="both"/>
              <w:rPr>
                <w:rFonts w:ascii="Arial" w:eastAsia="Times New Roman" w:hAnsi="Arial" w:cs="Arial"/>
                <w:sz w:val="20"/>
                <w:szCs w:val="20"/>
              </w:rPr>
            </w:pPr>
            <w:r w:rsidRPr="00000900">
              <w:rPr>
                <w:rFonts w:ascii="Arial" w:eastAsia="Times New Roman" w:hAnsi="Arial" w:cs="Arial"/>
                <w:color w:val="000000"/>
                <w:sz w:val="20"/>
                <w:szCs w:val="20"/>
                <w:shd w:val="clear" w:color="auto" w:fill="FFFFFF"/>
              </w:rPr>
              <w:t>Std. Predicted Value</w:t>
            </w:r>
          </w:p>
        </w:tc>
        <w:tc>
          <w:tcPr>
            <w:tcW w:w="0" w:type="auto"/>
            <w:hideMark/>
          </w:tcPr>
          <w:p w:rsidR="001A5F98" w:rsidRPr="00000900" w:rsidRDefault="001A5F98" w:rsidP="004C40DA">
            <w:pPr>
              <w:ind w:left="60" w:right="60"/>
              <w:jc w:val="both"/>
              <w:rPr>
                <w:rFonts w:ascii="Arial" w:eastAsia="Times New Roman" w:hAnsi="Arial" w:cs="Arial"/>
                <w:sz w:val="20"/>
                <w:szCs w:val="20"/>
              </w:rPr>
            </w:pPr>
            <w:r w:rsidRPr="00000900">
              <w:rPr>
                <w:rFonts w:ascii="Arial" w:eastAsia="Times New Roman" w:hAnsi="Arial" w:cs="Arial"/>
                <w:color w:val="000000"/>
                <w:sz w:val="20"/>
                <w:szCs w:val="20"/>
                <w:shd w:val="clear" w:color="auto" w:fill="FFFFFF"/>
              </w:rPr>
              <w:t>-1.385</w:t>
            </w:r>
          </w:p>
        </w:tc>
        <w:tc>
          <w:tcPr>
            <w:tcW w:w="0" w:type="auto"/>
            <w:hideMark/>
          </w:tcPr>
          <w:p w:rsidR="001A5F98" w:rsidRPr="00000900" w:rsidRDefault="001A5F98" w:rsidP="004C40DA">
            <w:pPr>
              <w:ind w:left="60" w:right="60"/>
              <w:jc w:val="both"/>
              <w:rPr>
                <w:rFonts w:ascii="Arial" w:eastAsia="Times New Roman" w:hAnsi="Arial" w:cs="Arial"/>
                <w:sz w:val="20"/>
                <w:szCs w:val="20"/>
              </w:rPr>
            </w:pPr>
            <w:r w:rsidRPr="00000900">
              <w:rPr>
                <w:rFonts w:ascii="Arial" w:eastAsia="Times New Roman" w:hAnsi="Arial" w:cs="Arial"/>
                <w:color w:val="000000"/>
                <w:sz w:val="20"/>
                <w:szCs w:val="20"/>
                <w:shd w:val="clear" w:color="auto" w:fill="FFFFFF"/>
              </w:rPr>
              <w:t>1.864</w:t>
            </w:r>
          </w:p>
        </w:tc>
        <w:tc>
          <w:tcPr>
            <w:tcW w:w="0" w:type="auto"/>
            <w:hideMark/>
          </w:tcPr>
          <w:p w:rsidR="001A5F98" w:rsidRPr="00000900" w:rsidRDefault="001A5F98" w:rsidP="004C40DA">
            <w:pPr>
              <w:ind w:left="60" w:right="60"/>
              <w:jc w:val="both"/>
              <w:rPr>
                <w:rFonts w:ascii="Arial" w:eastAsia="Times New Roman" w:hAnsi="Arial" w:cs="Arial"/>
                <w:sz w:val="20"/>
                <w:szCs w:val="20"/>
              </w:rPr>
            </w:pPr>
            <w:r w:rsidRPr="00000900">
              <w:rPr>
                <w:rFonts w:ascii="Arial" w:eastAsia="Times New Roman" w:hAnsi="Arial" w:cs="Arial"/>
                <w:color w:val="000000"/>
                <w:sz w:val="20"/>
                <w:szCs w:val="20"/>
                <w:shd w:val="clear" w:color="auto" w:fill="FFFFFF"/>
              </w:rPr>
              <w:t>.000</w:t>
            </w:r>
          </w:p>
        </w:tc>
        <w:tc>
          <w:tcPr>
            <w:tcW w:w="0" w:type="auto"/>
            <w:hideMark/>
          </w:tcPr>
          <w:p w:rsidR="001A5F98" w:rsidRPr="00000900" w:rsidRDefault="001A5F98" w:rsidP="004C40DA">
            <w:pPr>
              <w:ind w:left="60" w:right="60"/>
              <w:jc w:val="both"/>
              <w:rPr>
                <w:rFonts w:ascii="Arial" w:eastAsia="Times New Roman" w:hAnsi="Arial" w:cs="Arial"/>
                <w:sz w:val="20"/>
                <w:szCs w:val="20"/>
              </w:rPr>
            </w:pPr>
            <w:r w:rsidRPr="00000900">
              <w:rPr>
                <w:rFonts w:ascii="Arial" w:eastAsia="Times New Roman" w:hAnsi="Arial" w:cs="Arial"/>
                <w:color w:val="000000"/>
                <w:sz w:val="20"/>
                <w:szCs w:val="20"/>
                <w:shd w:val="clear" w:color="auto" w:fill="FFFFFF"/>
              </w:rPr>
              <w:t>1.000</w:t>
            </w:r>
          </w:p>
        </w:tc>
        <w:tc>
          <w:tcPr>
            <w:tcW w:w="0" w:type="auto"/>
            <w:hideMark/>
          </w:tcPr>
          <w:p w:rsidR="001A5F98" w:rsidRPr="00000900" w:rsidRDefault="001A5F98" w:rsidP="004C40DA">
            <w:pPr>
              <w:ind w:left="60" w:right="60"/>
              <w:jc w:val="both"/>
              <w:rPr>
                <w:rFonts w:ascii="Arial" w:eastAsia="Times New Roman" w:hAnsi="Arial" w:cs="Arial"/>
                <w:sz w:val="20"/>
                <w:szCs w:val="20"/>
              </w:rPr>
            </w:pPr>
            <w:r w:rsidRPr="00000900">
              <w:rPr>
                <w:rFonts w:ascii="Arial" w:eastAsia="Times New Roman" w:hAnsi="Arial" w:cs="Arial"/>
                <w:color w:val="000000"/>
                <w:sz w:val="20"/>
                <w:szCs w:val="20"/>
                <w:shd w:val="clear" w:color="auto" w:fill="FFFFFF"/>
              </w:rPr>
              <w:t>24</w:t>
            </w:r>
          </w:p>
        </w:tc>
      </w:tr>
      <w:tr w:rsidR="001A5F98" w:rsidRPr="00000900" w:rsidTr="004C40DA">
        <w:trPr>
          <w:trHeight w:val="360"/>
        </w:trPr>
        <w:tc>
          <w:tcPr>
            <w:tcW w:w="0" w:type="auto"/>
            <w:hideMark/>
          </w:tcPr>
          <w:p w:rsidR="001A5F98" w:rsidRPr="00000900" w:rsidRDefault="001A5F98" w:rsidP="004C40DA">
            <w:pPr>
              <w:ind w:left="60" w:right="60"/>
              <w:jc w:val="both"/>
              <w:rPr>
                <w:rFonts w:ascii="Arial" w:eastAsia="Times New Roman" w:hAnsi="Arial" w:cs="Arial"/>
                <w:sz w:val="20"/>
                <w:szCs w:val="20"/>
              </w:rPr>
            </w:pPr>
            <w:r w:rsidRPr="00000900">
              <w:rPr>
                <w:rFonts w:ascii="Arial" w:eastAsia="Times New Roman" w:hAnsi="Arial" w:cs="Arial"/>
                <w:color w:val="000000"/>
                <w:sz w:val="20"/>
                <w:szCs w:val="20"/>
                <w:shd w:val="clear" w:color="auto" w:fill="FFFFFF"/>
              </w:rPr>
              <w:t>Std. Residual</w:t>
            </w:r>
          </w:p>
        </w:tc>
        <w:tc>
          <w:tcPr>
            <w:tcW w:w="0" w:type="auto"/>
            <w:hideMark/>
          </w:tcPr>
          <w:p w:rsidR="001A5F98" w:rsidRPr="00000900" w:rsidRDefault="001A5F98" w:rsidP="004C40DA">
            <w:pPr>
              <w:ind w:left="60" w:right="60"/>
              <w:jc w:val="both"/>
              <w:rPr>
                <w:rFonts w:ascii="Arial" w:eastAsia="Times New Roman" w:hAnsi="Arial" w:cs="Arial"/>
                <w:sz w:val="20"/>
                <w:szCs w:val="20"/>
              </w:rPr>
            </w:pPr>
            <w:r w:rsidRPr="00000900">
              <w:rPr>
                <w:rFonts w:ascii="Arial" w:eastAsia="Times New Roman" w:hAnsi="Arial" w:cs="Arial"/>
                <w:color w:val="000000"/>
                <w:sz w:val="20"/>
                <w:szCs w:val="20"/>
                <w:shd w:val="clear" w:color="auto" w:fill="FFFFFF"/>
              </w:rPr>
              <w:t>-.684</w:t>
            </w:r>
          </w:p>
        </w:tc>
        <w:tc>
          <w:tcPr>
            <w:tcW w:w="0" w:type="auto"/>
            <w:hideMark/>
          </w:tcPr>
          <w:p w:rsidR="001A5F98" w:rsidRPr="00000900" w:rsidRDefault="001A5F98" w:rsidP="004C40DA">
            <w:pPr>
              <w:ind w:left="60" w:right="60"/>
              <w:jc w:val="both"/>
              <w:rPr>
                <w:rFonts w:ascii="Arial" w:eastAsia="Times New Roman" w:hAnsi="Arial" w:cs="Arial"/>
                <w:sz w:val="20"/>
                <w:szCs w:val="20"/>
              </w:rPr>
            </w:pPr>
            <w:r w:rsidRPr="00000900">
              <w:rPr>
                <w:rFonts w:ascii="Arial" w:eastAsia="Times New Roman" w:hAnsi="Arial" w:cs="Arial"/>
                <w:color w:val="000000"/>
                <w:sz w:val="20"/>
                <w:szCs w:val="20"/>
                <w:shd w:val="clear" w:color="auto" w:fill="FFFFFF"/>
              </w:rPr>
              <w:t>2.975</w:t>
            </w:r>
          </w:p>
        </w:tc>
        <w:tc>
          <w:tcPr>
            <w:tcW w:w="0" w:type="auto"/>
            <w:hideMark/>
          </w:tcPr>
          <w:p w:rsidR="001A5F98" w:rsidRPr="00000900" w:rsidRDefault="001A5F98" w:rsidP="004C40DA">
            <w:pPr>
              <w:ind w:left="60" w:right="60"/>
              <w:jc w:val="both"/>
              <w:rPr>
                <w:rFonts w:ascii="Arial" w:eastAsia="Times New Roman" w:hAnsi="Arial" w:cs="Arial"/>
                <w:sz w:val="20"/>
                <w:szCs w:val="20"/>
              </w:rPr>
            </w:pPr>
            <w:r w:rsidRPr="00000900">
              <w:rPr>
                <w:rFonts w:ascii="Arial" w:eastAsia="Times New Roman" w:hAnsi="Arial" w:cs="Arial"/>
                <w:color w:val="000000"/>
                <w:sz w:val="20"/>
                <w:szCs w:val="20"/>
                <w:shd w:val="clear" w:color="auto" w:fill="FFFFFF"/>
              </w:rPr>
              <w:t>.000</w:t>
            </w:r>
          </w:p>
        </w:tc>
        <w:tc>
          <w:tcPr>
            <w:tcW w:w="0" w:type="auto"/>
            <w:hideMark/>
          </w:tcPr>
          <w:p w:rsidR="001A5F98" w:rsidRPr="00000900" w:rsidRDefault="001A5F98" w:rsidP="004C40DA">
            <w:pPr>
              <w:ind w:left="60" w:right="60"/>
              <w:jc w:val="both"/>
              <w:rPr>
                <w:rFonts w:ascii="Arial" w:eastAsia="Times New Roman" w:hAnsi="Arial" w:cs="Arial"/>
                <w:sz w:val="20"/>
                <w:szCs w:val="20"/>
              </w:rPr>
            </w:pPr>
            <w:r w:rsidRPr="00000900">
              <w:rPr>
                <w:rFonts w:ascii="Arial" w:eastAsia="Times New Roman" w:hAnsi="Arial" w:cs="Arial"/>
                <w:color w:val="000000"/>
                <w:sz w:val="20"/>
                <w:szCs w:val="20"/>
                <w:shd w:val="clear" w:color="auto" w:fill="FFFFFF"/>
              </w:rPr>
              <w:t>.933</w:t>
            </w:r>
          </w:p>
        </w:tc>
        <w:tc>
          <w:tcPr>
            <w:tcW w:w="0" w:type="auto"/>
            <w:hideMark/>
          </w:tcPr>
          <w:p w:rsidR="001A5F98" w:rsidRPr="00000900" w:rsidRDefault="001A5F98" w:rsidP="004C40DA">
            <w:pPr>
              <w:ind w:left="60" w:right="60"/>
              <w:jc w:val="both"/>
              <w:rPr>
                <w:rFonts w:ascii="Arial" w:eastAsia="Times New Roman" w:hAnsi="Arial" w:cs="Arial"/>
                <w:sz w:val="20"/>
                <w:szCs w:val="20"/>
              </w:rPr>
            </w:pPr>
            <w:r w:rsidRPr="00000900">
              <w:rPr>
                <w:rFonts w:ascii="Arial" w:eastAsia="Times New Roman" w:hAnsi="Arial" w:cs="Arial"/>
                <w:color w:val="000000"/>
                <w:sz w:val="20"/>
                <w:szCs w:val="20"/>
                <w:shd w:val="clear" w:color="auto" w:fill="FFFFFF"/>
              </w:rPr>
              <w:t>24</w:t>
            </w:r>
          </w:p>
        </w:tc>
      </w:tr>
    </w:tbl>
    <w:p w:rsidR="001A5F98" w:rsidRPr="00000900" w:rsidRDefault="001A5F98" w:rsidP="001A5F98">
      <w:pPr>
        <w:pStyle w:val="NormalWeb"/>
        <w:jc w:val="both"/>
        <w:rPr>
          <w:rFonts w:ascii="Arial" w:hAnsi="Arial" w:cs="Arial"/>
          <w:sz w:val="20"/>
          <w:szCs w:val="20"/>
        </w:rPr>
      </w:pPr>
      <w:r w:rsidRPr="00000900">
        <w:rPr>
          <w:rFonts w:ascii="Arial" w:hAnsi="Arial" w:cs="Arial"/>
          <w:sz w:val="20"/>
          <w:szCs w:val="20"/>
        </w:rPr>
        <w:t>The Residual Statistics test results show that the minimum and maximum residual values are still within a reasonable range with an average close to zero. This indicates that the regression model has no systematic bias, so that the predictions produced tend to be balanced between too high and too low compared to the actual values.</w:t>
      </w:r>
    </w:p>
    <w:p w:rsidR="001A5F98" w:rsidRPr="00000900" w:rsidRDefault="001A5F98" w:rsidP="001A5F98">
      <w:pPr>
        <w:pStyle w:val="NormalWeb"/>
        <w:jc w:val="both"/>
        <w:rPr>
          <w:rFonts w:ascii="Arial" w:hAnsi="Arial" w:cs="Arial"/>
          <w:sz w:val="20"/>
          <w:szCs w:val="20"/>
        </w:rPr>
      </w:pPr>
      <w:r w:rsidRPr="00000900">
        <w:rPr>
          <w:rFonts w:ascii="Arial" w:hAnsi="Arial" w:cs="Arial"/>
          <w:sz w:val="20"/>
          <w:szCs w:val="20"/>
        </w:rPr>
        <w:t>The residual standard deviation is also within normal limits, which means that prediction errors are randomly distributed without showing any particular pattern. Thus, the regression assumption of random and independent errors is satisfied.</w:t>
      </w:r>
    </w:p>
    <w:p w:rsidR="001A5F98" w:rsidRDefault="001A5F98" w:rsidP="001A5F98">
      <w:pPr>
        <w:pStyle w:val="NormalWeb"/>
        <w:jc w:val="both"/>
        <w:rPr>
          <w:rFonts w:ascii="Arial" w:hAnsi="Arial" w:cs="Arial"/>
          <w:sz w:val="20"/>
          <w:szCs w:val="20"/>
        </w:rPr>
      </w:pPr>
      <w:r w:rsidRPr="00000900">
        <w:rPr>
          <w:rFonts w:ascii="Arial" w:hAnsi="Arial" w:cs="Arial"/>
          <w:sz w:val="20"/>
          <w:szCs w:val="20"/>
        </w:rPr>
        <w:t>Although the F-test and t-test results show that the independent variables do not have a significant effect on ROA, this residual test confirms that the model is consistent with the basic assumptions of regression. However, the large residual variation indicates that changes in ROA are likely to be influenced more by factors outside the research model.</w:t>
      </w:r>
    </w:p>
    <w:p w:rsidR="00535321" w:rsidRPr="00540C5D" w:rsidRDefault="00535321" w:rsidP="00535321">
      <w:pPr>
        <w:pStyle w:val="NormalWeb"/>
        <w:jc w:val="both"/>
        <w:rPr>
          <w:rFonts w:ascii="Arial" w:hAnsi="Arial" w:cs="Arial"/>
          <w:sz w:val="20"/>
          <w:szCs w:val="20"/>
        </w:rPr>
      </w:pPr>
      <w:r>
        <w:rPr>
          <w:rFonts w:ascii="Arial" w:hAnsi="Arial" w:cs="Arial"/>
          <w:sz w:val="20"/>
          <w:szCs w:val="20"/>
        </w:rPr>
        <w:t>Fig 1 :Scatterplot Dependent variable :</w:t>
      </w:r>
      <w:r w:rsidRPr="000E4701">
        <w:rPr>
          <w:rFonts w:ascii="Arial" w:hAnsi="Arial" w:cs="Arial"/>
          <w:color w:val="000000"/>
          <w:sz w:val="20"/>
          <w:szCs w:val="20"/>
        </w:rPr>
        <w:t>FINANCIAL PERFORMANCE</w:t>
      </w:r>
      <w:r w:rsidRPr="00891BBA">
        <w:rPr>
          <w:rFonts w:ascii="Arial" w:hAnsi="Arial" w:cs="Arial"/>
          <w:color w:val="000000"/>
          <w:sz w:val="20"/>
          <w:szCs w:val="20"/>
        </w:rPr>
        <w:t>(ROA)</w:t>
      </w:r>
    </w:p>
    <w:p w:rsidR="001A5F98" w:rsidRPr="00000900" w:rsidRDefault="001A5F98" w:rsidP="001A5F98">
      <w:pPr>
        <w:spacing w:before="240" w:after="240"/>
        <w:jc w:val="both"/>
        <w:rPr>
          <w:rFonts w:ascii="Arial" w:hAnsi="Arial" w:cs="Arial"/>
        </w:rPr>
      </w:pPr>
      <w:r w:rsidRPr="00000900">
        <w:rPr>
          <w:rFonts w:ascii="Arial" w:eastAsia="Times" w:hAnsi="Arial" w:cs="Arial"/>
          <w:noProof/>
        </w:rPr>
        <w:drawing>
          <wp:inline distT="0" distB="0" distL="0" distR="0">
            <wp:extent cx="5113175" cy="2971800"/>
            <wp:effectExtent l="0" t="0" r="0" b="0"/>
            <wp:docPr id="109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5119680" cy="2975581"/>
                    </a:xfrm>
                    <a:prstGeom prst="rect">
                      <a:avLst/>
                    </a:prstGeom>
                    <a:ln/>
                  </pic:spPr>
                </pic:pic>
              </a:graphicData>
            </a:graphic>
          </wp:inline>
        </w:drawing>
      </w:r>
    </w:p>
    <w:p w:rsidR="001A5F98" w:rsidRPr="00000900" w:rsidRDefault="001A5F98" w:rsidP="001A5F98">
      <w:pPr>
        <w:pStyle w:val="NormalWeb"/>
        <w:jc w:val="both"/>
        <w:rPr>
          <w:rFonts w:ascii="Arial" w:hAnsi="Arial" w:cs="Arial"/>
          <w:sz w:val="20"/>
          <w:szCs w:val="20"/>
        </w:rPr>
      </w:pPr>
      <w:r w:rsidRPr="00000900">
        <w:rPr>
          <w:rFonts w:ascii="Arial" w:hAnsi="Arial" w:cs="Arial"/>
          <w:sz w:val="20"/>
          <w:szCs w:val="20"/>
        </w:rPr>
        <w:lastRenderedPageBreak/>
        <w:t>Based on the scatterplot between standard residuals and predicted values, the residual points appear to be randomly scattered around the horizontal line without forming any particular pattern. This indicates that the regression model does not exhibit heteroscedasticity, so that the residual variance can be considered constant across the entire range of predicted values. With this assumption fulfilled, the estimated regression coefficients are considered more reliable and not distorted by variance heterogeneity issues.</w:t>
      </w:r>
    </w:p>
    <w:p w:rsidR="001A5F98" w:rsidRPr="00000900" w:rsidRDefault="001A5F98" w:rsidP="001A5F98">
      <w:pPr>
        <w:pStyle w:val="NormalWeb"/>
        <w:jc w:val="both"/>
        <w:rPr>
          <w:rStyle w:val="Strong"/>
          <w:rFonts w:ascii="Arial" w:hAnsi="Arial" w:cs="Arial"/>
          <w:b w:val="0"/>
          <w:bCs w:val="0"/>
          <w:sz w:val="20"/>
          <w:szCs w:val="20"/>
        </w:rPr>
      </w:pPr>
      <w:r w:rsidRPr="00000900">
        <w:rPr>
          <w:rFonts w:ascii="Arial" w:hAnsi="Arial" w:cs="Arial"/>
          <w:sz w:val="20"/>
          <w:szCs w:val="20"/>
        </w:rPr>
        <w:t>However, even though the assumption of heteroscedasticity has been met, the F-test and t-test previously showed that the independent variables did not have a significant effect on ROA. In other words, the regression model is consistent with classical assumptions, but its predictive power regarding financial performance is still limited.</w:t>
      </w:r>
    </w:p>
    <w:p w:rsidR="001A5F98" w:rsidRPr="00540C5D" w:rsidRDefault="001A5F98" w:rsidP="001A5F98">
      <w:pPr>
        <w:pStyle w:val="NormalWeb"/>
        <w:jc w:val="both"/>
        <w:rPr>
          <w:rStyle w:val="Strong"/>
          <w:rFonts w:ascii="Arial" w:eastAsiaTheme="majorEastAsia" w:hAnsi="Arial" w:cs="Arial"/>
          <w:sz w:val="20"/>
          <w:szCs w:val="20"/>
        </w:rPr>
      </w:pPr>
      <w:r w:rsidRPr="00540C5D">
        <w:rPr>
          <w:rStyle w:val="Strong"/>
          <w:rFonts w:ascii="Arial" w:eastAsiaTheme="majorEastAsia" w:hAnsi="Arial" w:cs="Arial"/>
          <w:sz w:val="20"/>
          <w:szCs w:val="20"/>
        </w:rPr>
        <w:t xml:space="preserve">3.2 </w:t>
      </w:r>
      <w:r w:rsidRPr="00540C5D">
        <w:rPr>
          <w:rFonts w:ascii="Arial" w:hAnsi="Arial" w:cs="Arial"/>
          <w:b/>
          <w:sz w:val="20"/>
          <w:szCs w:val="20"/>
        </w:rPr>
        <w:t>Hypothesis Testing</w:t>
      </w:r>
    </w:p>
    <w:p w:rsidR="001A5F98" w:rsidRPr="00540C5D" w:rsidRDefault="001A5F98" w:rsidP="001A5F98">
      <w:pPr>
        <w:pStyle w:val="NormalWeb"/>
        <w:jc w:val="both"/>
        <w:rPr>
          <w:rFonts w:ascii="Arial" w:hAnsi="Arial" w:cs="Arial"/>
          <w:b/>
          <w:sz w:val="20"/>
          <w:szCs w:val="20"/>
        </w:rPr>
      </w:pPr>
      <w:r w:rsidRPr="00540C5D">
        <w:rPr>
          <w:rStyle w:val="Strong"/>
          <w:rFonts w:ascii="Arial" w:eastAsiaTheme="majorEastAsia" w:hAnsi="Arial" w:cs="Arial"/>
          <w:sz w:val="20"/>
          <w:szCs w:val="20"/>
        </w:rPr>
        <w:tab/>
      </w:r>
      <w:r w:rsidRPr="00540C5D">
        <w:rPr>
          <w:rFonts w:ascii="Arial" w:hAnsi="Arial" w:cs="Arial"/>
          <w:b/>
          <w:sz w:val="20"/>
          <w:szCs w:val="20"/>
        </w:rPr>
        <w:t>a) Partial and SimultanTest (T-Test)</w:t>
      </w:r>
    </w:p>
    <w:p w:rsidR="001A5F98" w:rsidRPr="00540C5D" w:rsidRDefault="001A5F98" w:rsidP="001A5F98">
      <w:pPr>
        <w:pStyle w:val="NormalWeb"/>
        <w:jc w:val="center"/>
        <w:rPr>
          <w:rStyle w:val="Strong"/>
          <w:rFonts w:ascii="Arial" w:eastAsiaTheme="majorEastAsia" w:hAnsi="Arial" w:cs="Arial"/>
          <w:sz w:val="20"/>
          <w:szCs w:val="20"/>
        </w:rPr>
      </w:pPr>
      <w:r w:rsidRPr="00540C5D">
        <w:rPr>
          <w:rFonts w:ascii="Arial" w:eastAsia="Times" w:hAnsi="Arial" w:cs="Arial"/>
          <w:b/>
          <w:sz w:val="20"/>
          <w:szCs w:val="20"/>
        </w:rPr>
        <w:t xml:space="preserve">Table 4. </w:t>
      </w:r>
      <w:r w:rsidRPr="00540C5D">
        <w:rPr>
          <w:rFonts w:ascii="Arial" w:hAnsi="Arial" w:cs="Arial"/>
          <w:b/>
          <w:sz w:val="20"/>
          <w:szCs w:val="20"/>
        </w:rPr>
        <w:t>Partial Test</w:t>
      </w:r>
    </w:p>
    <w:tbl>
      <w:tblPr>
        <w:tblStyle w:val="TableGrid"/>
        <w:tblW w:w="5000" w:type="pct"/>
        <w:tblLook w:val="0000"/>
      </w:tblPr>
      <w:tblGrid>
        <w:gridCol w:w="751"/>
        <w:gridCol w:w="2000"/>
        <w:gridCol w:w="1203"/>
        <w:gridCol w:w="1314"/>
        <w:gridCol w:w="1575"/>
        <w:gridCol w:w="787"/>
        <w:gridCol w:w="794"/>
      </w:tblGrid>
      <w:tr w:rsidR="001A5F98" w:rsidRPr="00540C5D" w:rsidTr="00A44E35">
        <w:trPr>
          <w:trHeight w:val="279"/>
        </w:trPr>
        <w:tc>
          <w:tcPr>
            <w:tcW w:w="5000" w:type="pct"/>
            <w:gridSpan w:val="7"/>
            <w:vAlign w:val="center"/>
          </w:tcPr>
          <w:p w:rsidR="001A5F98" w:rsidRPr="00540C5D" w:rsidRDefault="001A5F98" w:rsidP="004C40DA">
            <w:pPr>
              <w:widowControl w:val="0"/>
              <w:spacing w:line="360" w:lineRule="auto"/>
              <w:ind w:left="60" w:right="60"/>
              <w:jc w:val="center"/>
              <w:rPr>
                <w:rFonts w:ascii="Arial" w:eastAsia="Times" w:hAnsi="Arial" w:cs="Arial"/>
                <w:b/>
                <w:sz w:val="20"/>
                <w:szCs w:val="20"/>
              </w:rPr>
            </w:pPr>
            <w:r w:rsidRPr="00540C5D">
              <w:rPr>
                <w:rFonts w:ascii="Arial" w:eastAsia="Times" w:hAnsi="Arial" w:cs="Arial"/>
                <w:b/>
                <w:sz w:val="20"/>
                <w:szCs w:val="20"/>
              </w:rPr>
              <w:t>Coefficientsa</w:t>
            </w:r>
          </w:p>
        </w:tc>
      </w:tr>
      <w:tr w:rsidR="001A5F98" w:rsidRPr="00540C5D" w:rsidTr="00A44E35">
        <w:trPr>
          <w:trHeight w:val="540"/>
        </w:trPr>
        <w:tc>
          <w:tcPr>
            <w:tcW w:w="1633" w:type="pct"/>
            <w:gridSpan w:val="2"/>
            <w:vMerge w:val="restart"/>
          </w:tcPr>
          <w:p w:rsidR="001A5F98" w:rsidRPr="00540C5D" w:rsidRDefault="001A5F98" w:rsidP="004C40DA">
            <w:pPr>
              <w:widowControl w:val="0"/>
              <w:spacing w:line="360" w:lineRule="auto"/>
              <w:ind w:left="60" w:right="60"/>
              <w:jc w:val="both"/>
              <w:rPr>
                <w:rFonts w:ascii="Arial" w:eastAsia="Times" w:hAnsi="Arial" w:cs="Arial"/>
                <w:sz w:val="20"/>
                <w:szCs w:val="20"/>
              </w:rPr>
            </w:pPr>
            <w:r w:rsidRPr="00540C5D">
              <w:rPr>
                <w:rFonts w:ascii="Arial" w:eastAsia="Times" w:hAnsi="Arial" w:cs="Arial"/>
                <w:sz w:val="20"/>
                <w:szCs w:val="20"/>
              </w:rPr>
              <w:t>Model</w:t>
            </w:r>
          </w:p>
        </w:tc>
        <w:tc>
          <w:tcPr>
            <w:tcW w:w="1494" w:type="pct"/>
            <w:gridSpan w:val="2"/>
          </w:tcPr>
          <w:p w:rsidR="001A5F98" w:rsidRPr="00540C5D" w:rsidRDefault="001A5F98" w:rsidP="004C40DA">
            <w:pPr>
              <w:widowControl w:val="0"/>
              <w:spacing w:line="360" w:lineRule="auto"/>
              <w:ind w:left="60" w:right="60"/>
              <w:jc w:val="both"/>
              <w:rPr>
                <w:rFonts w:ascii="Arial" w:eastAsia="Times" w:hAnsi="Arial" w:cs="Arial"/>
                <w:sz w:val="20"/>
                <w:szCs w:val="20"/>
              </w:rPr>
            </w:pPr>
            <w:r w:rsidRPr="00540C5D">
              <w:rPr>
                <w:rFonts w:ascii="Arial" w:eastAsia="Times" w:hAnsi="Arial" w:cs="Arial"/>
                <w:sz w:val="20"/>
                <w:szCs w:val="20"/>
              </w:rPr>
              <w:t>Unstandardized Coefficients</w:t>
            </w:r>
          </w:p>
        </w:tc>
        <w:tc>
          <w:tcPr>
            <w:tcW w:w="935" w:type="pct"/>
          </w:tcPr>
          <w:p w:rsidR="001A5F98" w:rsidRPr="00540C5D" w:rsidRDefault="001A5F98" w:rsidP="004C40DA">
            <w:pPr>
              <w:widowControl w:val="0"/>
              <w:spacing w:line="360" w:lineRule="auto"/>
              <w:ind w:left="60" w:right="60"/>
              <w:jc w:val="both"/>
              <w:rPr>
                <w:rFonts w:ascii="Arial" w:eastAsia="Times" w:hAnsi="Arial" w:cs="Arial"/>
                <w:sz w:val="20"/>
                <w:szCs w:val="20"/>
              </w:rPr>
            </w:pPr>
            <w:r w:rsidRPr="00540C5D">
              <w:rPr>
                <w:rFonts w:ascii="Arial" w:eastAsia="Times" w:hAnsi="Arial" w:cs="Arial"/>
                <w:sz w:val="20"/>
                <w:szCs w:val="20"/>
              </w:rPr>
              <w:t>Standardized Coefficients</w:t>
            </w:r>
          </w:p>
        </w:tc>
        <w:tc>
          <w:tcPr>
            <w:tcW w:w="467" w:type="pct"/>
            <w:vMerge w:val="restart"/>
          </w:tcPr>
          <w:p w:rsidR="001A5F98" w:rsidRPr="00540C5D" w:rsidRDefault="001A5F98" w:rsidP="004C40DA">
            <w:pPr>
              <w:widowControl w:val="0"/>
              <w:spacing w:line="360" w:lineRule="auto"/>
              <w:ind w:left="60" w:right="60"/>
              <w:jc w:val="both"/>
              <w:rPr>
                <w:rFonts w:ascii="Arial" w:eastAsia="Times" w:hAnsi="Arial" w:cs="Arial"/>
                <w:sz w:val="20"/>
                <w:szCs w:val="20"/>
              </w:rPr>
            </w:pPr>
            <w:r w:rsidRPr="00540C5D">
              <w:rPr>
                <w:rFonts w:ascii="Arial" w:eastAsia="Times" w:hAnsi="Arial" w:cs="Arial"/>
                <w:sz w:val="20"/>
                <w:szCs w:val="20"/>
              </w:rPr>
              <w:t>t</w:t>
            </w:r>
          </w:p>
        </w:tc>
        <w:tc>
          <w:tcPr>
            <w:tcW w:w="471" w:type="pct"/>
            <w:vMerge w:val="restart"/>
          </w:tcPr>
          <w:p w:rsidR="001A5F98" w:rsidRPr="00540C5D" w:rsidRDefault="001A5F98" w:rsidP="004C40DA">
            <w:pPr>
              <w:widowControl w:val="0"/>
              <w:spacing w:line="360" w:lineRule="auto"/>
              <w:ind w:left="60" w:right="60"/>
              <w:jc w:val="both"/>
              <w:rPr>
                <w:rFonts w:ascii="Arial" w:eastAsia="Times" w:hAnsi="Arial" w:cs="Arial"/>
                <w:sz w:val="20"/>
                <w:szCs w:val="20"/>
              </w:rPr>
            </w:pPr>
            <w:r w:rsidRPr="00540C5D">
              <w:rPr>
                <w:rFonts w:ascii="Arial" w:eastAsia="Times" w:hAnsi="Arial" w:cs="Arial"/>
                <w:sz w:val="20"/>
                <w:szCs w:val="20"/>
              </w:rPr>
              <w:t>Sig.</w:t>
            </w:r>
          </w:p>
        </w:tc>
      </w:tr>
      <w:tr w:rsidR="001A5F98" w:rsidRPr="00540C5D" w:rsidTr="00A44E35">
        <w:trPr>
          <w:trHeight w:val="540"/>
        </w:trPr>
        <w:tc>
          <w:tcPr>
            <w:tcW w:w="1633" w:type="pct"/>
            <w:gridSpan w:val="2"/>
            <w:vMerge/>
          </w:tcPr>
          <w:p w:rsidR="001A5F98" w:rsidRPr="00540C5D" w:rsidRDefault="001A5F98" w:rsidP="004C40DA">
            <w:pPr>
              <w:widowControl w:val="0"/>
              <w:jc w:val="both"/>
              <w:rPr>
                <w:rFonts w:ascii="Arial" w:eastAsia="Times" w:hAnsi="Arial" w:cs="Arial"/>
                <w:sz w:val="20"/>
                <w:szCs w:val="20"/>
              </w:rPr>
            </w:pPr>
          </w:p>
        </w:tc>
        <w:tc>
          <w:tcPr>
            <w:tcW w:w="714" w:type="pct"/>
          </w:tcPr>
          <w:p w:rsidR="001A5F98" w:rsidRPr="00540C5D" w:rsidRDefault="001A5F98" w:rsidP="004C40DA">
            <w:pPr>
              <w:widowControl w:val="0"/>
              <w:spacing w:line="360" w:lineRule="auto"/>
              <w:ind w:left="60" w:right="60"/>
              <w:jc w:val="both"/>
              <w:rPr>
                <w:rFonts w:ascii="Arial" w:eastAsia="Times" w:hAnsi="Arial" w:cs="Arial"/>
                <w:sz w:val="20"/>
                <w:szCs w:val="20"/>
              </w:rPr>
            </w:pPr>
            <w:r w:rsidRPr="00540C5D">
              <w:rPr>
                <w:rFonts w:ascii="Arial" w:eastAsia="Times" w:hAnsi="Arial" w:cs="Arial"/>
                <w:sz w:val="20"/>
                <w:szCs w:val="20"/>
              </w:rPr>
              <w:t>B</w:t>
            </w:r>
          </w:p>
        </w:tc>
        <w:tc>
          <w:tcPr>
            <w:tcW w:w="779" w:type="pct"/>
          </w:tcPr>
          <w:p w:rsidR="001A5F98" w:rsidRPr="00540C5D" w:rsidRDefault="001A5F98" w:rsidP="004C40DA">
            <w:pPr>
              <w:widowControl w:val="0"/>
              <w:spacing w:line="360" w:lineRule="auto"/>
              <w:ind w:left="60" w:right="60"/>
              <w:jc w:val="both"/>
              <w:rPr>
                <w:rFonts w:ascii="Arial" w:eastAsia="Times" w:hAnsi="Arial" w:cs="Arial"/>
                <w:sz w:val="20"/>
                <w:szCs w:val="20"/>
              </w:rPr>
            </w:pPr>
            <w:r w:rsidRPr="00540C5D">
              <w:rPr>
                <w:rFonts w:ascii="Arial" w:eastAsia="Times" w:hAnsi="Arial" w:cs="Arial"/>
                <w:sz w:val="20"/>
                <w:szCs w:val="20"/>
              </w:rPr>
              <w:t>Std. Error</w:t>
            </w:r>
          </w:p>
        </w:tc>
        <w:tc>
          <w:tcPr>
            <w:tcW w:w="935" w:type="pct"/>
          </w:tcPr>
          <w:p w:rsidR="001A5F98" w:rsidRPr="00540C5D" w:rsidRDefault="001A5F98" w:rsidP="004C40DA">
            <w:pPr>
              <w:widowControl w:val="0"/>
              <w:spacing w:line="360" w:lineRule="auto"/>
              <w:ind w:left="60" w:right="60"/>
              <w:jc w:val="both"/>
              <w:rPr>
                <w:rFonts w:ascii="Arial" w:eastAsia="Times" w:hAnsi="Arial" w:cs="Arial"/>
                <w:sz w:val="20"/>
                <w:szCs w:val="20"/>
              </w:rPr>
            </w:pPr>
            <w:r w:rsidRPr="00540C5D">
              <w:rPr>
                <w:rFonts w:ascii="Arial" w:eastAsia="Times" w:hAnsi="Arial" w:cs="Arial"/>
                <w:sz w:val="20"/>
                <w:szCs w:val="20"/>
              </w:rPr>
              <w:t>Beta</w:t>
            </w:r>
          </w:p>
        </w:tc>
        <w:tc>
          <w:tcPr>
            <w:tcW w:w="467" w:type="pct"/>
            <w:vMerge/>
          </w:tcPr>
          <w:p w:rsidR="001A5F98" w:rsidRPr="00540C5D" w:rsidRDefault="001A5F98" w:rsidP="004C40DA">
            <w:pPr>
              <w:widowControl w:val="0"/>
              <w:jc w:val="both"/>
              <w:rPr>
                <w:rFonts w:ascii="Arial" w:eastAsia="Times" w:hAnsi="Arial" w:cs="Arial"/>
                <w:sz w:val="20"/>
                <w:szCs w:val="20"/>
              </w:rPr>
            </w:pPr>
          </w:p>
        </w:tc>
        <w:tc>
          <w:tcPr>
            <w:tcW w:w="471" w:type="pct"/>
            <w:vMerge/>
          </w:tcPr>
          <w:p w:rsidR="001A5F98" w:rsidRPr="00540C5D" w:rsidRDefault="001A5F98" w:rsidP="004C40DA">
            <w:pPr>
              <w:widowControl w:val="0"/>
              <w:jc w:val="both"/>
              <w:rPr>
                <w:rFonts w:ascii="Arial" w:eastAsia="Times" w:hAnsi="Arial" w:cs="Arial"/>
                <w:sz w:val="20"/>
                <w:szCs w:val="20"/>
              </w:rPr>
            </w:pPr>
          </w:p>
        </w:tc>
      </w:tr>
      <w:tr w:rsidR="001A5F98" w:rsidRPr="00540C5D" w:rsidTr="00A44E35">
        <w:trPr>
          <w:trHeight w:val="333"/>
        </w:trPr>
        <w:tc>
          <w:tcPr>
            <w:tcW w:w="446" w:type="pct"/>
            <w:vMerge w:val="restart"/>
          </w:tcPr>
          <w:p w:rsidR="001A5F98" w:rsidRPr="00540C5D" w:rsidRDefault="001A5F98" w:rsidP="004C40DA">
            <w:pPr>
              <w:widowControl w:val="0"/>
              <w:spacing w:line="360" w:lineRule="auto"/>
              <w:ind w:left="60" w:right="60"/>
              <w:jc w:val="both"/>
              <w:rPr>
                <w:rFonts w:ascii="Arial" w:eastAsia="Times" w:hAnsi="Arial" w:cs="Arial"/>
                <w:sz w:val="20"/>
                <w:szCs w:val="20"/>
              </w:rPr>
            </w:pPr>
            <w:r w:rsidRPr="00540C5D">
              <w:rPr>
                <w:rFonts w:ascii="Arial" w:eastAsia="Times" w:hAnsi="Arial" w:cs="Arial"/>
                <w:sz w:val="20"/>
                <w:szCs w:val="20"/>
              </w:rPr>
              <w:t>1</w:t>
            </w:r>
          </w:p>
        </w:tc>
        <w:tc>
          <w:tcPr>
            <w:tcW w:w="1187" w:type="pct"/>
          </w:tcPr>
          <w:p w:rsidR="001A5F98" w:rsidRPr="00540C5D" w:rsidRDefault="001A5F98" w:rsidP="004C40DA">
            <w:pPr>
              <w:widowControl w:val="0"/>
              <w:spacing w:line="360" w:lineRule="auto"/>
              <w:ind w:left="60" w:right="60"/>
              <w:jc w:val="both"/>
              <w:rPr>
                <w:rFonts w:ascii="Arial" w:eastAsia="Times" w:hAnsi="Arial" w:cs="Arial"/>
                <w:sz w:val="20"/>
                <w:szCs w:val="20"/>
              </w:rPr>
            </w:pPr>
            <w:r w:rsidRPr="00540C5D">
              <w:rPr>
                <w:rFonts w:ascii="Arial" w:eastAsia="Times" w:hAnsi="Arial" w:cs="Arial"/>
                <w:sz w:val="20"/>
                <w:szCs w:val="20"/>
              </w:rPr>
              <w:t>(Constant)</w:t>
            </w:r>
          </w:p>
        </w:tc>
        <w:tc>
          <w:tcPr>
            <w:tcW w:w="714" w:type="pct"/>
          </w:tcPr>
          <w:p w:rsidR="001A5F98" w:rsidRPr="00540C5D" w:rsidRDefault="001A5F98" w:rsidP="004C40DA">
            <w:pPr>
              <w:widowControl w:val="0"/>
              <w:spacing w:line="360" w:lineRule="auto"/>
              <w:ind w:left="60" w:right="60"/>
              <w:jc w:val="both"/>
              <w:rPr>
                <w:rFonts w:ascii="Arial" w:eastAsia="Times" w:hAnsi="Arial" w:cs="Arial"/>
                <w:sz w:val="20"/>
                <w:szCs w:val="20"/>
              </w:rPr>
            </w:pPr>
            <w:r w:rsidRPr="00540C5D">
              <w:rPr>
                <w:rFonts w:ascii="Arial" w:eastAsia="Times" w:hAnsi="Arial" w:cs="Arial"/>
                <w:sz w:val="20"/>
                <w:szCs w:val="20"/>
              </w:rPr>
              <w:t>-22.766</w:t>
            </w:r>
          </w:p>
        </w:tc>
        <w:tc>
          <w:tcPr>
            <w:tcW w:w="779" w:type="pct"/>
          </w:tcPr>
          <w:p w:rsidR="001A5F98" w:rsidRPr="00540C5D" w:rsidRDefault="001A5F98" w:rsidP="004C40DA">
            <w:pPr>
              <w:widowControl w:val="0"/>
              <w:spacing w:line="360" w:lineRule="auto"/>
              <w:ind w:left="60" w:right="60"/>
              <w:jc w:val="both"/>
              <w:rPr>
                <w:rFonts w:ascii="Arial" w:eastAsia="Times" w:hAnsi="Arial" w:cs="Arial"/>
                <w:sz w:val="20"/>
                <w:szCs w:val="20"/>
              </w:rPr>
            </w:pPr>
            <w:r w:rsidRPr="00540C5D">
              <w:rPr>
                <w:rFonts w:ascii="Arial" w:eastAsia="Times" w:hAnsi="Arial" w:cs="Arial"/>
                <w:sz w:val="20"/>
                <w:szCs w:val="20"/>
              </w:rPr>
              <w:t>609.241</w:t>
            </w:r>
          </w:p>
        </w:tc>
        <w:tc>
          <w:tcPr>
            <w:tcW w:w="935" w:type="pct"/>
          </w:tcPr>
          <w:p w:rsidR="001A5F98" w:rsidRPr="00540C5D" w:rsidRDefault="001A5F98" w:rsidP="004C40DA">
            <w:pPr>
              <w:widowControl w:val="0"/>
              <w:spacing w:line="360" w:lineRule="auto"/>
              <w:jc w:val="both"/>
              <w:rPr>
                <w:rFonts w:ascii="Arial" w:eastAsia="Times" w:hAnsi="Arial" w:cs="Arial"/>
                <w:sz w:val="20"/>
                <w:szCs w:val="20"/>
              </w:rPr>
            </w:pPr>
          </w:p>
        </w:tc>
        <w:tc>
          <w:tcPr>
            <w:tcW w:w="467" w:type="pct"/>
          </w:tcPr>
          <w:p w:rsidR="001A5F98" w:rsidRPr="00540C5D" w:rsidRDefault="001A5F98" w:rsidP="004C40DA">
            <w:pPr>
              <w:widowControl w:val="0"/>
              <w:spacing w:line="360" w:lineRule="auto"/>
              <w:ind w:left="60" w:right="60"/>
              <w:jc w:val="both"/>
              <w:rPr>
                <w:rFonts w:ascii="Arial" w:eastAsia="Times" w:hAnsi="Arial" w:cs="Arial"/>
                <w:sz w:val="20"/>
                <w:szCs w:val="20"/>
              </w:rPr>
            </w:pPr>
            <w:r w:rsidRPr="00540C5D">
              <w:rPr>
                <w:rFonts w:ascii="Arial" w:eastAsia="Times" w:hAnsi="Arial" w:cs="Arial"/>
                <w:sz w:val="20"/>
                <w:szCs w:val="20"/>
              </w:rPr>
              <w:t>-.037</w:t>
            </w:r>
          </w:p>
        </w:tc>
        <w:tc>
          <w:tcPr>
            <w:tcW w:w="471" w:type="pct"/>
          </w:tcPr>
          <w:p w:rsidR="001A5F98" w:rsidRPr="00540C5D" w:rsidRDefault="001A5F98" w:rsidP="004C40DA">
            <w:pPr>
              <w:widowControl w:val="0"/>
              <w:spacing w:line="360" w:lineRule="auto"/>
              <w:ind w:left="60" w:right="60"/>
              <w:jc w:val="both"/>
              <w:rPr>
                <w:rFonts w:ascii="Arial" w:eastAsia="Times" w:hAnsi="Arial" w:cs="Arial"/>
                <w:sz w:val="20"/>
                <w:szCs w:val="20"/>
              </w:rPr>
            </w:pPr>
            <w:r w:rsidRPr="00540C5D">
              <w:rPr>
                <w:rFonts w:ascii="Arial" w:eastAsia="Times" w:hAnsi="Arial" w:cs="Arial"/>
                <w:sz w:val="20"/>
                <w:szCs w:val="20"/>
              </w:rPr>
              <w:t>.971</w:t>
            </w:r>
          </w:p>
        </w:tc>
      </w:tr>
      <w:tr w:rsidR="001A5F98" w:rsidRPr="00540C5D" w:rsidTr="00A44E35">
        <w:trPr>
          <w:trHeight w:val="540"/>
        </w:trPr>
        <w:tc>
          <w:tcPr>
            <w:tcW w:w="446" w:type="pct"/>
            <w:vMerge/>
          </w:tcPr>
          <w:p w:rsidR="001A5F98" w:rsidRPr="00540C5D" w:rsidRDefault="001A5F98" w:rsidP="004C40DA">
            <w:pPr>
              <w:widowControl w:val="0"/>
              <w:jc w:val="both"/>
              <w:rPr>
                <w:rFonts w:ascii="Arial" w:eastAsia="Times" w:hAnsi="Arial" w:cs="Arial"/>
                <w:sz w:val="20"/>
                <w:szCs w:val="20"/>
              </w:rPr>
            </w:pPr>
          </w:p>
        </w:tc>
        <w:tc>
          <w:tcPr>
            <w:tcW w:w="1187" w:type="pct"/>
          </w:tcPr>
          <w:p w:rsidR="001A5F98" w:rsidRPr="00540C5D" w:rsidRDefault="001A5F98" w:rsidP="004C40DA">
            <w:pPr>
              <w:widowControl w:val="0"/>
              <w:spacing w:line="360" w:lineRule="auto"/>
              <w:ind w:left="60" w:right="60"/>
              <w:jc w:val="both"/>
              <w:rPr>
                <w:rFonts w:ascii="Arial" w:eastAsia="Times" w:hAnsi="Arial" w:cs="Arial"/>
                <w:sz w:val="20"/>
                <w:szCs w:val="20"/>
              </w:rPr>
            </w:pPr>
            <w:r w:rsidRPr="00540C5D">
              <w:rPr>
                <w:rFonts w:ascii="Arial" w:eastAsia="Times" w:hAnsi="Arial" w:cs="Arial"/>
                <w:sz w:val="20"/>
                <w:szCs w:val="20"/>
              </w:rPr>
              <w:t xml:space="preserve"> (X)</w:t>
            </w:r>
          </w:p>
        </w:tc>
        <w:tc>
          <w:tcPr>
            <w:tcW w:w="714" w:type="pct"/>
          </w:tcPr>
          <w:p w:rsidR="001A5F98" w:rsidRPr="00540C5D" w:rsidRDefault="001A5F98" w:rsidP="004C40DA">
            <w:pPr>
              <w:widowControl w:val="0"/>
              <w:spacing w:line="360" w:lineRule="auto"/>
              <w:ind w:left="60" w:right="60"/>
              <w:jc w:val="both"/>
              <w:rPr>
                <w:rFonts w:ascii="Arial" w:eastAsia="Times" w:hAnsi="Arial" w:cs="Arial"/>
                <w:sz w:val="20"/>
                <w:szCs w:val="20"/>
              </w:rPr>
            </w:pPr>
            <w:r w:rsidRPr="00540C5D">
              <w:rPr>
                <w:rFonts w:ascii="Arial" w:eastAsia="Times" w:hAnsi="Arial" w:cs="Arial"/>
                <w:sz w:val="20"/>
                <w:szCs w:val="20"/>
              </w:rPr>
              <w:t>526.077</w:t>
            </w:r>
          </w:p>
        </w:tc>
        <w:tc>
          <w:tcPr>
            <w:tcW w:w="779" w:type="pct"/>
          </w:tcPr>
          <w:p w:rsidR="001A5F98" w:rsidRPr="00540C5D" w:rsidRDefault="001A5F98" w:rsidP="004C40DA">
            <w:pPr>
              <w:widowControl w:val="0"/>
              <w:spacing w:line="360" w:lineRule="auto"/>
              <w:ind w:left="60" w:right="60"/>
              <w:jc w:val="both"/>
              <w:rPr>
                <w:rFonts w:ascii="Arial" w:eastAsia="Times" w:hAnsi="Arial" w:cs="Arial"/>
                <w:sz w:val="20"/>
                <w:szCs w:val="20"/>
              </w:rPr>
            </w:pPr>
            <w:r w:rsidRPr="00540C5D">
              <w:rPr>
                <w:rFonts w:ascii="Arial" w:eastAsia="Times" w:hAnsi="Arial" w:cs="Arial"/>
                <w:sz w:val="20"/>
                <w:szCs w:val="20"/>
              </w:rPr>
              <w:t>2155.166</w:t>
            </w:r>
          </w:p>
        </w:tc>
        <w:tc>
          <w:tcPr>
            <w:tcW w:w="935" w:type="pct"/>
          </w:tcPr>
          <w:p w:rsidR="001A5F98" w:rsidRPr="00540C5D" w:rsidRDefault="001A5F98" w:rsidP="004C40DA">
            <w:pPr>
              <w:widowControl w:val="0"/>
              <w:spacing w:line="360" w:lineRule="auto"/>
              <w:ind w:left="60" w:right="60"/>
              <w:jc w:val="both"/>
              <w:rPr>
                <w:rFonts w:ascii="Arial" w:eastAsia="Times" w:hAnsi="Arial" w:cs="Arial"/>
                <w:sz w:val="20"/>
                <w:szCs w:val="20"/>
              </w:rPr>
            </w:pPr>
            <w:r w:rsidRPr="00540C5D">
              <w:rPr>
                <w:rFonts w:ascii="Arial" w:eastAsia="Times" w:hAnsi="Arial" w:cs="Arial"/>
                <w:sz w:val="20"/>
                <w:szCs w:val="20"/>
              </w:rPr>
              <w:t>.072</w:t>
            </w:r>
          </w:p>
        </w:tc>
        <w:tc>
          <w:tcPr>
            <w:tcW w:w="467" w:type="pct"/>
          </w:tcPr>
          <w:p w:rsidR="001A5F98" w:rsidRPr="00540C5D" w:rsidRDefault="001A5F98" w:rsidP="004C40DA">
            <w:pPr>
              <w:widowControl w:val="0"/>
              <w:spacing w:line="360" w:lineRule="auto"/>
              <w:ind w:left="60" w:right="60"/>
              <w:jc w:val="both"/>
              <w:rPr>
                <w:rFonts w:ascii="Arial" w:eastAsia="Times" w:hAnsi="Arial" w:cs="Arial"/>
                <w:sz w:val="20"/>
                <w:szCs w:val="20"/>
              </w:rPr>
            </w:pPr>
            <w:r w:rsidRPr="00540C5D">
              <w:rPr>
                <w:rFonts w:ascii="Arial" w:eastAsia="Times" w:hAnsi="Arial" w:cs="Arial"/>
                <w:sz w:val="20"/>
                <w:szCs w:val="20"/>
              </w:rPr>
              <w:t>.244</w:t>
            </w:r>
          </w:p>
        </w:tc>
        <w:tc>
          <w:tcPr>
            <w:tcW w:w="471" w:type="pct"/>
          </w:tcPr>
          <w:p w:rsidR="001A5F98" w:rsidRPr="00540C5D" w:rsidRDefault="001A5F98" w:rsidP="004C40DA">
            <w:pPr>
              <w:widowControl w:val="0"/>
              <w:spacing w:line="360" w:lineRule="auto"/>
              <w:ind w:left="60" w:right="60"/>
              <w:jc w:val="both"/>
              <w:rPr>
                <w:rFonts w:ascii="Arial" w:eastAsia="Times" w:hAnsi="Arial" w:cs="Arial"/>
                <w:sz w:val="20"/>
                <w:szCs w:val="20"/>
              </w:rPr>
            </w:pPr>
            <w:r w:rsidRPr="00540C5D">
              <w:rPr>
                <w:rFonts w:ascii="Arial" w:eastAsia="Times" w:hAnsi="Arial" w:cs="Arial"/>
                <w:sz w:val="20"/>
                <w:szCs w:val="20"/>
              </w:rPr>
              <w:t>.810</w:t>
            </w:r>
          </w:p>
        </w:tc>
      </w:tr>
      <w:tr w:rsidR="001A5F98" w:rsidRPr="00540C5D" w:rsidTr="00A44E35">
        <w:trPr>
          <w:trHeight w:val="540"/>
        </w:trPr>
        <w:tc>
          <w:tcPr>
            <w:tcW w:w="446" w:type="pct"/>
            <w:vMerge/>
          </w:tcPr>
          <w:p w:rsidR="001A5F98" w:rsidRPr="00540C5D" w:rsidRDefault="001A5F98" w:rsidP="004C40DA">
            <w:pPr>
              <w:widowControl w:val="0"/>
              <w:jc w:val="both"/>
              <w:rPr>
                <w:rFonts w:ascii="Arial" w:eastAsia="Times" w:hAnsi="Arial" w:cs="Arial"/>
                <w:sz w:val="20"/>
                <w:szCs w:val="20"/>
              </w:rPr>
            </w:pPr>
          </w:p>
        </w:tc>
        <w:tc>
          <w:tcPr>
            <w:tcW w:w="1187" w:type="pct"/>
          </w:tcPr>
          <w:p w:rsidR="001A5F98" w:rsidRPr="00540C5D" w:rsidRDefault="001A5F98" w:rsidP="004C40DA">
            <w:pPr>
              <w:widowControl w:val="0"/>
              <w:spacing w:line="360" w:lineRule="auto"/>
              <w:ind w:left="60" w:right="60"/>
              <w:jc w:val="both"/>
              <w:rPr>
                <w:rFonts w:ascii="Arial" w:eastAsia="Times" w:hAnsi="Arial" w:cs="Arial"/>
                <w:sz w:val="20"/>
                <w:szCs w:val="20"/>
              </w:rPr>
            </w:pPr>
            <w:r w:rsidRPr="00540C5D">
              <w:rPr>
                <w:rFonts w:ascii="Arial" w:eastAsia="Times" w:hAnsi="Arial" w:cs="Arial"/>
                <w:sz w:val="20"/>
                <w:szCs w:val="20"/>
              </w:rPr>
              <w:t xml:space="preserve"> (Z)</w:t>
            </w:r>
          </w:p>
        </w:tc>
        <w:tc>
          <w:tcPr>
            <w:tcW w:w="714" w:type="pct"/>
          </w:tcPr>
          <w:p w:rsidR="001A5F98" w:rsidRPr="00540C5D" w:rsidRDefault="001A5F98" w:rsidP="004C40DA">
            <w:pPr>
              <w:widowControl w:val="0"/>
              <w:spacing w:line="360" w:lineRule="auto"/>
              <w:ind w:left="60" w:right="60"/>
              <w:jc w:val="both"/>
              <w:rPr>
                <w:rFonts w:ascii="Arial" w:eastAsia="Times" w:hAnsi="Arial" w:cs="Arial"/>
                <w:sz w:val="20"/>
                <w:szCs w:val="20"/>
              </w:rPr>
            </w:pPr>
            <w:r w:rsidRPr="00540C5D">
              <w:rPr>
                <w:rFonts w:ascii="Arial" w:eastAsia="Times" w:hAnsi="Arial" w:cs="Arial"/>
                <w:sz w:val="20"/>
                <w:szCs w:val="20"/>
              </w:rPr>
              <w:t>640.114</w:t>
            </w:r>
          </w:p>
        </w:tc>
        <w:tc>
          <w:tcPr>
            <w:tcW w:w="779" w:type="pct"/>
          </w:tcPr>
          <w:p w:rsidR="001A5F98" w:rsidRPr="00540C5D" w:rsidRDefault="001A5F98" w:rsidP="004C40DA">
            <w:pPr>
              <w:widowControl w:val="0"/>
              <w:spacing w:line="360" w:lineRule="auto"/>
              <w:ind w:left="60" w:right="60"/>
              <w:jc w:val="both"/>
              <w:rPr>
                <w:rFonts w:ascii="Arial" w:eastAsia="Times" w:hAnsi="Arial" w:cs="Arial"/>
                <w:sz w:val="20"/>
                <w:szCs w:val="20"/>
              </w:rPr>
            </w:pPr>
            <w:r w:rsidRPr="00540C5D">
              <w:rPr>
                <w:rFonts w:ascii="Arial" w:eastAsia="Times" w:hAnsi="Arial" w:cs="Arial"/>
                <w:sz w:val="20"/>
                <w:szCs w:val="20"/>
              </w:rPr>
              <w:t>873.856</w:t>
            </w:r>
          </w:p>
        </w:tc>
        <w:tc>
          <w:tcPr>
            <w:tcW w:w="935" w:type="pct"/>
          </w:tcPr>
          <w:p w:rsidR="001A5F98" w:rsidRPr="00540C5D" w:rsidRDefault="001A5F98" w:rsidP="004C40DA">
            <w:pPr>
              <w:widowControl w:val="0"/>
              <w:spacing w:line="360" w:lineRule="auto"/>
              <w:ind w:left="60" w:right="60"/>
              <w:jc w:val="both"/>
              <w:rPr>
                <w:rFonts w:ascii="Arial" w:eastAsia="Times" w:hAnsi="Arial" w:cs="Arial"/>
                <w:sz w:val="20"/>
                <w:szCs w:val="20"/>
              </w:rPr>
            </w:pPr>
            <w:r w:rsidRPr="00540C5D">
              <w:rPr>
                <w:rFonts w:ascii="Arial" w:eastAsia="Times" w:hAnsi="Arial" w:cs="Arial"/>
                <w:sz w:val="20"/>
                <w:szCs w:val="20"/>
              </w:rPr>
              <w:t>.529</w:t>
            </w:r>
          </w:p>
        </w:tc>
        <w:tc>
          <w:tcPr>
            <w:tcW w:w="467" w:type="pct"/>
          </w:tcPr>
          <w:p w:rsidR="001A5F98" w:rsidRPr="00540C5D" w:rsidRDefault="001A5F98" w:rsidP="004C40DA">
            <w:pPr>
              <w:widowControl w:val="0"/>
              <w:spacing w:line="360" w:lineRule="auto"/>
              <w:ind w:left="60" w:right="60"/>
              <w:jc w:val="both"/>
              <w:rPr>
                <w:rFonts w:ascii="Arial" w:eastAsia="Times" w:hAnsi="Arial" w:cs="Arial"/>
                <w:sz w:val="20"/>
                <w:szCs w:val="20"/>
              </w:rPr>
            </w:pPr>
            <w:r w:rsidRPr="00540C5D">
              <w:rPr>
                <w:rFonts w:ascii="Arial" w:eastAsia="Times" w:hAnsi="Arial" w:cs="Arial"/>
                <w:sz w:val="20"/>
                <w:szCs w:val="20"/>
              </w:rPr>
              <w:t>.733</w:t>
            </w:r>
          </w:p>
        </w:tc>
        <w:tc>
          <w:tcPr>
            <w:tcW w:w="471" w:type="pct"/>
          </w:tcPr>
          <w:p w:rsidR="001A5F98" w:rsidRPr="00540C5D" w:rsidRDefault="001A5F98" w:rsidP="004C40DA">
            <w:pPr>
              <w:widowControl w:val="0"/>
              <w:spacing w:line="360" w:lineRule="auto"/>
              <w:ind w:left="60" w:right="60"/>
              <w:jc w:val="both"/>
              <w:rPr>
                <w:rFonts w:ascii="Arial" w:eastAsia="Times" w:hAnsi="Arial" w:cs="Arial"/>
                <w:sz w:val="20"/>
                <w:szCs w:val="20"/>
              </w:rPr>
            </w:pPr>
            <w:r w:rsidRPr="00540C5D">
              <w:rPr>
                <w:rFonts w:ascii="Arial" w:eastAsia="Times" w:hAnsi="Arial" w:cs="Arial"/>
                <w:sz w:val="20"/>
                <w:szCs w:val="20"/>
              </w:rPr>
              <w:t>.472</w:t>
            </w:r>
          </w:p>
        </w:tc>
      </w:tr>
      <w:tr w:rsidR="001A5F98" w:rsidRPr="00540C5D" w:rsidTr="00A44E35">
        <w:trPr>
          <w:trHeight w:val="474"/>
        </w:trPr>
        <w:tc>
          <w:tcPr>
            <w:tcW w:w="446" w:type="pct"/>
            <w:vMerge/>
          </w:tcPr>
          <w:p w:rsidR="001A5F98" w:rsidRPr="00540C5D" w:rsidRDefault="001A5F98" w:rsidP="004C40DA">
            <w:pPr>
              <w:widowControl w:val="0"/>
              <w:jc w:val="both"/>
              <w:rPr>
                <w:rFonts w:ascii="Arial" w:eastAsia="Times" w:hAnsi="Arial" w:cs="Arial"/>
                <w:sz w:val="20"/>
                <w:szCs w:val="20"/>
              </w:rPr>
            </w:pPr>
          </w:p>
        </w:tc>
        <w:tc>
          <w:tcPr>
            <w:tcW w:w="1187" w:type="pct"/>
          </w:tcPr>
          <w:p w:rsidR="001A5F98" w:rsidRPr="00540C5D" w:rsidRDefault="001A5F98" w:rsidP="004C40DA">
            <w:pPr>
              <w:widowControl w:val="0"/>
              <w:spacing w:line="360" w:lineRule="auto"/>
              <w:ind w:left="60" w:right="60"/>
              <w:jc w:val="both"/>
              <w:rPr>
                <w:rFonts w:ascii="Arial" w:eastAsia="Times" w:hAnsi="Arial" w:cs="Arial"/>
                <w:sz w:val="20"/>
                <w:szCs w:val="20"/>
              </w:rPr>
            </w:pPr>
            <w:r w:rsidRPr="00540C5D">
              <w:rPr>
                <w:rFonts w:ascii="Arial" w:eastAsia="Times" w:hAnsi="Arial" w:cs="Arial"/>
                <w:sz w:val="20"/>
                <w:szCs w:val="20"/>
              </w:rPr>
              <w:t>Interaksi</w:t>
            </w:r>
          </w:p>
        </w:tc>
        <w:tc>
          <w:tcPr>
            <w:tcW w:w="714" w:type="pct"/>
          </w:tcPr>
          <w:p w:rsidR="001A5F98" w:rsidRPr="00540C5D" w:rsidRDefault="001A5F98" w:rsidP="004C40DA">
            <w:pPr>
              <w:widowControl w:val="0"/>
              <w:spacing w:line="360" w:lineRule="auto"/>
              <w:ind w:left="60" w:right="60"/>
              <w:jc w:val="both"/>
              <w:rPr>
                <w:rFonts w:ascii="Arial" w:eastAsia="Times" w:hAnsi="Arial" w:cs="Arial"/>
                <w:sz w:val="20"/>
                <w:szCs w:val="20"/>
              </w:rPr>
            </w:pPr>
            <w:r w:rsidRPr="00540C5D">
              <w:rPr>
                <w:rFonts w:ascii="Arial" w:eastAsia="Times" w:hAnsi="Arial" w:cs="Arial"/>
                <w:sz w:val="20"/>
                <w:szCs w:val="20"/>
              </w:rPr>
              <w:t>-1612.144</w:t>
            </w:r>
          </w:p>
        </w:tc>
        <w:tc>
          <w:tcPr>
            <w:tcW w:w="779" w:type="pct"/>
          </w:tcPr>
          <w:p w:rsidR="001A5F98" w:rsidRPr="00540C5D" w:rsidRDefault="001A5F98" w:rsidP="004C40DA">
            <w:pPr>
              <w:widowControl w:val="0"/>
              <w:spacing w:line="360" w:lineRule="auto"/>
              <w:ind w:left="60" w:right="60"/>
              <w:jc w:val="both"/>
              <w:rPr>
                <w:rFonts w:ascii="Arial" w:eastAsia="Times" w:hAnsi="Arial" w:cs="Arial"/>
                <w:sz w:val="20"/>
                <w:szCs w:val="20"/>
              </w:rPr>
            </w:pPr>
            <w:r w:rsidRPr="00540C5D">
              <w:rPr>
                <w:rFonts w:ascii="Arial" w:eastAsia="Times" w:hAnsi="Arial" w:cs="Arial"/>
                <w:sz w:val="20"/>
                <w:szCs w:val="20"/>
              </w:rPr>
              <w:t>3214.233</w:t>
            </w:r>
          </w:p>
        </w:tc>
        <w:tc>
          <w:tcPr>
            <w:tcW w:w="935" w:type="pct"/>
          </w:tcPr>
          <w:p w:rsidR="001A5F98" w:rsidRPr="00540C5D" w:rsidRDefault="001A5F98" w:rsidP="004C40DA">
            <w:pPr>
              <w:widowControl w:val="0"/>
              <w:spacing w:line="360" w:lineRule="auto"/>
              <w:ind w:left="60" w:right="60"/>
              <w:jc w:val="both"/>
              <w:rPr>
                <w:rFonts w:ascii="Arial" w:eastAsia="Times" w:hAnsi="Arial" w:cs="Arial"/>
                <w:sz w:val="20"/>
                <w:szCs w:val="20"/>
              </w:rPr>
            </w:pPr>
            <w:r w:rsidRPr="00540C5D">
              <w:rPr>
                <w:rFonts w:ascii="Arial" w:eastAsia="Times" w:hAnsi="Arial" w:cs="Arial"/>
                <w:sz w:val="20"/>
                <w:szCs w:val="20"/>
              </w:rPr>
              <w:t>-.365</w:t>
            </w:r>
          </w:p>
        </w:tc>
        <w:tc>
          <w:tcPr>
            <w:tcW w:w="467" w:type="pct"/>
          </w:tcPr>
          <w:p w:rsidR="001A5F98" w:rsidRPr="00540C5D" w:rsidRDefault="001A5F98" w:rsidP="004C40DA">
            <w:pPr>
              <w:widowControl w:val="0"/>
              <w:spacing w:line="360" w:lineRule="auto"/>
              <w:ind w:left="60" w:right="60"/>
              <w:jc w:val="both"/>
              <w:rPr>
                <w:rFonts w:ascii="Arial" w:eastAsia="Times" w:hAnsi="Arial" w:cs="Arial"/>
                <w:sz w:val="20"/>
                <w:szCs w:val="20"/>
              </w:rPr>
            </w:pPr>
            <w:r w:rsidRPr="00540C5D">
              <w:rPr>
                <w:rFonts w:ascii="Arial" w:eastAsia="Times" w:hAnsi="Arial" w:cs="Arial"/>
                <w:sz w:val="20"/>
                <w:szCs w:val="20"/>
              </w:rPr>
              <w:t>-.502</w:t>
            </w:r>
          </w:p>
        </w:tc>
        <w:tc>
          <w:tcPr>
            <w:tcW w:w="471" w:type="pct"/>
          </w:tcPr>
          <w:p w:rsidR="001A5F98" w:rsidRPr="00540C5D" w:rsidRDefault="001A5F98" w:rsidP="004C40DA">
            <w:pPr>
              <w:widowControl w:val="0"/>
              <w:spacing w:line="360" w:lineRule="auto"/>
              <w:ind w:left="60" w:right="60"/>
              <w:jc w:val="both"/>
              <w:rPr>
                <w:rFonts w:ascii="Arial" w:eastAsia="Times" w:hAnsi="Arial" w:cs="Arial"/>
                <w:sz w:val="20"/>
                <w:szCs w:val="20"/>
              </w:rPr>
            </w:pPr>
            <w:r w:rsidRPr="00540C5D">
              <w:rPr>
                <w:rFonts w:ascii="Arial" w:eastAsia="Times" w:hAnsi="Arial" w:cs="Arial"/>
                <w:sz w:val="20"/>
                <w:szCs w:val="20"/>
              </w:rPr>
              <w:t>.621</w:t>
            </w:r>
          </w:p>
        </w:tc>
      </w:tr>
    </w:tbl>
    <w:p w:rsidR="001A5F98" w:rsidRPr="00000900" w:rsidRDefault="001A5F98" w:rsidP="001A5F98">
      <w:pPr>
        <w:pStyle w:val="NormalWeb"/>
        <w:jc w:val="both"/>
        <w:rPr>
          <w:rFonts w:ascii="Arial" w:hAnsi="Arial" w:cs="Arial"/>
          <w:sz w:val="20"/>
          <w:szCs w:val="20"/>
        </w:rPr>
      </w:pPr>
      <w:r w:rsidRPr="00000900">
        <w:rPr>
          <w:rFonts w:ascii="Arial" w:hAnsi="Arial" w:cs="Arial"/>
          <w:sz w:val="20"/>
          <w:szCs w:val="20"/>
        </w:rPr>
        <w:t>The partial test results show that all independent variables have no significant effect on financial performance (ROA). ESG Score (X) has a positive coefficient (526.077; sig. 0.810), but its effect is not significant, so that the application of ESG functions more as a form of legitimacy and regulatory compliance than as a strategy for increasing profitability. Digital Transformation (Z) also shows a positive coefficient (640.114; sig. 0.472), but has not had a real impact on profitability, possibly because it is still in the early stages of investment and internal efficiency. Meanwhile, the ESG-Digital Transformation interaction (XZ) has a negative coefficient (-1612.144; sig. 0.621), indicating that digital transformation does not strengthen, but rather tends to weaken the relationship between ESG and ROA, although this is not significant.</w:t>
      </w:r>
    </w:p>
    <w:p w:rsidR="001A5F98" w:rsidRPr="00000900" w:rsidRDefault="001A5F98" w:rsidP="001A5F98">
      <w:pPr>
        <w:spacing w:before="120" w:after="120"/>
        <w:jc w:val="both"/>
        <w:rPr>
          <w:rFonts w:ascii="Arial" w:hAnsi="Arial" w:cs="Arial"/>
          <w:b/>
        </w:rPr>
      </w:pPr>
      <w:r w:rsidRPr="00000900">
        <w:rPr>
          <w:rFonts w:ascii="Arial" w:hAnsi="Arial" w:cs="Arial"/>
        </w:rPr>
        <w:tab/>
      </w:r>
      <w:r w:rsidRPr="00000900">
        <w:rPr>
          <w:rFonts w:ascii="Arial" w:hAnsi="Arial" w:cs="Arial"/>
          <w:b/>
        </w:rPr>
        <w:t>b. Simultaneous Test (F-Test)</w:t>
      </w:r>
    </w:p>
    <w:p w:rsidR="001A5F98" w:rsidRPr="00000900" w:rsidRDefault="001A5F98" w:rsidP="001A5F98">
      <w:pPr>
        <w:widowControl w:val="0"/>
        <w:spacing w:line="360" w:lineRule="auto"/>
        <w:ind w:left="62" w:right="62"/>
        <w:jc w:val="center"/>
        <w:rPr>
          <w:rFonts w:ascii="Arial" w:eastAsia="Times" w:hAnsi="Arial" w:cs="Arial"/>
          <w:b/>
        </w:rPr>
      </w:pPr>
      <w:r w:rsidRPr="00000900">
        <w:rPr>
          <w:rFonts w:ascii="Arial" w:eastAsia="Times" w:hAnsi="Arial" w:cs="Arial"/>
          <w:b/>
        </w:rPr>
        <w:t xml:space="preserve">Table 5. </w:t>
      </w:r>
      <w:r w:rsidRPr="00000900">
        <w:rPr>
          <w:rFonts w:ascii="Arial" w:hAnsi="Arial" w:cs="Arial"/>
          <w:b/>
        </w:rPr>
        <w:t>Simultaneous Test</w:t>
      </w:r>
    </w:p>
    <w:tbl>
      <w:tblPr>
        <w:tblStyle w:val="TableGrid"/>
        <w:tblW w:w="5000" w:type="pct"/>
        <w:tblLook w:val="0000"/>
      </w:tblPr>
      <w:tblGrid>
        <w:gridCol w:w="699"/>
        <w:gridCol w:w="1838"/>
        <w:gridCol w:w="2005"/>
        <w:gridCol w:w="667"/>
        <w:gridCol w:w="1606"/>
        <w:gridCol w:w="802"/>
        <w:gridCol w:w="807"/>
      </w:tblGrid>
      <w:tr w:rsidR="001A5F98" w:rsidRPr="00000900" w:rsidTr="00EC51A9">
        <w:trPr>
          <w:trHeight w:val="613"/>
        </w:trPr>
        <w:tc>
          <w:tcPr>
            <w:tcW w:w="5000" w:type="pct"/>
            <w:gridSpan w:val="7"/>
            <w:vAlign w:val="center"/>
          </w:tcPr>
          <w:p w:rsidR="001A5F98" w:rsidRPr="00000900" w:rsidRDefault="001A5F98" w:rsidP="004C40DA">
            <w:pPr>
              <w:widowControl w:val="0"/>
              <w:spacing w:line="360" w:lineRule="auto"/>
              <w:ind w:left="60" w:right="60"/>
              <w:jc w:val="center"/>
              <w:rPr>
                <w:rFonts w:ascii="Arial" w:eastAsia="Times" w:hAnsi="Arial" w:cs="Arial"/>
                <w:sz w:val="20"/>
                <w:szCs w:val="20"/>
              </w:rPr>
            </w:pPr>
            <w:r w:rsidRPr="00000900">
              <w:rPr>
                <w:rFonts w:ascii="Arial" w:eastAsia="Times" w:hAnsi="Arial" w:cs="Arial"/>
                <w:b/>
                <w:sz w:val="20"/>
                <w:szCs w:val="20"/>
              </w:rPr>
              <w:lastRenderedPageBreak/>
              <w:t>ANOVA</w:t>
            </w:r>
            <w:r w:rsidRPr="00000900">
              <w:rPr>
                <w:rFonts w:ascii="Arial" w:eastAsia="Times" w:hAnsi="Arial" w:cs="Arial"/>
                <w:b/>
                <w:sz w:val="20"/>
                <w:szCs w:val="20"/>
                <w:vertAlign w:val="superscript"/>
              </w:rPr>
              <w:t>a</w:t>
            </w:r>
          </w:p>
        </w:tc>
      </w:tr>
      <w:tr w:rsidR="001A5F98" w:rsidRPr="00000900" w:rsidTr="00EC51A9">
        <w:trPr>
          <w:trHeight w:val="122"/>
        </w:trPr>
        <w:tc>
          <w:tcPr>
            <w:tcW w:w="1506" w:type="pct"/>
            <w:gridSpan w:val="2"/>
          </w:tcPr>
          <w:p w:rsidR="001A5F98" w:rsidRPr="00000900" w:rsidRDefault="001A5F98" w:rsidP="004C40DA">
            <w:pPr>
              <w:widowControl w:val="0"/>
              <w:spacing w:line="360" w:lineRule="auto"/>
              <w:ind w:left="60" w:right="60"/>
              <w:jc w:val="both"/>
              <w:rPr>
                <w:rFonts w:ascii="Arial" w:eastAsia="Times" w:hAnsi="Arial" w:cs="Arial"/>
                <w:sz w:val="20"/>
                <w:szCs w:val="20"/>
              </w:rPr>
            </w:pPr>
            <w:r w:rsidRPr="00000900">
              <w:rPr>
                <w:rFonts w:ascii="Arial" w:eastAsia="Times" w:hAnsi="Arial" w:cs="Arial"/>
                <w:sz w:val="20"/>
                <w:szCs w:val="20"/>
              </w:rPr>
              <w:t>Model</w:t>
            </w:r>
          </w:p>
        </w:tc>
        <w:tc>
          <w:tcPr>
            <w:tcW w:w="1190" w:type="pct"/>
          </w:tcPr>
          <w:p w:rsidR="001A5F98" w:rsidRPr="00000900" w:rsidRDefault="001A5F98" w:rsidP="004C40DA">
            <w:pPr>
              <w:widowControl w:val="0"/>
              <w:spacing w:line="360" w:lineRule="auto"/>
              <w:ind w:left="60" w:right="60"/>
              <w:jc w:val="both"/>
              <w:rPr>
                <w:rFonts w:ascii="Arial" w:eastAsia="Times" w:hAnsi="Arial" w:cs="Arial"/>
                <w:sz w:val="20"/>
                <w:szCs w:val="20"/>
              </w:rPr>
            </w:pPr>
            <w:r w:rsidRPr="00000900">
              <w:rPr>
                <w:rFonts w:ascii="Arial" w:eastAsia="Times" w:hAnsi="Arial" w:cs="Arial"/>
                <w:sz w:val="20"/>
                <w:szCs w:val="20"/>
              </w:rPr>
              <w:t>Sum of Squares</w:t>
            </w:r>
          </w:p>
        </w:tc>
        <w:tc>
          <w:tcPr>
            <w:tcW w:w="396" w:type="pct"/>
          </w:tcPr>
          <w:p w:rsidR="001A5F98" w:rsidRPr="00000900" w:rsidRDefault="001A5F98" w:rsidP="004C40DA">
            <w:pPr>
              <w:widowControl w:val="0"/>
              <w:spacing w:line="360" w:lineRule="auto"/>
              <w:ind w:left="60" w:right="60"/>
              <w:jc w:val="both"/>
              <w:rPr>
                <w:rFonts w:ascii="Arial" w:eastAsia="Times" w:hAnsi="Arial" w:cs="Arial"/>
                <w:sz w:val="20"/>
                <w:szCs w:val="20"/>
              </w:rPr>
            </w:pPr>
            <w:r w:rsidRPr="00000900">
              <w:rPr>
                <w:rFonts w:ascii="Arial" w:eastAsia="Times" w:hAnsi="Arial" w:cs="Arial"/>
                <w:sz w:val="20"/>
                <w:szCs w:val="20"/>
              </w:rPr>
              <w:t>df</w:t>
            </w:r>
          </w:p>
        </w:tc>
        <w:tc>
          <w:tcPr>
            <w:tcW w:w="953" w:type="pct"/>
          </w:tcPr>
          <w:p w:rsidR="001A5F98" w:rsidRPr="00000900" w:rsidRDefault="001A5F98" w:rsidP="004C40DA">
            <w:pPr>
              <w:widowControl w:val="0"/>
              <w:spacing w:line="360" w:lineRule="auto"/>
              <w:ind w:left="60" w:right="60"/>
              <w:jc w:val="both"/>
              <w:rPr>
                <w:rFonts w:ascii="Arial" w:eastAsia="Times" w:hAnsi="Arial" w:cs="Arial"/>
                <w:sz w:val="20"/>
                <w:szCs w:val="20"/>
              </w:rPr>
            </w:pPr>
            <w:r w:rsidRPr="00000900">
              <w:rPr>
                <w:rFonts w:ascii="Arial" w:eastAsia="Times" w:hAnsi="Arial" w:cs="Arial"/>
                <w:sz w:val="20"/>
                <w:szCs w:val="20"/>
              </w:rPr>
              <w:t>Mean Square</w:t>
            </w:r>
          </w:p>
        </w:tc>
        <w:tc>
          <w:tcPr>
            <w:tcW w:w="476" w:type="pct"/>
          </w:tcPr>
          <w:p w:rsidR="001A5F98" w:rsidRPr="00000900" w:rsidRDefault="001A5F98" w:rsidP="004C40DA">
            <w:pPr>
              <w:widowControl w:val="0"/>
              <w:spacing w:line="360" w:lineRule="auto"/>
              <w:ind w:left="60" w:right="60"/>
              <w:jc w:val="both"/>
              <w:rPr>
                <w:rFonts w:ascii="Arial" w:eastAsia="Times" w:hAnsi="Arial" w:cs="Arial"/>
                <w:sz w:val="20"/>
                <w:szCs w:val="20"/>
              </w:rPr>
            </w:pPr>
            <w:r w:rsidRPr="00000900">
              <w:rPr>
                <w:rFonts w:ascii="Arial" w:eastAsia="Times" w:hAnsi="Arial" w:cs="Arial"/>
                <w:sz w:val="20"/>
                <w:szCs w:val="20"/>
              </w:rPr>
              <w:t>F</w:t>
            </w:r>
          </w:p>
        </w:tc>
        <w:tc>
          <w:tcPr>
            <w:tcW w:w="479" w:type="pct"/>
          </w:tcPr>
          <w:p w:rsidR="001A5F98" w:rsidRPr="00000900" w:rsidRDefault="001A5F98" w:rsidP="004C40DA">
            <w:pPr>
              <w:widowControl w:val="0"/>
              <w:spacing w:line="360" w:lineRule="auto"/>
              <w:ind w:left="60" w:right="60"/>
              <w:jc w:val="both"/>
              <w:rPr>
                <w:rFonts w:ascii="Arial" w:eastAsia="Times" w:hAnsi="Arial" w:cs="Arial"/>
                <w:sz w:val="20"/>
                <w:szCs w:val="20"/>
              </w:rPr>
            </w:pPr>
            <w:r w:rsidRPr="00000900">
              <w:rPr>
                <w:rFonts w:ascii="Arial" w:eastAsia="Times" w:hAnsi="Arial" w:cs="Arial"/>
                <w:sz w:val="20"/>
                <w:szCs w:val="20"/>
              </w:rPr>
              <w:t>Sig.</w:t>
            </w:r>
          </w:p>
        </w:tc>
      </w:tr>
      <w:tr w:rsidR="001A5F98" w:rsidRPr="00000900" w:rsidTr="00EC51A9">
        <w:trPr>
          <w:trHeight w:val="122"/>
        </w:trPr>
        <w:tc>
          <w:tcPr>
            <w:tcW w:w="415" w:type="pct"/>
            <w:vMerge w:val="restart"/>
          </w:tcPr>
          <w:p w:rsidR="001A5F98" w:rsidRPr="00000900" w:rsidRDefault="001A5F98" w:rsidP="004C40DA">
            <w:pPr>
              <w:widowControl w:val="0"/>
              <w:spacing w:line="360" w:lineRule="auto"/>
              <w:ind w:left="60" w:right="60"/>
              <w:jc w:val="both"/>
              <w:rPr>
                <w:rFonts w:ascii="Arial" w:eastAsia="Times" w:hAnsi="Arial" w:cs="Arial"/>
                <w:sz w:val="20"/>
                <w:szCs w:val="20"/>
              </w:rPr>
            </w:pPr>
            <w:r w:rsidRPr="00000900">
              <w:rPr>
                <w:rFonts w:ascii="Arial" w:eastAsia="Times" w:hAnsi="Arial" w:cs="Arial"/>
                <w:sz w:val="20"/>
                <w:szCs w:val="20"/>
              </w:rPr>
              <w:t>1</w:t>
            </w:r>
          </w:p>
        </w:tc>
        <w:tc>
          <w:tcPr>
            <w:tcW w:w="1091" w:type="pct"/>
          </w:tcPr>
          <w:p w:rsidR="001A5F98" w:rsidRPr="00000900" w:rsidRDefault="001A5F98" w:rsidP="004C40DA">
            <w:pPr>
              <w:widowControl w:val="0"/>
              <w:spacing w:line="360" w:lineRule="auto"/>
              <w:ind w:left="60" w:right="60"/>
              <w:jc w:val="both"/>
              <w:rPr>
                <w:rFonts w:ascii="Arial" w:eastAsia="Times" w:hAnsi="Arial" w:cs="Arial"/>
                <w:sz w:val="20"/>
                <w:szCs w:val="20"/>
              </w:rPr>
            </w:pPr>
            <w:r w:rsidRPr="00000900">
              <w:rPr>
                <w:rFonts w:ascii="Arial" w:eastAsia="Times" w:hAnsi="Arial" w:cs="Arial"/>
                <w:sz w:val="20"/>
                <w:szCs w:val="20"/>
              </w:rPr>
              <w:t>Regression</w:t>
            </w:r>
          </w:p>
        </w:tc>
        <w:tc>
          <w:tcPr>
            <w:tcW w:w="1190" w:type="pct"/>
          </w:tcPr>
          <w:p w:rsidR="001A5F98" w:rsidRPr="00000900" w:rsidRDefault="001A5F98" w:rsidP="004C40DA">
            <w:pPr>
              <w:widowControl w:val="0"/>
              <w:spacing w:line="360" w:lineRule="auto"/>
              <w:ind w:left="60" w:right="60"/>
              <w:jc w:val="both"/>
              <w:rPr>
                <w:rFonts w:ascii="Arial" w:eastAsia="Times" w:hAnsi="Arial" w:cs="Arial"/>
                <w:sz w:val="20"/>
                <w:szCs w:val="20"/>
              </w:rPr>
            </w:pPr>
            <w:r w:rsidRPr="00000900">
              <w:rPr>
                <w:rFonts w:ascii="Arial" w:eastAsia="Times" w:hAnsi="Arial" w:cs="Arial"/>
                <w:sz w:val="20"/>
                <w:szCs w:val="20"/>
              </w:rPr>
              <w:t>418902.243</w:t>
            </w:r>
          </w:p>
        </w:tc>
        <w:tc>
          <w:tcPr>
            <w:tcW w:w="396" w:type="pct"/>
          </w:tcPr>
          <w:p w:rsidR="001A5F98" w:rsidRPr="00000900" w:rsidRDefault="001A5F98" w:rsidP="004C40DA">
            <w:pPr>
              <w:widowControl w:val="0"/>
              <w:spacing w:line="360" w:lineRule="auto"/>
              <w:ind w:left="60" w:right="60"/>
              <w:jc w:val="both"/>
              <w:rPr>
                <w:rFonts w:ascii="Arial" w:eastAsia="Times" w:hAnsi="Arial" w:cs="Arial"/>
                <w:sz w:val="20"/>
                <w:szCs w:val="20"/>
              </w:rPr>
            </w:pPr>
            <w:r w:rsidRPr="00000900">
              <w:rPr>
                <w:rFonts w:ascii="Arial" w:eastAsia="Times" w:hAnsi="Arial" w:cs="Arial"/>
                <w:sz w:val="20"/>
                <w:szCs w:val="20"/>
              </w:rPr>
              <w:t>3</w:t>
            </w:r>
          </w:p>
        </w:tc>
        <w:tc>
          <w:tcPr>
            <w:tcW w:w="953" w:type="pct"/>
          </w:tcPr>
          <w:p w:rsidR="001A5F98" w:rsidRPr="00000900" w:rsidRDefault="001A5F98" w:rsidP="004C40DA">
            <w:pPr>
              <w:widowControl w:val="0"/>
              <w:spacing w:line="360" w:lineRule="auto"/>
              <w:ind w:left="60" w:right="60"/>
              <w:jc w:val="both"/>
              <w:rPr>
                <w:rFonts w:ascii="Arial" w:eastAsia="Times" w:hAnsi="Arial" w:cs="Arial"/>
                <w:sz w:val="20"/>
                <w:szCs w:val="20"/>
              </w:rPr>
            </w:pPr>
            <w:r w:rsidRPr="00000900">
              <w:rPr>
                <w:rFonts w:ascii="Arial" w:eastAsia="Times" w:hAnsi="Arial" w:cs="Arial"/>
                <w:sz w:val="20"/>
                <w:szCs w:val="20"/>
              </w:rPr>
              <w:t>139634.081</w:t>
            </w:r>
          </w:p>
        </w:tc>
        <w:tc>
          <w:tcPr>
            <w:tcW w:w="476" w:type="pct"/>
          </w:tcPr>
          <w:p w:rsidR="001A5F98" w:rsidRPr="00000900" w:rsidRDefault="001A5F98" w:rsidP="004C40DA">
            <w:pPr>
              <w:widowControl w:val="0"/>
              <w:spacing w:line="360" w:lineRule="auto"/>
              <w:ind w:left="60" w:right="60"/>
              <w:jc w:val="both"/>
              <w:rPr>
                <w:rFonts w:ascii="Arial" w:eastAsia="Times" w:hAnsi="Arial" w:cs="Arial"/>
                <w:sz w:val="20"/>
                <w:szCs w:val="20"/>
              </w:rPr>
            </w:pPr>
            <w:r w:rsidRPr="00000900">
              <w:rPr>
                <w:rFonts w:ascii="Arial" w:eastAsia="Times" w:hAnsi="Arial" w:cs="Arial"/>
                <w:sz w:val="20"/>
                <w:szCs w:val="20"/>
              </w:rPr>
              <w:t>.333</w:t>
            </w:r>
          </w:p>
        </w:tc>
        <w:tc>
          <w:tcPr>
            <w:tcW w:w="479" w:type="pct"/>
          </w:tcPr>
          <w:p w:rsidR="001A5F98" w:rsidRPr="00000900" w:rsidRDefault="001A5F98" w:rsidP="004C40DA">
            <w:pPr>
              <w:widowControl w:val="0"/>
              <w:spacing w:line="360" w:lineRule="auto"/>
              <w:ind w:left="60" w:right="60"/>
              <w:jc w:val="both"/>
              <w:rPr>
                <w:rFonts w:ascii="Arial" w:eastAsia="Times" w:hAnsi="Arial" w:cs="Arial"/>
                <w:sz w:val="20"/>
                <w:szCs w:val="20"/>
              </w:rPr>
            </w:pPr>
            <w:r w:rsidRPr="00000900">
              <w:rPr>
                <w:rFonts w:ascii="Arial" w:eastAsia="Times" w:hAnsi="Arial" w:cs="Arial"/>
                <w:sz w:val="20"/>
                <w:szCs w:val="20"/>
              </w:rPr>
              <w:t>.801</w:t>
            </w:r>
            <w:r w:rsidRPr="00000900">
              <w:rPr>
                <w:rFonts w:ascii="Arial" w:eastAsia="Times" w:hAnsi="Arial" w:cs="Arial"/>
                <w:sz w:val="20"/>
                <w:szCs w:val="20"/>
                <w:vertAlign w:val="superscript"/>
              </w:rPr>
              <w:t>b</w:t>
            </w:r>
          </w:p>
        </w:tc>
      </w:tr>
      <w:tr w:rsidR="001A5F98" w:rsidRPr="00000900" w:rsidTr="00EC51A9">
        <w:trPr>
          <w:trHeight w:val="122"/>
        </w:trPr>
        <w:tc>
          <w:tcPr>
            <w:tcW w:w="415" w:type="pct"/>
            <w:vMerge/>
          </w:tcPr>
          <w:p w:rsidR="001A5F98" w:rsidRPr="00000900" w:rsidRDefault="001A5F98" w:rsidP="004C40DA">
            <w:pPr>
              <w:widowControl w:val="0"/>
              <w:jc w:val="both"/>
              <w:rPr>
                <w:rFonts w:ascii="Arial" w:eastAsia="Times" w:hAnsi="Arial" w:cs="Arial"/>
                <w:sz w:val="20"/>
                <w:szCs w:val="20"/>
              </w:rPr>
            </w:pPr>
          </w:p>
        </w:tc>
        <w:tc>
          <w:tcPr>
            <w:tcW w:w="1091" w:type="pct"/>
          </w:tcPr>
          <w:p w:rsidR="001A5F98" w:rsidRPr="00000900" w:rsidRDefault="001A5F98" w:rsidP="004C40DA">
            <w:pPr>
              <w:widowControl w:val="0"/>
              <w:spacing w:line="360" w:lineRule="auto"/>
              <w:ind w:left="60" w:right="60"/>
              <w:jc w:val="both"/>
              <w:rPr>
                <w:rFonts w:ascii="Arial" w:eastAsia="Times" w:hAnsi="Arial" w:cs="Arial"/>
                <w:sz w:val="20"/>
                <w:szCs w:val="20"/>
              </w:rPr>
            </w:pPr>
            <w:r w:rsidRPr="00000900">
              <w:rPr>
                <w:rFonts w:ascii="Arial" w:eastAsia="Times" w:hAnsi="Arial" w:cs="Arial"/>
                <w:sz w:val="20"/>
                <w:szCs w:val="20"/>
              </w:rPr>
              <w:t>Residual</w:t>
            </w:r>
          </w:p>
        </w:tc>
        <w:tc>
          <w:tcPr>
            <w:tcW w:w="1190" w:type="pct"/>
          </w:tcPr>
          <w:p w:rsidR="001A5F98" w:rsidRPr="00000900" w:rsidRDefault="001A5F98" w:rsidP="004C40DA">
            <w:pPr>
              <w:widowControl w:val="0"/>
              <w:spacing w:line="360" w:lineRule="auto"/>
              <w:ind w:left="60" w:right="60"/>
              <w:jc w:val="both"/>
              <w:rPr>
                <w:rFonts w:ascii="Arial" w:eastAsia="Times" w:hAnsi="Arial" w:cs="Arial"/>
                <w:sz w:val="20"/>
                <w:szCs w:val="20"/>
              </w:rPr>
            </w:pPr>
            <w:r w:rsidRPr="00000900">
              <w:rPr>
                <w:rFonts w:ascii="Arial" w:eastAsia="Times" w:hAnsi="Arial" w:cs="Arial"/>
                <w:sz w:val="20"/>
                <w:szCs w:val="20"/>
              </w:rPr>
              <w:t>8375996.063</w:t>
            </w:r>
          </w:p>
        </w:tc>
        <w:tc>
          <w:tcPr>
            <w:tcW w:w="396" w:type="pct"/>
          </w:tcPr>
          <w:p w:rsidR="001A5F98" w:rsidRPr="00000900" w:rsidRDefault="001A5F98" w:rsidP="004C40DA">
            <w:pPr>
              <w:widowControl w:val="0"/>
              <w:spacing w:line="360" w:lineRule="auto"/>
              <w:ind w:left="60" w:right="60"/>
              <w:jc w:val="both"/>
              <w:rPr>
                <w:rFonts w:ascii="Arial" w:eastAsia="Times" w:hAnsi="Arial" w:cs="Arial"/>
                <w:sz w:val="20"/>
                <w:szCs w:val="20"/>
              </w:rPr>
            </w:pPr>
            <w:r w:rsidRPr="00000900">
              <w:rPr>
                <w:rFonts w:ascii="Arial" w:eastAsia="Times" w:hAnsi="Arial" w:cs="Arial"/>
                <w:sz w:val="20"/>
                <w:szCs w:val="20"/>
              </w:rPr>
              <w:t>20</w:t>
            </w:r>
          </w:p>
        </w:tc>
        <w:tc>
          <w:tcPr>
            <w:tcW w:w="953" w:type="pct"/>
          </w:tcPr>
          <w:p w:rsidR="001A5F98" w:rsidRPr="00000900" w:rsidRDefault="001A5F98" w:rsidP="004C40DA">
            <w:pPr>
              <w:widowControl w:val="0"/>
              <w:spacing w:line="360" w:lineRule="auto"/>
              <w:ind w:left="60" w:right="60"/>
              <w:jc w:val="both"/>
              <w:rPr>
                <w:rFonts w:ascii="Arial" w:eastAsia="Times" w:hAnsi="Arial" w:cs="Arial"/>
                <w:sz w:val="20"/>
                <w:szCs w:val="20"/>
              </w:rPr>
            </w:pPr>
            <w:r w:rsidRPr="00000900">
              <w:rPr>
                <w:rFonts w:ascii="Arial" w:eastAsia="Times" w:hAnsi="Arial" w:cs="Arial"/>
                <w:sz w:val="20"/>
                <w:szCs w:val="20"/>
              </w:rPr>
              <w:t>418799.803</w:t>
            </w:r>
          </w:p>
        </w:tc>
        <w:tc>
          <w:tcPr>
            <w:tcW w:w="476" w:type="pct"/>
          </w:tcPr>
          <w:p w:rsidR="001A5F98" w:rsidRPr="00000900" w:rsidRDefault="001A5F98" w:rsidP="004C40DA">
            <w:pPr>
              <w:widowControl w:val="0"/>
              <w:spacing w:line="360" w:lineRule="auto"/>
              <w:jc w:val="both"/>
              <w:rPr>
                <w:rFonts w:ascii="Arial" w:eastAsia="Times" w:hAnsi="Arial" w:cs="Arial"/>
                <w:sz w:val="20"/>
                <w:szCs w:val="20"/>
              </w:rPr>
            </w:pPr>
          </w:p>
        </w:tc>
        <w:tc>
          <w:tcPr>
            <w:tcW w:w="479" w:type="pct"/>
          </w:tcPr>
          <w:p w:rsidR="001A5F98" w:rsidRPr="00000900" w:rsidRDefault="001A5F98" w:rsidP="004C40DA">
            <w:pPr>
              <w:widowControl w:val="0"/>
              <w:spacing w:line="360" w:lineRule="auto"/>
              <w:jc w:val="both"/>
              <w:rPr>
                <w:rFonts w:ascii="Arial" w:eastAsia="Times" w:hAnsi="Arial" w:cs="Arial"/>
                <w:sz w:val="20"/>
                <w:szCs w:val="20"/>
              </w:rPr>
            </w:pPr>
          </w:p>
        </w:tc>
      </w:tr>
      <w:tr w:rsidR="001A5F98" w:rsidRPr="00000900" w:rsidTr="00EC51A9">
        <w:trPr>
          <w:trHeight w:val="122"/>
        </w:trPr>
        <w:tc>
          <w:tcPr>
            <w:tcW w:w="415" w:type="pct"/>
            <w:vMerge/>
          </w:tcPr>
          <w:p w:rsidR="001A5F98" w:rsidRPr="00000900" w:rsidRDefault="001A5F98" w:rsidP="004C40DA">
            <w:pPr>
              <w:widowControl w:val="0"/>
              <w:jc w:val="both"/>
              <w:rPr>
                <w:rFonts w:ascii="Arial" w:eastAsia="Times" w:hAnsi="Arial" w:cs="Arial"/>
                <w:sz w:val="20"/>
                <w:szCs w:val="20"/>
              </w:rPr>
            </w:pPr>
          </w:p>
        </w:tc>
        <w:tc>
          <w:tcPr>
            <w:tcW w:w="1091" w:type="pct"/>
          </w:tcPr>
          <w:p w:rsidR="001A5F98" w:rsidRPr="00000900" w:rsidRDefault="001A5F98" w:rsidP="004C40DA">
            <w:pPr>
              <w:widowControl w:val="0"/>
              <w:spacing w:line="360" w:lineRule="auto"/>
              <w:ind w:left="60" w:right="60"/>
              <w:jc w:val="both"/>
              <w:rPr>
                <w:rFonts w:ascii="Arial" w:eastAsia="Times" w:hAnsi="Arial" w:cs="Arial"/>
                <w:sz w:val="20"/>
                <w:szCs w:val="20"/>
              </w:rPr>
            </w:pPr>
          </w:p>
        </w:tc>
        <w:tc>
          <w:tcPr>
            <w:tcW w:w="1190" w:type="pct"/>
          </w:tcPr>
          <w:p w:rsidR="001A5F98" w:rsidRPr="00000900" w:rsidRDefault="001A5F98" w:rsidP="004C40DA">
            <w:pPr>
              <w:widowControl w:val="0"/>
              <w:spacing w:line="360" w:lineRule="auto"/>
              <w:ind w:left="60" w:right="60"/>
              <w:jc w:val="both"/>
              <w:rPr>
                <w:rFonts w:ascii="Arial" w:eastAsia="Times" w:hAnsi="Arial" w:cs="Arial"/>
                <w:sz w:val="20"/>
                <w:szCs w:val="20"/>
              </w:rPr>
            </w:pPr>
          </w:p>
        </w:tc>
        <w:tc>
          <w:tcPr>
            <w:tcW w:w="396" w:type="pct"/>
          </w:tcPr>
          <w:p w:rsidR="001A5F98" w:rsidRPr="00000900" w:rsidRDefault="001A5F98" w:rsidP="004C40DA">
            <w:pPr>
              <w:widowControl w:val="0"/>
              <w:spacing w:line="360" w:lineRule="auto"/>
              <w:ind w:left="60" w:right="60"/>
              <w:jc w:val="both"/>
              <w:rPr>
                <w:rFonts w:ascii="Arial" w:eastAsia="Times" w:hAnsi="Arial" w:cs="Arial"/>
                <w:sz w:val="20"/>
                <w:szCs w:val="20"/>
              </w:rPr>
            </w:pPr>
          </w:p>
        </w:tc>
        <w:tc>
          <w:tcPr>
            <w:tcW w:w="953" w:type="pct"/>
          </w:tcPr>
          <w:p w:rsidR="001A5F98" w:rsidRPr="00000900" w:rsidRDefault="001A5F98" w:rsidP="004C40DA">
            <w:pPr>
              <w:widowControl w:val="0"/>
              <w:spacing w:line="360" w:lineRule="auto"/>
              <w:ind w:left="60" w:right="60"/>
              <w:jc w:val="both"/>
              <w:rPr>
                <w:rFonts w:ascii="Arial" w:eastAsia="Times" w:hAnsi="Arial" w:cs="Arial"/>
                <w:sz w:val="20"/>
                <w:szCs w:val="20"/>
              </w:rPr>
            </w:pPr>
          </w:p>
        </w:tc>
        <w:tc>
          <w:tcPr>
            <w:tcW w:w="476" w:type="pct"/>
          </w:tcPr>
          <w:p w:rsidR="001A5F98" w:rsidRPr="00000900" w:rsidRDefault="001A5F98" w:rsidP="004C40DA">
            <w:pPr>
              <w:widowControl w:val="0"/>
              <w:spacing w:line="360" w:lineRule="auto"/>
              <w:jc w:val="both"/>
              <w:rPr>
                <w:rFonts w:ascii="Arial" w:eastAsia="Times" w:hAnsi="Arial" w:cs="Arial"/>
                <w:sz w:val="20"/>
                <w:szCs w:val="20"/>
              </w:rPr>
            </w:pPr>
          </w:p>
        </w:tc>
        <w:tc>
          <w:tcPr>
            <w:tcW w:w="479" w:type="pct"/>
          </w:tcPr>
          <w:p w:rsidR="001A5F98" w:rsidRPr="00000900" w:rsidRDefault="001A5F98" w:rsidP="004C40DA">
            <w:pPr>
              <w:widowControl w:val="0"/>
              <w:spacing w:line="360" w:lineRule="auto"/>
              <w:jc w:val="both"/>
              <w:rPr>
                <w:rFonts w:ascii="Arial" w:eastAsia="Times" w:hAnsi="Arial" w:cs="Arial"/>
                <w:sz w:val="20"/>
                <w:szCs w:val="20"/>
              </w:rPr>
            </w:pPr>
          </w:p>
        </w:tc>
      </w:tr>
      <w:tr w:rsidR="001A5F98" w:rsidRPr="00000900" w:rsidTr="00EC51A9">
        <w:trPr>
          <w:trHeight w:val="122"/>
        </w:trPr>
        <w:tc>
          <w:tcPr>
            <w:tcW w:w="415" w:type="pct"/>
            <w:vMerge/>
          </w:tcPr>
          <w:p w:rsidR="001A5F98" w:rsidRPr="00000900" w:rsidRDefault="001A5F98" w:rsidP="004C40DA">
            <w:pPr>
              <w:widowControl w:val="0"/>
              <w:jc w:val="both"/>
              <w:rPr>
                <w:rFonts w:ascii="Arial" w:eastAsia="Times" w:hAnsi="Arial" w:cs="Arial"/>
                <w:sz w:val="20"/>
                <w:szCs w:val="20"/>
              </w:rPr>
            </w:pPr>
          </w:p>
        </w:tc>
        <w:tc>
          <w:tcPr>
            <w:tcW w:w="1091" w:type="pct"/>
          </w:tcPr>
          <w:p w:rsidR="001A5F98" w:rsidRPr="00000900" w:rsidRDefault="001A5F98" w:rsidP="004C40DA">
            <w:pPr>
              <w:widowControl w:val="0"/>
              <w:spacing w:line="360" w:lineRule="auto"/>
              <w:ind w:left="60" w:right="60"/>
              <w:jc w:val="both"/>
              <w:rPr>
                <w:rFonts w:ascii="Arial" w:eastAsia="Times" w:hAnsi="Arial" w:cs="Arial"/>
                <w:sz w:val="20"/>
                <w:szCs w:val="20"/>
              </w:rPr>
            </w:pPr>
            <w:r w:rsidRPr="00000900">
              <w:rPr>
                <w:rFonts w:ascii="Arial" w:eastAsia="Times" w:hAnsi="Arial" w:cs="Arial"/>
                <w:sz w:val="20"/>
                <w:szCs w:val="20"/>
              </w:rPr>
              <w:t>Total</w:t>
            </w:r>
          </w:p>
        </w:tc>
        <w:tc>
          <w:tcPr>
            <w:tcW w:w="1190" w:type="pct"/>
          </w:tcPr>
          <w:p w:rsidR="001A5F98" w:rsidRPr="00000900" w:rsidRDefault="001A5F98" w:rsidP="004C40DA">
            <w:pPr>
              <w:widowControl w:val="0"/>
              <w:spacing w:line="360" w:lineRule="auto"/>
              <w:ind w:left="60" w:right="60"/>
              <w:jc w:val="both"/>
              <w:rPr>
                <w:rFonts w:ascii="Arial" w:eastAsia="Times" w:hAnsi="Arial" w:cs="Arial"/>
                <w:sz w:val="20"/>
                <w:szCs w:val="20"/>
              </w:rPr>
            </w:pPr>
            <w:r w:rsidRPr="00000900">
              <w:rPr>
                <w:rFonts w:ascii="Arial" w:eastAsia="Times" w:hAnsi="Arial" w:cs="Arial"/>
                <w:sz w:val="20"/>
                <w:szCs w:val="20"/>
              </w:rPr>
              <w:t>8794898.305</w:t>
            </w:r>
          </w:p>
        </w:tc>
        <w:tc>
          <w:tcPr>
            <w:tcW w:w="396" w:type="pct"/>
          </w:tcPr>
          <w:p w:rsidR="001A5F98" w:rsidRPr="00000900" w:rsidRDefault="001A5F98" w:rsidP="004C40DA">
            <w:pPr>
              <w:widowControl w:val="0"/>
              <w:spacing w:line="360" w:lineRule="auto"/>
              <w:ind w:left="60" w:right="60"/>
              <w:jc w:val="both"/>
              <w:rPr>
                <w:rFonts w:ascii="Arial" w:eastAsia="Times" w:hAnsi="Arial" w:cs="Arial"/>
                <w:sz w:val="20"/>
                <w:szCs w:val="20"/>
              </w:rPr>
            </w:pPr>
            <w:r w:rsidRPr="00000900">
              <w:rPr>
                <w:rFonts w:ascii="Arial" w:eastAsia="Times" w:hAnsi="Arial" w:cs="Arial"/>
                <w:sz w:val="20"/>
                <w:szCs w:val="20"/>
              </w:rPr>
              <w:t>23</w:t>
            </w:r>
          </w:p>
        </w:tc>
        <w:tc>
          <w:tcPr>
            <w:tcW w:w="953" w:type="pct"/>
          </w:tcPr>
          <w:p w:rsidR="001A5F98" w:rsidRPr="00000900" w:rsidRDefault="001A5F98" w:rsidP="004C40DA">
            <w:pPr>
              <w:widowControl w:val="0"/>
              <w:spacing w:line="360" w:lineRule="auto"/>
              <w:jc w:val="both"/>
              <w:rPr>
                <w:rFonts w:ascii="Arial" w:eastAsia="Times" w:hAnsi="Arial" w:cs="Arial"/>
                <w:sz w:val="20"/>
                <w:szCs w:val="20"/>
              </w:rPr>
            </w:pPr>
          </w:p>
        </w:tc>
        <w:tc>
          <w:tcPr>
            <w:tcW w:w="476" w:type="pct"/>
          </w:tcPr>
          <w:p w:rsidR="001A5F98" w:rsidRPr="00000900" w:rsidRDefault="001A5F98" w:rsidP="004C40DA">
            <w:pPr>
              <w:widowControl w:val="0"/>
              <w:spacing w:line="360" w:lineRule="auto"/>
              <w:jc w:val="both"/>
              <w:rPr>
                <w:rFonts w:ascii="Arial" w:eastAsia="Times" w:hAnsi="Arial" w:cs="Arial"/>
                <w:sz w:val="20"/>
                <w:szCs w:val="20"/>
              </w:rPr>
            </w:pPr>
          </w:p>
        </w:tc>
        <w:tc>
          <w:tcPr>
            <w:tcW w:w="479" w:type="pct"/>
          </w:tcPr>
          <w:p w:rsidR="001A5F98" w:rsidRPr="00000900" w:rsidRDefault="001A5F98" w:rsidP="004C40DA">
            <w:pPr>
              <w:widowControl w:val="0"/>
              <w:spacing w:line="360" w:lineRule="auto"/>
              <w:jc w:val="both"/>
              <w:rPr>
                <w:rFonts w:ascii="Arial" w:eastAsia="Times" w:hAnsi="Arial" w:cs="Arial"/>
                <w:sz w:val="20"/>
                <w:szCs w:val="20"/>
              </w:rPr>
            </w:pPr>
          </w:p>
        </w:tc>
      </w:tr>
    </w:tbl>
    <w:p w:rsidR="001A5F98" w:rsidRPr="00000900" w:rsidRDefault="001A5F98" w:rsidP="001A5F98">
      <w:pPr>
        <w:pStyle w:val="NormalWeb"/>
        <w:jc w:val="both"/>
        <w:rPr>
          <w:rFonts w:ascii="Arial" w:hAnsi="Arial" w:cs="Arial"/>
          <w:sz w:val="20"/>
          <w:szCs w:val="20"/>
        </w:rPr>
      </w:pPr>
      <w:r w:rsidRPr="00000900">
        <w:rPr>
          <w:rFonts w:ascii="Arial" w:hAnsi="Arial" w:cs="Arial"/>
          <w:sz w:val="20"/>
          <w:szCs w:val="20"/>
        </w:rPr>
        <w:t>The F test results show an F value of 0.333 with a significance of 0.801 (&gt; 0.05). This indicates that the independent variables, namely ESG Score (X), Digital Transformation (Z), and Interaction (X*Z), do not have a significant effect on financial performance (ROA). Thus, the regression model constructed cannot explain the variation in company financial performance simultaneously. These findings show that the combination of ESG and digital transformation, either directly or through interaction, has not been able to make a real contribution to the company's profitability. The implication of these results is that financial performance is likely to be influenced more by factors outside the model, such as business strategy, market conditions, cost structure, and the dynamics of the energy industry under study.</w:t>
      </w:r>
    </w:p>
    <w:p w:rsidR="001A5F98" w:rsidRPr="00000900" w:rsidRDefault="001A5F98" w:rsidP="001A5F98">
      <w:pPr>
        <w:pStyle w:val="NormalWeb"/>
        <w:jc w:val="both"/>
        <w:rPr>
          <w:rFonts w:ascii="Arial" w:hAnsi="Arial" w:cs="Arial"/>
          <w:b/>
          <w:sz w:val="20"/>
          <w:szCs w:val="20"/>
        </w:rPr>
      </w:pPr>
      <w:r w:rsidRPr="00000900">
        <w:rPr>
          <w:rFonts w:ascii="Arial" w:hAnsi="Arial" w:cs="Arial"/>
          <w:sz w:val="20"/>
          <w:szCs w:val="20"/>
        </w:rPr>
        <w:t>The effect of ESG Score on company financial performance in this study is found to be statistically insignificant. This indicates that ESG practices in Indonesian energy firms are still largely compliance-driven, aimed at meeting regulatory requirements rather than serving as a strategic driver of profitability. This is consistent with the institutional context in Indonesia, where ESG disclosure policies are relatively recent and enforcement remains weak. Energy companies, being highly capital-intensive and dependent on government subsidies and commodity prices, tend to prioritize short-term operational survival over long-term ESG investment. Thus, while ESG can improve reputation and stakeholder legitimacy, its direct translation into financial performance remains limited in the Indonesian context. These results contrast with studies such as Nugroho&amp;Hersugondo (2022) and Linawati et al. (2024), which found positive effects of ESG disclosure on ROA. The inconsistency can be explained by contextual factors, including the regulatory environment, high capital intensity, and commodity dependence in the Indonesian energy sector.</w:t>
      </w:r>
    </w:p>
    <w:p w:rsidR="001A5F98" w:rsidRPr="00000900" w:rsidRDefault="001A5F98" w:rsidP="001A5F98">
      <w:pPr>
        <w:pStyle w:val="NormalWeb"/>
        <w:jc w:val="both"/>
        <w:rPr>
          <w:rFonts w:ascii="Arial" w:hAnsi="Arial" w:cs="Arial"/>
          <w:sz w:val="20"/>
          <w:szCs w:val="20"/>
        </w:rPr>
      </w:pPr>
      <w:r w:rsidRPr="00000900">
        <w:rPr>
          <w:rFonts w:ascii="Arial" w:hAnsi="Arial" w:cs="Arial"/>
          <w:sz w:val="20"/>
          <w:szCs w:val="20"/>
        </w:rPr>
        <w:t xml:space="preserve">The results of the first hypothesis test show that ESG Score does not have a significant effect on the financial performance of energy companies listed on the Indonesia Stock Exchange. Based on regression analysis, the ESG Score coefficient value obtained was 526.077 with a significance level of 0.810 (&gt; 0.05), thus rejecting the first hypothesis (H1). Although the direction of the relationship shows a positive coefficient, the effect is not statistically significant. This finding indicates that the implementation of Environmental, Social, and Governance (ESG) practices in energy companies in Indonesia still tends to be compliance-oriented or regulatory compliance, rather than a business strategy oriented towards long-term value creation. This condition is in line with the research by </w:t>
      </w:r>
      <w:r w:rsidR="008939FE" w:rsidRPr="00000900">
        <w:rPr>
          <w:rFonts w:ascii="Arial" w:hAnsi="Arial" w:cs="Arial"/>
          <w:sz w:val="20"/>
          <w:szCs w:val="20"/>
        </w:rPr>
        <w:fldChar w:fldCharType="begin" w:fldLock="1"/>
      </w:r>
      <w:r w:rsidR="00586FAA" w:rsidRPr="00000900">
        <w:rPr>
          <w:rFonts w:ascii="Arial" w:hAnsi="Arial" w:cs="Arial"/>
          <w:sz w:val="20"/>
          <w:szCs w:val="20"/>
        </w:rPr>
        <w:instrText>ADDIN CSL_CITATION {"citationItems":[{"id":"ITEM-1","itemData":{"PMID":"38252772","abstract":"BACKGROUND: Despite a relative reduction in the hospitalization rate for heart failure (HF), the actual number of HF hospitalizations remains &gt;1 million annually. More than 80% of patients who are hospitalized are initially seen in the emergency department (ED). Importantly, the ED is the safety net for acute HF (AHF) care. Thus, it is the primary provider for vulnerable patients, including those with low socioeconomic status, minority populations, and those with poor health literacy. Hospitalized patients with HF are among those most frequently readmitted within 30 days; they have up to a 25% risk of readmission within a month and a 50% risk within 6 months of discharge. Events in patients with AHF discharged from the ED are reportedly much higher, and an even greater disparity exists between vulnerable and nonvulnerable patients. Self-care education and other strategies could improve this disparity gap. We proposed studying the impact of a self-care intervention on patients with AHF discharged from the ED. OBJECTIVES: We determined the impact of our self-care intervention on our primary outcome, a composite global rank prioritizing outcomes in the following order: cardiovascular (CV) death, HF event (first ED/clinic revisit or hospital admission), and Kansas City Cardiomyopathy Questionnaire (KCCQ) score at 90 days. We (1) determined the overall impact of our strategy regardless of vulnerable characteristics, (2) explored individual characteristics of vulnerability associated with the highest (and lowest) improvements from our intervention, and (3) assessed the reduction in disparities in our primary outcome between those with and without characteristics of vulnerability. Secondary end points included our primary composite outcome at 30 days, patient satisfaction, HF knowledge, and HF health status based on the KCCQ at 30 and 90 days. METHODS: Patients with AHF who were discharged after a brief ED stay at 15 sites were screened to ensure that they fulfilled our broad inclusion and exclusion criteria: history of HF, not on an outpatient inotrope infusion, systolic blood pressure (BP) &gt;100 mm Hg, and no evidence of an acute coronary syndrome. They were randomly assigned 1:1 to structured usual ED discharge care vs a tailored intervention strategy that focused on self-care strategies over the subsequent 90 days. This intervention was conducted by study team coordinators, nurses, and paramedics trained under an identical protocol. We stratified by site an…","author":[{"dropping-particle":"","family":"Khairunnisa","given":"","non-dropping-particle":"","parse-names":false,"suffix":""},{"dropping-particle":"","family":"Pramitya","given":"Dian","non-dropping-particle":"","parse-names":false,"suffix":""},{"dropping-particle":"","family":"W","given":"E.","non-dropping-particle":"","parse-names":false,"suffix":""}],"container-title":"Jurnal Riset Akuntansi Aksioma","id":"ITEM-1","issue":"2","issued":{"date-parts":[["2023"]]},"page":"167-186","title":"Pengaruh Kinerja Esg Terhadap Kinerja Keuangan Perusahaan","type":"article-journal","volume":"22"},"uris":["http://www.mendeley.com/documents/?uuid=f705ebd0-0f01-457b-8d7a-1fca9e63eb8c","http://www.mendeley.com/documents/?uuid=3cbf4335-e10a-4d01-8657-c7b0be6804c9"]}],"mendeley":{"formattedCitation":"(Khairunnisa et al., 2023)","plainTextFormattedCitation":"(Khairunnisa et al., 2023)","previouslyFormattedCitation":"(Khairunnisa et al., 2023)"},"properties":{"noteIndex":0},"schema":"https://github.com/citation-style-language/schema/raw/master/csl-citation.json"}</w:instrText>
      </w:r>
      <w:r w:rsidR="008939FE" w:rsidRPr="00000900">
        <w:rPr>
          <w:rFonts w:ascii="Arial" w:hAnsi="Arial" w:cs="Arial"/>
          <w:sz w:val="20"/>
          <w:szCs w:val="20"/>
        </w:rPr>
        <w:fldChar w:fldCharType="separate"/>
      </w:r>
      <w:r w:rsidR="00626AAA" w:rsidRPr="00000900">
        <w:rPr>
          <w:rFonts w:ascii="Arial" w:hAnsi="Arial" w:cs="Arial"/>
          <w:noProof/>
          <w:sz w:val="20"/>
          <w:szCs w:val="20"/>
        </w:rPr>
        <w:t>(Khairunnisa et al., 2023)</w:t>
      </w:r>
      <w:r w:rsidR="008939FE" w:rsidRPr="00000900">
        <w:rPr>
          <w:rFonts w:ascii="Arial" w:hAnsi="Arial" w:cs="Arial"/>
          <w:sz w:val="20"/>
          <w:szCs w:val="20"/>
        </w:rPr>
        <w:fldChar w:fldCharType="end"/>
      </w:r>
      <w:r w:rsidRPr="00000900">
        <w:rPr>
          <w:rFonts w:ascii="Arial" w:hAnsi="Arial" w:cs="Arial"/>
          <w:sz w:val="20"/>
          <w:szCs w:val="20"/>
        </w:rPr>
        <w:t>and</w:t>
      </w:r>
      <w:r w:rsidR="008939FE" w:rsidRPr="00000900">
        <w:rPr>
          <w:rFonts w:ascii="Arial" w:hAnsi="Arial" w:cs="Arial"/>
          <w:sz w:val="20"/>
          <w:szCs w:val="20"/>
        </w:rPr>
        <w:fldChar w:fldCharType="begin" w:fldLock="1"/>
      </w:r>
      <w:r w:rsidR="00586FAA" w:rsidRPr="00000900">
        <w:rPr>
          <w:rFonts w:ascii="Arial" w:hAnsi="Arial" w:cs="Arial"/>
          <w:sz w:val="20"/>
          <w:szCs w:val="20"/>
        </w:rPr>
        <w:instrText>ADDIN CSL_CITATION {"citationItems":[{"id":"ITEM-1","itemData":{"author":[{"dropping-particle":"","family":"Era Vivianti Husada","given":"S. H","non-dropping-particle":"","parse-names":false,"suffix":""}],"container-title":"Jurnal Bina Akuntansi","id":"ITEM-1","issue":"2","issued":{"date-parts":[["2021"]]},"page":"122–144","title":"445668-None-45738a32","type":"article-journal","volume":"8"},"uris":["http://www.mendeley.com/documents/?uuid=c4b62bc2-f824-442c-8041-42eeb85bf19e","http://www.mendeley.com/documents/?uuid=fe109b91-698c-4d0b-88ee-c989e43ada00"]}],"mendeley":{"formattedCitation":"(Era Vivianti Husada, 2021a)","plainTextFormattedCitation":"(Era Vivianti Husada, 2021a)","previouslyFormattedCitation":"(Era Vivianti Husada, 2021a)"},"properties":{"noteIndex":0},"schema":"https://github.com/citation-style-language/schema/raw/master/csl-citation.json"}</w:instrText>
      </w:r>
      <w:r w:rsidR="008939FE" w:rsidRPr="00000900">
        <w:rPr>
          <w:rFonts w:ascii="Arial" w:hAnsi="Arial" w:cs="Arial"/>
          <w:sz w:val="20"/>
          <w:szCs w:val="20"/>
        </w:rPr>
        <w:fldChar w:fldCharType="separate"/>
      </w:r>
      <w:r w:rsidR="00586FAA" w:rsidRPr="00000900">
        <w:rPr>
          <w:rFonts w:ascii="Arial" w:hAnsi="Arial" w:cs="Arial"/>
          <w:noProof/>
          <w:sz w:val="20"/>
          <w:szCs w:val="20"/>
        </w:rPr>
        <w:t>(Era Vivianti Husada, 2021a)</w:t>
      </w:r>
      <w:r w:rsidR="008939FE" w:rsidRPr="00000900">
        <w:rPr>
          <w:rFonts w:ascii="Arial" w:hAnsi="Arial" w:cs="Arial"/>
          <w:sz w:val="20"/>
          <w:szCs w:val="20"/>
        </w:rPr>
        <w:fldChar w:fldCharType="end"/>
      </w:r>
      <w:r w:rsidRPr="00000900">
        <w:rPr>
          <w:rFonts w:ascii="Arial" w:hAnsi="Arial" w:cs="Arial"/>
          <w:sz w:val="20"/>
          <w:szCs w:val="20"/>
        </w:rPr>
        <w:t>, which found that in developing countries and industries with large cost structures such as the energy sector, ESG does not always have a significant relationship with short-term financial performance</w:t>
      </w:r>
      <w:r w:rsidR="0001496E" w:rsidRPr="00000900">
        <w:rPr>
          <w:rFonts w:ascii="Arial" w:hAnsi="Arial" w:cs="Arial"/>
          <w:sz w:val="20"/>
          <w:szCs w:val="20"/>
        </w:rPr>
        <w:t>.</w:t>
      </w:r>
    </w:p>
    <w:p w:rsidR="00334F45" w:rsidRPr="00000900" w:rsidRDefault="00334F45" w:rsidP="00334F45">
      <w:pPr>
        <w:pStyle w:val="NormalWeb"/>
        <w:jc w:val="both"/>
        <w:rPr>
          <w:rFonts w:ascii="Arial" w:hAnsi="Arial" w:cs="Arial"/>
          <w:bCs/>
          <w:sz w:val="20"/>
          <w:szCs w:val="20"/>
          <w:lang w:val="en-ID"/>
        </w:rPr>
      </w:pPr>
      <w:r w:rsidRPr="00000900">
        <w:rPr>
          <w:rFonts w:ascii="Arial" w:hAnsi="Arial" w:cs="Arial"/>
          <w:bCs/>
          <w:sz w:val="20"/>
          <w:szCs w:val="20"/>
          <w:lang w:val="en-ID"/>
        </w:rPr>
        <w:t xml:space="preserve">The findings reveal that neither </w:t>
      </w:r>
      <w:r w:rsidRPr="00000900">
        <w:rPr>
          <w:rFonts w:ascii="Arial" w:hAnsi="Arial" w:cs="Arial"/>
          <w:bCs/>
          <w:i/>
          <w:iCs/>
          <w:sz w:val="20"/>
          <w:szCs w:val="20"/>
          <w:lang w:val="en-ID"/>
        </w:rPr>
        <w:t>ESG Score</w:t>
      </w:r>
      <w:r w:rsidRPr="00000900">
        <w:rPr>
          <w:rFonts w:ascii="Arial" w:hAnsi="Arial" w:cs="Arial"/>
          <w:bCs/>
          <w:sz w:val="20"/>
          <w:szCs w:val="20"/>
          <w:lang w:val="en-ID"/>
        </w:rPr>
        <w:t xml:space="preserve"> nor </w:t>
      </w:r>
      <w:r w:rsidRPr="00000900">
        <w:rPr>
          <w:rFonts w:ascii="Arial" w:hAnsi="Arial" w:cs="Arial"/>
          <w:bCs/>
          <w:i/>
          <w:iCs/>
          <w:sz w:val="20"/>
          <w:szCs w:val="20"/>
          <w:lang w:val="en-ID"/>
        </w:rPr>
        <w:t>Digital Transformation</w:t>
      </w:r>
      <w:r w:rsidRPr="00000900">
        <w:rPr>
          <w:rFonts w:ascii="Arial" w:hAnsi="Arial" w:cs="Arial"/>
          <w:bCs/>
          <w:sz w:val="20"/>
          <w:szCs w:val="20"/>
          <w:lang w:val="en-ID"/>
        </w:rPr>
        <w:t xml:space="preserve"> significantly affects financial performance (ROA) of Indonesian energy firms. This suggests that ESG implementation in Indonesia remains largely </w:t>
      </w:r>
      <w:r w:rsidRPr="00000900">
        <w:rPr>
          <w:rFonts w:ascii="Arial" w:hAnsi="Arial" w:cs="Arial"/>
          <w:bCs/>
          <w:i/>
          <w:iCs/>
          <w:sz w:val="20"/>
          <w:szCs w:val="20"/>
          <w:lang w:val="en-ID"/>
        </w:rPr>
        <w:t>compliance-driven</w:t>
      </w:r>
      <w:r w:rsidRPr="00000900">
        <w:rPr>
          <w:rFonts w:ascii="Arial" w:hAnsi="Arial" w:cs="Arial"/>
          <w:bCs/>
          <w:sz w:val="20"/>
          <w:szCs w:val="20"/>
          <w:lang w:val="en-ID"/>
        </w:rPr>
        <w:t xml:space="preserve">, serving as a formal </w:t>
      </w:r>
      <w:r w:rsidRPr="00000900">
        <w:rPr>
          <w:rFonts w:ascii="Arial" w:hAnsi="Arial" w:cs="Arial"/>
          <w:bCs/>
          <w:sz w:val="20"/>
          <w:szCs w:val="20"/>
          <w:lang w:val="en-ID"/>
        </w:rPr>
        <w:lastRenderedPageBreak/>
        <w:t xml:space="preserve">regulatory requirement rather than a value-creating strategy. From the perspective of </w:t>
      </w:r>
      <w:r w:rsidRPr="00000900">
        <w:rPr>
          <w:rFonts w:ascii="Arial" w:hAnsi="Arial" w:cs="Arial"/>
          <w:bCs/>
          <w:i/>
          <w:iCs/>
          <w:sz w:val="20"/>
          <w:szCs w:val="20"/>
          <w:lang w:val="en-ID"/>
        </w:rPr>
        <w:t>Stakeholder Theory</w:t>
      </w:r>
      <w:r w:rsidRPr="00000900">
        <w:rPr>
          <w:rFonts w:ascii="Arial" w:hAnsi="Arial" w:cs="Arial"/>
          <w:bCs/>
          <w:sz w:val="20"/>
          <w:szCs w:val="20"/>
          <w:lang w:val="en-ID"/>
        </w:rPr>
        <w:t xml:space="preserve">, ESG functions more as symbolic legitimacy to satisfy external demands. Meanwhile, under the </w:t>
      </w:r>
      <w:r w:rsidRPr="00000900">
        <w:rPr>
          <w:rFonts w:ascii="Arial" w:hAnsi="Arial" w:cs="Arial"/>
          <w:bCs/>
          <w:i/>
          <w:iCs/>
          <w:sz w:val="20"/>
          <w:szCs w:val="20"/>
          <w:lang w:val="en-ID"/>
        </w:rPr>
        <w:t>Resource-Based View (RBV)</w:t>
      </w:r>
      <w:r w:rsidRPr="00000900">
        <w:rPr>
          <w:rFonts w:ascii="Arial" w:hAnsi="Arial" w:cs="Arial"/>
          <w:bCs/>
          <w:sz w:val="20"/>
          <w:szCs w:val="20"/>
          <w:lang w:val="en-ID"/>
        </w:rPr>
        <w:t>, ESG has not yet evolved into a unique strategic resource that provides sustainable competitive advantage.</w:t>
      </w:r>
    </w:p>
    <w:p w:rsidR="00334F45" w:rsidRPr="00000900" w:rsidRDefault="00334F45" w:rsidP="00334F45">
      <w:pPr>
        <w:pStyle w:val="NormalWeb"/>
        <w:jc w:val="both"/>
        <w:rPr>
          <w:rFonts w:ascii="Arial" w:hAnsi="Arial" w:cs="Arial"/>
          <w:bCs/>
          <w:sz w:val="20"/>
          <w:szCs w:val="20"/>
          <w:lang w:val="en-ID"/>
        </w:rPr>
      </w:pPr>
      <w:r w:rsidRPr="00000900">
        <w:rPr>
          <w:rFonts w:ascii="Arial" w:hAnsi="Arial" w:cs="Arial"/>
          <w:bCs/>
          <w:sz w:val="20"/>
          <w:szCs w:val="20"/>
          <w:lang w:val="en-ID"/>
        </w:rPr>
        <w:t>Similarly, digital transformation does not exhibit a significant impact on profitability. This is likely because digital initiatives in the energy sector are still at an early stage, focusing mainly on operational efficiency, automation, and compliance rather than strategic innovation. While RBV posits that digital technology can become a valuable, rare, and inimitable resource, current digitalization efforts in Indonesian energy companies have yet to achieve such characteristics.</w:t>
      </w:r>
    </w:p>
    <w:p w:rsidR="00334F45" w:rsidRPr="00EC51A9" w:rsidRDefault="00334F45" w:rsidP="001A5F98">
      <w:pPr>
        <w:pStyle w:val="NormalWeb"/>
        <w:jc w:val="both"/>
        <w:rPr>
          <w:rFonts w:ascii="Arial" w:hAnsi="Arial" w:cs="Arial"/>
          <w:bCs/>
          <w:sz w:val="20"/>
          <w:szCs w:val="20"/>
          <w:lang w:val="en-ID"/>
        </w:rPr>
      </w:pPr>
      <w:r w:rsidRPr="00000900">
        <w:rPr>
          <w:rFonts w:ascii="Arial" w:hAnsi="Arial" w:cs="Arial"/>
          <w:bCs/>
          <w:sz w:val="20"/>
          <w:szCs w:val="20"/>
          <w:lang w:val="en-ID"/>
        </w:rPr>
        <w:t>These results contrast with international studies that found positive impacts of ESG and digital transformation on firm performance (Yu, S., &amp; Li, Y, 2023. For instance, Wu &amp; Li (2023) showed that digital transformation enhances ESG performance through green innovation in Chinese firms (Yu, S., &amp; Li, Y, 2023). (while Bo &amp; Li, 2025) demonstrated that ESG strengthens the positive relationship between digital transformation and corporate performance. The divergence can be explained by contextual factors. First, ESG regulation in Indonesia is relatively new and weakly enforced, so firms have not integrated ESG into their core strategies. Second, the short observation period (2021–2023) limits the ability to capture long-term benefits of ESG and digitalization. Third, the energy sector is highly capital-intensive and commodity-dependent, making firms prioritize operational stability over long-term risky investments.</w:t>
      </w:r>
    </w:p>
    <w:p w:rsidR="001A5F98" w:rsidRPr="00000900" w:rsidRDefault="001A5F98" w:rsidP="001A5F98">
      <w:pPr>
        <w:pStyle w:val="NormalWeb"/>
        <w:jc w:val="both"/>
        <w:rPr>
          <w:rFonts w:ascii="Arial" w:hAnsi="Arial" w:cs="Arial"/>
          <w:b/>
          <w:sz w:val="20"/>
          <w:szCs w:val="20"/>
        </w:rPr>
      </w:pPr>
      <w:r w:rsidRPr="00000900">
        <w:rPr>
          <w:rFonts w:ascii="Arial" w:hAnsi="Arial" w:cs="Arial"/>
          <w:b/>
          <w:sz w:val="20"/>
          <w:szCs w:val="20"/>
        </w:rPr>
        <w:t>The Role of Digital Transformation on Financial Performance</w:t>
      </w:r>
    </w:p>
    <w:p w:rsidR="001A5F98" w:rsidRPr="00000900" w:rsidRDefault="001A5F98" w:rsidP="001A5F98">
      <w:pPr>
        <w:pStyle w:val="NormalWeb"/>
        <w:jc w:val="both"/>
        <w:rPr>
          <w:rFonts w:ascii="Arial" w:hAnsi="Arial" w:cs="Arial"/>
          <w:sz w:val="20"/>
          <w:szCs w:val="20"/>
        </w:rPr>
      </w:pPr>
      <w:r w:rsidRPr="00000900">
        <w:rPr>
          <w:rFonts w:ascii="Arial" w:hAnsi="Arial" w:cs="Arial"/>
          <w:sz w:val="20"/>
          <w:szCs w:val="20"/>
        </w:rPr>
        <w:t>The digital transformation variable, measured with a dummy proxy, also shows insignificant results on financial performance. This is likely because digital initiatives in the energy sector are still in early stages, focusing on internal efficiency, data management, and process automation. These investments often require long-term horizons before yielding measurable profitability gains. Consequently, in the short period of analysis (2021–2023), digital transformation appears to reduce costs and enhance efficiency without producing significant improvements in ROA. Previous studies (e.g., Pertiwi et al., 2024) reported that digitalization strengthens ESG’s effect on efficiency and profitability. The insignificant results here highlight that digital adoption in Indonesian energy companies is still in its early stages, focused more on compliance and operational upgrades rather than strategic transformation.</w:t>
      </w:r>
    </w:p>
    <w:p w:rsidR="001A5F98" w:rsidRPr="00540C5D" w:rsidRDefault="001A5F98" w:rsidP="001A5F98">
      <w:pPr>
        <w:spacing w:before="240"/>
        <w:jc w:val="both"/>
        <w:rPr>
          <w:rFonts w:ascii="Arial" w:hAnsi="Arial" w:cs="Arial"/>
          <w:b/>
        </w:rPr>
      </w:pPr>
      <w:r w:rsidRPr="00540C5D">
        <w:rPr>
          <w:rFonts w:ascii="Arial" w:hAnsi="Arial" w:cs="Arial"/>
          <w:b/>
        </w:rPr>
        <w:t>3.3 Multiple Linear Regression Analysis</w:t>
      </w:r>
    </w:p>
    <w:p w:rsidR="001A5F98" w:rsidRPr="00540C5D" w:rsidRDefault="001A5F98" w:rsidP="001A5F98">
      <w:pPr>
        <w:pStyle w:val="NormalWeb"/>
        <w:jc w:val="both"/>
        <w:rPr>
          <w:rFonts w:ascii="Arial" w:hAnsi="Arial" w:cs="Arial"/>
          <w:sz w:val="20"/>
          <w:szCs w:val="20"/>
        </w:rPr>
      </w:pPr>
      <w:r w:rsidRPr="00540C5D">
        <w:rPr>
          <w:rFonts w:ascii="Arial" w:hAnsi="Arial" w:cs="Arial"/>
          <w:sz w:val="20"/>
          <w:szCs w:val="20"/>
        </w:rPr>
        <w:t>The moderating effect of digital transformation on the relationship between ESG and financial performance was analyzed based on the following ESG Score categories:</w:t>
      </w:r>
    </w:p>
    <w:p w:rsidR="001A5F98" w:rsidRPr="00540C5D" w:rsidRDefault="001A5F98" w:rsidP="001A5F98">
      <w:pPr>
        <w:pStyle w:val="NormalWeb"/>
        <w:spacing w:after="120" w:afterAutospacing="0"/>
        <w:jc w:val="center"/>
        <w:rPr>
          <w:rFonts w:ascii="Arial" w:hAnsi="Arial" w:cs="Arial"/>
          <w:sz w:val="20"/>
          <w:szCs w:val="20"/>
        </w:rPr>
      </w:pPr>
      <w:r w:rsidRPr="00540C5D">
        <w:rPr>
          <w:rFonts w:ascii="Arial" w:hAnsi="Arial" w:cs="Arial"/>
          <w:b/>
          <w:sz w:val="20"/>
          <w:szCs w:val="20"/>
        </w:rPr>
        <w:t>Table 6.</w:t>
      </w:r>
      <w:r w:rsidRPr="00540C5D">
        <w:rPr>
          <w:rFonts w:ascii="Arial" w:hAnsi="Arial" w:cs="Arial"/>
          <w:sz w:val="20"/>
          <w:szCs w:val="20"/>
        </w:rPr>
        <w:t xml:space="preserve"> Descriptive Analysis Based on ESG Score</w:t>
      </w:r>
    </w:p>
    <w:tbl>
      <w:tblPr>
        <w:tblStyle w:val="TableGrid"/>
        <w:tblW w:w="0" w:type="auto"/>
        <w:tblInd w:w="108" w:type="dxa"/>
        <w:tblLook w:val="04A0"/>
      </w:tblPr>
      <w:tblGrid>
        <w:gridCol w:w="1433"/>
        <w:gridCol w:w="1774"/>
        <w:gridCol w:w="1527"/>
        <w:gridCol w:w="1542"/>
        <w:gridCol w:w="1575"/>
        <w:gridCol w:w="465"/>
      </w:tblGrid>
      <w:tr w:rsidR="001A5F98" w:rsidRPr="00540C5D" w:rsidTr="004C40DA">
        <w:trPr>
          <w:trHeight w:val="283"/>
        </w:trPr>
        <w:tc>
          <w:tcPr>
            <w:tcW w:w="1511" w:type="dxa"/>
          </w:tcPr>
          <w:p w:rsidR="001A5F98" w:rsidRPr="00540C5D" w:rsidRDefault="001A5F98" w:rsidP="004C40DA">
            <w:pPr>
              <w:jc w:val="both"/>
              <w:rPr>
                <w:rFonts w:ascii="Arial" w:hAnsi="Arial" w:cs="Arial"/>
                <w:b/>
                <w:bCs/>
                <w:sz w:val="20"/>
                <w:szCs w:val="20"/>
              </w:rPr>
            </w:pPr>
            <w:r w:rsidRPr="00540C5D">
              <w:rPr>
                <w:rFonts w:ascii="Arial" w:hAnsi="Arial" w:cs="Arial"/>
                <w:b/>
                <w:bCs/>
                <w:sz w:val="20"/>
                <w:szCs w:val="20"/>
              </w:rPr>
              <w:t>ESG Score</w:t>
            </w:r>
          </w:p>
        </w:tc>
        <w:tc>
          <w:tcPr>
            <w:tcW w:w="1940" w:type="dxa"/>
          </w:tcPr>
          <w:p w:rsidR="001A5F98" w:rsidRPr="00540C5D" w:rsidRDefault="001A5F98" w:rsidP="004C40DA">
            <w:pPr>
              <w:jc w:val="both"/>
              <w:rPr>
                <w:rFonts w:ascii="Arial" w:hAnsi="Arial" w:cs="Arial"/>
                <w:b/>
                <w:bCs/>
                <w:sz w:val="20"/>
                <w:szCs w:val="20"/>
              </w:rPr>
            </w:pPr>
            <w:r w:rsidRPr="00540C5D">
              <w:rPr>
                <w:rFonts w:ascii="Arial" w:hAnsi="Arial" w:cs="Arial"/>
                <w:b/>
                <w:bCs/>
                <w:sz w:val="20"/>
                <w:szCs w:val="20"/>
              </w:rPr>
              <w:t>Mean ROA (%)</w:t>
            </w:r>
          </w:p>
        </w:tc>
        <w:tc>
          <w:tcPr>
            <w:tcW w:w="1655" w:type="dxa"/>
          </w:tcPr>
          <w:p w:rsidR="001A5F98" w:rsidRPr="00540C5D" w:rsidRDefault="001A5F98" w:rsidP="004C40DA">
            <w:pPr>
              <w:jc w:val="both"/>
              <w:rPr>
                <w:rFonts w:ascii="Arial" w:hAnsi="Arial" w:cs="Arial"/>
                <w:b/>
                <w:bCs/>
                <w:sz w:val="20"/>
                <w:szCs w:val="20"/>
              </w:rPr>
            </w:pPr>
            <w:r w:rsidRPr="00540C5D">
              <w:rPr>
                <w:rFonts w:ascii="Arial" w:hAnsi="Arial" w:cs="Arial"/>
                <w:b/>
                <w:bCs/>
                <w:sz w:val="20"/>
                <w:szCs w:val="20"/>
              </w:rPr>
              <w:t>Min ROA (%)</w:t>
            </w:r>
          </w:p>
        </w:tc>
        <w:tc>
          <w:tcPr>
            <w:tcW w:w="1673" w:type="dxa"/>
          </w:tcPr>
          <w:p w:rsidR="001A5F98" w:rsidRPr="00540C5D" w:rsidRDefault="001A5F98" w:rsidP="004C40DA">
            <w:pPr>
              <w:jc w:val="both"/>
              <w:rPr>
                <w:rFonts w:ascii="Arial" w:hAnsi="Arial" w:cs="Arial"/>
                <w:b/>
                <w:bCs/>
                <w:sz w:val="20"/>
                <w:szCs w:val="20"/>
              </w:rPr>
            </w:pPr>
            <w:r w:rsidRPr="00540C5D">
              <w:rPr>
                <w:rFonts w:ascii="Arial" w:hAnsi="Arial" w:cs="Arial"/>
                <w:b/>
                <w:bCs/>
                <w:sz w:val="20"/>
                <w:szCs w:val="20"/>
              </w:rPr>
              <w:t>Max ROA (%)</w:t>
            </w:r>
          </w:p>
        </w:tc>
        <w:tc>
          <w:tcPr>
            <w:tcW w:w="1647" w:type="dxa"/>
          </w:tcPr>
          <w:p w:rsidR="001A5F98" w:rsidRPr="00540C5D" w:rsidRDefault="001A5F98" w:rsidP="004C40DA">
            <w:pPr>
              <w:jc w:val="both"/>
              <w:rPr>
                <w:rFonts w:ascii="Arial" w:hAnsi="Arial" w:cs="Arial"/>
                <w:b/>
                <w:bCs/>
                <w:sz w:val="20"/>
                <w:szCs w:val="20"/>
              </w:rPr>
            </w:pPr>
            <w:r w:rsidRPr="00540C5D">
              <w:rPr>
                <w:rFonts w:ascii="Arial" w:hAnsi="Arial" w:cs="Arial"/>
                <w:b/>
                <w:bCs/>
                <w:sz w:val="20"/>
                <w:szCs w:val="20"/>
              </w:rPr>
              <w:t>Std. Deviation</w:t>
            </w:r>
          </w:p>
        </w:tc>
        <w:tc>
          <w:tcPr>
            <w:tcW w:w="482" w:type="dxa"/>
          </w:tcPr>
          <w:p w:rsidR="001A5F98" w:rsidRPr="00540C5D" w:rsidRDefault="001A5F98" w:rsidP="004C40DA">
            <w:pPr>
              <w:jc w:val="both"/>
              <w:rPr>
                <w:rFonts w:ascii="Arial" w:hAnsi="Arial" w:cs="Arial"/>
                <w:b/>
                <w:bCs/>
                <w:sz w:val="20"/>
                <w:szCs w:val="20"/>
              </w:rPr>
            </w:pPr>
            <w:r w:rsidRPr="00540C5D">
              <w:rPr>
                <w:rFonts w:ascii="Arial" w:hAnsi="Arial" w:cs="Arial"/>
                <w:b/>
                <w:bCs/>
                <w:sz w:val="20"/>
                <w:szCs w:val="20"/>
              </w:rPr>
              <w:t>N</w:t>
            </w:r>
          </w:p>
        </w:tc>
      </w:tr>
      <w:tr w:rsidR="001A5F98" w:rsidRPr="00540C5D" w:rsidTr="004C40DA">
        <w:trPr>
          <w:trHeight w:val="283"/>
        </w:trPr>
        <w:tc>
          <w:tcPr>
            <w:tcW w:w="1511" w:type="dxa"/>
          </w:tcPr>
          <w:p w:rsidR="001A5F98" w:rsidRPr="00540C5D" w:rsidRDefault="001A5F98" w:rsidP="004C40DA">
            <w:pPr>
              <w:jc w:val="both"/>
              <w:rPr>
                <w:rFonts w:ascii="Arial" w:hAnsi="Arial" w:cs="Arial"/>
                <w:sz w:val="20"/>
                <w:szCs w:val="20"/>
              </w:rPr>
            </w:pPr>
            <w:r w:rsidRPr="00540C5D">
              <w:rPr>
                <w:rFonts w:ascii="Arial" w:hAnsi="Arial" w:cs="Arial"/>
                <w:sz w:val="20"/>
                <w:szCs w:val="20"/>
              </w:rPr>
              <w:t>0,12871</w:t>
            </w:r>
          </w:p>
        </w:tc>
        <w:tc>
          <w:tcPr>
            <w:tcW w:w="1940" w:type="dxa"/>
          </w:tcPr>
          <w:p w:rsidR="001A5F98" w:rsidRPr="00540C5D" w:rsidRDefault="001A5F98" w:rsidP="004C40DA">
            <w:pPr>
              <w:jc w:val="both"/>
              <w:rPr>
                <w:rFonts w:ascii="Arial" w:hAnsi="Arial" w:cs="Arial"/>
                <w:sz w:val="20"/>
                <w:szCs w:val="20"/>
              </w:rPr>
            </w:pPr>
            <w:r w:rsidRPr="00540C5D">
              <w:rPr>
                <w:rFonts w:ascii="Arial" w:hAnsi="Arial" w:cs="Arial"/>
                <w:sz w:val="20"/>
                <w:szCs w:val="20"/>
              </w:rPr>
              <w:t>14,87</w:t>
            </w:r>
          </w:p>
        </w:tc>
        <w:tc>
          <w:tcPr>
            <w:tcW w:w="1655" w:type="dxa"/>
          </w:tcPr>
          <w:p w:rsidR="001A5F98" w:rsidRPr="00540C5D" w:rsidRDefault="001A5F98" w:rsidP="004C40DA">
            <w:pPr>
              <w:jc w:val="both"/>
              <w:rPr>
                <w:rFonts w:ascii="Arial" w:hAnsi="Arial" w:cs="Arial"/>
                <w:sz w:val="20"/>
                <w:szCs w:val="20"/>
              </w:rPr>
            </w:pPr>
            <w:r w:rsidRPr="00540C5D">
              <w:rPr>
                <w:rFonts w:ascii="Arial" w:hAnsi="Arial" w:cs="Arial"/>
                <w:sz w:val="20"/>
                <w:szCs w:val="20"/>
              </w:rPr>
              <w:t>13,03</w:t>
            </w:r>
          </w:p>
        </w:tc>
        <w:tc>
          <w:tcPr>
            <w:tcW w:w="1673" w:type="dxa"/>
          </w:tcPr>
          <w:p w:rsidR="001A5F98" w:rsidRPr="00540C5D" w:rsidRDefault="001A5F98" w:rsidP="004C40DA">
            <w:pPr>
              <w:jc w:val="both"/>
              <w:rPr>
                <w:rFonts w:ascii="Arial" w:hAnsi="Arial" w:cs="Arial"/>
                <w:sz w:val="20"/>
                <w:szCs w:val="20"/>
              </w:rPr>
            </w:pPr>
            <w:r w:rsidRPr="00540C5D">
              <w:rPr>
                <w:rFonts w:ascii="Arial" w:hAnsi="Arial" w:cs="Arial"/>
                <w:sz w:val="20"/>
                <w:szCs w:val="20"/>
              </w:rPr>
              <w:t>16,72</w:t>
            </w:r>
          </w:p>
        </w:tc>
        <w:tc>
          <w:tcPr>
            <w:tcW w:w="1647" w:type="dxa"/>
          </w:tcPr>
          <w:p w:rsidR="001A5F98" w:rsidRPr="00540C5D" w:rsidRDefault="001A5F98" w:rsidP="004C40DA">
            <w:pPr>
              <w:jc w:val="both"/>
              <w:rPr>
                <w:rFonts w:ascii="Arial" w:hAnsi="Arial" w:cs="Arial"/>
                <w:sz w:val="20"/>
                <w:szCs w:val="20"/>
              </w:rPr>
            </w:pPr>
            <w:r w:rsidRPr="00540C5D">
              <w:rPr>
                <w:rFonts w:ascii="Arial" w:hAnsi="Arial" w:cs="Arial"/>
                <w:sz w:val="20"/>
                <w:szCs w:val="20"/>
              </w:rPr>
              <w:t>2,61</w:t>
            </w:r>
          </w:p>
        </w:tc>
        <w:tc>
          <w:tcPr>
            <w:tcW w:w="482" w:type="dxa"/>
          </w:tcPr>
          <w:p w:rsidR="001A5F98" w:rsidRPr="00540C5D" w:rsidRDefault="001A5F98" w:rsidP="004C40DA">
            <w:pPr>
              <w:jc w:val="both"/>
              <w:rPr>
                <w:rFonts w:ascii="Arial" w:hAnsi="Arial" w:cs="Arial"/>
                <w:sz w:val="20"/>
                <w:szCs w:val="20"/>
              </w:rPr>
            </w:pPr>
            <w:r w:rsidRPr="00540C5D">
              <w:rPr>
                <w:rFonts w:ascii="Arial" w:hAnsi="Arial" w:cs="Arial"/>
                <w:sz w:val="20"/>
                <w:szCs w:val="20"/>
              </w:rPr>
              <w:t>2</w:t>
            </w:r>
          </w:p>
        </w:tc>
      </w:tr>
      <w:tr w:rsidR="001A5F98" w:rsidRPr="00540C5D" w:rsidTr="004C40DA">
        <w:trPr>
          <w:trHeight w:val="283"/>
        </w:trPr>
        <w:tc>
          <w:tcPr>
            <w:tcW w:w="1511" w:type="dxa"/>
          </w:tcPr>
          <w:p w:rsidR="001A5F98" w:rsidRPr="00540C5D" w:rsidRDefault="001A5F98" w:rsidP="004C40DA">
            <w:pPr>
              <w:jc w:val="both"/>
              <w:rPr>
                <w:rFonts w:ascii="Arial" w:hAnsi="Arial" w:cs="Arial"/>
                <w:sz w:val="20"/>
                <w:szCs w:val="20"/>
              </w:rPr>
            </w:pPr>
            <w:r w:rsidRPr="00540C5D">
              <w:rPr>
                <w:rFonts w:ascii="Arial" w:hAnsi="Arial" w:cs="Arial"/>
                <w:sz w:val="20"/>
                <w:szCs w:val="20"/>
              </w:rPr>
              <w:t>0,29703</w:t>
            </w:r>
          </w:p>
        </w:tc>
        <w:tc>
          <w:tcPr>
            <w:tcW w:w="1940" w:type="dxa"/>
          </w:tcPr>
          <w:p w:rsidR="001A5F98" w:rsidRPr="00540C5D" w:rsidRDefault="001A5F98" w:rsidP="004C40DA">
            <w:pPr>
              <w:jc w:val="both"/>
              <w:rPr>
                <w:rFonts w:ascii="Arial" w:hAnsi="Arial" w:cs="Arial"/>
                <w:sz w:val="20"/>
                <w:szCs w:val="20"/>
              </w:rPr>
            </w:pPr>
            <w:r w:rsidRPr="00540C5D">
              <w:rPr>
                <w:rFonts w:ascii="Arial" w:hAnsi="Arial" w:cs="Arial"/>
                <w:sz w:val="20"/>
                <w:szCs w:val="20"/>
              </w:rPr>
              <w:t>4,15</w:t>
            </w:r>
          </w:p>
        </w:tc>
        <w:tc>
          <w:tcPr>
            <w:tcW w:w="1655" w:type="dxa"/>
          </w:tcPr>
          <w:p w:rsidR="001A5F98" w:rsidRPr="00540C5D" w:rsidRDefault="001A5F98" w:rsidP="004C40DA">
            <w:pPr>
              <w:jc w:val="both"/>
              <w:rPr>
                <w:rFonts w:ascii="Arial" w:hAnsi="Arial" w:cs="Arial"/>
                <w:sz w:val="20"/>
                <w:szCs w:val="20"/>
              </w:rPr>
            </w:pPr>
            <w:r w:rsidRPr="00540C5D">
              <w:rPr>
                <w:rFonts w:ascii="Arial" w:hAnsi="Arial" w:cs="Arial"/>
                <w:sz w:val="20"/>
                <w:szCs w:val="20"/>
              </w:rPr>
              <w:t>3,40</w:t>
            </w:r>
          </w:p>
        </w:tc>
        <w:tc>
          <w:tcPr>
            <w:tcW w:w="1673" w:type="dxa"/>
          </w:tcPr>
          <w:p w:rsidR="001A5F98" w:rsidRPr="00540C5D" w:rsidRDefault="001A5F98" w:rsidP="004C40DA">
            <w:pPr>
              <w:jc w:val="both"/>
              <w:rPr>
                <w:rFonts w:ascii="Arial" w:hAnsi="Arial" w:cs="Arial"/>
                <w:sz w:val="20"/>
                <w:szCs w:val="20"/>
              </w:rPr>
            </w:pPr>
            <w:r w:rsidRPr="00540C5D">
              <w:rPr>
                <w:rFonts w:ascii="Arial" w:hAnsi="Arial" w:cs="Arial"/>
                <w:sz w:val="20"/>
                <w:szCs w:val="20"/>
              </w:rPr>
              <w:t>4,91</w:t>
            </w:r>
          </w:p>
        </w:tc>
        <w:tc>
          <w:tcPr>
            <w:tcW w:w="1647" w:type="dxa"/>
          </w:tcPr>
          <w:p w:rsidR="001A5F98" w:rsidRPr="00540C5D" w:rsidRDefault="001A5F98" w:rsidP="004C40DA">
            <w:pPr>
              <w:jc w:val="both"/>
              <w:rPr>
                <w:rFonts w:ascii="Arial" w:hAnsi="Arial" w:cs="Arial"/>
                <w:sz w:val="20"/>
                <w:szCs w:val="20"/>
              </w:rPr>
            </w:pPr>
            <w:r w:rsidRPr="00540C5D">
              <w:rPr>
                <w:rFonts w:ascii="Arial" w:hAnsi="Arial" w:cs="Arial"/>
                <w:sz w:val="20"/>
                <w:szCs w:val="20"/>
              </w:rPr>
              <w:t>1,07</w:t>
            </w:r>
          </w:p>
        </w:tc>
        <w:tc>
          <w:tcPr>
            <w:tcW w:w="482" w:type="dxa"/>
          </w:tcPr>
          <w:p w:rsidR="001A5F98" w:rsidRPr="00540C5D" w:rsidRDefault="001A5F98" w:rsidP="004C40DA">
            <w:pPr>
              <w:jc w:val="both"/>
              <w:rPr>
                <w:rFonts w:ascii="Arial" w:hAnsi="Arial" w:cs="Arial"/>
                <w:sz w:val="20"/>
                <w:szCs w:val="20"/>
              </w:rPr>
            </w:pPr>
            <w:r w:rsidRPr="00540C5D">
              <w:rPr>
                <w:rFonts w:ascii="Arial" w:hAnsi="Arial" w:cs="Arial"/>
                <w:sz w:val="20"/>
                <w:szCs w:val="20"/>
              </w:rPr>
              <w:t>2</w:t>
            </w:r>
          </w:p>
        </w:tc>
      </w:tr>
      <w:tr w:rsidR="001A5F98" w:rsidRPr="00540C5D" w:rsidTr="004C40DA">
        <w:trPr>
          <w:trHeight w:val="283"/>
        </w:trPr>
        <w:tc>
          <w:tcPr>
            <w:tcW w:w="1511" w:type="dxa"/>
          </w:tcPr>
          <w:p w:rsidR="001A5F98" w:rsidRPr="00540C5D" w:rsidRDefault="001A5F98" w:rsidP="004C40DA">
            <w:pPr>
              <w:jc w:val="both"/>
              <w:rPr>
                <w:rFonts w:ascii="Arial" w:hAnsi="Arial" w:cs="Arial"/>
                <w:sz w:val="20"/>
                <w:szCs w:val="20"/>
              </w:rPr>
            </w:pPr>
            <w:r w:rsidRPr="00540C5D">
              <w:rPr>
                <w:rFonts w:ascii="Arial" w:hAnsi="Arial" w:cs="Arial"/>
                <w:sz w:val="20"/>
                <w:szCs w:val="20"/>
              </w:rPr>
              <w:t>0,33663</w:t>
            </w:r>
          </w:p>
        </w:tc>
        <w:tc>
          <w:tcPr>
            <w:tcW w:w="1940" w:type="dxa"/>
          </w:tcPr>
          <w:p w:rsidR="001A5F98" w:rsidRPr="00540C5D" w:rsidRDefault="001A5F98" w:rsidP="004C40DA">
            <w:pPr>
              <w:jc w:val="both"/>
              <w:rPr>
                <w:rFonts w:ascii="Arial" w:hAnsi="Arial" w:cs="Arial"/>
                <w:sz w:val="20"/>
                <w:szCs w:val="20"/>
              </w:rPr>
            </w:pPr>
            <w:r w:rsidRPr="00540C5D">
              <w:rPr>
                <w:rFonts w:ascii="Arial" w:hAnsi="Arial" w:cs="Arial"/>
                <w:sz w:val="20"/>
                <w:szCs w:val="20"/>
              </w:rPr>
              <w:t>3,69</w:t>
            </w:r>
          </w:p>
        </w:tc>
        <w:tc>
          <w:tcPr>
            <w:tcW w:w="1655" w:type="dxa"/>
          </w:tcPr>
          <w:p w:rsidR="001A5F98" w:rsidRPr="00540C5D" w:rsidRDefault="001A5F98" w:rsidP="004C40DA">
            <w:pPr>
              <w:jc w:val="both"/>
              <w:rPr>
                <w:rFonts w:ascii="Arial" w:hAnsi="Arial" w:cs="Arial"/>
                <w:sz w:val="20"/>
                <w:szCs w:val="20"/>
              </w:rPr>
            </w:pPr>
            <w:r w:rsidRPr="00540C5D">
              <w:rPr>
                <w:rFonts w:ascii="Arial" w:hAnsi="Arial" w:cs="Arial"/>
                <w:sz w:val="20"/>
                <w:szCs w:val="20"/>
              </w:rPr>
              <w:t>0,14</w:t>
            </w:r>
          </w:p>
        </w:tc>
        <w:tc>
          <w:tcPr>
            <w:tcW w:w="1673" w:type="dxa"/>
          </w:tcPr>
          <w:p w:rsidR="001A5F98" w:rsidRPr="00540C5D" w:rsidRDefault="001A5F98" w:rsidP="004C40DA">
            <w:pPr>
              <w:jc w:val="both"/>
              <w:rPr>
                <w:rFonts w:ascii="Arial" w:hAnsi="Arial" w:cs="Arial"/>
                <w:sz w:val="20"/>
                <w:szCs w:val="20"/>
              </w:rPr>
            </w:pPr>
            <w:r w:rsidRPr="00540C5D">
              <w:rPr>
                <w:rFonts w:ascii="Arial" w:hAnsi="Arial" w:cs="Arial"/>
                <w:sz w:val="20"/>
                <w:szCs w:val="20"/>
              </w:rPr>
              <w:t>6,87</w:t>
            </w:r>
          </w:p>
        </w:tc>
        <w:tc>
          <w:tcPr>
            <w:tcW w:w="1647" w:type="dxa"/>
          </w:tcPr>
          <w:p w:rsidR="001A5F98" w:rsidRPr="00540C5D" w:rsidRDefault="001A5F98" w:rsidP="004C40DA">
            <w:pPr>
              <w:jc w:val="both"/>
              <w:rPr>
                <w:rFonts w:ascii="Arial" w:hAnsi="Arial" w:cs="Arial"/>
                <w:sz w:val="20"/>
                <w:szCs w:val="20"/>
              </w:rPr>
            </w:pPr>
            <w:r w:rsidRPr="00540C5D">
              <w:rPr>
                <w:rFonts w:ascii="Arial" w:hAnsi="Arial" w:cs="Arial"/>
                <w:sz w:val="20"/>
                <w:szCs w:val="20"/>
              </w:rPr>
              <w:t>3,37</w:t>
            </w:r>
          </w:p>
        </w:tc>
        <w:tc>
          <w:tcPr>
            <w:tcW w:w="482" w:type="dxa"/>
          </w:tcPr>
          <w:p w:rsidR="001A5F98" w:rsidRPr="00540C5D" w:rsidRDefault="001A5F98" w:rsidP="004C40DA">
            <w:pPr>
              <w:jc w:val="both"/>
              <w:rPr>
                <w:rFonts w:ascii="Arial" w:hAnsi="Arial" w:cs="Arial"/>
                <w:sz w:val="20"/>
                <w:szCs w:val="20"/>
              </w:rPr>
            </w:pPr>
            <w:r w:rsidRPr="00540C5D">
              <w:rPr>
                <w:rFonts w:ascii="Arial" w:hAnsi="Arial" w:cs="Arial"/>
                <w:sz w:val="20"/>
                <w:szCs w:val="20"/>
              </w:rPr>
              <w:t>3</w:t>
            </w:r>
          </w:p>
        </w:tc>
      </w:tr>
    </w:tbl>
    <w:p w:rsidR="001A5F98" w:rsidRPr="00540C5D" w:rsidRDefault="001A5F98" w:rsidP="001A5F98">
      <w:pPr>
        <w:pStyle w:val="NormalWeb"/>
        <w:jc w:val="both"/>
        <w:rPr>
          <w:rFonts w:ascii="Arial" w:hAnsi="Arial" w:cs="Arial"/>
          <w:sz w:val="20"/>
          <w:szCs w:val="20"/>
        </w:rPr>
      </w:pPr>
      <w:r w:rsidRPr="00540C5D">
        <w:rPr>
          <w:rFonts w:ascii="Arial" w:hAnsi="Arial" w:cs="Arial"/>
          <w:sz w:val="20"/>
          <w:szCs w:val="20"/>
        </w:rPr>
        <w:t xml:space="preserve">The moderation analysis, in which the interaction variable (ESG Score × Digital Transformation) shows a negative coefficient of -1612.144 with a significance of 0.621 (&gt; </w:t>
      </w:r>
      <w:r w:rsidRPr="00540C5D">
        <w:rPr>
          <w:rFonts w:ascii="Arial" w:hAnsi="Arial" w:cs="Arial"/>
          <w:sz w:val="20"/>
          <w:szCs w:val="20"/>
        </w:rPr>
        <w:lastRenderedPageBreak/>
        <w:t xml:space="preserve">0.05). These results indicate that digital transformation not only fails to strengthen the relationship between ESG Score and financial performance, but actually tends to weaken it, although this effect is not statistically significant. Thus, the second hypothesis (H2) is also rejected. This condition differs from theoretical expectations, which state that digitization can strengthen the impact of ESG through increased transparency, accountability, and efficiency in sustainability data management </w:t>
      </w:r>
      <w:r w:rsidR="008939FE">
        <w:rPr>
          <w:rFonts w:ascii="Arial" w:hAnsi="Arial" w:cs="Arial"/>
          <w:sz w:val="20"/>
          <w:szCs w:val="20"/>
        </w:rPr>
        <w:fldChar w:fldCharType="begin" w:fldLock="1"/>
      </w:r>
      <w:r w:rsidR="00586FAA">
        <w:rPr>
          <w:rFonts w:ascii="Arial" w:hAnsi="Arial" w:cs="Arial"/>
          <w:sz w:val="20"/>
          <w:szCs w:val="20"/>
        </w:rPr>
        <w:instrText>ADDIN CSL_CITATION {"citationItems":[{"id":"ITEM-1","itemData":{"DOI":"10.52859/jba.v8i2.173","ISSN":"2338-1132","abstract":"This study aims to examine the effect of ESG disclosure on financial performance within firm. By using sample of 80 firms in finance sector, listed in Indonesia Stock Exchange for 2017-2019, sample selected using purposive sampling technique.Financial performance measured by Return on Asset, Tobin’s Q, and Sales Growth, the analysis method used is multiple regression analysis. The result showed that ESG disclosure only affect Return on Asset simultaneously, furtheranalysis showed that none of the economic performance variables affected by ESG disclosure partially, instead control variable produce mixed result that affect financial performance variable itself.","author":[{"dropping-particle":"","family":"Husada","given":"Era Vivianti","non-dropping-particle":"","parse-names":false,"suffix":""},{"dropping-particle":"","family":"Handayani","given":"Susi","non-dropping-particle":"","parse-names":false,"suffix":""}],"container-title":"Jurnal Bina Akuntansi","id":"ITEM-1","issue":"2","issued":{"date-parts":[["2021"]]},"page":"122-144","title":"Pengaruh Pengungkapan Esg Terhadap Kinerja Keuangan Perusahaan (Studi Empiris Pada Perusahaan Sektor Keuangan Yang Terdaftar Di Bei Periode 2017-2019)","type":"article-journal","volume":"8"},"uris":["http://www.mendeley.com/documents/?uuid=c08199a3-92be-4748-a0cd-1f26c82b0676"]}],"mendeley":{"formattedCitation":"(Husada &amp; Handayani, 2021)","plainTextFormattedCitation":"(Husada &amp; Handayani, 2021)","previouslyFormattedCitation":"(Husada &amp; Handayani, 2021)"},"properties":{"noteIndex":0},"schema":"https://github.com/citation-style-language/schema/raw/master/csl-citation.json"}</w:instrText>
      </w:r>
      <w:r w:rsidR="008939FE">
        <w:rPr>
          <w:rFonts w:ascii="Arial" w:hAnsi="Arial" w:cs="Arial"/>
          <w:sz w:val="20"/>
          <w:szCs w:val="20"/>
        </w:rPr>
        <w:fldChar w:fldCharType="separate"/>
      </w:r>
      <w:r w:rsidR="00626AAA" w:rsidRPr="00626AAA">
        <w:rPr>
          <w:rFonts w:ascii="Arial" w:hAnsi="Arial" w:cs="Arial"/>
          <w:noProof/>
          <w:sz w:val="20"/>
          <w:szCs w:val="20"/>
        </w:rPr>
        <w:t>(Husada &amp; Handayani, 2021)</w:t>
      </w:r>
      <w:r w:rsidR="008939FE">
        <w:rPr>
          <w:rFonts w:ascii="Arial" w:hAnsi="Arial" w:cs="Arial"/>
          <w:sz w:val="20"/>
          <w:szCs w:val="20"/>
        </w:rPr>
        <w:fldChar w:fldCharType="end"/>
      </w:r>
      <w:r w:rsidR="007169B8">
        <w:rPr>
          <w:rFonts w:ascii="Arial" w:hAnsi="Arial" w:cs="Arial"/>
          <w:sz w:val="20"/>
          <w:szCs w:val="20"/>
        </w:rPr>
        <w:t xml:space="preserve">. </w:t>
      </w:r>
      <w:r w:rsidRPr="00540C5D">
        <w:rPr>
          <w:rFonts w:ascii="Arial" w:hAnsi="Arial" w:cs="Arial"/>
          <w:sz w:val="20"/>
          <w:szCs w:val="20"/>
        </w:rPr>
        <w:t>These findings indicate that the integration of ESG practices and digital transformation in Indonesian energy companies is still not optimal, possibly because the implementation of both is carried out separately without clear strategic synergy.</w:t>
      </w:r>
    </w:p>
    <w:p w:rsidR="001A5F98" w:rsidRPr="00540C5D" w:rsidRDefault="001A5F98" w:rsidP="001A5F98">
      <w:pPr>
        <w:pStyle w:val="NormalWeb"/>
        <w:jc w:val="both"/>
        <w:rPr>
          <w:rFonts w:ascii="Arial" w:hAnsi="Arial" w:cs="Arial"/>
          <w:sz w:val="20"/>
          <w:szCs w:val="20"/>
        </w:rPr>
      </w:pPr>
      <w:r w:rsidRPr="00540C5D">
        <w:rPr>
          <w:rFonts w:ascii="Arial" w:hAnsi="Arial" w:cs="Arial"/>
          <w:sz w:val="20"/>
          <w:szCs w:val="20"/>
        </w:rPr>
        <w:t>From the perspective of Stakeholder Theory (Freeman, 1984), the results of this study indicate that although energy companies have made efforts to meet the expectations of various stakeholders through ESG practices, their implementation has not been able to create measurable financial value. This indicates that ESG practices are still viewed as a cost center or social obligation, rather than a strategic asset that can increase competitive advantage. Meanwhile, within the Resource-Based View (RBV) framework, digitalization should be a strategic resource that creates competitive advantage, but the results of this study show that digital resources have not been optimally utilized to create significant differentiation or efficiency. These findings indicate the need for a paradigm shift in ESG and digitalization management, from a partial and compliance-oriented approach to an integrated strategy oriented towards long-term value creation.</w:t>
      </w:r>
    </w:p>
    <w:p w:rsidR="001A5F98" w:rsidRDefault="001A5F98" w:rsidP="001A5F98">
      <w:pPr>
        <w:pStyle w:val="Body"/>
        <w:spacing w:after="0"/>
        <w:rPr>
          <w:rFonts w:ascii="Arial" w:hAnsi="Arial" w:cs="Arial"/>
        </w:rPr>
      </w:pPr>
      <w:r w:rsidRPr="00540C5D">
        <w:rPr>
          <w:rFonts w:ascii="Arial" w:hAnsi="Arial" w:cs="Arial"/>
        </w:rPr>
        <w:t>The F-test results show a value of 0.333 with a significance of 0.801 (&gt; 0.05), indicating that the model as a whole cannot explain the variation in the company's financial performance. The low coefficient of determination (R²) value indicates that most of the variation in the Return on Assets (ROA) of energy companies is influenced by factors other than those included in the research model. External factors such as fluctuations in energy commodity prices, government policies related to subsidies and tariffs, macroeconomic conditions, and global energy supply-demand dynamics are likely to have a more dominant influence on the profitability of energy companies than ESG practices and digital transformation. Additionally, the capital-intensive nature of the energy industry and its long investment cycles may also explain why the impact of ESG and digitalization has not yet been evident in the relatively short observation period (2021-2023).</w:t>
      </w:r>
    </w:p>
    <w:p w:rsidR="00334F45" w:rsidRDefault="00334F45" w:rsidP="001A5F98">
      <w:pPr>
        <w:pStyle w:val="Body"/>
        <w:spacing w:after="0"/>
        <w:rPr>
          <w:rFonts w:ascii="Arial" w:hAnsi="Arial" w:cs="Arial"/>
        </w:rPr>
      </w:pPr>
    </w:p>
    <w:bookmarkEnd w:id="1"/>
    <w:p w:rsidR="00E053D0" w:rsidRDefault="00334F45" w:rsidP="00441B6F">
      <w:pPr>
        <w:pStyle w:val="Body"/>
        <w:spacing w:after="0"/>
        <w:rPr>
          <w:rFonts w:ascii="Arial" w:hAnsi="Arial" w:cs="Arial"/>
        </w:rPr>
      </w:pPr>
      <w:r w:rsidRPr="00334F45">
        <w:rPr>
          <w:rFonts w:ascii="Arial" w:hAnsi="Arial" w:cs="Arial"/>
        </w:rPr>
        <w:t>In summary, ESG and digital transformation in Indonesia still operate as instruments of legitimacy and internal efficiency rather than strategic levers of profitability. For these practices to generate substantial financial impact, firms need to improve ESG quality as part of their core business strategy and adopt digital transformation initiatives that emphasize innovation rather than mere compliance.</w:t>
      </w:r>
    </w:p>
    <w:p w:rsidR="00790ADA" w:rsidRPr="00FB3A86" w:rsidRDefault="00790ADA" w:rsidP="00441B6F">
      <w:pPr>
        <w:pStyle w:val="Body"/>
        <w:spacing w:after="0"/>
        <w:rPr>
          <w:rFonts w:ascii="Arial" w:hAnsi="Arial" w:cs="Arial"/>
        </w:rPr>
      </w:pPr>
    </w:p>
    <w:p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rsidR="00790ADA" w:rsidRPr="00FB3A86" w:rsidRDefault="00790ADA" w:rsidP="00441B6F">
      <w:pPr>
        <w:pStyle w:val="ConcHead"/>
        <w:spacing w:after="0"/>
        <w:jc w:val="both"/>
        <w:rPr>
          <w:rFonts w:ascii="Arial" w:hAnsi="Arial" w:cs="Arial"/>
        </w:rPr>
      </w:pPr>
    </w:p>
    <w:p w:rsidR="00790ADA" w:rsidRDefault="00EC51A9" w:rsidP="00441B6F">
      <w:pPr>
        <w:pStyle w:val="Body"/>
        <w:spacing w:after="0"/>
        <w:rPr>
          <w:rFonts w:ascii="Arial" w:hAnsi="Arial" w:cs="Arial"/>
        </w:rPr>
      </w:pPr>
      <w:r w:rsidRPr="00EC51A9">
        <w:rPr>
          <w:rFonts w:ascii="Arial" w:hAnsi="Arial" w:cs="Arial"/>
        </w:rPr>
        <w:t>This study concludes that ESG practices in Indonesian energy companies are largely compliance-oriented or merely formal, and few companies declare ESG components in their annual reports, with limited short-term impact on financial performance. Digital transformation also has not moderated the relationship between ESG and financial performance in Indonesian energy sector companies, reflecting early adoption and a focus on efficiency rather than strategic outcomes. These findings suggest that a stronger regulatory framework, a long-term investment horizon, an integrated ESG strategy, and digital transformation are needed to translate sustainability practices into measurable financial outcomes. Given the small sample size and short observation period, this study is exploratory in nature, and future research should expand the data population with a longer research period and use more accurate measurements of digital transformation.</w:t>
      </w:r>
    </w:p>
    <w:p w:rsidR="00BA5A35" w:rsidRPr="00FB3A86" w:rsidRDefault="00BA5A35" w:rsidP="00441B6F">
      <w:pPr>
        <w:pStyle w:val="Body"/>
        <w:spacing w:after="0"/>
        <w:rPr>
          <w:rFonts w:ascii="Arial" w:hAnsi="Arial" w:cs="Arial"/>
        </w:rPr>
      </w:pPr>
    </w:p>
    <w:p w:rsidR="00790ADA" w:rsidRPr="00FB3A86" w:rsidRDefault="00B01FCD" w:rsidP="00441B6F">
      <w:pPr>
        <w:pStyle w:val="AcknHead"/>
        <w:spacing w:after="0"/>
        <w:jc w:val="both"/>
        <w:rPr>
          <w:rFonts w:ascii="Arial" w:hAnsi="Arial" w:cs="Arial"/>
        </w:rPr>
      </w:pPr>
      <w:r w:rsidRPr="00FB3A86">
        <w:rPr>
          <w:rFonts w:ascii="Arial" w:hAnsi="Arial" w:cs="Arial"/>
        </w:rPr>
        <w:t>Acknowledg</w:t>
      </w:r>
      <w:r w:rsidR="003E2904">
        <w:rPr>
          <w:rFonts w:ascii="Arial" w:hAnsi="Arial" w:cs="Arial"/>
        </w:rPr>
        <w:t>E</w:t>
      </w:r>
      <w:r w:rsidRPr="00FB3A86">
        <w:rPr>
          <w:rFonts w:ascii="Arial" w:hAnsi="Arial" w:cs="Arial"/>
        </w:rPr>
        <w:t>ments</w:t>
      </w:r>
    </w:p>
    <w:p w:rsidR="00315186" w:rsidRPr="001A5F98" w:rsidRDefault="001A5F98" w:rsidP="001A5F98">
      <w:pPr>
        <w:pStyle w:val="NormalWeb"/>
        <w:jc w:val="both"/>
        <w:rPr>
          <w:rFonts w:ascii="Arial" w:hAnsi="Arial" w:cs="Arial"/>
          <w:sz w:val="20"/>
          <w:szCs w:val="20"/>
        </w:rPr>
      </w:pPr>
      <w:r w:rsidRPr="00540C5D">
        <w:rPr>
          <w:rFonts w:ascii="Arial" w:hAnsi="Arial" w:cs="Arial"/>
          <w:sz w:val="20"/>
          <w:szCs w:val="20"/>
        </w:rPr>
        <w:t>Praise and thanks be to Allah SWT for His blessings so that the 2025 Student Creativity Program (PKM) can be carried out successfully. We extend our gratitude to the Maulana Malik Ibrahim State Islamic University of Malang, particularly the Faculty of Economics, for the support and facilities provided. We also express our appreciation to the Academic Advisor for their guidance and mentorship, as well as to the entire PKM 2025 team for their collaboration and dedication. Our thanks also go to all parties who contributed to the smooth running of this activity.</w:t>
      </w:r>
    </w:p>
    <w:p w:rsidR="00A137C1" w:rsidRDefault="00A137C1" w:rsidP="00441B6F">
      <w:pPr>
        <w:pStyle w:val="ReferHead"/>
        <w:spacing w:after="0"/>
        <w:jc w:val="both"/>
        <w:rPr>
          <w:rFonts w:ascii="Arial" w:hAnsi="Arial" w:cs="Arial"/>
          <w:b w:val="0"/>
          <w:caps w:val="0"/>
          <w:sz w:val="20"/>
        </w:rPr>
      </w:pPr>
    </w:p>
    <w:p w:rsidR="00371FB6" w:rsidRDefault="00371FB6" w:rsidP="00441B6F">
      <w:pPr>
        <w:pStyle w:val="ReferHead"/>
        <w:spacing w:after="0"/>
        <w:jc w:val="both"/>
        <w:rPr>
          <w:rFonts w:ascii="Arial" w:hAnsi="Arial" w:cs="Arial"/>
          <w:b w:val="0"/>
          <w:caps w:val="0"/>
          <w:sz w:val="20"/>
        </w:rPr>
      </w:pPr>
    </w:p>
    <w:p w:rsidR="00487706" w:rsidRDefault="00487706" w:rsidP="00441B6F">
      <w:pPr>
        <w:pStyle w:val="ReferHead"/>
        <w:spacing w:after="0"/>
        <w:jc w:val="both"/>
        <w:rPr>
          <w:rFonts w:ascii="Arial" w:hAnsi="Arial" w:cs="Arial"/>
          <w:b w:val="0"/>
          <w:caps w:val="0"/>
          <w:sz w:val="20"/>
        </w:rPr>
      </w:pPr>
    </w:p>
    <w:p w:rsidR="00487706" w:rsidRDefault="00487706" w:rsidP="00487706">
      <w:pPr>
        <w:rPr>
          <w:rFonts w:ascii="Arial" w:eastAsia="Calibri" w:hAnsi="Arial" w:cs="Arial"/>
          <w:b/>
          <w:kern w:val="2"/>
          <w:sz w:val="22"/>
          <w:szCs w:val="22"/>
        </w:rPr>
      </w:pPr>
      <w:r w:rsidRPr="00487706">
        <w:rPr>
          <w:rFonts w:ascii="Arial" w:eastAsia="Calibri" w:hAnsi="Arial" w:cs="Arial"/>
          <w:b/>
          <w:kern w:val="2"/>
          <w:sz w:val="22"/>
          <w:szCs w:val="22"/>
        </w:rPr>
        <w:t>DISCLAIMER (ARTIFICIAL INTELLIGENCE)</w:t>
      </w:r>
    </w:p>
    <w:p w:rsidR="00487706" w:rsidRDefault="00487706" w:rsidP="00487706">
      <w:pPr>
        <w:rPr>
          <w:rFonts w:ascii="Arial" w:eastAsia="Calibri" w:hAnsi="Arial" w:cs="Arial"/>
          <w:b/>
          <w:kern w:val="2"/>
          <w:sz w:val="22"/>
          <w:szCs w:val="22"/>
        </w:rPr>
      </w:pPr>
    </w:p>
    <w:p w:rsidR="00487706" w:rsidRPr="00586FAA" w:rsidRDefault="00487706" w:rsidP="00586FAA">
      <w:pPr>
        <w:jc w:val="both"/>
        <w:rPr>
          <w:rFonts w:ascii="Arial" w:eastAsia="Calibri" w:hAnsi="Arial" w:cs="Arial"/>
          <w:b/>
          <w:kern w:val="2"/>
          <w:sz w:val="22"/>
          <w:szCs w:val="22"/>
        </w:rPr>
      </w:pPr>
      <w:r w:rsidRPr="00586FAA">
        <w:rPr>
          <w:rFonts w:ascii="Arial" w:hAnsi="Arial" w:cs="Arial"/>
        </w:rPr>
        <w:t>The authors declare that generative AI technologies were used in the preparation of this manuscript. ChatGPT (GPT-5, OpenAI, 2025 edition) was employed to assist in improving and completing the introduction and abstract, while SciSpace was used to support citation integration. All substantive content, analysis, and conclusions remain the sole responsibility of the authors.</w:t>
      </w:r>
    </w:p>
    <w:p w:rsidR="001A29D8" w:rsidRDefault="001A29D8" w:rsidP="00441B6F">
      <w:pPr>
        <w:pStyle w:val="ReferHead"/>
        <w:spacing w:after="0"/>
        <w:jc w:val="both"/>
        <w:rPr>
          <w:rFonts w:ascii="Arial" w:hAnsi="Arial" w:cs="Arial"/>
          <w:b w:val="0"/>
          <w:caps w:val="0"/>
          <w:sz w:val="20"/>
        </w:rPr>
      </w:pPr>
    </w:p>
    <w:p w:rsidR="00860000" w:rsidRDefault="00860000" w:rsidP="00441B6F">
      <w:pPr>
        <w:pStyle w:val="ReferHead"/>
        <w:spacing w:after="0"/>
        <w:jc w:val="both"/>
        <w:rPr>
          <w:rFonts w:ascii="Arial" w:hAnsi="Arial" w:cs="Arial"/>
        </w:rPr>
      </w:pPr>
    </w:p>
    <w:p w:rsidR="00B01FCD" w:rsidRDefault="00B01FCD" w:rsidP="00441B6F">
      <w:pPr>
        <w:pStyle w:val="ReferHead"/>
        <w:spacing w:after="0"/>
        <w:jc w:val="both"/>
        <w:rPr>
          <w:rFonts w:ascii="Arial" w:hAnsi="Arial" w:cs="Arial"/>
        </w:rPr>
      </w:pPr>
      <w:r w:rsidRPr="00FB3A86">
        <w:rPr>
          <w:rFonts w:ascii="Arial" w:hAnsi="Arial" w:cs="Arial"/>
        </w:rPr>
        <w:t>References</w:t>
      </w:r>
    </w:p>
    <w:p w:rsidR="00586FAA" w:rsidRDefault="00586FAA" w:rsidP="00441B6F">
      <w:pPr>
        <w:pStyle w:val="ReferHead"/>
        <w:spacing w:after="0"/>
        <w:jc w:val="both"/>
        <w:rPr>
          <w:rFonts w:ascii="Arial" w:hAnsi="Arial" w:cs="Arial"/>
        </w:rPr>
      </w:pPr>
    </w:p>
    <w:p w:rsidR="00586FAA" w:rsidRPr="00586FAA" w:rsidRDefault="008939FE" w:rsidP="00586FAA">
      <w:pPr>
        <w:widowControl w:val="0"/>
        <w:autoSpaceDE w:val="0"/>
        <w:autoSpaceDN w:val="0"/>
        <w:adjustRightInd w:val="0"/>
        <w:ind w:left="480" w:hanging="480"/>
        <w:jc w:val="both"/>
        <w:rPr>
          <w:rFonts w:ascii="Arial" w:hAnsi="Arial" w:cs="Arial"/>
          <w:noProof/>
          <w:szCs w:val="24"/>
        </w:rPr>
      </w:pPr>
      <w:r>
        <w:rPr>
          <w:rFonts w:ascii="Arial" w:hAnsi="Arial" w:cs="Arial"/>
        </w:rPr>
        <w:fldChar w:fldCharType="begin" w:fldLock="1"/>
      </w:r>
      <w:r w:rsidR="00586FAA">
        <w:rPr>
          <w:rFonts w:ascii="Arial" w:hAnsi="Arial" w:cs="Arial"/>
        </w:rPr>
        <w:instrText xml:space="preserve">ADDIN Mendeley Bibliography CSL_BIBLIOGRAPHY </w:instrText>
      </w:r>
      <w:r>
        <w:rPr>
          <w:rFonts w:ascii="Arial" w:hAnsi="Arial" w:cs="Arial"/>
        </w:rPr>
        <w:fldChar w:fldCharType="separate"/>
      </w:r>
      <w:r w:rsidR="00586FAA" w:rsidRPr="00586FAA">
        <w:rPr>
          <w:rFonts w:ascii="Arial" w:hAnsi="Arial" w:cs="Arial"/>
          <w:noProof/>
          <w:szCs w:val="24"/>
        </w:rPr>
        <w:t xml:space="preserve">Angelaki, E., Garefalakis, A., Kourgiantakis, M., Sitzimis, I., &amp; Passas, I. (2025). ESG Integration and Green Computing: A 20-Year Bibliometric Analysis. </w:t>
      </w:r>
      <w:r w:rsidR="00586FAA" w:rsidRPr="00586FAA">
        <w:rPr>
          <w:rFonts w:ascii="Arial" w:hAnsi="Arial" w:cs="Arial"/>
          <w:i/>
          <w:iCs/>
          <w:noProof/>
          <w:szCs w:val="24"/>
        </w:rPr>
        <w:t>Sustainability (Switzerland)</w:t>
      </w:r>
      <w:r w:rsidR="00586FAA" w:rsidRPr="00586FAA">
        <w:rPr>
          <w:rFonts w:ascii="Arial" w:hAnsi="Arial" w:cs="Arial"/>
          <w:noProof/>
          <w:szCs w:val="24"/>
        </w:rPr>
        <w:t xml:space="preserve">, </w:t>
      </w:r>
      <w:r w:rsidR="00586FAA" w:rsidRPr="00586FAA">
        <w:rPr>
          <w:rFonts w:ascii="Arial" w:hAnsi="Arial" w:cs="Arial"/>
          <w:i/>
          <w:iCs/>
          <w:noProof/>
          <w:szCs w:val="24"/>
        </w:rPr>
        <w:t>17</w:t>
      </w:r>
      <w:r w:rsidR="00586FAA" w:rsidRPr="00586FAA">
        <w:rPr>
          <w:rFonts w:ascii="Arial" w:hAnsi="Arial" w:cs="Arial"/>
          <w:noProof/>
          <w:szCs w:val="24"/>
        </w:rPr>
        <w:t>(7). https://doi.org/10.3390/su17073266</w:t>
      </w:r>
    </w:p>
    <w:p w:rsidR="00586FAA" w:rsidRPr="00586FAA" w:rsidRDefault="00586FAA" w:rsidP="00586FAA">
      <w:pPr>
        <w:widowControl w:val="0"/>
        <w:autoSpaceDE w:val="0"/>
        <w:autoSpaceDN w:val="0"/>
        <w:adjustRightInd w:val="0"/>
        <w:ind w:left="480" w:hanging="480"/>
        <w:jc w:val="both"/>
        <w:rPr>
          <w:rFonts w:ascii="Arial" w:hAnsi="Arial" w:cs="Arial"/>
          <w:noProof/>
          <w:szCs w:val="24"/>
        </w:rPr>
      </w:pPr>
      <w:r w:rsidRPr="00586FAA">
        <w:rPr>
          <w:rFonts w:ascii="Arial" w:hAnsi="Arial" w:cs="Arial"/>
          <w:noProof/>
          <w:szCs w:val="24"/>
        </w:rPr>
        <w:t xml:space="preserve">Bo, L., &amp; Li, J. (2025). The impact of ESG and corporate digital transformation on corporate performance in Chinese firms. </w:t>
      </w:r>
      <w:r w:rsidRPr="00586FAA">
        <w:rPr>
          <w:rFonts w:ascii="Arial" w:hAnsi="Arial" w:cs="Arial"/>
          <w:i/>
          <w:iCs/>
          <w:noProof/>
          <w:szCs w:val="24"/>
        </w:rPr>
        <w:t>Sustainable Futures</w:t>
      </w:r>
      <w:r w:rsidRPr="00586FAA">
        <w:rPr>
          <w:rFonts w:ascii="Arial" w:hAnsi="Arial" w:cs="Arial"/>
          <w:noProof/>
          <w:szCs w:val="24"/>
        </w:rPr>
        <w:t xml:space="preserve">, </w:t>
      </w:r>
      <w:r w:rsidRPr="00586FAA">
        <w:rPr>
          <w:rFonts w:ascii="Arial" w:hAnsi="Arial" w:cs="Arial"/>
          <w:i/>
          <w:iCs/>
          <w:noProof/>
          <w:szCs w:val="24"/>
        </w:rPr>
        <w:t>9</w:t>
      </w:r>
      <w:r w:rsidRPr="00586FAA">
        <w:rPr>
          <w:rFonts w:ascii="Arial" w:hAnsi="Arial" w:cs="Arial"/>
          <w:noProof/>
          <w:szCs w:val="24"/>
        </w:rPr>
        <w:t>(May). https://doi.org/10.1016/j.sftr.2025.100774</w:t>
      </w:r>
    </w:p>
    <w:p w:rsidR="00586FAA" w:rsidRPr="00586FAA" w:rsidRDefault="00586FAA" w:rsidP="00586FAA">
      <w:pPr>
        <w:widowControl w:val="0"/>
        <w:autoSpaceDE w:val="0"/>
        <w:autoSpaceDN w:val="0"/>
        <w:adjustRightInd w:val="0"/>
        <w:ind w:left="480" w:hanging="480"/>
        <w:jc w:val="both"/>
        <w:rPr>
          <w:rFonts w:ascii="Arial" w:hAnsi="Arial" w:cs="Arial"/>
          <w:noProof/>
          <w:szCs w:val="24"/>
        </w:rPr>
      </w:pPr>
      <w:r w:rsidRPr="00586FAA">
        <w:rPr>
          <w:rFonts w:ascii="Arial" w:hAnsi="Arial" w:cs="Arial"/>
          <w:noProof/>
          <w:szCs w:val="24"/>
        </w:rPr>
        <w:t xml:space="preserve">Che, X., Song, C., &amp; Li, J. (2024). How Do Corporate Environmental, Social, and Governance (ESG) Factors Affect Financial Performance? </w:t>
      </w:r>
      <w:r w:rsidRPr="00586FAA">
        <w:rPr>
          <w:rFonts w:ascii="Arial" w:hAnsi="Arial" w:cs="Arial"/>
          <w:i/>
          <w:iCs/>
          <w:noProof/>
          <w:szCs w:val="24"/>
        </w:rPr>
        <w:t>Sustainability (Switzerland)</w:t>
      </w:r>
      <w:r w:rsidRPr="00586FAA">
        <w:rPr>
          <w:rFonts w:ascii="Arial" w:hAnsi="Arial" w:cs="Arial"/>
          <w:noProof/>
          <w:szCs w:val="24"/>
        </w:rPr>
        <w:t xml:space="preserve">, </w:t>
      </w:r>
      <w:r w:rsidRPr="00586FAA">
        <w:rPr>
          <w:rFonts w:ascii="Arial" w:hAnsi="Arial" w:cs="Arial"/>
          <w:i/>
          <w:iCs/>
          <w:noProof/>
          <w:szCs w:val="24"/>
        </w:rPr>
        <w:t>16</w:t>
      </w:r>
      <w:r w:rsidRPr="00586FAA">
        <w:rPr>
          <w:rFonts w:ascii="Arial" w:hAnsi="Arial" w:cs="Arial"/>
          <w:noProof/>
          <w:szCs w:val="24"/>
        </w:rPr>
        <w:t>(23), 1–23. https://doi.org/10.3390/su162310347</w:t>
      </w:r>
    </w:p>
    <w:p w:rsidR="00586FAA" w:rsidRPr="00586FAA" w:rsidRDefault="00586FAA" w:rsidP="00586FAA">
      <w:pPr>
        <w:widowControl w:val="0"/>
        <w:autoSpaceDE w:val="0"/>
        <w:autoSpaceDN w:val="0"/>
        <w:adjustRightInd w:val="0"/>
        <w:ind w:left="480" w:hanging="480"/>
        <w:jc w:val="both"/>
        <w:rPr>
          <w:rFonts w:ascii="Arial" w:hAnsi="Arial" w:cs="Arial"/>
          <w:noProof/>
          <w:szCs w:val="24"/>
        </w:rPr>
      </w:pPr>
      <w:r w:rsidRPr="00586FAA">
        <w:rPr>
          <w:rFonts w:ascii="Arial" w:hAnsi="Arial" w:cs="Arial"/>
          <w:noProof/>
          <w:szCs w:val="24"/>
        </w:rPr>
        <w:t xml:space="preserve">Clyde, V., Ismail, T., Abu, I., &amp; Bastian, E. (2025). </w:t>
      </w:r>
      <w:r w:rsidRPr="00586FAA">
        <w:rPr>
          <w:rFonts w:ascii="Arial" w:hAnsi="Arial" w:cs="Arial"/>
          <w:i/>
          <w:iCs/>
          <w:noProof/>
          <w:szCs w:val="24"/>
        </w:rPr>
        <w:t>The Mediating Role of Organizational Citizenship Behavior and Product Creativity between Risk-taking Tendency , Transformational Leadership and Performance</w:t>
      </w:r>
      <w:r w:rsidRPr="00586FAA">
        <w:rPr>
          <w:rFonts w:ascii="Arial" w:hAnsi="Arial" w:cs="Arial"/>
          <w:noProof/>
          <w:szCs w:val="24"/>
        </w:rPr>
        <w:t xml:space="preserve">. </w:t>
      </w:r>
      <w:r w:rsidRPr="00586FAA">
        <w:rPr>
          <w:rFonts w:ascii="Arial" w:hAnsi="Arial" w:cs="Arial"/>
          <w:i/>
          <w:iCs/>
          <w:noProof/>
          <w:szCs w:val="24"/>
        </w:rPr>
        <w:t>25</w:t>
      </w:r>
      <w:r w:rsidRPr="00586FAA">
        <w:rPr>
          <w:rFonts w:ascii="Arial" w:hAnsi="Arial" w:cs="Arial"/>
          <w:noProof/>
          <w:szCs w:val="24"/>
        </w:rPr>
        <w:t>(10), 158–175.</w:t>
      </w:r>
    </w:p>
    <w:p w:rsidR="00586FAA" w:rsidRPr="00586FAA" w:rsidRDefault="00586FAA" w:rsidP="00586FAA">
      <w:pPr>
        <w:widowControl w:val="0"/>
        <w:autoSpaceDE w:val="0"/>
        <w:autoSpaceDN w:val="0"/>
        <w:adjustRightInd w:val="0"/>
        <w:ind w:left="480" w:hanging="480"/>
        <w:jc w:val="both"/>
        <w:rPr>
          <w:rFonts w:ascii="Arial" w:hAnsi="Arial" w:cs="Arial"/>
          <w:noProof/>
          <w:szCs w:val="24"/>
        </w:rPr>
      </w:pPr>
      <w:r w:rsidRPr="00586FAA">
        <w:rPr>
          <w:rFonts w:ascii="Arial" w:hAnsi="Arial" w:cs="Arial"/>
          <w:noProof/>
          <w:szCs w:val="24"/>
        </w:rPr>
        <w:t xml:space="preserve">Dian Pramitya Khairunnisa, &amp; -, E. W. (2023). Pengaruh Kinerja Esg Terhadap Kinerja Keuangan Perusahaan. </w:t>
      </w:r>
      <w:r w:rsidRPr="00586FAA">
        <w:rPr>
          <w:rFonts w:ascii="Arial" w:hAnsi="Arial" w:cs="Arial"/>
          <w:i/>
          <w:iCs/>
          <w:noProof/>
          <w:szCs w:val="24"/>
        </w:rPr>
        <w:t>Jurnal Riset Akuntansi Aksioma</w:t>
      </w:r>
      <w:r w:rsidRPr="00586FAA">
        <w:rPr>
          <w:rFonts w:ascii="Arial" w:hAnsi="Arial" w:cs="Arial"/>
          <w:noProof/>
          <w:szCs w:val="24"/>
        </w:rPr>
        <w:t xml:space="preserve">, </w:t>
      </w:r>
      <w:r w:rsidRPr="00586FAA">
        <w:rPr>
          <w:rFonts w:ascii="Arial" w:hAnsi="Arial" w:cs="Arial"/>
          <w:i/>
          <w:iCs/>
          <w:noProof/>
          <w:szCs w:val="24"/>
        </w:rPr>
        <w:t>22</w:t>
      </w:r>
      <w:r w:rsidRPr="00586FAA">
        <w:rPr>
          <w:rFonts w:ascii="Arial" w:hAnsi="Arial" w:cs="Arial"/>
          <w:noProof/>
          <w:szCs w:val="24"/>
        </w:rPr>
        <w:t>(2), 16–27. https://doi.org/10.29303/aksioma.v22i2.218</w:t>
      </w:r>
    </w:p>
    <w:p w:rsidR="00586FAA" w:rsidRPr="00586FAA" w:rsidRDefault="00586FAA" w:rsidP="00586FAA">
      <w:pPr>
        <w:widowControl w:val="0"/>
        <w:autoSpaceDE w:val="0"/>
        <w:autoSpaceDN w:val="0"/>
        <w:adjustRightInd w:val="0"/>
        <w:ind w:left="480" w:hanging="480"/>
        <w:jc w:val="both"/>
        <w:rPr>
          <w:rFonts w:ascii="Arial" w:hAnsi="Arial" w:cs="Arial"/>
          <w:noProof/>
          <w:szCs w:val="24"/>
        </w:rPr>
      </w:pPr>
      <w:r w:rsidRPr="00586FAA">
        <w:rPr>
          <w:rFonts w:ascii="Arial" w:hAnsi="Arial" w:cs="Arial"/>
          <w:noProof/>
          <w:szCs w:val="24"/>
        </w:rPr>
        <w:t xml:space="preserve">Dwicahyani, R. R., Shafira, A. H., Maulana, N., &amp; Mandalia, S. (2025). Halal Tourism Among Gen Z: Analyzing the Effect of Halal Awareness and Destination Trust on Visit Intention With Religiosity As a Mediator. </w:t>
      </w:r>
      <w:r w:rsidRPr="00586FAA">
        <w:rPr>
          <w:rFonts w:ascii="Arial" w:hAnsi="Arial" w:cs="Arial"/>
          <w:i/>
          <w:iCs/>
          <w:noProof/>
          <w:szCs w:val="24"/>
        </w:rPr>
        <w:t>Jurnal Ekonomi Dan Bisnis Islam (Journal of Islamic Economics and Business)</w:t>
      </w:r>
      <w:r w:rsidRPr="00586FAA">
        <w:rPr>
          <w:rFonts w:ascii="Arial" w:hAnsi="Arial" w:cs="Arial"/>
          <w:noProof/>
          <w:szCs w:val="24"/>
        </w:rPr>
        <w:t xml:space="preserve">, </w:t>
      </w:r>
      <w:r w:rsidRPr="00586FAA">
        <w:rPr>
          <w:rFonts w:ascii="Arial" w:hAnsi="Arial" w:cs="Arial"/>
          <w:i/>
          <w:iCs/>
          <w:noProof/>
          <w:szCs w:val="24"/>
        </w:rPr>
        <w:t>11</w:t>
      </w:r>
      <w:r w:rsidRPr="00586FAA">
        <w:rPr>
          <w:rFonts w:ascii="Arial" w:hAnsi="Arial" w:cs="Arial"/>
          <w:noProof/>
          <w:szCs w:val="24"/>
        </w:rPr>
        <w:t>(1), 1–21. https://doi.org/10.20473/jebis.v11i1.59898</w:t>
      </w:r>
    </w:p>
    <w:p w:rsidR="00586FAA" w:rsidRPr="00586FAA" w:rsidRDefault="00586FAA" w:rsidP="00586FAA">
      <w:pPr>
        <w:widowControl w:val="0"/>
        <w:autoSpaceDE w:val="0"/>
        <w:autoSpaceDN w:val="0"/>
        <w:adjustRightInd w:val="0"/>
        <w:ind w:left="480" w:hanging="480"/>
        <w:jc w:val="both"/>
        <w:rPr>
          <w:rFonts w:ascii="Arial" w:hAnsi="Arial" w:cs="Arial"/>
          <w:noProof/>
          <w:szCs w:val="24"/>
        </w:rPr>
      </w:pPr>
      <w:r w:rsidRPr="00586FAA">
        <w:rPr>
          <w:rFonts w:ascii="Arial" w:hAnsi="Arial" w:cs="Arial"/>
          <w:noProof/>
          <w:szCs w:val="24"/>
        </w:rPr>
        <w:t xml:space="preserve">Era Vivianti Husada, S. H. (2021a). 445668-None-45738a32. </w:t>
      </w:r>
      <w:r w:rsidRPr="00586FAA">
        <w:rPr>
          <w:rFonts w:ascii="Arial" w:hAnsi="Arial" w:cs="Arial"/>
          <w:i/>
          <w:iCs/>
          <w:noProof/>
          <w:szCs w:val="24"/>
        </w:rPr>
        <w:t>Jurnal Bina Akuntansi</w:t>
      </w:r>
      <w:r w:rsidRPr="00586FAA">
        <w:rPr>
          <w:rFonts w:ascii="Arial" w:hAnsi="Arial" w:cs="Arial"/>
          <w:noProof/>
          <w:szCs w:val="24"/>
        </w:rPr>
        <w:t xml:space="preserve">, </w:t>
      </w:r>
      <w:r w:rsidRPr="00586FAA">
        <w:rPr>
          <w:rFonts w:ascii="Arial" w:hAnsi="Arial" w:cs="Arial"/>
          <w:i/>
          <w:iCs/>
          <w:noProof/>
          <w:szCs w:val="24"/>
        </w:rPr>
        <w:t>8</w:t>
      </w:r>
      <w:r w:rsidRPr="00586FAA">
        <w:rPr>
          <w:rFonts w:ascii="Arial" w:hAnsi="Arial" w:cs="Arial"/>
          <w:noProof/>
          <w:szCs w:val="24"/>
        </w:rPr>
        <w:t>(2), 122–144.</w:t>
      </w:r>
    </w:p>
    <w:p w:rsidR="00586FAA" w:rsidRPr="00586FAA" w:rsidRDefault="00586FAA" w:rsidP="00586FAA">
      <w:pPr>
        <w:widowControl w:val="0"/>
        <w:autoSpaceDE w:val="0"/>
        <w:autoSpaceDN w:val="0"/>
        <w:adjustRightInd w:val="0"/>
        <w:ind w:left="480" w:hanging="480"/>
        <w:jc w:val="both"/>
        <w:rPr>
          <w:rFonts w:ascii="Arial" w:hAnsi="Arial" w:cs="Arial"/>
          <w:noProof/>
          <w:szCs w:val="24"/>
        </w:rPr>
      </w:pPr>
      <w:r w:rsidRPr="00586FAA">
        <w:rPr>
          <w:rFonts w:ascii="Arial" w:hAnsi="Arial" w:cs="Arial"/>
          <w:noProof/>
          <w:szCs w:val="24"/>
        </w:rPr>
        <w:t xml:space="preserve">Era Vivianti Husada, S. H. (2021b). 445668-None-45738a32. </w:t>
      </w:r>
      <w:r w:rsidRPr="00586FAA">
        <w:rPr>
          <w:rFonts w:ascii="Arial" w:hAnsi="Arial" w:cs="Arial"/>
          <w:i/>
          <w:iCs/>
          <w:noProof/>
          <w:szCs w:val="24"/>
        </w:rPr>
        <w:t>Jurnal Bina Akuntansi</w:t>
      </w:r>
      <w:r w:rsidRPr="00586FAA">
        <w:rPr>
          <w:rFonts w:ascii="Arial" w:hAnsi="Arial" w:cs="Arial"/>
          <w:noProof/>
          <w:szCs w:val="24"/>
        </w:rPr>
        <w:t xml:space="preserve">, </w:t>
      </w:r>
      <w:r w:rsidRPr="00586FAA">
        <w:rPr>
          <w:rFonts w:ascii="Arial" w:hAnsi="Arial" w:cs="Arial"/>
          <w:i/>
          <w:iCs/>
          <w:noProof/>
          <w:szCs w:val="24"/>
        </w:rPr>
        <w:t>8</w:t>
      </w:r>
      <w:r w:rsidRPr="00586FAA">
        <w:rPr>
          <w:rFonts w:ascii="Arial" w:hAnsi="Arial" w:cs="Arial"/>
          <w:noProof/>
          <w:szCs w:val="24"/>
        </w:rPr>
        <w:t>(2), 122–144.</w:t>
      </w:r>
    </w:p>
    <w:p w:rsidR="00586FAA" w:rsidRPr="00586FAA" w:rsidRDefault="00586FAA" w:rsidP="00586FAA">
      <w:pPr>
        <w:widowControl w:val="0"/>
        <w:autoSpaceDE w:val="0"/>
        <w:autoSpaceDN w:val="0"/>
        <w:adjustRightInd w:val="0"/>
        <w:ind w:left="480" w:hanging="480"/>
        <w:jc w:val="both"/>
        <w:rPr>
          <w:rFonts w:ascii="Arial" w:hAnsi="Arial" w:cs="Arial"/>
          <w:noProof/>
          <w:szCs w:val="24"/>
        </w:rPr>
      </w:pPr>
      <w:r w:rsidRPr="00586FAA">
        <w:rPr>
          <w:rFonts w:ascii="Arial" w:hAnsi="Arial" w:cs="Arial"/>
          <w:noProof/>
          <w:szCs w:val="24"/>
        </w:rPr>
        <w:t xml:space="preserve">Fometescu, A., Hategan, C. D., &amp; Pitorac, R. I. (2024). How Responsible Are Energy and Utilities Companies in Terms of Sustainability and Economic Development? </w:t>
      </w:r>
      <w:r w:rsidRPr="00586FAA">
        <w:rPr>
          <w:rFonts w:ascii="Arial" w:hAnsi="Arial" w:cs="Arial"/>
          <w:i/>
          <w:iCs/>
          <w:noProof/>
          <w:szCs w:val="24"/>
        </w:rPr>
        <w:t>Energies</w:t>
      </w:r>
      <w:r w:rsidRPr="00586FAA">
        <w:rPr>
          <w:rFonts w:ascii="Arial" w:hAnsi="Arial" w:cs="Arial"/>
          <w:noProof/>
          <w:szCs w:val="24"/>
        </w:rPr>
        <w:t xml:space="preserve">, </w:t>
      </w:r>
      <w:r w:rsidRPr="00586FAA">
        <w:rPr>
          <w:rFonts w:ascii="Arial" w:hAnsi="Arial" w:cs="Arial"/>
          <w:i/>
          <w:iCs/>
          <w:noProof/>
          <w:szCs w:val="24"/>
        </w:rPr>
        <w:t>17</w:t>
      </w:r>
      <w:r w:rsidRPr="00586FAA">
        <w:rPr>
          <w:rFonts w:ascii="Arial" w:hAnsi="Arial" w:cs="Arial"/>
          <w:noProof/>
          <w:szCs w:val="24"/>
        </w:rPr>
        <w:t>(23), 1–20. https://doi.org/10.3390/en17236209</w:t>
      </w:r>
    </w:p>
    <w:p w:rsidR="00586FAA" w:rsidRPr="00586FAA" w:rsidRDefault="00586FAA" w:rsidP="00586FAA">
      <w:pPr>
        <w:widowControl w:val="0"/>
        <w:autoSpaceDE w:val="0"/>
        <w:autoSpaceDN w:val="0"/>
        <w:adjustRightInd w:val="0"/>
        <w:ind w:left="480" w:hanging="480"/>
        <w:jc w:val="both"/>
        <w:rPr>
          <w:rFonts w:ascii="Arial" w:hAnsi="Arial" w:cs="Arial"/>
          <w:noProof/>
          <w:szCs w:val="24"/>
        </w:rPr>
      </w:pPr>
      <w:r w:rsidRPr="00586FAA">
        <w:rPr>
          <w:rFonts w:ascii="Arial" w:hAnsi="Arial" w:cs="Arial"/>
          <w:noProof/>
          <w:szCs w:val="24"/>
        </w:rPr>
        <w:t xml:space="preserve">Hernando, H., Shahzad, S., &amp; Nurmalasari, N. (2025). Technological Factors and Social </w:t>
      </w:r>
      <w:r w:rsidRPr="00586FAA">
        <w:rPr>
          <w:rFonts w:ascii="Arial" w:hAnsi="Arial" w:cs="Arial"/>
          <w:noProof/>
          <w:szCs w:val="24"/>
        </w:rPr>
        <w:lastRenderedPageBreak/>
        <w:t xml:space="preserve">Media Adoption Among Micro-Enterprises: the Moderating Role of Personal Innovativeness. </w:t>
      </w:r>
      <w:r w:rsidRPr="00586FAA">
        <w:rPr>
          <w:rFonts w:ascii="Arial" w:hAnsi="Arial" w:cs="Arial"/>
          <w:i/>
          <w:iCs/>
          <w:noProof/>
          <w:szCs w:val="24"/>
        </w:rPr>
        <w:t>Jurnal Ekonomi Dan Bisnis Airlangga</w:t>
      </w:r>
      <w:r w:rsidRPr="00586FAA">
        <w:rPr>
          <w:rFonts w:ascii="Arial" w:hAnsi="Arial" w:cs="Arial"/>
          <w:noProof/>
          <w:szCs w:val="24"/>
        </w:rPr>
        <w:t xml:space="preserve">, </w:t>
      </w:r>
      <w:r w:rsidRPr="00586FAA">
        <w:rPr>
          <w:rFonts w:ascii="Arial" w:hAnsi="Arial" w:cs="Arial"/>
          <w:i/>
          <w:iCs/>
          <w:noProof/>
          <w:szCs w:val="24"/>
        </w:rPr>
        <w:t>35</w:t>
      </w:r>
      <w:r w:rsidRPr="00586FAA">
        <w:rPr>
          <w:rFonts w:ascii="Arial" w:hAnsi="Arial" w:cs="Arial"/>
          <w:noProof/>
          <w:szCs w:val="24"/>
        </w:rPr>
        <w:t>(1), 49–65. https://doi.org/10.20473/jeba.v35i12025.49-65</w:t>
      </w:r>
    </w:p>
    <w:p w:rsidR="00586FAA" w:rsidRPr="00586FAA" w:rsidRDefault="00586FAA" w:rsidP="00586FAA">
      <w:pPr>
        <w:widowControl w:val="0"/>
        <w:autoSpaceDE w:val="0"/>
        <w:autoSpaceDN w:val="0"/>
        <w:adjustRightInd w:val="0"/>
        <w:ind w:left="480" w:hanging="480"/>
        <w:jc w:val="both"/>
        <w:rPr>
          <w:rFonts w:ascii="Arial" w:hAnsi="Arial" w:cs="Arial"/>
          <w:noProof/>
          <w:szCs w:val="24"/>
        </w:rPr>
      </w:pPr>
      <w:r w:rsidRPr="00586FAA">
        <w:rPr>
          <w:rFonts w:ascii="Arial" w:hAnsi="Arial" w:cs="Arial"/>
          <w:noProof/>
          <w:szCs w:val="24"/>
        </w:rPr>
        <w:t xml:space="preserve">Heryana, R. P., &amp; Soeratin, H. Z. (2025). Analisis Pengaruh ESG Terhadap Kinerja Keuangan Perusahaan Dengan Transformasi Digital Sebagai Variabel Pemoderasi. </w:t>
      </w:r>
      <w:r w:rsidRPr="00586FAA">
        <w:rPr>
          <w:rFonts w:ascii="Arial" w:hAnsi="Arial" w:cs="Arial"/>
          <w:i/>
          <w:iCs/>
          <w:noProof/>
          <w:szCs w:val="24"/>
        </w:rPr>
        <w:t>Journal of Business Economics and Management</w:t>
      </w:r>
      <w:r w:rsidRPr="00586FAA">
        <w:rPr>
          <w:rFonts w:ascii="Arial" w:hAnsi="Arial" w:cs="Arial"/>
          <w:noProof/>
          <w:szCs w:val="24"/>
        </w:rPr>
        <w:t xml:space="preserve">, </w:t>
      </w:r>
      <w:r w:rsidRPr="00586FAA">
        <w:rPr>
          <w:rFonts w:ascii="Arial" w:hAnsi="Arial" w:cs="Arial"/>
          <w:i/>
          <w:iCs/>
          <w:noProof/>
          <w:szCs w:val="24"/>
        </w:rPr>
        <w:t>01</w:t>
      </w:r>
      <w:r w:rsidRPr="00586FAA">
        <w:rPr>
          <w:rFonts w:ascii="Arial" w:hAnsi="Arial" w:cs="Arial"/>
          <w:noProof/>
          <w:szCs w:val="24"/>
        </w:rPr>
        <w:t>(03), 373–380.</w:t>
      </w:r>
    </w:p>
    <w:p w:rsidR="00586FAA" w:rsidRPr="00586FAA" w:rsidRDefault="00586FAA" w:rsidP="00586FAA">
      <w:pPr>
        <w:widowControl w:val="0"/>
        <w:autoSpaceDE w:val="0"/>
        <w:autoSpaceDN w:val="0"/>
        <w:adjustRightInd w:val="0"/>
        <w:ind w:left="480" w:hanging="480"/>
        <w:jc w:val="both"/>
        <w:rPr>
          <w:rFonts w:ascii="Arial" w:hAnsi="Arial" w:cs="Arial"/>
          <w:noProof/>
          <w:szCs w:val="24"/>
        </w:rPr>
      </w:pPr>
      <w:r w:rsidRPr="00586FAA">
        <w:rPr>
          <w:rFonts w:ascii="Arial" w:hAnsi="Arial" w:cs="Arial"/>
          <w:noProof/>
          <w:szCs w:val="24"/>
        </w:rPr>
        <w:t xml:space="preserve">Husada, E. V., &amp; Handayani, S. (2021). Pengaruh Pengungkapan Esg Terhadap Kinerja Keuangan Perusahaan (Studi Empiris Pada Perusahaan Sektor Keuangan Yang Terdaftar Di Bei Periode 2017-2019). </w:t>
      </w:r>
      <w:r w:rsidRPr="00586FAA">
        <w:rPr>
          <w:rFonts w:ascii="Arial" w:hAnsi="Arial" w:cs="Arial"/>
          <w:i/>
          <w:iCs/>
          <w:noProof/>
          <w:szCs w:val="24"/>
        </w:rPr>
        <w:t>Jurnal Bina Akuntansi</w:t>
      </w:r>
      <w:r w:rsidRPr="00586FAA">
        <w:rPr>
          <w:rFonts w:ascii="Arial" w:hAnsi="Arial" w:cs="Arial"/>
          <w:noProof/>
          <w:szCs w:val="24"/>
        </w:rPr>
        <w:t xml:space="preserve">, </w:t>
      </w:r>
      <w:r w:rsidRPr="00586FAA">
        <w:rPr>
          <w:rFonts w:ascii="Arial" w:hAnsi="Arial" w:cs="Arial"/>
          <w:i/>
          <w:iCs/>
          <w:noProof/>
          <w:szCs w:val="24"/>
        </w:rPr>
        <w:t>8</w:t>
      </w:r>
      <w:r w:rsidRPr="00586FAA">
        <w:rPr>
          <w:rFonts w:ascii="Arial" w:hAnsi="Arial" w:cs="Arial"/>
          <w:noProof/>
          <w:szCs w:val="24"/>
        </w:rPr>
        <w:t>(2), 122–144. https://doi.org/10.52859/jba.v8i2.173</w:t>
      </w:r>
    </w:p>
    <w:p w:rsidR="00586FAA" w:rsidRPr="00586FAA" w:rsidRDefault="00586FAA" w:rsidP="00586FAA">
      <w:pPr>
        <w:widowControl w:val="0"/>
        <w:autoSpaceDE w:val="0"/>
        <w:autoSpaceDN w:val="0"/>
        <w:adjustRightInd w:val="0"/>
        <w:ind w:left="480" w:hanging="480"/>
        <w:jc w:val="both"/>
        <w:rPr>
          <w:rFonts w:ascii="Arial" w:hAnsi="Arial" w:cs="Arial"/>
          <w:noProof/>
          <w:szCs w:val="24"/>
        </w:rPr>
      </w:pPr>
      <w:r w:rsidRPr="00586FAA">
        <w:rPr>
          <w:rFonts w:ascii="Arial" w:hAnsi="Arial" w:cs="Arial"/>
          <w:noProof/>
          <w:szCs w:val="24"/>
        </w:rPr>
        <w:t xml:space="preserve">Kartika, D., &amp; Fadjrih, N. (2025). </w:t>
      </w:r>
      <w:r w:rsidRPr="00586FAA">
        <w:rPr>
          <w:rFonts w:ascii="Arial" w:hAnsi="Arial" w:cs="Arial"/>
          <w:i/>
          <w:iCs/>
          <w:noProof/>
          <w:szCs w:val="24"/>
        </w:rPr>
        <w:t>Firm Characteristics , Capital Structure and Financial Reporting Timeliness : The Mediating Role of Financial Performance in Indonesian Food and Beverage Companies</w:t>
      </w:r>
      <w:r w:rsidRPr="00586FAA">
        <w:rPr>
          <w:rFonts w:ascii="Arial" w:hAnsi="Arial" w:cs="Arial"/>
          <w:noProof/>
          <w:szCs w:val="24"/>
        </w:rPr>
        <w:t xml:space="preserve">. </w:t>
      </w:r>
      <w:r w:rsidRPr="00586FAA">
        <w:rPr>
          <w:rFonts w:ascii="Arial" w:hAnsi="Arial" w:cs="Arial"/>
          <w:i/>
          <w:iCs/>
          <w:noProof/>
          <w:szCs w:val="24"/>
        </w:rPr>
        <w:t>25</w:t>
      </w:r>
      <w:r w:rsidRPr="00586FAA">
        <w:rPr>
          <w:rFonts w:ascii="Arial" w:hAnsi="Arial" w:cs="Arial"/>
          <w:noProof/>
          <w:szCs w:val="24"/>
        </w:rPr>
        <w:t>(10), 51–61.</w:t>
      </w:r>
    </w:p>
    <w:p w:rsidR="00586FAA" w:rsidRPr="00586FAA" w:rsidRDefault="00586FAA" w:rsidP="00586FAA">
      <w:pPr>
        <w:widowControl w:val="0"/>
        <w:autoSpaceDE w:val="0"/>
        <w:autoSpaceDN w:val="0"/>
        <w:adjustRightInd w:val="0"/>
        <w:ind w:left="480" w:hanging="480"/>
        <w:jc w:val="both"/>
        <w:rPr>
          <w:rFonts w:ascii="Arial" w:hAnsi="Arial" w:cs="Arial"/>
          <w:noProof/>
          <w:szCs w:val="24"/>
        </w:rPr>
      </w:pPr>
      <w:r w:rsidRPr="00586FAA">
        <w:rPr>
          <w:rFonts w:ascii="Arial" w:hAnsi="Arial" w:cs="Arial"/>
          <w:noProof/>
          <w:szCs w:val="24"/>
        </w:rPr>
        <w:t xml:space="preserve">Khairunnisa, Pramitya, D., &amp; W, E. (2023). Pengaruh Kinerja Esg Terhadap Kinerja Keuangan Perusahaan. </w:t>
      </w:r>
      <w:r w:rsidRPr="00586FAA">
        <w:rPr>
          <w:rFonts w:ascii="Arial" w:hAnsi="Arial" w:cs="Arial"/>
          <w:i/>
          <w:iCs/>
          <w:noProof/>
          <w:szCs w:val="24"/>
        </w:rPr>
        <w:t>Jurnal Riset Akuntansi Aksioma</w:t>
      </w:r>
      <w:r w:rsidRPr="00586FAA">
        <w:rPr>
          <w:rFonts w:ascii="Arial" w:hAnsi="Arial" w:cs="Arial"/>
          <w:noProof/>
          <w:szCs w:val="24"/>
        </w:rPr>
        <w:t xml:space="preserve">, </w:t>
      </w:r>
      <w:r w:rsidRPr="00586FAA">
        <w:rPr>
          <w:rFonts w:ascii="Arial" w:hAnsi="Arial" w:cs="Arial"/>
          <w:i/>
          <w:iCs/>
          <w:noProof/>
          <w:szCs w:val="24"/>
        </w:rPr>
        <w:t>22</w:t>
      </w:r>
      <w:r w:rsidRPr="00586FAA">
        <w:rPr>
          <w:rFonts w:ascii="Arial" w:hAnsi="Arial" w:cs="Arial"/>
          <w:noProof/>
          <w:szCs w:val="24"/>
        </w:rPr>
        <w:t>(2), 167–186.</w:t>
      </w:r>
    </w:p>
    <w:p w:rsidR="00586FAA" w:rsidRPr="00586FAA" w:rsidRDefault="00586FAA" w:rsidP="00586FAA">
      <w:pPr>
        <w:widowControl w:val="0"/>
        <w:autoSpaceDE w:val="0"/>
        <w:autoSpaceDN w:val="0"/>
        <w:adjustRightInd w:val="0"/>
        <w:ind w:left="480" w:hanging="480"/>
        <w:jc w:val="both"/>
        <w:rPr>
          <w:rFonts w:ascii="Arial" w:hAnsi="Arial" w:cs="Arial"/>
          <w:noProof/>
          <w:szCs w:val="24"/>
        </w:rPr>
      </w:pPr>
      <w:r w:rsidRPr="00586FAA">
        <w:rPr>
          <w:rFonts w:ascii="Arial" w:hAnsi="Arial" w:cs="Arial"/>
          <w:noProof/>
          <w:szCs w:val="24"/>
        </w:rPr>
        <w:t xml:space="preserve">Koesmono, T., Setya, C., &amp; Wahyuni, B. (2025). </w:t>
      </w:r>
      <w:r w:rsidRPr="00586FAA">
        <w:rPr>
          <w:rFonts w:ascii="Arial" w:hAnsi="Arial" w:cs="Arial"/>
          <w:i/>
          <w:iCs/>
          <w:noProof/>
          <w:szCs w:val="24"/>
        </w:rPr>
        <w:t>Analysis the Effect of Job Enrichment , Job Engagement , Team Work and Organization Culture on Organizational Commitment with Job Satisfaction as Mediating Variable on Vocational School Surabaya</w:t>
      </w:r>
      <w:r w:rsidRPr="00586FAA">
        <w:rPr>
          <w:rFonts w:ascii="Arial" w:hAnsi="Arial" w:cs="Arial"/>
          <w:noProof/>
          <w:szCs w:val="24"/>
        </w:rPr>
        <w:t xml:space="preserve">. </w:t>
      </w:r>
      <w:r w:rsidRPr="00586FAA">
        <w:rPr>
          <w:rFonts w:ascii="Arial" w:hAnsi="Arial" w:cs="Arial"/>
          <w:i/>
          <w:iCs/>
          <w:noProof/>
          <w:szCs w:val="24"/>
        </w:rPr>
        <w:t>25</w:t>
      </w:r>
      <w:r w:rsidRPr="00586FAA">
        <w:rPr>
          <w:rFonts w:ascii="Arial" w:hAnsi="Arial" w:cs="Arial"/>
          <w:noProof/>
          <w:szCs w:val="24"/>
        </w:rPr>
        <w:t>(10), 75–87.</w:t>
      </w:r>
    </w:p>
    <w:p w:rsidR="00586FAA" w:rsidRPr="00586FAA" w:rsidRDefault="00586FAA" w:rsidP="00586FAA">
      <w:pPr>
        <w:widowControl w:val="0"/>
        <w:autoSpaceDE w:val="0"/>
        <w:autoSpaceDN w:val="0"/>
        <w:adjustRightInd w:val="0"/>
        <w:ind w:left="480" w:hanging="480"/>
        <w:jc w:val="both"/>
        <w:rPr>
          <w:rFonts w:ascii="Arial" w:hAnsi="Arial" w:cs="Arial"/>
          <w:noProof/>
          <w:szCs w:val="24"/>
        </w:rPr>
      </w:pPr>
      <w:r w:rsidRPr="00586FAA">
        <w:rPr>
          <w:rFonts w:ascii="Arial" w:hAnsi="Arial" w:cs="Arial"/>
          <w:noProof/>
          <w:szCs w:val="24"/>
        </w:rPr>
        <w:t xml:space="preserve">Kong, L., Akbar, M., &amp; Poulova, P. (2023). The Role of Environment, Social, and Governance Performance in Shaping Corporate Current and Future Value: The Case of Global Tech Leaders. </w:t>
      </w:r>
      <w:r w:rsidRPr="00586FAA">
        <w:rPr>
          <w:rFonts w:ascii="Arial" w:hAnsi="Arial" w:cs="Arial"/>
          <w:i/>
          <w:iCs/>
          <w:noProof/>
          <w:szCs w:val="24"/>
        </w:rPr>
        <w:t>Sustainability (Switzerland)</w:t>
      </w:r>
      <w:r w:rsidRPr="00586FAA">
        <w:rPr>
          <w:rFonts w:ascii="Arial" w:hAnsi="Arial" w:cs="Arial"/>
          <w:noProof/>
          <w:szCs w:val="24"/>
        </w:rPr>
        <w:t xml:space="preserve">, </w:t>
      </w:r>
      <w:r w:rsidRPr="00586FAA">
        <w:rPr>
          <w:rFonts w:ascii="Arial" w:hAnsi="Arial" w:cs="Arial"/>
          <w:i/>
          <w:iCs/>
          <w:noProof/>
          <w:szCs w:val="24"/>
        </w:rPr>
        <w:t>15</w:t>
      </w:r>
      <w:r w:rsidRPr="00586FAA">
        <w:rPr>
          <w:rFonts w:ascii="Arial" w:hAnsi="Arial" w:cs="Arial"/>
          <w:noProof/>
          <w:szCs w:val="24"/>
        </w:rPr>
        <w:t>(17). https://doi.org/10.3390/su151713114</w:t>
      </w:r>
    </w:p>
    <w:p w:rsidR="00586FAA" w:rsidRPr="00586FAA" w:rsidRDefault="00586FAA" w:rsidP="00586FAA">
      <w:pPr>
        <w:widowControl w:val="0"/>
        <w:autoSpaceDE w:val="0"/>
        <w:autoSpaceDN w:val="0"/>
        <w:adjustRightInd w:val="0"/>
        <w:ind w:left="480" w:hanging="480"/>
        <w:jc w:val="both"/>
        <w:rPr>
          <w:rFonts w:ascii="Arial" w:hAnsi="Arial" w:cs="Arial"/>
          <w:noProof/>
          <w:szCs w:val="24"/>
        </w:rPr>
      </w:pPr>
      <w:r w:rsidRPr="00586FAA">
        <w:rPr>
          <w:rFonts w:ascii="Arial" w:hAnsi="Arial" w:cs="Arial"/>
          <w:noProof/>
          <w:szCs w:val="24"/>
        </w:rPr>
        <w:t xml:space="preserve">Li, Y., Zheng, Y., Li, X., &amp; Mu, Z. (2024). The impact of digital transformation on ESG performance. </w:t>
      </w:r>
      <w:r w:rsidRPr="00586FAA">
        <w:rPr>
          <w:rFonts w:ascii="Arial" w:hAnsi="Arial" w:cs="Arial"/>
          <w:i/>
          <w:iCs/>
          <w:noProof/>
          <w:szCs w:val="24"/>
        </w:rPr>
        <w:t>International Review of Economics and Finance</w:t>
      </w:r>
      <w:r w:rsidRPr="00586FAA">
        <w:rPr>
          <w:rFonts w:ascii="Arial" w:hAnsi="Arial" w:cs="Arial"/>
          <w:noProof/>
          <w:szCs w:val="24"/>
        </w:rPr>
        <w:t xml:space="preserve">, </w:t>
      </w:r>
      <w:r w:rsidRPr="00586FAA">
        <w:rPr>
          <w:rFonts w:ascii="Arial" w:hAnsi="Arial" w:cs="Arial"/>
          <w:i/>
          <w:iCs/>
          <w:noProof/>
          <w:szCs w:val="24"/>
        </w:rPr>
        <w:t>96</w:t>
      </w:r>
      <w:r w:rsidRPr="00586FAA">
        <w:rPr>
          <w:rFonts w:ascii="Arial" w:hAnsi="Arial" w:cs="Arial"/>
          <w:noProof/>
          <w:szCs w:val="24"/>
        </w:rPr>
        <w:t>. https://doi.org/10.1016/j.iref.2024.103686</w:t>
      </w:r>
    </w:p>
    <w:p w:rsidR="00586FAA" w:rsidRPr="00586FAA" w:rsidRDefault="00586FAA" w:rsidP="00586FAA">
      <w:pPr>
        <w:widowControl w:val="0"/>
        <w:autoSpaceDE w:val="0"/>
        <w:autoSpaceDN w:val="0"/>
        <w:adjustRightInd w:val="0"/>
        <w:ind w:left="480" w:hanging="480"/>
        <w:jc w:val="both"/>
        <w:rPr>
          <w:rFonts w:ascii="Arial" w:hAnsi="Arial" w:cs="Arial"/>
          <w:noProof/>
          <w:szCs w:val="24"/>
        </w:rPr>
      </w:pPr>
      <w:r w:rsidRPr="00586FAA">
        <w:rPr>
          <w:rFonts w:ascii="Arial" w:hAnsi="Arial" w:cs="Arial"/>
          <w:noProof/>
          <w:szCs w:val="24"/>
        </w:rPr>
        <w:t xml:space="preserve">Linawati, L., Syailendra, S., &amp; Darmansyah, D. (2024). Pengaruh Digital Intellectual Capital Dan Inovasi Berkelanjutan Terhadap Kinerja Keuangan: Peran Mediasi Reputasi Perusahaan Dan Moderasi Transformasi Digital. </w:t>
      </w:r>
      <w:r w:rsidRPr="00586FAA">
        <w:rPr>
          <w:rFonts w:ascii="Arial" w:hAnsi="Arial" w:cs="Arial"/>
          <w:i/>
          <w:iCs/>
          <w:noProof/>
          <w:szCs w:val="24"/>
        </w:rPr>
        <w:t>Jurnal Akuntansi Dan Bisnis Indonesia (JABISI)</w:t>
      </w:r>
      <w:r w:rsidRPr="00586FAA">
        <w:rPr>
          <w:rFonts w:ascii="Arial" w:hAnsi="Arial" w:cs="Arial"/>
          <w:noProof/>
          <w:szCs w:val="24"/>
        </w:rPr>
        <w:t xml:space="preserve">, </w:t>
      </w:r>
      <w:r w:rsidRPr="00586FAA">
        <w:rPr>
          <w:rFonts w:ascii="Arial" w:hAnsi="Arial" w:cs="Arial"/>
          <w:i/>
          <w:iCs/>
          <w:noProof/>
          <w:szCs w:val="24"/>
        </w:rPr>
        <w:t>5</w:t>
      </w:r>
      <w:r w:rsidRPr="00586FAA">
        <w:rPr>
          <w:rFonts w:ascii="Arial" w:hAnsi="Arial" w:cs="Arial"/>
          <w:noProof/>
          <w:szCs w:val="24"/>
        </w:rPr>
        <w:t>(2), 159–170. https://doi.org/10.55122/jabisi.v5i2.1564</w:t>
      </w:r>
    </w:p>
    <w:p w:rsidR="00586FAA" w:rsidRPr="00586FAA" w:rsidRDefault="00586FAA" w:rsidP="00586FAA">
      <w:pPr>
        <w:widowControl w:val="0"/>
        <w:autoSpaceDE w:val="0"/>
        <w:autoSpaceDN w:val="0"/>
        <w:adjustRightInd w:val="0"/>
        <w:ind w:left="480" w:hanging="480"/>
        <w:jc w:val="both"/>
        <w:rPr>
          <w:rFonts w:ascii="Arial" w:hAnsi="Arial" w:cs="Arial"/>
          <w:noProof/>
          <w:szCs w:val="24"/>
        </w:rPr>
      </w:pPr>
      <w:r w:rsidRPr="00586FAA">
        <w:rPr>
          <w:rFonts w:ascii="Arial" w:hAnsi="Arial" w:cs="Arial"/>
          <w:noProof/>
          <w:szCs w:val="24"/>
        </w:rPr>
        <w:t xml:space="preserve">Luo, Z., Li, Y., Nguyen, L. T., Jo, I., &amp; Zhao, J. (2024). The Moderating Role of Country Governance in the Link between ESG and Financial Performance: A Study of Listed Companies in 58 Countries. </w:t>
      </w:r>
      <w:r w:rsidRPr="00586FAA">
        <w:rPr>
          <w:rFonts w:ascii="Arial" w:hAnsi="Arial" w:cs="Arial"/>
          <w:i/>
          <w:iCs/>
          <w:noProof/>
          <w:szCs w:val="24"/>
        </w:rPr>
        <w:t xml:space="preserve">Sustainability (Switzerland) </w:t>
      </w:r>
      <w:r w:rsidRPr="00586FAA">
        <w:rPr>
          <w:rFonts w:ascii="Arial" w:hAnsi="Arial" w:cs="Arial"/>
          <w:noProof/>
          <w:szCs w:val="24"/>
        </w:rPr>
        <w:t xml:space="preserve">, </w:t>
      </w:r>
      <w:r w:rsidRPr="00586FAA">
        <w:rPr>
          <w:rFonts w:ascii="Arial" w:hAnsi="Arial" w:cs="Arial"/>
          <w:i/>
          <w:iCs/>
          <w:noProof/>
          <w:szCs w:val="24"/>
        </w:rPr>
        <w:t>16</w:t>
      </w:r>
      <w:r w:rsidRPr="00586FAA">
        <w:rPr>
          <w:rFonts w:ascii="Arial" w:hAnsi="Arial" w:cs="Arial"/>
          <w:noProof/>
          <w:szCs w:val="24"/>
        </w:rPr>
        <w:t>(13). https://doi.org/10.3390/su16135410</w:t>
      </w:r>
    </w:p>
    <w:p w:rsidR="00586FAA" w:rsidRPr="00586FAA" w:rsidRDefault="00586FAA" w:rsidP="00586FAA">
      <w:pPr>
        <w:widowControl w:val="0"/>
        <w:autoSpaceDE w:val="0"/>
        <w:autoSpaceDN w:val="0"/>
        <w:adjustRightInd w:val="0"/>
        <w:ind w:left="480" w:hanging="480"/>
        <w:jc w:val="both"/>
        <w:rPr>
          <w:rFonts w:ascii="Arial" w:hAnsi="Arial" w:cs="Arial"/>
          <w:noProof/>
          <w:szCs w:val="24"/>
        </w:rPr>
      </w:pPr>
      <w:r w:rsidRPr="00586FAA">
        <w:rPr>
          <w:rFonts w:ascii="Arial" w:hAnsi="Arial" w:cs="Arial"/>
          <w:noProof/>
          <w:szCs w:val="24"/>
        </w:rPr>
        <w:t xml:space="preserve">Morea, D., Iazzolino, G., Giglio, C., Bruni, M. E., Baldissarro, G., &amp; Farinelli, E. (2025). The role of digitalization and ESG on financial performance: An empirical analysis on the Energy and Utilities sectors. </w:t>
      </w:r>
      <w:r w:rsidRPr="00586FAA">
        <w:rPr>
          <w:rFonts w:ascii="Arial" w:hAnsi="Arial" w:cs="Arial"/>
          <w:i/>
          <w:iCs/>
          <w:noProof/>
          <w:szCs w:val="24"/>
        </w:rPr>
        <w:t>PLoS ONE</w:t>
      </w:r>
      <w:r w:rsidRPr="00586FAA">
        <w:rPr>
          <w:rFonts w:ascii="Arial" w:hAnsi="Arial" w:cs="Arial"/>
          <w:noProof/>
          <w:szCs w:val="24"/>
        </w:rPr>
        <w:t xml:space="preserve">, </w:t>
      </w:r>
      <w:r w:rsidRPr="00586FAA">
        <w:rPr>
          <w:rFonts w:ascii="Arial" w:hAnsi="Arial" w:cs="Arial"/>
          <w:i/>
          <w:iCs/>
          <w:noProof/>
          <w:szCs w:val="24"/>
        </w:rPr>
        <w:t>20</w:t>
      </w:r>
      <w:r w:rsidRPr="00586FAA">
        <w:rPr>
          <w:rFonts w:ascii="Arial" w:hAnsi="Arial" w:cs="Arial"/>
          <w:noProof/>
          <w:szCs w:val="24"/>
        </w:rPr>
        <w:t>(2 February), 1–22. https://doi.org/10.1371/journal.pone.0314078</w:t>
      </w:r>
    </w:p>
    <w:p w:rsidR="00586FAA" w:rsidRPr="00586FAA" w:rsidRDefault="00586FAA" w:rsidP="00586FAA">
      <w:pPr>
        <w:widowControl w:val="0"/>
        <w:autoSpaceDE w:val="0"/>
        <w:autoSpaceDN w:val="0"/>
        <w:adjustRightInd w:val="0"/>
        <w:ind w:left="480" w:hanging="480"/>
        <w:jc w:val="both"/>
        <w:rPr>
          <w:rFonts w:ascii="Arial" w:hAnsi="Arial" w:cs="Arial"/>
          <w:noProof/>
          <w:szCs w:val="24"/>
        </w:rPr>
      </w:pPr>
      <w:r w:rsidRPr="00586FAA">
        <w:rPr>
          <w:rFonts w:ascii="Arial" w:hAnsi="Arial" w:cs="Arial"/>
          <w:noProof/>
          <w:szCs w:val="24"/>
        </w:rPr>
        <w:t xml:space="preserve">Mulyana, D., Widyaningsih, A., &amp; Rozali, R. D. Y. (2025). Environmental, Social, and Governance (Esg) Performance and Corporate Value: Unpacking the Moderating Effect of Company Size. </w:t>
      </w:r>
      <w:r w:rsidRPr="00586FAA">
        <w:rPr>
          <w:rFonts w:ascii="Arial" w:hAnsi="Arial" w:cs="Arial"/>
          <w:i/>
          <w:iCs/>
          <w:noProof/>
          <w:szCs w:val="24"/>
        </w:rPr>
        <w:t>Jurnal Ekonomi Dan Bisnis Airlangga</w:t>
      </w:r>
      <w:r w:rsidRPr="00586FAA">
        <w:rPr>
          <w:rFonts w:ascii="Arial" w:hAnsi="Arial" w:cs="Arial"/>
          <w:noProof/>
          <w:szCs w:val="24"/>
        </w:rPr>
        <w:t xml:space="preserve">, </w:t>
      </w:r>
      <w:r w:rsidRPr="00586FAA">
        <w:rPr>
          <w:rFonts w:ascii="Arial" w:hAnsi="Arial" w:cs="Arial"/>
          <w:i/>
          <w:iCs/>
          <w:noProof/>
          <w:szCs w:val="24"/>
        </w:rPr>
        <w:t>35</w:t>
      </w:r>
      <w:r w:rsidRPr="00586FAA">
        <w:rPr>
          <w:rFonts w:ascii="Arial" w:hAnsi="Arial" w:cs="Arial"/>
          <w:noProof/>
          <w:szCs w:val="24"/>
        </w:rPr>
        <w:t>(1), 147–165. https://doi.org/10.20473/jeba.v35i12025.147-165</w:t>
      </w:r>
    </w:p>
    <w:p w:rsidR="00586FAA" w:rsidRPr="00586FAA" w:rsidRDefault="00586FAA" w:rsidP="00586FAA">
      <w:pPr>
        <w:widowControl w:val="0"/>
        <w:autoSpaceDE w:val="0"/>
        <w:autoSpaceDN w:val="0"/>
        <w:adjustRightInd w:val="0"/>
        <w:ind w:left="480" w:hanging="480"/>
        <w:jc w:val="both"/>
        <w:rPr>
          <w:rFonts w:ascii="Arial" w:hAnsi="Arial" w:cs="Arial"/>
          <w:noProof/>
          <w:szCs w:val="24"/>
        </w:rPr>
      </w:pPr>
      <w:r w:rsidRPr="00586FAA">
        <w:rPr>
          <w:rFonts w:ascii="Arial" w:hAnsi="Arial" w:cs="Arial"/>
          <w:noProof/>
          <w:szCs w:val="24"/>
        </w:rPr>
        <w:t xml:space="preserve">Ningsih, S. S., Zaitul, Z., &amp; Ilona, D. (2024). Pengungkapan Esg Dan Efisiensi Investasi Investigasi Peran Kualitas Audit Dan Transformasi Digital Sebagai Variabel Moderasi. </w:t>
      </w:r>
      <w:r w:rsidRPr="00586FAA">
        <w:rPr>
          <w:rFonts w:ascii="Arial" w:hAnsi="Arial" w:cs="Arial"/>
          <w:i/>
          <w:iCs/>
          <w:noProof/>
          <w:szCs w:val="24"/>
        </w:rPr>
        <w:t>Jurnal Akuntansi, Manajemen Dan Ilmu Ekonomi</w:t>
      </w:r>
      <w:r w:rsidRPr="00586FAA">
        <w:rPr>
          <w:rFonts w:ascii="Arial" w:hAnsi="Arial" w:cs="Arial"/>
          <w:noProof/>
          <w:szCs w:val="24"/>
        </w:rPr>
        <w:t xml:space="preserve">, </w:t>
      </w:r>
      <w:r w:rsidRPr="00586FAA">
        <w:rPr>
          <w:rFonts w:ascii="Arial" w:hAnsi="Arial" w:cs="Arial"/>
          <w:i/>
          <w:iCs/>
          <w:noProof/>
          <w:szCs w:val="24"/>
        </w:rPr>
        <w:t>05</w:t>
      </w:r>
      <w:r w:rsidRPr="00586FAA">
        <w:rPr>
          <w:rFonts w:ascii="Arial" w:hAnsi="Arial" w:cs="Arial"/>
          <w:noProof/>
          <w:szCs w:val="24"/>
        </w:rPr>
        <w:t>, 2723–8121.</w:t>
      </w:r>
    </w:p>
    <w:p w:rsidR="00586FAA" w:rsidRPr="00586FAA" w:rsidRDefault="00586FAA" w:rsidP="00586FAA">
      <w:pPr>
        <w:widowControl w:val="0"/>
        <w:autoSpaceDE w:val="0"/>
        <w:autoSpaceDN w:val="0"/>
        <w:adjustRightInd w:val="0"/>
        <w:ind w:left="480" w:hanging="480"/>
        <w:jc w:val="both"/>
        <w:rPr>
          <w:rFonts w:ascii="Arial" w:hAnsi="Arial" w:cs="Arial"/>
          <w:noProof/>
          <w:szCs w:val="24"/>
        </w:rPr>
      </w:pPr>
      <w:r w:rsidRPr="00586FAA">
        <w:rPr>
          <w:rFonts w:ascii="Arial" w:hAnsi="Arial" w:cs="Arial"/>
          <w:noProof/>
          <w:szCs w:val="24"/>
        </w:rPr>
        <w:t xml:space="preserve">Nitlarp, T., &amp; Mayakul, T. (2023). The Implications of Triple Transformation on ESG in the EnergyNitlarp, T., &amp; Mayakul, T. (2023). The Implications of Triple Transformation on ESG in the Energy. Energies, 16(5), 1–26. </w:t>
      </w:r>
      <w:r w:rsidRPr="00586FAA">
        <w:rPr>
          <w:rFonts w:ascii="Arial" w:hAnsi="Arial" w:cs="Arial"/>
          <w:i/>
          <w:iCs/>
          <w:noProof/>
          <w:szCs w:val="24"/>
        </w:rPr>
        <w:t>Energies</w:t>
      </w:r>
      <w:r w:rsidRPr="00586FAA">
        <w:rPr>
          <w:rFonts w:ascii="Arial" w:hAnsi="Arial" w:cs="Arial"/>
          <w:noProof/>
          <w:szCs w:val="24"/>
        </w:rPr>
        <w:t xml:space="preserve">, </w:t>
      </w:r>
      <w:r w:rsidRPr="00586FAA">
        <w:rPr>
          <w:rFonts w:ascii="Arial" w:hAnsi="Arial" w:cs="Arial"/>
          <w:i/>
          <w:iCs/>
          <w:noProof/>
          <w:szCs w:val="24"/>
        </w:rPr>
        <w:t>16</w:t>
      </w:r>
      <w:r w:rsidRPr="00586FAA">
        <w:rPr>
          <w:rFonts w:ascii="Arial" w:hAnsi="Arial" w:cs="Arial"/>
          <w:noProof/>
          <w:szCs w:val="24"/>
        </w:rPr>
        <w:t>(5), 1–26.</w:t>
      </w:r>
    </w:p>
    <w:p w:rsidR="00586FAA" w:rsidRPr="00586FAA" w:rsidRDefault="00586FAA" w:rsidP="00586FAA">
      <w:pPr>
        <w:widowControl w:val="0"/>
        <w:autoSpaceDE w:val="0"/>
        <w:autoSpaceDN w:val="0"/>
        <w:adjustRightInd w:val="0"/>
        <w:ind w:left="480" w:hanging="480"/>
        <w:jc w:val="both"/>
        <w:rPr>
          <w:rFonts w:ascii="Arial" w:hAnsi="Arial" w:cs="Arial"/>
          <w:noProof/>
          <w:szCs w:val="24"/>
        </w:rPr>
      </w:pPr>
      <w:r w:rsidRPr="00586FAA">
        <w:rPr>
          <w:rFonts w:ascii="Arial" w:hAnsi="Arial" w:cs="Arial"/>
          <w:noProof/>
          <w:szCs w:val="24"/>
        </w:rPr>
        <w:t xml:space="preserve">Nugroho, N. A., &amp; Hersugondo Hersugondo. (2022). Analisis Pengaruh Environment, Social, Governance (ESG) Disclosure Terhadap Kinerja Keuangan Perusahaan. </w:t>
      </w:r>
      <w:r w:rsidRPr="00586FAA">
        <w:rPr>
          <w:rFonts w:ascii="Arial" w:hAnsi="Arial" w:cs="Arial"/>
          <w:i/>
          <w:iCs/>
          <w:noProof/>
          <w:szCs w:val="24"/>
        </w:rPr>
        <w:t>E-Bisnis : Jurnal Ilmiah Ekonomi Dan Bisnis</w:t>
      </w:r>
      <w:r w:rsidRPr="00586FAA">
        <w:rPr>
          <w:rFonts w:ascii="Arial" w:hAnsi="Arial" w:cs="Arial"/>
          <w:noProof/>
          <w:szCs w:val="24"/>
        </w:rPr>
        <w:t xml:space="preserve">, </w:t>
      </w:r>
      <w:r w:rsidRPr="00586FAA">
        <w:rPr>
          <w:rFonts w:ascii="Arial" w:hAnsi="Arial" w:cs="Arial"/>
          <w:i/>
          <w:iCs/>
          <w:noProof/>
          <w:szCs w:val="24"/>
        </w:rPr>
        <w:t>15</w:t>
      </w:r>
      <w:r w:rsidRPr="00586FAA">
        <w:rPr>
          <w:rFonts w:ascii="Arial" w:hAnsi="Arial" w:cs="Arial"/>
          <w:noProof/>
          <w:szCs w:val="24"/>
        </w:rPr>
        <w:t>(2), 233–243. https://doi.org/10.51903/e-bisnis.v15i2.810</w:t>
      </w:r>
    </w:p>
    <w:p w:rsidR="00586FAA" w:rsidRPr="00586FAA" w:rsidRDefault="00586FAA" w:rsidP="00586FAA">
      <w:pPr>
        <w:widowControl w:val="0"/>
        <w:autoSpaceDE w:val="0"/>
        <w:autoSpaceDN w:val="0"/>
        <w:adjustRightInd w:val="0"/>
        <w:ind w:left="480" w:hanging="480"/>
        <w:jc w:val="both"/>
        <w:rPr>
          <w:rFonts w:ascii="Arial" w:hAnsi="Arial" w:cs="Arial"/>
          <w:noProof/>
          <w:szCs w:val="24"/>
        </w:rPr>
      </w:pPr>
      <w:r w:rsidRPr="00586FAA">
        <w:rPr>
          <w:rFonts w:ascii="Arial" w:hAnsi="Arial" w:cs="Arial"/>
          <w:noProof/>
          <w:szCs w:val="24"/>
        </w:rPr>
        <w:t xml:space="preserve">Pérez Estébanez, R., &amp; Sevillano Martín, F. J. (2025). Business Sustainability and Its Effect </w:t>
      </w:r>
      <w:r w:rsidRPr="00586FAA">
        <w:rPr>
          <w:rFonts w:ascii="Arial" w:hAnsi="Arial" w:cs="Arial"/>
          <w:noProof/>
          <w:szCs w:val="24"/>
        </w:rPr>
        <w:lastRenderedPageBreak/>
        <w:t xml:space="preserve">on Performance Measures: A Comprehensive Analysis. </w:t>
      </w:r>
      <w:r w:rsidRPr="00586FAA">
        <w:rPr>
          <w:rFonts w:ascii="Arial" w:hAnsi="Arial" w:cs="Arial"/>
          <w:i/>
          <w:iCs/>
          <w:noProof/>
          <w:szCs w:val="24"/>
        </w:rPr>
        <w:t>Sustainability (Switzerland)</w:t>
      </w:r>
      <w:r w:rsidRPr="00586FAA">
        <w:rPr>
          <w:rFonts w:ascii="Arial" w:hAnsi="Arial" w:cs="Arial"/>
          <w:noProof/>
          <w:szCs w:val="24"/>
        </w:rPr>
        <w:t xml:space="preserve">, </w:t>
      </w:r>
      <w:r w:rsidRPr="00586FAA">
        <w:rPr>
          <w:rFonts w:ascii="Arial" w:hAnsi="Arial" w:cs="Arial"/>
          <w:i/>
          <w:iCs/>
          <w:noProof/>
          <w:szCs w:val="24"/>
        </w:rPr>
        <w:t>17</w:t>
      </w:r>
      <w:r w:rsidRPr="00586FAA">
        <w:rPr>
          <w:rFonts w:ascii="Arial" w:hAnsi="Arial" w:cs="Arial"/>
          <w:noProof/>
          <w:szCs w:val="24"/>
        </w:rPr>
        <w:t>(1). https://doi.org/10.3390/su17010297</w:t>
      </w:r>
    </w:p>
    <w:p w:rsidR="00586FAA" w:rsidRPr="00586FAA" w:rsidRDefault="00586FAA" w:rsidP="00586FAA">
      <w:pPr>
        <w:widowControl w:val="0"/>
        <w:autoSpaceDE w:val="0"/>
        <w:autoSpaceDN w:val="0"/>
        <w:adjustRightInd w:val="0"/>
        <w:ind w:left="480" w:hanging="480"/>
        <w:jc w:val="both"/>
        <w:rPr>
          <w:rFonts w:ascii="Arial" w:hAnsi="Arial" w:cs="Arial"/>
          <w:noProof/>
          <w:szCs w:val="24"/>
        </w:rPr>
      </w:pPr>
      <w:r w:rsidRPr="00586FAA">
        <w:rPr>
          <w:rFonts w:ascii="Arial" w:hAnsi="Arial" w:cs="Arial"/>
          <w:noProof/>
          <w:szCs w:val="24"/>
        </w:rPr>
        <w:t xml:space="preserve">Pertiwi, S. N., Muslim, A., &amp; Widiastuti, M. C. (2024). Analisis Pengaruh Kinerja Esg Dan Corporate Governance Terhadap Financial Performance Dengan Digital Transformation Sebagai Variabel Moderasi Pada Perusahaan Lq45. </w:t>
      </w:r>
      <w:r w:rsidRPr="00586FAA">
        <w:rPr>
          <w:rFonts w:ascii="Arial" w:hAnsi="Arial" w:cs="Arial"/>
          <w:i/>
          <w:iCs/>
          <w:noProof/>
          <w:szCs w:val="24"/>
        </w:rPr>
        <w:t>Jurnal Ilmiah Manajemen, Ekonomi, &amp; Akuntansi (MEA)</w:t>
      </w:r>
      <w:r w:rsidRPr="00586FAA">
        <w:rPr>
          <w:rFonts w:ascii="Arial" w:hAnsi="Arial" w:cs="Arial"/>
          <w:noProof/>
          <w:szCs w:val="24"/>
        </w:rPr>
        <w:t xml:space="preserve">, </w:t>
      </w:r>
      <w:r w:rsidRPr="00586FAA">
        <w:rPr>
          <w:rFonts w:ascii="Arial" w:hAnsi="Arial" w:cs="Arial"/>
          <w:i/>
          <w:iCs/>
          <w:noProof/>
          <w:szCs w:val="24"/>
        </w:rPr>
        <w:t>8</w:t>
      </w:r>
      <w:r w:rsidRPr="00586FAA">
        <w:rPr>
          <w:rFonts w:ascii="Arial" w:hAnsi="Arial" w:cs="Arial"/>
          <w:noProof/>
          <w:szCs w:val="24"/>
        </w:rPr>
        <w:t>(2), 1777–1796. https://doi.org/10.31955/mea.v8i2.4245</w:t>
      </w:r>
    </w:p>
    <w:p w:rsidR="00586FAA" w:rsidRPr="00586FAA" w:rsidRDefault="00586FAA" w:rsidP="00586FAA">
      <w:pPr>
        <w:widowControl w:val="0"/>
        <w:autoSpaceDE w:val="0"/>
        <w:autoSpaceDN w:val="0"/>
        <w:adjustRightInd w:val="0"/>
        <w:ind w:left="480" w:hanging="480"/>
        <w:jc w:val="both"/>
        <w:rPr>
          <w:rFonts w:ascii="Arial" w:hAnsi="Arial" w:cs="Arial"/>
          <w:noProof/>
          <w:szCs w:val="24"/>
        </w:rPr>
      </w:pPr>
      <w:r w:rsidRPr="00586FAA">
        <w:rPr>
          <w:rFonts w:ascii="Arial" w:hAnsi="Arial" w:cs="Arial"/>
          <w:noProof/>
          <w:szCs w:val="24"/>
        </w:rPr>
        <w:t xml:space="preserve">Rahmansyah, M. F., &amp; Mutmainah, S. (2024). Pengaruh Kinerja Pengungkapan Esg Terhadap Sebagai Variabel Moderasi. </w:t>
      </w:r>
      <w:r w:rsidRPr="00586FAA">
        <w:rPr>
          <w:rFonts w:ascii="Arial" w:hAnsi="Arial" w:cs="Arial"/>
          <w:i/>
          <w:iCs/>
          <w:noProof/>
          <w:szCs w:val="24"/>
        </w:rPr>
        <w:t>Diponegoro Journal of Accounting</w:t>
      </w:r>
      <w:r w:rsidRPr="00586FAA">
        <w:rPr>
          <w:rFonts w:ascii="Arial" w:hAnsi="Arial" w:cs="Arial"/>
          <w:noProof/>
          <w:szCs w:val="24"/>
        </w:rPr>
        <w:t xml:space="preserve">, </w:t>
      </w:r>
      <w:r w:rsidRPr="00586FAA">
        <w:rPr>
          <w:rFonts w:ascii="Arial" w:hAnsi="Arial" w:cs="Arial"/>
          <w:i/>
          <w:iCs/>
          <w:noProof/>
          <w:szCs w:val="24"/>
        </w:rPr>
        <w:t>13</w:t>
      </w:r>
      <w:r w:rsidRPr="00586FAA">
        <w:rPr>
          <w:rFonts w:ascii="Arial" w:hAnsi="Arial" w:cs="Arial"/>
          <w:noProof/>
          <w:szCs w:val="24"/>
        </w:rPr>
        <w:t>(3), 1–15. https://ejournal3.undip.ac.id/index.php/accounting/article/view/46161</w:t>
      </w:r>
    </w:p>
    <w:p w:rsidR="00586FAA" w:rsidRPr="00586FAA" w:rsidRDefault="00586FAA" w:rsidP="00586FAA">
      <w:pPr>
        <w:widowControl w:val="0"/>
        <w:autoSpaceDE w:val="0"/>
        <w:autoSpaceDN w:val="0"/>
        <w:adjustRightInd w:val="0"/>
        <w:ind w:left="480" w:hanging="480"/>
        <w:jc w:val="both"/>
        <w:rPr>
          <w:rFonts w:ascii="Arial" w:hAnsi="Arial" w:cs="Arial"/>
          <w:noProof/>
          <w:szCs w:val="24"/>
        </w:rPr>
      </w:pPr>
      <w:r w:rsidRPr="00586FAA">
        <w:rPr>
          <w:rFonts w:ascii="Arial" w:hAnsi="Arial" w:cs="Arial"/>
          <w:noProof/>
          <w:szCs w:val="24"/>
        </w:rPr>
        <w:t xml:space="preserve">Sabihah, K., Mutamimah, M., Saputri, P. L., Rusdi, D., Setapa, M., &amp; Abarahan, A. (2025). the Role of Islamic Corporate Governance in Reducing Sharia Bank Financing Risk in Indonesia. </w:t>
      </w:r>
      <w:r w:rsidRPr="00586FAA">
        <w:rPr>
          <w:rFonts w:ascii="Arial" w:hAnsi="Arial" w:cs="Arial"/>
          <w:i/>
          <w:iCs/>
          <w:noProof/>
          <w:szCs w:val="24"/>
        </w:rPr>
        <w:t>Jurnal Ekonomi Dan Bisnis Islam (Journal of Islamic Economics and Business)</w:t>
      </w:r>
      <w:r w:rsidRPr="00586FAA">
        <w:rPr>
          <w:rFonts w:ascii="Arial" w:hAnsi="Arial" w:cs="Arial"/>
          <w:noProof/>
          <w:szCs w:val="24"/>
        </w:rPr>
        <w:t xml:space="preserve">, </w:t>
      </w:r>
      <w:r w:rsidRPr="00586FAA">
        <w:rPr>
          <w:rFonts w:ascii="Arial" w:hAnsi="Arial" w:cs="Arial"/>
          <w:i/>
          <w:iCs/>
          <w:noProof/>
          <w:szCs w:val="24"/>
        </w:rPr>
        <w:t>11</w:t>
      </w:r>
      <w:r w:rsidRPr="00586FAA">
        <w:rPr>
          <w:rFonts w:ascii="Arial" w:hAnsi="Arial" w:cs="Arial"/>
          <w:noProof/>
          <w:szCs w:val="24"/>
        </w:rPr>
        <w:t>(1), 110–130. https://doi.org/10.20473/jebis.v11i1.64146</w:t>
      </w:r>
    </w:p>
    <w:p w:rsidR="00586FAA" w:rsidRPr="00586FAA" w:rsidRDefault="00586FAA" w:rsidP="00586FAA">
      <w:pPr>
        <w:widowControl w:val="0"/>
        <w:autoSpaceDE w:val="0"/>
        <w:autoSpaceDN w:val="0"/>
        <w:adjustRightInd w:val="0"/>
        <w:ind w:left="480" w:hanging="480"/>
        <w:jc w:val="both"/>
        <w:rPr>
          <w:rFonts w:ascii="Arial" w:hAnsi="Arial" w:cs="Arial"/>
          <w:noProof/>
          <w:szCs w:val="24"/>
        </w:rPr>
      </w:pPr>
      <w:r w:rsidRPr="00586FAA">
        <w:rPr>
          <w:rFonts w:ascii="Arial" w:hAnsi="Arial" w:cs="Arial"/>
          <w:noProof/>
          <w:szCs w:val="24"/>
        </w:rPr>
        <w:t xml:space="preserve">Sekar Sari, P., Widiatmoko, J., &amp; kunci, K. (2023). Pengaruh Environmental, Social, and Governance (ESG) Disclosure terhadap Kinerja Keuangan dengan Gender Diversity sebagai Variabel Moderasi. </w:t>
      </w:r>
      <w:r w:rsidRPr="00586FAA">
        <w:rPr>
          <w:rFonts w:ascii="Arial" w:hAnsi="Arial" w:cs="Arial"/>
          <w:i/>
          <w:iCs/>
          <w:noProof/>
          <w:szCs w:val="24"/>
        </w:rPr>
        <w:t>Jurnal Ilmiah Akuntansi Dan Keuangan</w:t>
      </w:r>
      <w:r w:rsidRPr="00586FAA">
        <w:rPr>
          <w:rFonts w:ascii="Arial" w:hAnsi="Arial" w:cs="Arial"/>
          <w:noProof/>
          <w:szCs w:val="24"/>
        </w:rPr>
        <w:t xml:space="preserve">, </w:t>
      </w:r>
      <w:r w:rsidRPr="00586FAA">
        <w:rPr>
          <w:rFonts w:ascii="Arial" w:hAnsi="Arial" w:cs="Arial"/>
          <w:i/>
          <w:iCs/>
          <w:noProof/>
          <w:szCs w:val="24"/>
        </w:rPr>
        <w:t>5</w:t>
      </w:r>
      <w:r w:rsidRPr="00586FAA">
        <w:rPr>
          <w:rFonts w:ascii="Arial" w:hAnsi="Arial" w:cs="Arial"/>
          <w:noProof/>
          <w:szCs w:val="24"/>
        </w:rPr>
        <w:t>(9), 2023. https://journal.ikopin.ac.id/index.php/fairvalue</w:t>
      </w:r>
    </w:p>
    <w:p w:rsidR="00586FAA" w:rsidRPr="00586FAA" w:rsidRDefault="00586FAA" w:rsidP="00586FAA">
      <w:pPr>
        <w:widowControl w:val="0"/>
        <w:autoSpaceDE w:val="0"/>
        <w:autoSpaceDN w:val="0"/>
        <w:adjustRightInd w:val="0"/>
        <w:ind w:left="480" w:hanging="480"/>
        <w:jc w:val="both"/>
        <w:rPr>
          <w:rFonts w:ascii="Arial" w:hAnsi="Arial" w:cs="Arial"/>
          <w:noProof/>
          <w:szCs w:val="24"/>
        </w:rPr>
      </w:pPr>
      <w:r w:rsidRPr="00586FAA">
        <w:rPr>
          <w:rFonts w:ascii="Arial" w:hAnsi="Arial" w:cs="Arial"/>
          <w:noProof/>
          <w:szCs w:val="24"/>
        </w:rPr>
        <w:t xml:space="preserve">Tan, L. (2024). Improving Corporate Performance through Stakeholder-Based ESG Practices. </w:t>
      </w:r>
      <w:r w:rsidRPr="00586FAA">
        <w:rPr>
          <w:rFonts w:ascii="Arial" w:hAnsi="Arial" w:cs="Arial"/>
          <w:i/>
          <w:iCs/>
          <w:noProof/>
          <w:szCs w:val="24"/>
        </w:rPr>
        <w:t>Journal of Education, Humanities and Social Sciences</w:t>
      </w:r>
      <w:r w:rsidRPr="00586FAA">
        <w:rPr>
          <w:rFonts w:ascii="Arial" w:hAnsi="Arial" w:cs="Arial"/>
          <w:noProof/>
          <w:szCs w:val="24"/>
        </w:rPr>
        <w:t xml:space="preserve">, </w:t>
      </w:r>
      <w:r w:rsidRPr="00586FAA">
        <w:rPr>
          <w:rFonts w:ascii="Arial" w:hAnsi="Arial" w:cs="Arial"/>
          <w:i/>
          <w:iCs/>
          <w:noProof/>
          <w:szCs w:val="24"/>
        </w:rPr>
        <w:t>30</w:t>
      </w:r>
      <w:r w:rsidRPr="00586FAA">
        <w:rPr>
          <w:rFonts w:ascii="Arial" w:hAnsi="Arial" w:cs="Arial"/>
          <w:noProof/>
          <w:szCs w:val="24"/>
        </w:rPr>
        <w:t>, 6–12. https://doi.org/10.54097/jts5nw21</w:t>
      </w:r>
    </w:p>
    <w:p w:rsidR="00586FAA" w:rsidRPr="00586FAA" w:rsidRDefault="00586FAA" w:rsidP="00586FAA">
      <w:pPr>
        <w:widowControl w:val="0"/>
        <w:autoSpaceDE w:val="0"/>
        <w:autoSpaceDN w:val="0"/>
        <w:adjustRightInd w:val="0"/>
        <w:ind w:left="480" w:hanging="480"/>
        <w:jc w:val="both"/>
        <w:rPr>
          <w:rFonts w:ascii="Arial" w:hAnsi="Arial" w:cs="Arial"/>
          <w:noProof/>
          <w:szCs w:val="24"/>
        </w:rPr>
      </w:pPr>
      <w:r w:rsidRPr="00586FAA">
        <w:rPr>
          <w:rFonts w:ascii="Arial" w:hAnsi="Arial" w:cs="Arial"/>
          <w:noProof/>
          <w:szCs w:val="24"/>
        </w:rPr>
        <w:t xml:space="preserve">Utomo, J. K. (2025). </w:t>
      </w:r>
      <w:r w:rsidRPr="00586FAA">
        <w:rPr>
          <w:rFonts w:ascii="Arial" w:hAnsi="Arial" w:cs="Arial"/>
          <w:i/>
          <w:iCs/>
          <w:noProof/>
          <w:szCs w:val="24"/>
        </w:rPr>
        <w:t>Jurnal Ekonomi dan Pembangunan Indonesia Pengaruh Demokrasi terhadap Pertumbuhan Ekonomi Daerah di Indonesia Pengaruh Demokrasi terhadap Pertumbuhan Ekonomi Daerah di Indonesia Pendahuluan</w:t>
      </w:r>
      <w:r w:rsidRPr="00586FAA">
        <w:rPr>
          <w:rFonts w:ascii="Arial" w:hAnsi="Arial" w:cs="Arial"/>
          <w:noProof/>
          <w:szCs w:val="24"/>
        </w:rPr>
        <w:t xml:space="preserve">. </w:t>
      </w:r>
      <w:r w:rsidRPr="00586FAA">
        <w:rPr>
          <w:rFonts w:ascii="Arial" w:hAnsi="Arial" w:cs="Arial"/>
          <w:i/>
          <w:iCs/>
          <w:noProof/>
          <w:szCs w:val="24"/>
        </w:rPr>
        <w:t>25</w:t>
      </w:r>
      <w:r w:rsidRPr="00586FAA">
        <w:rPr>
          <w:rFonts w:ascii="Arial" w:hAnsi="Arial" w:cs="Arial"/>
          <w:noProof/>
          <w:szCs w:val="24"/>
        </w:rPr>
        <w:t>(2). https://doi.org/10.7454/jepi.v25i2.1619</w:t>
      </w:r>
    </w:p>
    <w:p w:rsidR="00586FAA" w:rsidRPr="00586FAA" w:rsidRDefault="00586FAA" w:rsidP="00586FAA">
      <w:pPr>
        <w:widowControl w:val="0"/>
        <w:autoSpaceDE w:val="0"/>
        <w:autoSpaceDN w:val="0"/>
        <w:adjustRightInd w:val="0"/>
        <w:ind w:left="480" w:hanging="480"/>
        <w:jc w:val="both"/>
        <w:rPr>
          <w:rFonts w:ascii="Arial" w:hAnsi="Arial" w:cs="Arial"/>
          <w:noProof/>
          <w:szCs w:val="24"/>
        </w:rPr>
      </w:pPr>
      <w:r w:rsidRPr="00586FAA">
        <w:rPr>
          <w:rFonts w:ascii="Arial" w:hAnsi="Arial" w:cs="Arial"/>
          <w:noProof/>
          <w:szCs w:val="24"/>
        </w:rPr>
        <w:t xml:space="preserve">Wahdan Arum Inawati, &amp; Rahmawati, R. (2023). Dampak Environmental, Social, Dan Governance (ESG) Terhadap Kinerja Keuangan. </w:t>
      </w:r>
      <w:r w:rsidRPr="00586FAA">
        <w:rPr>
          <w:rFonts w:ascii="Arial" w:hAnsi="Arial" w:cs="Arial"/>
          <w:i/>
          <w:iCs/>
          <w:noProof/>
          <w:szCs w:val="24"/>
        </w:rPr>
        <w:t>Jurnal Akademi Akuntansi</w:t>
      </w:r>
      <w:r w:rsidRPr="00586FAA">
        <w:rPr>
          <w:rFonts w:ascii="Arial" w:hAnsi="Arial" w:cs="Arial"/>
          <w:noProof/>
          <w:szCs w:val="24"/>
        </w:rPr>
        <w:t xml:space="preserve">, </w:t>
      </w:r>
      <w:r w:rsidRPr="00586FAA">
        <w:rPr>
          <w:rFonts w:ascii="Arial" w:hAnsi="Arial" w:cs="Arial"/>
          <w:i/>
          <w:iCs/>
          <w:noProof/>
          <w:szCs w:val="24"/>
        </w:rPr>
        <w:t>6</w:t>
      </w:r>
      <w:r w:rsidRPr="00586FAA">
        <w:rPr>
          <w:rFonts w:ascii="Arial" w:hAnsi="Arial" w:cs="Arial"/>
          <w:noProof/>
          <w:szCs w:val="24"/>
        </w:rPr>
        <w:t>(2), 225–241. https://doi.org/10.22219/jaa.v6i2.26674</w:t>
      </w:r>
    </w:p>
    <w:p w:rsidR="00586FAA" w:rsidRPr="00586FAA" w:rsidRDefault="00586FAA" w:rsidP="00586FAA">
      <w:pPr>
        <w:widowControl w:val="0"/>
        <w:autoSpaceDE w:val="0"/>
        <w:autoSpaceDN w:val="0"/>
        <w:adjustRightInd w:val="0"/>
        <w:ind w:left="480" w:hanging="480"/>
        <w:jc w:val="both"/>
        <w:rPr>
          <w:rFonts w:ascii="Arial" w:hAnsi="Arial" w:cs="Arial"/>
          <w:noProof/>
          <w:szCs w:val="24"/>
        </w:rPr>
      </w:pPr>
      <w:r w:rsidRPr="00586FAA">
        <w:rPr>
          <w:rFonts w:ascii="Arial" w:hAnsi="Arial" w:cs="Arial"/>
          <w:noProof/>
          <w:szCs w:val="24"/>
        </w:rPr>
        <w:t xml:space="preserve">Waskito, S. K., &amp; Rahayu, M. (2025). Pengaruh Strategi Bisnis Logistik Terhadap Kinerja Perusahaan Distributor Karpet Bandung (DKB) dengan Transformasi Digital Sebagai Variabel Moderasi. </w:t>
      </w:r>
      <w:r w:rsidRPr="00586FAA">
        <w:rPr>
          <w:rFonts w:ascii="Arial" w:hAnsi="Arial" w:cs="Arial"/>
          <w:i/>
          <w:iCs/>
          <w:noProof/>
          <w:szCs w:val="24"/>
        </w:rPr>
        <w:t>YUME : Journal of Management</w:t>
      </w:r>
      <w:r w:rsidRPr="00586FAA">
        <w:rPr>
          <w:rFonts w:ascii="Arial" w:hAnsi="Arial" w:cs="Arial"/>
          <w:noProof/>
          <w:szCs w:val="24"/>
        </w:rPr>
        <w:t xml:space="preserve">, </w:t>
      </w:r>
      <w:r w:rsidRPr="00586FAA">
        <w:rPr>
          <w:rFonts w:ascii="Arial" w:hAnsi="Arial" w:cs="Arial"/>
          <w:i/>
          <w:iCs/>
          <w:noProof/>
          <w:szCs w:val="24"/>
        </w:rPr>
        <w:t>8</w:t>
      </w:r>
      <w:r w:rsidRPr="00586FAA">
        <w:rPr>
          <w:rFonts w:ascii="Arial" w:hAnsi="Arial" w:cs="Arial"/>
          <w:noProof/>
          <w:szCs w:val="24"/>
        </w:rPr>
        <w:t>(1), 421–436.</w:t>
      </w:r>
    </w:p>
    <w:p w:rsidR="00586FAA" w:rsidRPr="00586FAA" w:rsidRDefault="00586FAA" w:rsidP="00586FAA">
      <w:pPr>
        <w:widowControl w:val="0"/>
        <w:autoSpaceDE w:val="0"/>
        <w:autoSpaceDN w:val="0"/>
        <w:adjustRightInd w:val="0"/>
        <w:ind w:left="480" w:hanging="480"/>
        <w:jc w:val="both"/>
        <w:rPr>
          <w:rFonts w:ascii="Arial" w:hAnsi="Arial" w:cs="Arial"/>
          <w:noProof/>
          <w:szCs w:val="24"/>
        </w:rPr>
      </w:pPr>
      <w:r w:rsidRPr="00586FAA">
        <w:rPr>
          <w:rFonts w:ascii="Arial" w:hAnsi="Arial" w:cs="Arial"/>
          <w:noProof/>
          <w:szCs w:val="24"/>
        </w:rPr>
        <w:t xml:space="preserve">Wu, S., &amp; Li, Y. (2023). A Study on the Impact of Digital Transformation on Corporate ESG Performance: The Mediating Role of Green Innovation. </w:t>
      </w:r>
      <w:r w:rsidRPr="00586FAA">
        <w:rPr>
          <w:rFonts w:ascii="Arial" w:hAnsi="Arial" w:cs="Arial"/>
          <w:i/>
          <w:iCs/>
          <w:noProof/>
          <w:szCs w:val="24"/>
        </w:rPr>
        <w:t>Sustainability (Switzerland)</w:t>
      </w:r>
      <w:r w:rsidRPr="00586FAA">
        <w:rPr>
          <w:rFonts w:ascii="Arial" w:hAnsi="Arial" w:cs="Arial"/>
          <w:noProof/>
          <w:szCs w:val="24"/>
        </w:rPr>
        <w:t xml:space="preserve">, </w:t>
      </w:r>
      <w:r w:rsidRPr="00586FAA">
        <w:rPr>
          <w:rFonts w:ascii="Arial" w:hAnsi="Arial" w:cs="Arial"/>
          <w:i/>
          <w:iCs/>
          <w:noProof/>
          <w:szCs w:val="24"/>
        </w:rPr>
        <w:t>15</w:t>
      </w:r>
      <w:r w:rsidRPr="00586FAA">
        <w:rPr>
          <w:rFonts w:ascii="Arial" w:hAnsi="Arial" w:cs="Arial"/>
          <w:noProof/>
          <w:szCs w:val="24"/>
        </w:rPr>
        <w:t>(8). https://doi.org/10.3390/su15086568</w:t>
      </w:r>
    </w:p>
    <w:p w:rsidR="00586FAA" w:rsidRPr="00586FAA" w:rsidRDefault="00586FAA" w:rsidP="00586FAA">
      <w:pPr>
        <w:widowControl w:val="0"/>
        <w:autoSpaceDE w:val="0"/>
        <w:autoSpaceDN w:val="0"/>
        <w:adjustRightInd w:val="0"/>
        <w:ind w:left="480" w:hanging="480"/>
        <w:jc w:val="both"/>
        <w:rPr>
          <w:rFonts w:ascii="Arial" w:hAnsi="Arial" w:cs="Arial"/>
          <w:noProof/>
          <w:szCs w:val="24"/>
        </w:rPr>
      </w:pPr>
      <w:r w:rsidRPr="00586FAA">
        <w:rPr>
          <w:rFonts w:ascii="Arial" w:hAnsi="Arial" w:cs="Arial"/>
          <w:noProof/>
          <w:szCs w:val="24"/>
        </w:rPr>
        <w:t xml:space="preserve">Zhong, Y., Zhao, H., &amp; Yin, T. (2023). Resource Bundling: How Does Enterprise Digital Transformation Affect Enterprise ESG Development? </w:t>
      </w:r>
      <w:r w:rsidRPr="00586FAA">
        <w:rPr>
          <w:rFonts w:ascii="Arial" w:hAnsi="Arial" w:cs="Arial"/>
          <w:i/>
          <w:iCs/>
          <w:noProof/>
          <w:szCs w:val="24"/>
        </w:rPr>
        <w:t>Sustainability (Switzerland)</w:t>
      </w:r>
      <w:r w:rsidRPr="00586FAA">
        <w:rPr>
          <w:rFonts w:ascii="Arial" w:hAnsi="Arial" w:cs="Arial"/>
          <w:noProof/>
          <w:szCs w:val="24"/>
        </w:rPr>
        <w:t xml:space="preserve">, </w:t>
      </w:r>
      <w:r w:rsidRPr="00586FAA">
        <w:rPr>
          <w:rFonts w:ascii="Arial" w:hAnsi="Arial" w:cs="Arial"/>
          <w:i/>
          <w:iCs/>
          <w:noProof/>
          <w:szCs w:val="24"/>
        </w:rPr>
        <w:t>15</w:t>
      </w:r>
      <w:r w:rsidRPr="00586FAA">
        <w:rPr>
          <w:rFonts w:ascii="Arial" w:hAnsi="Arial" w:cs="Arial"/>
          <w:noProof/>
          <w:szCs w:val="24"/>
        </w:rPr>
        <w:t>(2). https://doi.org/10.3390/su15021319</w:t>
      </w:r>
    </w:p>
    <w:p w:rsidR="00586FAA" w:rsidRPr="00586FAA" w:rsidRDefault="00586FAA" w:rsidP="00586FAA">
      <w:pPr>
        <w:widowControl w:val="0"/>
        <w:autoSpaceDE w:val="0"/>
        <w:autoSpaceDN w:val="0"/>
        <w:adjustRightInd w:val="0"/>
        <w:ind w:left="480" w:hanging="480"/>
        <w:jc w:val="both"/>
        <w:rPr>
          <w:rFonts w:ascii="Arial" w:hAnsi="Arial" w:cs="Arial"/>
          <w:noProof/>
        </w:rPr>
      </w:pPr>
      <w:r w:rsidRPr="00586FAA">
        <w:rPr>
          <w:rFonts w:ascii="Arial" w:hAnsi="Arial" w:cs="Arial"/>
          <w:noProof/>
          <w:szCs w:val="24"/>
        </w:rPr>
        <w:t xml:space="preserve">Zioło, M., Bąk, I., &amp; Spoz, A. (2023). Incorporating ESG Risk in Companies’ Business Models: State of Research and Energy Sector Case Studies. </w:t>
      </w:r>
      <w:r w:rsidRPr="00586FAA">
        <w:rPr>
          <w:rFonts w:ascii="Arial" w:hAnsi="Arial" w:cs="Arial"/>
          <w:i/>
          <w:iCs/>
          <w:noProof/>
          <w:szCs w:val="24"/>
        </w:rPr>
        <w:t>Energies</w:t>
      </w:r>
      <w:r w:rsidRPr="00586FAA">
        <w:rPr>
          <w:rFonts w:ascii="Arial" w:hAnsi="Arial" w:cs="Arial"/>
          <w:noProof/>
          <w:szCs w:val="24"/>
        </w:rPr>
        <w:t xml:space="preserve">, </w:t>
      </w:r>
      <w:r w:rsidRPr="00586FAA">
        <w:rPr>
          <w:rFonts w:ascii="Arial" w:hAnsi="Arial" w:cs="Arial"/>
          <w:i/>
          <w:iCs/>
          <w:noProof/>
          <w:szCs w:val="24"/>
        </w:rPr>
        <w:t>16</w:t>
      </w:r>
      <w:r w:rsidRPr="00586FAA">
        <w:rPr>
          <w:rFonts w:ascii="Arial" w:hAnsi="Arial" w:cs="Arial"/>
          <w:noProof/>
          <w:szCs w:val="24"/>
        </w:rPr>
        <w:t>(4). https://doi.org/10.3390/en16041809</w:t>
      </w:r>
    </w:p>
    <w:p w:rsidR="004D4277" w:rsidRDefault="008939FE" w:rsidP="00A137C1">
      <w:pPr>
        <w:jc w:val="both"/>
        <w:rPr>
          <w:rFonts w:ascii="Arial" w:hAnsi="Arial" w:cs="Arial"/>
        </w:rPr>
      </w:pPr>
      <w:r>
        <w:rPr>
          <w:rFonts w:ascii="Arial" w:hAnsi="Arial" w:cs="Arial"/>
        </w:rPr>
        <w:fldChar w:fldCharType="end"/>
      </w:r>
      <w:r w:rsidR="00A137C1" w:rsidRPr="00A137C1">
        <w:t xml:space="preserve"> </w:t>
      </w:r>
      <w:r w:rsidR="00A137C1" w:rsidRPr="00A137C1">
        <w:rPr>
          <w:rFonts w:ascii="Arial" w:hAnsi="Arial" w:cs="Arial"/>
        </w:rPr>
        <w:t>Eccles, R. G., Ioannou, I., &amp;Serafeim, G. (2014). The impact of corporate sustainability on organizational processes and performance. Management Science, 60(11), 2835–2857. https://doi.org/10.1287/mnsc.2014.1984</w:t>
      </w:r>
    </w:p>
    <w:p w:rsidR="00A137C1" w:rsidRDefault="00A137C1" w:rsidP="00A137C1">
      <w:pPr>
        <w:jc w:val="both"/>
        <w:rPr>
          <w:rFonts w:ascii="Arial" w:hAnsi="Arial" w:cs="Arial"/>
        </w:rPr>
      </w:pPr>
    </w:p>
    <w:p w:rsidR="00A137C1" w:rsidRDefault="00A137C1" w:rsidP="00A137C1">
      <w:pPr>
        <w:jc w:val="both"/>
        <w:rPr>
          <w:rFonts w:ascii="Arial" w:hAnsi="Arial" w:cs="Arial"/>
        </w:rPr>
      </w:pPr>
      <w:r w:rsidRPr="00A137C1">
        <w:rPr>
          <w:rFonts w:ascii="Arial" w:hAnsi="Arial" w:cs="Arial"/>
        </w:rPr>
        <w:t>Friede, G., Busch, T., &amp;Bassen, A. (2015). ESG and financial performance: Aggregated evidence from more than 2000 empirical studies. Journal of Sustainable Finance &amp; Investment, 5(4), 210–233. https://doi.org/10.1080/20430795.2015.1118917</w:t>
      </w:r>
    </w:p>
    <w:p w:rsidR="00A137C1" w:rsidRDefault="00A137C1" w:rsidP="00A137C1">
      <w:pPr>
        <w:jc w:val="both"/>
        <w:rPr>
          <w:rFonts w:ascii="Arial" w:hAnsi="Arial" w:cs="Arial"/>
        </w:rPr>
      </w:pPr>
    </w:p>
    <w:p w:rsidR="00A137C1" w:rsidRPr="00A137C1" w:rsidRDefault="00A137C1" w:rsidP="00A137C1">
      <w:pPr>
        <w:jc w:val="both"/>
        <w:rPr>
          <w:rFonts w:ascii="Arial" w:hAnsi="Arial" w:cs="Arial"/>
        </w:rPr>
        <w:sectPr w:rsidR="00A137C1" w:rsidRPr="00A137C1" w:rsidSect="000B1E33">
          <w:footerReference w:type="default" r:id="rId11"/>
          <w:type w:val="continuous"/>
          <w:pgSz w:w="12240" w:h="15840"/>
          <w:pgMar w:top="1440" w:right="2016" w:bottom="2016" w:left="2016" w:header="720" w:footer="1123" w:gutter="0"/>
          <w:lnNumType w:countBy="1" w:restart="continuous"/>
          <w:cols w:space="720"/>
          <w:docGrid w:linePitch="272"/>
        </w:sectPr>
      </w:pPr>
    </w:p>
    <w:p w:rsidR="000723CE" w:rsidRDefault="000723CE" w:rsidP="00A137C1"/>
    <w:sectPr w:rsidR="000723CE" w:rsidSect="00412475">
      <w:type w:val="continuous"/>
      <w:pgSz w:w="12240" w:h="15840"/>
      <w:pgMar w:top="720" w:right="720" w:bottom="720" w:left="720" w:header="720" w:footer="720" w:gutter="0"/>
      <w:lnNumType w:countBy="1" w:restart="continuou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2B8B" w:rsidRDefault="005A2B8B" w:rsidP="00C37E61">
      <w:r>
        <w:separator/>
      </w:r>
    </w:p>
  </w:endnote>
  <w:endnote w:type="continuationSeparator" w:id="1">
    <w:p w:rsidR="005A2B8B" w:rsidRDefault="005A2B8B" w:rsidP="00C37E61">
      <w:r>
        <w:continuationSeparator/>
      </w:r>
    </w:p>
  </w:endnote>
</w:endnotes>
</file>

<file path=word/fontTable.xml><?xml version="1.0" encoding="utf-8"?>
<w:fonts xmlns:r="http://schemas.openxmlformats.org/officeDocument/2006/relationships" xmlns:w="http://schemas.openxmlformats.org/wordprocessingml/2006/main">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048A" w:rsidRDefault="009E048A">
    <w:pPr>
      <w:pStyle w:val="Footer"/>
      <w:rPr>
        <w:rFonts w:ascii="Arial" w:hAnsi="Arial" w:cs="Arial"/>
        <w:sz w:val="16"/>
      </w:rPr>
    </w:pPr>
  </w:p>
  <w:p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rsidR="009E048A" w:rsidRDefault="009E048A">
    <w:pPr>
      <w:pStyle w:val="Footer"/>
      <w:rPr>
        <w:rFonts w:ascii="Arial" w:hAnsi="Arial" w:cs="Arial"/>
        <w:sz w:val="16"/>
      </w:rPr>
    </w:pPr>
  </w:p>
  <w:p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7E61" w:rsidRPr="00C37E61" w:rsidRDefault="00C37E61" w:rsidP="00C37E6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2B8B" w:rsidRDefault="005A2B8B" w:rsidP="00C37E61">
      <w:r>
        <w:separator/>
      </w:r>
    </w:p>
  </w:footnote>
  <w:footnote w:type="continuationSeparator" w:id="1">
    <w:p w:rsidR="005A2B8B" w:rsidRDefault="005A2B8B" w:rsidP="00C37E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6529" w:rsidRPr="00296529" w:rsidRDefault="00296529" w:rsidP="00296529">
    <w:pPr>
      <w:ind w:left="2160"/>
      <w:jc w:val="center"/>
      <w:rPr>
        <w:rFonts w:ascii="Times New Roman" w:eastAsia="Calibri" w:hAnsi="Times New Roman"/>
        <w:i/>
        <w:sz w:val="18"/>
        <w:szCs w:val="22"/>
      </w:rPr>
    </w:pPr>
  </w:p>
  <w:p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p>
  <w:p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rsidR="00296529" w:rsidRPr="00296529" w:rsidRDefault="00754C9A" w:rsidP="00296529">
    <w:pPr>
      <w:spacing w:after="200"/>
      <w:jc w:val="center"/>
      <w:rPr>
        <w:rFonts w:ascii="Times New Roman" w:eastAsia="Calibri" w:hAnsi="Times New Roman"/>
        <w:b/>
        <w:i/>
        <w:sz w:val="32"/>
        <w:szCs w:val="22"/>
      </w:rPr>
    </w:pPr>
    <w:r>
      <w:rPr>
        <w:rFonts w:ascii="Times New Roman" w:eastAsia="Calibri" w:hAnsi="Times New Roman"/>
        <w:b/>
        <w:i/>
        <w:sz w:val="32"/>
        <w:szCs w:val="22"/>
      </w:rPr>
      <w:t>.</w:t>
    </w:r>
  </w:p>
  <w:p w:rsidR="00296529" w:rsidRDefault="00296529" w:rsidP="00296529">
    <w:pPr>
      <w:jc w:val="center"/>
      <w:rPr>
        <w:rFonts w:ascii="Times New Roman" w:eastAsia="Calibri" w:hAnsi="Times New Roman"/>
        <w:i/>
        <w:sz w:val="18"/>
        <w:szCs w:val="22"/>
      </w:rPr>
    </w:pPr>
  </w:p>
  <w:p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rsidR="00296529" w:rsidRDefault="00754C9A">
    <w:pPr>
      <w:pStyle w:val="Header"/>
    </w:pPr>
    <w: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nsid w:val="09024CB7"/>
    <w:multiLevelType w:val="multilevel"/>
    <w:tmpl w:val="679AEF9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b w:val="0"/>
      </w:rPr>
    </w:lvl>
    <w:lvl w:ilvl="4">
      <w:start w:val="1"/>
      <w:numFmt w:val="decimal"/>
      <w:isLgl/>
      <w:lvlText w:val="%1.%2.%3.%4.%5"/>
      <w:lvlJc w:val="left"/>
      <w:pPr>
        <w:ind w:left="2880" w:hanging="1080"/>
      </w:pPr>
      <w:rPr>
        <w:rFonts w:hint="default"/>
        <w:b w:val="0"/>
      </w:rPr>
    </w:lvl>
    <w:lvl w:ilvl="5">
      <w:start w:val="1"/>
      <w:numFmt w:val="decimal"/>
      <w:isLgl/>
      <w:lvlText w:val="%1.%2.%3.%4.%5.%6"/>
      <w:lvlJc w:val="left"/>
      <w:pPr>
        <w:ind w:left="3240" w:hanging="1080"/>
      </w:pPr>
      <w:rPr>
        <w:rFonts w:hint="default"/>
        <w:b w:val="0"/>
      </w:rPr>
    </w:lvl>
    <w:lvl w:ilvl="6">
      <w:start w:val="1"/>
      <w:numFmt w:val="decimal"/>
      <w:isLgl/>
      <w:lvlText w:val="%1.%2.%3.%4.%5.%6.%7"/>
      <w:lvlJc w:val="left"/>
      <w:pPr>
        <w:ind w:left="3960" w:hanging="1440"/>
      </w:pPr>
      <w:rPr>
        <w:rFonts w:hint="default"/>
        <w:b w:val="0"/>
      </w:rPr>
    </w:lvl>
    <w:lvl w:ilvl="7">
      <w:start w:val="1"/>
      <w:numFmt w:val="decimal"/>
      <w:isLgl/>
      <w:lvlText w:val="%1.%2.%3.%4.%5.%6.%7.%8"/>
      <w:lvlJc w:val="left"/>
      <w:pPr>
        <w:ind w:left="4320" w:hanging="1440"/>
      </w:pPr>
      <w:rPr>
        <w:rFonts w:hint="default"/>
        <w:b w:val="0"/>
      </w:rPr>
    </w:lvl>
    <w:lvl w:ilvl="8">
      <w:start w:val="1"/>
      <w:numFmt w:val="decimal"/>
      <w:isLgl/>
      <w:lvlText w:val="%1.%2.%3.%4.%5.%6.%7.%8.%9"/>
      <w:lvlJc w:val="left"/>
      <w:pPr>
        <w:ind w:left="5040" w:hanging="1800"/>
      </w:pPr>
      <w:rPr>
        <w:rFonts w:hint="default"/>
        <w:b w:val="0"/>
      </w:rPr>
    </w:lvl>
  </w:abstractNum>
  <w:abstractNum w:abstractNumId="7">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nsid w:val="1C6A4C00"/>
    <w:multiLevelType w:val="hybridMultilevel"/>
    <w:tmpl w:val="56C427CA"/>
    <w:lvl w:ilvl="0" w:tplc="A30460F0">
      <w:start w:val="1"/>
      <w:numFmt w:val="lowerLetter"/>
      <w:lvlText w:val="%1."/>
      <w:lvlJc w:val="left"/>
      <w:pPr>
        <w:ind w:left="720" w:hanging="360"/>
      </w:pPr>
      <w:rPr>
        <w:rFonts w:asciiTheme="minorHAnsi" w:eastAsiaTheme="minorHAnsi" w:hAnsiTheme="minorHAnsi" w:cstheme="minorBid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nsid w:val="41DC6140"/>
    <w:multiLevelType w:val="multilevel"/>
    <w:tmpl w:val="5A90CA8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46DD60B0"/>
    <w:multiLevelType w:val="hybridMultilevel"/>
    <w:tmpl w:val="40CC6730"/>
    <w:lvl w:ilvl="0" w:tplc="3809000F">
      <w:start w:val="3"/>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nsid w:val="4B0C5ABA"/>
    <w:multiLevelType w:val="singleLevel"/>
    <w:tmpl w:val="A1B04AE0"/>
    <w:lvl w:ilvl="0">
      <w:start w:val="1"/>
      <w:numFmt w:val="decimal"/>
      <w:lvlText w:val="%1."/>
      <w:legacy w:legacy="1" w:legacySpace="0" w:legacyIndent="360"/>
      <w:lvlJc w:val="left"/>
      <w:pPr>
        <w:ind w:left="360" w:hanging="360"/>
      </w:pPr>
    </w:lvl>
  </w:abstractNum>
  <w:abstractNum w:abstractNumId="2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nsid w:val="63CD02D6"/>
    <w:multiLevelType w:val="multilevel"/>
    <w:tmpl w:val="F3083BC8"/>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5">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6">
    <w:nsid w:val="73997DC5"/>
    <w:multiLevelType w:val="singleLevel"/>
    <w:tmpl w:val="A1B04AE0"/>
    <w:lvl w:ilvl="0">
      <w:start w:val="1"/>
      <w:numFmt w:val="decimal"/>
      <w:lvlText w:val="%1."/>
      <w:legacy w:legacy="1" w:legacySpace="0" w:legacyIndent="360"/>
      <w:lvlJc w:val="left"/>
      <w:pPr>
        <w:ind w:left="360" w:hanging="360"/>
      </w:pPr>
    </w:lvl>
  </w:abstractNum>
  <w:abstractNum w:abstractNumId="27">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9">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9"/>
  </w:num>
  <w:num w:numId="3">
    <w:abstractNumId w:val="28"/>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1"/>
  </w:num>
  <w:num w:numId="8">
    <w:abstractNumId w:val="14"/>
  </w:num>
  <w:num w:numId="9">
    <w:abstractNumId w:val="30"/>
  </w:num>
  <w:num w:numId="10">
    <w:abstractNumId w:val="2"/>
  </w:num>
  <w:num w:numId="11">
    <w:abstractNumId w:val="23"/>
  </w:num>
  <w:num w:numId="12">
    <w:abstractNumId w:val="3"/>
  </w:num>
  <w:num w:numId="13">
    <w:abstractNumId w:val="21"/>
  </w:num>
  <w:num w:numId="14">
    <w:abstractNumId w:val="10"/>
  </w:num>
  <w:num w:numId="15">
    <w:abstractNumId w:val="26"/>
  </w:num>
  <w:num w:numId="16">
    <w:abstractNumId w:val="5"/>
  </w:num>
  <w:num w:numId="17">
    <w:abstractNumId w:val="27"/>
  </w:num>
  <w:num w:numId="18">
    <w:abstractNumId w:val="16"/>
  </w:num>
  <w:num w:numId="19">
    <w:abstractNumId w:val="33"/>
  </w:num>
  <w:num w:numId="20">
    <w:abstractNumId w:val="13"/>
  </w:num>
  <w:num w:numId="21">
    <w:abstractNumId w:val="11"/>
  </w:num>
  <w:num w:numId="22">
    <w:abstractNumId w:val="15"/>
  </w:num>
  <w:num w:numId="23">
    <w:abstractNumId w:val="24"/>
  </w:num>
  <w:num w:numId="24">
    <w:abstractNumId w:val="31"/>
  </w:num>
  <w:num w:numId="25">
    <w:abstractNumId w:val="4"/>
  </w:num>
  <w:num w:numId="26">
    <w:abstractNumId w:val="20"/>
  </w:num>
  <w:num w:numId="27">
    <w:abstractNumId w:val="25"/>
  </w:num>
  <w:num w:numId="28">
    <w:abstractNumId w:val="32"/>
  </w:num>
  <w:num w:numId="29">
    <w:abstractNumId w:val="29"/>
  </w:num>
  <w:num w:numId="30">
    <w:abstractNumId w:val="12"/>
  </w:num>
  <w:num w:numId="31">
    <w:abstractNumId w:val="6"/>
  </w:num>
  <w:num w:numId="32">
    <w:abstractNumId w:val="17"/>
  </w:num>
  <w:num w:numId="33">
    <w:abstractNumId w:val="9"/>
  </w:num>
  <w:num w:numId="34">
    <w:abstractNumId w:val="18"/>
  </w:num>
  <w:num w:numId="35">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attachedTemplate r:id="rId1"/>
  <w:stylePaneFormatFilter w:val="3F01"/>
  <w:defaultTabStop w:val="720"/>
  <w:doNotHyphenateCaps/>
  <w:drawingGridHorizontalSpacing w:val="100"/>
  <w:displayHorizontalDrawingGridEvery w:val="0"/>
  <w:displayVerticalDrawingGridEvery w:val="0"/>
  <w:noPunctuationKerning/>
  <w:characterSpacingControl w:val="doNotCompress"/>
  <w:hdrShapeDefaults>
    <o:shapedefaults v:ext="edit" spidmax="8194"/>
  </w:hdrShapeDefaults>
  <w:footnotePr>
    <w:footnote w:id="0"/>
    <w:footnote w:id="1"/>
  </w:footnotePr>
  <w:endnotePr>
    <w:endnote w:id="0"/>
    <w:endnote w:id="1"/>
  </w:endnotePr>
  <w:compat/>
  <w:rsids>
    <w:rsidRoot w:val="00AA6219"/>
    <w:rsid w:val="00000900"/>
    <w:rsid w:val="00000F8F"/>
    <w:rsid w:val="0001496E"/>
    <w:rsid w:val="00030174"/>
    <w:rsid w:val="0004579C"/>
    <w:rsid w:val="000723CE"/>
    <w:rsid w:val="000761F9"/>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A5F98"/>
    <w:rsid w:val="001A6C99"/>
    <w:rsid w:val="001B0427"/>
    <w:rsid w:val="001B734D"/>
    <w:rsid w:val="001D3A51"/>
    <w:rsid w:val="001E10D2"/>
    <w:rsid w:val="001E25B4"/>
    <w:rsid w:val="001E44FE"/>
    <w:rsid w:val="00200595"/>
    <w:rsid w:val="00204835"/>
    <w:rsid w:val="00231920"/>
    <w:rsid w:val="0023195C"/>
    <w:rsid w:val="0024282C"/>
    <w:rsid w:val="002460DC"/>
    <w:rsid w:val="00250985"/>
    <w:rsid w:val="002556F6"/>
    <w:rsid w:val="0025619F"/>
    <w:rsid w:val="00283105"/>
    <w:rsid w:val="00284C4C"/>
    <w:rsid w:val="00287E68"/>
    <w:rsid w:val="00296529"/>
    <w:rsid w:val="002B27FB"/>
    <w:rsid w:val="002B685A"/>
    <w:rsid w:val="002C37E5"/>
    <w:rsid w:val="002C57D2"/>
    <w:rsid w:val="002E0D56"/>
    <w:rsid w:val="002E44DE"/>
    <w:rsid w:val="002F49F6"/>
    <w:rsid w:val="00315186"/>
    <w:rsid w:val="0033343E"/>
    <w:rsid w:val="00334F45"/>
    <w:rsid w:val="003512C2"/>
    <w:rsid w:val="00371FB6"/>
    <w:rsid w:val="003763C1"/>
    <w:rsid w:val="00376BBE"/>
    <w:rsid w:val="0039224F"/>
    <w:rsid w:val="003A43A4"/>
    <w:rsid w:val="003A7E18"/>
    <w:rsid w:val="003C4C86"/>
    <w:rsid w:val="003C6258"/>
    <w:rsid w:val="003E015A"/>
    <w:rsid w:val="003E2904"/>
    <w:rsid w:val="003F58EA"/>
    <w:rsid w:val="00401927"/>
    <w:rsid w:val="0041027F"/>
    <w:rsid w:val="00412475"/>
    <w:rsid w:val="00423789"/>
    <w:rsid w:val="00440F43"/>
    <w:rsid w:val="00441B6F"/>
    <w:rsid w:val="00446221"/>
    <w:rsid w:val="00450E62"/>
    <w:rsid w:val="004539DB"/>
    <w:rsid w:val="00471A80"/>
    <w:rsid w:val="00487706"/>
    <w:rsid w:val="004D305E"/>
    <w:rsid w:val="004D4277"/>
    <w:rsid w:val="00502516"/>
    <w:rsid w:val="00505F06"/>
    <w:rsid w:val="00506828"/>
    <w:rsid w:val="005121C1"/>
    <w:rsid w:val="0053056E"/>
    <w:rsid w:val="00535321"/>
    <w:rsid w:val="00554FDA"/>
    <w:rsid w:val="00586FAA"/>
    <w:rsid w:val="005A2B8B"/>
    <w:rsid w:val="005C784C"/>
    <w:rsid w:val="005D17F6"/>
    <w:rsid w:val="005E2750"/>
    <w:rsid w:val="005E5539"/>
    <w:rsid w:val="00602BF5"/>
    <w:rsid w:val="00617FDD"/>
    <w:rsid w:val="00624979"/>
    <w:rsid w:val="00626AAA"/>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169B8"/>
    <w:rsid w:val="007369E6"/>
    <w:rsid w:val="00746E59"/>
    <w:rsid w:val="00752BEC"/>
    <w:rsid w:val="00754C9A"/>
    <w:rsid w:val="0075599A"/>
    <w:rsid w:val="00761D52"/>
    <w:rsid w:val="0077749E"/>
    <w:rsid w:val="00790ADA"/>
    <w:rsid w:val="007B0FFE"/>
    <w:rsid w:val="007B7317"/>
    <w:rsid w:val="007D2288"/>
    <w:rsid w:val="007E088F"/>
    <w:rsid w:val="007F7B32"/>
    <w:rsid w:val="00804BC2"/>
    <w:rsid w:val="0081431A"/>
    <w:rsid w:val="0083216F"/>
    <w:rsid w:val="00860000"/>
    <w:rsid w:val="00863380"/>
    <w:rsid w:val="00863BD3"/>
    <w:rsid w:val="008641ED"/>
    <w:rsid w:val="00866D66"/>
    <w:rsid w:val="008671C6"/>
    <w:rsid w:val="00875803"/>
    <w:rsid w:val="00887336"/>
    <w:rsid w:val="008939FE"/>
    <w:rsid w:val="008B459E"/>
    <w:rsid w:val="008E13AE"/>
    <w:rsid w:val="008E1506"/>
    <w:rsid w:val="008E710C"/>
    <w:rsid w:val="008F69D6"/>
    <w:rsid w:val="00902823"/>
    <w:rsid w:val="009040F5"/>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27FA"/>
    <w:rsid w:val="00A03B96"/>
    <w:rsid w:val="00A05B19"/>
    <w:rsid w:val="00A1134E"/>
    <w:rsid w:val="00A137C1"/>
    <w:rsid w:val="00A24A7C"/>
    <w:rsid w:val="00A24E7E"/>
    <w:rsid w:val="00A258C3"/>
    <w:rsid w:val="00A347C0"/>
    <w:rsid w:val="00A43582"/>
    <w:rsid w:val="00A44E35"/>
    <w:rsid w:val="00A51431"/>
    <w:rsid w:val="00A539AD"/>
    <w:rsid w:val="00A920E3"/>
    <w:rsid w:val="00A94063"/>
    <w:rsid w:val="00AA6219"/>
    <w:rsid w:val="00AA74E0"/>
    <w:rsid w:val="00AB703F"/>
    <w:rsid w:val="00AC6BB8"/>
    <w:rsid w:val="00AE008F"/>
    <w:rsid w:val="00B01FCD"/>
    <w:rsid w:val="00B1776C"/>
    <w:rsid w:val="00B52583"/>
    <w:rsid w:val="00B52896"/>
    <w:rsid w:val="00B7014D"/>
    <w:rsid w:val="00B95236"/>
    <w:rsid w:val="00B96BD9"/>
    <w:rsid w:val="00BA1B01"/>
    <w:rsid w:val="00BA2641"/>
    <w:rsid w:val="00BA5A35"/>
    <w:rsid w:val="00BB37AA"/>
    <w:rsid w:val="00BB6D5A"/>
    <w:rsid w:val="00BC53A0"/>
    <w:rsid w:val="00BE62AD"/>
    <w:rsid w:val="00BF121F"/>
    <w:rsid w:val="00BF1F80"/>
    <w:rsid w:val="00C166EF"/>
    <w:rsid w:val="00C17EB0"/>
    <w:rsid w:val="00C26064"/>
    <w:rsid w:val="00C27F5F"/>
    <w:rsid w:val="00C30A0F"/>
    <w:rsid w:val="00C37E61"/>
    <w:rsid w:val="00C70F1B"/>
    <w:rsid w:val="00C71A47"/>
    <w:rsid w:val="00C7464C"/>
    <w:rsid w:val="00C85588"/>
    <w:rsid w:val="00CD6755"/>
    <w:rsid w:val="00CD6856"/>
    <w:rsid w:val="00CE0089"/>
    <w:rsid w:val="00CE793C"/>
    <w:rsid w:val="00CF193C"/>
    <w:rsid w:val="00CF5CEF"/>
    <w:rsid w:val="00D061D7"/>
    <w:rsid w:val="00D173F1"/>
    <w:rsid w:val="00D43798"/>
    <w:rsid w:val="00D74CB0"/>
    <w:rsid w:val="00D8295D"/>
    <w:rsid w:val="00DC2A65"/>
    <w:rsid w:val="00DC31A6"/>
    <w:rsid w:val="00DE15F0"/>
    <w:rsid w:val="00DE5663"/>
    <w:rsid w:val="00DE78AA"/>
    <w:rsid w:val="00E053D0"/>
    <w:rsid w:val="00E1423F"/>
    <w:rsid w:val="00E15994"/>
    <w:rsid w:val="00E3114E"/>
    <w:rsid w:val="00E31A70"/>
    <w:rsid w:val="00E35B02"/>
    <w:rsid w:val="00E66496"/>
    <w:rsid w:val="00E66B35"/>
    <w:rsid w:val="00E66E10"/>
    <w:rsid w:val="00E769F6"/>
    <w:rsid w:val="00E8407C"/>
    <w:rsid w:val="00E84F3C"/>
    <w:rsid w:val="00EA012C"/>
    <w:rsid w:val="00EC51A9"/>
    <w:rsid w:val="00EC6A55"/>
    <w:rsid w:val="00ED0288"/>
    <w:rsid w:val="00EE52CB"/>
    <w:rsid w:val="00EF581D"/>
    <w:rsid w:val="00EF7FD8"/>
    <w:rsid w:val="00F06F59"/>
    <w:rsid w:val="00F17988"/>
    <w:rsid w:val="00F30B45"/>
    <w:rsid w:val="00F469F0"/>
    <w:rsid w:val="00F53273"/>
    <w:rsid w:val="00F755E4"/>
    <w:rsid w:val="00F77D02"/>
    <w:rsid w:val="00FB3A86"/>
    <w:rsid w:val="00FD36C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rules v:ext="edit">
        <o:r id="V:Rule2" type="connector" idref="#AutoShape 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iPriority="20" w:unhideWhenUsed="0" w:qFormat="1"/>
    <w:lsdException w:name="Normal (Web)" w:uiPriority="99"/>
    <w:lsdException w:name="Normal Table" w:semiHidden="0" w:unhideWhenUsed="0"/>
    <w:lsdException w:name="Table Subtle 2" w:semiHidden="0" w:unhideWhenUsed="0"/>
    <w:lsdException w:name="Table Web 3" w:semiHidden="0" w:unhideWhenUsed="0"/>
    <w:lsdException w:name="Balloon Text"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1A5F9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7B7317"/>
    <w:pPr>
      <w:spacing w:before="100" w:beforeAutospacing="1" w:after="100" w:afterAutospacing="1"/>
    </w:pPr>
    <w:rPr>
      <w:rFonts w:ascii="Times New Roman" w:hAnsi="Times New Roman"/>
      <w:sz w:val="24"/>
      <w:szCs w:val="24"/>
    </w:rPr>
  </w:style>
  <w:style w:type="character" w:customStyle="1" w:styleId="Heading3Char">
    <w:name w:val="Heading 3 Char"/>
    <w:basedOn w:val="DefaultParagraphFont"/>
    <w:link w:val="Heading3"/>
    <w:uiPriority w:val="9"/>
    <w:semiHidden/>
    <w:rsid w:val="001A5F98"/>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34"/>
    <w:qFormat/>
    <w:rsid w:val="001A5F98"/>
    <w:pPr>
      <w:spacing w:after="160" w:line="259" w:lineRule="auto"/>
      <w:ind w:left="720"/>
      <w:contextualSpacing/>
    </w:pPr>
    <w:rPr>
      <w:rFonts w:asciiTheme="minorHAnsi" w:eastAsiaTheme="minorHAnsi" w:hAnsiTheme="minorHAnsi" w:cstheme="minorBidi"/>
      <w:kern w:val="2"/>
      <w:sz w:val="22"/>
      <w:szCs w:val="22"/>
      <w:lang w:val="en-ID"/>
    </w:rPr>
  </w:style>
  <w:style w:type="character" w:styleId="Strong">
    <w:name w:val="Strong"/>
    <w:basedOn w:val="DefaultParagraphFont"/>
    <w:uiPriority w:val="22"/>
    <w:qFormat/>
    <w:rsid w:val="001A5F98"/>
    <w:rPr>
      <w:b/>
      <w:bCs/>
    </w:rPr>
  </w:style>
  <w:style w:type="table" w:customStyle="1" w:styleId="PlainTable2">
    <w:name w:val="Plain Table 2"/>
    <w:basedOn w:val="TableNormal"/>
    <w:uiPriority w:val="42"/>
    <w:rsid w:val="00A44E35"/>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r="http://schemas.openxmlformats.org/officeDocument/2006/relationships" xmlns:w="http://schemas.openxmlformats.org/wordprocessingml/2006/main">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549195550">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14E1CB-F3D7-4826-935F-68235F910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77</TotalTime>
  <Pages>13</Pages>
  <Words>7140</Words>
  <Characters>40701</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47746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user</cp:lastModifiedBy>
  <cp:revision>26</cp:revision>
  <cp:lastPrinted>1999-07-06T11:00:00Z</cp:lastPrinted>
  <dcterms:created xsi:type="dcterms:W3CDTF">2025-10-05T05:53:00Z</dcterms:created>
  <dcterms:modified xsi:type="dcterms:W3CDTF">2025-10-20T08:55:00Z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9e85420e-387a-3d89-9696-214b8359734b</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4th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