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D906B" w14:textId="3A67E909" w:rsidR="00D77A87" w:rsidRPr="0095062B" w:rsidRDefault="00D77A87" w:rsidP="00D77A87">
      <w:pPr>
        <w:pStyle w:val="Author"/>
        <w:spacing w:line="240" w:lineRule="auto"/>
        <w:rPr>
          <w:rFonts w:ascii="Arial" w:hAnsi="Arial" w:cs="Arial"/>
          <w:bCs/>
          <w:iCs/>
          <w:kern w:val="28"/>
          <w:sz w:val="36"/>
        </w:rPr>
      </w:pPr>
      <w:r w:rsidRPr="0095062B">
        <w:rPr>
          <w:rFonts w:ascii="Arial" w:hAnsi="Arial" w:cs="Arial"/>
          <w:bCs/>
          <w:iCs/>
          <w:kern w:val="28"/>
          <w:sz w:val="36"/>
        </w:rPr>
        <w:t xml:space="preserve">The Role of Dividend Policy in Profitability Moderation and Return on Stock Price Valuation in the Indonesian Financial Sector </w:t>
      </w:r>
    </w:p>
    <w:p w14:paraId="4D9A4511" w14:textId="77777777" w:rsidR="00D77A87" w:rsidRPr="002D3907" w:rsidRDefault="00D77A87" w:rsidP="00D77A87">
      <w:pPr>
        <w:pStyle w:val="Author"/>
        <w:spacing w:line="240" w:lineRule="auto"/>
        <w:jc w:val="both"/>
        <w:rPr>
          <w:rFonts w:ascii="Arial" w:hAnsi="Arial" w:cs="Arial"/>
          <w:sz w:val="36"/>
        </w:rPr>
      </w:pPr>
    </w:p>
    <w:p w14:paraId="3258821B" w14:textId="77777777" w:rsidR="00D77A87" w:rsidRPr="002D3907" w:rsidRDefault="00D77A87" w:rsidP="00D77A87">
      <w:pPr>
        <w:pStyle w:val="Affiliation"/>
        <w:spacing w:after="0" w:line="240" w:lineRule="auto"/>
        <w:jc w:val="both"/>
        <w:rPr>
          <w:rFonts w:ascii="Arial" w:hAnsi="Arial" w:cs="Arial"/>
        </w:rPr>
      </w:pPr>
    </w:p>
    <w:p w14:paraId="088412FD" w14:textId="77777777" w:rsidR="00D77A87" w:rsidRPr="002D3907" w:rsidRDefault="00D77A87" w:rsidP="00D77A87">
      <w:pPr>
        <w:pStyle w:val="Copyright"/>
        <w:spacing w:after="0" w:line="240" w:lineRule="auto"/>
        <w:jc w:val="both"/>
        <w:rPr>
          <w:rFonts w:ascii="Arial" w:hAnsi="Arial" w:cs="Arial"/>
        </w:rPr>
        <w:sectPr w:rsidR="00D77A87" w:rsidRPr="002D3907" w:rsidSect="00102E5D">
          <w:headerReference w:type="even" r:id="rId7"/>
          <w:headerReference w:type="default" r:id="rId8"/>
          <w:headerReference w:type="first" r:id="rId9"/>
          <w:pgSz w:w="12240" w:h="15840" w:code="1"/>
          <w:pgMar w:top="1440" w:right="2016" w:bottom="2016" w:left="2016" w:header="720" w:footer="1296" w:gutter="0"/>
          <w:cols w:space="720"/>
          <w:docGrid w:linePitch="272"/>
        </w:sectPr>
      </w:pPr>
      <w:r w:rsidRPr="002D3907">
        <w:rPr>
          <w:rFonts w:ascii="Arial" w:hAnsi="Arial" w:cs="Arial"/>
          <w:noProof/>
        </w:rPr>
        <mc:AlternateContent>
          <mc:Choice Requires="wps">
            <w:drawing>
              <wp:inline distT="0" distB="0" distL="0" distR="0" wp14:anchorId="14B808A6" wp14:editId="73308272">
                <wp:extent cx="5303520" cy="635"/>
                <wp:effectExtent l="17145" t="18415" r="13335" b="10160"/>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du="http://schemas.microsoft.com/office/word/2023/wordml/word16du" xmlns:w16sdtfl="http://schemas.microsoft.com/office/word/2024/wordml/sdtformatlock" xmlns:a14="http://schemas.microsoft.com/office/drawing/2010/main" xmlns:a="http://schemas.openxmlformats.org/drawingml/2006/main">
            <w:pict>
              <v:shapetype id="_x0000_t32" coordsize="21600,21600" o:oned="t" filled="f" o:spt="32" path="m,l21600,21600e" w14:anchorId="5D7D5F05">
                <v:path fillok="f" arrowok="t" o:connecttype="none"/>
                <o:lock v:ext="edit" shapetype="t"/>
              </v:shapetype>
              <v:shape id="AutoShape 2" style="width:417.6pt;height:.05pt;visibility:visible;mso-wrap-style:square;mso-left-percent:-10001;mso-top-percent:-10001;mso-position-horizontal:absolute;mso-position-horizontal-relative:char;mso-position-vertical:absolute;mso-position-vertical-relative:line;mso-left-percent:-10001;mso-top-percent:-10001"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TlbHgIAADwEAAAOAAAAZHJzL2Uyb0RvYy54bWysU02P2jAQvVfqf7B8h3wQthARVqsEetl2&#10;kXb7A4ztJFYT27INAVX97x0bgtj2UlXlYMaZmTdv5o1Xj6e+Q0durFCywMk0xohLqpiQTYG/vW0n&#10;C4ysI5KRTkle4DO3+HH98cNq0DlPVas6xg0CEGnzQRe4dU7nUWRpy3tip0pzCc5amZ44uJomYoYM&#10;gN53URrHD9GgDNNGUW4tfK0uTrwO+HXNqXupa8sd6goM3Fw4TTj3/ozWK5I3huhW0CsN8g8seiIk&#10;FL1BVcQRdDDiD6heUKOsqt2Uqj5SdS0oDz1AN0n8WzevLdE89ALDsfo2Jvv/YOnX484gwQqcYiRJ&#10;DxI9HZwKlVHqxzNom0NUKXfGN0hP8lU/K/rdIqnKlsiGh+C3s4bcxGdE71L8xWoosh++KAYxBPDD&#10;rE616T0kTAGdgiTnmyT85BCFj/NZPJunoBwdfRHJx0RtrPvMVY+8UWDrDBFN60olJQivTBLKkOOz&#10;dZ4WyccEX1Wqrei6oH8n0QDcl/E8DhlWdYJ5r4+zptmXnUFH4lco/EKT4LkPM+ogWUBrOWGbq+2I&#10;6C42VO+kx4POgM/VuuzIj2W83Cw2i2ySpQ+bSRZX1eRpW2aTh23yaV7NqrKskp+eWpLlrWCMS89u&#10;3Nck+7t9uL6cy6bdNvY2h+g9ehgYkB3/A+kgrVfzshd7xc47M0oOKxqCr8/Jv4H7O9j3j379Cw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CBSTlbHgIAADwEAAAOAAAAAAAAAAAAAAAAAC4CAABkcnMvZTJvRG9jLnhtbFBLAQItABQABgAI&#10;AAAAIQBJyNK31gAAAAIBAAAPAAAAAAAAAAAAAAAAAHgEAABkcnMvZG93bnJldi54bWxQSwUGAAAA&#10;AAQABADzAAAAewUAAAAA&#10;">
                <w10:anchorlock/>
              </v:shape>
            </w:pict>
          </mc:Fallback>
        </mc:AlternateContent>
      </w:r>
      <w:r w:rsidRPr="002D3907">
        <w:rPr>
          <w:rFonts w:ascii="Arial" w:hAnsi="Arial" w:cs="Arial"/>
        </w:rPr>
        <w:t>.</w:t>
      </w:r>
    </w:p>
    <w:p w14:paraId="4DD92AD5" w14:textId="77777777" w:rsidR="00D77A87" w:rsidRPr="002D3907" w:rsidRDefault="00D77A87" w:rsidP="00D77A87">
      <w:pPr>
        <w:pStyle w:val="AbstHead"/>
        <w:spacing w:after="0"/>
        <w:jc w:val="both"/>
        <w:rPr>
          <w:rFonts w:ascii="Arial" w:hAnsi="Arial" w:cs="Arial"/>
        </w:rPr>
      </w:pPr>
      <w:r w:rsidRPr="002D3907">
        <w:rPr>
          <w:rFonts w:ascii="Arial" w:hAnsi="Arial" w:cs="Arial"/>
        </w:rPr>
        <w:t xml:space="preserve">ABSTRACT </w:t>
      </w:r>
    </w:p>
    <w:p w14:paraId="1F4D0CB1" w14:textId="77777777" w:rsidR="00D77A87" w:rsidRPr="002D3907" w:rsidRDefault="00D77A87" w:rsidP="00D77A87">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2"/>
      </w:tblGrid>
      <w:tr w:rsidR="00D77A87" w:rsidRPr="002D3907" w14:paraId="347FC1DD" w14:textId="77777777" w:rsidTr="00102E5D">
        <w:tc>
          <w:tcPr>
            <w:tcW w:w="9576" w:type="dxa"/>
            <w:shd w:val="clear" w:color="auto" w:fill="F2F2F2"/>
          </w:tcPr>
          <w:p w14:paraId="69EC9793" w14:textId="77777777" w:rsidR="00D77A87" w:rsidRPr="002D3907" w:rsidRDefault="00D77A87" w:rsidP="00102E5D">
            <w:pPr>
              <w:pStyle w:val="Body"/>
              <w:spacing w:after="0"/>
              <w:rPr>
                <w:rFonts w:ascii="Arial" w:eastAsia="Calibri" w:hAnsi="Arial" w:cs="Arial"/>
                <w:szCs w:val="22"/>
              </w:rPr>
            </w:pPr>
            <w:r w:rsidRPr="002D3907">
              <w:rPr>
                <w:rFonts w:ascii="Arial" w:eastAsia="Calibri" w:hAnsi="Arial" w:cs="Arial"/>
                <w:szCs w:val="22"/>
              </w:rPr>
              <w:t>This study aims to analyze the influence of profitability and stock returns on stock price valuation with dividend policy as a moderation variable. Profitability indicators are measured through the ratio of earnings to assets, stock returns are measured from the annual rate of return, stock price valuations are measured using the Price to Book Value (PBV) ratio, while dividend policies are proxied through the Dividend Payout Ratio (DPR). This study uses a descriptive quantitative approach with purposive sampling techniques, involving 48 observations from financial sector companies for the 2021–2024 period. Data analysis was carried out using SPSS 26 through t-test and moderation analysis. The results of the study show that profitability and stock returns do not have a significant effect on stock price valuation, while dividend policy has a significant negative effect. In addition, dividend policy does not moderate the effect of profitability on stock price valuation, but is almost significant in moderating the relationship between stock return and stock price valuation. Theoretically, these findings broaden the understanding of the role of dividend policy as a factor that can influence the market's assessment of companies, particularly in the context of signal theory and valuation theory. Practically, these results provide insight for management and investors to consider dividend policy as a market signal in investment decision-making. In terms of originality, this study integrates dividend policy variables as a moderator in the relationship between financial performance and stock valuation in the financial sector in Indonesia. The limitations of this study lie in the relatively small sample size and focus on only one industry sector. Further research is recommended to expand the cross-sector sample as well as use a data panel approach to obtain more general results.</w:t>
            </w:r>
          </w:p>
        </w:tc>
      </w:tr>
    </w:tbl>
    <w:p w14:paraId="243CFE7F" w14:textId="77777777" w:rsidR="00D77A87" w:rsidRPr="002D3907" w:rsidRDefault="00D77A87" w:rsidP="00D77A87">
      <w:pPr>
        <w:pStyle w:val="Body"/>
        <w:spacing w:after="0"/>
        <w:rPr>
          <w:rFonts w:ascii="Arial" w:hAnsi="Arial" w:cs="Arial"/>
          <w:i/>
        </w:rPr>
      </w:pPr>
    </w:p>
    <w:p w14:paraId="52FC255A" w14:textId="77777777" w:rsidR="00D77A87" w:rsidRDefault="00D77A87" w:rsidP="00D77A87">
      <w:pPr>
        <w:pStyle w:val="Body"/>
        <w:spacing w:after="0"/>
        <w:rPr>
          <w:rFonts w:ascii="Arial" w:hAnsi="Arial" w:cs="Arial"/>
          <w:i/>
        </w:rPr>
      </w:pPr>
      <w:r w:rsidRPr="002D3907">
        <w:rPr>
          <w:rFonts w:ascii="Arial" w:hAnsi="Arial" w:cs="Arial"/>
          <w:i/>
        </w:rPr>
        <w:t>Keywords: Profitability, Return on Shares, Stock Price Valuation, Dividend Policy</w:t>
      </w:r>
    </w:p>
    <w:p w14:paraId="2E31D805" w14:textId="77777777" w:rsidR="0095062B" w:rsidRPr="0095062B" w:rsidRDefault="0095062B" w:rsidP="00D77A87">
      <w:pPr>
        <w:pStyle w:val="Body"/>
        <w:spacing w:after="0"/>
        <w:rPr>
          <w:rFonts w:ascii="Arial" w:hAnsi="Arial" w:cs="Arial"/>
          <w:b/>
          <w:i/>
          <w:lang w:val="id-ID"/>
        </w:rPr>
      </w:pPr>
      <w:r w:rsidRPr="0095062B">
        <w:rPr>
          <w:rFonts w:ascii="Arial" w:hAnsi="Arial" w:cs="Arial"/>
          <w:b/>
          <w:i/>
        </w:rPr>
        <w:t>(Note: Research Paper)</w:t>
      </w:r>
    </w:p>
    <w:p w14:paraId="493907FD" w14:textId="77777777" w:rsidR="00D77A87" w:rsidRPr="002D3907" w:rsidRDefault="00D77A87" w:rsidP="00D77A87">
      <w:pPr>
        <w:pStyle w:val="Body"/>
        <w:spacing w:after="0"/>
        <w:rPr>
          <w:rFonts w:ascii="Arial" w:hAnsi="Arial" w:cs="Arial"/>
          <w:i/>
        </w:rPr>
      </w:pPr>
    </w:p>
    <w:p w14:paraId="2BF45C63" w14:textId="77777777" w:rsidR="00D77A87" w:rsidRPr="002D3907" w:rsidRDefault="00D77A87" w:rsidP="00D77A87">
      <w:pPr>
        <w:pStyle w:val="AbstHead"/>
        <w:spacing w:after="0"/>
        <w:jc w:val="both"/>
        <w:rPr>
          <w:rFonts w:ascii="Arial" w:hAnsi="Arial" w:cs="Arial"/>
        </w:rPr>
      </w:pPr>
      <w:r w:rsidRPr="002D3907">
        <w:rPr>
          <w:rFonts w:ascii="Arial" w:hAnsi="Arial" w:cs="Arial"/>
        </w:rPr>
        <w:t xml:space="preserve">1. INTRODUCTION </w:t>
      </w:r>
    </w:p>
    <w:p w14:paraId="588915E2" w14:textId="77777777" w:rsidR="00D77A87" w:rsidRPr="002D3907" w:rsidRDefault="00D77A87" w:rsidP="00D77A87">
      <w:pPr>
        <w:pStyle w:val="AbstHead"/>
        <w:spacing w:after="0"/>
        <w:jc w:val="both"/>
        <w:rPr>
          <w:rFonts w:ascii="Arial" w:hAnsi="Arial" w:cs="Arial"/>
        </w:rPr>
      </w:pPr>
    </w:p>
    <w:p w14:paraId="1E1969BA" w14:textId="77777777" w:rsidR="00D77A87" w:rsidRPr="00C51A06" w:rsidRDefault="00D77A87" w:rsidP="00D77A87">
      <w:pPr>
        <w:pStyle w:val="Body"/>
        <w:rPr>
          <w:rFonts w:ascii="Arial" w:hAnsi="Arial" w:cs="Arial"/>
        </w:rPr>
      </w:pPr>
      <w:r w:rsidRPr="002D3907">
        <w:rPr>
          <w:rFonts w:ascii="Arial" w:hAnsi="Arial" w:cs="Arial"/>
        </w:rPr>
        <w:t xml:space="preserve">The capital market is one of the important components in the financial system that functions to bring together those who need funds with those who have excess funds. Through the capital market, various financial instruments such as stocks, bonds, mutual funds, and other financial instruments can be traded </w:t>
      </w:r>
      <w:r>
        <w:rPr>
          <w:rFonts w:ascii="Arial" w:hAnsi="Arial" w:cs="Arial"/>
        </w:rPr>
        <w:fldChar w:fldCharType="begin" w:fldLock="1"/>
      </w:r>
      <w:r>
        <w:rPr>
          <w:rFonts w:ascii="Arial" w:hAnsi="Arial" w:cs="Arial"/>
        </w:rPr>
        <w:instrText>ADDIN CSL_CITATION {"citationItems":[{"id":"ITEM-1","itemData":{"DOI":"10.3390/su15053949","ISSN":"20711050","abstract":"The expansion of financial markets has enabled individuals to invest in a variety of securities and financial instruments. Consequently, behavioral finance has shed light on the characteristics and psychological processes that influence the investment intentions and decisions of investors. We performed a systematic review of the recent literature on the key elements that influence the behavioral intentions and investment decisions of individual investors. In combination with bibliometric and weight analysis, this review aims to propose a comprehensive approach to present quantitative and qualitative analyses of the rising elements influencing investors’ intentions and behaviors in financial investment products. Using the Preferred Reporting Items for Systematic Reviews and Meta-Analyses (PRISMA) statement, this work comprises a review of 28 articles published in Web of Science and Scopus databases between 2016 and 2021. The findings identify six underlying themes of investor behavior determined using content: (1) personal factors, (2) social factors, (3) market information, (4) firm-specific factors, (5) product-related factors, and (6) demography. The future research agenda is highlighted based on the Theories, Constructs, Contexts, and Methods framework. The findings provide insights for both theoretical and practical application for corporations, financial institutions, and policy makers in understanding investors’ behavior so as to strengthen the financial industry and economy.","author":[{"dropping-particle":"","family":"Hassan","given":"Norhazimah Che","non-dropping-particle":"","parse-names":false,"suffix":""},{"dropping-particle":"","family":"Abdul-Rahman","given":"Aisyah","non-dropping-particle":"","parse-names":false,"suffix":""},{"dropping-particle":"","family":"Mohd Amin","given":"Syajarul Imna","non-dropping-particle":"","parse-names":false,"suffix":""},{"dropping-particle":"","family":"Ab Hamid","given":"Siti Ngayesah","non-dropping-particle":"","parse-names":false,"suffix":""}],"container-title":"Sustainability (Switzerland)","id":"ITEM-1","issue":"5","issued":{"date-parts":[["2023"]]},"page":"1-22","title":"Investment Intention and Decision Making: A Systematic Literature Review and Future Research Agenda","type":"article-journal","volume":"15"},"uris":["http://www.mendeley.com/documents/?uuid=3a74d6df-3084-49c9-bece-979772808630"]}],"mendeley":{"formattedCitation":"(Hassan et al., 2023)","plainTextFormattedCitation":"(Hassan et al., 2023)","previouslyFormattedCitation":"(Hassan et al., 2023)"},"properties":{"noteIndex":0},"schema":"https://github.com/citation-style-language/schema/raw/master/csl-citation.json"}</w:instrText>
      </w:r>
      <w:r>
        <w:rPr>
          <w:rFonts w:ascii="Arial" w:hAnsi="Arial" w:cs="Arial"/>
        </w:rPr>
        <w:fldChar w:fldCharType="separate"/>
      </w:r>
      <w:r w:rsidRPr="00C51A06">
        <w:rPr>
          <w:rFonts w:ascii="Arial" w:hAnsi="Arial" w:cs="Arial"/>
          <w:noProof/>
        </w:rPr>
        <w:t>(Hassan et al., 2023)</w:t>
      </w:r>
      <w:r>
        <w:rPr>
          <w:rFonts w:ascii="Arial" w:hAnsi="Arial" w:cs="Arial"/>
        </w:rPr>
        <w:fldChar w:fldCharType="end"/>
      </w:r>
      <w:r w:rsidRPr="002D3907">
        <w:rPr>
          <w:rFonts w:ascii="Arial" w:hAnsi="Arial" w:cs="Arial"/>
        </w:rPr>
        <w:t xml:space="preserve">. In this context, investors can carry out various transactions in buying and selling financial instruments with the aim of obtaining profits in the form of capital gains or dividends distributed through the General Meeting of Shareholders </w:t>
      </w:r>
      <w:r>
        <w:rPr>
          <w:rFonts w:ascii="Arial" w:hAnsi="Arial" w:cs="Arial"/>
        </w:rPr>
        <w:fldChar w:fldCharType="begin" w:fldLock="1"/>
      </w:r>
      <w:r>
        <w:rPr>
          <w:rFonts w:ascii="Arial" w:hAnsi="Arial" w:cs="Arial"/>
        </w:rPr>
        <w:instrText>ADDIN CSL_CITATION {"citationItems":[{"id":"ITEM-1","itemData":{"DOI":"10.1371/journal.pone.0281523","ISBN":"1111111111","ISSN":"19326203","PMID":"37200269","abstract":"This study uses Non-linear Predictive Regression Analysis to analyze the effect of investor sentiment on the returns of the selected developing equity markets, including Brazil, South Africa, Indonesia, India, China, Russia, and Pakistan. The Principal Component Analysis is applied to construct an Investor Sentiment Index. In most selected countries, investor sentiment substantially affects contemporaneous market returns, and this effect remains persistent in the short term. However, it becomes less prominent over time. It suggests that stakeholders should give importance to the investors' sentiments while making investment decisions.","author":[{"dropping-particle":"","family":"Andleeb","given":"Rameeza","non-dropping-particle":"","parse-names":false,"suffix":""},{"dropping-particle":"","family":"Hassan","given":"Arshad","non-dropping-particle":"","parse-names":false,"suffix":""}],"container-title":"PLoS ONE","id":"ITEM-1","issue":"5 May","issued":{"date-parts":[["2023"]]},"page":"1-15","title":"Predictive effect of investor sentiment on current and future returns in emerging equity markets","type":"article-journal","volume":"18"},"uris":["http://www.mendeley.com/documents/?uuid=16801696-ebfa-403a-8991-c088d9591e78"]}],"mendeley":{"formattedCitation":"(Andleeb &amp; Hassan, 2023)","plainTextFormattedCitation":"(Andleeb &amp; Hassan, 2023)","previouslyFormattedCitation":"(Andleeb &amp; Hassan, 2023)"},"properties":{"noteIndex":0},"schema":"https://github.com/citation-style-language/schema/raw/master/csl-citation.json"}</w:instrText>
      </w:r>
      <w:r>
        <w:rPr>
          <w:rFonts w:ascii="Arial" w:hAnsi="Arial" w:cs="Arial"/>
        </w:rPr>
        <w:fldChar w:fldCharType="separate"/>
      </w:r>
      <w:r w:rsidRPr="00A0694F">
        <w:rPr>
          <w:rFonts w:ascii="Arial" w:hAnsi="Arial" w:cs="Arial"/>
          <w:noProof/>
        </w:rPr>
        <w:t>(Andleeb &amp; Hassan, 2023)</w:t>
      </w:r>
      <w:r>
        <w:rPr>
          <w:rFonts w:ascii="Arial" w:hAnsi="Arial" w:cs="Arial"/>
        </w:rPr>
        <w:fldChar w:fldCharType="end"/>
      </w:r>
      <w:r w:rsidRPr="002D3907">
        <w:rPr>
          <w:rFonts w:ascii="Arial" w:hAnsi="Arial" w:cs="Arial"/>
        </w:rPr>
        <w:t xml:space="preserve">. Investment activities in the capital market provide opportunities for investors to develop their capital, but they also contain high risks if not balanced with good risk analysis and management </w:t>
      </w:r>
      <w:r>
        <w:rPr>
          <w:rFonts w:ascii="Arial" w:hAnsi="Arial" w:cs="Arial"/>
        </w:rPr>
        <w:fldChar w:fldCharType="begin" w:fldLock="1"/>
      </w:r>
      <w:r>
        <w:rPr>
          <w:rFonts w:ascii="Arial" w:hAnsi="Arial" w:cs="Arial"/>
        </w:rPr>
        <w:instrText>ADDIN CSL_CITATION {"citationItems":[{"id":"ITEM-1","itemData":{"DOI":"10.54097/hq906084","abstract":"With increasing social competition, new opportunities and challenges have emerged for business development. Effective financial risk management is crucial for businesses to achieve stable growth in this environment. Today's enterprises face challenges from market dynamics, policy changes, and technological advancements, accompanied by increased financial risks. Therefore, internal managers and relevant staff must understand the link between financial risk management and financial robustness. To further enhance financial stability, businesses should establish clear financial goals based on their actual conditions, strengthen financial risk management after solid foundational work, and enhance operational efficiency to achieve comprehensive improvements in financial robustness, thus better navigating various challenges. Additionally, companies should also enhance their financial direction management, improve their existing risk assessment systems, enhance internal controls, and establish risk warning mechanisms as needed to ensure the continuous improvement of their financial robustness.","author":[{"dropping-particle":"","family":"Chi","given":"Chengyuan","non-dropping-particle":"","parse-names":false,"suffix":""}],"container-title":"Highlights in Business, Economics and Management","id":"ITEM-1","issued":{"date-parts":[["2024"]]},"page":"306-311","title":"Study On the Relationship Between Corporate Financial Risk Management and Financial Robustness","type":"article-journal","volume":"37"},"uris":["http://www.mendeley.com/documents/?uuid=8797a292-709c-4bb5-b0b5-1c4edf771adc"]},{"id":"ITEM-2","itemData":{"DOI":"10.1145/3643131","author":[{"dropping-particle":"","family":"Cheng","given":"Jiezhu","non-dropping-particle":"","parse-names":false,"suffix":""},{"dropping-particle":"","family":"Huang","given":"Kaizhu","non-dropping-particle":"","parse-names":false,"suffix":""},{"dropping-particle":"","family":"Zheng","given":"Zibin","non-dropping-particle":"","parse-names":false,"suffix":""}],"id":"ITEM-2","issue":"1","issued":{"date-parts":[["2024"]]},"page":"1-29","title":"1 Can Perturbations Help Reduce Investment Risks? Risk-Aware Stock Recommendation via Split Variational Adversarial Training","type":"article-journal","volume":"1"},"uris":["http://www.mendeley.com/documents/?uuid=9ea81dd9-075f-436f-941e-74e3692853bb"]}],"mendeley":{"formattedCitation":"(Cheng et al., 2024; Chi, 2024)","plainTextFormattedCitation":"(Cheng et al., 2024; Chi, 2024)","previouslyFormattedCitation":"(Cheng et al., 2024; Chi, 2024)"},"properties":{"noteIndex":0},"schema":"https://github.com/citation-style-language/schema/raw/master/csl-citation.json"}</w:instrText>
      </w:r>
      <w:r>
        <w:rPr>
          <w:rFonts w:ascii="Arial" w:hAnsi="Arial" w:cs="Arial"/>
        </w:rPr>
        <w:fldChar w:fldCharType="separate"/>
      </w:r>
      <w:r w:rsidRPr="00C51A06">
        <w:rPr>
          <w:rFonts w:ascii="Arial" w:hAnsi="Arial" w:cs="Arial"/>
          <w:noProof/>
        </w:rPr>
        <w:t>(Cheng et al., 2024; Chi, 2024)</w:t>
      </w:r>
      <w:r>
        <w:rPr>
          <w:rFonts w:ascii="Arial" w:hAnsi="Arial" w:cs="Arial"/>
        </w:rPr>
        <w:fldChar w:fldCharType="end"/>
      </w:r>
      <w:r w:rsidRPr="002D3907">
        <w:rPr>
          <w:rFonts w:ascii="Arial" w:hAnsi="Arial" w:cs="Arial"/>
        </w:rPr>
        <w:t xml:space="preserve">. Therefore, the ability to choose the right investment sector and instrument is crucial to determine whether investors will make a profit or a loss. One of the main indicators that investors are concerned about is stock returns, as it can reflect the company's performance and become the basis for making the next investment decision </w:t>
      </w:r>
      <w:r>
        <w:rPr>
          <w:rFonts w:ascii="Arial" w:hAnsi="Arial" w:cs="Arial"/>
        </w:rPr>
        <w:fldChar w:fldCharType="begin" w:fldLock="1"/>
      </w:r>
      <w:r>
        <w:rPr>
          <w:rFonts w:ascii="Arial" w:hAnsi="Arial" w:cs="Arial"/>
        </w:rPr>
        <w:instrText>ADDIN CSL_CITATION {"citationItems":[{"id":"ITEM-1","itemData":{"author":[{"dropping-particle":"","family":"Al-sumaiti","given":"Ameena Saad","non-dropping-particle":"","parse-names":false,"suffix":""},{"dropping-particle":"","family":"Kavousi-fard","given":"Abdollah","non-dropping-particle":"","parse-names":false,"suffix":""},{"dropping-particle":"","family":"Salama","given":"Magdy","non-dropping-particle":"","parse-names":false,"suffix":""}],"id":"ITEM-1","issued":{"date-parts":[["2020"]]},"title":"Economic Assessment of Distributed Generation Technologies : A Feasibility Study and Comparison with the Literature","type":"article-journal"},"uris":["http://www.mendeley.com/documents/?uuid=c6a32336-ae6e-4f64-a1c6-a88985539acd"]},{"id":"ITEM-2","itemData":{"DOI":"10.31851/jmediasi.v3i1.5216","ISSN":"2685-6530","abstract":"ABSTRACTÂ The purpose of this study is to examine the effect of profitability and company size on disclosure of corporate social responsibility (CSR) in mining companies listed on the Indonesia Stock Exchange (BEI) for the period 2016-2018. The population in this study were mining companies listed on the IDX for the 2016-2018 period which consisted of 47 companies, of which 15 companies were taken as many as 15 companies that met the criteria to be used as research samples with 3 periods of research years (15x3) resulting in 45 research data. . The data analysis technique used is descriptive statistical analysis, multiple regression analysis by first doing the classical assumption test consisting of normality test, multicollinearity test, heteroscedasticity test and autocorrelation test. The results showed that partially profitability did not have a significant effect on CSR disclosure. Company size partially does not have a significant effect on CSR disclosure. Profitability and company size simultaneously do not have a significant effect on CSR disclosure. Keywords: Profitability, Company Size and Corporate Social Responsibility (CSR).Â Â ABSTRAKÂ Tujuan dari penelitian ini adalah untuk menguji pengaruh Profitabilitas dan Ukuran Perusahaan terhadap Pengungkapan Corporate Social Responsibility (CSR) pada perusahaan pertambangan yang terdaftar di Bursa Efek Indonesia (BEI) periode 2016-2018. Populasi dalam penelitian ini adalah perusahaan pertambangan yang terdaftar di BEI periode 2016-2018 yang terdiri dari 47 perusahaan, dari 47 perusahaan diambil sebanyak 15 perusahaan yang memenuhi kriteria untuk dijadikan sampel penelitian dengan 3 periode tahun penelitian (15x3) sehingga menghasilkan data sebanyak 45 data penelitian. Teknik analisis data yang digunakan adalah analisis statistik deskriptif, analisis regresi berganda dengan terlebih dahulu melakukan uji asumsi klasik yang terdiri dari uji normalitas, uji multikolinearitas, uji heteroskedastisitas dan uji autokorelasi.Hasil penelitian menunjukkan Profitabilitas secara parsial tidak berpengaruh signifikan terhadap pengungkapan CSR.Ukuran Perusahaan secara parsial tidak berpengaruh signifikan terhadap pengungkapan CSR.Profitabilitas dan Ukuran perusahaan secara simultan tidak berpengaruh signifikan terhadap pengungkapan CSR.Â Kata Kunci: Profitabilitas, Ukuran Perusahaan dan Corporate Sosial Responsibility (CSR).","author":[{"dropping-particle":"","family":"Rukmana","given":"Entin","non-dropping-particle":"","parse-names":false,"suffix":""},{"dropping-particle":"","family":"Hendri","given":"Edduar","non-dropping-particle":"","parse-names":false,"suffix":""},{"dropping-particle":"","family":"Rismansyah","given":"Rismansyah","non-dropping-particle":"","parse-names":false,"suffix":""}],"container-title":"Jurnal Media Akuntansi (Mediasi)","id":"ITEM-2","issue":"1","issued":{"date-parts":[["2020"]]},"page":"1-12","title":"Pengaruh Profitabilitas dan Ukuran Perusahaan Terhadap Pengungkapan Corporate Social Responsibility (CSR) pada Perusahaan Pertambangan di Bursa Efek Indonesia","type":"article-journal","volume":"3"},"uris":["http://www.mendeley.com/documents/?uuid=2a219bd0-e00f-44ab-a2ff-9fee4af50ff3"]}],"mendeley":{"formattedCitation":"(Al-sumaiti et al., 2020; Rukmana et al., 2020)","plainTextFormattedCitation":"(Al-sumaiti et al., 2020; Rukmana et al., 2020)","previouslyFormattedCitation":"(Al-sumaiti et al., 2020; Rukmana et al., 2020)"},"properties":{"noteIndex":0},"schema":"https://github.com/citation-style-language/schema/raw/master/csl-citation.json"}</w:instrText>
      </w:r>
      <w:r>
        <w:rPr>
          <w:rFonts w:ascii="Arial" w:hAnsi="Arial" w:cs="Arial"/>
        </w:rPr>
        <w:fldChar w:fldCharType="separate"/>
      </w:r>
      <w:r w:rsidRPr="00C51A06">
        <w:rPr>
          <w:rFonts w:ascii="Arial" w:hAnsi="Arial" w:cs="Arial"/>
          <w:noProof/>
        </w:rPr>
        <w:t>(Al-sumaiti et al., 2020; Rukmana et al., 2020)</w:t>
      </w:r>
      <w:r>
        <w:rPr>
          <w:rFonts w:ascii="Arial" w:hAnsi="Arial" w:cs="Arial"/>
        </w:rPr>
        <w:fldChar w:fldCharType="end"/>
      </w:r>
      <w:r w:rsidRPr="002D3907">
        <w:rPr>
          <w:rFonts w:ascii="Arial" w:hAnsi="Arial" w:cs="Arial"/>
        </w:rPr>
        <w:t xml:space="preserve">. The higher the return of the stock, the more attractive the stock will be in the eyes of investors, because it reflects </w:t>
      </w:r>
      <w:r w:rsidRPr="002D3907">
        <w:rPr>
          <w:rFonts w:ascii="Arial" w:hAnsi="Arial" w:cs="Arial"/>
        </w:rPr>
        <w:lastRenderedPageBreak/>
        <w:t xml:space="preserve">the optimal profit potential </w:t>
      </w:r>
      <w:r>
        <w:rPr>
          <w:rFonts w:ascii="Arial" w:hAnsi="Arial" w:cs="Arial"/>
        </w:rPr>
        <w:fldChar w:fldCharType="begin" w:fldLock="1"/>
      </w:r>
      <w:r>
        <w:rPr>
          <w:rFonts w:ascii="Arial" w:hAnsi="Arial" w:cs="Arial"/>
        </w:rPr>
        <w:instrText>ADDIN CSL_CITATION {"citationItems":[{"id":"ITEM-1","itemData":{"DOI":"10.35799/dc.9.2.2020.29656","ISSN":"2302-4224","abstract":"Investor yang berinvestasi dalam bentuk portofolio perlu melakukan analisis terhadap tingkat keuntungan dan risiko yang berhubungan searah, yang artinya besar keuntungan akan sesuai dengan besar risikonya. Pada penelitian ini digunakan model mean – variance Markowitz yang kemudian dioptimasi menggunakan metode Lagrange. Tujuan penelitian ini untuk mengetahui saham – saham apa saja yang layak dimasukkan kedalam portofolio dengan menentukan proporsi bobot masing – masing saham sehingga menjadi portofolio optimal. Penelitian ini menggunakan data closing price harian selama 1 tahun pada saham – saham yang terdaftar pada periode listing IDX30 Agustus 2018 dan Februari 2019. Dari hasil penelitian ini, diperoleh 18 saham yang layak dimasukkan kedalam portofolio yang sebelumnya berjumlah 28 saham. Portofolio yang terbentuk ada 2, portofolio yang pertama dengan expected return 0,002% diperoleh risiko sebesar 0,0095% dengan proporsi bobot tertinggi yaitu saham BBCA sebesar 0,4654% dan portofolio kedua dengan expected return 0,003% diperoleh risiko sebesar 0,0136% dengan proporsi bobot tertinggi yaitu saham BBCA sebesar 0,5663%.","author":[{"dropping-particle":"","family":"Jing","given":"Dongmei","non-dropping-particle":"","parse-names":false,"suffix":""},{"dropping-particle":"","family":"Imeni","given":"Mohsen","non-dropping-particle":"","parse-names":false,"suffix":""},{"dropping-particle":"","family":"Edalatpanah","given":"Seyyed Ahmad","non-dropping-particle":"","parse-names":false,"suffix":""},{"dropping-particle":"","family":"Alburaikan","given":"Alhanouf","non-dropping-particle":"","parse-names":false,"suffix":""},{"dropping-particle":"","family":"Khalifa","given":"Hamiden Abd El Wahed","non-dropping-particle":"","parse-names":false,"suffix":""},{"dropping-particle":"","family":"Negara","given":"I Nyoman Wijaya","non-dropping-particle":"","parse-names":false,"suffix":""},{"dropping-particle":"","family":"Langi","given":"Yohanes A.R.","non-dropping-particle":"","parse-names":false,"suffix":""},{"dropping-particle":"","family":"Manurung","given":"Tohap","non-dropping-particle":"","parse-names":false,"suffix":""}],"container-title":"Mathematics","id":"ITEM-1","issue":"2","issued":{"date-parts":[["2023"]]},"page":"173","title":"Optimal Selection of Stock Portfolios Using Multi-Criteria Decision-Making Methods","type":"article-journal","volume":"9"},"uris":["http://www.mendeley.com/documents/?uuid=f5affeb1-f0e6-4f23-8665-3d1582c1f983"]}],"mendeley":{"formattedCitation":"(Jing et al., 2023)","plainTextFormattedCitation":"(Jing et al., 2023)","previouslyFormattedCitation":"(Jing et al., 2023)"},"properties":{"noteIndex":0},"schema":"https://github.com/citation-style-language/schema/raw/master/csl-citation.json"}</w:instrText>
      </w:r>
      <w:r>
        <w:rPr>
          <w:rFonts w:ascii="Arial" w:hAnsi="Arial" w:cs="Arial"/>
        </w:rPr>
        <w:fldChar w:fldCharType="separate"/>
      </w:r>
      <w:r w:rsidRPr="00013CE8">
        <w:rPr>
          <w:rFonts w:ascii="Arial" w:hAnsi="Arial" w:cs="Arial"/>
          <w:noProof/>
        </w:rPr>
        <w:t>(Jing et al., 2023)</w:t>
      </w:r>
      <w:r>
        <w:rPr>
          <w:rFonts w:ascii="Arial" w:hAnsi="Arial" w:cs="Arial"/>
        </w:rPr>
        <w:fldChar w:fldCharType="end"/>
      </w:r>
      <w:r w:rsidRPr="002D3907">
        <w:rPr>
          <w:rFonts w:ascii="Arial" w:hAnsi="Arial" w:cs="Arial"/>
        </w:rPr>
        <w:t xml:space="preserve">. Theoretically, the company's performance in generating stock returns cannot be separated from the company's ability to make profits. Profitability is a financial ratio that describes the extent to which a company is able to generate profits from its operational activities, either through sales, assets, or equity </w:t>
      </w:r>
      <w:r>
        <w:rPr>
          <w:rFonts w:ascii="Arial" w:hAnsi="Arial" w:cs="Arial"/>
        </w:rPr>
        <w:fldChar w:fldCharType="begin" w:fldLock="1"/>
      </w:r>
      <w:r>
        <w:rPr>
          <w:rFonts w:ascii="Arial" w:hAnsi="Arial" w:cs="Arial"/>
        </w:rPr>
        <w:instrText>ADDIN CSL_CITATION {"citationItems":[{"id":"ITEM-1","itemData":{"DOI":"10.31014/aior.1992.06.01.485","author":[{"dropping-particle":"","family":"Ayuningsih","given":"Risma","non-dropping-particle":"","parse-names":false,"suffix":""}],"id":"ITEM-1","issued":{"date-parts":[["2023"]]},"title":"Economics and Business Quarterly Reviews The Influence of Net Profit Margin and Debt to Asset Ratio on Profit Growth : Case Study of Coal Mining Subsector","type":"article-journal"},"uris":["http://www.mendeley.com/documents/?uuid=1dfa5981-85b6-425d-a0a6-47bd955854fd"]},{"id":"ITEM-2","itemData":{"author":[{"dropping-particle":"","family":"Lalevic","given":"Ana Filipovic","non-dropping-particle":"","parse-names":false,"suffix":""},{"dropping-particle":"","family":"Selma","given":"Demivoric","non-dropping-particle":"","parse-names":false,"suffix":""}],"id":"ITEM-2","issued":{"date-parts":[["2022"]]},"title":"The relationship between debt and profitability of stock companies in Montenegro","type":"article-journal"},"uris":["http://www.mendeley.com/documents/?uuid=c3b5505f-ce82-473c-8e52-44f3560413c3"]}],"mendeley":{"formattedCitation":"(Ayuningsih, 2023; Lalevic &amp; Selma, 2022)","plainTextFormattedCitation":"(Ayuningsih, 2023; Lalevic &amp; Selma, 2022)","previouslyFormattedCitation":"(Ayuningsih, 2023; Lalevic &amp; Selma, 2022)"},"properties":{"noteIndex":0},"schema":"https://github.com/citation-style-language/schema/raw/master/csl-citation.json"}</w:instrText>
      </w:r>
      <w:r>
        <w:rPr>
          <w:rFonts w:ascii="Arial" w:hAnsi="Arial" w:cs="Arial"/>
        </w:rPr>
        <w:fldChar w:fldCharType="separate"/>
      </w:r>
      <w:r w:rsidRPr="00C51A06">
        <w:rPr>
          <w:rFonts w:ascii="Arial" w:hAnsi="Arial" w:cs="Arial"/>
          <w:noProof/>
        </w:rPr>
        <w:t>(Ayuningsih, 2023; Lalevic &amp; Selma, 2022)</w:t>
      </w:r>
      <w:r>
        <w:rPr>
          <w:rFonts w:ascii="Arial" w:hAnsi="Arial" w:cs="Arial"/>
        </w:rPr>
        <w:fldChar w:fldCharType="end"/>
      </w:r>
      <w:r>
        <w:rPr>
          <w:rFonts w:ascii="Arial" w:hAnsi="Arial" w:cs="Arial"/>
        </w:rPr>
        <w:t xml:space="preserve">. High profitability indicates the company's efficiency in managing resources and is a positive signal to investors regarding the company's future prospects </w:t>
      </w:r>
      <w:r>
        <w:rPr>
          <w:rFonts w:ascii="Arial" w:hAnsi="Arial" w:cs="Arial"/>
        </w:rPr>
        <w:fldChar w:fldCharType="begin" w:fldLock="1"/>
      </w:r>
      <w:r>
        <w:rPr>
          <w:rFonts w:ascii="Arial" w:hAnsi="Arial" w:cs="Arial"/>
        </w:rPr>
        <w:instrText>ADDIN CSL_CITATION {"citationItems":[{"id":"ITEM-1","itemData":{"author":[{"dropping-particle":"","family":"Tinungki","given":"Georgina Maria","non-dropping-particle":"","parse-names":false,"suffix":""},{"dropping-particle":"","family":"Hartono","given":"Powell Gian","non-dropping-particle":"","parse-names":false,"suffix":""},{"dropping-particle":"","family":"Robiyanto","given":"Robiyanto","non-dropping-particle":"","parse-names":false,"suffix":""},{"dropping-particle":"","family":"Hartono","given":"Agus Budi","non-dropping-particle":"","parse-names":false,"suffix":""},{"dropping-particle":"","family":"Jakaria","given":"Jakaria","non-dropping-particle":"","parse-names":false,"suffix":""},{"dropping-particle":"","family":"Simanjuntak","given":"Lydia Rosintan","non-dropping-particle":"","parse-names":false,"suffix":""}],"id":"ITEM-1","issued":{"date-parts":[["2022"]]},"title":"The COVID-19 Pandemic Impact on Corporate Dividend Policy of Sustainable and Responsible Investment in Indonesia : Static and Dynamic Panel Data Model Comparison","type":"article-journal"},"uris":["http://www.mendeley.com/documents/?uuid=429231e8-0046-4b77-9ef3-46d2b02f700d"]}],"mendeley":{"formattedCitation":"(Tinungki et al., 2022)","plainTextFormattedCitation":"(Tinungki et al., 2022)","previouslyFormattedCitation":"(Tinungki et al., 2022)"},"properties":{"noteIndex":0},"schema":"https://github.com/citation-style-language/schema/raw/master/csl-citation.json"}</w:instrText>
      </w:r>
      <w:r>
        <w:rPr>
          <w:rFonts w:ascii="Arial" w:hAnsi="Arial" w:cs="Arial"/>
        </w:rPr>
        <w:fldChar w:fldCharType="separate"/>
      </w:r>
      <w:r w:rsidRPr="00C51A06">
        <w:rPr>
          <w:rFonts w:ascii="Arial" w:hAnsi="Arial" w:cs="Arial"/>
          <w:noProof/>
        </w:rPr>
        <w:t>(Stuart et al., 2022)</w:t>
      </w:r>
      <w:r>
        <w:rPr>
          <w:rFonts w:ascii="Arial" w:hAnsi="Arial" w:cs="Arial"/>
        </w:rPr>
        <w:fldChar w:fldCharType="end"/>
      </w:r>
      <w:r w:rsidRPr="00C51A06">
        <w:rPr>
          <w:rFonts w:ascii="Arial" w:hAnsi="Arial" w:cs="Arial"/>
        </w:rPr>
        <w:t xml:space="preserve">. One of the indicators that is often used to measure profitability is Earnings per Share (EPS), which describes a company's ability to generate earnings per share </w:t>
      </w:r>
      <w:r>
        <w:rPr>
          <w:rFonts w:ascii="Arial" w:hAnsi="Arial" w:cs="Arial"/>
        </w:rPr>
        <w:fldChar w:fldCharType="begin" w:fldLock="1"/>
      </w:r>
      <w:r>
        <w:rPr>
          <w:rFonts w:ascii="Arial" w:hAnsi="Arial" w:cs="Arial"/>
        </w:rPr>
        <w:instrText>ADDIN CSL_CITATION {"citationItems":[{"id":"ITEM-1","itemData":{"DOI":"10.1108/K-08-2021-0672","author":[{"dropping-particle":"","family":"Popa","given":"Dorina Nicoleta","non-dropping-particle":"","parse-names":false,"suffix":""},{"dropping-particle":"","family":"Bogdan","given":"Victoria","non-dropping-particle":"","parse-names":false,"suffix":""},{"dropping-particle":"","family":"Diana","given":"Claudia","non-dropping-particle":"","parse-names":false,"suffix":""},{"dropping-particle":"","family":"Popa","given":"Sabau","non-dropping-particle":"","parse-names":false,"suffix":""},{"dropping-particle":"","family":"Badulescu","given":"Alina","non-dropping-particle":"","parse-names":false,"suffix":""}],"id":"ITEM-1","issue":"September","issued":{"date-parts":[["2022"]]},"title":"Performance mapping in two-step cluster analysis through ESEG disclosures and EPS","type":"article-journal"},"uris":["http://www.mendeley.com/documents/?uuid=6d564a49-c473-439d-8232-b90ee6f27d8e"]}],"mendeley":{"formattedCitation":"(Popa et al., 2022)","plainTextFormattedCitation":"(Popa et al., 2022)","previouslyFormattedCitation":"(Popa et al., 2022)"},"properties":{"noteIndex":0},"schema":"https://github.com/citation-style-language/schema/raw/master/csl-citation.json"}</w:instrText>
      </w:r>
      <w:r>
        <w:rPr>
          <w:rFonts w:ascii="Arial" w:hAnsi="Arial" w:cs="Arial"/>
        </w:rPr>
        <w:fldChar w:fldCharType="separate"/>
      </w:r>
      <w:r w:rsidRPr="00C51A06">
        <w:rPr>
          <w:rFonts w:ascii="Arial" w:hAnsi="Arial" w:cs="Arial"/>
          <w:noProof/>
        </w:rPr>
        <w:t>(Popa et al., 2022)</w:t>
      </w:r>
      <w:r>
        <w:rPr>
          <w:rFonts w:ascii="Arial" w:hAnsi="Arial" w:cs="Arial"/>
        </w:rPr>
        <w:fldChar w:fldCharType="end"/>
      </w:r>
      <w:r w:rsidRPr="00C51A06">
        <w:rPr>
          <w:rFonts w:ascii="Arial" w:hAnsi="Arial" w:cs="Arial"/>
        </w:rPr>
        <w:t>. Profitability not only affects investors' interest in buying shares, but can also affect the company's policy in distributing dividends. The higher the profitability, the greater the potential of the company to distribute dividends, which ultimately impacts the market's perception of the value of the company's shares. Thus, the relationship between profitability, stock returns, and stock price valuation is important to be studied further.</w:t>
      </w:r>
    </w:p>
    <w:p w14:paraId="4FF9CA41" w14:textId="77777777" w:rsidR="00D77A87" w:rsidRPr="00C51A06" w:rsidRDefault="00D77A87" w:rsidP="00D77A87">
      <w:pPr>
        <w:pStyle w:val="Body"/>
        <w:rPr>
          <w:rFonts w:ascii="Arial" w:hAnsi="Arial" w:cs="Arial"/>
        </w:rPr>
      </w:pPr>
      <w:r w:rsidRPr="00C51A06">
        <w:rPr>
          <w:rFonts w:ascii="Arial" w:hAnsi="Arial" w:cs="Arial"/>
        </w:rPr>
        <w:t xml:space="preserve">Several previous studies have discussed the relationship between profitability, dividend policy, and stock price valuation, but the results still show mixed findings. Research by </w:t>
      </w:r>
      <w:r>
        <w:rPr>
          <w:rFonts w:ascii="Arial" w:hAnsi="Arial" w:cs="Arial"/>
        </w:rPr>
        <w:fldChar w:fldCharType="begin" w:fldLock="1"/>
      </w:r>
      <w:r>
        <w:rPr>
          <w:rFonts w:ascii="Arial" w:hAnsi="Arial" w:cs="Arial"/>
        </w:rPr>
        <w:instrText>ADDIN CSL_CITATION {"citationItems":[{"id":"ITEM-1","itemData":{"DOI":"10.1108/JABES-12-2019-0128","ISBN":"1220190128","author":[{"dropping-particle":"","family":"Trong","given":"Nghia Nguyen","non-dropping-particle":"","parse-names":false,"suffix":""}],"id":"ITEM-1","issue":"1","issued":{"date-parts":[["2025"]]},"page":"47-63","title":"Firm performance : the moderation impact of debt and dividend policies on overinvestment","type":"article-journal","volume":"28"},"uris":["http://www.mendeley.com/documents/?uuid=7a9e0950-15f9-4a73-9c40-1dc7aa7ce02e"]}],"mendeley":{"formattedCitation":"(Trong, 2025)","manualFormatting":"Trong (2025)","plainTextFormattedCitation":"(Trong, 2025)","previouslyFormattedCitation":"(Trong, 2025)"},"properties":{"noteIndex":0},"schema":"https://github.com/citation-style-language/schema/raw/master/csl-citation.json"}</w:instrText>
      </w:r>
      <w:r>
        <w:rPr>
          <w:rFonts w:ascii="Arial" w:hAnsi="Arial" w:cs="Arial"/>
        </w:rPr>
        <w:fldChar w:fldCharType="separate"/>
      </w:r>
      <w:r>
        <w:rPr>
          <w:rFonts w:ascii="Arial" w:hAnsi="Arial" w:cs="Arial"/>
          <w:noProof/>
        </w:rPr>
        <w:t>Trong (2025)</w:t>
      </w:r>
      <w:r>
        <w:rPr>
          <w:rFonts w:ascii="Arial" w:hAnsi="Arial" w:cs="Arial"/>
        </w:rPr>
        <w:fldChar w:fldCharType="end"/>
      </w:r>
      <w:r w:rsidRPr="00C51A06">
        <w:rPr>
          <w:rFonts w:ascii="Arial" w:hAnsi="Arial" w:cs="Arial"/>
        </w:rPr>
        <w:t xml:space="preserve"> revealed that the Debt to Equity Ratio (DER) has no direct effect on dividend policy or stock price, while Return on Assets (ROA) has a direct effect on both. In the study, it was also found that neither Earnings per Share (EPS) nor dividend policy has a direct influence on stock prices, and dividend policies do not mediate the relationship between DER and stock price. Meanwhile, </w:t>
      </w:r>
      <w:r>
        <w:rPr>
          <w:rFonts w:ascii="Arial" w:hAnsi="Arial" w:cs="Arial"/>
        </w:rPr>
        <w:fldChar w:fldCharType="begin" w:fldLock="1"/>
      </w:r>
      <w:r>
        <w:rPr>
          <w:rFonts w:ascii="Arial" w:hAnsi="Arial" w:cs="Arial"/>
        </w:rPr>
        <w:instrText>ADDIN CSL_CITATION {"citationItems":[{"id":"ITEM-1","itemData":{"DOI":"10.1177/2158244020950363","author":[{"dropping-particle":"","family":"Li","given":"Kaodui","non-dropping-particle":"","parse-names":false,"suffix":""},{"dropping-particle":"","family":"Musah","given":"Mohammed","non-dropping-particle":"","parse-names":false,"suffix":""},{"dropping-particle":"","family":"Kong","given":"Yusheng","non-dropping-particle":"","parse-names":false,"suffix":""},{"dropping-particle":"","family":"Mensah","given":"Isaac Adjei","non-dropping-particle":"","parse-names":false,"suffix":""},{"dropping-particle":"","family":"Antwi","given":"Stephen Kwadwo","non-dropping-particle":"","parse-names":false,"suffix":""},{"dropping-particle":"","family":"Bawuah","given":"Jonas","non-dropping-particle":"","parse-names":false,"suffix":""},{"dropping-particle":"","family":"Donkor","given":"Mary","non-dropping-particle":"","parse-names":false,"suffix":""},{"dropping-particle":"","family":"Paa","given":"Cephas","non-dropping-particle":"","parse-names":false,"suffix":""},{"dropping-particle":"","family":"Coffie","given":"Kwasi","non-dropping-particle":"","parse-names":false,"suffix":""},{"dropping-particle":"","family":"Osei","given":"Agyemang Andrew","non-dropping-particle":"","parse-names":false,"suffix":""}],"id":"ITEM-1","issued":{"date-parts":[["2020"]]},"title":"Liquidity and Firms ’ Financial Performance Nexus : A Panel Evidence From Non-Financial Firms Listed on the Ghana Stock Exchange","type":"article-journal"},"uris":["http://www.mendeley.com/documents/?uuid=bad2e1f6-8d56-453e-a0a6-cfd5de8277f5"]}],"mendeley":{"formattedCitation":"(Li et al., 2020)","manualFormatting":"Li et al (2020)","plainTextFormattedCitation":"(Li et al., 2020)","previouslyFormattedCitation":"(Li et al., 2020)"},"properties":{"noteIndex":0},"schema":"https://github.com/citation-style-language/schema/raw/master/csl-citation.json"}</w:instrText>
      </w:r>
      <w:r>
        <w:rPr>
          <w:rFonts w:ascii="Arial" w:hAnsi="Arial" w:cs="Arial"/>
        </w:rPr>
        <w:fldChar w:fldCharType="separate"/>
      </w:r>
      <w:r>
        <w:rPr>
          <w:rFonts w:ascii="Arial" w:hAnsi="Arial" w:cs="Arial"/>
          <w:noProof/>
        </w:rPr>
        <w:t>Li et al (2020)</w:t>
      </w:r>
      <w:r>
        <w:rPr>
          <w:rFonts w:ascii="Arial" w:hAnsi="Arial" w:cs="Arial"/>
        </w:rPr>
        <w:fldChar w:fldCharType="end"/>
      </w:r>
      <w:r w:rsidRPr="00C51A06">
        <w:rPr>
          <w:rFonts w:ascii="Arial" w:hAnsi="Arial" w:cs="Arial"/>
        </w:rPr>
        <w:t xml:space="preserve"> shows that liquidity has a negative effect on stock prices, while dividend policies and profitability have a positive effect on stock prices. Different findings are shown by </w:t>
      </w:r>
      <w:r>
        <w:rPr>
          <w:rFonts w:ascii="Arial" w:hAnsi="Arial" w:cs="Arial"/>
        </w:rPr>
        <w:fldChar w:fldCharType="begin" w:fldLock="1"/>
      </w:r>
      <w:r>
        <w:rPr>
          <w:rFonts w:ascii="Arial" w:hAnsi="Arial" w:cs="Arial"/>
        </w:rPr>
        <w:instrText>ADDIN CSL_CITATION {"citationItems":[{"id":"ITEM-1","itemData":{"DOI":"10.5539/mas.v14n3p45","author":[{"dropping-particle":"","family":"Rabah","given":"Belal","non-dropping-particle":"","parse-names":false,"suffix":""},{"dropping-particle":"","family":"Shammout","given":"Taher","non-dropping-particle":"","parse-names":false,"suffix":""}],"id":"ITEM-1","issue":"3","issued":{"date-parts":[["2020"]]},"page":"45-55","title":"The Impact of Stock Characteristics on Its Market Price in Jordanian Commercial Banks","type":"article-journal","volume":"14"},"uris":["http://www.mendeley.com/documents/?uuid=80d5d40c-ef33-4de7-b8d5-d1e3be6beb61"]}],"mendeley":{"formattedCitation":"(Rabah &amp; Shammout, 2020)","manualFormatting":"Rabah &amp; Shammout (2020)","plainTextFormattedCitation":"(Rabah &amp; Shammout, 2020)","previouslyFormattedCitation":"(Rabah &amp; Shammout, 2020)"},"properties":{"noteIndex":0},"schema":"https://github.com/citation-style-language/schema/raw/master/csl-citation.json"}</w:instrText>
      </w:r>
      <w:r>
        <w:rPr>
          <w:rFonts w:ascii="Arial" w:hAnsi="Arial" w:cs="Arial"/>
        </w:rPr>
        <w:fldChar w:fldCharType="separate"/>
      </w:r>
      <w:r>
        <w:rPr>
          <w:rFonts w:ascii="Arial" w:hAnsi="Arial" w:cs="Arial"/>
          <w:noProof/>
        </w:rPr>
        <w:t>Rabah &amp; Shammout (2020)</w:t>
      </w:r>
      <w:r>
        <w:rPr>
          <w:rFonts w:ascii="Arial" w:hAnsi="Arial" w:cs="Arial"/>
        </w:rPr>
        <w:fldChar w:fldCharType="end"/>
      </w:r>
      <w:r w:rsidRPr="00C51A06">
        <w:rPr>
          <w:rFonts w:ascii="Arial" w:hAnsi="Arial" w:cs="Arial"/>
        </w:rPr>
        <w:t>, which states that the ROA and Dividend Payout Ratio (DPR) have no significant effect on the stock price, but EPS has a significant influence. This difference in results shows a research gap, especially in terms of the consistency of the effect of profitability and dividend policy on stock price valuation. Thus, further research is needed to re-examine the role of these two variables in the context of a dynamic capital market.</w:t>
      </w:r>
    </w:p>
    <w:p w14:paraId="3CD0F69B" w14:textId="77777777" w:rsidR="00D77A87" w:rsidRPr="00C51A06" w:rsidRDefault="00D77A87" w:rsidP="00D77A87">
      <w:pPr>
        <w:pStyle w:val="Body"/>
        <w:rPr>
          <w:rFonts w:ascii="Arial" w:hAnsi="Arial" w:cs="Arial"/>
        </w:rPr>
      </w:pPr>
      <w:r w:rsidRPr="00C51A06">
        <w:rPr>
          <w:rFonts w:ascii="Arial" w:hAnsi="Arial" w:cs="Arial"/>
        </w:rPr>
        <w:t>The urgency of this research lies in the importance of understanding how fundamental factors such as profitability and stock returns play a role in determining stock price valuations, as well as the extent to which dividend policies can moderate these relationships. In increasingly competitive and dynamic market conditions, investors need accurate information to assess the fair value of stocks in order to make the right investment decisions. The study of the interaction between profitability, stock returns, and dividend policies will provide a more comprehensive understanding of the factors that affect the value of stocks in the capital market. In addition, this study has novelty because it integrates the three main variables of profitability, stock return, and dividend policy in one moderation model to explain its effect on stock price valuation. This study also seeks to close the empirical gap from previous research that still shows inconsistent results, especially in the context of financial sector companies in Indonesia.</w:t>
      </w:r>
    </w:p>
    <w:p w14:paraId="37916DBA" w14:textId="77777777" w:rsidR="00D77A87" w:rsidRPr="002D3907" w:rsidRDefault="00D77A87" w:rsidP="00D77A87">
      <w:pPr>
        <w:pStyle w:val="Body"/>
        <w:spacing w:after="0"/>
        <w:rPr>
          <w:rFonts w:ascii="Arial" w:hAnsi="Arial" w:cs="Arial"/>
        </w:rPr>
      </w:pPr>
      <w:r w:rsidRPr="00C51A06">
        <w:rPr>
          <w:rFonts w:ascii="Arial" w:hAnsi="Arial" w:cs="Arial"/>
        </w:rPr>
        <w:t>Based on this background, the purpose of this study is to analyze the influence of profitability and stock returns on stock price valuation, as well as to test the role of dividend policy as a moderation variable. In particular, this study wants to find out whether profitability and stock returns have a significant effect on stock price valuations, either directly or by considering dividend policy. The results of the research are expected to make a theoretical contribution to the development of literature on financial and investment management, as well as practical contributions for investors and company management in formulating investment strategies and dividend distribution policies. By understanding the relationship between the three variables, it is hoped that this study can be a reference for more rational and empirical data-based investment decision-making.</w:t>
      </w:r>
    </w:p>
    <w:p w14:paraId="612B551B" w14:textId="77777777" w:rsidR="00D77A87" w:rsidRPr="002D3907" w:rsidRDefault="00D77A87" w:rsidP="00D77A87">
      <w:pPr>
        <w:pStyle w:val="Body"/>
        <w:spacing w:after="0"/>
        <w:rPr>
          <w:rFonts w:ascii="Arial" w:hAnsi="Arial" w:cs="Arial"/>
        </w:rPr>
      </w:pPr>
    </w:p>
    <w:p w14:paraId="566CD329" w14:textId="77777777" w:rsidR="00D77A87" w:rsidRPr="002D3907" w:rsidRDefault="00D77A87" w:rsidP="00D77A87">
      <w:pPr>
        <w:pStyle w:val="AbstHead"/>
        <w:spacing w:after="0"/>
        <w:jc w:val="both"/>
        <w:rPr>
          <w:rFonts w:ascii="Arial" w:hAnsi="Arial" w:cs="Arial"/>
        </w:rPr>
      </w:pPr>
      <w:r w:rsidRPr="002D3907">
        <w:rPr>
          <w:rFonts w:ascii="Arial" w:hAnsi="Arial" w:cs="Arial"/>
        </w:rPr>
        <w:lastRenderedPageBreak/>
        <w:t xml:space="preserve">2. Method </w:t>
      </w:r>
    </w:p>
    <w:p w14:paraId="27EDAA62" w14:textId="77777777" w:rsidR="00D77A87" w:rsidRPr="002D3907" w:rsidRDefault="00D77A87" w:rsidP="00D77A87">
      <w:pPr>
        <w:pStyle w:val="AbstHead"/>
        <w:spacing w:after="0"/>
        <w:jc w:val="both"/>
        <w:rPr>
          <w:rFonts w:ascii="Arial" w:hAnsi="Arial" w:cs="Arial"/>
        </w:rPr>
      </w:pPr>
    </w:p>
    <w:p w14:paraId="63AE26F3" w14:textId="77777777" w:rsidR="00D77A87" w:rsidRPr="00DA2C84" w:rsidRDefault="00D77A87" w:rsidP="00D77A87">
      <w:pPr>
        <w:pStyle w:val="Body"/>
        <w:rPr>
          <w:rFonts w:ascii="Arial" w:hAnsi="Arial" w:cs="Arial"/>
        </w:rPr>
      </w:pPr>
      <w:r w:rsidRPr="00DA2C84">
        <w:rPr>
          <w:rFonts w:ascii="Arial" w:hAnsi="Arial" w:cs="Arial"/>
        </w:rPr>
        <w:t xml:space="preserve">This study uses a descriptive quantitative approach, because it aims to explain the relationship between variables empirically using statistically processed numerical data </w:t>
      </w:r>
      <w:r>
        <w:rPr>
          <w:rFonts w:ascii="Arial" w:hAnsi="Arial" w:cs="Arial"/>
        </w:rPr>
        <w:fldChar w:fldCharType="begin" w:fldLock="1"/>
      </w:r>
      <w:r>
        <w:rPr>
          <w:rFonts w:ascii="Arial" w:hAnsi="Arial" w:cs="Arial"/>
        </w:rPr>
        <w:instrText>ADDIN CSL_CITATION {"citationItems":[{"id":"ITEM-1","itemData":{"author":[{"dropping-particle":"","family":"Nair","given":"Sindhu Shantha","non-dropping-particle":"","parse-names":false,"suffix":""},{"dropping-particle":"","family":"Prem","given":"Smritika S","non-dropping-particle":"","parse-names":false,"suffix":""}],"id":"ITEM-1","issued":{"date-parts":[["2020"]]},"page":"45-53","title":"A Framework for Mixed-method","type":"article-journal"},"uris":["http://www.mendeley.com/documents/?uuid=1862bf40-7838-4da5-86c5-9a1edb773271"]},{"id":"ITEM-2","itemData":{"DOI":"10.1007/978-3-030-80519-7_5","ISBN":"9783030805180","abstract":"Structural equation modeling (SEM) has become widespread in educational and psychological research. Its flexibility in addressing complex theoretical models and the proper treatment of measurement error has made it the model of choice for many researchers in the social sciences. Nevertheless, the model imposes some daunting assumptions and restrictions (e.g. normality and relatively large sample sizes) that could discourage practitioners from applying the model. Partial least squares SEM (PLS-SEM) is a nonparametric technique which makes no distributional assumptions and can be estimated with small sample sizes. In this paper a general introduction to PLS-SEM is given and is compared with conventional SEM. Next, step by step procedures, along with R functions, are presented to estimate the model. A data set is analyzed and the outputs are interpreted.","author":[{"dropping-particle":"","family":"Hair","given":"Joseph F.","non-dropping-particle":"","parse-names":false,"suffix":""},{"dropping-particle":"","family":"Hult","given":"G. Tomas M.","non-dropping-particle":"","parse-names":false,"suffix":""},{"dropping-particle":"","family":"Ringle","given":"Christian M.","non-dropping-particle":"","parse-names":false,"suffix":""},{"dropping-particle":"","family":"Sarstedt","given":"Marko","non-dropping-particle":"","parse-names":false,"suffix":""},{"dropping-particle":"","family":"Danks","given":"Nicholas P.","non-dropping-particle":"","parse-names":false,"suffix":""},{"dropping-particle":"","family":"Ray","given":"Soumya","non-dropping-particle":"","parse-names":false,"suffix":""}],"id":"ITEM-2","issued":{"date-parts":[["2021"]]},"number-of-pages":"91-113","title":"Evaluation of Formative Measurement Models","type":"book"},"uris":["http://www.mendeley.com/documents/?uuid=d43735a6-ae7d-443e-b86c-0cb3866b67d9"]}],"mendeley":{"formattedCitation":"(Hair et al., 2021; Nair &amp; Prem, 2020)","plainTextFormattedCitation":"(Hair et al., 2021; Nair &amp; Prem, 2020)","previouslyFormattedCitation":"(Hair et al., 2021; Nair &amp; Prem, 2020)"},"properties":{"noteIndex":0},"schema":"https://github.com/citation-style-language/schema/raw/master/csl-citation.json"}</w:instrText>
      </w:r>
      <w:r>
        <w:rPr>
          <w:rFonts w:ascii="Arial" w:hAnsi="Arial" w:cs="Arial"/>
        </w:rPr>
        <w:fldChar w:fldCharType="separate"/>
      </w:r>
      <w:r w:rsidRPr="001B422A">
        <w:rPr>
          <w:rFonts w:ascii="Arial" w:hAnsi="Arial" w:cs="Arial"/>
          <w:noProof/>
        </w:rPr>
        <w:t>(Hair et al., 2021; Nair &amp; Prem, 2020)</w:t>
      </w:r>
      <w:r>
        <w:rPr>
          <w:rFonts w:ascii="Arial" w:hAnsi="Arial" w:cs="Arial"/>
        </w:rPr>
        <w:fldChar w:fldCharType="end"/>
      </w:r>
      <w:r w:rsidRPr="00DA2C84">
        <w:rPr>
          <w:rFonts w:ascii="Arial" w:hAnsi="Arial" w:cs="Arial"/>
        </w:rPr>
        <w:t xml:space="preserve">. This approach is considered the most appropriate to analyze the influence of profitability and stock returns on stock price valuations, as well as to test the role of dividend policy moderation in financial sector companies in Indonesia. The type of data used is secondary data obtained from the financial statements of financial sector companies listed on the Indonesia Stock Exchange (IDX) for the period 2021–2024. The data is collected from the official IDX website, which provides historical and verified financial information. The research population included all financial sector companies on the IDX in that period, while the sample determination was carried out by purposive sampling, which is selection based on certain criteria so that the data used is relevant and representative </w:t>
      </w:r>
      <w:r>
        <w:rPr>
          <w:rFonts w:ascii="Arial" w:hAnsi="Arial" w:cs="Arial"/>
        </w:rPr>
        <w:fldChar w:fldCharType="begin" w:fldLock="1"/>
      </w:r>
      <w:r>
        <w:rPr>
          <w:rFonts w:ascii="Arial" w:hAnsi="Arial" w:cs="Arial"/>
        </w:rPr>
        <w:instrText>ADDIN CSL_CITATION {"citationItems":[{"id":"ITEM-1","itemData":{"DOI":"10.1108/lodj-06-2013-0079","ISSN":"0143-7739","abstract":"applicability for this approach.","author":[{"dropping-particle":"","family":"Sekaran","given":"Uma","non-dropping-particle":"","parse-names":false,"suffix":""},{"dropping-particle":"","family":"Bougie","given":"Roger","non-dropping-particle":"","parse-names":false,"suffix":""}],"container-title":"Leadership &amp; Organization Development Journal","id":"ITEM-1","issue":"7","issued":{"date-parts":[["2013"]]},"page":"700-701","title":"Research Methods for Business: A Skill-Building Approach","type":"article-journal","volume":"34"},"uris":["http://www.mendeley.com/documents/?uuid=0fafb705-f4f6-44e2-8b60-341c8db602c2"]}],"mendeley":{"formattedCitation":"(Sekaran &amp; Bougie, 2013)","plainTextFormattedCitation":"(Sekaran &amp; Bougie, 2013)","previouslyFormattedCitation":"(Sekaran &amp; Bougie, 2013)"},"properties":{"noteIndex":0},"schema":"https://github.com/citation-style-language/schema/raw/master/csl-citation.json"}</w:instrText>
      </w:r>
      <w:r>
        <w:rPr>
          <w:rFonts w:ascii="Arial" w:hAnsi="Arial" w:cs="Arial"/>
        </w:rPr>
        <w:fldChar w:fldCharType="separate"/>
      </w:r>
      <w:r w:rsidRPr="001B422A">
        <w:rPr>
          <w:rFonts w:ascii="Arial" w:hAnsi="Arial" w:cs="Arial"/>
          <w:noProof/>
        </w:rPr>
        <w:t>(Sekaran &amp; Bougie, 2013)</w:t>
      </w:r>
      <w:r>
        <w:rPr>
          <w:rFonts w:ascii="Arial" w:hAnsi="Arial" w:cs="Arial"/>
        </w:rPr>
        <w:fldChar w:fldCharType="end"/>
      </w:r>
      <w:r w:rsidRPr="00DA2C84">
        <w:rPr>
          <w:rFonts w:ascii="Arial" w:hAnsi="Arial" w:cs="Arial"/>
        </w:rPr>
        <w:t>. These criteria include companies that consistently distribute dividends and have complete data according to research variables during the 2021–2024 period. Based on these criteria, as many as 12 companies were obtained as research samples, so that the total observation amounted to 48 data.</w:t>
      </w:r>
    </w:p>
    <w:p w14:paraId="2B191EB5" w14:textId="77777777" w:rsidR="00D77A87" w:rsidRDefault="00D77A87" w:rsidP="00D77A87">
      <w:pPr>
        <w:pStyle w:val="Body"/>
        <w:rPr>
          <w:rFonts w:ascii="Arial" w:hAnsi="Arial" w:cs="Arial"/>
          <w:lang w:val="id-ID"/>
        </w:rPr>
      </w:pPr>
      <w:r w:rsidRPr="00DA2C84">
        <w:rPr>
          <w:rFonts w:ascii="Arial" w:hAnsi="Arial" w:cs="Arial"/>
        </w:rPr>
        <w:t xml:space="preserve">Data analysis is carried out through two stages, namely descriptive analysis and inferential analysis. Descriptive analysis is used to describe the characteristics of each variable, including minimum, maximum, average, and standard deviation values. Before testing the hypothesis, a classical assumption test consisting of a normality test, a multicollinearity test, and a heteroscedasticity test is carried out, to ensure that the regression model meets the BLUE (Best Linear Unbiased Estimator) requirements. Furthermore, hypothesis testing was carried out using multiple regression analysis with the Moderated Regression Analysis (MRA) approach to test the direct influence and moderation effect of dividend policy. This analysis model helps to explain whether dividend policies strengthen or weaken the relationship between profitability and stock returns to stock price valuations </w:t>
      </w:r>
      <w:r>
        <w:rPr>
          <w:rFonts w:ascii="Arial" w:hAnsi="Arial" w:cs="Arial"/>
        </w:rPr>
        <w:fldChar w:fldCharType="begin" w:fldLock="1"/>
      </w:r>
      <w:r>
        <w:rPr>
          <w:rFonts w:ascii="Arial" w:hAnsi="Arial" w:cs="Arial"/>
        </w:rPr>
        <w:instrText>ADDIN CSL_CITATION {"citationItems":[{"id":"ITEM-1","itemData":{"ISBN":"9781136586101","author":[{"dropping-particle":"","family":"Gujarati","given":"Damodar N","non-dropping-particle":"","parse-names":false,"suffix":""},{"dropping-particle":"","family":"Porter","given":"Dawn C","non-dropping-particle":"","parse-names":false,"suffix":""}],"container-title":"Introductory Econometrics: A Practical Approach","id":"ITEM-1","issued":{"date-parts":[["2013"]]},"number-of-pages":"1-2","title":"Single-equation regression models","type":"book"},"uris":["http://www.mendeley.com/documents/?uuid=0a38d4a0-cd6e-492f-8db6-fb76f32210a8"]}],"mendeley":{"formattedCitation":"(Gujarati &amp; Porter, 2013)","plainTextFormattedCitation":"(Gujarati &amp; Porter, 2013)","previouslyFormattedCitation":"(Gujarati &amp; Porter, 2013)"},"properties":{"noteIndex":0},"schema":"https://github.com/citation-style-language/schema/raw/master/csl-citation.json"}</w:instrText>
      </w:r>
      <w:r>
        <w:rPr>
          <w:rFonts w:ascii="Arial" w:hAnsi="Arial" w:cs="Arial"/>
        </w:rPr>
        <w:fldChar w:fldCharType="separate"/>
      </w:r>
      <w:r w:rsidRPr="0097736E">
        <w:rPr>
          <w:rFonts w:ascii="Arial" w:hAnsi="Arial" w:cs="Arial"/>
          <w:noProof/>
        </w:rPr>
        <w:t>(Gujarati &amp; Porter, 2013)</w:t>
      </w:r>
      <w:r>
        <w:rPr>
          <w:rFonts w:ascii="Arial" w:hAnsi="Arial" w:cs="Arial"/>
        </w:rPr>
        <w:fldChar w:fldCharType="end"/>
      </w:r>
      <w:r>
        <w:rPr>
          <w:rFonts w:ascii="Arial" w:hAnsi="Arial" w:cs="Arial"/>
        </w:rPr>
        <w:t>. For variables, operational definitions, and indicators are presented in the following table;</w:t>
      </w:r>
    </w:p>
    <w:p w14:paraId="7DBBC4D7" w14:textId="77777777" w:rsidR="0095062B" w:rsidRPr="0095062B" w:rsidRDefault="0095062B" w:rsidP="00D77A87">
      <w:pPr>
        <w:pStyle w:val="Body"/>
        <w:rPr>
          <w:rFonts w:ascii="Arial" w:hAnsi="Arial" w:cs="Arial"/>
          <w:b/>
          <w:lang w:val="id-ID"/>
        </w:rPr>
      </w:pPr>
      <w:r w:rsidRPr="009E51B8">
        <w:rPr>
          <w:rFonts w:ascii="Arial" w:hAnsi="Arial" w:cs="Arial"/>
          <w:b/>
        </w:rPr>
        <w:t xml:space="preserve">Table 1. </w:t>
      </w:r>
      <w:r w:rsidRPr="009E51B8">
        <w:rPr>
          <w:rFonts w:ascii="Arial" w:hAnsi="Arial" w:cs="Arial"/>
        </w:rPr>
        <w:t>Operationalization, Variables, and Indicators</w:t>
      </w:r>
    </w:p>
    <w:tbl>
      <w:tblPr>
        <w:tblStyle w:val="PlainTable2"/>
        <w:tblW w:w="4988" w:type="pct"/>
        <w:tblLook w:val="04A0" w:firstRow="1" w:lastRow="0" w:firstColumn="1" w:lastColumn="0" w:noHBand="0" w:noVBand="1"/>
      </w:tblPr>
      <w:tblGrid>
        <w:gridCol w:w="1317"/>
        <w:gridCol w:w="3592"/>
        <w:gridCol w:w="3273"/>
      </w:tblGrid>
      <w:tr w:rsidR="00D77A87" w:rsidRPr="00A0694F" w14:paraId="0CA614F4" w14:textId="77777777" w:rsidTr="00102E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5" w:type="pct"/>
            <w:hideMark/>
          </w:tcPr>
          <w:p w14:paraId="277B6A10" w14:textId="77777777" w:rsidR="00D77A87" w:rsidRPr="00345252" w:rsidRDefault="00D77A87" w:rsidP="00102E5D">
            <w:pPr>
              <w:jc w:val="center"/>
              <w:rPr>
                <w:rFonts w:ascii="Arial" w:hAnsi="Arial" w:cs="Arial"/>
                <w:szCs w:val="24"/>
              </w:rPr>
            </w:pPr>
            <w:r w:rsidRPr="00A0694F">
              <w:rPr>
                <w:rFonts w:ascii="Arial" w:hAnsi="Arial" w:cs="Arial"/>
                <w:szCs w:val="24"/>
              </w:rPr>
              <w:t>Variable</w:t>
            </w:r>
          </w:p>
        </w:tc>
        <w:tc>
          <w:tcPr>
            <w:tcW w:w="2235" w:type="pct"/>
            <w:hideMark/>
          </w:tcPr>
          <w:p w14:paraId="44A0A853" w14:textId="77777777" w:rsidR="00D77A87" w:rsidRPr="00345252" w:rsidRDefault="00D77A87" w:rsidP="00102E5D">
            <w:pPr>
              <w:jc w:val="center"/>
              <w:cnfStyle w:val="100000000000" w:firstRow="1" w:lastRow="0" w:firstColumn="0" w:lastColumn="0" w:oddVBand="0" w:evenVBand="0" w:oddHBand="0" w:evenHBand="0" w:firstRowFirstColumn="0" w:firstRowLastColumn="0" w:lastRowFirstColumn="0" w:lastRowLastColumn="0"/>
              <w:rPr>
                <w:rFonts w:ascii="Arial" w:hAnsi="Arial" w:cs="Arial"/>
                <w:szCs w:val="24"/>
              </w:rPr>
            </w:pPr>
            <w:r w:rsidRPr="00A0694F">
              <w:rPr>
                <w:rFonts w:ascii="Arial" w:hAnsi="Arial" w:cs="Arial"/>
                <w:szCs w:val="24"/>
              </w:rPr>
              <w:t>Operational Definition</w:t>
            </w:r>
          </w:p>
        </w:tc>
        <w:tc>
          <w:tcPr>
            <w:tcW w:w="2039" w:type="pct"/>
            <w:hideMark/>
          </w:tcPr>
          <w:p w14:paraId="6266610D" w14:textId="77777777" w:rsidR="00D77A87" w:rsidRPr="00345252" w:rsidRDefault="00D77A87" w:rsidP="00102E5D">
            <w:pPr>
              <w:jc w:val="center"/>
              <w:cnfStyle w:val="100000000000" w:firstRow="1" w:lastRow="0" w:firstColumn="0" w:lastColumn="0" w:oddVBand="0" w:evenVBand="0" w:oddHBand="0" w:evenHBand="0" w:firstRowFirstColumn="0" w:firstRowLastColumn="0" w:lastRowFirstColumn="0" w:lastRowLastColumn="0"/>
              <w:rPr>
                <w:rFonts w:ascii="Arial" w:hAnsi="Arial" w:cs="Arial"/>
                <w:szCs w:val="24"/>
              </w:rPr>
            </w:pPr>
            <w:r w:rsidRPr="00A0694F">
              <w:rPr>
                <w:rFonts w:ascii="Arial" w:hAnsi="Arial" w:cs="Arial"/>
                <w:szCs w:val="24"/>
              </w:rPr>
              <w:t>Indicators/Measurements</w:t>
            </w:r>
          </w:p>
        </w:tc>
      </w:tr>
      <w:tr w:rsidR="00D77A87" w:rsidRPr="00A0694F" w14:paraId="2B3AED59" w14:textId="77777777" w:rsidTr="00102E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5" w:type="pct"/>
            <w:hideMark/>
          </w:tcPr>
          <w:p w14:paraId="5A7E9753" w14:textId="77777777" w:rsidR="00D77A87" w:rsidRPr="00345252" w:rsidRDefault="00D77A87" w:rsidP="00102E5D">
            <w:pPr>
              <w:rPr>
                <w:rFonts w:ascii="Arial" w:hAnsi="Arial" w:cs="Arial"/>
                <w:szCs w:val="24"/>
              </w:rPr>
            </w:pPr>
            <w:r w:rsidRPr="00A0694F">
              <w:rPr>
                <w:rFonts w:ascii="Arial" w:hAnsi="Arial" w:cs="Arial"/>
                <w:szCs w:val="24"/>
              </w:rPr>
              <w:t xml:space="preserve">Stock Price Valuation </w:t>
            </w:r>
          </w:p>
        </w:tc>
        <w:tc>
          <w:tcPr>
            <w:tcW w:w="2235" w:type="pct"/>
            <w:hideMark/>
          </w:tcPr>
          <w:p w14:paraId="45803E51" w14:textId="77777777" w:rsidR="00D77A87" w:rsidRPr="00345252" w:rsidRDefault="00D77A87" w:rsidP="00102E5D">
            <w:pPr>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345252">
              <w:rPr>
                <w:rFonts w:ascii="Arial" w:hAnsi="Arial" w:cs="Arial"/>
                <w:szCs w:val="24"/>
              </w:rPr>
              <w:t>Stock price valuation is the process of determining the intrinsic value of shares through fundamental analysis based on the company's financial statements. This value reflects investors' perception of the company's value in the capital market.</w:t>
            </w:r>
          </w:p>
        </w:tc>
        <w:tc>
          <w:tcPr>
            <w:tcW w:w="2039" w:type="pct"/>
            <w:vAlign w:val="center"/>
            <w:hideMark/>
          </w:tcPr>
          <w:p w14:paraId="63E38A3B" w14:textId="77777777" w:rsidR="00D77A87" w:rsidRPr="00345252" w:rsidRDefault="00D77A87" w:rsidP="00102E5D">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rPr>
            </w:pPr>
            <m:oMathPara>
              <m:oMath>
                <m:r>
                  <w:rPr>
                    <w:rFonts w:ascii="Cambria Math" w:hAnsi="Cambria Math" w:cs="Arial"/>
                    <w:szCs w:val="24"/>
                  </w:rPr>
                  <m:t>PBV=</m:t>
                </m:r>
                <m:f>
                  <m:fPr>
                    <m:ctrlPr>
                      <w:rPr>
                        <w:rFonts w:ascii="Cambria Math" w:hAnsi="Cambria Math" w:cs="Arial"/>
                        <w:i/>
                        <w:szCs w:val="24"/>
                      </w:rPr>
                    </m:ctrlPr>
                  </m:fPr>
                  <m:num>
                    <m:r>
                      <w:rPr>
                        <w:rFonts w:ascii="Cambria Math" w:hAnsi="Cambria Math" w:cs="Arial"/>
                        <w:szCs w:val="24"/>
                      </w:rPr>
                      <m:t>Harga Saham</m:t>
                    </m:r>
                  </m:num>
                  <m:den>
                    <m:r>
                      <w:rPr>
                        <w:rFonts w:ascii="Cambria Math" w:hAnsi="Cambria Math" w:cs="Arial"/>
                        <w:szCs w:val="24"/>
                      </w:rPr>
                      <m:t>Nilai Buku Saham</m:t>
                    </m:r>
                  </m:den>
                </m:f>
              </m:oMath>
            </m:oMathPara>
          </w:p>
        </w:tc>
      </w:tr>
      <w:tr w:rsidR="00D77A87" w:rsidRPr="00A0694F" w14:paraId="34C0B942" w14:textId="77777777" w:rsidTr="00102E5D">
        <w:tc>
          <w:tcPr>
            <w:cnfStyle w:val="001000000000" w:firstRow="0" w:lastRow="0" w:firstColumn="1" w:lastColumn="0" w:oddVBand="0" w:evenVBand="0" w:oddHBand="0" w:evenHBand="0" w:firstRowFirstColumn="0" w:firstRowLastColumn="0" w:lastRowFirstColumn="0" w:lastRowLastColumn="0"/>
            <w:tcW w:w="725" w:type="pct"/>
            <w:hideMark/>
          </w:tcPr>
          <w:p w14:paraId="0EB04919" w14:textId="77777777" w:rsidR="00D77A87" w:rsidRPr="00345252" w:rsidRDefault="00D77A87" w:rsidP="00102E5D">
            <w:pPr>
              <w:rPr>
                <w:rFonts w:ascii="Arial" w:hAnsi="Arial" w:cs="Arial"/>
                <w:szCs w:val="24"/>
              </w:rPr>
            </w:pPr>
            <w:r w:rsidRPr="00A0694F">
              <w:rPr>
                <w:rFonts w:ascii="Arial" w:hAnsi="Arial" w:cs="Arial"/>
                <w:szCs w:val="24"/>
              </w:rPr>
              <w:t xml:space="preserve">Profitability </w:t>
            </w:r>
          </w:p>
        </w:tc>
        <w:tc>
          <w:tcPr>
            <w:tcW w:w="2235" w:type="pct"/>
            <w:hideMark/>
          </w:tcPr>
          <w:p w14:paraId="1BF10ECA" w14:textId="77777777" w:rsidR="00D77A87" w:rsidRPr="00345252" w:rsidRDefault="00D77A87" w:rsidP="00102E5D">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345252">
              <w:rPr>
                <w:rFonts w:ascii="Arial" w:hAnsi="Arial" w:cs="Arial"/>
                <w:szCs w:val="24"/>
              </w:rPr>
              <w:t>Profitability refers to the company's ability to generate profits from the total assets it owns. This ratio measures the efficiency of management in utilizing the company's resources.</w:t>
            </w:r>
          </w:p>
        </w:tc>
        <w:tc>
          <w:tcPr>
            <w:tcW w:w="2039" w:type="pct"/>
            <w:vAlign w:val="center"/>
          </w:tcPr>
          <w:p w14:paraId="09D11289" w14:textId="77777777" w:rsidR="00D77A87" w:rsidRPr="00345252" w:rsidRDefault="00D77A87" w:rsidP="00102E5D">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m:oMathPara>
              <m:oMath>
                <m:r>
                  <w:rPr>
                    <w:rFonts w:ascii="Cambria Math" w:hAnsi="Cambria Math" w:cs="Arial"/>
                    <w:szCs w:val="24"/>
                  </w:rPr>
                  <m:t>ROA=</m:t>
                </m:r>
                <m:f>
                  <m:fPr>
                    <m:ctrlPr>
                      <w:rPr>
                        <w:rFonts w:ascii="Cambria Math" w:hAnsi="Cambria Math" w:cs="Arial"/>
                        <w:i/>
                        <w:szCs w:val="24"/>
                      </w:rPr>
                    </m:ctrlPr>
                  </m:fPr>
                  <m:num>
                    <m:r>
                      <w:rPr>
                        <w:rFonts w:ascii="Cambria Math" w:hAnsi="Cambria Math" w:cs="Arial"/>
                        <w:szCs w:val="24"/>
                      </w:rPr>
                      <m:t>Laba Bersih</m:t>
                    </m:r>
                  </m:num>
                  <m:den>
                    <m:r>
                      <w:rPr>
                        <w:rFonts w:ascii="Cambria Math" w:hAnsi="Cambria Math" w:cs="Arial"/>
                        <w:szCs w:val="24"/>
                      </w:rPr>
                      <m:t>Total Aset</m:t>
                    </m:r>
                  </m:den>
                </m:f>
              </m:oMath>
            </m:oMathPara>
          </w:p>
        </w:tc>
      </w:tr>
      <w:tr w:rsidR="00D77A87" w:rsidRPr="00A0694F" w14:paraId="4BEB1517" w14:textId="77777777" w:rsidTr="00102E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5" w:type="pct"/>
            <w:hideMark/>
          </w:tcPr>
          <w:p w14:paraId="608FE840" w14:textId="77777777" w:rsidR="00D77A87" w:rsidRPr="00345252" w:rsidRDefault="00D77A87" w:rsidP="00102E5D">
            <w:pPr>
              <w:rPr>
                <w:rFonts w:ascii="Arial" w:hAnsi="Arial" w:cs="Arial"/>
                <w:szCs w:val="24"/>
              </w:rPr>
            </w:pPr>
            <w:r w:rsidRPr="00A0694F">
              <w:rPr>
                <w:rFonts w:ascii="Arial" w:hAnsi="Arial" w:cs="Arial"/>
                <w:szCs w:val="24"/>
              </w:rPr>
              <w:t xml:space="preserve">Stock Return </w:t>
            </w:r>
          </w:p>
        </w:tc>
        <w:tc>
          <w:tcPr>
            <w:tcW w:w="2235" w:type="pct"/>
            <w:hideMark/>
          </w:tcPr>
          <w:p w14:paraId="0BCDBFD6" w14:textId="77777777" w:rsidR="00D77A87" w:rsidRPr="00345252" w:rsidRDefault="00D77A87" w:rsidP="00102E5D">
            <w:pPr>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345252">
              <w:rPr>
                <w:rFonts w:ascii="Arial" w:hAnsi="Arial" w:cs="Arial"/>
                <w:szCs w:val="24"/>
              </w:rPr>
              <w:t>Stock return is the rate of return received by investors on investments in the form of shares, both in the form of capital gains and dividends.</w:t>
            </w:r>
          </w:p>
        </w:tc>
        <w:tc>
          <w:tcPr>
            <w:tcW w:w="2039" w:type="pct"/>
            <w:vAlign w:val="center"/>
            <w:hideMark/>
          </w:tcPr>
          <w:p w14:paraId="6F452D63" w14:textId="77777777" w:rsidR="00D77A87" w:rsidRPr="00345252" w:rsidRDefault="00D77A87" w:rsidP="00102E5D">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rPr>
            </w:pPr>
            <m:oMathPara>
              <m:oMath>
                <m:r>
                  <w:rPr>
                    <w:rFonts w:ascii="Cambria Math" w:hAnsi="Cambria Math" w:cs="Arial"/>
                    <w:szCs w:val="24"/>
                  </w:rPr>
                  <m:t>EPS=</m:t>
                </m:r>
                <m:f>
                  <m:fPr>
                    <m:ctrlPr>
                      <w:rPr>
                        <w:rFonts w:ascii="Cambria Math" w:hAnsi="Cambria Math" w:cs="Arial"/>
                        <w:i/>
                        <w:szCs w:val="24"/>
                      </w:rPr>
                    </m:ctrlPr>
                  </m:fPr>
                  <m:num>
                    <m:r>
                      <w:rPr>
                        <w:rFonts w:ascii="Cambria Math" w:hAnsi="Cambria Math" w:cs="Arial"/>
                        <w:szCs w:val="24"/>
                      </w:rPr>
                      <m:t>Laba Bersih-Dividen</m:t>
                    </m:r>
                  </m:num>
                  <m:den>
                    <m:r>
                      <w:rPr>
                        <w:rFonts w:ascii="Cambria Math" w:hAnsi="Cambria Math" w:cs="Arial"/>
                        <w:szCs w:val="24"/>
                      </w:rPr>
                      <m:t>Jumlah lembar saham beredar</m:t>
                    </m:r>
                  </m:den>
                </m:f>
              </m:oMath>
            </m:oMathPara>
          </w:p>
        </w:tc>
      </w:tr>
      <w:tr w:rsidR="00D77A87" w:rsidRPr="00A0694F" w14:paraId="3ED7A999" w14:textId="77777777" w:rsidTr="00102E5D">
        <w:tc>
          <w:tcPr>
            <w:cnfStyle w:val="001000000000" w:firstRow="0" w:lastRow="0" w:firstColumn="1" w:lastColumn="0" w:oddVBand="0" w:evenVBand="0" w:oddHBand="0" w:evenHBand="0" w:firstRowFirstColumn="0" w:firstRowLastColumn="0" w:lastRowFirstColumn="0" w:lastRowLastColumn="0"/>
            <w:tcW w:w="725" w:type="pct"/>
            <w:hideMark/>
          </w:tcPr>
          <w:p w14:paraId="14950360" w14:textId="77777777" w:rsidR="00D77A87" w:rsidRPr="00345252" w:rsidRDefault="00D77A87" w:rsidP="00102E5D">
            <w:pPr>
              <w:rPr>
                <w:rFonts w:ascii="Arial" w:hAnsi="Arial" w:cs="Arial"/>
                <w:szCs w:val="24"/>
              </w:rPr>
            </w:pPr>
            <w:r w:rsidRPr="00A0694F">
              <w:rPr>
                <w:rFonts w:ascii="Arial" w:hAnsi="Arial" w:cs="Arial"/>
                <w:szCs w:val="24"/>
              </w:rPr>
              <w:t xml:space="preserve">Dividend Policy </w:t>
            </w:r>
          </w:p>
        </w:tc>
        <w:tc>
          <w:tcPr>
            <w:tcW w:w="2235" w:type="pct"/>
            <w:hideMark/>
          </w:tcPr>
          <w:p w14:paraId="33AF428E" w14:textId="77777777" w:rsidR="00D77A87" w:rsidRPr="00345252" w:rsidRDefault="00D77A87" w:rsidP="00102E5D">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345252">
              <w:rPr>
                <w:rFonts w:ascii="Arial" w:hAnsi="Arial" w:cs="Arial"/>
                <w:szCs w:val="24"/>
              </w:rPr>
              <w:t xml:space="preserve">Dividend policy is a company's decision regarding the distribution of </w:t>
            </w:r>
            <w:r w:rsidRPr="00345252">
              <w:rPr>
                <w:rFonts w:ascii="Arial" w:hAnsi="Arial" w:cs="Arial"/>
                <w:szCs w:val="24"/>
              </w:rPr>
              <w:lastRenderedPageBreak/>
              <w:t>profits to shareholders in the form of dividends. This ratio shows the proportion of net profit distributed as dividends.</w:t>
            </w:r>
          </w:p>
        </w:tc>
        <w:tc>
          <w:tcPr>
            <w:tcW w:w="2039" w:type="pct"/>
            <w:vAlign w:val="center"/>
            <w:hideMark/>
          </w:tcPr>
          <w:p w14:paraId="659922C4" w14:textId="77777777" w:rsidR="00D77A87" w:rsidRPr="00345252" w:rsidRDefault="00D77A87" w:rsidP="00102E5D">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m:oMathPara>
              <m:oMath>
                <m:r>
                  <w:rPr>
                    <w:rFonts w:ascii="Cambria Math" w:hAnsi="Cambria Math" w:cs="Arial"/>
                    <w:szCs w:val="24"/>
                  </w:rPr>
                  <w:lastRenderedPageBreak/>
                  <m:t>DPR=</m:t>
                </m:r>
                <m:f>
                  <m:fPr>
                    <m:ctrlPr>
                      <w:rPr>
                        <w:rFonts w:ascii="Cambria Math" w:hAnsi="Cambria Math" w:cs="Arial"/>
                        <w:i/>
                        <w:szCs w:val="24"/>
                      </w:rPr>
                    </m:ctrlPr>
                  </m:fPr>
                  <m:num>
                    <m:r>
                      <w:rPr>
                        <w:rFonts w:ascii="Cambria Math" w:hAnsi="Cambria Math" w:cs="Arial"/>
                        <w:szCs w:val="24"/>
                      </w:rPr>
                      <m:t>Dividen per Share</m:t>
                    </m:r>
                  </m:num>
                  <m:den>
                    <m:r>
                      <w:rPr>
                        <w:rFonts w:ascii="Cambria Math" w:hAnsi="Cambria Math" w:cs="Arial"/>
                        <w:szCs w:val="24"/>
                      </w:rPr>
                      <m:t>Earning per Share</m:t>
                    </m:r>
                  </m:den>
                </m:f>
              </m:oMath>
            </m:oMathPara>
          </w:p>
        </w:tc>
      </w:tr>
    </w:tbl>
    <w:p w14:paraId="729217BD" w14:textId="77777777" w:rsidR="00D77A87" w:rsidRPr="002D3907" w:rsidRDefault="00D77A87" w:rsidP="00D77A87">
      <w:pPr>
        <w:pStyle w:val="Body"/>
        <w:spacing w:after="0"/>
        <w:rPr>
          <w:rFonts w:ascii="Arial" w:hAnsi="Arial" w:cs="Arial"/>
        </w:rPr>
      </w:pPr>
    </w:p>
    <w:p w14:paraId="69A5A099" w14:textId="77777777" w:rsidR="00D77A87" w:rsidRPr="002D3907" w:rsidRDefault="00D77A87" w:rsidP="00D77A87">
      <w:pPr>
        <w:pStyle w:val="Head1"/>
        <w:spacing w:after="0"/>
        <w:jc w:val="both"/>
        <w:rPr>
          <w:rFonts w:ascii="Arial" w:hAnsi="Arial" w:cs="Arial"/>
        </w:rPr>
      </w:pPr>
      <w:r w:rsidRPr="002D3907">
        <w:rPr>
          <w:rFonts w:ascii="Arial" w:hAnsi="Arial" w:cs="Arial"/>
        </w:rPr>
        <w:t>3. Results and Discussion</w:t>
      </w:r>
    </w:p>
    <w:p w14:paraId="120F0000" w14:textId="77777777" w:rsidR="00D77A87" w:rsidRPr="002D3907" w:rsidRDefault="00D77A87" w:rsidP="00D77A87">
      <w:pPr>
        <w:pStyle w:val="Head1"/>
        <w:spacing w:after="0"/>
        <w:jc w:val="both"/>
        <w:rPr>
          <w:rFonts w:ascii="Arial" w:hAnsi="Arial" w:cs="Arial"/>
          <w:b w:val="0"/>
          <w:caps w:val="0"/>
        </w:rPr>
      </w:pPr>
    </w:p>
    <w:p w14:paraId="647FC17C" w14:textId="77777777" w:rsidR="00D77A87" w:rsidRPr="00847421" w:rsidRDefault="00D77A87" w:rsidP="00D77A87">
      <w:pPr>
        <w:pStyle w:val="Head1"/>
        <w:spacing w:after="0"/>
        <w:jc w:val="both"/>
        <w:rPr>
          <w:rFonts w:ascii="Arial" w:hAnsi="Arial" w:cs="Arial"/>
          <w:sz w:val="20"/>
        </w:rPr>
      </w:pPr>
      <w:r w:rsidRPr="00847421">
        <w:rPr>
          <w:rFonts w:ascii="Arial" w:hAnsi="Arial" w:cs="Arial"/>
          <w:caps w:val="0"/>
          <w:sz w:val="20"/>
        </w:rPr>
        <w:t>Descriptive Statistical Analysis</w:t>
      </w:r>
    </w:p>
    <w:p w14:paraId="142EA8D0" w14:textId="77777777" w:rsidR="00D77A87" w:rsidRPr="00847421" w:rsidRDefault="00D77A87" w:rsidP="00D77A87">
      <w:pPr>
        <w:pStyle w:val="Head1"/>
        <w:spacing w:after="0"/>
        <w:ind w:firstLine="720"/>
        <w:jc w:val="both"/>
        <w:rPr>
          <w:rFonts w:ascii="Arial" w:hAnsi="Arial" w:cs="Arial"/>
          <w:b w:val="0"/>
          <w:sz w:val="20"/>
        </w:rPr>
      </w:pPr>
      <w:r w:rsidRPr="00847421">
        <w:rPr>
          <w:rFonts w:ascii="Arial" w:hAnsi="Arial" w:cs="Arial"/>
          <w:b w:val="0"/>
          <w:sz w:val="20"/>
        </w:rPr>
        <w:t xml:space="preserve">Analysis </w:t>
      </w:r>
      <w:r w:rsidRPr="00847421">
        <w:rPr>
          <w:rFonts w:ascii="Arial" w:hAnsi="Arial" w:cs="Arial"/>
          <w:b w:val="0"/>
          <w:caps w:val="0"/>
          <w:sz w:val="20"/>
        </w:rPr>
        <w:t xml:space="preserve">Descriptive statistics are used to provide an overview of the characteristics of the research data, including the minimum, maximum, mean, and standard deviation values of each variable used in this study. Descriptive statistics help to understand the distribution of data as well as the consistency of observational values </w:t>
      </w:r>
      <w:r w:rsidRPr="00847421">
        <w:rPr>
          <w:rFonts w:ascii="Arial" w:hAnsi="Arial" w:cs="Arial"/>
          <w:b w:val="0"/>
          <w:caps w:val="0"/>
          <w:sz w:val="20"/>
        </w:rPr>
        <w:fldChar w:fldCharType="begin" w:fldLock="1"/>
      </w:r>
      <w:r w:rsidRPr="00847421">
        <w:rPr>
          <w:rFonts w:ascii="Arial" w:hAnsi="Arial" w:cs="Arial"/>
          <w:b w:val="0"/>
          <w:caps w:val="0"/>
          <w:sz w:val="20"/>
        </w:rPr>
        <w:instrText>ADDIN CSL_CITATION {"citationItems":[{"id":"ITEM-1","itemData":{"author":[{"dropping-particle":"","family":"Ghozali","given":"Imam","non-dropping-particle":"","parse-names":false,"suffix":""}],"id":"ITEM-1","issued":{"date-parts":[["2016"]]},"publisher":"Yoga Pratama","publisher-place":"Semarang","title":"Desain Penelitian Kuantitatif dan Kualitatif untuk Akuntansi, Bisnis, dan Ilmu Sosial Lainnya","type":"book"},"uris":["http://www.mendeley.com/documents/?uuid=83818817-c110-4f2a-8377-9c1653d22735"]}],"mendeley":{"formattedCitation":"(Ghozali, 2016)","plainTextFormattedCitation":"(Ghozali, 2016)","previouslyFormattedCitation":"(Ghozali, 2016)"},"properties":{"noteIndex":0},"schema":"https://github.com/citation-style-language/schema/raw/master/csl-citation.json"}</w:instrText>
      </w:r>
      <w:r w:rsidRPr="00847421">
        <w:rPr>
          <w:rFonts w:ascii="Arial" w:hAnsi="Arial" w:cs="Arial"/>
          <w:b w:val="0"/>
          <w:caps w:val="0"/>
          <w:sz w:val="20"/>
        </w:rPr>
        <w:fldChar w:fldCharType="separate"/>
      </w:r>
      <w:r w:rsidRPr="00847421">
        <w:rPr>
          <w:rFonts w:ascii="Arial" w:hAnsi="Arial" w:cs="Arial"/>
          <w:b w:val="0"/>
          <w:caps w:val="0"/>
          <w:noProof/>
          <w:sz w:val="20"/>
        </w:rPr>
        <w:t>(Ghozali, 2016)</w:t>
      </w:r>
      <w:r w:rsidRPr="00847421">
        <w:rPr>
          <w:rFonts w:ascii="Arial" w:hAnsi="Arial" w:cs="Arial"/>
          <w:b w:val="0"/>
          <w:caps w:val="0"/>
          <w:sz w:val="20"/>
        </w:rPr>
        <w:fldChar w:fldCharType="end"/>
      </w:r>
      <w:r w:rsidRPr="00847421">
        <w:rPr>
          <w:rFonts w:ascii="Arial" w:hAnsi="Arial" w:cs="Arial"/>
          <w:b w:val="0"/>
          <w:caps w:val="0"/>
          <w:sz w:val="20"/>
        </w:rPr>
        <w:t>.</w:t>
      </w:r>
    </w:p>
    <w:p w14:paraId="5D0EE337" w14:textId="77777777" w:rsidR="00D77A87" w:rsidRPr="002D3907" w:rsidRDefault="00D77A87" w:rsidP="00D77A87">
      <w:pPr>
        <w:pStyle w:val="Head1"/>
        <w:spacing w:after="0"/>
        <w:jc w:val="both"/>
        <w:rPr>
          <w:rFonts w:ascii="Arial" w:hAnsi="Arial" w:cs="Arial"/>
          <w:b w:val="0"/>
        </w:rPr>
      </w:pPr>
    </w:p>
    <w:p w14:paraId="1F2FA2E7" w14:textId="77777777" w:rsidR="00D77A87" w:rsidRPr="009E51B8" w:rsidRDefault="009E51B8" w:rsidP="00D77A87">
      <w:pPr>
        <w:pStyle w:val="Head1"/>
        <w:spacing w:after="0"/>
        <w:jc w:val="both"/>
        <w:rPr>
          <w:rFonts w:ascii="Arial" w:hAnsi="Arial" w:cs="Arial"/>
          <w:sz w:val="20"/>
        </w:rPr>
      </w:pPr>
      <w:r>
        <w:rPr>
          <w:rFonts w:ascii="Arial" w:hAnsi="Arial" w:cs="Arial"/>
          <w:caps w:val="0"/>
          <w:sz w:val="20"/>
        </w:rPr>
        <w:t xml:space="preserve">Table 2. </w:t>
      </w:r>
      <w:r w:rsidR="00D77A87" w:rsidRPr="009E51B8">
        <w:rPr>
          <w:rFonts w:ascii="Arial" w:hAnsi="Arial" w:cs="Arial"/>
          <w:b w:val="0"/>
          <w:caps w:val="0"/>
          <w:sz w:val="20"/>
        </w:rPr>
        <w:t>Results of descriptive statistical analysis</w:t>
      </w:r>
    </w:p>
    <w:p w14:paraId="01893D4E" w14:textId="77777777" w:rsidR="00D77A87" w:rsidRPr="002D3907" w:rsidRDefault="00D77A87" w:rsidP="00D77A87">
      <w:pPr>
        <w:pStyle w:val="Head1"/>
        <w:spacing w:after="0"/>
        <w:jc w:val="both"/>
        <w:rPr>
          <w:rFonts w:ascii="Arial" w:hAnsi="Arial" w:cs="Arial"/>
          <w:b w:val="0"/>
        </w:rPr>
      </w:pPr>
    </w:p>
    <w:tbl>
      <w:tblPr>
        <w:tblW w:w="5000" w:type="pct"/>
        <w:tblBorders>
          <w:top w:val="single" w:sz="4" w:space="0" w:color="auto"/>
          <w:insideH w:val="single" w:sz="4" w:space="0" w:color="auto"/>
        </w:tblBorders>
        <w:shd w:val="clear" w:color="auto" w:fill="FFFFFF" w:themeFill="background1"/>
        <w:tblCellMar>
          <w:left w:w="0" w:type="dxa"/>
          <w:right w:w="0" w:type="dxa"/>
        </w:tblCellMar>
        <w:tblLook w:val="01E0" w:firstRow="1" w:lastRow="1" w:firstColumn="1" w:lastColumn="1" w:noHBand="0" w:noVBand="0"/>
      </w:tblPr>
      <w:tblGrid>
        <w:gridCol w:w="2181"/>
        <w:gridCol w:w="827"/>
        <w:gridCol w:w="1184"/>
        <w:gridCol w:w="1219"/>
        <w:gridCol w:w="1201"/>
        <w:gridCol w:w="1590"/>
      </w:tblGrid>
      <w:tr w:rsidR="00D77A87" w:rsidRPr="002D3907" w14:paraId="1CA90C0C" w14:textId="77777777" w:rsidTr="00102E5D">
        <w:trPr>
          <w:trHeight w:val="222"/>
        </w:trPr>
        <w:tc>
          <w:tcPr>
            <w:tcW w:w="5000" w:type="pct"/>
            <w:gridSpan w:val="6"/>
            <w:shd w:val="clear" w:color="auto" w:fill="FFFFFF" w:themeFill="background1"/>
          </w:tcPr>
          <w:p w14:paraId="09019475" w14:textId="77777777" w:rsidR="00D77A87" w:rsidRPr="002D3907" w:rsidRDefault="00D77A87" w:rsidP="00102E5D">
            <w:pPr>
              <w:pStyle w:val="TableParagraph"/>
              <w:ind w:right="1"/>
              <w:jc w:val="center"/>
              <w:rPr>
                <w:rFonts w:ascii="Arial" w:hAnsi="Arial" w:cs="Arial"/>
                <w:b/>
                <w:sz w:val="20"/>
              </w:rPr>
            </w:pPr>
            <w:r w:rsidRPr="002D3907">
              <w:rPr>
                <w:rFonts w:ascii="Arial" w:hAnsi="Arial" w:cs="Arial"/>
                <w:b/>
                <w:sz w:val="20"/>
              </w:rPr>
              <w:t>Descriptive Statistics</w:t>
            </w:r>
          </w:p>
        </w:tc>
      </w:tr>
      <w:tr w:rsidR="00D77A87" w:rsidRPr="002D3907" w14:paraId="523823C8" w14:textId="77777777" w:rsidTr="00102E5D">
        <w:trPr>
          <w:trHeight w:val="320"/>
        </w:trPr>
        <w:tc>
          <w:tcPr>
            <w:tcW w:w="1834" w:type="pct"/>
            <w:gridSpan w:val="2"/>
            <w:shd w:val="clear" w:color="auto" w:fill="FFFFFF" w:themeFill="background1"/>
          </w:tcPr>
          <w:p w14:paraId="1C3FE88A" w14:textId="77777777" w:rsidR="00D77A87" w:rsidRPr="002D3907" w:rsidRDefault="00D77A87" w:rsidP="00102E5D">
            <w:pPr>
              <w:pStyle w:val="TableParagraph"/>
              <w:spacing w:before="89"/>
              <w:ind w:right="299"/>
              <w:rPr>
                <w:rFonts w:ascii="Arial" w:hAnsi="Arial" w:cs="Arial"/>
                <w:sz w:val="20"/>
              </w:rPr>
            </w:pPr>
            <w:r w:rsidRPr="002D3907">
              <w:rPr>
                <w:rFonts w:ascii="Arial" w:hAnsi="Arial" w:cs="Arial"/>
                <w:spacing w:val="-10"/>
                <w:sz w:val="20"/>
              </w:rPr>
              <w:t>N</w:t>
            </w:r>
          </w:p>
        </w:tc>
        <w:tc>
          <w:tcPr>
            <w:tcW w:w="722" w:type="pct"/>
            <w:shd w:val="clear" w:color="auto" w:fill="FFFFFF" w:themeFill="background1"/>
          </w:tcPr>
          <w:p w14:paraId="5AC8AC7E" w14:textId="77777777" w:rsidR="00D77A87" w:rsidRPr="002D3907" w:rsidRDefault="00D77A87" w:rsidP="00102E5D">
            <w:pPr>
              <w:pStyle w:val="TableParagraph"/>
              <w:spacing w:before="89"/>
              <w:ind w:left="126"/>
              <w:jc w:val="left"/>
              <w:rPr>
                <w:rFonts w:ascii="Arial" w:hAnsi="Arial" w:cs="Arial"/>
                <w:sz w:val="20"/>
              </w:rPr>
            </w:pPr>
            <w:r w:rsidRPr="002D3907">
              <w:rPr>
                <w:rFonts w:ascii="Arial" w:hAnsi="Arial" w:cs="Arial"/>
                <w:spacing w:val="-2"/>
                <w:sz w:val="20"/>
              </w:rPr>
              <w:t>Minimum</w:t>
            </w:r>
          </w:p>
        </w:tc>
        <w:tc>
          <w:tcPr>
            <w:tcW w:w="743" w:type="pct"/>
            <w:shd w:val="clear" w:color="auto" w:fill="FFFFFF" w:themeFill="background1"/>
          </w:tcPr>
          <w:p w14:paraId="5F8E425D" w14:textId="77777777" w:rsidR="00D77A87" w:rsidRPr="002D3907" w:rsidRDefault="00D77A87" w:rsidP="00102E5D">
            <w:pPr>
              <w:pStyle w:val="TableParagraph"/>
              <w:spacing w:before="89"/>
              <w:ind w:right="129"/>
              <w:rPr>
                <w:rFonts w:ascii="Arial" w:hAnsi="Arial" w:cs="Arial"/>
                <w:sz w:val="20"/>
              </w:rPr>
            </w:pPr>
            <w:r w:rsidRPr="002D3907">
              <w:rPr>
                <w:rFonts w:ascii="Arial" w:hAnsi="Arial" w:cs="Arial"/>
                <w:spacing w:val="-2"/>
                <w:sz w:val="20"/>
              </w:rPr>
              <w:t>Maximum</w:t>
            </w:r>
          </w:p>
        </w:tc>
        <w:tc>
          <w:tcPr>
            <w:tcW w:w="732" w:type="pct"/>
            <w:shd w:val="clear" w:color="auto" w:fill="FFFFFF" w:themeFill="background1"/>
          </w:tcPr>
          <w:p w14:paraId="6F94D12F" w14:textId="77777777" w:rsidR="00D77A87" w:rsidRPr="002D3907" w:rsidRDefault="00D77A87" w:rsidP="00102E5D">
            <w:pPr>
              <w:pStyle w:val="TableParagraph"/>
              <w:spacing w:before="89"/>
              <w:ind w:left="305"/>
              <w:jc w:val="left"/>
              <w:rPr>
                <w:rFonts w:ascii="Arial" w:hAnsi="Arial" w:cs="Arial"/>
                <w:sz w:val="20"/>
              </w:rPr>
            </w:pPr>
            <w:r w:rsidRPr="002D3907">
              <w:rPr>
                <w:rFonts w:ascii="Arial" w:hAnsi="Arial" w:cs="Arial"/>
                <w:spacing w:val="-4"/>
                <w:sz w:val="20"/>
              </w:rPr>
              <w:t>Mean</w:t>
            </w:r>
          </w:p>
        </w:tc>
        <w:tc>
          <w:tcPr>
            <w:tcW w:w="970" w:type="pct"/>
            <w:shd w:val="clear" w:color="auto" w:fill="FFFFFF" w:themeFill="background1"/>
          </w:tcPr>
          <w:p w14:paraId="3B29EB64" w14:textId="77777777" w:rsidR="00D77A87" w:rsidRPr="002D3907" w:rsidRDefault="00D77A87" w:rsidP="00102E5D">
            <w:pPr>
              <w:pStyle w:val="TableParagraph"/>
              <w:spacing w:before="89"/>
              <w:ind w:left="137"/>
              <w:jc w:val="left"/>
              <w:rPr>
                <w:rFonts w:ascii="Arial" w:hAnsi="Arial" w:cs="Arial"/>
                <w:sz w:val="20"/>
              </w:rPr>
            </w:pPr>
            <w:r w:rsidRPr="002D3907">
              <w:rPr>
                <w:rFonts w:ascii="Arial" w:hAnsi="Arial" w:cs="Arial"/>
                <w:sz w:val="20"/>
              </w:rPr>
              <w:t>Std. Deviation</w:t>
            </w:r>
          </w:p>
        </w:tc>
      </w:tr>
      <w:tr w:rsidR="00D77A87" w:rsidRPr="002D3907" w14:paraId="634018C5" w14:textId="77777777" w:rsidTr="00102E5D">
        <w:trPr>
          <w:trHeight w:val="320"/>
        </w:trPr>
        <w:tc>
          <w:tcPr>
            <w:tcW w:w="1330" w:type="pct"/>
            <w:shd w:val="clear" w:color="auto" w:fill="FFFFFF" w:themeFill="background1"/>
          </w:tcPr>
          <w:p w14:paraId="4EC1A24C" w14:textId="77777777" w:rsidR="00D77A87" w:rsidRPr="002D3907" w:rsidRDefault="00D77A87" w:rsidP="00102E5D">
            <w:pPr>
              <w:pStyle w:val="TableParagraph"/>
              <w:spacing w:before="89"/>
              <w:ind w:left="60"/>
              <w:jc w:val="left"/>
              <w:rPr>
                <w:rFonts w:ascii="Arial" w:hAnsi="Arial" w:cs="Arial"/>
                <w:sz w:val="20"/>
              </w:rPr>
            </w:pPr>
            <w:r w:rsidRPr="002D3907">
              <w:rPr>
                <w:rFonts w:ascii="Arial" w:hAnsi="Arial" w:cs="Arial"/>
                <w:spacing w:val="-2"/>
                <w:sz w:val="20"/>
              </w:rPr>
              <w:t>Profitability</w:t>
            </w:r>
          </w:p>
        </w:tc>
        <w:tc>
          <w:tcPr>
            <w:tcW w:w="503" w:type="pct"/>
            <w:shd w:val="clear" w:color="auto" w:fill="FFFFFF" w:themeFill="background1"/>
          </w:tcPr>
          <w:p w14:paraId="757C1400" w14:textId="77777777" w:rsidR="00D77A87" w:rsidRPr="002D3907" w:rsidRDefault="00D77A87" w:rsidP="00102E5D">
            <w:pPr>
              <w:pStyle w:val="TableParagraph"/>
              <w:spacing w:before="89"/>
              <w:ind w:right="59"/>
              <w:rPr>
                <w:rFonts w:ascii="Arial" w:hAnsi="Arial" w:cs="Arial"/>
                <w:sz w:val="20"/>
              </w:rPr>
            </w:pPr>
            <w:r w:rsidRPr="002D3907">
              <w:rPr>
                <w:rFonts w:ascii="Arial" w:hAnsi="Arial" w:cs="Arial"/>
                <w:spacing w:val="-5"/>
                <w:sz w:val="20"/>
              </w:rPr>
              <w:t>48</w:t>
            </w:r>
          </w:p>
        </w:tc>
        <w:tc>
          <w:tcPr>
            <w:tcW w:w="722" w:type="pct"/>
            <w:shd w:val="clear" w:color="auto" w:fill="FFFFFF" w:themeFill="background1"/>
          </w:tcPr>
          <w:p w14:paraId="34182E66" w14:textId="77777777" w:rsidR="00D77A87" w:rsidRPr="002D3907" w:rsidRDefault="00D77A87" w:rsidP="00102E5D">
            <w:pPr>
              <w:pStyle w:val="TableParagraph"/>
              <w:spacing w:before="89"/>
              <w:ind w:right="60"/>
              <w:rPr>
                <w:rFonts w:ascii="Arial" w:hAnsi="Arial" w:cs="Arial"/>
                <w:sz w:val="20"/>
              </w:rPr>
            </w:pPr>
            <w:r w:rsidRPr="002D3907">
              <w:rPr>
                <w:rFonts w:ascii="Arial" w:hAnsi="Arial" w:cs="Arial"/>
                <w:spacing w:val="-5"/>
                <w:sz w:val="20"/>
              </w:rPr>
              <w:t>.52</w:t>
            </w:r>
          </w:p>
        </w:tc>
        <w:tc>
          <w:tcPr>
            <w:tcW w:w="743" w:type="pct"/>
            <w:shd w:val="clear" w:color="auto" w:fill="FFFFFF" w:themeFill="background1"/>
          </w:tcPr>
          <w:p w14:paraId="1EB8D633" w14:textId="77777777" w:rsidR="00D77A87" w:rsidRPr="002D3907" w:rsidRDefault="00D77A87" w:rsidP="00102E5D">
            <w:pPr>
              <w:pStyle w:val="TableParagraph"/>
              <w:spacing w:before="89"/>
              <w:ind w:right="61"/>
              <w:rPr>
                <w:rFonts w:ascii="Arial" w:hAnsi="Arial" w:cs="Arial"/>
                <w:sz w:val="20"/>
              </w:rPr>
            </w:pPr>
            <w:r w:rsidRPr="002D3907">
              <w:rPr>
                <w:rFonts w:ascii="Arial" w:hAnsi="Arial" w:cs="Arial"/>
                <w:spacing w:val="-4"/>
                <w:sz w:val="20"/>
              </w:rPr>
              <w:t>3.78</w:t>
            </w:r>
          </w:p>
        </w:tc>
        <w:tc>
          <w:tcPr>
            <w:tcW w:w="732" w:type="pct"/>
            <w:shd w:val="clear" w:color="auto" w:fill="FFFFFF" w:themeFill="background1"/>
          </w:tcPr>
          <w:p w14:paraId="33FE1F85" w14:textId="77777777" w:rsidR="00D77A87" w:rsidRPr="002D3907" w:rsidRDefault="00D77A87" w:rsidP="00102E5D">
            <w:pPr>
              <w:pStyle w:val="TableParagraph"/>
              <w:spacing w:before="89"/>
              <w:ind w:right="60"/>
              <w:rPr>
                <w:rFonts w:ascii="Arial" w:hAnsi="Arial" w:cs="Arial"/>
                <w:sz w:val="20"/>
              </w:rPr>
            </w:pPr>
            <w:r w:rsidRPr="002D3907">
              <w:rPr>
                <w:rFonts w:ascii="Arial" w:hAnsi="Arial" w:cs="Arial"/>
                <w:spacing w:val="-2"/>
                <w:sz w:val="20"/>
              </w:rPr>
              <w:t>1.5010</w:t>
            </w:r>
          </w:p>
        </w:tc>
        <w:tc>
          <w:tcPr>
            <w:tcW w:w="970" w:type="pct"/>
            <w:shd w:val="clear" w:color="auto" w:fill="FFFFFF" w:themeFill="background1"/>
          </w:tcPr>
          <w:p w14:paraId="370C059D" w14:textId="77777777" w:rsidR="00D77A87" w:rsidRPr="002D3907" w:rsidRDefault="00D77A87" w:rsidP="00102E5D">
            <w:pPr>
              <w:pStyle w:val="TableParagraph"/>
              <w:spacing w:before="89"/>
              <w:ind w:right="61"/>
              <w:rPr>
                <w:rFonts w:ascii="Arial" w:hAnsi="Arial" w:cs="Arial"/>
                <w:sz w:val="20"/>
              </w:rPr>
            </w:pPr>
            <w:r w:rsidRPr="002D3907">
              <w:rPr>
                <w:rFonts w:ascii="Arial" w:hAnsi="Arial" w:cs="Arial"/>
                <w:spacing w:val="-2"/>
                <w:sz w:val="20"/>
              </w:rPr>
              <w:t>.75202</w:t>
            </w:r>
          </w:p>
        </w:tc>
      </w:tr>
      <w:tr w:rsidR="00D77A87" w:rsidRPr="002D3907" w14:paraId="67616BD1" w14:textId="77777777" w:rsidTr="00102E5D">
        <w:trPr>
          <w:trHeight w:val="320"/>
        </w:trPr>
        <w:tc>
          <w:tcPr>
            <w:tcW w:w="1330" w:type="pct"/>
            <w:shd w:val="clear" w:color="auto" w:fill="FFFFFF" w:themeFill="background1"/>
          </w:tcPr>
          <w:p w14:paraId="2D033B5F" w14:textId="77777777" w:rsidR="00D77A87" w:rsidRPr="002D3907" w:rsidRDefault="00D77A87" w:rsidP="00102E5D">
            <w:pPr>
              <w:pStyle w:val="TableParagraph"/>
              <w:spacing w:before="89"/>
              <w:ind w:left="60"/>
              <w:jc w:val="left"/>
              <w:rPr>
                <w:rFonts w:ascii="Arial" w:hAnsi="Arial" w:cs="Arial"/>
                <w:sz w:val="20"/>
              </w:rPr>
            </w:pPr>
            <w:r w:rsidRPr="002D3907">
              <w:rPr>
                <w:rFonts w:ascii="Arial" w:hAnsi="Arial" w:cs="Arial"/>
                <w:sz w:val="20"/>
              </w:rPr>
              <w:t>Return Shares</w:t>
            </w:r>
          </w:p>
        </w:tc>
        <w:tc>
          <w:tcPr>
            <w:tcW w:w="503" w:type="pct"/>
            <w:shd w:val="clear" w:color="auto" w:fill="FFFFFF" w:themeFill="background1"/>
          </w:tcPr>
          <w:p w14:paraId="70098460" w14:textId="77777777" w:rsidR="00D77A87" w:rsidRPr="002D3907" w:rsidRDefault="00D77A87" w:rsidP="00102E5D">
            <w:pPr>
              <w:pStyle w:val="TableParagraph"/>
              <w:spacing w:before="89"/>
              <w:ind w:right="59"/>
              <w:rPr>
                <w:rFonts w:ascii="Arial" w:hAnsi="Arial" w:cs="Arial"/>
                <w:sz w:val="20"/>
              </w:rPr>
            </w:pPr>
            <w:r w:rsidRPr="002D3907">
              <w:rPr>
                <w:rFonts w:ascii="Arial" w:hAnsi="Arial" w:cs="Arial"/>
                <w:spacing w:val="-5"/>
                <w:sz w:val="20"/>
              </w:rPr>
              <w:t>48</w:t>
            </w:r>
          </w:p>
        </w:tc>
        <w:tc>
          <w:tcPr>
            <w:tcW w:w="722" w:type="pct"/>
            <w:shd w:val="clear" w:color="auto" w:fill="FFFFFF" w:themeFill="background1"/>
          </w:tcPr>
          <w:p w14:paraId="3828410D" w14:textId="77777777" w:rsidR="00D77A87" w:rsidRPr="002D3907" w:rsidRDefault="00D77A87" w:rsidP="00102E5D">
            <w:pPr>
              <w:pStyle w:val="TableParagraph"/>
              <w:spacing w:before="89"/>
              <w:ind w:right="60"/>
              <w:rPr>
                <w:rFonts w:ascii="Arial" w:hAnsi="Arial" w:cs="Arial"/>
                <w:sz w:val="20"/>
              </w:rPr>
            </w:pPr>
            <w:r w:rsidRPr="002D3907">
              <w:rPr>
                <w:rFonts w:ascii="Arial" w:hAnsi="Arial" w:cs="Arial"/>
                <w:spacing w:val="-2"/>
                <w:sz w:val="20"/>
              </w:rPr>
              <w:t>14.73</w:t>
            </w:r>
          </w:p>
        </w:tc>
        <w:tc>
          <w:tcPr>
            <w:tcW w:w="743" w:type="pct"/>
            <w:shd w:val="clear" w:color="auto" w:fill="FFFFFF" w:themeFill="background1"/>
          </w:tcPr>
          <w:p w14:paraId="7B545208" w14:textId="77777777" w:rsidR="00D77A87" w:rsidRPr="002D3907" w:rsidRDefault="00D77A87" w:rsidP="00102E5D">
            <w:pPr>
              <w:pStyle w:val="TableParagraph"/>
              <w:spacing w:before="89"/>
              <w:ind w:right="61"/>
              <w:rPr>
                <w:rFonts w:ascii="Arial" w:hAnsi="Arial" w:cs="Arial"/>
                <w:sz w:val="20"/>
              </w:rPr>
            </w:pPr>
            <w:r w:rsidRPr="002D3907">
              <w:rPr>
                <w:rFonts w:ascii="Arial" w:hAnsi="Arial" w:cs="Arial"/>
                <w:spacing w:val="-2"/>
                <w:sz w:val="20"/>
              </w:rPr>
              <w:t>359.00</w:t>
            </w:r>
          </w:p>
        </w:tc>
        <w:tc>
          <w:tcPr>
            <w:tcW w:w="732" w:type="pct"/>
            <w:shd w:val="clear" w:color="auto" w:fill="FFFFFF" w:themeFill="background1"/>
          </w:tcPr>
          <w:p w14:paraId="6CDBF397" w14:textId="77777777" w:rsidR="00D77A87" w:rsidRPr="002D3907" w:rsidRDefault="00D77A87" w:rsidP="00102E5D">
            <w:pPr>
              <w:pStyle w:val="TableParagraph"/>
              <w:spacing w:before="89"/>
              <w:ind w:right="60"/>
              <w:rPr>
                <w:rFonts w:ascii="Arial" w:hAnsi="Arial" w:cs="Arial"/>
                <w:sz w:val="20"/>
              </w:rPr>
            </w:pPr>
            <w:r w:rsidRPr="002D3907">
              <w:rPr>
                <w:rFonts w:ascii="Arial" w:hAnsi="Arial" w:cs="Arial"/>
                <w:spacing w:val="-2"/>
                <w:sz w:val="20"/>
              </w:rPr>
              <w:t>107.7979</w:t>
            </w:r>
          </w:p>
        </w:tc>
        <w:tc>
          <w:tcPr>
            <w:tcW w:w="970" w:type="pct"/>
            <w:shd w:val="clear" w:color="auto" w:fill="FFFFFF" w:themeFill="background1"/>
          </w:tcPr>
          <w:p w14:paraId="4D1CDD45" w14:textId="77777777" w:rsidR="00D77A87" w:rsidRPr="002D3907" w:rsidRDefault="00D77A87" w:rsidP="00102E5D">
            <w:pPr>
              <w:pStyle w:val="TableParagraph"/>
              <w:spacing w:before="89"/>
              <w:ind w:right="61"/>
              <w:rPr>
                <w:rFonts w:ascii="Arial" w:hAnsi="Arial" w:cs="Arial"/>
                <w:sz w:val="20"/>
              </w:rPr>
            </w:pPr>
            <w:r w:rsidRPr="002D3907">
              <w:rPr>
                <w:rFonts w:ascii="Arial" w:hAnsi="Arial" w:cs="Arial"/>
                <w:spacing w:val="-2"/>
                <w:sz w:val="20"/>
              </w:rPr>
              <w:t>90.56633</w:t>
            </w:r>
          </w:p>
        </w:tc>
      </w:tr>
      <w:tr w:rsidR="00D77A87" w:rsidRPr="002D3907" w14:paraId="545131C9" w14:textId="77777777" w:rsidTr="00102E5D">
        <w:trPr>
          <w:trHeight w:val="320"/>
        </w:trPr>
        <w:tc>
          <w:tcPr>
            <w:tcW w:w="1330" w:type="pct"/>
            <w:shd w:val="clear" w:color="auto" w:fill="FFFFFF" w:themeFill="background1"/>
          </w:tcPr>
          <w:p w14:paraId="1F722345" w14:textId="77777777" w:rsidR="00D77A87" w:rsidRPr="002D3907" w:rsidRDefault="00D77A87" w:rsidP="00102E5D">
            <w:pPr>
              <w:pStyle w:val="TableParagraph"/>
              <w:spacing w:before="89"/>
              <w:ind w:left="60"/>
              <w:jc w:val="left"/>
              <w:rPr>
                <w:rFonts w:ascii="Arial" w:hAnsi="Arial" w:cs="Arial"/>
                <w:sz w:val="20"/>
              </w:rPr>
            </w:pPr>
            <w:r w:rsidRPr="002D3907">
              <w:rPr>
                <w:rFonts w:ascii="Arial" w:hAnsi="Arial" w:cs="Arial"/>
                <w:sz w:val="20"/>
              </w:rPr>
              <w:t>Stock Price Valuation</w:t>
            </w:r>
          </w:p>
        </w:tc>
        <w:tc>
          <w:tcPr>
            <w:tcW w:w="503" w:type="pct"/>
            <w:shd w:val="clear" w:color="auto" w:fill="FFFFFF" w:themeFill="background1"/>
          </w:tcPr>
          <w:p w14:paraId="78BFC895" w14:textId="77777777" w:rsidR="00D77A87" w:rsidRPr="002D3907" w:rsidRDefault="00D77A87" w:rsidP="00102E5D">
            <w:pPr>
              <w:pStyle w:val="TableParagraph"/>
              <w:spacing w:before="89"/>
              <w:ind w:right="59"/>
              <w:rPr>
                <w:rFonts w:ascii="Arial" w:hAnsi="Arial" w:cs="Arial"/>
                <w:sz w:val="20"/>
              </w:rPr>
            </w:pPr>
            <w:r w:rsidRPr="002D3907">
              <w:rPr>
                <w:rFonts w:ascii="Arial" w:hAnsi="Arial" w:cs="Arial"/>
                <w:spacing w:val="-5"/>
                <w:sz w:val="20"/>
              </w:rPr>
              <w:t>48</w:t>
            </w:r>
          </w:p>
        </w:tc>
        <w:tc>
          <w:tcPr>
            <w:tcW w:w="722" w:type="pct"/>
            <w:shd w:val="clear" w:color="auto" w:fill="FFFFFF" w:themeFill="background1"/>
          </w:tcPr>
          <w:p w14:paraId="707EF702" w14:textId="77777777" w:rsidR="00D77A87" w:rsidRPr="002D3907" w:rsidRDefault="00D77A87" w:rsidP="00102E5D">
            <w:pPr>
              <w:pStyle w:val="TableParagraph"/>
              <w:spacing w:before="89"/>
              <w:ind w:right="60"/>
              <w:rPr>
                <w:rFonts w:ascii="Arial" w:hAnsi="Arial" w:cs="Arial"/>
                <w:sz w:val="20"/>
              </w:rPr>
            </w:pPr>
            <w:r w:rsidRPr="002D3907">
              <w:rPr>
                <w:rFonts w:ascii="Arial" w:hAnsi="Arial" w:cs="Arial"/>
                <w:spacing w:val="-5"/>
                <w:sz w:val="20"/>
              </w:rPr>
              <w:t>.35</w:t>
            </w:r>
          </w:p>
        </w:tc>
        <w:tc>
          <w:tcPr>
            <w:tcW w:w="743" w:type="pct"/>
            <w:shd w:val="clear" w:color="auto" w:fill="FFFFFF" w:themeFill="background1"/>
          </w:tcPr>
          <w:p w14:paraId="51D703BB" w14:textId="77777777" w:rsidR="00D77A87" w:rsidRPr="002D3907" w:rsidRDefault="00D77A87" w:rsidP="00102E5D">
            <w:pPr>
              <w:pStyle w:val="TableParagraph"/>
              <w:spacing w:before="89"/>
              <w:ind w:right="61"/>
              <w:rPr>
                <w:rFonts w:ascii="Arial" w:hAnsi="Arial" w:cs="Arial"/>
                <w:sz w:val="20"/>
              </w:rPr>
            </w:pPr>
            <w:r w:rsidRPr="002D3907">
              <w:rPr>
                <w:rFonts w:ascii="Arial" w:hAnsi="Arial" w:cs="Arial"/>
                <w:spacing w:val="-4"/>
                <w:sz w:val="20"/>
              </w:rPr>
              <w:t>1.60</w:t>
            </w:r>
          </w:p>
        </w:tc>
        <w:tc>
          <w:tcPr>
            <w:tcW w:w="732" w:type="pct"/>
            <w:shd w:val="clear" w:color="auto" w:fill="FFFFFF" w:themeFill="background1"/>
          </w:tcPr>
          <w:p w14:paraId="40B70E73" w14:textId="77777777" w:rsidR="00D77A87" w:rsidRPr="002D3907" w:rsidRDefault="00D77A87" w:rsidP="00102E5D">
            <w:pPr>
              <w:pStyle w:val="TableParagraph"/>
              <w:spacing w:before="89"/>
              <w:ind w:right="60"/>
              <w:rPr>
                <w:rFonts w:ascii="Arial" w:hAnsi="Arial" w:cs="Arial"/>
                <w:sz w:val="20"/>
              </w:rPr>
            </w:pPr>
            <w:r w:rsidRPr="002D3907">
              <w:rPr>
                <w:rFonts w:ascii="Arial" w:hAnsi="Arial" w:cs="Arial"/>
                <w:spacing w:val="-2"/>
                <w:sz w:val="20"/>
              </w:rPr>
              <w:t>.6848</w:t>
            </w:r>
          </w:p>
        </w:tc>
        <w:tc>
          <w:tcPr>
            <w:tcW w:w="970" w:type="pct"/>
            <w:shd w:val="clear" w:color="auto" w:fill="FFFFFF" w:themeFill="background1"/>
          </w:tcPr>
          <w:p w14:paraId="49B232BC" w14:textId="77777777" w:rsidR="00D77A87" w:rsidRPr="002D3907" w:rsidRDefault="00D77A87" w:rsidP="00102E5D">
            <w:pPr>
              <w:pStyle w:val="TableParagraph"/>
              <w:spacing w:before="89"/>
              <w:ind w:right="61"/>
              <w:rPr>
                <w:rFonts w:ascii="Arial" w:hAnsi="Arial" w:cs="Arial"/>
                <w:sz w:val="20"/>
              </w:rPr>
            </w:pPr>
            <w:r w:rsidRPr="002D3907">
              <w:rPr>
                <w:rFonts w:ascii="Arial" w:hAnsi="Arial" w:cs="Arial"/>
                <w:spacing w:val="-2"/>
                <w:sz w:val="20"/>
              </w:rPr>
              <w:t>.22857</w:t>
            </w:r>
          </w:p>
        </w:tc>
      </w:tr>
      <w:tr w:rsidR="00D77A87" w:rsidRPr="002D3907" w14:paraId="75BF41E1" w14:textId="77777777" w:rsidTr="00102E5D">
        <w:trPr>
          <w:trHeight w:val="320"/>
        </w:trPr>
        <w:tc>
          <w:tcPr>
            <w:tcW w:w="1330" w:type="pct"/>
            <w:tcBorders>
              <w:bottom w:val="single" w:sz="4" w:space="0" w:color="auto"/>
            </w:tcBorders>
            <w:shd w:val="clear" w:color="auto" w:fill="FFFFFF" w:themeFill="background1"/>
          </w:tcPr>
          <w:p w14:paraId="49EFBD8B" w14:textId="77777777" w:rsidR="00D77A87" w:rsidRPr="002D3907" w:rsidRDefault="00D77A87" w:rsidP="00102E5D">
            <w:pPr>
              <w:pStyle w:val="TableParagraph"/>
              <w:spacing w:before="89"/>
              <w:ind w:left="60"/>
              <w:jc w:val="left"/>
              <w:rPr>
                <w:rFonts w:ascii="Arial" w:hAnsi="Arial" w:cs="Arial"/>
                <w:sz w:val="20"/>
              </w:rPr>
            </w:pPr>
            <w:r w:rsidRPr="002D3907">
              <w:rPr>
                <w:rFonts w:ascii="Arial" w:hAnsi="Arial" w:cs="Arial"/>
                <w:sz w:val="20"/>
              </w:rPr>
              <w:t>Dividend Policy</w:t>
            </w:r>
          </w:p>
        </w:tc>
        <w:tc>
          <w:tcPr>
            <w:tcW w:w="503" w:type="pct"/>
            <w:tcBorders>
              <w:bottom w:val="single" w:sz="4" w:space="0" w:color="auto"/>
            </w:tcBorders>
            <w:shd w:val="clear" w:color="auto" w:fill="FFFFFF" w:themeFill="background1"/>
          </w:tcPr>
          <w:p w14:paraId="0D4748F4" w14:textId="77777777" w:rsidR="00D77A87" w:rsidRPr="002D3907" w:rsidRDefault="00D77A87" w:rsidP="00102E5D">
            <w:pPr>
              <w:pStyle w:val="TableParagraph"/>
              <w:spacing w:before="89"/>
              <w:ind w:right="59"/>
              <w:rPr>
                <w:rFonts w:ascii="Arial" w:hAnsi="Arial" w:cs="Arial"/>
                <w:sz w:val="20"/>
              </w:rPr>
            </w:pPr>
            <w:r w:rsidRPr="002D3907">
              <w:rPr>
                <w:rFonts w:ascii="Arial" w:hAnsi="Arial" w:cs="Arial"/>
                <w:spacing w:val="-5"/>
                <w:sz w:val="20"/>
              </w:rPr>
              <w:t>48</w:t>
            </w:r>
          </w:p>
        </w:tc>
        <w:tc>
          <w:tcPr>
            <w:tcW w:w="722" w:type="pct"/>
            <w:tcBorders>
              <w:bottom w:val="single" w:sz="4" w:space="0" w:color="auto"/>
            </w:tcBorders>
            <w:shd w:val="clear" w:color="auto" w:fill="FFFFFF" w:themeFill="background1"/>
          </w:tcPr>
          <w:p w14:paraId="02C668C0" w14:textId="77777777" w:rsidR="00D77A87" w:rsidRPr="002D3907" w:rsidRDefault="00D77A87" w:rsidP="00102E5D">
            <w:pPr>
              <w:pStyle w:val="TableParagraph"/>
              <w:spacing w:before="89"/>
              <w:ind w:right="56"/>
              <w:rPr>
                <w:rFonts w:ascii="Arial" w:hAnsi="Arial" w:cs="Arial"/>
                <w:sz w:val="20"/>
              </w:rPr>
            </w:pPr>
            <w:r w:rsidRPr="002D3907">
              <w:rPr>
                <w:rFonts w:ascii="Arial" w:hAnsi="Arial" w:cs="Arial"/>
                <w:sz w:val="20"/>
              </w:rPr>
              <w:t>-13.70</w:t>
            </w:r>
          </w:p>
        </w:tc>
        <w:tc>
          <w:tcPr>
            <w:tcW w:w="743" w:type="pct"/>
            <w:tcBorders>
              <w:bottom w:val="single" w:sz="4" w:space="0" w:color="auto"/>
            </w:tcBorders>
            <w:shd w:val="clear" w:color="auto" w:fill="FFFFFF" w:themeFill="background1"/>
          </w:tcPr>
          <w:p w14:paraId="10AD3265" w14:textId="77777777" w:rsidR="00D77A87" w:rsidRPr="002D3907" w:rsidRDefault="00D77A87" w:rsidP="00102E5D">
            <w:pPr>
              <w:pStyle w:val="TableParagraph"/>
              <w:spacing w:before="89"/>
              <w:ind w:right="61"/>
              <w:rPr>
                <w:rFonts w:ascii="Arial" w:hAnsi="Arial" w:cs="Arial"/>
                <w:sz w:val="20"/>
              </w:rPr>
            </w:pPr>
            <w:r w:rsidRPr="002D3907">
              <w:rPr>
                <w:rFonts w:ascii="Arial" w:hAnsi="Arial" w:cs="Arial"/>
                <w:spacing w:val="-2"/>
                <w:sz w:val="20"/>
              </w:rPr>
              <w:t>105.38</w:t>
            </w:r>
          </w:p>
        </w:tc>
        <w:tc>
          <w:tcPr>
            <w:tcW w:w="732" w:type="pct"/>
            <w:tcBorders>
              <w:bottom w:val="single" w:sz="4" w:space="0" w:color="auto"/>
            </w:tcBorders>
            <w:shd w:val="clear" w:color="auto" w:fill="FFFFFF" w:themeFill="background1"/>
          </w:tcPr>
          <w:p w14:paraId="5F72F959" w14:textId="77777777" w:rsidR="00D77A87" w:rsidRPr="002D3907" w:rsidRDefault="00D77A87" w:rsidP="00102E5D">
            <w:pPr>
              <w:pStyle w:val="TableParagraph"/>
              <w:spacing w:before="89"/>
              <w:ind w:right="60"/>
              <w:rPr>
                <w:rFonts w:ascii="Arial" w:hAnsi="Arial" w:cs="Arial"/>
                <w:sz w:val="20"/>
              </w:rPr>
            </w:pPr>
            <w:r w:rsidRPr="002D3907">
              <w:rPr>
                <w:rFonts w:ascii="Arial" w:hAnsi="Arial" w:cs="Arial"/>
                <w:spacing w:val="-2"/>
                <w:sz w:val="20"/>
              </w:rPr>
              <w:t>39.2544</w:t>
            </w:r>
          </w:p>
        </w:tc>
        <w:tc>
          <w:tcPr>
            <w:tcW w:w="970" w:type="pct"/>
            <w:tcBorders>
              <w:bottom w:val="single" w:sz="4" w:space="0" w:color="auto"/>
            </w:tcBorders>
            <w:shd w:val="clear" w:color="auto" w:fill="FFFFFF" w:themeFill="background1"/>
          </w:tcPr>
          <w:p w14:paraId="58D4C610" w14:textId="77777777" w:rsidR="00D77A87" w:rsidRPr="002D3907" w:rsidRDefault="00D77A87" w:rsidP="00102E5D">
            <w:pPr>
              <w:pStyle w:val="TableParagraph"/>
              <w:spacing w:before="89"/>
              <w:ind w:right="61"/>
              <w:rPr>
                <w:rFonts w:ascii="Arial" w:hAnsi="Arial" w:cs="Arial"/>
                <w:sz w:val="20"/>
              </w:rPr>
            </w:pPr>
            <w:r w:rsidRPr="002D3907">
              <w:rPr>
                <w:rFonts w:ascii="Arial" w:hAnsi="Arial" w:cs="Arial"/>
                <w:spacing w:val="-2"/>
                <w:sz w:val="20"/>
              </w:rPr>
              <w:t>23.55748</w:t>
            </w:r>
          </w:p>
        </w:tc>
      </w:tr>
      <w:tr w:rsidR="00D77A87" w:rsidRPr="002D3907" w14:paraId="2D04403C" w14:textId="77777777" w:rsidTr="00102E5D">
        <w:trPr>
          <w:trHeight w:val="320"/>
        </w:trPr>
        <w:tc>
          <w:tcPr>
            <w:tcW w:w="1330" w:type="pct"/>
            <w:tcBorders>
              <w:bottom w:val="single" w:sz="4" w:space="0" w:color="auto"/>
            </w:tcBorders>
            <w:shd w:val="clear" w:color="auto" w:fill="FFFFFF" w:themeFill="background1"/>
          </w:tcPr>
          <w:p w14:paraId="454F4E6C" w14:textId="77777777" w:rsidR="00D77A87" w:rsidRPr="002D3907" w:rsidRDefault="00D77A87" w:rsidP="00102E5D">
            <w:pPr>
              <w:pStyle w:val="TableParagraph"/>
              <w:spacing w:before="89"/>
              <w:ind w:left="60"/>
              <w:jc w:val="left"/>
              <w:rPr>
                <w:rFonts w:ascii="Arial" w:hAnsi="Arial" w:cs="Arial"/>
                <w:sz w:val="20"/>
              </w:rPr>
            </w:pPr>
            <w:r w:rsidRPr="002D3907">
              <w:rPr>
                <w:rFonts w:ascii="Arial" w:hAnsi="Arial" w:cs="Arial"/>
                <w:sz w:val="20"/>
              </w:rPr>
              <w:t>Valid N (in the direction of the list)</w:t>
            </w:r>
          </w:p>
        </w:tc>
        <w:tc>
          <w:tcPr>
            <w:tcW w:w="503" w:type="pct"/>
            <w:tcBorders>
              <w:bottom w:val="single" w:sz="4" w:space="0" w:color="auto"/>
            </w:tcBorders>
            <w:shd w:val="clear" w:color="auto" w:fill="FFFFFF" w:themeFill="background1"/>
          </w:tcPr>
          <w:p w14:paraId="0E805E7A" w14:textId="77777777" w:rsidR="00D77A87" w:rsidRPr="002D3907" w:rsidRDefault="00D77A87" w:rsidP="00102E5D">
            <w:pPr>
              <w:pStyle w:val="TableParagraph"/>
              <w:spacing w:before="89"/>
              <w:ind w:right="59"/>
              <w:rPr>
                <w:rFonts w:ascii="Arial" w:hAnsi="Arial" w:cs="Arial"/>
                <w:sz w:val="20"/>
              </w:rPr>
            </w:pPr>
            <w:r w:rsidRPr="002D3907">
              <w:rPr>
                <w:rFonts w:ascii="Arial" w:hAnsi="Arial" w:cs="Arial"/>
                <w:spacing w:val="-5"/>
                <w:sz w:val="20"/>
              </w:rPr>
              <w:t>48</w:t>
            </w:r>
          </w:p>
        </w:tc>
        <w:tc>
          <w:tcPr>
            <w:tcW w:w="722" w:type="pct"/>
            <w:tcBorders>
              <w:bottom w:val="single" w:sz="4" w:space="0" w:color="auto"/>
            </w:tcBorders>
            <w:shd w:val="clear" w:color="auto" w:fill="FFFFFF" w:themeFill="background1"/>
          </w:tcPr>
          <w:p w14:paraId="6DB52E9B" w14:textId="77777777" w:rsidR="00D77A87" w:rsidRPr="002D3907" w:rsidRDefault="00D77A87" w:rsidP="00102E5D">
            <w:pPr>
              <w:pStyle w:val="TableParagraph"/>
              <w:jc w:val="left"/>
              <w:rPr>
                <w:rFonts w:ascii="Arial" w:hAnsi="Arial" w:cs="Arial"/>
              </w:rPr>
            </w:pPr>
          </w:p>
        </w:tc>
        <w:tc>
          <w:tcPr>
            <w:tcW w:w="743" w:type="pct"/>
            <w:tcBorders>
              <w:bottom w:val="single" w:sz="4" w:space="0" w:color="auto"/>
            </w:tcBorders>
            <w:shd w:val="clear" w:color="auto" w:fill="FFFFFF" w:themeFill="background1"/>
          </w:tcPr>
          <w:p w14:paraId="5AC9EAAA" w14:textId="77777777" w:rsidR="00D77A87" w:rsidRPr="002D3907" w:rsidRDefault="00D77A87" w:rsidP="00102E5D">
            <w:pPr>
              <w:pStyle w:val="TableParagraph"/>
              <w:jc w:val="left"/>
              <w:rPr>
                <w:rFonts w:ascii="Arial" w:hAnsi="Arial" w:cs="Arial"/>
              </w:rPr>
            </w:pPr>
          </w:p>
        </w:tc>
        <w:tc>
          <w:tcPr>
            <w:tcW w:w="732" w:type="pct"/>
            <w:tcBorders>
              <w:bottom w:val="single" w:sz="4" w:space="0" w:color="auto"/>
            </w:tcBorders>
            <w:shd w:val="clear" w:color="auto" w:fill="FFFFFF" w:themeFill="background1"/>
          </w:tcPr>
          <w:p w14:paraId="0F3C6D6D" w14:textId="77777777" w:rsidR="00D77A87" w:rsidRPr="002D3907" w:rsidRDefault="00D77A87" w:rsidP="00102E5D">
            <w:pPr>
              <w:pStyle w:val="TableParagraph"/>
              <w:jc w:val="left"/>
              <w:rPr>
                <w:rFonts w:ascii="Arial" w:hAnsi="Arial" w:cs="Arial"/>
              </w:rPr>
            </w:pPr>
          </w:p>
        </w:tc>
        <w:tc>
          <w:tcPr>
            <w:tcW w:w="970" w:type="pct"/>
            <w:tcBorders>
              <w:bottom w:val="single" w:sz="4" w:space="0" w:color="auto"/>
            </w:tcBorders>
            <w:shd w:val="clear" w:color="auto" w:fill="FFFFFF" w:themeFill="background1"/>
          </w:tcPr>
          <w:p w14:paraId="1C3EB721" w14:textId="77777777" w:rsidR="00D77A87" w:rsidRPr="002D3907" w:rsidRDefault="00D77A87" w:rsidP="00102E5D">
            <w:pPr>
              <w:pStyle w:val="TableParagraph"/>
              <w:jc w:val="left"/>
              <w:rPr>
                <w:rFonts w:ascii="Arial" w:hAnsi="Arial" w:cs="Arial"/>
              </w:rPr>
            </w:pPr>
          </w:p>
        </w:tc>
      </w:tr>
    </w:tbl>
    <w:p w14:paraId="17211012" w14:textId="77777777" w:rsidR="00D77A87" w:rsidRPr="002D3907" w:rsidRDefault="00D77A87" w:rsidP="00D77A87">
      <w:pPr>
        <w:pStyle w:val="Body"/>
        <w:spacing w:before="60" w:after="60"/>
        <w:ind w:firstLine="720"/>
        <w:rPr>
          <w:rFonts w:ascii="Arial" w:hAnsi="Arial" w:cs="Arial"/>
        </w:rPr>
      </w:pPr>
      <w:r w:rsidRPr="002D3907">
        <w:rPr>
          <w:rFonts w:ascii="Arial" w:hAnsi="Arial" w:cs="Arial"/>
        </w:rPr>
        <w:t>Based on the results of the descriptive analysis in Table 2, the Profitability variable has an average value of 1.5010 with a standard deviation of 0.75202, indicating a relatively small variation between companies. The Stock Return shows an average high of 107.7979 and a standard deviation of 90.56633, signaling high fluctuations in the stock's rate of return. Meanwhile, the Stock Price Valuation has an average of 0.6848 with a standard deviation of 0.22857, indicating a fairly stable data distribution. The Dividend Policy has an average of 39.2544 with a standard deviation of 23.55748, reflecting the considerable difference in dividend distribution policy between companies. Overall, these results show that each variable has a different degree of variation, reflecting the diverse financial characteristics among the sample companies.</w:t>
      </w:r>
    </w:p>
    <w:p w14:paraId="6A7246F2" w14:textId="77777777" w:rsidR="00D77A87" w:rsidRPr="002D3907" w:rsidRDefault="00D77A87" w:rsidP="00D77A87">
      <w:pPr>
        <w:pStyle w:val="Body"/>
        <w:spacing w:before="60" w:after="60"/>
        <w:ind w:firstLine="720"/>
        <w:rPr>
          <w:rFonts w:ascii="Arial" w:hAnsi="Arial" w:cs="Arial"/>
        </w:rPr>
      </w:pPr>
    </w:p>
    <w:p w14:paraId="3D18ABE6" w14:textId="77777777" w:rsidR="00D77A87" w:rsidRPr="002D3907" w:rsidRDefault="00D77A87" w:rsidP="00D77A87">
      <w:pPr>
        <w:pStyle w:val="Body"/>
        <w:spacing w:before="60" w:after="60"/>
        <w:rPr>
          <w:rFonts w:ascii="Arial" w:hAnsi="Arial" w:cs="Arial"/>
          <w:b/>
        </w:rPr>
      </w:pPr>
      <w:r w:rsidRPr="002D3907">
        <w:rPr>
          <w:rFonts w:ascii="Arial" w:hAnsi="Arial" w:cs="Arial"/>
          <w:b/>
        </w:rPr>
        <w:t>Normality Test</w:t>
      </w:r>
    </w:p>
    <w:p w14:paraId="7687654D" w14:textId="77777777" w:rsidR="00D77A87" w:rsidRPr="002D3907" w:rsidRDefault="00D77A87" w:rsidP="00D77A87">
      <w:pPr>
        <w:pStyle w:val="Body"/>
        <w:spacing w:after="0"/>
        <w:rPr>
          <w:rFonts w:ascii="Arial" w:hAnsi="Arial" w:cs="Arial"/>
        </w:rPr>
      </w:pPr>
      <w:r w:rsidRPr="002D3907">
        <w:rPr>
          <w:rFonts w:ascii="Arial" w:hAnsi="Arial" w:cs="Arial"/>
        </w:rPr>
        <w:t>The Kolmogorov-Smirnov (KS) test is performed to determine whether the data is distributed normally.</w:t>
      </w:r>
    </w:p>
    <w:p w14:paraId="43463781" w14:textId="77777777" w:rsidR="00D77A87" w:rsidRPr="00A246DF" w:rsidRDefault="009E51B8" w:rsidP="00D77A87">
      <w:pPr>
        <w:pStyle w:val="Body"/>
        <w:spacing w:before="60" w:after="60"/>
        <w:rPr>
          <w:rFonts w:ascii="Arial" w:hAnsi="Arial" w:cs="Arial"/>
          <w:b/>
        </w:rPr>
      </w:pPr>
      <w:r>
        <w:rPr>
          <w:rFonts w:ascii="Arial" w:hAnsi="Arial" w:cs="Arial"/>
          <w:b/>
        </w:rPr>
        <w:t xml:space="preserve">Table 3. </w:t>
      </w:r>
      <w:r w:rsidR="00D77A87" w:rsidRPr="009E51B8">
        <w:rPr>
          <w:rFonts w:ascii="Arial" w:hAnsi="Arial" w:cs="Arial"/>
        </w:rPr>
        <w:t>Kolmogorov–Smirnov Test Results (KS)</w:t>
      </w:r>
    </w:p>
    <w:tbl>
      <w:tblPr>
        <w:tblStyle w:val="PlainTable2"/>
        <w:tblW w:w="5000" w:type="pct"/>
        <w:tblLook w:val="04A0" w:firstRow="1" w:lastRow="0" w:firstColumn="1" w:lastColumn="0" w:noHBand="0" w:noVBand="1"/>
      </w:tblPr>
      <w:tblGrid>
        <w:gridCol w:w="2734"/>
        <w:gridCol w:w="2733"/>
        <w:gridCol w:w="2735"/>
      </w:tblGrid>
      <w:tr w:rsidR="00D77A87" w:rsidRPr="002D3907" w14:paraId="446EE094" w14:textId="77777777" w:rsidTr="00102E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77CC2581" w14:textId="77777777" w:rsidR="00D77A87" w:rsidRPr="002D3907" w:rsidRDefault="00D77A87" w:rsidP="00102E5D">
            <w:pPr>
              <w:pStyle w:val="Body"/>
              <w:spacing w:before="60" w:after="60"/>
              <w:rPr>
                <w:rFonts w:ascii="Arial" w:hAnsi="Arial" w:cs="Arial"/>
              </w:rPr>
            </w:pPr>
          </w:p>
        </w:tc>
        <w:tc>
          <w:tcPr>
            <w:tcW w:w="1666" w:type="pct"/>
          </w:tcPr>
          <w:p w14:paraId="6DC7B74D" w14:textId="77777777" w:rsidR="00D77A87" w:rsidRPr="002D3907" w:rsidRDefault="00D77A87" w:rsidP="00102E5D">
            <w:pPr>
              <w:pStyle w:val="Body"/>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667" w:type="pct"/>
          </w:tcPr>
          <w:p w14:paraId="21D0057A" w14:textId="77777777" w:rsidR="00D77A87" w:rsidRPr="002D3907" w:rsidRDefault="00D77A87" w:rsidP="00102E5D">
            <w:pPr>
              <w:pStyle w:val="Body"/>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lang w:val="id-ID"/>
              </w:rPr>
            </w:pPr>
            <w:r w:rsidRPr="002D3907">
              <w:rPr>
                <w:rFonts w:ascii="Arial" w:hAnsi="Arial" w:cs="Arial"/>
              </w:rPr>
              <w:t>Non-standardized residues</w:t>
            </w:r>
          </w:p>
        </w:tc>
      </w:tr>
      <w:tr w:rsidR="00D77A87" w:rsidRPr="002D3907" w14:paraId="08908E89" w14:textId="77777777" w:rsidTr="00102E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6CAA5DA3" w14:textId="77777777" w:rsidR="00D77A87" w:rsidRPr="002D3907" w:rsidRDefault="00D77A87" w:rsidP="00102E5D">
            <w:pPr>
              <w:pStyle w:val="Body"/>
              <w:spacing w:before="60" w:after="60"/>
              <w:rPr>
                <w:rFonts w:ascii="Arial" w:hAnsi="Arial" w:cs="Arial"/>
                <w:lang w:val="id-ID"/>
              </w:rPr>
            </w:pPr>
            <w:r w:rsidRPr="002D3907">
              <w:rPr>
                <w:rFonts w:ascii="Arial" w:hAnsi="Arial" w:cs="Arial"/>
              </w:rPr>
              <w:t>N</w:t>
            </w:r>
          </w:p>
        </w:tc>
        <w:tc>
          <w:tcPr>
            <w:tcW w:w="1666" w:type="pct"/>
          </w:tcPr>
          <w:p w14:paraId="5ED7282E" w14:textId="77777777" w:rsidR="00D77A87" w:rsidRPr="002D3907" w:rsidRDefault="00D77A87" w:rsidP="00102E5D">
            <w:pPr>
              <w:pStyle w:val="Body"/>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lang w:val="id-ID"/>
              </w:rPr>
            </w:pPr>
          </w:p>
        </w:tc>
        <w:tc>
          <w:tcPr>
            <w:tcW w:w="1667" w:type="pct"/>
          </w:tcPr>
          <w:p w14:paraId="7F2D5130" w14:textId="77777777" w:rsidR="00D77A87" w:rsidRPr="002D3907" w:rsidRDefault="00D77A87" w:rsidP="00102E5D">
            <w:pPr>
              <w:pStyle w:val="Body"/>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lang w:val="id-ID"/>
              </w:rPr>
            </w:pPr>
            <w:r w:rsidRPr="002D3907">
              <w:rPr>
                <w:rFonts w:ascii="Arial" w:hAnsi="Arial" w:cs="Arial"/>
              </w:rPr>
              <w:t>48</w:t>
            </w:r>
          </w:p>
        </w:tc>
      </w:tr>
      <w:tr w:rsidR="00D77A87" w:rsidRPr="002D3907" w14:paraId="43A4EE41" w14:textId="77777777" w:rsidTr="00102E5D">
        <w:tc>
          <w:tcPr>
            <w:cnfStyle w:val="001000000000" w:firstRow="0" w:lastRow="0" w:firstColumn="1" w:lastColumn="0" w:oddVBand="0" w:evenVBand="0" w:oddHBand="0" w:evenHBand="0" w:firstRowFirstColumn="0" w:firstRowLastColumn="0" w:lastRowFirstColumn="0" w:lastRowLastColumn="0"/>
            <w:tcW w:w="1666" w:type="pct"/>
          </w:tcPr>
          <w:p w14:paraId="2CB8C70E" w14:textId="77777777" w:rsidR="00D77A87" w:rsidRPr="002D3907" w:rsidRDefault="00D77A87" w:rsidP="00102E5D">
            <w:pPr>
              <w:pStyle w:val="Body"/>
              <w:spacing w:before="60" w:after="60"/>
              <w:rPr>
                <w:rFonts w:ascii="Arial" w:hAnsi="Arial" w:cs="Arial"/>
                <w:lang w:val="id-ID"/>
              </w:rPr>
            </w:pPr>
            <w:proofErr w:type="spellStart"/>
            <w:r w:rsidRPr="002D3907">
              <w:rPr>
                <w:rFonts w:ascii="Arial" w:hAnsi="Arial" w:cs="Arial"/>
              </w:rPr>
              <w:t>Paramaetersa</w:t>
            </w:r>
            <w:proofErr w:type="spellEnd"/>
            <w:r w:rsidRPr="002D3907">
              <w:rPr>
                <w:rFonts w:ascii="Arial" w:hAnsi="Arial" w:cs="Arial"/>
              </w:rPr>
              <w:t xml:space="preserve"> Normal, b</w:t>
            </w:r>
          </w:p>
        </w:tc>
        <w:tc>
          <w:tcPr>
            <w:tcW w:w="1666" w:type="pct"/>
          </w:tcPr>
          <w:p w14:paraId="47B94126" w14:textId="77777777" w:rsidR="00D77A87" w:rsidRPr="002D3907" w:rsidRDefault="00D77A87" w:rsidP="00102E5D">
            <w:pPr>
              <w:pStyle w:val="Body"/>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lang w:val="id-ID"/>
              </w:rPr>
            </w:pPr>
            <w:r w:rsidRPr="002D3907">
              <w:rPr>
                <w:rFonts w:ascii="Arial" w:hAnsi="Arial" w:cs="Arial"/>
              </w:rPr>
              <w:t>Mean</w:t>
            </w:r>
          </w:p>
        </w:tc>
        <w:tc>
          <w:tcPr>
            <w:tcW w:w="1667" w:type="pct"/>
          </w:tcPr>
          <w:p w14:paraId="29051936" w14:textId="77777777" w:rsidR="00D77A87" w:rsidRPr="002D3907" w:rsidRDefault="00D77A87" w:rsidP="00102E5D">
            <w:pPr>
              <w:pStyle w:val="Body"/>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lang w:val="id-ID"/>
              </w:rPr>
            </w:pPr>
            <w:r w:rsidRPr="002D3907">
              <w:rPr>
                <w:rFonts w:ascii="Arial" w:hAnsi="Arial" w:cs="Arial"/>
              </w:rPr>
              <w:t>.000000</w:t>
            </w:r>
          </w:p>
        </w:tc>
      </w:tr>
      <w:tr w:rsidR="00D77A87" w:rsidRPr="002D3907" w14:paraId="63D7EB08" w14:textId="77777777" w:rsidTr="00102E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295511F3" w14:textId="77777777" w:rsidR="00D77A87" w:rsidRPr="002D3907" w:rsidRDefault="00D77A87" w:rsidP="00102E5D">
            <w:pPr>
              <w:pStyle w:val="Body"/>
              <w:spacing w:before="60" w:after="60"/>
              <w:rPr>
                <w:rFonts w:ascii="Arial" w:hAnsi="Arial" w:cs="Arial"/>
                <w:lang w:val="id-ID"/>
              </w:rPr>
            </w:pPr>
            <w:r w:rsidRPr="002D3907">
              <w:rPr>
                <w:rFonts w:ascii="Arial" w:hAnsi="Arial" w:cs="Arial"/>
              </w:rPr>
              <w:t>The Most Extreme Differences</w:t>
            </w:r>
          </w:p>
        </w:tc>
        <w:tc>
          <w:tcPr>
            <w:tcW w:w="1666" w:type="pct"/>
          </w:tcPr>
          <w:p w14:paraId="3F9E650E" w14:textId="77777777" w:rsidR="00D77A87" w:rsidRPr="002D3907" w:rsidRDefault="00D77A87" w:rsidP="00102E5D">
            <w:pPr>
              <w:pStyle w:val="Body"/>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lang w:val="id-ID"/>
              </w:rPr>
            </w:pPr>
            <w:proofErr w:type="spellStart"/>
            <w:r w:rsidRPr="002D3907">
              <w:rPr>
                <w:rFonts w:ascii="Arial" w:hAnsi="Arial" w:cs="Arial"/>
              </w:rPr>
              <w:t>Std.Deviation</w:t>
            </w:r>
            <w:proofErr w:type="spellEnd"/>
          </w:p>
        </w:tc>
        <w:tc>
          <w:tcPr>
            <w:tcW w:w="1667" w:type="pct"/>
          </w:tcPr>
          <w:p w14:paraId="3A979264" w14:textId="77777777" w:rsidR="00D77A87" w:rsidRPr="002D3907" w:rsidRDefault="00D77A87" w:rsidP="00102E5D">
            <w:pPr>
              <w:pStyle w:val="Body"/>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lang w:val="id-ID"/>
              </w:rPr>
            </w:pPr>
            <w:r w:rsidRPr="002D3907">
              <w:rPr>
                <w:rFonts w:ascii="Arial" w:hAnsi="Arial" w:cs="Arial"/>
              </w:rPr>
              <w:t>.22614125</w:t>
            </w:r>
          </w:p>
        </w:tc>
      </w:tr>
      <w:tr w:rsidR="00D77A87" w:rsidRPr="002D3907" w14:paraId="62C35B0C" w14:textId="77777777" w:rsidTr="00102E5D">
        <w:tc>
          <w:tcPr>
            <w:cnfStyle w:val="001000000000" w:firstRow="0" w:lastRow="0" w:firstColumn="1" w:lastColumn="0" w:oddVBand="0" w:evenVBand="0" w:oddHBand="0" w:evenHBand="0" w:firstRowFirstColumn="0" w:firstRowLastColumn="0" w:lastRowFirstColumn="0" w:lastRowLastColumn="0"/>
            <w:tcW w:w="1666" w:type="pct"/>
          </w:tcPr>
          <w:p w14:paraId="6D60708A" w14:textId="77777777" w:rsidR="00D77A87" w:rsidRPr="002D3907" w:rsidRDefault="00D77A87" w:rsidP="00102E5D">
            <w:pPr>
              <w:pStyle w:val="Body"/>
              <w:spacing w:before="60" w:after="60"/>
              <w:rPr>
                <w:rFonts w:ascii="Arial" w:hAnsi="Arial" w:cs="Arial"/>
                <w:lang w:val="id-ID"/>
              </w:rPr>
            </w:pPr>
          </w:p>
        </w:tc>
        <w:tc>
          <w:tcPr>
            <w:tcW w:w="1666" w:type="pct"/>
          </w:tcPr>
          <w:p w14:paraId="27CA47C9" w14:textId="77777777" w:rsidR="00D77A87" w:rsidRPr="002D3907" w:rsidRDefault="00D77A87" w:rsidP="00102E5D">
            <w:pPr>
              <w:pStyle w:val="Body"/>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lang w:val="id-ID"/>
              </w:rPr>
            </w:pPr>
            <w:r w:rsidRPr="002D3907">
              <w:rPr>
                <w:rFonts w:ascii="Arial" w:hAnsi="Arial" w:cs="Arial"/>
              </w:rPr>
              <w:t>Absolute</w:t>
            </w:r>
          </w:p>
        </w:tc>
        <w:tc>
          <w:tcPr>
            <w:tcW w:w="1667" w:type="pct"/>
          </w:tcPr>
          <w:p w14:paraId="1630A1FE" w14:textId="77777777" w:rsidR="00D77A87" w:rsidRPr="002D3907" w:rsidRDefault="00D77A87" w:rsidP="00102E5D">
            <w:pPr>
              <w:pStyle w:val="Body"/>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lang w:val="id-ID"/>
              </w:rPr>
            </w:pPr>
            <w:r w:rsidRPr="002D3907">
              <w:rPr>
                <w:rFonts w:ascii="Arial" w:hAnsi="Arial" w:cs="Arial"/>
              </w:rPr>
              <w:t>.110</w:t>
            </w:r>
          </w:p>
        </w:tc>
      </w:tr>
      <w:tr w:rsidR="00D77A87" w:rsidRPr="002D3907" w14:paraId="5F50B5F7" w14:textId="77777777" w:rsidTr="00102E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7B88CA06" w14:textId="77777777" w:rsidR="00D77A87" w:rsidRPr="002D3907" w:rsidRDefault="00D77A87" w:rsidP="00102E5D">
            <w:pPr>
              <w:pStyle w:val="Body"/>
              <w:spacing w:before="60" w:after="60"/>
              <w:rPr>
                <w:rFonts w:ascii="Arial" w:hAnsi="Arial" w:cs="Arial"/>
              </w:rPr>
            </w:pPr>
          </w:p>
        </w:tc>
        <w:tc>
          <w:tcPr>
            <w:tcW w:w="1666" w:type="pct"/>
          </w:tcPr>
          <w:p w14:paraId="49BB533F" w14:textId="77777777" w:rsidR="00D77A87" w:rsidRPr="002D3907" w:rsidRDefault="00D77A87" w:rsidP="00102E5D">
            <w:pPr>
              <w:pStyle w:val="Body"/>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lang w:val="id-ID"/>
              </w:rPr>
            </w:pPr>
            <w:r w:rsidRPr="002D3907">
              <w:rPr>
                <w:rFonts w:ascii="Arial" w:hAnsi="Arial" w:cs="Arial"/>
              </w:rPr>
              <w:t>Positive</w:t>
            </w:r>
          </w:p>
        </w:tc>
        <w:tc>
          <w:tcPr>
            <w:tcW w:w="1667" w:type="pct"/>
          </w:tcPr>
          <w:p w14:paraId="32757686" w14:textId="77777777" w:rsidR="00D77A87" w:rsidRPr="002D3907" w:rsidRDefault="00D77A87" w:rsidP="00102E5D">
            <w:pPr>
              <w:pStyle w:val="Body"/>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lang w:val="id-ID"/>
              </w:rPr>
            </w:pPr>
            <w:r w:rsidRPr="002D3907">
              <w:rPr>
                <w:rFonts w:ascii="Arial" w:hAnsi="Arial" w:cs="Arial"/>
              </w:rPr>
              <w:t>.110</w:t>
            </w:r>
          </w:p>
        </w:tc>
      </w:tr>
      <w:tr w:rsidR="00D77A87" w:rsidRPr="002D3907" w14:paraId="73979036" w14:textId="77777777" w:rsidTr="00102E5D">
        <w:tc>
          <w:tcPr>
            <w:cnfStyle w:val="001000000000" w:firstRow="0" w:lastRow="0" w:firstColumn="1" w:lastColumn="0" w:oddVBand="0" w:evenVBand="0" w:oddHBand="0" w:evenHBand="0" w:firstRowFirstColumn="0" w:firstRowLastColumn="0" w:lastRowFirstColumn="0" w:lastRowLastColumn="0"/>
            <w:tcW w:w="1666" w:type="pct"/>
          </w:tcPr>
          <w:p w14:paraId="3661A2EB" w14:textId="77777777" w:rsidR="00D77A87" w:rsidRPr="002D3907" w:rsidRDefault="00D77A87" w:rsidP="00102E5D">
            <w:pPr>
              <w:pStyle w:val="Body"/>
              <w:spacing w:before="60" w:after="60"/>
              <w:rPr>
                <w:rFonts w:ascii="Arial" w:hAnsi="Arial" w:cs="Arial"/>
              </w:rPr>
            </w:pPr>
          </w:p>
        </w:tc>
        <w:tc>
          <w:tcPr>
            <w:tcW w:w="1666" w:type="pct"/>
          </w:tcPr>
          <w:p w14:paraId="5AB3D135" w14:textId="77777777" w:rsidR="00D77A87" w:rsidRPr="002D3907" w:rsidRDefault="00D77A87" w:rsidP="00102E5D">
            <w:pPr>
              <w:pStyle w:val="Body"/>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rPr>
            </w:pPr>
            <w:r w:rsidRPr="002D3907">
              <w:rPr>
                <w:rFonts w:ascii="Arial" w:hAnsi="Arial" w:cs="Arial"/>
              </w:rPr>
              <w:t>Negative</w:t>
            </w:r>
          </w:p>
        </w:tc>
        <w:tc>
          <w:tcPr>
            <w:tcW w:w="1667" w:type="pct"/>
          </w:tcPr>
          <w:p w14:paraId="3F6DD52A" w14:textId="77777777" w:rsidR="00D77A87" w:rsidRPr="002D3907" w:rsidRDefault="00D77A87" w:rsidP="00102E5D">
            <w:pPr>
              <w:pStyle w:val="Body"/>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lang w:val="id-ID"/>
              </w:rPr>
            </w:pPr>
            <w:r w:rsidRPr="002D3907">
              <w:rPr>
                <w:rFonts w:ascii="Arial" w:hAnsi="Arial" w:cs="Arial"/>
              </w:rPr>
              <w:t>-.076</w:t>
            </w:r>
          </w:p>
        </w:tc>
      </w:tr>
      <w:tr w:rsidR="00D77A87" w:rsidRPr="002D3907" w14:paraId="0AB4D4D1" w14:textId="77777777" w:rsidTr="00102E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18844D4C" w14:textId="77777777" w:rsidR="00D77A87" w:rsidRPr="002D3907" w:rsidRDefault="00D77A87" w:rsidP="00102E5D">
            <w:pPr>
              <w:pStyle w:val="Body"/>
              <w:spacing w:before="60" w:after="60"/>
              <w:rPr>
                <w:rFonts w:ascii="Arial" w:hAnsi="Arial" w:cs="Arial"/>
                <w:lang w:val="id-ID"/>
              </w:rPr>
            </w:pPr>
            <w:r w:rsidRPr="002D3907">
              <w:rPr>
                <w:rFonts w:ascii="Arial" w:hAnsi="Arial" w:cs="Arial"/>
              </w:rPr>
              <w:t>Test Statistics</w:t>
            </w:r>
          </w:p>
        </w:tc>
        <w:tc>
          <w:tcPr>
            <w:tcW w:w="1666" w:type="pct"/>
          </w:tcPr>
          <w:p w14:paraId="269622D2" w14:textId="77777777" w:rsidR="00D77A87" w:rsidRPr="002D3907" w:rsidRDefault="00D77A87" w:rsidP="00102E5D">
            <w:pPr>
              <w:pStyle w:val="Body"/>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67" w:type="pct"/>
          </w:tcPr>
          <w:p w14:paraId="68C28D55" w14:textId="77777777" w:rsidR="00D77A87" w:rsidRPr="002D3907" w:rsidRDefault="00D77A87" w:rsidP="00102E5D">
            <w:pPr>
              <w:pStyle w:val="Body"/>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lang w:val="id-ID"/>
              </w:rPr>
            </w:pPr>
            <w:r w:rsidRPr="002D3907">
              <w:rPr>
                <w:rFonts w:ascii="Arial" w:hAnsi="Arial" w:cs="Arial"/>
              </w:rPr>
              <w:t>.110</w:t>
            </w:r>
          </w:p>
        </w:tc>
      </w:tr>
      <w:tr w:rsidR="00D77A87" w:rsidRPr="002D3907" w14:paraId="733E2101" w14:textId="77777777" w:rsidTr="00102E5D">
        <w:tc>
          <w:tcPr>
            <w:cnfStyle w:val="001000000000" w:firstRow="0" w:lastRow="0" w:firstColumn="1" w:lastColumn="0" w:oddVBand="0" w:evenVBand="0" w:oddHBand="0" w:evenHBand="0" w:firstRowFirstColumn="0" w:firstRowLastColumn="0" w:lastRowFirstColumn="0" w:lastRowLastColumn="0"/>
            <w:tcW w:w="1666" w:type="pct"/>
          </w:tcPr>
          <w:p w14:paraId="56550EB8" w14:textId="77777777" w:rsidR="00D77A87" w:rsidRPr="002D3907" w:rsidRDefault="00D77A87" w:rsidP="00102E5D">
            <w:pPr>
              <w:pStyle w:val="Body"/>
              <w:spacing w:before="60" w:after="60"/>
              <w:rPr>
                <w:rFonts w:ascii="Arial" w:hAnsi="Arial" w:cs="Arial"/>
                <w:lang w:val="id-ID"/>
              </w:rPr>
            </w:pPr>
            <w:proofErr w:type="spellStart"/>
            <w:r w:rsidRPr="002D3907">
              <w:rPr>
                <w:rFonts w:ascii="Arial" w:hAnsi="Arial" w:cs="Arial"/>
              </w:rPr>
              <w:t>Asymp.Sig</w:t>
            </w:r>
            <w:proofErr w:type="spellEnd"/>
            <w:r w:rsidRPr="002D3907">
              <w:rPr>
                <w:rFonts w:ascii="Arial" w:hAnsi="Arial" w:cs="Arial"/>
              </w:rPr>
              <w:t>. (Tail 2)</w:t>
            </w:r>
          </w:p>
        </w:tc>
        <w:tc>
          <w:tcPr>
            <w:tcW w:w="1666" w:type="pct"/>
          </w:tcPr>
          <w:p w14:paraId="18229CE9" w14:textId="77777777" w:rsidR="00D77A87" w:rsidRPr="002D3907" w:rsidRDefault="00D77A87" w:rsidP="00102E5D">
            <w:pPr>
              <w:pStyle w:val="Body"/>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67" w:type="pct"/>
          </w:tcPr>
          <w:p w14:paraId="02EA57FC" w14:textId="77777777" w:rsidR="00D77A87" w:rsidRPr="002D3907" w:rsidRDefault="00D77A87" w:rsidP="00102E5D">
            <w:pPr>
              <w:pStyle w:val="Body"/>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lang w:val="id-ID"/>
              </w:rPr>
            </w:pPr>
            <w:r w:rsidRPr="002D3907">
              <w:rPr>
                <w:rFonts w:ascii="Arial" w:hAnsi="Arial" w:cs="Arial"/>
              </w:rPr>
              <w:t>.196</w:t>
            </w:r>
          </w:p>
        </w:tc>
      </w:tr>
    </w:tbl>
    <w:p w14:paraId="318527FD" w14:textId="77777777" w:rsidR="00D77A87" w:rsidRPr="002D3907" w:rsidRDefault="00D77A87" w:rsidP="00D77A87">
      <w:pPr>
        <w:pStyle w:val="Body"/>
        <w:spacing w:before="60" w:after="60"/>
        <w:rPr>
          <w:rFonts w:ascii="Arial" w:hAnsi="Arial" w:cs="Arial"/>
        </w:rPr>
      </w:pPr>
    </w:p>
    <w:p w14:paraId="5C5BF2CB" w14:textId="77777777" w:rsidR="00D77A87" w:rsidRPr="002D3907" w:rsidRDefault="00D77A87" w:rsidP="00D77A87">
      <w:pPr>
        <w:pStyle w:val="Body"/>
        <w:spacing w:before="60" w:after="60"/>
        <w:ind w:firstLine="720"/>
        <w:rPr>
          <w:rFonts w:ascii="Arial" w:hAnsi="Arial" w:cs="Arial"/>
        </w:rPr>
      </w:pPr>
      <w:r w:rsidRPr="002D3907">
        <w:rPr>
          <w:rFonts w:ascii="Arial" w:hAnsi="Arial" w:cs="Arial"/>
        </w:rPr>
        <w:t xml:space="preserve">Based on Table 3, the results of the KS test show that </w:t>
      </w:r>
      <w:proofErr w:type="spellStart"/>
      <w:r w:rsidRPr="002D3907">
        <w:rPr>
          <w:rFonts w:ascii="Arial" w:hAnsi="Arial" w:cs="Arial"/>
        </w:rPr>
        <w:t>Asymp</w:t>
      </w:r>
      <w:proofErr w:type="spellEnd"/>
      <w:r w:rsidRPr="002D3907">
        <w:rPr>
          <w:rFonts w:ascii="Arial" w:hAnsi="Arial" w:cs="Arial"/>
        </w:rPr>
        <w:t xml:space="preserve">. The Sig. (2-tailed) value is 0.196, which is greater than 0.05. Therefore, it can be concluded that the data is distributed normally, meaning that the regression model meets the assumption of normality </w:t>
      </w:r>
      <w:r>
        <w:rPr>
          <w:rFonts w:ascii="Arial" w:hAnsi="Arial" w:cs="Arial"/>
        </w:rPr>
        <w:fldChar w:fldCharType="begin" w:fldLock="1"/>
      </w:r>
      <w:r>
        <w:rPr>
          <w:rFonts w:ascii="Arial" w:hAnsi="Arial" w:cs="Arial"/>
        </w:rPr>
        <w:instrText>ADDIN CSL_CITATION {"citationItems":[{"id":"ITEM-1","itemData":{"author":[{"dropping-particle":"","family":"Ghozali","given":"Imam","non-dropping-particle":"","parse-names":false,"suffix":""}],"id":"ITEM-1","issued":{"date-parts":[["2016"]]},"publisher":"Yoga Pratama","publisher-place":"Semarang","title":"Desain Penelitian Kuantitatif dan Kualitatif untuk Akuntansi, Bisnis, dan Ilmu Sosial Lainnya","type":"book"},"uris":["http://www.mendeley.com/documents/?uuid=83818817-c110-4f2a-8377-9c1653d22735"]}],"mendeley":{"formattedCitation":"(Ghozali, 2016)","plainTextFormattedCitation":"(Ghozali, 2016)","previouslyFormattedCitation":"(Ghozali, 2016)"},"properties":{"noteIndex":0},"schema":"https://github.com/citation-style-language/schema/raw/master/csl-citation.json"}</w:instrText>
      </w:r>
      <w:r>
        <w:rPr>
          <w:rFonts w:ascii="Arial" w:hAnsi="Arial" w:cs="Arial"/>
        </w:rPr>
        <w:fldChar w:fldCharType="separate"/>
      </w:r>
      <w:r w:rsidRPr="00013CE8">
        <w:rPr>
          <w:rFonts w:ascii="Arial" w:hAnsi="Arial" w:cs="Arial"/>
          <w:noProof/>
        </w:rPr>
        <w:t>(Ghozali, 2016)</w:t>
      </w:r>
      <w:r>
        <w:rPr>
          <w:rFonts w:ascii="Arial" w:hAnsi="Arial" w:cs="Arial"/>
        </w:rPr>
        <w:fldChar w:fldCharType="end"/>
      </w:r>
      <w:r w:rsidRPr="002D3907">
        <w:rPr>
          <w:rFonts w:ascii="Arial" w:hAnsi="Arial" w:cs="Arial"/>
        </w:rPr>
        <w:t>.</w:t>
      </w:r>
    </w:p>
    <w:p w14:paraId="4E7E4670" w14:textId="77777777" w:rsidR="00D77A87" w:rsidRPr="002D3907" w:rsidRDefault="00D77A87" w:rsidP="00D77A87">
      <w:pPr>
        <w:pStyle w:val="Body"/>
        <w:spacing w:before="60" w:after="60"/>
        <w:ind w:firstLine="720"/>
        <w:rPr>
          <w:rFonts w:ascii="Arial" w:hAnsi="Arial" w:cs="Arial"/>
        </w:rPr>
      </w:pPr>
    </w:p>
    <w:p w14:paraId="5D6117B8" w14:textId="77777777" w:rsidR="00D77A87" w:rsidRPr="002D3907" w:rsidRDefault="00D77A87" w:rsidP="00D77A87">
      <w:pPr>
        <w:pStyle w:val="Body"/>
        <w:spacing w:before="60" w:after="60"/>
        <w:rPr>
          <w:rFonts w:ascii="Arial" w:hAnsi="Arial" w:cs="Arial"/>
          <w:b/>
          <w:sz w:val="22"/>
          <w:lang w:val="id-ID"/>
        </w:rPr>
      </w:pPr>
      <w:r w:rsidRPr="002D3907">
        <w:rPr>
          <w:rFonts w:ascii="Arial" w:hAnsi="Arial" w:cs="Arial"/>
          <w:b/>
          <w:sz w:val="22"/>
        </w:rPr>
        <w:t>Multicollinearity Test</w:t>
      </w:r>
    </w:p>
    <w:p w14:paraId="70D7D04C" w14:textId="77777777" w:rsidR="00D77A87" w:rsidRPr="002D3907" w:rsidRDefault="00D77A87" w:rsidP="00D77A87">
      <w:pPr>
        <w:pStyle w:val="Body"/>
        <w:spacing w:before="60" w:after="60"/>
        <w:ind w:firstLine="720"/>
        <w:rPr>
          <w:rFonts w:ascii="Arial" w:hAnsi="Arial" w:cs="Arial"/>
          <w:sz w:val="22"/>
          <w:lang w:val="id-ID"/>
        </w:rPr>
      </w:pPr>
      <w:r w:rsidRPr="002D3907">
        <w:rPr>
          <w:rFonts w:ascii="Arial" w:hAnsi="Arial" w:cs="Arial"/>
          <w:sz w:val="22"/>
        </w:rPr>
        <w:t xml:space="preserve">A multicollinearity test was performed to determine if there was a correlation between independent variables. The indicator used is the Tolerance and Variance Inflation Factor (VIF). According to </w:t>
      </w:r>
      <w:r>
        <w:rPr>
          <w:rFonts w:ascii="Arial" w:hAnsi="Arial" w:cs="Arial"/>
          <w:sz w:val="22"/>
        </w:rPr>
        <w:fldChar w:fldCharType="begin" w:fldLock="1"/>
      </w:r>
      <w:r>
        <w:rPr>
          <w:rFonts w:ascii="Arial" w:hAnsi="Arial" w:cs="Arial"/>
          <w:sz w:val="22"/>
        </w:rPr>
        <w:instrText>ADDIN CSL_CITATION {"citationItems":[{"id":"ITEM-1","itemData":{"author":[{"dropping-particle":"","family":"Ghozali","given":"Imam","non-dropping-particle":"","parse-names":false,"suffix":""}],"id":"ITEM-1","issued":{"date-parts":[["2016"]]},"publisher":"Yoga Pratama","publisher-place":"Semarang","title":"Desain Penelitian Kuantitatif dan Kualitatif untuk Akuntansi, Bisnis, dan Ilmu Sosial Lainnya","type":"book"},"uris":["http://www.mendeley.com/documents/?uuid=83818817-c110-4f2a-8377-9c1653d22735"]}],"mendeley":{"formattedCitation":"(Ghozali, 2016)","manualFormatting":"Ghozali (2016)","plainTextFormattedCitation":"(Ghozali, 2016)","previouslyFormattedCitation":"(Ghozali, 2016)"},"properties":{"noteIndex":0},"schema":"https://github.com/citation-style-language/schema/raw/master/csl-citation.json"}</w:instrText>
      </w:r>
      <w:r>
        <w:rPr>
          <w:rFonts w:ascii="Arial" w:hAnsi="Arial" w:cs="Arial"/>
          <w:sz w:val="22"/>
        </w:rPr>
        <w:fldChar w:fldCharType="separate"/>
      </w:r>
      <w:r>
        <w:rPr>
          <w:rFonts w:ascii="Arial" w:hAnsi="Arial" w:cs="Arial"/>
          <w:noProof/>
          <w:sz w:val="22"/>
        </w:rPr>
        <w:t>Ghozali (2016)</w:t>
      </w:r>
      <w:r>
        <w:rPr>
          <w:rFonts w:ascii="Arial" w:hAnsi="Arial" w:cs="Arial"/>
          <w:sz w:val="22"/>
        </w:rPr>
        <w:fldChar w:fldCharType="end"/>
      </w:r>
      <w:r w:rsidRPr="002D3907">
        <w:rPr>
          <w:rFonts w:ascii="Arial" w:hAnsi="Arial" w:cs="Arial"/>
          <w:sz w:val="22"/>
        </w:rPr>
        <w:t>, the Tolerance value &gt; 0.1 and the VIF value &lt; 10 indicate the absence of multicollinearity.</w:t>
      </w:r>
    </w:p>
    <w:p w14:paraId="225EE760" w14:textId="77777777" w:rsidR="00D77A87" w:rsidRPr="002D3907" w:rsidRDefault="009E51B8" w:rsidP="00D77A87">
      <w:pPr>
        <w:pStyle w:val="Body"/>
        <w:spacing w:before="60" w:after="60"/>
        <w:rPr>
          <w:rFonts w:ascii="Arial" w:hAnsi="Arial" w:cs="Arial"/>
          <w:b/>
          <w:sz w:val="22"/>
          <w:lang w:val="id-ID"/>
        </w:rPr>
      </w:pPr>
      <w:r>
        <w:rPr>
          <w:rFonts w:ascii="Arial" w:hAnsi="Arial" w:cs="Arial"/>
          <w:b/>
        </w:rPr>
        <w:t xml:space="preserve">Table 4. </w:t>
      </w:r>
      <w:r w:rsidR="00D77A87" w:rsidRPr="009E51B8">
        <w:rPr>
          <w:rFonts w:ascii="Arial" w:hAnsi="Arial" w:cs="Arial"/>
        </w:rPr>
        <w:t>Multicollinearity Test Results</w:t>
      </w:r>
    </w:p>
    <w:tbl>
      <w:tblPr>
        <w:tblStyle w:val="PlainTable2"/>
        <w:tblW w:w="5000" w:type="pct"/>
        <w:tblLook w:val="04A0" w:firstRow="1" w:lastRow="0" w:firstColumn="1" w:lastColumn="0" w:noHBand="0" w:noVBand="1"/>
      </w:tblPr>
      <w:tblGrid>
        <w:gridCol w:w="1179"/>
        <w:gridCol w:w="1196"/>
        <w:gridCol w:w="901"/>
        <w:gridCol w:w="1860"/>
        <w:gridCol w:w="606"/>
        <w:gridCol w:w="606"/>
        <w:gridCol w:w="1115"/>
        <w:gridCol w:w="739"/>
      </w:tblGrid>
      <w:tr w:rsidR="00D77A87" w:rsidRPr="002D3907" w14:paraId="7FE4DC41" w14:textId="77777777" w:rsidTr="00102E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2" w:type="pct"/>
            <w:vMerge w:val="restart"/>
            <w:vAlign w:val="center"/>
          </w:tcPr>
          <w:p w14:paraId="2DDF19C7" w14:textId="77777777" w:rsidR="00D77A87" w:rsidRPr="002D3907" w:rsidRDefault="00D77A87" w:rsidP="00102E5D">
            <w:pPr>
              <w:pStyle w:val="Body"/>
              <w:spacing w:after="0"/>
              <w:jc w:val="center"/>
              <w:rPr>
                <w:rFonts w:ascii="Arial" w:hAnsi="Arial" w:cs="Arial"/>
                <w:lang w:val="id-ID"/>
              </w:rPr>
            </w:pPr>
            <w:r w:rsidRPr="002D3907">
              <w:rPr>
                <w:rFonts w:ascii="Arial" w:hAnsi="Arial" w:cs="Arial"/>
              </w:rPr>
              <w:t>Pattern</w:t>
            </w:r>
          </w:p>
        </w:tc>
        <w:tc>
          <w:tcPr>
            <w:tcW w:w="1284" w:type="pct"/>
            <w:gridSpan w:val="2"/>
            <w:vAlign w:val="center"/>
          </w:tcPr>
          <w:p w14:paraId="62ECC135" w14:textId="77777777" w:rsidR="00D77A87" w:rsidRPr="002D3907" w:rsidRDefault="00D77A87" w:rsidP="00102E5D">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2D3907">
              <w:rPr>
                <w:rFonts w:ascii="Arial" w:hAnsi="Arial" w:cs="Arial"/>
              </w:rPr>
              <w:t>Non-standard efficiency</w:t>
            </w:r>
          </w:p>
        </w:tc>
        <w:tc>
          <w:tcPr>
            <w:tcW w:w="1137" w:type="pct"/>
            <w:vAlign w:val="center"/>
          </w:tcPr>
          <w:p w14:paraId="2FBCE6E5" w14:textId="77777777" w:rsidR="00D77A87" w:rsidRPr="002D3907" w:rsidRDefault="00D77A87" w:rsidP="00102E5D">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lang w:val="id-ID"/>
              </w:rPr>
            </w:pPr>
            <w:r w:rsidRPr="002D3907">
              <w:rPr>
                <w:rFonts w:ascii="Arial" w:hAnsi="Arial" w:cs="Arial"/>
              </w:rPr>
              <w:t>Standard coefficients</w:t>
            </w:r>
          </w:p>
        </w:tc>
        <w:tc>
          <w:tcPr>
            <w:tcW w:w="369" w:type="pct"/>
            <w:vMerge w:val="restart"/>
            <w:vAlign w:val="center"/>
          </w:tcPr>
          <w:p w14:paraId="7CF2B475" w14:textId="77777777" w:rsidR="00D77A87" w:rsidRPr="002D3907" w:rsidRDefault="00D77A87" w:rsidP="00102E5D">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lang w:val="id-ID"/>
              </w:rPr>
            </w:pPr>
            <w:r w:rsidRPr="002D3907">
              <w:rPr>
                <w:rFonts w:ascii="Arial" w:hAnsi="Arial" w:cs="Arial"/>
              </w:rPr>
              <w:t>t</w:t>
            </w:r>
          </w:p>
        </w:tc>
        <w:tc>
          <w:tcPr>
            <w:tcW w:w="369" w:type="pct"/>
            <w:vMerge w:val="restart"/>
            <w:vAlign w:val="center"/>
          </w:tcPr>
          <w:p w14:paraId="0601E179" w14:textId="77777777" w:rsidR="00D77A87" w:rsidRPr="002D3907" w:rsidRDefault="00D77A87" w:rsidP="00102E5D">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lang w:val="id-ID"/>
              </w:rPr>
            </w:pPr>
            <w:r w:rsidRPr="002D3907">
              <w:rPr>
                <w:rFonts w:ascii="Arial" w:hAnsi="Arial" w:cs="Arial"/>
              </w:rPr>
              <w:t>Sig.</w:t>
            </w:r>
          </w:p>
        </w:tc>
        <w:tc>
          <w:tcPr>
            <w:tcW w:w="1119" w:type="pct"/>
            <w:gridSpan w:val="2"/>
            <w:vAlign w:val="center"/>
          </w:tcPr>
          <w:p w14:paraId="113380E7" w14:textId="77777777" w:rsidR="00D77A87" w:rsidRPr="002D3907" w:rsidRDefault="00D77A87" w:rsidP="00102E5D">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2D3907">
              <w:rPr>
                <w:rFonts w:ascii="Arial" w:hAnsi="Arial" w:cs="Arial"/>
              </w:rPr>
              <w:t>Collinearity Statistics</w:t>
            </w:r>
          </w:p>
        </w:tc>
      </w:tr>
      <w:tr w:rsidR="00D77A87" w:rsidRPr="002D3907" w14:paraId="1FD208DA" w14:textId="77777777" w:rsidTr="00102E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2" w:type="pct"/>
            <w:vMerge/>
            <w:vAlign w:val="center"/>
          </w:tcPr>
          <w:p w14:paraId="09E2AE9D" w14:textId="77777777" w:rsidR="00D77A87" w:rsidRPr="002D3907" w:rsidRDefault="00D77A87" w:rsidP="00102E5D">
            <w:pPr>
              <w:pStyle w:val="Body"/>
              <w:spacing w:after="0"/>
              <w:jc w:val="center"/>
              <w:rPr>
                <w:rFonts w:ascii="Arial" w:hAnsi="Arial" w:cs="Arial"/>
              </w:rPr>
            </w:pPr>
          </w:p>
        </w:tc>
        <w:tc>
          <w:tcPr>
            <w:tcW w:w="732" w:type="pct"/>
            <w:vAlign w:val="center"/>
          </w:tcPr>
          <w:p w14:paraId="58518065" w14:textId="77777777" w:rsidR="00D77A87" w:rsidRPr="002D3907" w:rsidRDefault="00D77A87" w:rsidP="00102E5D">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id-ID"/>
              </w:rPr>
            </w:pPr>
            <w:r w:rsidRPr="002D3907">
              <w:rPr>
                <w:rFonts w:ascii="Arial" w:hAnsi="Arial" w:cs="Arial"/>
              </w:rPr>
              <w:t>B</w:t>
            </w:r>
          </w:p>
        </w:tc>
        <w:tc>
          <w:tcPr>
            <w:tcW w:w="551" w:type="pct"/>
            <w:vAlign w:val="center"/>
          </w:tcPr>
          <w:p w14:paraId="49B787D8" w14:textId="77777777" w:rsidR="00D77A87" w:rsidRPr="002D3907" w:rsidRDefault="00D77A87" w:rsidP="00102E5D">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id-ID"/>
              </w:rPr>
            </w:pPr>
            <w:r w:rsidRPr="002D3907">
              <w:rPr>
                <w:rFonts w:ascii="Arial" w:hAnsi="Arial" w:cs="Arial"/>
              </w:rPr>
              <w:t>Std. Error</w:t>
            </w:r>
          </w:p>
        </w:tc>
        <w:tc>
          <w:tcPr>
            <w:tcW w:w="1137" w:type="pct"/>
            <w:vAlign w:val="center"/>
          </w:tcPr>
          <w:p w14:paraId="20E34B8D" w14:textId="77777777" w:rsidR="00D77A87" w:rsidRPr="002D3907" w:rsidRDefault="00D77A87" w:rsidP="00102E5D">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id-ID"/>
              </w:rPr>
            </w:pPr>
            <w:r w:rsidRPr="002D3907">
              <w:rPr>
                <w:rFonts w:ascii="Arial" w:hAnsi="Arial" w:cs="Arial"/>
              </w:rPr>
              <w:t>Beta</w:t>
            </w:r>
          </w:p>
        </w:tc>
        <w:tc>
          <w:tcPr>
            <w:tcW w:w="369" w:type="pct"/>
            <w:vMerge/>
            <w:vAlign w:val="center"/>
          </w:tcPr>
          <w:p w14:paraId="4AD63125" w14:textId="77777777" w:rsidR="00D77A87" w:rsidRPr="002D3907" w:rsidRDefault="00D77A87" w:rsidP="00102E5D">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69" w:type="pct"/>
            <w:vMerge/>
            <w:vAlign w:val="center"/>
          </w:tcPr>
          <w:p w14:paraId="162838E1" w14:textId="77777777" w:rsidR="00D77A87" w:rsidRPr="002D3907" w:rsidRDefault="00D77A87" w:rsidP="00102E5D">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682" w:type="pct"/>
            <w:vAlign w:val="center"/>
          </w:tcPr>
          <w:p w14:paraId="201ABA73" w14:textId="77777777" w:rsidR="00D77A87" w:rsidRPr="002D3907" w:rsidRDefault="00D77A87" w:rsidP="00102E5D">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id-ID"/>
              </w:rPr>
            </w:pPr>
            <w:r w:rsidRPr="002D3907">
              <w:rPr>
                <w:rFonts w:ascii="Arial" w:hAnsi="Arial" w:cs="Arial"/>
              </w:rPr>
              <w:t>Tolerance</w:t>
            </w:r>
          </w:p>
        </w:tc>
        <w:tc>
          <w:tcPr>
            <w:tcW w:w="437" w:type="pct"/>
            <w:vAlign w:val="center"/>
          </w:tcPr>
          <w:p w14:paraId="3C6F95C9" w14:textId="77777777" w:rsidR="00D77A87" w:rsidRPr="002D3907" w:rsidRDefault="00D77A87" w:rsidP="00102E5D">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id-ID"/>
              </w:rPr>
            </w:pPr>
            <w:r w:rsidRPr="002D3907">
              <w:rPr>
                <w:rFonts w:ascii="Arial" w:hAnsi="Arial" w:cs="Arial"/>
              </w:rPr>
              <w:t>VIVID</w:t>
            </w:r>
          </w:p>
        </w:tc>
      </w:tr>
      <w:tr w:rsidR="00D77A87" w:rsidRPr="002D3907" w14:paraId="289D452E" w14:textId="77777777" w:rsidTr="00102E5D">
        <w:tc>
          <w:tcPr>
            <w:cnfStyle w:val="001000000000" w:firstRow="0" w:lastRow="0" w:firstColumn="1" w:lastColumn="0" w:oddVBand="0" w:evenVBand="0" w:oddHBand="0" w:evenHBand="0" w:firstRowFirstColumn="0" w:firstRowLastColumn="0" w:lastRowFirstColumn="0" w:lastRowLastColumn="0"/>
            <w:tcW w:w="722" w:type="pct"/>
            <w:vAlign w:val="center"/>
          </w:tcPr>
          <w:p w14:paraId="57AA5BF3" w14:textId="77777777" w:rsidR="00D77A87" w:rsidRPr="002D3907" w:rsidRDefault="00D77A87" w:rsidP="00102E5D">
            <w:pPr>
              <w:pStyle w:val="Body"/>
              <w:spacing w:after="0"/>
              <w:jc w:val="center"/>
              <w:rPr>
                <w:rFonts w:ascii="Arial" w:hAnsi="Arial" w:cs="Arial"/>
                <w:lang w:val="id-ID"/>
              </w:rPr>
            </w:pPr>
            <w:r w:rsidRPr="002D3907">
              <w:rPr>
                <w:rFonts w:ascii="Arial" w:hAnsi="Arial" w:cs="Arial"/>
              </w:rPr>
              <w:t>1</w:t>
            </w:r>
          </w:p>
        </w:tc>
        <w:tc>
          <w:tcPr>
            <w:tcW w:w="732" w:type="pct"/>
            <w:vAlign w:val="center"/>
          </w:tcPr>
          <w:p w14:paraId="3D96616E" w14:textId="77777777" w:rsidR="00D77A87" w:rsidRPr="002D3907" w:rsidRDefault="00D77A87" w:rsidP="00102E5D">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id-ID"/>
              </w:rPr>
            </w:pPr>
            <w:r w:rsidRPr="002D3907">
              <w:rPr>
                <w:rFonts w:ascii="Arial" w:hAnsi="Arial" w:cs="Arial"/>
              </w:rPr>
              <w:t>(constant)</w:t>
            </w:r>
          </w:p>
        </w:tc>
        <w:tc>
          <w:tcPr>
            <w:tcW w:w="551" w:type="pct"/>
            <w:vAlign w:val="center"/>
          </w:tcPr>
          <w:p w14:paraId="4D247EDE" w14:textId="77777777" w:rsidR="00D77A87" w:rsidRPr="002D3907" w:rsidRDefault="00D77A87" w:rsidP="00102E5D">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id-ID"/>
              </w:rPr>
            </w:pPr>
            <w:r w:rsidRPr="002D3907">
              <w:rPr>
                <w:rFonts w:ascii="Arial" w:hAnsi="Arial" w:cs="Arial"/>
              </w:rPr>
              <w:t>.726</w:t>
            </w:r>
          </w:p>
        </w:tc>
        <w:tc>
          <w:tcPr>
            <w:tcW w:w="1137" w:type="pct"/>
            <w:vAlign w:val="center"/>
          </w:tcPr>
          <w:p w14:paraId="0C23F68C" w14:textId="77777777" w:rsidR="00D77A87" w:rsidRPr="002D3907" w:rsidRDefault="00D77A87" w:rsidP="00102E5D">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D3907">
              <w:rPr>
                <w:rFonts w:ascii="Arial" w:hAnsi="Arial" w:cs="Arial"/>
              </w:rPr>
              <w:t>.795</w:t>
            </w:r>
          </w:p>
        </w:tc>
        <w:tc>
          <w:tcPr>
            <w:tcW w:w="369" w:type="pct"/>
            <w:vAlign w:val="center"/>
          </w:tcPr>
          <w:p w14:paraId="5AB621EA" w14:textId="77777777" w:rsidR="00D77A87" w:rsidRPr="002D3907" w:rsidRDefault="00D77A87" w:rsidP="00102E5D">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69" w:type="pct"/>
            <w:vAlign w:val="center"/>
          </w:tcPr>
          <w:p w14:paraId="183FEBAC" w14:textId="77777777" w:rsidR="00D77A87" w:rsidRPr="002D3907" w:rsidRDefault="00D77A87" w:rsidP="00102E5D">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id-ID"/>
              </w:rPr>
            </w:pPr>
            <w:r w:rsidRPr="002D3907">
              <w:rPr>
                <w:rFonts w:ascii="Arial" w:hAnsi="Arial" w:cs="Arial"/>
              </w:rPr>
              <w:t>.000</w:t>
            </w:r>
          </w:p>
        </w:tc>
        <w:tc>
          <w:tcPr>
            <w:tcW w:w="682" w:type="pct"/>
            <w:vAlign w:val="center"/>
          </w:tcPr>
          <w:p w14:paraId="6740DAE8" w14:textId="77777777" w:rsidR="00D77A87" w:rsidRPr="002D3907" w:rsidRDefault="00D77A87" w:rsidP="00102E5D">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37" w:type="pct"/>
            <w:vAlign w:val="center"/>
          </w:tcPr>
          <w:p w14:paraId="3E1AE3AD" w14:textId="77777777" w:rsidR="00D77A87" w:rsidRPr="002D3907" w:rsidRDefault="00D77A87" w:rsidP="00102E5D">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D77A87" w:rsidRPr="002D3907" w14:paraId="7BF1D327" w14:textId="77777777" w:rsidTr="00102E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2" w:type="pct"/>
            <w:vAlign w:val="center"/>
          </w:tcPr>
          <w:p w14:paraId="3473CDAE" w14:textId="77777777" w:rsidR="00D77A87" w:rsidRPr="002D3907" w:rsidRDefault="00D77A87" w:rsidP="00102E5D">
            <w:pPr>
              <w:pStyle w:val="Body"/>
              <w:spacing w:after="0"/>
              <w:jc w:val="center"/>
              <w:rPr>
                <w:rFonts w:ascii="Arial" w:hAnsi="Arial" w:cs="Arial"/>
              </w:rPr>
            </w:pPr>
          </w:p>
        </w:tc>
        <w:tc>
          <w:tcPr>
            <w:tcW w:w="732" w:type="pct"/>
            <w:vAlign w:val="center"/>
          </w:tcPr>
          <w:p w14:paraId="59A64920" w14:textId="77777777" w:rsidR="00D77A87" w:rsidRPr="002D3907" w:rsidRDefault="00D77A87" w:rsidP="00102E5D">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51" w:type="pct"/>
            <w:vAlign w:val="center"/>
          </w:tcPr>
          <w:p w14:paraId="5B504450" w14:textId="77777777" w:rsidR="00D77A87" w:rsidRPr="002D3907" w:rsidRDefault="00D77A87" w:rsidP="00102E5D">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id-ID"/>
              </w:rPr>
            </w:pPr>
            <w:proofErr w:type="gramStart"/>
            <w:r w:rsidRPr="002D3907">
              <w:rPr>
                <w:rFonts w:ascii="Arial" w:hAnsi="Arial" w:cs="Arial"/>
              </w:rPr>
              <w:t>.-</w:t>
            </w:r>
            <w:proofErr w:type="gramEnd"/>
            <w:r w:rsidRPr="002D3907">
              <w:rPr>
                <w:rFonts w:ascii="Arial" w:hAnsi="Arial" w:cs="Arial"/>
              </w:rPr>
              <w:t>028</w:t>
            </w:r>
          </w:p>
        </w:tc>
        <w:tc>
          <w:tcPr>
            <w:tcW w:w="1137" w:type="pct"/>
            <w:vAlign w:val="center"/>
          </w:tcPr>
          <w:p w14:paraId="31599C49" w14:textId="77777777" w:rsidR="00D77A87" w:rsidRPr="002D3907" w:rsidRDefault="00D77A87" w:rsidP="00102E5D">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roofErr w:type="gramStart"/>
            <w:r w:rsidRPr="002D3907">
              <w:rPr>
                <w:rFonts w:ascii="Arial" w:hAnsi="Arial" w:cs="Arial"/>
              </w:rPr>
              <w:t>.-</w:t>
            </w:r>
            <w:proofErr w:type="gramEnd"/>
            <w:r w:rsidRPr="002D3907">
              <w:rPr>
                <w:rFonts w:ascii="Arial" w:hAnsi="Arial" w:cs="Arial"/>
              </w:rPr>
              <w:t>046</w:t>
            </w:r>
          </w:p>
        </w:tc>
        <w:tc>
          <w:tcPr>
            <w:tcW w:w="369" w:type="pct"/>
            <w:vAlign w:val="center"/>
          </w:tcPr>
          <w:p w14:paraId="55CD7396" w14:textId="77777777" w:rsidR="00D77A87" w:rsidRPr="002D3907" w:rsidRDefault="00D77A87" w:rsidP="00102E5D">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id-ID"/>
              </w:rPr>
            </w:pPr>
            <w:proofErr w:type="gramStart"/>
            <w:r w:rsidRPr="002D3907">
              <w:rPr>
                <w:rFonts w:ascii="Arial" w:hAnsi="Arial" w:cs="Arial"/>
              </w:rPr>
              <w:t>.-</w:t>
            </w:r>
            <w:proofErr w:type="gramEnd"/>
            <w:r w:rsidRPr="002D3907">
              <w:rPr>
                <w:rFonts w:ascii="Arial" w:hAnsi="Arial" w:cs="Arial"/>
              </w:rPr>
              <w:t>090</w:t>
            </w:r>
          </w:p>
        </w:tc>
        <w:tc>
          <w:tcPr>
            <w:tcW w:w="369" w:type="pct"/>
            <w:vAlign w:val="center"/>
          </w:tcPr>
          <w:p w14:paraId="45D81DE1" w14:textId="77777777" w:rsidR="00D77A87" w:rsidRPr="002D3907" w:rsidRDefault="00D77A87" w:rsidP="00102E5D">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id-ID"/>
              </w:rPr>
            </w:pPr>
            <w:r w:rsidRPr="002D3907">
              <w:rPr>
                <w:rFonts w:ascii="Arial" w:hAnsi="Arial" w:cs="Arial"/>
              </w:rPr>
              <w:t>.555</w:t>
            </w:r>
          </w:p>
        </w:tc>
        <w:tc>
          <w:tcPr>
            <w:tcW w:w="682" w:type="pct"/>
            <w:vAlign w:val="center"/>
          </w:tcPr>
          <w:p w14:paraId="0EFF1928" w14:textId="77777777" w:rsidR="00D77A87" w:rsidRPr="002D3907" w:rsidRDefault="00D77A87" w:rsidP="00102E5D">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id-ID"/>
              </w:rPr>
            </w:pPr>
            <w:r w:rsidRPr="002D3907">
              <w:rPr>
                <w:rFonts w:ascii="Arial" w:hAnsi="Arial" w:cs="Arial"/>
              </w:rPr>
              <w:t>.980</w:t>
            </w:r>
          </w:p>
        </w:tc>
        <w:tc>
          <w:tcPr>
            <w:tcW w:w="437" w:type="pct"/>
            <w:vAlign w:val="center"/>
          </w:tcPr>
          <w:p w14:paraId="6B74D3E4" w14:textId="77777777" w:rsidR="00D77A87" w:rsidRPr="002D3907" w:rsidRDefault="00D77A87" w:rsidP="00102E5D">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id-ID"/>
              </w:rPr>
            </w:pPr>
            <w:r w:rsidRPr="002D3907">
              <w:rPr>
                <w:rFonts w:ascii="Arial" w:hAnsi="Arial" w:cs="Arial"/>
              </w:rPr>
              <w:t>1.021</w:t>
            </w:r>
          </w:p>
        </w:tc>
      </w:tr>
      <w:tr w:rsidR="00D77A87" w:rsidRPr="002D3907" w14:paraId="21C871E3" w14:textId="77777777" w:rsidTr="00102E5D">
        <w:tc>
          <w:tcPr>
            <w:cnfStyle w:val="001000000000" w:firstRow="0" w:lastRow="0" w:firstColumn="1" w:lastColumn="0" w:oddVBand="0" w:evenVBand="0" w:oddHBand="0" w:evenHBand="0" w:firstRowFirstColumn="0" w:firstRowLastColumn="0" w:lastRowFirstColumn="0" w:lastRowLastColumn="0"/>
            <w:tcW w:w="722" w:type="pct"/>
            <w:vAlign w:val="center"/>
          </w:tcPr>
          <w:p w14:paraId="073E6CCB" w14:textId="77777777" w:rsidR="00D77A87" w:rsidRPr="002D3907" w:rsidRDefault="00D77A87" w:rsidP="00102E5D">
            <w:pPr>
              <w:pStyle w:val="Body"/>
              <w:spacing w:after="0"/>
              <w:jc w:val="center"/>
              <w:rPr>
                <w:rFonts w:ascii="Arial" w:hAnsi="Arial" w:cs="Arial"/>
              </w:rPr>
            </w:pPr>
          </w:p>
        </w:tc>
        <w:tc>
          <w:tcPr>
            <w:tcW w:w="732" w:type="pct"/>
            <w:vAlign w:val="center"/>
          </w:tcPr>
          <w:p w14:paraId="00E05156" w14:textId="77777777" w:rsidR="00D77A87" w:rsidRPr="002D3907" w:rsidRDefault="00D77A87" w:rsidP="00102E5D">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51" w:type="pct"/>
            <w:vAlign w:val="center"/>
          </w:tcPr>
          <w:p w14:paraId="389CFC73" w14:textId="77777777" w:rsidR="00D77A87" w:rsidRPr="002D3907" w:rsidRDefault="00D77A87" w:rsidP="00102E5D">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id-ID"/>
              </w:rPr>
            </w:pPr>
            <w:r w:rsidRPr="002D3907">
              <w:rPr>
                <w:rFonts w:ascii="Arial" w:hAnsi="Arial" w:cs="Arial"/>
              </w:rPr>
              <w:t>.000</w:t>
            </w:r>
          </w:p>
        </w:tc>
        <w:tc>
          <w:tcPr>
            <w:tcW w:w="1137" w:type="pct"/>
            <w:vAlign w:val="center"/>
          </w:tcPr>
          <w:p w14:paraId="798DA80F" w14:textId="77777777" w:rsidR="00D77A87" w:rsidRPr="002D3907" w:rsidRDefault="00D77A87" w:rsidP="00102E5D">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D3907">
              <w:rPr>
                <w:rFonts w:ascii="Arial" w:hAnsi="Arial" w:cs="Arial"/>
              </w:rPr>
              <w:t>.000</w:t>
            </w:r>
          </w:p>
        </w:tc>
        <w:tc>
          <w:tcPr>
            <w:tcW w:w="369" w:type="pct"/>
            <w:vAlign w:val="center"/>
          </w:tcPr>
          <w:p w14:paraId="4A753C69" w14:textId="77777777" w:rsidR="00D77A87" w:rsidRPr="002D3907" w:rsidRDefault="00D77A87" w:rsidP="00102E5D">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id-ID"/>
              </w:rPr>
            </w:pPr>
            <w:r w:rsidRPr="002D3907">
              <w:rPr>
                <w:rFonts w:ascii="Arial" w:hAnsi="Arial" w:cs="Arial"/>
              </w:rPr>
              <w:t>.097</w:t>
            </w:r>
          </w:p>
        </w:tc>
        <w:tc>
          <w:tcPr>
            <w:tcW w:w="369" w:type="pct"/>
            <w:vAlign w:val="center"/>
          </w:tcPr>
          <w:p w14:paraId="0E9B76D1" w14:textId="77777777" w:rsidR="00D77A87" w:rsidRPr="002D3907" w:rsidRDefault="00D77A87" w:rsidP="00102E5D">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id-ID"/>
              </w:rPr>
            </w:pPr>
            <w:r w:rsidRPr="002D3907">
              <w:rPr>
                <w:rFonts w:ascii="Arial" w:hAnsi="Arial" w:cs="Arial"/>
              </w:rPr>
              <w:t>.523</w:t>
            </w:r>
          </w:p>
        </w:tc>
        <w:tc>
          <w:tcPr>
            <w:tcW w:w="682" w:type="pct"/>
            <w:vAlign w:val="center"/>
          </w:tcPr>
          <w:p w14:paraId="7D29EE43" w14:textId="77777777" w:rsidR="00D77A87" w:rsidRPr="002D3907" w:rsidRDefault="00D77A87" w:rsidP="00102E5D">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id-ID"/>
              </w:rPr>
            </w:pPr>
            <w:r w:rsidRPr="002D3907">
              <w:rPr>
                <w:rFonts w:ascii="Arial" w:hAnsi="Arial" w:cs="Arial"/>
              </w:rPr>
              <w:t>.</w:t>
            </w:r>
          </w:p>
          <w:p w14:paraId="4CA68556" w14:textId="77777777" w:rsidR="00D77A87" w:rsidRPr="002D3907" w:rsidRDefault="00D77A87" w:rsidP="00102E5D">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id-ID"/>
              </w:rPr>
            </w:pPr>
            <w:r w:rsidRPr="002D3907">
              <w:rPr>
                <w:rFonts w:ascii="Arial" w:hAnsi="Arial" w:cs="Arial"/>
              </w:rPr>
              <w:t>986</w:t>
            </w:r>
          </w:p>
        </w:tc>
        <w:tc>
          <w:tcPr>
            <w:tcW w:w="437" w:type="pct"/>
            <w:vAlign w:val="center"/>
          </w:tcPr>
          <w:p w14:paraId="2B561DF8" w14:textId="77777777" w:rsidR="00D77A87" w:rsidRPr="002D3907" w:rsidRDefault="00D77A87" w:rsidP="00102E5D">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id-ID"/>
              </w:rPr>
            </w:pPr>
            <w:r w:rsidRPr="002D3907">
              <w:rPr>
                <w:rFonts w:ascii="Arial" w:hAnsi="Arial" w:cs="Arial"/>
              </w:rPr>
              <w:t>1.015</w:t>
            </w:r>
          </w:p>
        </w:tc>
      </w:tr>
      <w:tr w:rsidR="00D77A87" w:rsidRPr="002D3907" w14:paraId="284AB5C1" w14:textId="77777777" w:rsidTr="00102E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2" w:type="pct"/>
            <w:vAlign w:val="center"/>
          </w:tcPr>
          <w:p w14:paraId="21C5CD2F" w14:textId="77777777" w:rsidR="00D77A87" w:rsidRPr="002D3907" w:rsidRDefault="00D77A87" w:rsidP="00102E5D">
            <w:pPr>
              <w:pStyle w:val="Body"/>
              <w:spacing w:after="0"/>
              <w:jc w:val="center"/>
              <w:rPr>
                <w:rFonts w:ascii="Arial" w:hAnsi="Arial" w:cs="Arial"/>
              </w:rPr>
            </w:pPr>
          </w:p>
        </w:tc>
        <w:tc>
          <w:tcPr>
            <w:tcW w:w="732" w:type="pct"/>
            <w:vAlign w:val="center"/>
          </w:tcPr>
          <w:p w14:paraId="3C5D54FF" w14:textId="77777777" w:rsidR="00D77A87" w:rsidRPr="002D3907" w:rsidRDefault="00D77A87" w:rsidP="00102E5D">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51" w:type="pct"/>
            <w:vAlign w:val="center"/>
          </w:tcPr>
          <w:p w14:paraId="63929B11" w14:textId="77777777" w:rsidR="00D77A87" w:rsidRPr="002D3907" w:rsidRDefault="00D77A87" w:rsidP="00102E5D">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id-ID"/>
              </w:rPr>
            </w:pPr>
            <w:r w:rsidRPr="002D3907">
              <w:rPr>
                <w:rFonts w:ascii="Arial" w:hAnsi="Arial" w:cs="Arial"/>
              </w:rPr>
              <w:t>-.001</w:t>
            </w:r>
          </w:p>
        </w:tc>
        <w:tc>
          <w:tcPr>
            <w:tcW w:w="1137" w:type="pct"/>
            <w:vAlign w:val="center"/>
          </w:tcPr>
          <w:p w14:paraId="0A53D29D" w14:textId="77777777" w:rsidR="00D77A87" w:rsidRPr="002D3907" w:rsidRDefault="00D77A87" w:rsidP="00102E5D">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D3907">
              <w:rPr>
                <w:rFonts w:ascii="Arial" w:hAnsi="Arial" w:cs="Arial"/>
              </w:rPr>
              <w:t>-.001</w:t>
            </w:r>
          </w:p>
        </w:tc>
        <w:tc>
          <w:tcPr>
            <w:tcW w:w="369" w:type="pct"/>
            <w:vAlign w:val="center"/>
          </w:tcPr>
          <w:p w14:paraId="4CC3990A" w14:textId="77777777" w:rsidR="00D77A87" w:rsidRPr="002D3907" w:rsidRDefault="00D77A87" w:rsidP="00102E5D">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id-ID"/>
              </w:rPr>
            </w:pPr>
            <w:r w:rsidRPr="002D3907">
              <w:rPr>
                <w:rFonts w:ascii="Arial" w:hAnsi="Arial" w:cs="Arial"/>
              </w:rPr>
              <w:t>.068</w:t>
            </w:r>
          </w:p>
        </w:tc>
        <w:tc>
          <w:tcPr>
            <w:tcW w:w="369" w:type="pct"/>
            <w:vAlign w:val="center"/>
          </w:tcPr>
          <w:p w14:paraId="06D303D5" w14:textId="77777777" w:rsidR="00D77A87" w:rsidRPr="002D3907" w:rsidRDefault="00D77A87" w:rsidP="00102E5D">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id-ID"/>
              </w:rPr>
            </w:pPr>
            <w:r w:rsidRPr="002D3907">
              <w:rPr>
                <w:rFonts w:ascii="Arial" w:hAnsi="Arial" w:cs="Arial"/>
              </w:rPr>
              <w:t>.653</w:t>
            </w:r>
          </w:p>
        </w:tc>
        <w:tc>
          <w:tcPr>
            <w:tcW w:w="682" w:type="pct"/>
            <w:vAlign w:val="center"/>
          </w:tcPr>
          <w:p w14:paraId="6846A4C5" w14:textId="77777777" w:rsidR="00D77A87" w:rsidRPr="002D3907" w:rsidRDefault="00D77A87" w:rsidP="00102E5D">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id-ID"/>
              </w:rPr>
            </w:pPr>
            <w:r w:rsidRPr="002D3907">
              <w:rPr>
                <w:rFonts w:ascii="Arial" w:hAnsi="Arial" w:cs="Arial"/>
              </w:rPr>
              <w:t>.976</w:t>
            </w:r>
          </w:p>
        </w:tc>
        <w:tc>
          <w:tcPr>
            <w:tcW w:w="437" w:type="pct"/>
            <w:vAlign w:val="center"/>
          </w:tcPr>
          <w:p w14:paraId="792C01B7" w14:textId="77777777" w:rsidR="00D77A87" w:rsidRPr="002D3907" w:rsidRDefault="00D77A87" w:rsidP="00102E5D">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id-ID"/>
              </w:rPr>
            </w:pPr>
            <w:r w:rsidRPr="002D3907">
              <w:rPr>
                <w:rFonts w:ascii="Arial" w:hAnsi="Arial" w:cs="Arial"/>
              </w:rPr>
              <w:t>1.025</w:t>
            </w:r>
          </w:p>
        </w:tc>
      </w:tr>
      <w:tr w:rsidR="00D77A87" w:rsidRPr="002D3907" w14:paraId="7EDCF33A" w14:textId="77777777" w:rsidTr="00102E5D">
        <w:tc>
          <w:tcPr>
            <w:cnfStyle w:val="001000000000" w:firstRow="0" w:lastRow="0" w:firstColumn="1" w:lastColumn="0" w:oddVBand="0" w:evenVBand="0" w:oddHBand="0" w:evenHBand="0" w:firstRowFirstColumn="0" w:firstRowLastColumn="0" w:lastRowFirstColumn="0" w:lastRowLastColumn="0"/>
            <w:tcW w:w="5000" w:type="pct"/>
            <w:gridSpan w:val="8"/>
            <w:vAlign w:val="center"/>
          </w:tcPr>
          <w:p w14:paraId="552B72B8" w14:textId="77777777" w:rsidR="00D77A87" w:rsidRPr="002D3907" w:rsidRDefault="00D77A87" w:rsidP="00102E5D">
            <w:pPr>
              <w:pStyle w:val="Body"/>
              <w:spacing w:after="0"/>
              <w:jc w:val="left"/>
              <w:rPr>
                <w:rFonts w:ascii="Arial" w:hAnsi="Arial" w:cs="Arial"/>
                <w:b w:val="0"/>
                <w:lang w:val="id-ID"/>
              </w:rPr>
            </w:pPr>
            <w:r w:rsidRPr="002D3907">
              <w:rPr>
                <w:rFonts w:ascii="Arial" w:hAnsi="Arial" w:cs="Arial"/>
                <w:b w:val="0"/>
              </w:rPr>
              <w:t>Dependent Variables: stock price valuation</w:t>
            </w:r>
          </w:p>
        </w:tc>
      </w:tr>
    </w:tbl>
    <w:p w14:paraId="7D6BF7F8" w14:textId="77777777" w:rsidR="00D77A87" w:rsidRPr="002D3907" w:rsidRDefault="00D77A87" w:rsidP="00D77A87">
      <w:pPr>
        <w:pStyle w:val="Body"/>
        <w:spacing w:after="0"/>
        <w:ind w:firstLine="720"/>
        <w:rPr>
          <w:rFonts w:ascii="Arial" w:hAnsi="Arial" w:cs="Arial"/>
          <w:noProof/>
        </w:rPr>
      </w:pPr>
    </w:p>
    <w:p w14:paraId="3214E7B2" w14:textId="77777777" w:rsidR="00D77A87" w:rsidRPr="002D3907" w:rsidRDefault="009E51B8" w:rsidP="00D77A87">
      <w:pPr>
        <w:pStyle w:val="Body"/>
        <w:spacing w:after="0"/>
        <w:ind w:firstLine="720"/>
        <w:rPr>
          <w:rFonts w:ascii="Arial" w:hAnsi="Arial" w:cs="Arial"/>
          <w:noProof/>
          <w:highlight w:val="yellow"/>
        </w:rPr>
      </w:pPr>
      <w:r>
        <w:rPr>
          <w:rFonts w:ascii="Arial" w:hAnsi="Arial" w:cs="Arial"/>
          <w:noProof/>
        </w:rPr>
        <w:t>Based on Table 4, all variables have a Tolerance value greater than 0.1 (ranging from 0.976 to 0.986) and a VIF value of less than 10 (ranging from 1.015 to 1.025). Therefore, it can be concluded that there is no problem of multicollinearity among independent variables.</w:t>
      </w:r>
    </w:p>
    <w:p w14:paraId="67096237" w14:textId="77777777" w:rsidR="00D77A87" w:rsidRPr="002D3907" w:rsidRDefault="00D77A87" w:rsidP="00D77A87">
      <w:pPr>
        <w:pStyle w:val="Body"/>
        <w:spacing w:after="0"/>
        <w:rPr>
          <w:rFonts w:ascii="Arial" w:hAnsi="Arial" w:cs="Arial"/>
          <w:strike/>
          <w:noProof/>
          <w:highlight w:val="yellow"/>
        </w:rPr>
      </w:pPr>
    </w:p>
    <w:p w14:paraId="6E09CDEA" w14:textId="77777777" w:rsidR="00D77A87" w:rsidRPr="002D3907" w:rsidRDefault="00D77A87" w:rsidP="00D77A87">
      <w:pPr>
        <w:pStyle w:val="Heading4"/>
        <w:rPr>
          <w:rFonts w:ascii="Arial" w:hAnsi="Arial" w:cs="Arial"/>
          <w:i w:val="0"/>
          <w:color w:val="auto"/>
        </w:rPr>
      </w:pPr>
      <w:r w:rsidRPr="002D3907">
        <w:rPr>
          <w:rStyle w:val="Strong"/>
          <w:rFonts w:ascii="Arial" w:hAnsi="Arial" w:cs="Arial"/>
          <w:i w:val="0"/>
          <w:color w:val="auto"/>
        </w:rPr>
        <w:t>Autocorrelation Test</w:t>
      </w:r>
    </w:p>
    <w:p w14:paraId="092D8678" w14:textId="77777777" w:rsidR="00D77A87" w:rsidRPr="002D3907" w:rsidRDefault="00D77A87" w:rsidP="00D77A87">
      <w:pPr>
        <w:pStyle w:val="NormalWeb"/>
        <w:rPr>
          <w:rFonts w:ascii="Arial" w:hAnsi="Arial" w:cs="Arial"/>
          <w:sz w:val="20"/>
          <w:szCs w:val="20"/>
        </w:rPr>
      </w:pPr>
      <w:r w:rsidRPr="002D3907">
        <w:rPr>
          <w:rFonts w:ascii="Arial" w:hAnsi="Arial" w:cs="Arial"/>
          <w:sz w:val="20"/>
          <w:szCs w:val="20"/>
        </w:rPr>
        <w:t xml:space="preserve">The </w:t>
      </w:r>
      <w:proofErr w:type="gramStart"/>
      <w:r w:rsidRPr="002D3907">
        <w:rPr>
          <w:rStyle w:val="Strong"/>
          <w:rFonts w:ascii="Arial" w:hAnsi="Arial" w:cs="Arial"/>
          <w:sz w:val="20"/>
          <w:szCs w:val="20"/>
        </w:rPr>
        <w:t xml:space="preserve">autocorrelation </w:t>
      </w:r>
      <w:r w:rsidRPr="002D3907">
        <w:rPr>
          <w:rFonts w:ascii="Arial" w:hAnsi="Arial" w:cs="Arial"/>
          <w:sz w:val="20"/>
          <w:szCs w:val="20"/>
        </w:rPr>
        <w:t xml:space="preserve"> test</w:t>
      </w:r>
      <w:proofErr w:type="gramEnd"/>
      <w:r w:rsidRPr="002D3907">
        <w:rPr>
          <w:rFonts w:ascii="Arial" w:hAnsi="Arial" w:cs="Arial"/>
          <w:sz w:val="20"/>
          <w:szCs w:val="20"/>
        </w:rPr>
        <w:t xml:space="preserve"> aims to determine whether there is a correlation between the residues of one observation and another.  </w:t>
      </w:r>
      <w:r w:rsidRPr="002D3907">
        <w:rPr>
          <w:rStyle w:val="Strong"/>
          <w:rFonts w:ascii="Arial" w:hAnsi="Arial" w:cs="Arial"/>
          <w:sz w:val="20"/>
          <w:szCs w:val="20"/>
        </w:rPr>
        <w:t xml:space="preserve">The Durbin-Watson (DW) test </w:t>
      </w:r>
      <w:r w:rsidRPr="002D3907">
        <w:rPr>
          <w:rFonts w:ascii="Arial" w:hAnsi="Arial" w:cs="Arial"/>
          <w:sz w:val="20"/>
          <w:szCs w:val="20"/>
        </w:rPr>
        <w:t>was used in this study.</w:t>
      </w:r>
    </w:p>
    <w:p w14:paraId="328C51D5" w14:textId="77777777" w:rsidR="00D77A87" w:rsidRPr="00A246DF" w:rsidRDefault="009E51B8" w:rsidP="00D77A87">
      <w:pPr>
        <w:pStyle w:val="NormalWeb"/>
        <w:rPr>
          <w:rStyle w:val="Strong"/>
          <w:rFonts w:ascii="Arial" w:hAnsi="Arial" w:cs="Arial"/>
          <w:sz w:val="20"/>
          <w:szCs w:val="20"/>
        </w:rPr>
      </w:pPr>
      <w:r>
        <w:rPr>
          <w:rStyle w:val="Strong"/>
          <w:rFonts w:ascii="Arial" w:hAnsi="Arial" w:cs="Arial"/>
          <w:sz w:val="20"/>
          <w:szCs w:val="20"/>
        </w:rPr>
        <w:t xml:space="preserve">Table 5. </w:t>
      </w:r>
      <w:r w:rsidR="00D77A87" w:rsidRPr="009E51B8">
        <w:rPr>
          <w:rStyle w:val="Strong"/>
          <w:rFonts w:ascii="Arial" w:hAnsi="Arial" w:cs="Arial"/>
          <w:b w:val="0"/>
          <w:sz w:val="20"/>
          <w:szCs w:val="20"/>
        </w:rPr>
        <w:t>Autocorrelation Test Results (Durbin-Watson Statistics)</w:t>
      </w:r>
    </w:p>
    <w:tbl>
      <w:tblPr>
        <w:tblW w:w="5000" w:type="pct"/>
        <w:tblBorders>
          <w:top w:val="single" w:sz="4" w:space="0" w:color="auto"/>
          <w:bottom w:val="single" w:sz="4" w:space="0" w:color="auto"/>
          <w:insideH w:val="single" w:sz="4" w:space="0" w:color="auto"/>
        </w:tblBorders>
        <w:tblCellMar>
          <w:left w:w="0" w:type="dxa"/>
          <w:right w:w="0" w:type="dxa"/>
        </w:tblCellMar>
        <w:tblLook w:val="01E0" w:firstRow="1" w:lastRow="1" w:firstColumn="1" w:lastColumn="1" w:noHBand="0" w:noVBand="0"/>
      </w:tblPr>
      <w:tblGrid>
        <w:gridCol w:w="889"/>
        <w:gridCol w:w="1150"/>
        <w:gridCol w:w="1219"/>
        <w:gridCol w:w="1647"/>
        <w:gridCol w:w="1647"/>
        <w:gridCol w:w="1650"/>
      </w:tblGrid>
      <w:tr w:rsidR="00D77A87" w:rsidRPr="002D3907" w14:paraId="6B8C575C" w14:textId="77777777" w:rsidTr="00102E5D">
        <w:trPr>
          <w:trHeight w:val="640"/>
        </w:trPr>
        <w:tc>
          <w:tcPr>
            <w:tcW w:w="542" w:type="pct"/>
          </w:tcPr>
          <w:p w14:paraId="4C2C209C" w14:textId="77777777" w:rsidR="00D77A87" w:rsidRPr="002D3907" w:rsidRDefault="00D77A87" w:rsidP="00102E5D">
            <w:pPr>
              <w:pStyle w:val="TableParagraph"/>
              <w:spacing w:before="171"/>
              <w:jc w:val="left"/>
              <w:rPr>
                <w:rFonts w:ascii="Arial" w:hAnsi="Arial" w:cs="Arial"/>
                <w:b/>
                <w:sz w:val="20"/>
              </w:rPr>
            </w:pPr>
          </w:p>
          <w:p w14:paraId="53EBDE68" w14:textId="77777777" w:rsidR="00D77A87" w:rsidRPr="002D3907" w:rsidRDefault="00D77A87" w:rsidP="00102E5D">
            <w:pPr>
              <w:pStyle w:val="TableParagraph"/>
              <w:ind w:left="60"/>
              <w:jc w:val="left"/>
              <w:rPr>
                <w:rFonts w:ascii="Arial" w:hAnsi="Arial" w:cs="Arial"/>
                <w:sz w:val="20"/>
              </w:rPr>
            </w:pPr>
            <w:r w:rsidRPr="002D3907">
              <w:rPr>
                <w:rFonts w:ascii="Arial" w:hAnsi="Arial" w:cs="Arial"/>
                <w:spacing w:val="-2"/>
                <w:sz w:val="20"/>
              </w:rPr>
              <w:t>Pattern</w:t>
            </w:r>
          </w:p>
        </w:tc>
        <w:tc>
          <w:tcPr>
            <w:tcW w:w="701" w:type="pct"/>
          </w:tcPr>
          <w:p w14:paraId="1AC01E8A" w14:textId="77777777" w:rsidR="00D77A87" w:rsidRPr="002D3907" w:rsidRDefault="00D77A87" w:rsidP="00102E5D">
            <w:pPr>
              <w:pStyle w:val="TableParagraph"/>
              <w:spacing w:before="171"/>
              <w:jc w:val="left"/>
              <w:rPr>
                <w:rFonts w:ascii="Arial" w:hAnsi="Arial" w:cs="Arial"/>
                <w:b/>
                <w:sz w:val="20"/>
              </w:rPr>
            </w:pPr>
          </w:p>
          <w:p w14:paraId="5760570B" w14:textId="77777777" w:rsidR="00D77A87" w:rsidRPr="002D3907" w:rsidRDefault="00D77A87" w:rsidP="00102E5D">
            <w:pPr>
              <w:pStyle w:val="TableParagraph"/>
              <w:ind w:left="3" w:right="3"/>
              <w:jc w:val="center"/>
              <w:rPr>
                <w:rFonts w:ascii="Arial" w:hAnsi="Arial" w:cs="Arial"/>
                <w:sz w:val="20"/>
              </w:rPr>
            </w:pPr>
            <w:r w:rsidRPr="002D3907">
              <w:rPr>
                <w:rFonts w:ascii="Arial" w:hAnsi="Arial" w:cs="Arial"/>
                <w:spacing w:val="-10"/>
                <w:sz w:val="20"/>
              </w:rPr>
              <w:t>R</w:t>
            </w:r>
          </w:p>
        </w:tc>
        <w:tc>
          <w:tcPr>
            <w:tcW w:w="743" w:type="pct"/>
          </w:tcPr>
          <w:p w14:paraId="25F822B4" w14:textId="77777777" w:rsidR="00D77A87" w:rsidRPr="002D3907" w:rsidRDefault="00D77A87" w:rsidP="00102E5D">
            <w:pPr>
              <w:pStyle w:val="TableParagraph"/>
              <w:spacing w:before="171"/>
              <w:jc w:val="left"/>
              <w:rPr>
                <w:rFonts w:ascii="Arial" w:hAnsi="Arial" w:cs="Arial"/>
                <w:b/>
                <w:sz w:val="20"/>
              </w:rPr>
            </w:pPr>
          </w:p>
          <w:p w14:paraId="3B5827D6" w14:textId="77777777" w:rsidR="00D77A87" w:rsidRPr="002D3907" w:rsidRDefault="00D77A87" w:rsidP="00102E5D">
            <w:pPr>
              <w:pStyle w:val="TableParagraph"/>
              <w:ind w:left="163"/>
              <w:jc w:val="left"/>
              <w:rPr>
                <w:rFonts w:ascii="Arial" w:hAnsi="Arial" w:cs="Arial"/>
                <w:sz w:val="20"/>
              </w:rPr>
            </w:pPr>
            <w:r w:rsidRPr="002D3907">
              <w:rPr>
                <w:rFonts w:ascii="Arial" w:hAnsi="Arial" w:cs="Arial"/>
                <w:sz w:val="20"/>
              </w:rPr>
              <w:t>R Square</w:t>
            </w:r>
          </w:p>
        </w:tc>
        <w:tc>
          <w:tcPr>
            <w:tcW w:w="1004" w:type="pct"/>
          </w:tcPr>
          <w:p w14:paraId="3FFD0B6B" w14:textId="77777777" w:rsidR="00D77A87" w:rsidRPr="002D3907" w:rsidRDefault="00D77A87" w:rsidP="00102E5D">
            <w:pPr>
              <w:pStyle w:val="TableParagraph"/>
              <w:ind w:left="447" w:right="268" w:hanging="172"/>
              <w:jc w:val="left"/>
              <w:rPr>
                <w:rFonts w:ascii="Arial" w:hAnsi="Arial" w:cs="Arial"/>
                <w:sz w:val="20"/>
              </w:rPr>
            </w:pPr>
            <w:r w:rsidRPr="002D3907">
              <w:rPr>
                <w:rFonts w:ascii="Arial" w:hAnsi="Arial" w:cs="Arial"/>
                <w:sz w:val="20"/>
              </w:rPr>
              <w:t>Customized R Box</w:t>
            </w:r>
          </w:p>
        </w:tc>
        <w:tc>
          <w:tcPr>
            <w:tcW w:w="1004" w:type="pct"/>
          </w:tcPr>
          <w:p w14:paraId="69ABD711" w14:textId="77777777" w:rsidR="00D77A87" w:rsidRPr="002D3907" w:rsidRDefault="00D77A87" w:rsidP="00102E5D">
            <w:pPr>
              <w:pStyle w:val="TableParagraph"/>
              <w:ind w:left="376" w:hanging="301"/>
              <w:jc w:val="left"/>
              <w:rPr>
                <w:rFonts w:ascii="Arial" w:hAnsi="Arial" w:cs="Arial"/>
                <w:sz w:val="20"/>
              </w:rPr>
            </w:pPr>
            <w:r w:rsidRPr="002D3907">
              <w:rPr>
                <w:rFonts w:ascii="Arial" w:hAnsi="Arial" w:cs="Arial"/>
                <w:sz w:val="20"/>
              </w:rPr>
              <w:t>Std. Estimation Error</w:t>
            </w:r>
          </w:p>
        </w:tc>
        <w:tc>
          <w:tcPr>
            <w:tcW w:w="1006" w:type="pct"/>
          </w:tcPr>
          <w:p w14:paraId="0066A728" w14:textId="77777777" w:rsidR="00D77A87" w:rsidRPr="002D3907" w:rsidRDefault="00D77A87" w:rsidP="00102E5D">
            <w:pPr>
              <w:pStyle w:val="TableParagraph"/>
              <w:spacing w:before="171"/>
              <w:jc w:val="left"/>
              <w:rPr>
                <w:rFonts w:ascii="Arial" w:hAnsi="Arial" w:cs="Arial"/>
                <w:b/>
                <w:sz w:val="20"/>
              </w:rPr>
            </w:pPr>
          </w:p>
          <w:p w14:paraId="7D27664B" w14:textId="77777777" w:rsidR="00D77A87" w:rsidRPr="002D3907" w:rsidRDefault="00D77A87" w:rsidP="00102E5D">
            <w:pPr>
              <w:pStyle w:val="TableParagraph"/>
              <w:ind w:left="116"/>
              <w:jc w:val="left"/>
              <w:rPr>
                <w:rFonts w:ascii="Arial" w:hAnsi="Arial" w:cs="Arial"/>
                <w:sz w:val="20"/>
              </w:rPr>
            </w:pPr>
            <w:r w:rsidRPr="002D3907">
              <w:rPr>
                <w:rFonts w:ascii="Arial" w:hAnsi="Arial" w:cs="Arial"/>
                <w:sz w:val="20"/>
              </w:rPr>
              <w:t>Durbin-Watson</w:t>
            </w:r>
          </w:p>
        </w:tc>
      </w:tr>
      <w:tr w:rsidR="00D77A87" w:rsidRPr="002D3907" w14:paraId="4771D06D" w14:textId="77777777" w:rsidTr="00102E5D">
        <w:trPr>
          <w:trHeight w:val="320"/>
        </w:trPr>
        <w:tc>
          <w:tcPr>
            <w:tcW w:w="542" w:type="pct"/>
            <w:shd w:val="clear" w:color="auto" w:fill="DFDFDF"/>
          </w:tcPr>
          <w:p w14:paraId="02006647" w14:textId="77777777" w:rsidR="00D77A87" w:rsidRPr="002D3907" w:rsidRDefault="00D77A87" w:rsidP="00102E5D">
            <w:pPr>
              <w:pStyle w:val="TableParagraph"/>
              <w:spacing w:before="80"/>
              <w:ind w:left="60"/>
              <w:jc w:val="left"/>
              <w:rPr>
                <w:rFonts w:ascii="Arial" w:hAnsi="Arial" w:cs="Arial"/>
                <w:sz w:val="20"/>
              </w:rPr>
            </w:pPr>
            <w:r w:rsidRPr="002D3907">
              <w:rPr>
                <w:rFonts w:ascii="Arial" w:hAnsi="Arial" w:cs="Arial"/>
                <w:spacing w:val="-10"/>
                <w:sz w:val="20"/>
              </w:rPr>
              <w:t>1</w:t>
            </w:r>
          </w:p>
        </w:tc>
        <w:tc>
          <w:tcPr>
            <w:tcW w:w="701" w:type="pct"/>
          </w:tcPr>
          <w:p w14:paraId="64605D06" w14:textId="77777777" w:rsidR="00D77A87" w:rsidRPr="002D3907" w:rsidRDefault="00D77A87" w:rsidP="00102E5D">
            <w:pPr>
              <w:pStyle w:val="TableParagraph"/>
              <w:spacing w:before="80"/>
              <w:ind w:left="551"/>
              <w:jc w:val="left"/>
              <w:rPr>
                <w:rFonts w:ascii="Arial" w:hAnsi="Arial" w:cs="Arial"/>
                <w:sz w:val="20"/>
              </w:rPr>
            </w:pPr>
            <w:r w:rsidRPr="002D3907">
              <w:rPr>
                <w:rFonts w:ascii="Arial" w:hAnsi="Arial" w:cs="Arial"/>
                <w:spacing w:val="-2"/>
                <w:sz w:val="20"/>
              </w:rPr>
              <w:t>.254a</w:t>
            </w:r>
          </w:p>
        </w:tc>
        <w:tc>
          <w:tcPr>
            <w:tcW w:w="743" w:type="pct"/>
          </w:tcPr>
          <w:p w14:paraId="5FDDA7F7" w14:textId="77777777" w:rsidR="00D77A87" w:rsidRPr="002D3907" w:rsidRDefault="00D77A87" w:rsidP="00102E5D">
            <w:pPr>
              <w:pStyle w:val="TableParagraph"/>
              <w:spacing w:before="80"/>
              <w:ind w:left="659"/>
              <w:jc w:val="left"/>
              <w:rPr>
                <w:rFonts w:ascii="Arial" w:hAnsi="Arial" w:cs="Arial"/>
                <w:sz w:val="20"/>
              </w:rPr>
            </w:pPr>
            <w:r w:rsidRPr="002D3907">
              <w:rPr>
                <w:rFonts w:ascii="Arial" w:hAnsi="Arial" w:cs="Arial"/>
                <w:spacing w:val="-4"/>
                <w:sz w:val="20"/>
              </w:rPr>
              <w:t>.065</w:t>
            </w:r>
          </w:p>
        </w:tc>
        <w:tc>
          <w:tcPr>
            <w:tcW w:w="1004" w:type="pct"/>
          </w:tcPr>
          <w:p w14:paraId="55819814" w14:textId="77777777" w:rsidR="00D77A87" w:rsidRPr="002D3907" w:rsidRDefault="00D77A87" w:rsidP="00102E5D">
            <w:pPr>
              <w:pStyle w:val="TableParagraph"/>
              <w:spacing w:before="80"/>
              <w:ind w:right="54"/>
              <w:rPr>
                <w:rFonts w:ascii="Arial" w:hAnsi="Arial" w:cs="Arial"/>
                <w:sz w:val="20"/>
              </w:rPr>
            </w:pPr>
            <w:r w:rsidRPr="002D3907">
              <w:rPr>
                <w:rFonts w:ascii="Arial" w:hAnsi="Arial" w:cs="Arial"/>
                <w:sz w:val="20"/>
              </w:rPr>
              <w:t>-.001</w:t>
            </w:r>
          </w:p>
        </w:tc>
        <w:tc>
          <w:tcPr>
            <w:tcW w:w="1004" w:type="pct"/>
          </w:tcPr>
          <w:p w14:paraId="67B41FF0" w14:textId="77777777" w:rsidR="00D77A87" w:rsidRPr="002D3907" w:rsidRDefault="00D77A87" w:rsidP="00102E5D">
            <w:pPr>
              <w:pStyle w:val="TableParagraph"/>
              <w:spacing w:before="80"/>
              <w:ind w:left="844"/>
              <w:jc w:val="left"/>
              <w:rPr>
                <w:rFonts w:ascii="Arial" w:hAnsi="Arial" w:cs="Arial"/>
                <w:sz w:val="20"/>
              </w:rPr>
            </w:pPr>
            <w:r w:rsidRPr="002D3907">
              <w:rPr>
                <w:rFonts w:ascii="Arial" w:hAnsi="Arial" w:cs="Arial"/>
                <w:spacing w:val="-2"/>
                <w:sz w:val="20"/>
              </w:rPr>
              <w:t>.21152</w:t>
            </w:r>
          </w:p>
        </w:tc>
        <w:tc>
          <w:tcPr>
            <w:tcW w:w="1006" w:type="pct"/>
          </w:tcPr>
          <w:p w14:paraId="043A30E1" w14:textId="77777777" w:rsidR="00D77A87" w:rsidRPr="002D3907" w:rsidRDefault="00D77A87" w:rsidP="00102E5D">
            <w:pPr>
              <w:pStyle w:val="TableParagraph"/>
              <w:spacing w:before="80"/>
              <w:ind w:left="960"/>
              <w:jc w:val="left"/>
              <w:rPr>
                <w:rFonts w:ascii="Arial" w:hAnsi="Arial" w:cs="Arial"/>
                <w:sz w:val="20"/>
              </w:rPr>
            </w:pPr>
            <w:r w:rsidRPr="002D3907">
              <w:rPr>
                <w:rFonts w:ascii="Arial" w:hAnsi="Arial" w:cs="Arial"/>
                <w:spacing w:val="-2"/>
                <w:sz w:val="20"/>
              </w:rPr>
              <w:t>1.749</w:t>
            </w:r>
          </w:p>
        </w:tc>
      </w:tr>
    </w:tbl>
    <w:p w14:paraId="7455B146" w14:textId="77777777" w:rsidR="00D77A87" w:rsidRPr="002D3907" w:rsidRDefault="00D77A87" w:rsidP="00D77A87">
      <w:pPr>
        <w:pStyle w:val="NormalWeb"/>
        <w:ind w:firstLine="720"/>
        <w:jc w:val="both"/>
        <w:rPr>
          <w:rFonts w:ascii="Arial" w:hAnsi="Arial" w:cs="Arial"/>
          <w:sz w:val="20"/>
          <w:szCs w:val="20"/>
        </w:rPr>
      </w:pPr>
      <w:r w:rsidRPr="002D3907">
        <w:rPr>
          <w:rFonts w:ascii="Arial" w:hAnsi="Arial" w:cs="Arial"/>
          <w:sz w:val="20"/>
          <w:szCs w:val="20"/>
        </w:rPr>
        <w:t xml:space="preserve">Based on the results table 5, </w:t>
      </w:r>
      <w:r w:rsidRPr="002D3907">
        <w:rPr>
          <w:rStyle w:val="Strong"/>
          <w:rFonts w:ascii="Arial" w:hAnsi="Arial" w:cs="Arial"/>
          <w:sz w:val="20"/>
          <w:szCs w:val="20"/>
        </w:rPr>
        <w:t>DU value is 1.631</w:t>
      </w:r>
      <w:r w:rsidRPr="002D3907">
        <w:rPr>
          <w:rFonts w:ascii="Arial" w:hAnsi="Arial" w:cs="Arial"/>
          <w:sz w:val="20"/>
          <w:szCs w:val="20"/>
        </w:rPr>
        <w:t xml:space="preserve"> and </w:t>
      </w:r>
      <w:r w:rsidRPr="002D3907">
        <w:rPr>
          <w:rStyle w:val="Strong"/>
          <w:rFonts w:ascii="Arial" w:hAnsi="Arial" w:cs="Arial"/>
          <w:sz w:val="20"/>
          <w:szCs w:val="20"/>
        </w:rPr>
        <w:t>the DL value is 1.4500</w:t>
      </w:r>
      <w:r w:rsidRPr="002D3907">
        <w:rPr>
          <w:rFonts w:ascii="Arial" w:hAnsi="Arial" w:cs="Arial"/>
          <w:sz w:val="20"/>
          <w:szCs w:val="20"/>
        </w:rPr>
        <w:t xml:space="preserve">. Because the Durbin-Watson statistics meet the conditions </w:t>
      </w:r>
      <w:r w:rsidRPr="002D3907">
        <w:rPr>
          <w:rStyle w:val="Strong"/>
          <w:rFonts w:ascii="Arial" w:hAnsi="Arial" w:cs="Arial"/>
          <w:sz w:val="20"/>
          <w:szCs w:val="20"/>
        </w:rPr>
        <w:t xml:space="preserve">FROM &lt; DW &lt; 4 – FROM, </w:t>
      </w:r>
      <w:proofErr w:type="gramStart"/>
      <w:r w:rsidRPr="002D3907">
        <w:rPr>
          <w:rFonts w:ascii="Arial" w:hAnsi="Arial" w:cs="Arial"/>
          <w:sz w:val="20"/>
          <w:szCs w:val="20"/>
        </w:rPr>
        <w:t>It</w:t>
      </w:r>
      <w:proofErr w:type="gramEnd"/>
      <w:r w:rsidRPr="002D3907">
        <w:rPr>
          <w:rFonts w:ascii="Arial" w:hAnsi="Arial" w:cs="Arial"/>
          <w:sz w:val="20"/>
          <w:szCs w:val="20"/>
        </w:rPr>
        <w:t xml:space="preserve"> can be </w:t>
      </w:r>
      <w:r w:rsidRPr="002D3907">
        <w:rPr>
          <w:rFonts w:ascii="Arial" w:hAnsi="Arial" w:cs="Arial"/>
          <w:sz w:val="20"/>
          <w:szCs w:val="20"/>
        </w:rPr>
        <w:lastRenderedPageBreak/>
        <w:t xml:space="preserve">concluded that </w:t>
      </w:r>
      <w:r w:rsidRPr="002D3907">
        <w:rPr>
          <w:rStyle w:val="Strong"/>
          <w:rFonts w:ascii="Arial" w:hAnsi="Arial" w:cs="Arial"/>
          <w:sz w:val="20"/>
          <w:szCs w:val="20"/>
        </w:rPr>
        <w:t xml:space="preserve">No autocorrelation </w:t>
      </w:r>
      <w:r w:rsidRPr="002D3907">
        <w:rPr>
          <w:rFonts w:ascii="Arial" w:hAnsi="Arial" w:cs="Arial"/>
          <w:sz w:val="20"/>
          <w:szCs w:val="20"/>
        </w:rPr>
        <w:t xml:space="preserve">in the regression model. When the initial Durbin-Watson results were inconclusive, additional tests were performed using </w:t>
      </w:r>
      <w:r w:rsidRPr="002D3907">
        <w:rPr>
          <w:rStyle w:val="Strong"/>
          <w:rFonts w:ascii="Arial" w:hAnsi="Arial" w:cs="Arial"/>
          <w:sz w:val="20"/>
          <w:szCs w:val="20"/>
        </w:rPr>
        <w:t>Cochrane-Orcutt method</w:t>
      </w:r>
      <w:r w:rsidRPr="002D3907">
        <w:rPr>
          <w:rFonts w:ascii="Arial" w:hAnsi="Arial" w:cs="Arial"/>
          <w:sz w:val="20"/>
          <w:szCs w:val="20"/>
        </w:rPr>
        <w:t xml:space="preserve">. This approach is effective for correcting autocorrelation problems in regression models </w:t>
      </w:r>
      <w:r>
        <w:rPr>
          <w:rFonts w:ascii="Arial" w:hAnsi="Arial" w:cs="Arial"/>
          <w:sz w:val="20"/>
          <w:szCs w:val="20"/>
        </w:rPr>
        <w:fldChar w:fldCharType="begin" w:fldLock="1"/>
      </w:r>
      <w:r>
        <w:rPr>
          <w:rFonts w:ascii="Arial" w:hAnsi="Arial" w:cs="Arial"/>
          <w:sz w:val="20"/>
          <w:szCs w:val="20"/>
        </w:rPr>
        <w:instrText>ADDIN CSL_CITATION {"citationItems":[{"id":"ITEM-1","itemData":{"DOI":"10.1002/sim.9669","author":[{"dropping-particle":"","family":"Bottomley","given":"C","non-dropping-particle":"","parse-names":false,"suffix":""},{"dropping-particle":"","family":"Ooko","given":"M","non-dropping-particle":"","parse-names":false,"suffix":""},{"dropping-particle":"","family":"Gasparrini","given":"A","non-dropping-particle":"","parse-names":false,"suffix":""}],"id":"ITEM-1","issue":"September 2021","issued":{"date-parts":[["2023"]]},"page":"1277-1288","title":"In praise of Prais-Winsten : An evaluation of methods used to account for autocorrelation in interrupted time series","type":"article-journal"},"uris":["http://www.mendeley.com/documents/?uuid=4d80fdbf-c598-4cf8-82da-989981244552"]}],"mendeley":{"formattedCitation":"(Bottomley et al., 2023)","plainTextFormattedCitation":"(Bottomley et al., 2023)","previouslyFormattedCitation":"(Bottomley et al., 2023)"},"properties":{"noteIndex":0},"schema":"https://github.com/citation-style-language/schema/raw/master/csl-citation.json"}</w:instrText>
      </w:r>
      <w:r>
        <w:rPr>
          <w:rFonts w:ascii="Arial" w:hAnsi="Arial" w:cs="Arial"/>
          <w:sz w:val="20"/>
          <w:szCs w:val="20"/>
        </w:rPr>
        <w:fldChar w:fldCharType="separate"/>
      </w:r>
      <w:r w:rsidRPr="00C51A06">
        <w:rPr>
          <w:rFonts w:ascii="Arial" w:hAnsi="Arial" w:cs="Arial"/>
          <w:noProof/>
          <w:sz w:val="20"/>
          <w:szCs w:val="20"/>
        </w:rPr>
        <w:t>(Bottomley et al., 2023)</w:t>
      </w:r>
      <w:r>
        <w:rPr>
          <w:rFonts w:ascii="Arial" w:hAnsi="Arial" w:cs="Arial"/>
          <w:sz w:val="20"/>
          <w:szCs w:val="20"/>
        </w:rPr>
        <w:fldChar w:fldCharType="end"/>
      </w:r>
      <w:r>
        <w:rPr>
          <w:rFonts w:ascii="Arial" w:hAnsi="Arial" w:cs="Arial"/>
          <w:sz w:val="20"/>
          <w:szCs w:val="20"/>
        </w:rPr>
        <w:t>. After correction, the model meets autocorrelation-free conditions.</w:t>
      </w:r>
    </w:p>
    <w:p w14:paraId="167EB5CE" w14:textId="77777777" w:rsidR="00D77A87" w:rsidRPr="002D3907" w:rsidRDefault="00D77A87" w:rsidP="00D77A87">
      <w:pPr>
        <w:pStyle w:val="Heading3"/>
        <w:rPr>
          <w:rFonts w:ascii="Arial" w:hAnsi="Arial" w:cs="Arial"/>
          <w:color w:val="auto"/>
          <w:sz w:val="20"/>
          <w:szCs w:val="20"/>
        </w:rPr>
      </w:pPr>
      <w:r w:rsidRPr="002D3907">
        <w:rPr>
          <w:rStyle w:val="Strong"/>
          <w:rFonts w:ascii="Arial" w:hAnsi="Arial" w:cs="Arial"/>
          <w:color w:val="auto"/>
          <w:sz w:val="20"/>
          <w:szCs w:val="20"/>
        </w:rPr>
        <w:t>Hypothesis Testing</w:t>
      </w:r>
    </w:p>
    <w:p w14:paraId="16115E8E" w14:textId="77777777" w:rsidR="00D77A87" w:rsidRPr="002D3907" w:rsidRDefault="00D77A87" w:rsidP="00D77A87">
      <w:pPr>
        <w:pStyle w:val="Heading4"/>
        <w:rPr>
          <w:rFonts w:ascii="Arial" w:hAnsi="Arial" w:cs="Arial"/>
          <w:color w:val="auto"/>
        </w:rPr>
      </w:pPr>
      <w:r w:rsidRPr="002D3907">
        <w:rPr>
          <w:rStyle w:val="Strong"/>
          <w:rFonts w:ascii="Arial" w:hAnsi="Arial" w:cs="Arial"/>
          <w:color w:val="auto"/>
        </w:rPr>
        <w:t>Test Determination Coefficient (R²)</w:t>
      </w:r>
    </w:p>
    <w:p w14:paraId="33652256" w14:textId="77777777" w:rsidR="00D77A87" w:rsidRPr="002D3907" w:rsidRDefault="00D77A87" w:rsidP="00D77A87">
      <w:pPr>
        <w:pStyle w:val="NormalWeb"/>
        <w:jc w:val="both"/>
        <w:rPr>
          <w:rFonts w:ascii="Arial" w:hAnsi="Arial" w:cs="Arial"/>
          <w:sz w:val="20"/>
          <w:szCs w:val="20"/>
        </w:rPr>
      </w:pPr>
      <w:proofErr w:type="gramStart"/>
      <w:r w:rsidRPr="002D3907">
        <w:rPr>
          <w:rFonts w:ascii="Arial" w:hAnsi="Arial" w:cs="Arial"/>
          <w:sz w:val="20"/>
          <w:szCs w:val="20"/>
        </w:rPr>
        <w:t xml:space="preserve">The </w:t>
      </w:r>
      <w:r w:rsidRPr="002D3907">
        <w:rPr>
          <w:rStyle w:val="Strong"/>
          <w:rFonts w:ascii="Arial" w:hAnsi="Arial" w:cs="Arial"/>
          <w:sz w:val="20"/>
          <w:szCs w:val="20"/>
        </w:rPr>
        <w:t xml:space="preserve"> determination</w:t>
      </w:r>
      <w:proofErr w:type="gramEnd"/>
      <w:r w:rsidRPr="002D3907">
        <w:rPr>
          <w:rStyle w:val="Strong"/>
          <w:rFonts w:ascii="Arial" w:hAnsi="Arial" w:cs="Arial"/>
          <w:sz w:val="20"/>
          <w:szCs w:val="20"/>
        </w:rPr>
        <w:t xml:space="preserve"> coefficient (R²) </w:t>
      </w:r>
      <w:r w:rsidRPr="002D3907">
        <w:rPr>
          <w:rFonts w:ascii="Arial" w:hAnsi="Arial" w:cs="Arial"/>
          <w:sz w:val="20"/>
          <w:szCs w:val="20"/>
        </w:rPr>
        <w:t xml:space="preserve"> test measures how much variation of dependent variables can be explained by independent variables in the model.</w:t>
      </w:r>
    </w:p>
    <w:p w14:paraId="49E31249" w14:textId="77777777" w:rsidR="00D77A87" w:rsidRPr="00A246DF" w:rsidRDefault="00D77A87" w:rsidP="00D77A87">
      <w:pPr>
        <w:pStyle w:val="NormalWeb"/>
        <w:rPr>
          <w:rFonts w:ascii="Arial" w:hAnsi="Arial" w:cs="Arial"/>
          <w:sz w:val="20"/>
          <w:szCs w:val="20"/>
        </w:rPr>
      </w:pPr>
      <w:r w:rsidRPr="00A246DF">
        <w:rPr>
          <w:rStyle w:val="Strong"/>
          <w:rFonts w:ascii="Arial" w:hAnsi="Arial" w:cs="Arial"/>
          <w:sz w:val="20"/>
          <w:szCs w:val="20"/>
        </w:rPr>
        <w:t xml:space="preserve">Table 6. </w:t>
      </w:r>
      <w:r w:rsidRPr="009E51B8">
        <w:rPr>
          <w:rStyle w:val="Strong"/>
          <w:rFonts w:ascii="Arial" w:hAnsi="Arial" w:cs="Arial"/>
          <w:b w:val="0"/>
          <w:sz w:val="20"/>
          <w:szCs w:val="20"/>
        </w:rPr>
        <w:t>Determination Coefficient Test Results (Model I)</w:t>
      </w:r>
    </w:p>
    <w:tbl>
      <w:tblPr>
        <w:tblStyle w:val="PlainTable2"/>
        <w:tblW w:w="5000" w:type="pct"/>
        <w:tblLook w:val="04A0" w:firstRow="1" w:lastRow="0" w:firstColumn="1" w:lastColumn="0" w:noHBand="0" w:noVBand="1"/>
      </w:tblPr>
      <w:tblGrid>
        <w:gridCol w:w="916"/>
        <w:gridCol w:w="606"/>
        <w:gridCol w:w="1292"/>
        <w:gridCol w:w="2339"/>
        <w:gridCol w:w="3049"/>
      </w:tblGrid>
      <w:tr w:rsidR="00D77A87" w:rsidRPr="002D3907" w14:paraId="5A7A4F69" w14:textId="77777777" w:rsidTr="00102E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pct"/>
            <w:vAlign w:val="center"/>
            <w:hideMark/>
          </w:tcPr>
          <w:p w14:paraId="27415A94" w14:textId="77777777" w:rsidR="00D77A87" w:rsidRPr="002D3907" w:rsidRDefault="00D77A87" w:rsidP="00102E5D">
            <w:pPr>
              <w:jc w:val="center"/>
              <w:rPr>
                <w:rFonts w:ascii="Arial" w:hAnsi="Arial" w:cs="Arial"/>
                <w:b w:val="0"/>
              </w:rPr>
            </w:pPr>
            <w:r w:rsidRPr="002D3907">
              <w:rPr>
                <w:rFonts w:ascii="Arial" w:hAnsi="Arial" w:cs="Arial"/>
                <w:b w:val="0"/>
                <w:bCs w:val="0"/>
              </w:rPr>
              <w:t>Pattern</w:t>
            </w:r>
          </w:p>
        </w:tc>
        <w:tc>
          <w:tcPr>
            <w:tcW w:w="276" w:type="pct"/>
            <w:vAlign w:val="center"/>
            <w:hideMark/>
          </w:tcPr>
          <w:p w14:paraId="113CB45D" w14:textId="77777777" w:rsidR="00D77A87" w:rsidRPr="002D3907" w:rsidRDefault="00D77A87" w:rsidP="00102E5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2D3907">
              <w:rPr>
                <w:rFonts w:ascii="Arial" w:hAnsi="Arial" w:cs="Arial"/>
                <w:b w:val="0"/>
                <w:bCs w:val="0"/>
              </w:rPr>
              <w:t>R</w:t>
            </w:r>
          </w:p>
        </w:tc>
        <w:tc>
          <w:tcPr>
            <w:tcW w:w="811" w:type="pct"/>
            <w:vAlign w:val="center"/>
            <w:hideMark/>
          </w:tcPr>
          <w:p w14:paraId="60E00A08" w14:textId="77777777" w:rsidR="00D77A87" w:rsidRPr="002D3907" w:rsidRDefault="00D77A87" w:rsidP="00102E5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2D3907">
              <w:rPr>
                <w:rFonts w:ascii="Arial" w:hAnsi="Arial" w:cs="Arial"/>
                <w:b w:val="0"/>
                <w:bCs w:val="0"/>
              </w:rPr>
              <w:t>R Square</w:t>
            </w:r>
          </w:p>
        </w:tc>
        <w:tc>
          <w:tcPr>
            <w:tcW w:w="1449" w:type="pct"/>
            <w:vAlign w:val="center"/>
            <w:hideMark/>
          </w:tcPr>
          <w:p w14:paraId="0DEDC23B" w14:textId="77777777" w:rsidR="00D77A87" w:rsidRPr="002D3907" w:rsidRDefault="00D77A87" w:rsidP="00102E5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2D3907">
              <w:rPr>
                <w:rFonts w:ascii="Arial" w:hAnsi="Arial" w:cs="Arial"/>
                <w:b w:val="0"/>
                <w:bCs w:val="0"/>
              </w:rPr>
              <w:t>Customized R Box</w:t>
            </w:r>
          </w:p>
        </w:tc>
        <w:tc>
          <w:tcPr>
            <w:tcW w:w="1882" w:type="pct"/>
            <w:vAlign w:val="center"/>
            <w:hideMark/>
          </w:tcPr>
          <w:p w14:paraId="7541056E" w14:textId="77777777" w:rsidR="00D77A87" w:rsidRPr="002D3907" w:rsidRDefault="00D77A87" w:rsidP="00102E5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2D3907">
              <w:rPr>
                <w:rFonts w:ascii="Arial" w:hAnsi="Arial" w:cs="Arial"/>
                <w:b w:val="0"/>
                <w:bCs w:val="0"/>
              </w:rPr>
              <w:t>Std. Estimation Error</w:t>
            </w:r>
          </w:p>
        </w:tc>
      </w:tr>
      <w:tr w:rsidR="00D77A87" w:rsidRPr="002D3907" w14:paraId="1263E2C8" w14:textId="77777777" w:rsidTr="00102E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pct"/>
            <w:vAlign w:val="center"/>
            <w:hideMark/>
          </w:tcPr>
          <w:p w14:paraId="21455221" w14:textId="77777777" w:rsidR="00D77A87" w:rsidRPr="002D3907" w:rsidRDefault="00D77A87" w:rsidP="00102E5D">
            <w:pPr>
              <w:jc w:val="center"/>
              <w:rPr>
                <w:rFonts w:ascii="Arial" w:hAnsi="Arial" w:cs="Arial"/>
                <w:b w:val="0"/>
                <w:bCs w:val="0"/>
              </w:rPr>
            </w:pPr>
            <w:r w:rsidRPr="002D3907">
              <w:rPr>
                <w:rFonts w:ascii="Arial" w:hAnsi="Arial" w:cs="Arial"/>
                <w:b w:val="0"/>
              </w:rPr>
              <w:t>1</w:t>
            </w:r>
          </w:p>
        </w:tc>
        <w:tc>
          <w:tcPr>
            <w:tcW w:w="276" w:type="pct"/>
            <w:vAlign w:val="center"/>
            <w:hideMark/>
          </w:tcPr>
          <w:p w14:paraId="7B6C6D70" w14:textId="77777777" w:rsidR="00D77A87" w:rsidRPr="002D3907" w:rsidRDefault="00D77A87" w:rsidP="00102E5D">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id-ID"/>
              </w:rPr>
            </w:pPr>
            <w:r w:rsidRPr="002D3907">
              <w:rPr>
                <w:rFonts w:ascii="Arial" w:hAnsi="Arial" w:cs="Arial"/>
              </w:rPr>
              <w:t>.524</w:t>
            </w:r>
          </w:p>
        </w:tc>
        <w:tc>
          <w:tcPr>
            <w:tcW w:w="811" w:type="pct"/>
            <w:vAlign w:val="center"/>
            <w:hideMark/>
          </w:tcPr>
          <w:p w14:paraId="09AF5D66" w14:textId="77777777" w:rsidR="00D77A87" w:rsidRPr="002D3907" w:rsidRDefault="00D77A87" w:rsidP="00102E5D">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id-ID"/>
              </w:rPr>
            </w:pPr>
            <w:r w:rsidRPr="002D3907">
              <w:rPr>
                <w:rFonts w:ascii="Arial" w:hAnsi="Arial" w:cs="Arial"/>
              </w:rPr>
              <w:t>.275</w:t>
            </w:r>
          </w:p>
        </w:tc>
        <w:tc>
          <w:tcPr>
            <w:tcW w:w="1449" w:type="pct"/>
            <w:vAlign w:val="center"/>
            <w:hideMark/>
          </w:tcPr>
          <w:p w14:paraId="279EC156" w14:textId="77777777" w:rsidR="00D77A87" w:rsidRPr="002D3907" w:rsidRDefault="00D77A87" w:rsidP="00102E5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D3907">
              <w:rPr>
                <w:rFonts w:ascii="Arial" w:hAnsi="Arial" w:cs="Arial"/>
              </w:rPr>
              <w:t>.242</w:t>
            </w:r>
          </w:p>
        </w:tc>
        <w:tc>
          <w:tcPr>
            <w:tcW w:w="1882" w:type="pct"/>
            <w:vAlign w:val="center"/>
            <w:hideMark/>
          </w:tcPr>
          <w:p w14:paraId="106BCB53" w14:textId="77777777" w:rsidR="00D77A87" w:rsidRPr="002D3907" w:rsidRDefault="00D77A87" w:rsidP="00102E5D">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id-ID"/>
              </w:rPr>
            </w:pPr>
            <w:r w:rsidRPr="002D3907">
              <w:rPr>
                <w:rFonts w:ascii="Arial" w:hAnsi="Arial" w:cs="Arial"/>
              </w:rPr>
              <w:t>.04884</w:t>
            </w:r>
          </w:p>
        </w:tc>
      </w:tr>
    </w:tbl>
    <w:p w14:paraId="1CFFCBE7" w14:textId="77777777" w:rsidR="00D77A87" w:rsidRPr="002D3907" w:rsidRDefault="00D77A87" w:rsidP="00D77A87">
      <w:pPr>
        <w:pStyle w:val="NormalWeb"/>
        <w:ind w:firstLine="720"/>
        <w:jc w:val="both"/>
        <w:rPr>
          <w:rFonts w:ascii="Arial" w:hAnsi="Arial" w:cs="Arial"/>
          <w:sz w:val="20"/>
          <w:szCs w:val="20"/>
        </w:rPr>
      </w:pPr>
      <w:r w:rsidRPr="002D3907">
        <w:rPr>
          <w:rFonts w:ascii="Arial" w:hAnsi="Arial" w:cs="Arial"/>
          <w:sz w:val="20"/>
          <w:szCs w:val="20"/>
        </w:rPr>
        <w:t>Based on Table 6, the Adjusted R Square value is 0.242, which means that about 24.2% of the influence of the dependent variables can be explained by the independent variables in the regression model.</w:t>
      </w:r>
    </w:p>
    <w:p w14:paraId="1C3E2E11" w14:textId="77777777" w:rsidR="00D77A87" w:rsidRPr="00A246DF" w:rsidRDefault="009E51B8" w:rsidP="00D77A87">
      <w:pPr>
        <w:pStyle w:val="NormalWeb"/>
        <w:rPr>
          <w:rFonts w:ascii="Arial" w:hAnsi="Arial" w:cs="Arial"/>
          <w:sz w:val="20"/>
          <w:szCs w:val="20"/>
        </w:rPr>
      </w:pPr>
      <w:r>
        <w:rPr>
          <w:rStyle w:val="Strong"/>
          <w:rFonts w:ascii="Arial" w:hAnsi="Arial" w:cs="Arial"/>
          <w:sz w:val="20"/>
          <w:szCs w:val="20"/>
        </w:rPr>
        <w:t xml:space="preserve">Table 7. </w:t>
      </w:r>
      <w:r w:rsidR="00D77A87" w:rsidRPr="009E51B8">
        <w:rPr>
          <w:rStyle w:val="Strong"/>
          <w:rFonts w:ascii="Arial" w:hAnsi="Arial" w:cs="Arial"/>
          <w:b w:val="0"/>
          <w:sz w:val="20"/>
          <w:szCs w:val="20"/>
        </w:rPr>
        <w:t>Determination Coefficient Test Results (Model II)</w:t>
      </w:r>
    </w:p>
    <w:tbl>
      <w:tblPr>
        <w:tblStyle w:val="PlainTable2"/>
        <w:tblW w:w="5000" w:type="pct"/>
        <w:tblLook w:val="04A0" w:firstRow="1" w:lastRow="0" w:firstColumn="1" w:lastColumn="0" w:noHBand="0" w:noVBand="1"/>
      </w:tblPr>
      <w:tblGrid>
        <w:gridCol w:w="861"/>
        <w:gridCol w:w="606"/>
        <w:gridCol w:w="1150"/>
        <w:gridCol w:w="2378"/>
        <w:gridCol w:w="3207"/>
      </w:tblGrid>
      <w:tr w:rsidR="00D77A87" w:rsidRPr="002D3907" w14:paraId="3FC6EF46" w14:textId="77777777" w:rsidTr="00102E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 w:type="pct"/>
            <w:vAlign w:val="center"/>
            <w:hideMark/>
          </w:tcPr>
          <w:p w14:paraId="187A1127" w14:textId="77777777" w:rsidR="00D77A87" w:rsidRPr="002D3907" w:rsidRDefault="00D77A87" w:rsidP="00102E5D">
            <w:pPr>
              <w:jc w:val="center"/>
              <w:rPr>
                <w:rFonts w:ascii="Arial" w:hAnsi="Arial" w:cs="Arial"/>
                <w:b w:val="0"/>
              </w:rPr>
            </w:pPr>
            <w:r w:rsidRPr="002D3907">
              <w:rPr>
                <w:rFonts w:ascii="Arial" w:hAnsi="Arial" w:cs="Arial"/>
                <w:b w:val="0"/>
                <w:bCs w:val="0"/>
              </w:rPr>
              <w:t>Pattern</w:t>
            </w:r>
          </w:p>
        </w:tc>
        <w:tc>
          <w:tcPr>
            <w:tcW w:w="369" w:type="pct"/>
            <w:vAlign w:val="center"/>
            <w:hideMark/>
          </w:tcPr>
          <w:p w14:paraId="1DF0C9E1" w14:textId="77777777" w:rsidR="00D77A87" w:rsidRPr="002D3907" w:rsidRDefault="00D77A87" w:rsidP="00102E5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2D3907">
              <w:rPr>
                <w:rFonts w:ascii="Arial" w:hAnsi="Arial" w:cs="Arial"/>
                <w:b w:val="0"/>
                <w:bCs w:val="0"/>
              </w:rPr>
              <w:t>R</w:t>
            </w:r>
          </w:p>
        </w:tc>
        <w:tc>
          <w:tcPr>
            <w:tcW w:w="722" w:type="pct"/>
            <w:vAlign w:val="center"/>
            <w:hideMark/>
          </w:tcPr>
          <w:p w14:paraId="397D85DE" w14:textId="77777777" w:rsidR="00D77A87" w:rsidRPr="002D3907" w:rsidRDefault="00D77A87" w:rsidP="00102E5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2D3907">
              <w:rPr>
                <w:rFonts w:ascii="Arial" w:hAnsi="Arial" w:cs="Arial"/>
                <w:b w:val="0"/>
                <w:bCs w:val="0"/>
              </w:rPr>
              <w:t>R Square</w:t>
            </w:r>
          </w:p>
        </w:tc>
        <w:tc>
          <w:tcPr>
            <w:tcW w:w="1470" w:type="pct"/>
            <w:vAlign w:val="center"/>
            <w:hideMark/>
          </w:tcPr>
          <w:p w14:paraId="1F857A48" w14:textId="77777777" w:rsidR="00D77A87" w:rsidRPr="002D3907" w:rsidRDefault="00D77A87" w:rsidP="00102E5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2D3907">
              <w:rPr>
                <w:rFonts w:ascii="Arial" w:hAnsi="Arial" w:cs="Arial"/>
                <w:b w:val="0"/>
                <w:bCs w:val="0"/>
              </w:rPr>
              <w:t>Customized R Box</w:t>
            </w:r>
          </w:p>
        </w:tc>
        <w:tc>
          <w:tcPr>
            <w:tcW w:w="1975" w:type="pct"/>
            <w:vAlign w:val="center"/>
            <w:hideMark/>
          </w:tcPr>
          <w:p w14:paraId="5EB0CD75" w14:textId="77777777" w:rsidR="00D77A87" w:rsidRPr="002D3907" w:rsidRDefault="00D77A87" w:rsidP="00102E5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2D3907">
              <w:rPr>
                <w:rFonts w:ascii="Arial" w:hAnsi="Arial" w:cs="Arial"/>
                <w:b w:val="0"/>
                <w:bCs w:val="0"/>
              </w:rPr>
              <w:t>Std. Estimation Error</w:t>
            </w:r>
          </w:p>
        </w:tc>
      </w:tr>
      <w:tr w:rsidR="00D77A87" w:rsidRPr="002D3907" w14:paraId="70BD9CEC" w14:textId="77777777" w:rsidTr="00102E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 w:type="pct"/>
            <w:vAlign w:val="center"/>
            <w:hideMark/>
          </w:tcPr>
          <w:p w14:paraId="4DD62E3D" w14:textId="77777777" w:rsidR="00D77A87" w:rsidRPr="002D3907" w:rsidRDefault="00D77A87" w:rsidP="00102E5D">
            <w:pPr>
              <w:jc w:val="center"/>
              <w:rPr>
                <w:rFonts w:ascii="Arial" w:hAnsi="Arial" w:cs="Arial"/>
                <w:b w:val="0"/>
                <w:bCs w:val="0"/>
              </w:rPr>
            </w:pPr>
            <w:r w:rsidRPr="002D3907">
              <w:rPr>
                <w:rFonts w:ascii="Arial" w:hAnsi="Arial" w:cs="Arial"/>
                <w:b w:val="0"/>
              </w:rPr>
              <w:t>2</w:t>
            </w:r>
          </w:p>
        </w:tc>
        <w:tc>
          <w:tcPr>
            <w:tcW w:w="369" w:type="pct"/>
            <w:vAlign w:val="center"/>
            <w:hideMark/>
          </w:tcPr>
          <w:p w14:paraId="2CB8C3E3" w14:textId="77777777" w:rsidR="00D77A87" w:rsidRPr="002D3907" w:rsidRDefault="00D77A87" w:rsidP="00102E5D">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id-ID"/>
              </w:rPr>
            </w:pPr>
            <w:r w:rsidRPr="002D3907">
              <w:rPr>
                <w:rFonts w:ascii="Arial" w:hAnsi="Arial" w:cs="Arial"/>
              </w:rPr>
              <w:t>.640</w:t>
            </w:r>
          </w:p>
        </w:tc>
        <w:tc>
          <w:tcPr>
            <w:tcW w:w="722" w:type="pct"/>
            <w:vAlign w:val="center"/>
            <w:hideMark/>
          </w:tcPr>
          <w:p w14:paraId="473F9A41" w14:textId="77777777" w:rsidR="00D77A87" w:rsidRPr="002D3907" w:rsidRDefault="00D77A87" w:rsidP="00102E5D">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id-ID"/>
              </w:rPr>
            </w:pPr>
            <w:r w:rsidRPr="002D3907">
              <w:rPr>
                <w:rFonts w:ascii="Arial" w:hAnsi="Arial" w:cs="Arial"/>
              </w:rPr>
              <w:t>.409</w:t>
            </w:r>
          </w:p>
        </w:tc>
        <w:tc>
          <w:tcPr>
            <w:tcW w:w="1470" w:type="pct"/>
            <w:vAlign w:val="center"/>
            <w:hideMark/>
          </w:tcPr>
          <w:p w14:paraId="6E0D91B1" w14:textId="77777777" w:rsidR="00D77A87" w:rsidRPr="002D3907" w:rsidRDefault="00D77A87" w:rsidP="00102E5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D3907">
              <w:rPr>
                <w:rFonts w:ascii="Arial" w:hAnsi="Arial" w:cs="Arial"/>
              </w:rPr>
              <w:t>.339</w:t>
            </w:r>
          </w:p>
        </w:tc>
        <w:tc>
          <w:tcPr>
            <w:tcW w:w="1975" w:type="pct"/>
            <w:vAlign w:val="center"/>
            <w:hideMark/>
          </w:tcPr>
          <w:p w14:paraId="199B2A97" w14:textId="77777777" w:rsidR="00D77A87" w:rsidRPr="002D3907" w:rsidRDefault="00D77A87" w:rsidP="00102E5D">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id-ID"/>
              </w:rPr>
            </w:pPr>
            <w:r w:rsidRPr="002D3907">
              <w:rPr>
                <w:rFonts w:ascii="Arial" w:hAnsi="Arial" w:cs="Arial"/>
              </w:rPr>
              <w:t>.04563</w:t>
            </w:r>
          </w:p>
        </w:tc>
      </w:tr>
    </w:tbl>
    <w:p w14:paraId="353A012C" w14:textId="77777777" w:rsidR="00D77A87" w:rsidRPr="002D3907" w:rsidRDefault="00D77A87" w:rsidP="00D77A87">
      <w:pPr>
        <w:pStyle w:val="Heading4"/>
        <w:ind w:firstLine="720"/>
        <w:jc w:val="both"/>
        <w:rPr>
          <w:rFonts w:ascii="Arial" w:eastAsia="Times New Roman" w:hAnsi="Arial" w:cs="Arial"/>
          <w:i w:val="0"/>
          <w:iCs w:val="0"/>
          <w:color w:val="auto"/>
        </w:rPr>
      </w:pPr>
      <w:r w:rsidRPr="002D3907">
        <w:rPr>
          <w:rFonts w:ascii="Arial" w:eastAsia="Times New Roman" w:hAnsi="Arial" w:cs="Arial"/>
          <w:i w:val="0"/>
          <w:iCs w:val="0"/>
          <w:color w:val="auto"/>
        </w:rPr>
        <w:t>Based on the results in table 7, the Adjusted R Square value is 0.339, resulting in an increase of about 33.9% from the regression I model, which means that the moderating variable (dividend policy) is able to contribute significantly to the dependent variable</w:t>
      </w:r>
    </w:p>
    <w:p w14:paraId="0D4BBD25" w14:textId="77777777" w:rsidR="00D77A87" w:rsidRPr="002D3907" w:rsidRDefault="00D77A87" w:rsidP="00D77A87">
      <w:pPr>
        <w:pStyle w:val="Heading4"/>
        <w:rPr>
          <w:rFonts w:ascii="Arial" w:eastAsia="Times New Roman" w:hAnsi="Arial" w:cs="Arial"/>
          <w:i w:val="0"/>
          <w:iCs w:val="0"/>
          <w:color w:val="auto"/>
        </w:rPr>
      </w:pPr>
    </w:p>
    <w:p w14:paraId="2DA3E4D9" w14:textId="77777777" w:rsidR="00D77A87" w:rsidRPr="002D3907" w:rsidRDefault="00D77A87" w:rsidP="00D77A87">
      <w:pPr>
        <w:pStyle w:val="Heading4"/>
        <w:rPr>
          <w:rStyle w:val="Strong"/>
          <w:rFonts w:ascii="Arial" w:hAnsi="Arial" w:cs="Arial"/>
          <w:bCs w:val="0"/>
          <w:i w:val="0"/>
          <w:color w:val="auto"/>
          <w:lang w:val="id-ID"/>
        </w:rPr>
      </w:pPr>
      <w:r w:rsidRPr="002D3907">
        <w:rPr>
          <w:rStyle w:val="Strong"/>
          <w:rFonts w:ascii="Arial" w:hAnsi="Arial" w:cs="Arial"/>
          <w:i w:val="0"/>
          <w:color w:val="auto"/>
        </w:rPr>
        <w:t>T-Test (Partial Significance Test) – Model I</w:t>
      </w:r>
    </w:p>
    <w:p w14:paraId="038F1959" w14:textId="77777777" w:rsidR="00D77A87" w:rsidRPr="002D3907" w:rsidRDefault="00D77A87" w:rsidP="00D77A87">
      <w:pPr>
        <w:pStyle w:val="Heading4"/>
        <w:ind w:firstLine="720"/>
        <w:jc w:val="both"/>
        <w:rPr>
          <w:rFonts w:ascii="Arial" w:hAnsi="Arial" w:cs="Arial"/>
          <w:i w:val="0"/>
          <w:color w:val="auto"/>
        </w:rPr>
      </w:pPr>
      <w:r w:rsidRPr="002D3907">
        <w:rPr>
          <w:rFonts w:ascii="Arial" w:hAnsi="Arial" w:cs="Arial"/>
          <w:i w:val="0"/>
          <w:color w:val="auto"/>
        </w:rPr>
        <w:t>The t-test is used to determine the partial influence of each independent variable on the dependent variable, either directly or through the moderation variable. In this Model II, the Dividend Policy moderation variable is added to see if it strengthens or weakens the relationship between Profitability and Stock Return to Stock Price Valuation.</w:t>
      </w:r>
    </w:p>
    <w:p w14:paraId="23CC2DDF" w14:textId="77777777" w:rsidR="00D77A87" w:rsidRPr="00A246DF" w:rsidRDefault="00D77A87" w:rsidP="00D77A87">
      <w:pPr>
        <w:pStyle w:val="NormalWeb"/>
        <w:rPr>
          <w:rFonts w:ascii="Arial" w:hAnsi="Arial" w:cs="Arial"/>
          <w:sz w:val="20"/>
          <w:szCs w:val="20"/>
        </w:rPr>
      </w:pPr>
      <w:r w:rsidRPr="00A246DF">
        <w:rPr>
          <w:rStyle w:val="Strong"/>
          <w:rFonts w:ascii="Arial" w:hAnsi="Arial" w:cs="Arial"/>
          <w:sz w:val="20"/>
          <w:szCs w:val="20"/>
        </w:rPr>
        <w:t xml:space="preserve">Table 8. </w:t>
      </w:r>
      <w:r w:rsidRPr="009E51B8">
        <w:rPr>
          <w:rStyle w:val="Strong"/>
          <w:rFonts w:ascii="Arial" w:hAnsi="Arial" w:cs="Arial"/>
          <w:b w:val="0"/>
          <w:sz w:val="20"/>
          <w:szCs w:val="20"/>
        </w:rPr>
        <w:t>T-test results (Model I)</w:t>
      </w:r>
    </w:p>
    <w:tbl>
      <w:tblPr>
        <w:tblStyle w:val="PlainTable2"/>
        <w:tblW w:w="5000" w:type="pct"/>
        <w:tblLook w:val="04A0" w:firstRow="1" w:lastRow="0" w:firstColumn="1" w:lastColumn="0" w:noHBand="0" w:noVBand="1"/>
      </w:tblPr>
      <w:tblGrid>
        <w:gridCol w:w="1195"/>
        <w:gridCol w:w="2399"/>
        <w:gridCol w:w="717"/>
        <w:gridCol w:w="2346"/>
        <w:gridCol w:w="828"/>
        <w:gridCol w:w="717"/>
      </w:tblGrid>
      <w:tr w:rsidR="00D77A87" w:rsidRPr="002D3907" w14:paraId="524109AB" w14:textId="77777777" w:rsidTr="00102E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 w:type="pct"/>
            <w:hideMark/>
          </w:tcPr>
          <w:p w14:paraId="6B0882E0" w14:textId="77777777" w:rsidR="00D77A87" w:rsidRPr="002D3907" w:rsidRDefault="00D77A87" w:rsidP="00102E5D">
            <w:pPr>
              <w:jc w:val="center"/>
              <w:rPr>
                <w:rFonts w:ascii="Arial" w:hAnsi="Arial" w:cs="Arial"/>
                <w:b w:val="0"/>
              </w:rPr>
            </w:pPr>
            <w:r w:rsidRPr="002D3907">
              <w:rPr>
                <w:rFonts w:ascii="Arial" w:hAnsi="Arial" w:cs="Arial"/>
                <w:b w:val="0"/>
                <w:bCs w:val="0"/>
              </w:rPr>
              <w:t>Pattern</w:t>
            </w:r>
          </w:p>
        </w:tc>
        <w:tc>
          <w:tcPr>
            <w:tcW w:w="1499" w:type="pct"/>
            <w:hideMark/>
          </w:tcPr>
          <w:p w14:paraId="4091B46D" w14:textId="77777777" w:rsidR="00D77A87" w:rsidRPr="002D3907" w:rsidRDefault="00D77A87" w:rsidP="00102E5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2D3907">
              <w:rPr>
                <w:rFonts w:ascii="Arial" w:hAnsi="Arial" w:cs="Arial"/>
                <w:b w:val="0"/>
                <w:bCs w:val="0"/>
              </w:rPr>
              <w:t>Non-Standard Coefficient (B)</w:t>
            </w:r>
          </w:p>
        </w:tc>
        <w:tc>
          <w:tcPr>
            <w:tcW w:w="480" w:type="pct"/>
            <w:hideMark/>
          </w:tcPr>
          <w:p w14:paraId="30C3868D" w14:textId="77777777" w:rsidR="00D77A87" w:rsidRPr="002D3907" w:rsidRDefault="00D77A87" w:rsidP="00102E5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2D3907">
              <w:rPr>
                <w:rFonts w:ascii="Arial" w:hAnsi="Arial" w:cs="Arial"/>
                <w:b w:val="0"/>
                <w:bCs w:val="0"/>
              </w:rPr>
              <w:t>Std. Error</w:t>
            </w:r>
          </w:p>
        </w:tc>
        <w:tc>
          <w:tcPr>
            <w:tcW w:w="1486" w:type="pct"/>
            <w:hideMark/>
          </w:tcPr>
          <w:p w14:paraId="580D979A" w14:textId="77777777" w:rsidR="00D77A87" w:rsidRPr="002D3907" w:rsidRDefault="00D77A87" w:rsidP="00102E5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2D3907">
              <w:rPr>
                <w:rFonts w:ascii="Arial" w:hAnsi="Arial" w:cs="Arial"/>
                <w:b w:val="0"/>
                <w:bCs w:val="0"/>
              </w:rPr>
              <w:t>Standard Coefficient (Beta)</w:t>
            </w:r>
          </w:p>
        </w:tc>
        <w:tc>
          <w:tcPr>
            <w:tcW w:w="391" w:type="pct"/>
            <w:hideMark/>
          </w:tcPr>
          <w:p w14:paraId="1C7DDA9F" w14:textId="77777777" w:rsidR="00D77A87" w:rsidRPr="002D3907" w:rsidRDefault="00D77A87" w:rsidP="00102E5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2D3907">
              <w:rPr>
                <w:rFonts w:ascii="Arial" w:hAnsi="Arial" w:cs="Arial"/>
                <w:b w:val="0"/>
                <w:bCs w:val="0"/>
              </w:rPr>
              <w:t>t</w:t>
            </w:r>
          </w:p>
        </w:tc>
        <w:tc>
          <w:tcPr>
            <w:tcW w:w="323" w:type="pct"/>
            <w:hideMark/>
          </w:tcPr>
          <w:p w14:paraId="2338B9EA" w14:textId="77777777" w:rsidR="00D77A87" w:rsidRPr="002D3907" w:rsidRDefault="00D77A87" w:rsidP="00102E5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2D3907">
              <w:rPr>
                <w:rFonts w:ascii="Arial" w:hAnsi="Arial" w:cs="Arial"/>
                <w:b w:val="0"/>
                <w:bCs w:val="0"/>
              </w:rPr>
              <w:t>Sig.</w:t>
            </w:r>
          </w:p>
        </w:tc>
      </w:tr>
      <w:tr w:rsidR="00D77A87" w:rsidRPr="002D3907" w14:paraId="03C239DD" w14:textId="77777777" w:rsidTr="00102E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 w:type="pct"/>
            <w:hideMark/>
          </w:tcPr>
          <w:p w14:paraId="241CBFC9" w14:textId="77777777" w:rsidR="00D77A87" w:rsidRPr="002D3907" w:rsidRDefault="00D77A87" w:rsidP="00102E5D">
            <w:pPr>
              <w:rPr>
                <w:rFonts w:ascii="Arial" w:hAnsi="Arial" w:cs="Arial"/>
                <w:b w:val="0"/>
                <w:bCs w:val="0"/>
              </w:rPr>
            </w:pPr>
            <w:r w:rsidRPr="002D3907">
              <w:rPr>
                <w:rFonts w:ascii="Arial" w:hAnsi="Arial" w:cs="Arial"/>
                <w:b w:val="0"/>
              </w:rPr>
              <w:t>(Constant)</w:t>
            </w:r>
          </w:p>
        </w:tc>
        <w:tc>
          <w:tcPr>
            <w:tcW w:w="1499" w:type="pct"/>
            <w:hideMark/>
          </w:tcPr>
          <w:p w14:paraId="7DF6539D" w14:textId="77777777" w:rsidR="00D77A87" w:rsidRPr="002D3907" w:rsidRDefault="00D77A87" w:rsidP="00102E5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D3907">
              <w:rPr>
                <w:rFonts w:ascii="Arial" w:hAnsi="Arial" w:cs="Arial"/>
              </w:rPr>
              <w:t>0.705</w:t>
            </w:r>
          </w:p>
        </w:tc>
        <w:tc>
          <w:tcPr>
            <w:tcW w:w="480" w:type="pct"/>
            <w:hideMark/>
          </w:tcPr>
          <w:p w14:paraId="6DF2A6D1" w14:textId="77777777" w:rsidR="00D77A87" w:rsidRPr="002D3907" w:rsidRDefault="00D77A87" w:rsidP="00102E5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D3907">
              <w:rPr>
                <w:rFonts w:ascii="Arial" w:hAnsi="Arial" w:cs="Arial"/>
              </w:rPr>
              <w:t>0.018</w:t>
            </w:r>
          </w:p>
        </w:tc>
        <w:tc>
          <w:tcPr>
            <w:tcW w:w="1486" w:type="pct"/>
            <w:hideMark/>
          </w:tcPr>
          <w:p w14:paraId="10F698A3" w14:textId="77777777" w:rsidR="00D77A87" w:rsidRPr="002D3907" w:rsidRDefault="00D77A87" w:rsidP="00102E5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D3907">
              <w:rPr>
                <w:rFonts w:ascii="Arial" w:hAnsi="Arial" w:cs="Arial"/>
              </w:rPr>
              <w:t>–</w:t>
            </w:r>
          </w:p>
        </w:tc>
        <w:tc>
          <w:tcPr>
            <w:tcW w:w="391" w:type="pct"/>
            <w:hideMark/>
          </w:tcPr>
          <w:p w14:paraId="5F4A70AB" w14:textId="77777777" w:rsidR="00D77A87" w:rsidRPr="002D3907" w:rsidRDefault="00D77A87" w:rsidP="00102E5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D3907">
              <w:rPr>
                <w:rFonts w:ascii="Arial" w:hAnsi="Arial" w:cs="Arial"/>
              </w:rPr>
              <w:t>40.273</w:t>
            </w:r>
          </w:p>
        </w:tc>
        <w:tc>
          <w:tcPr>
            <w:tcW w:w="323" w:type="pct"/>
            <w:hideMark/>
          </w:tcPr>
          <w:p w14:paraId="45D12697" w14:textId="77777777" w:rsidR="00D77A87" w:rsidRPr="002D3907" w:rsidRDefault="00D77A87" w:rsidP="00102E5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D3907">
              <w:rPr>
                <w:rFonts w:ascii="Arial" w:hAnsi="Arial" w:cs="Arial"/>
              </w:rPr>
              <w:t>0.000</w:t>
            </w:r>
          </w:p>
        </w:tc>
      </w:tr>
      <w:tr w:rsidR="00D77A87" w:rsidRPr="002D3907" w14:paraId="6A2F533B" w14:textId="77777777" w:rsidTr="00102E5D">
        <w:tc>
          <w:tcPr>
            <w:cnfStyle w:val="001000000000" w:firstRow="0" w:lastRow="0" w:firstColumn="1" w:lastColumn="0" w:oddVBand="0" w:evenVBand="0" w:oddHBand="0" w:evenHBand="0" w:firstRowFirstColumn="0" w:firstRowLastColumn="0" w:lastRowFirstColumn="0" w:lastRowLastColumn="0"/>
            <w:tcW w:w="693" w:type="pct"/>
            <w:hideMark/>
          </w:tcPr>
          <w:p w14:paraId="4D327FF1" w14:textId="77777777" w:rsidR="00D77A87" w:rsidRPr="002D3907" w:rsidRDefault="00D77A87" w:rsidP="00102E5D">
            <w:pPr>
              <w:rPr>
                <w:rFonts w:ascii="Arial" w:hAnsi="Arial" w:cs="Arial"/>
                <w:b w:val="0"/>
              </w:rPr>
            </w:pPr>
            <w:r w:rsidRPr="002D3907">
              <w:rPr>
                <w:rFonts w:ascii="Arial" w:hAnsi="Arial" w:cs="Arial"/>
                <w:b w:val="0"/>
              </w:rPr>
              <w:t>Profitability</w:t>
            </w:r>
          </w:p>
        </w:tc>
        <w:tc>
          <w:tcPr>
            <w:tcW w:w="1499" w:type="pct"/>
            <w:hideMark/>
          </w:tcPr>
          <w:p w14:paraId="25632448" w14:textId="77777777" w:rsidR="00D77A87" w:rsidRPr="002D3907" w:rsidRDefault="00D77A87" w:rsidP="00102E5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D3907">
              <w:rPr>
                <w:rFonts w:ascii="Arial" w:hAnsi="Arial" w:cs="Arial"/>
              </w:rPr>
              <w:t>-0.030</w:t>
            </w:r>
          </w:p>
        </w:tc>
        <w:tc>
          <w:tcPr>
            <w:tcW w:w="480" w:type="pct"/>
            <w:hideMark/>
          </w:tcPr>
          <w:p w14:paraId="6773AEED" w14:textId="77777777" w:rsidR="00D77A87" w:rsidRPr="002D3907" w:rsidRDefault="00D77A87" w:rsidP="00102E5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D3907">
              <w:rPr>
                <w:rFonts w:ascii="Arial" w:hAnsi="Arial" w:cs="Arial"/>
              </w:rPr>
              <w:t>0.010</w:t>
            </w:r>
          </w:p>
        </w:tc>
        <w:tc>
          <w:tcPr>
            <w:tcW w:w="1486" w:type="pct"/>
            <w:hideMark/>
          </w:tcPr>
          <w:p w14:paraId="5C0AB2F5" w14:textId="77777777" w:rsidR="00D77A87" w:rsidRPr="002D3907" w:rsidRDefault="00D77A87" w:rsidP="00102E5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D3907">
              <w:rPr>
                <w:rFonts w:ascii="Arial" w:hAnsi="Arial" w:cs="Arial"/>
              </w:rPr>
              <w:t>-0.402</w:t>
            </w:r>
          </w:p>
        </w:tc>
        <w:tc>
          <w:tcPr>
            <w:tcW w:w="391" w:type="pct"/>
            <w:hideMark/>
          </w:tcPr>
          <w:p w14:paraId="21803A52" w14:textId="77777777" w:rsidR="00D77A87" w:rsidRPr="002D3907" w:rsidRDefault="00D77A87" w:rsidP="00102E5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D3907">
              <w:rPr>
                <w:rFonts w:ascii="Arial" w:hAnsi="Arial" w:cs="Arial"/>
              </w:rPr>
              <w:t>-3.154</w:t>
            </w:r>
          </w:p>
        </w:tc>
        <w:tc>
          <w:tcPr>
            <w:tcW w:w="323" w:type="pct"/>
            <w:hideMark/>
          </w:tcPr>
          <w:p w14:paraId="4F4A230C" w14:textId="77777777" w:rsidR="00D77A87" w:rsidRPr="002D3907" w:rsidRDefault="00D77A87" w:rsidP="00102E5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D3907">
              <w:rPr>
                <w:rFonts w:ascii="Arial" w:hAnsi="Arial" w:cs="Arial"/>
              </w:rPr>
              <w:t>0.003</w:t>
            </w:r>
          </w:p>
        </w:tc>
      </w:tr>
      <w:tr w:rsidR="00D77A87" w:rsidRPr="002D3907" w14:paraId="72F398AF" w14:textId="77777777" w:rsidTr="00102E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 w:type="pct"/>
            <w:hideMark/>
          </w:tcPr>
          <w:p w14:paraId="3498F067" w14:textId="77777777" w:rsidR="00D77A87" w:rsidRPr="002D3907" w:rsidRDefault="00D77A87" w:rsidP="00102E5D">
            <w:pPr>
              <w:rPr>
                <w:rFonts w:ascii="Arial" w:hAnsi="Arial" w:cs="Arial"/>
                <w:b w:val="0"/>
              </w:rPr>
            </w:pPr>
            <w:r w:rsidRPr="002D3907">
              <w:rPr>
                <w:rFonts w:ascii="Arial" w:hAnsi="Arial" w:cs="Arial"/>
                <w:b w:val="0"/>
              </w:rPr>
              <w:t>Stock Returns</w:t>
            </w:r>
          </w:p>
        </w:tc>
        <w:tc>
          <w:tcPr>
            <w:tcW w:w="1499" w:type="pct"/>
            <w:hideMark/>
          </w:tcPr>
          <w:p w14:paraId="6A4B5D75" w14:textId="77777777" w:rsidR="00D77A87" w:rsidRPr="002D3907" w:rsidRDefault="00D77A87" w:rsidP="00102E5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D3907">
              <w:rPr>
                <w:rFonts w:ascii="Arial" w:hAnsi="Arial" w:cs="Arial"/>
              </w:rPr>
              <w:t>0.000</w:t>
            </w:r>
          </w:p>
        </w:tc>
        <w:tc>
          <w:tcPr>
            <w:tcW w:w="480" w:type="pct"/>
            <w:hideMark/>
          </w:tcPr>
          <w:p w14:paraId="684D3AA0" w14:textId="77777777" w:rsidR="00D77A87" w:rsidRPr="002D3907" w:rsidRDefault="00D77A87" w:rsidP="00102E5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D3907">
              <w:rPr>
                <w:rFonts w:ascii="Arial" w:hAnsi="Arial" w:cs="Arial"/>
              </w:rPr>
              <w:t>0.000</w:t>
            </w:r>
          </w:p>
        </w:tc>
        <w:tc>
          <w:tcPr>
            <w:tcW w:w="1486" w:type="pct"/>
            <w:hideMark/>
          </w:tcPr>
          <w:p w14:paraId="75CF0641" w14:textId="77777777" w:rsidR="00D77A87" w:rsidRPr="002D3907" w:rsidRDefault="00D77A87" w:rsidP="00102E5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D3907">
              <w:rPr>
                <w:rFonts w:ascii="Arial" w:hAnsi="Arial" w:cs="Arial"/>
              </w:rPr>
              <w:t>0.369</w:t>
            </w:r>
          </w:p>
        </w:tc>
        <w:tc>
          <w:tcPr>
            <w:tcW w:w="391" w:type="pct"/>
            <w:hideMark/>
          </w:tcPr>
          <w:p w14:paraId="222FEEAA" w14:textId="77777777" w:rsidR="00D77A87" w:rsidRPr="002D3907" w:rsidRDefault="00D77A87" w:rsidP="00102E5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D3907">
              <w:rPr>
                <w:rFonts w:ascii="Arial" w:hAnsi="Arial" w:cs="Arial"/>
              </w:rPr>
              <w:t>2.899</w:t>
            </w:r>
          </w:p>
        </w:tc>
        <w:tc>
          <w:tcPr>
            <w:tcW w:w="323" w:type="pct"/>
            <w:hideMark/>
          </w:tcPr>
          <w:p w14:paraId="23E3BDC3" w14:textId="77777777" w:rsidR="00D77A87" w:rsidRPr="002D3907" w:rsidRDefault="00D77A87" w:rsidP="00102E5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D3907">
              <w:rPr>
                <w:rFonts w:ascii="Arial" w:hAnsi="Arial" w:cs="Arial"/>
              </w:rPr>
              <w:t>0.006</w:t>
            </w:r>
          </w:p>
        </w:tc>
      </w:tr>
    </w:tbl>
    <w:p w14:paraId="06357048" w14:textId="77777777" w:rsidR="00D77A87" w:rsidRPr="002D3907" w:rsidRDefault="00D77A87" w:rsidP="00D77A87">
      <w:pPr>
        <w:pStyle w:val="NormalWeb"/>
        <w:spacing w:before="0" w:beforeAutospacing="0" w:after="0" w:afterAutospacing="0"/>
        <w:rPr>
          <w:rFonts w:ascii="Arial" w:hAnsi="Arial" w:cs="Arial"/>
          <w:sz w:val="20"/>
          <w:szCs w:val="20"/>
        </w:rPr>
      </w:pPr>
      <w:r w:rsidRPr="002D3907">
        <w:rPr>
          <w:rStyle w:val="Strong"/>
          <w:rFonts w:ascii="Arial" w:hAnsi="Arial" w:cs="Arial"/>
          <w:sz w:val="20"/>
          <w:szCs w:val="20"/>
        </w:rPr>
        <w:t xml:space="preserve">Dependent Variables: </w:t>
      </w:r>
      <w:r w:rsidRPr="002D3907">
        <w:rPr>
          <w:rFonts w:ascii="Arial" w:hAnsi="Arial" w:cs="Arial"/>
          <w:sz w:val="20"/>
          <w:szCs w:val="20"/>
        </w:rPr>
        <w:t>Stock Price Valuation</w:t>
      </w:r>
    </w:p>
    <w:p w14:paraId="4B2133A0" w14:textId="77777777" w:rsidR="00D77A87" w:rsidRDefault="00D77A87" w:rsidP="00D77A87">
      <w:pPr>
        <w:pStyle w:val="NormalWeb"/>
        <w:spacing w:before="0" w:beforeAutospacing="0" w:after="0" w:afterAutospacing="0"/>
        <w:ind w:firstLine="720"/>
        <w:jc w:val="both"/>
        <w:rPr>
          <w:rFonts w:ascii="Arial" w:hAnsi="Arial" w:cs="Arial"/>
          <w:sz w:val="20"/>
          <w:szCs w:val="20"/>
        </w:rPr>
      </w:pPr>
      <w:r>
        <w:rPr>
          <w:rFonts w:ascii="Arial" w:hAnsi="Arial" w:cs="Arial"/>
          <w:sz w:val="20"/>
          <w:szCs w:val="20"/>
        </w:rPr>
        <w:t>In table 8, based on the results of the Model I partial test (T-Test), it can be seen that Profitability has a negative and significant effect on the Stock Price Valuation, with a regression coefficient value of -0.030, a t-value of -3.154, and a significance value of 0.003 (&lt; 0.05). This means that any increase in profitability by one unit will lower the stock price valuation by 0.030 units, assuming the other variables are constant. These results suggest that high profitability is not always responded positively to by the market, likely because investors think high profits do not necessarily reflect a company's long-term growth prospects.</w:t>
      </w:r>
    </w:p>
    <w:p w14:paraId="53C6672D" w14:textId="77777777" w:rsidR="00D77A87" w:rsidRPr="002D3907" w:rsidRDefault="00D77A87" w:rsidP="00D77A87">
      <w:pPr>
        <w:pStyle w:val="NormalWeb"/>
        <w:spacing w:before="0" w:beforeAutospacing="0" w:after="0" w:afterAutospacing="0"/>
        <w:ind w:firstLine="720"/>
        <w:jc w:val="both"/>
        <w:rPr>
          <w:rFonts w:ascii="Arial" w:hAnsi="Arial" w:cs="Arial"/>
          <w:sz w:val="20"/>
          <w:szCs w:val="20"/>
        </w:rPr>
      </w:pPr>
      <w:r w:rsidRPr="00A246DF">
        <w:rPr>
          <w:rFonts w:ascii="Arial" w:hAnsi="Arial" w:cs="Arial"/>
          <w:sz w:val="20"/>
          <w:szCs w:val="20"/>
        </w:rPr>
        <w:lastRenderedPageBreak/>
        <w:t>Meanwhile, the Stock Return variable has a positive and significant effect on the Stock Price Valuation, with a regression coefficient value of 0.000, a t-value of 2.899, and a significance value of 0.006 (&lt; 0.05). This shows that the higher the stock return received by investors, the higher the valuation of the stock price in the market. These findings indicate that investors tend to give a positive assessment to companies that are able to generate high stock returns, as they reflect good market performance and long-term profit potential. Thus, in Model I, only these two variables significantly affect the valuation of the stock price, where profitability has a negative direction while stock returns have a positive direction.</w:t>
      </w:r>
    </w:p>
    <w:p w14:paraId="7D711252" w14:textId="77777777" w:rsidR="00D77A87" w:rsidRPr="009E51B8" w:rsidRDefault="00D77A87" w:rsidP="00D77A87">
      <w:pPr>
        <w:pStyle w:val="NormalWeb"/>
        <w:rPr>
          <w:rFonts w:ascii="Arial" w:hAnsi="Arial" w:cs="Arial"/>
          <w:b/>
          <w:sz w:val="16"/>
          <w:szCs w:val="20"/>
        </w:rPr>
      </w:pPr>
      <w:r w:rsidRPr="009E51B8">
        <w:rPr>
          <w:rFonts w:ascii="Arial" w:hAnsi="Arial" w:cs="Arial"/>
          <w:b/>
          <w:sz w:val="20"/>
        </w:rPr>
        <w:t xml:space="preserve">Table 9. </w:t>
      </w:r>
      <w:r w:rsidRPr="009E51B8">
        <w:rPr>
          <w:rFonts w:ascii="Arial" w:hAnsi="Arial" w:cs="Arial"/>
          <w:sz w:val="20"/>
        </w:rPr>
        <w:t>T-Test Results (Model II)</w:t>
      </w:r>
    </w:p>
    <w:tbl>
      <w:tblPr>
        <w:tblStyle w:val="PlainTable2"/>
        <w:tblW w:w="5000" w:type="pct"/>
        <w:tblLook w:val="04A0" w:firstRow="1" w:lastRow="0" w:firstColumn="1" w:lastColumn="0" w:noHBand="0" w:noVBand="1"/>
      </w:tblPr>
      <w:tblGrid>
        <w:gridCol w:w="2370"/>
        <w:gridCol w:w="2287"/>
        <w:gridCol w:w="2013"/>
        <w:gridCol w:w="656"/>
        <w:gridCol w:w="876"/>
      </w:tblGrid>
      <w:tr w:rsidR="00D77A87" w:rsidRPr="00873647" w14:paraId="480F4756" w14:textId="77777777" w:rsidTr="00102E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pct"/>
            <w:vAlign w:val="center"/>
            <w:hideMark/>
          </w:tcPr>
          <w:p w14:paraId="75D8BFFC" w14:textId="77777777" w:rsidR="00D77A87" w:rsidRPr="00873647" w:rsidRDefault="00D77A87" w:rsidP="00102E5D">
            <w:pPr>
              <w:rPr>
                <w:rFonts w:ascii="Arial" w:hAnsi="Arial" w:cs="Arial"/>
                <w:szCs w:val="24"/>
              </w:rPr>
            </w:pPr>
            <w:r w:rsidRPr="00873647">
              <w:rPr>
                <w:rFonts w:ascii="Arial" w:hAnsi="Arial" w:cs="Arial"/>
                <w:szCs w:val="24"/>
              </w:rPr>
              <w:t>Pattern</w:t>
            </w:r>
          </w:p>
        </w:tc>
        <w:tc>
          <w:tcPr>
            <w:tcW w:w="1394" w:type="pct"/>
            <w:vAlign w:val="center"/>
            <w:hideMark/>
          </w:tcPr>
          <w:p w14:paraId="174A0B7A" w14:textId="77777777" w:rsidR="00D77A87" w:rsidRPr="00873647" w:rsidRDefault="00D77A87" w:rsidP="00102E5D">
            <w:pPr>
              <w:jc w:val="center"/>
              <w:cnfStyle w:val="100000000000" w:firstRow="1" w:lastRow="0" w:firstColumn="0" w:lastColumn="0" w:oddVBand="0" w:evenVBand="0" w:oddHBand="0" w:evenHBand="0" w:firstRowFirstColumn="0" w:firstRowLastColumn="0" w:lastRowFirstColumn="0" w:lastRowLastColumn="0"/>
              <w:rPr>
                <w:rFonts w:ascii="Arial" w:hAnsi="Arial" w:cs="Arial"/>
                <w:szCs w:val="24"/>
              </w:rPr>
            </w:pPr>
            <w:r w:rsidRPr="00873647">
              <w:rPr>
                <w:rFonts w:ascii="Arial" w:hAnsi="Arial" w:cs="Arial"/>
                <w:szCs w:val="24"/>
              </w:rPr>
              <w:t>Non-Standard Coefficients</w:t>
            </w:r>
          </w:p>
        </w:tc>
        <w:tc>
          <w:tcPr>
            <w:tcW w:w="1227" w:type="pct"/>
            <w:vAlign w:val="center"/>
            <w:hideMark/>
          </w:tcPr>
          <w:p w14:paraId="0EA71493" w14:textId="77777777" w:rsidR="00D77A87" w:rsidRPr="00873647" w:rsidRDefault="00D77A87" w:rsidP="00102E5D">
            <w:pPr>
              <w:jc w:val="center"/>
              <w:cnfStyle w:val="100000000000" w:firstRow="1" w:lastRow="0" w:firstColumn="0" w:lastColumn="0" w:oddVBand="0" w:evenVBand="0" w:oddHBand="0" w:evenHBand="0" w:firstRowFirstColumn="0" w:firstRowLastColumn="0" w:lastRowFirstColumn="0" w:lastRowLastColumn="0"/>
              <w:rPr>
                <w:rFonts w:ascii="Arial" w:hAnsi="Arial" w:cs="Arial"/>
                <w:szCs w:val="24"/>
              </w:rPr>
            </w:pPr>
            <w:r w:rsidRPr="00873647">
              <w:rPr>
                <w:rFonts w:ascii="Arial" w:hAnsi="Arial" w:cs="Arial"/>
                <w:szCs w:val="24"/>
              </w:rPr>
              <w:t>Standard Coefficients</w:t>
            </w:r>
          </w:p>
        </w:tc>
        <w:tc>
          <w:tcPr>
            <w:tcW w:w="400" w:type="pct"/>
            <w:vAlign w:val="center"/>
            <w:hideMark/>
          </w:tcPr>
          <w:p w14:paraId="3ACD094B" w14:textId="77777777" w:rsidR="00D77A87" w:rsidRPr="00873647" w:rsidRDefault="00D77A87" w:rsidP="00102E5D">
            <w:pPr>
              <w:jc w:val="center"/>
              <w:cnfStyle w:val="100000000000" w:firstRow="1" w:lastRow="0" w:firstColumn="0" w:lastColumn="0" w:oddVBand="0" w:evenVBand="0" w:oddHBand="0" w:evenHBand="0" w:firstRowFirstColumn="0" w:firstRowLastColumn="0" w:lastRowFirstColumn="0" w:lastRowLastColumn="0"/>
              <w:rPr>
                <w:rFonts w:ascii="Arial" w:hAnsi="Arial" w:cs="Arial"/>
                <w:szCs w:val="24"/>
              </w:rPr>
            </w:pPr>
            <w:r w:rsidRPr="00873647">
              <w:rPr>
                <w:rFonts w:ascii="Arial" w:hAnsi="Arial" w:cs="Arial"/>
                <w:szCs w:val="24"/>
              </w:rPr>
              <w:t>t</w:t>
            </w:r>
          </w:p>
        </w:tc>
        <w:tc>
          <w:tcPr>
            <w:tcW w:w="534" w:type="pct"/>
            <w:vAlign w:val="center"/>
            <w:hideMark/>
          </w:tcPr>
          <w:p w14:paraId="66EA5D6F" w14:textId="77777777" w:rsidR="00D77A87" w:rsidRPr="00873647" w:rsidRDefault="00D77A87" w:rsidP="00102E5D">
            <w:pPr>
              <w:jc w:val="center"/>
              <w:cnfStyle w:val="100000000000" w:firstRow="1" w:lastRow="0" w:firstColumn="0" w:lastColumn="0" w:oddVBand="0" w:evenVBand="0" w:oddHBand="0" w:evenHBand="0" w:firstRowFirstColumn="0" w:firstRowLastColumn="0" w:lastRowFirstColumn="0" w:lastRowLastColumn="0"/>
              <w:rPr>
                <w:rFonts w:ascii="Arial" w:hAnsi="Arial" w:cs="Arial"/>
                <w:szCs w:val="24"/>
              </w:rPr>
            </w:pPr>
            <w:r w:rsidRPr="00873647">
              <w:rPr>
                <w:rFonts w:ascii="Arial" w:hAnsi="Arial" w:cs="Arial"/>
                <w:szCs w:val="24"/>
              </w:rPr>
              <w:t>Sig.</w:t>
            </w:r>
          </w:p>
        </w:tc>
      </w:tr>
      <w:tr w:rsidR="00D77A87" w:rsidRPr="00873647" w14:paraId="75AEADD3" w14:textId="77777777" w:rsidTr="00102E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pct"/>
            <w:vAlign w:val="center"/>
            <w:hideMark/>
          </w:tcPr>
          <w:p w14:paraId="0D308A2F" w14:textId="77777777" w:rsidR="00D77A87" w:rsidRPr="00873647" w:rsidRDefault="00D77A87" w:rsidP="00102E5D">
            <w:pPr>
              <w:rPr>
                <w:rFonts w:ascii="Arial" w:hAnsi="Arial" w:cs="Arial"/>
                <w:szCs w:val="24"/>
              </w:rPr>
            </w:pPr>
          </w:p>
        </w:tc>
        <w:tc>
          <w:tcPr>
            <w:tcW w:w="1394" w:type="pct"/>
            <w:vAlign w:val="center"/>
            <w:hideMark/>
          </w:tcPr>
          <w:p w14:paraId="1A31DBAF" w14:textId="77777777" w:rsidR="00D77A87" w:rsidRPr="00873647" w:rsidRDefault="00D77A87" w:rsidP="00102E5D">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873647">
              <w:rPr>
                <w:rFonts w:ascii="Arial" w:hAnsi="Arial" w:cs="Arial"/>
                <w:szCs w:val="24"/>
              </w:rPr>
              <w:t>B</w:t>
            </w:r>
          </w:p>
        </w:tc>
        <w:tc>
          <w:tcPr>
            <w:tcW w:w="1227" w:type="pct"/>
            <w:vAlign w:val="center"/>
            <w:hideMark/>
          </w:tcPr>
          <w:p w14:paraId="05C57B4E" w14:textId="77777777" w:rsidR="00D77A87" w:rsidRPr="00873647" w:rsidRDefault="00D77A87" w:rsidP="00102E5D">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873647">
              <w:rPr>
                <w:rFonts w:ascii="Arial" w:hAnsi="Arial" w:cs="Arial"/>
                <w:szCs w:val="24"/>
              </w:rPr>
              <w:t>Std. Error</w:t>
            </w:r>
          </w:p>
        </w:tc>
        <w:tc>
          <w:tcPr>
            <w:tcW w:w="400" w:type="pct"/>
            <w:vAlign w:val="center"/>
            <w:hideMark/>
          </w:tcPr>
          <w:p w14:paraId="041811B1" w14:textId="77777777" w:rsidR="00D77A87" w:rsidRPr="00873647" w:rsidRDefault="00D77A87" w:rsidP="00102E5D">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873647">
              <w:rPr>
                <w:rFonts w:ascii="Arial" w:hAnsi="Arial" w:cs="Arial"/>
                <w:szCs w:val="24"/>
              </w:rPr>
              <w:t>Beta</w:t>
            </w:r>
          </w:p>
        </w:tc>
        <w:tc>
          <w:tcPr>
            <w:tcW w:w="534" w:type="pct"/>
            <w:vAlign w:val="center"/>
            <w:hideMark/>
          </w:tcPr>
          <w:p w14:paraId="2A6B692D" w14:textId="77777777" w:rsidR="00D77A87" w:rsidRPr="00873647" w:rsidRDefault="00D77A87" w:rsidP="00102E5D">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rPr>
            </w:pPr>
          </w:p>
        </w:tc>
      </w:tr>
      <w:tr w:rsidR="00D77A87" w:rsidRPr="00873647" w14:paraId="248D79A4" w14:textId="77777777" w:rsidTr="00102E5D">
        <w:tc>
          <w:tcPr>
            <w:cnfStyle w:val="001000000000" w:firstRow="0" w:lastRow="0" w:firstColumn="1" w:lastColumn="0" w:oddVBand="0" w:evenVBand="0" w:oddHBand="0" w:evenHBand="0" w:firstRowFirstColumn="0" w:firstRowLastColumn="0" w:lastRowFirstColumn="0" w:lastRowLastColumn="0"/>
            <w:tcW w:w="1445" w:type="pct"/>
            <w:vAlign w:val="center"/>
            <w:hideMark/>
          </w:tcPr>
          <w:p w14:paraId="494F669F" w14:textId="77777777" w:rsidR="00D77A87" w:rsidRPr="00873647" w:rsidRDefault="00D77A87" w:rsidP="00102E5D">
            <w:pPr>
              <w:rPr>
                <w:rFonts w:ascii="Arial" w:hAnsi="Arial" w:cs="Arial"/>
                <w:szCs w:val="24"/>
              </w:rPr>
            </w:pPr>
            <w:r w:rsidRPr="00873647">
              <w:rPr>
                <w:rFonts w:ascii="Arial" w:hAnsi="Arial" w:cs="Arial"/>
                <w:szCs w:val="24"/>
              </w:rPr>
              <w:t>(Constant)</w:t>
            </w:r>
          </w:p>
        </w:tc>
        <w:tc>
          <w:tcPr>
            <w:tcW w:w="1394" w:type="pct"/>
            <w:vAlign w:val="center"/>
            <w:hideMark/>
          </w:tcPr>
          <w:p w14:paraId="0620BC0E" w14:textId="77777777" w:rsidR="00D77A87" w:rsidRPr="00873647" w:rsidRDefault="00D77A87" w:rsidP="00102E5D">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873647">
              <w:rPr>
                <w:rFonts w:ascii="Arial" w:hAnsi="Arial" w:cs="Arial"/>
                <w:szCs w:val="24"/>
              </w:rPr>
              <w:t>.749</w:t>
            </w:r>
          </w:p>
        </w:tc>
        <w:tc>
          <w:tcPr>
            <w:tcW w:w="1227" w:type="pct"/>
            <w:vAlign w:val="center"/>
            <w:hideMark/>
          </w:tcPr>
          <w:p w14:paraId="30DB13D8" w14:textId="77777777" w:rsidR="00D77A87" w:rsidRPr="00873647" w:rsidRDefault="00D77A87" w:rsidP="00102E5D">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873647">
              <w:rPr>
                <w:rFonts w:ascii="Arial" w:hAnsi="Arial" w:cs="Arial"/>
                <w:szCs w:val="24"/>
              </w:rPr>
              <w:t>.028</w:t>
            </w:r>
          </w:p>
        </w:tc>
        <w:tc>
          <w:tcPr>
            <w:tcW w:w="400" w:type="pct"/>
            <w:vAlign w:val="center"/>
            <w:hideMark/>
          </w:tcPr>
          <w:p w14:paraId="5F950621" w14:textId="77777777" w:rsidR="00D77A87" w:rsidRPr="00873647" w:rsidRDefault="00D77A87" w:rsidP="00102E5D">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p>
        </w:tc>
        <w:tc>
          <w:tcPr>
            <w:tcW w:w="534" w:type="pct"/>
            <w:vAlign w:val="center"/>
            <w:hideMark/>
          </w:tcPr>
          <w:p w14:paraId="731916D2" w14:textId="77777777" w:rsidR="00D77A87" w:rsidRPr="00873647" w:rsidRDefault="00D77A87" w:rsidP="00102E5D">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873647">
              <w:rPr>
                <w:rFonts w:ascii="Arial" w:hAnsi="Arial" w:cs="Arial"/>
                <w:szCs w:val="24"/>
              </w:rPr>
              <w:t>27.008</w:t>
            </w:r>
          </w:p>
        </w:tc>
      </w:tr>
      <w:tr w:rsidR="00D77A87" w:rsidRPr="00873647" w14:paraId="0D742DD7" w14:textId="77777777" w:rsidTr="00102E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pct"/>
            <w:vAlign w:val="center"/>
            <w:hideMark/>
          </w:tcPr>
          <w:p w14:paraId="62804C16" w14:textId="77777777" w:rsidR="00D77A87" w:rsidRPr="00873647" w:rsidRDefault="00D77A87" w:rsidP="00102E5D">
            <w:pPr>
              <w:rPr>
                <w:rFonts w:ascii="Arial" w:hAnsi="Arial" w:cs="Arial"/>
                <w:szCs w:val="24"/>
              </w:rPr>
            </w:pPr>
            <w:r w:rsidRPr="00873647">
              <w:rPr>
                <w:rFonts w:ascii="Arial" w:hAnsi="Arial" w:cs="Arial"/>
                <w:szCs w:val="24"/>
              </w:rPr>
              <w:t>Profitability</w:t>
            </w:r>
          </w:p>
        </w:tc>
        <w:tc>
          <w:tcPr>
            <w:tcW w:w="1394" w:type="pct"/>
            <w:vAlign w:val="center"/>
            <w:hideMark/>
          </w:tcPr>
          <w:p w14:paraId="6EF3DB14" w14:textId="77777777" w:rsidR="00D77A87" w:rsidRPr="00873647" w:rsidRDefault="00D77A87" w:rsidP="00102E5D">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873647">
              <w:rPr>
                <w:rFonts w:ascii="Arial" w:hAnsi="Arial" w:cs="Arial"/>
                <w:szCs w:val="24"/>
              </w:rPr>
              <w:t>-.025</w:t>
            </w:r>
          </w:p>
        </w:tc>
        <w:tc>
          <w:tcPr>
            <w:tcW w:w="1227" w:type="pct"/>
            <w:vAlign w:val="center"/>
            <w:hideMark/>
          </w:tcPr>
          <w:p w14:paraId="1C288E78" w14:textId="77777777" w:rsidR="00D77A87" w:rsidRPr="00873647" w:rsidRDefault="00D77A87" w:rsidP="00102E5D">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873647">
              <w:rPr>
                <w:rFonts w:ascii="Arial" w:hAnsi="Arial" w:cs="Arial"/>
                <w:szCs w:val="24"/>
              </w:rPr>
              <w:t>.019</w:t>
            </w:r>
          </w:p>
        </w:tc>
        <w:tc>
          <w:tcPr>
            <w:tcW w:w="400" w:type="pct"/>
            <w:vAlign w:val="center"/>
            <w:hideMark/>
          </w:tcPr>
          <w:p w14:paraId="5AEE6357" w14:textId="77777777" w:rsidR="00D77A87" w:rsidRPr="00873647" w:rsidRDefault="00D77A87" w:rsidP="00102E5D">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873647">
              <w:rPr>
                <w:rFonts w:ascii="Arial" w:hAnsi="Arial" w:cs="Arial"/>
                <w:szCs w:val="24"/>
              </w:rPr>
              <w:t>-.337</w:t>
            </w:r>
          </w:p>
        </w:tc>
        <w:tc>
          <w:tcPr>
            <w:tcW w:w="534" w:type="pct"/>
            <w:vAlign w:val="center"/>
            <w:hideMark/>
          </w:tcPr>
          <w:p w14:paraId="0665E0F8" w14:textId="77777777" w:rsidR="00D77A87" w:rsidRPr="00873647" w:rsidRDefault="00D77A87" w:rsidP="00102E5D">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873647">
              <w:rPr>
                <w:rFonts w:ascii="Arial" w:hAnsi="Arial" w:cs="Arial"/>
                <w:szCs w:val="24"/>
              </w:rPr>
              <w:t>-1.297</w:t>
            </w:r>
          </w:p>
        </w:tc>
      </w:tr>
      <w:tr w:rsidR="00D77A87" w:rsidRPr="00873647" w14:paraId="4C080B11" w14:textId="77777777" w:rsidTr="00102E5D">
        <w:tc>
          <w:tcPr>
            <w:cnfStyle w:val="001000000000" w:firstRow="0" w:lastRow="0" w:firstColumn="1" w:lastColumn="0" w:oddVBand="0" w:evenVBand="0" w:oddHBand="0" w:evenHBand="0" w:firstRowFirstColumn="0" w:firstRowLastColumn="0" w:lastRowFirstColumn="0" w:lastRowLastColumn="0"/>
            <w:tcW w:w="1445" w:type="pct"/>
            <w:vAlign w:val="center"/>
            <w:hideMark/>
          </w:tcPr>
          <w:p w14:paraId="3D0F36DF" w14:textId="77777777" w:rsidR="00D77A87" w:rsidRPr="00873647" w:rsidRDefault="00D77A87" w:rsidP="00102E5D">
            <w:pPr>
              <w:rPr>
                <w:rFonts w:ascii="Arial" w:hAnsi="Arial" w:cs="Arial"/>
                <w:szCs w:val="24"/>
              </w:rPr>
            </w:pPr>
            <w:r w:rsidRPr="00873647">
              <w:rPr>
                <w:rFonts w:ascii="Arial" w:hAnsi="Arial" w:cs="Arial"/>
                <w:szCs w:val="24"/>
              </w:rPr>
              <w:t>Return Shares</w:t>
            </w:r>
          </w:p>
        </w:tc>
        <w:tc>
          <w:tcPr>
            <w:tcW w:w="1394" w:type="pct"/>
            <w:vAlign w:val="center"/>
            <w:hideMark/>
          </w:tcPr>
          <w:p w14:paraId="0BB8D179" w14:textId="77777777" w:rsidR="00D77A87" w:rsidRPr="00873647" w:rsidRDefault="00D77A87" w:rsidP="00102E5D">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873647">
              <w:rPr>
                <w:rFonts w:ascii="Arial" w:hAnsi="Arial" w:cs="Arial"/>
                <w:szCs w:val="24"/>
              </w:rPr>
              <w:t>.000</w:t>
            </w:r>
          </w:p>
        </w:tc>
        <w:tc>
          <w:tcPr>
            <w:tcW w:w="1227" w:type="pct"/>
            <w:vAlign w:val="center"/>
            <w:hideMark/>
          </w:tcPr>
          <w:p w14:paraId="4C48B4DF" w14:textId="77777777" w:rsidR="00D77A87" w:rsidRPr="00873647" w:rsidRDefault="00D77A87" w:rsidP="00102E5D">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873647">
              <w:rPr>
                <w:rFonts w:ascii="Arial" w:hAnsi="Arial" w:cs="Arial"/>
                <w:szCs w:val="24"/>
              </w:rPr>
              <w:t>.000</w:t>
            </w:r>
          </w:p>
        </w:tc>
        <w:tc>
          <w:tcPr>
            <w:tcW w:w="400" w:type="pct"/>
            <w:vAlign w:val="center"/>
            <w:hideMark/>
          </w:tcPr>
          <w:p w14:paraId="1C4FA568" w14:textId="77777777" w:rsidR="00D77A87" w:rsidRPr="00873647" w:rsidRDefault="00D77A87" w:rsidP="00102E5D">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873647">
              <w:rPr>
                <w:rFonts w:ascii="Arial" w:hAnsi="Arial" w:cs="Arial"/>
                <w:szCs w:val="24"/>
              </w:rPr>
              <w:t>-.396</w:t>
            </w:r>
          </w:p>
        </w:tc>
        <w:tc>
          <w:tcPr>
            <w:tcW w:w="534" w:type="pct"/>
            <w:vAlign w:val="center"/>
            <w:hideMark/>
          </w:tcPr>
          <w:p w14:paraId="36894AD1" w14:textId="77777777" w:rsidR="00D77A87" w:rsidRPr="00873647" w:rsidRDefault="00D77A87" w:rsidP="00102E5D">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873647">
              <w:rPr>
                <w:rFonts w:ascii="Arial" w:hAnsi="Arial" w:cs="Arial"/>
                <w:szCs w:val="24"/>
              </w:rPr>
              <w:t>-.942</w:t>
            </w:r>
          </w:p>
        </w:tc>
      </w:tr>
      <w:tr w:rsidR="00D77A87" w:rsidRPr="00873647" w14:paraId="2F00EB1B" w14:textId="77777777" w:rsidTr="00102E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pct"/>
            <w:vAlign w:val="center"/>
            <w:hideMark/>
          </w:tcPr>
          <w:p w14:paraId="6B9D6E87" w14:textId="77777777" w:rsidR="00D77A87" w:rsidRPr="00873647" w:rsidRDefault="00D77A87" w:rsidP="00102E5D">
            <w:pPr>
              <w:rPr>
                <w:rFonts w:ascii="Arial" w:hAnsi="Arial" w:cs="Arial"/>
                <w:szCs w:val="24"/>
              </w:rPr>
            </w:pPr>
            <w:r w:rsidRPr="00873647">
              <w:rPr>
                <w:rFonts w:ascii="Arial" w:hAnsi="Arial" w:cs="Arial"/>
                <w:szCs w:val="24"/>
              </w:rPr>
              <w:t>Dividend Policy</w:t>
            </w:r>
          </w:p>
        </w:tc>
        <w:tc>
          <w:tcPr>
            <w:tcW w:w="1394" w:type="pct"/>
            <w:vAlign w:val="center"/>
            <w:hideMark/>
          </w:tcPr>
          <w:p w14:paraId="11A62BB4" w14:textId="77777777" w:rsidR="00D77A87" w:rsidRPr="00873647" w:rsidRDefault="00D77A87" w:rsidP="00102E5D">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873647">
              <w:rPr>
                <w:rFonts w:ascii="Arial" w:hAnsi="Arial" w:cs="Arial"/>
                <w:szCs w:val="24"/>
              </w:rPr>
              <w:t>-.001</w:t>
            </w:r>
          </w:p>
        </w:tc>
        <w:tc>
          <w:tcPr>
            <w:tcW w:w="1227" w:type="pct"/>
            <w:vAlign w:val="center"/>
            <w:hideMark/>
          </w:tcPr>
          <w:p w14:paraId="2EE75934" w14:textId="77777777" w:rsidR="00D77A87" w:rsidRPr="00873647" w:rsidRDefault="00D77A87" w:rsidP="00102E5D">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873647">
              <w:rPr>
                <w:rFonts w:ascii="Arial" w:hAnsi="Arial" w:cs="Arial"/>
                <w:szCs w:val="24"/>
              </w:rPr>
              <w:t>.001</w:t>
            </w:r>
          </w:p>
        </w:tc>
        <w:tc>
          <w:tcPr>
            <w:tcW w:w="400" w:type="pct"/>
            <w:vAlign w:val="center"/>
            <w:hideMark/>
          </w:tcPr>
          <w:p w14:paraId="7C55FE4C" w14:textId="77777777" w:rsidR="00D77A87" w:rsidRPr="00873647" w:rsidRDefault="00D77A87" w:rsidP="00102E5D">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873647">
              <w:rPr>
                <w:rFonts w:ascii="Arial" w:hAnsi="Arial" w:cs="Arial"/>
                <w:szCs w:val="24"/>
              </w:rPr>
              <w:t>-.577</w:t>
            </w:r>
          </w:p>
        </w:tc>
        <w:tc>
          <w:tcPr>
            <w:tcW w:w="534" w:type="pct"/>
            <w:vAlign w:val="center"/>
            <w:hideMark/>
          </w:tcPr>
          <w:p w14:paraId="0A09A4B8" w14:textId="77777777" w:rsidR="00D77A87" w:rsidRPr="00873647" w:rsidRDefault="00D77A87" w:rsidP="00102E5D">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873647">
              <w:rPr>
                <w:rFonts w:ascii="Arial" w:hAnsi="Arial" w:cs="Arial"/>
                <w:szCs w:val="24"/>
              </w:rPr>
              <w:t>-2.168</w:t>
            </w:r>
          </w:p>
        </w:tc>
      </w:tr>
      <w:tr w:rsidR="00D77A87" w:rsidRPr="00873647" w14:paraId="6B0D1CD9" w14:textId="77777777" w:rsidTr="00102E5D">
        <w:tc>
          <w:tcPr>
            <w:cnfStyle w:val="001000000000" w:firstRow="0" w:lastRow="0" w:firstColumn="1" w:lastColumn="0" w:oddVBand="0" w:evenVBand="0" w:oddHBand="0" w:evenHBand="0" w:firstRowFirstColumn="0" w:firstRowLastColumn="0" w:lastRowFirstColumn="0" w:lastRowLastColumn="0"/>
            <w:tcW w:w="1445" w:type="pct"/>
            <w:vAlign w:val="center"/>
            <w:hideMark/>
          </w:tcPr>
          <w:p w14:paraId="5148307E" w14:textId="77777777" w:rsidR="00D77A87" w:rsidRPr="00873647" w:rsidRDefault="00D77A87" w:rsidP="00102E5D">
            <w:pPr>
              <w:rPr>
                <w:rFonts w:ascii="Arial" w:hAnsi="Arial" w:cs="Arial"/>
                <w:szCs w:val="24"/>
              </w:rPr>
            </w:pPr>
            <w:r w:rsidRPr="00873647">
              <w:rPr>
                <w:rFonts w:ascii="Arial" w:hAnsi="Arial" w:cs="Arial"/>
                <w:szCs w:val="24"/>
              </w:rPr>
              <w:t>Profitability * Dividend Policy</w:t>
            </w:r>
          </w:p>
        </w:tc>
        <w:tc>
          <w:tcPr>
            <w:tcW w:w="1394" w:type="pct"/>
            <w:vAlign w:val="center"/>
            <w:hideMark/>
          </w:tcPr>
          <w:p w14:paraId="597928C4" w14:textId="77777777" w:rsidR="00D77A87" w:rsidRPr="00873647" w:rsidRDefault="00D77A87" w:rsidP="00102E5D">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873647">
              <w:rPr>
                <w:rFonts w:ascii="Arial" w:hAnsi="Arial" w:cs="Arial"/>
                <w:szCs w:val="24"/>
              </w:rPr>
              <w:t>-1.708E-5</w:t>
            </w:r>
          </w:p>
        </w:tc>
        <w:tc>
          <w:tcPr>
            <w:tcW w:w="1227" w:type="pct"/>
            <w:vAlign w:val="center"/>
            <w:hideMark/>
          </w:tcPr>
          <w:p w14:paraId="181DBCA0" w14:textId="77777777" w:rsidR="00D77A87" w:rsidRPr="00873647" w:rsidRDefault="00D77A87" w:rsidP="00102E5D">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873647">
              <w:rPr>
                <w:rFonts w:ascii="Arial" w:hAnsi="Arial" w:cs="Arial"/>
                <w:szCs w:val="24"/>
              </w:rPr>
              <w:t>.000</w:t>
            </w:r>
          </w:p>
        </w:tc>
        <w:tc>
          <w:tcPr>
            <w:tcW w:w="400" w:type="pct"/>
            <w:vAlign w:val="center"/>
            <w:hideMark/>
          </w:tcPr>
          <w:p w14:paraId="47D9FC4C" w14:textId="77777777" w:rsidR="00D77A87" w:rsidRPr="00873647" w:rsidRDefault="00D77A87" w:rsidP="00102E5D">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873647">
              <w:rPr>
                <w:rFonts w:ascii="Arial" w:hAnsi="Arial" w:cs="Arial"/>
                <w:szCs w:val="24"/>
              </w:rPr>
              <w:t>-.015</w:t>
            </w:r>
          </w:p>
        </w:tc>
        <w:tc>
          <w:tcPr>
            <w:tcW w:w="534" w:type="pct"/>
            <w:vAlign w:val="center"/>
            <w:hideMark/>
          </w:tcPr>
          <w:p w14:paraId="10B0D5F7" w14:textId="77777777" w:rsidR="00D77A87" w:rsidRPr="00873647" w:rsidRDefault="00D77A87" w:rsidP="00102E5D">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873647">
              <w:rPr>
                <w:rFonts w:ascii="Arial" w:hAnsi="Arial" w:cs="Arial"/>
                <w:szCs w:val="24"/>
              </w:rPr>
              <w:t>-.041</w:t>
            </w:r>
          </w:p>
        </w:tc>
      </w:tr>
      <w:tr w:rsidR="00D77A87" w:rsidRPr="00873647" w14:paraId="65A14F46" w14:textId="77777777" w:rsidTr="00102E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pct"/>
            <w:vAlign w:val="center"/>
            <w:hideMark/>
          </w:tcPr>
          <w:p w14:paraId="7118B2E8" w14:textId="77777777" w:rsidR="00D77A87" w:rsidRPr="00873647" w:rsidRDefault="00D77A87" w:rsidP="00102E5D">
            <w:pPr>
              <w:rPr>
                <w:rFonts w:ascii="Arial" w:hAnsi="Arial" w:cs="Arial"/>
                <w:szCs w:val="24"/>
              </w:rPr>
            </w:pPr>
            <w:r w:rsidRPr="00873647">
              <w:rPr>
                <w:rFonts w:ascii="Arial" w:hAnsi="Arial" w:cs="Arial"/>
                <w:szCs w:val="24"/>
              </w:rPr>
              <w:t>Stock Return * Dividend Policy</w:t>
            </w:r>
          </w:p>
        </w:tc>
        <w:tc>
          <w:tcPr>
            <w:tcW w:w="1394" w:type="pct"/>
            <w:vAlign w:val="center"/>
            <w:hideMark/>
          </w:tcPr>
          <w:p w14:paraId="5B9454B5" w14:textId="77777777" w:rsidR="00D77A87" w:rsidRPr="00873647" w:rsidRDefault="00D77A87" w:rsidP="00102E5D">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873647">
              <w:rPr>
                <w:rFonts w:ascii="Arial" w:hAnsi="Arial" w:cs="Arial"/>
                <w:szCs w:val="24"/>
              </w:rPr>
              <w:t>1.238E-5</w:t>
            </w:r>
          </w:p>
        </w:tc>
        <w:tc>
          <w:tcPr>
            <w:tcW w:w="1227" w:type="pct"/>
            <w:vAlign w:val="center"/>
            <w:hideMark/>
          </w:tcPr>
          <w:p w14:paraId="64828948" w14:textId="77777777" w:rsidR="00D77A87" w:rsidRPr="00873647" w:rsidRDefault="00D77A87" w:rsidP="00102E5D">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873647">
              <w:rPr>
                <w:rFonts w:ascii="Arial" w:hAnsi="Arial" w:cs="Arial"/>
                <w:szCs w:val="24"/>
              </w:rPr>
              <w:t>.000</w:t>
            </w:r>
          </w:p>
        </w:tc>
        <w:tc>
          <w:tcPr>
            <w:tcW w:w="400" w:type="pct"/>
            <w:vAlign w:val="center"/>
            <w:hideMark/>
          </w:tcPr>
          <w:p w14:paraId="7ED96DB6" w14:textId="77777777" w:rsidR="00D77A87" w:rsidRPr="00873647" w:rsidRDefault="00D77A87" w:rsidP="00102E5D">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873647">
              <w:rPr>
                <w:rFonts w:ascii="Arial" w:hAnsi="Arial" w:cs="Arial"/>
                <w:szCs w:val="24"/>
              </w:rPr>
              <w:t>.907</w:t>
            </w:r>
          </w:p>
        </w:tc>
        <w:tc>
          <w:tcPr>
            <w:tcW w:w="534" w:type="pct"/>
            <w:vAlign w:val="center"/>
            <w:hideMark/>
          </w:tcPr>
          <w:p w14:paraId="7652E828" w14:textId="77777777" w:rsidR="00D77A87" w:rsidRPr="00873647" w:rsidRDefault="00D77A87" w:rsidP="00102E5D">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873647">
              <w:rPr>
                <w:rFonts w:ascii="Arial" w:hAnsi="Arial" w:cs="Arial"/>
                <w:szCs w:val="24"/>
              </w:rPr>
              <w:t>1.977</w:t>
            </w:r>
          </w:p>
        </w:tc>
      </w:tr>
    </w:tbl>
    <w:p w14:paraId="786B1D4C" w14:textId="77777777" w:rsidR="00D77A87" w:rsidRPr="00DA2C84" w:rsidRDefault="009E51B8" w:rsidP="00D77A87">
      <w:pPr>
        <w:spacing w:after="60"/>
        <w:ind w:firstLine="720"/>
        <w:jc w:val="both"/>
        <w:rPr>
          <w:rFonts w:ascii="Arial" w:hAnsi="Arial" w:cs="Arial"/>
        </w:rPr>
      </w:pPr>
      <w:r>
        <w:rPr>
          <w:rFonts w:ascii="Arial" w:hAnsi="Arial" w:cs="Arial"/>
        </w:rPr>
        <w:t>In table 9, the results of the partial test (T-Test) in Model II, it is known that the Profitability variable has a regression coefficient value of -0.025, a t-value of -1.297, and a significance value of 0.202 (&gt; 0.05). These results show that profitability does not have a significant effect on the valuation of the stock price after being moderated by the dividend policy. Statistically, this means that an increase in profitability is not followed by a significant increase in the valuation of the stock price when the dividend policy factor is taken into account. Economically, this condition can be interpreted as investors not only assess the company's financial performance from the amount of profit generated, but also consider the company's strategy in allocating the profit. If high returns are not accompanied by attractive dividend or reinvestment policies, then investors may not take it as a positive signal that could boost the value of the stock.</w:t>
      </w:r>
    </w:p>
    <w:p w14:paraId="404FE9E4" w14:textId="77777777" w:rsidR="00D77A87" w:rsidRDefault="00D77A87" w:rsidP="00D77A87">
      <w:pPr>
        <w:spacing w:after="60"/>
        <w:ind w:firstLine="720"/>
        <w:jc w:val="both"/>
        <w:rPr>
          <w:rFonts w:ascii="Arial" w:hAnsi="Arial" w:cs="Arial"/>
        </w:rPr>
      </w:pPr>
      <w:r w:rsidRPr="00DA2C84">
        <w:rPr>
          <w:rFonts w:ascii="Arial" w:hAnsi="Arial" w:cs="Arial"/>
        </w:rPr>
        <w:t>Furthermore, the Stock Return variable showed a coefficient value of 0.000, a t-value of -0.942, and a significance value of 0.352 (&gt; 0.05). This result indicates that stock returns also do not have a significant effect on stock price valuation when influenced by dividend policy. In the economic context, this indicates that fluctuations in profits received by investors through stock returns do not necessarily affect the perception of stock value in the capital market, possibly because investors are more concerned about the fundamental stability of the company than short-term profits. On the other hand, the Dividend Policy variable actually had a negative and significant effect on the valuation of the stock price with a coefficient value of -0.001, a t-value of -2.168, and a significance of 0.036 (&lt; 0.05). Statistically, this shows that an increase in dividend policy can lower the valuation of stock prices. Economically, this result can be explained by the fact that when a company distributes large amounts of dividends, the amount of internal funds available for investment and expansion becomes limited, so that the long-term growth prospects decline and reduce the attractiveness of the stock in the eyes of investors.</w:t>
      </w:r>
    </w:p>
    <w:p w14:paraId="54CC9E47" w14:textId="77777777" w:rsidR="00D77A87" w:rsidRDefault="008A1BF0" w:rsidP="00D77A87">
      <w:pPr>
        <w:spacing w:after="60"/>
        <w:ind w:firstLine="720"/>
        <w:jc w:val="both"/>
        <w:rPr>
          <w:rFonts w:ascii="Arial" w:hAnsi="Arial" w:cs="Arial"/>
        </w:rPr>
      </w:pPr>
      <w:r w:rsidRPr="008A1BF0">
        <w:rPr>
          <w:rFonts w:ascii="Arial" w:hAnsi="Arial" w:cs="Arial"/>
        </w:rPr>
        <w:t xml:space="preserve">The interaction variable of </w:t>
      </w:r>
      <w:proofErr w:type="spellStart"/>
      <w:r w:rsidRPr="008A1BF0">
        <w:rPr>
          <w:rFonts w:ascii="Arial" w:hAnsi="Arial" w:cs="Arial"/>
        </w:rPr>
        <w:t>ProfitabilityDividend</w:t>
      </w:r>
      <w:proofErr w:type="spellEnd"/>
      <w:r w:rsidRPr="008A1BF0">
        <w:rPr>
          <w:rFonts w:ascii="Arial" w:hAnsi="Arial" w:cs="Arial"/>
        </w:rPr>
        <w:t xml:space="preserve"> Policy has a significance value of 0.968 (&gt; 0.05) so it is not significant, while the Dividend Policy Stock Return is 0.055 (&lt; 0.10) </w:t>
      </w:r>
      <w:r w:rsidRPr="008A1BF0">
        <w:rPr>
          <w:rFonts w:ascii="Arial" w:hAnsi="Arial" w:cs="Arial"/>
        </w:rPr>
        <w:lastRenderedPageBreak/>
        <w:t>which shows a marginally significant moderation effect. Thus, it can be concluded that Dividend Policy does not act as a moderation variable between the relationship between Profitability and Stock Return to Stock Price Valuation. Economically, this shows that dividend policy is not a factor that is able to strengthen or weaken the influence of profitability and stock returns on the stock market value. Investors tend to view other factors, such as growth potential, financial stability, and business strategy, as key considerations in assessing the viability of a stock in the capital market.</w:t>
      </w:r>
    </w:p>
    <w:p w14:paraId="48E0EA73" w14:textId="77777777" w:rsidR="00D77A87" w:rsidRDefault="00D77A87" w:rsidP="00D77A87">
      <w:pPr>
        <w:spacing w:after="60"/>
        <w:ind w:firstLine="720"/>
        <w:jc w:val="both"/>
        <w:rPr>
          <w:rFonts w:ascii="Arial" w:hAnsi="Arial" w:cs="Arial"/>
        </w:rPr>
      </w:pPr>
    </w:p>
    <w:p w14:paraId="778F23C0" w14:textId="77777777" w:rsidR="00D77A87" w:rsidRDefault="00D77A87" w:rsidP="00D77A87">
      <w:pPr>
        <w:spacing w:after="60"/>
        <w:jc w:val="both"/>
        <w:rPr>
          <w:rFonts w:ascii="Arial" w:hAnsi="Arial" w:cs="Arial"/>
          <w:b/>
        </w:rPr>
      </w:pPr>
      <w:r w:rsidRPr="002D3907">
        <w:rPr>
          <w:rFonts w:ascii="Arial" w:hAnsi="Arial" w:cs="Arial"/>
          <w:b/>
        </w:rPr>
        <w:t>DISCUSSION</w:t>
      </w:r>
    </w:p>
    <w:p w14:paraId="495B851F" w14:textId="77777777" w:rsidR="00D77A87" w:rsidRDefault="00D77A87" w:rsidP="00D77A87">
      <w:pPr>
        <w:spacing w:after="60"/>
        <w:jc w:val="both"/>
        <w:rPr>
          <w:rStyle w:val="Strong"/>
          <w:rFonts w:ascii="Arial" w:hAnsi="Arial" w:cs="Arial"/>
        </w:rPr>
      </w:pPr>
      <w:r w:rsidRPr="002D3907">
        <w:rPr>
          <w:rStyle w:val="Strong"/>
          <w:rFonts w:ascii="Arial" w:hAnsi="Arial" w:cs="Arial"/>
        </w:rPr>
        <w:t>H1: Profitability affects Stock Price Valuation</w:t>
      </w:r>
    </w:p>
    <w:p w14:paraId="570EC037" w14:textId="77777777" w:rsidR="0095062B" w:rsidRDefault="00D77A87" w:rsidP="0095062B">
      <w:pPr>
        <w:spacing w:after="60"/>
        <w:ind w:firstLine="720"/>
        <w:jc w:val="both"/>
        <w:rPr>
          <w:rFonts w:ascii="Arial" w:hAnsi="Arial" w:cs="Arial"/>
          <w:lang w:val="id-ID"/>
        </w:rPr>
      </w:pPr>
      <w:r w:rsidRPr="00D77A87">
        <w:rPr>
          <w:rFonts w:ascii="Arial" w:hAnsi="Arial" w:cs="Arial"/>
        </w:rPr>
        <w:t xml:space="preserve">The results of the partial testing showed that profitability had a significance value of 0.202 (&gt; 0.05), which means that it had no significant effect on the valuation of the stock price. These findings indicate that the company's ability to generate profits has not been the main factor for investors in assessing the value of a stock. In practice, investors in the Indonesian capital market, especially in the financial sector, seem to not only consider the profitability ratio in determining the value of stocks, but also pay attention to external factors such as monetary policy, global economic conditions, and long-term growth expectations </w:t>
      </w:r>
      <w:r>
        <w:rPr>
          <w:rFonts w:ascii="Arial" w:hAnsi="Arial" w:cs="Arial"/>
        </w:rPr>
        <w:fldChar w:fldCharType="begin" w:fldLock="1"/>
      </w:r>
      <w:r>
        <w:rPr>
          <w:rFonts w:ascii="Arial" w:hAnsi="Arial" w:cs="Arial"/>
        </w:rPr>
        <w:instrText>ADDIN CSL_CITATION {"citationItems":[{"id":"ITEM-1","itemData":{"DOI":"10.21776/ub.apmba.2025.013.03.4","ISSN":"22528997","author":[{"dropping-particle":"","family":"Apriansyah","given":"Syahrud","non-dropping-particle":"","parse-names":false,"suffix":""},{"dropping-particle":"","family":"Kamaludin","given":"Kamaludin","non-dropping-particle":"","parse-names":false,"suffix":""},{"dropping-particle":"","family":"Zoraya","given":"Intan","non-dropping-particle":"","parse-names":false,"suffix":""},{"dropping-particle":"","family":"Putra","given":"Mukti Trio","non-dropping-particle":"","parse-names":false,"suffix":""},{"dropping-particle":"","family":"Afandy","given":"Chairil","non-dropping-particle":"","parse-names":false,"suffix":""}],"container-title":"Asia Pacific Management and Business Application","id":"ITEM-1","issue":"3","issued":{"date-parts":[["2025"]]},"page":"249-272","title":"Economic Policy Uncertainty and Firm Value: The Role of Company Debt","type":"article-journal","volume":"13"},"uris":["http://www.mendeley.com/documents/?uuid=0f944901-4367-4b9b-9322-628194490ab3"]}],"mendeley":{"formattedCitation":"(Apriansyah et al., 2025)","plainTextFormattedCitation":"(Apriansyah et al., 2025)","previouslyFormattedCitation":"(Apriansyah et al., 2025)"},"properties":{"noteIndex":0},"schema":"https://github.com/citation-style-language/schema/raw/master/csl-citation.json"}</w:instrText>
      </w:r>
      <w:r>
        <w:rPr>
          <w:rFonts w:ascii="Arial" w:hAnsi="Arial" w:cs="Arial"/>
        </w:rPr>
        <w:fldChar w:fldCharType="separate"/>
      </w:r>
      <w:r w:rsidRPr="00D77A87">
        <w:rPr>
          <w:rFonts w:ascii="Arial" w:hAnsi="Arial" w:cs="Arial"/>
          <w:noProof/>
        </w:rPr>
        <w:t>(Apriansyah et al., 2025)</w:t>
      </w:r>
      <w:r>
        <w:rPr>
          <w:rFonts w:ascii="Arial" w:hAnsi="Arial" w:cs="Arial"/>
        </w:rPr>
        <w:fldChar w:fldCharType="end"/>
      </w:r>
      <w:r w:rsidRPr="00D77A87">
        <w:rPr>
          <w:rFonts w:ascii="Arial" w:hAnsi="Arial" w:cs="Arial"/>
        </w:rPr>
        <w:t xml:space="preserve">. Volatile macroeconomic conditions can cause investors to be more cautious, so high profits are not always a positive signal to a company's value. In addition, big profits are not necessarily followed by attractive dividend distributions, which are often a major consideration for conservative investors </w:t>
      </w:r>
      <w:r>
        <w:rPr>
          <w:rFonts w:ascii="Arial" w:hAnsi="Arial" w:cs="Arial"/>
        </w:rPr>
        <w:fldChar w:fldCharType="begin" w:fldLock="1"/>
      </w:r>
      <w:r>
        <w:rPr>
          <w:rFonts w:ascii="Arial" w:hAnsi="Arial" w:cs="Arial"/>
        </w:rPr>
        <w:instrText>ADDIN CSL_CITATION {"citationItems":[{"id":"ITEM-1","itemData":{"DOI":"https://doi.org/10.38035/gijea.v3i2","author":[{"dropping-particle":"","family":"Sawitri","given":"Ni Nyoman","non-dropping-particle":"","parse-names":false,"suffix":""},{"dropping-particle":"","family":"Eprianto","given":"Idel","non-dropping-particle":"","parse-names":false,"suffix":""}],"container-title":"Greenation International Journal of Economics and Accounting","id":"ITEM-1","issue":"2","issued":{"date-parts":[["2025"]]},"page":"217-236","title":"Determining Sustainability Growth : Analysis of Dividend Policy , Capital Structure , Liquidity , and Financial Statement Digitalization Mediated by Profitability","type":"article-journal","volume":"3"},"uris":["http://www.mendeley.com/documents/?uuid=f2041ace-86a9-4cfc-95d3-8b6fc3e41ba9"]}],"mendeley":{"formattedCitation":"(Sawitri &amp; Eprianto, 2025)","plainTextFormattedCitation":"(Sawitri &amp; Eprianto, 2025)","previouslyFormattedCitation":"(Sawitri &amp; Eprianto, 2025)"},"properties":{"noteIndex":0},"schema":"https://github.com/citation-style-language/schema/raw/master/csl-citation.json"}</w:instrText>
      </w:r>
      <w:r>
        <w:rPr>
          <w:rFonts w:ascii="Arial" w:hAnsi="Arial" w:cs="Arial"/>
        </w:rPr>
        <w:fldChar w:fldCharType="separate"/>
      </w:r>
      <w:r w:rsidRPr="00D77A87">
        <w:rPr>
          <w:rFonts w:ascii="Arial" w:hAnsi="Arial" w:cs="Arial"/>
          <w:noProof/>
        </w:rPr>
        <w:t>(Sawitri &amp; Eprianto, 2025)</w:t>
      </w:r>
      <w:r>
        <w:rPr>
          <w:rFonts w:ascii="Arial" w:hAnsi="Arial" w:cs="Arial"/>
        </w:rPr>
        <w:fldChar w:fldCharType="end"/>
      </w:r>
      <w:r w:rsidRPr="00D77A87">
        <w:rPr>
          <w:rFonts w:ascii="Arial" w:hAnsi="Arial" w:cs="Arial"/>
        </w:rPr>
        <w:t xml:space="preserve">. Thus, the results of this study confirm that internal fundamental factors such as profitability are not necessarily in line with market perception of stock value. </w:t>
      </w:r>
    </w:p>
    <w:p w14:paraId="6BF0E288" w14:textId="77777777" w:rsidR="0095062B" w:rsidRDefault="00D77A87" w:rsidP="0095062B">
      <w:pPr>
        <w:spacing w:after="60"/>
        <w:ind w:firstLine="720"/>
        <w:jc w:val="both"/>
        <w:rPr>
          <w:rFonts w:ascii="Arial" w:hAnsi="Arial" w:cs="Arial"/>
        </w:rPr>
      </w:pPr>
      <w:r w:rsidRPr="00D77A87">
        <w:rPr>
          <w:rFonts w:ascii="Arial" w:hAnsi="Arial" w:cs="Arial"/>
        </w:rPr>
        <w:t xml:space="preserve">This finding can be explained through signaling theory which states that profits function as a positive signal from management to investors </w:t>
      </w:r>
      <w:r>
        <w:rPr>
          <w:rFonts w:ascii="Arial" w:hAnsi="Arial" w:cs="Arial"/>
        </w:rPr>
        <w:fldChar w:fldCharType="begin" w:fldLock="1"/>
      </w:r>
      <w:r>
        <w:rPr>
          <w:rFonts w:ascii="Arial" w:hAnsi="Arial" w:cs="Arial"/>
        </w:rPr>
        <w:instrText>ADDIN CSL_CITATION {"citationItems":[{"id":"ITEM-1","itemData":{"author":[{"dropping-particle":"","family":"Spence","given":"Michael","non-dropping-particle":"","parse-names":false,"suffix":""}],"container-title":"The Quarterly Journal of Economics","id":"ITEM-1","issue":"3","issued":{"date-parts":[["1973"]]},"page":"355-374","title":"Job Market Signaling","type":"article-journal","volume":"87"},"uris":["http://www.mendeley.com/documents/?uuid=3d39b43b-96cd-4663-8215-621fd86f7075"]}],"mendeley":{"formattedCitation":"(Spence, 1973)","plainTextFormattedCitation":"(Spence, 1973)","previouslyFormattedCitation":"(Spence, 1973)"},"properties":{"noteIndex":0},"schema":"https://github.com/citation-style-language/schema/raw/master/csl-citation.json"}</w:instrText>
      </w:r>
      <w:r>
        <w:rPr>
          <w:rFonts w:ascii="Arial" w:hAnsi="Arial" w:cs="Arial"/>
        </w:rPr>
        <w:fldChar w:fldCharType="separate"/>
      </w:r>
      <w:r w:rsidRPr="00D77A87">
        <w:rPr>
          <w:rFonts w:ascii="Arial" w:hAnsi="Arial" w:cs="Arial"/>
          <w:noProof/>
        </w:rPr>
        <w:t>(Spence, 1973)</w:t>
      </w:r>
      <w:r>
        <w:rPr>
          <w:rFonts w:ascii="Arial" w:hAnsi="Arial" w:cs="Arial"/>
        </w:rPr>
        <w:fldChar w:fldCharType="end"/>
      </w:r>
      <w:r w:rsidRPr="00D77A87">
        <w:rPr>
          <w:rFonts w:ascii="Arial" w:hAnsi="Arial" w:cs="Arial"/>
        </w:rPr>
        <w:t xml:space="preserve">. However, the results of this study show that profit signals are not fully responded to by the market, likely due to the asymmetry of information between management and investors </w:t>
      </w:r>
      <w:r>
        <w:rPr>
          <w:rFonts w:ascii="Arial" w:hAnsi="Arial" w:cs="Arial"/>
        </w:rPr>
        <w:fldChar w:fldCharType="begin" w:fldLock="1"/>
      </w:r>
      <w:r>
        <w:rPr>
          <w:rFonts w:ascii="Arial" w:hAnsi="Arial" w:cs="Arial"/>
        </w:rPr>
        <w:instrText>ADDIN CSL_CITATION {"citationItems":[{"id":"ITEM-1","itemData":{"DOI":"10.19026/rjaset.5.4827","ISSN":"20407467","abstract":"This study examines the value relevance (information content) of cash flow and accounting figures in situations where the information is asymmetrical and Compare the relative information content of them to clarify the role of accounting figures in investment decision making and mitigating the agency problems (specifically resulting from the existence of information asymmetry in the emerging markets). Based on testing a sample of 76 firms from Tehran Stock Exchange (TSE) during 2005 to 2011, the results support the priority of accounting figures over cash flows in the market (TSE). On the other hand, when the information is asymmetrical, the accounting figures are still more relevant than the cash flows and have more relative information content. At the same time, in small firms, the value relevance of the accounting figures compared to cash flows is more; while in large firms, the relative content of accounting figures and cash flow figures aren't significantly different. © Maxwell Scientific Organization, 2013.","author":[{"dropping-particle":"","family":"Moradi","given":"Javad","non-dropping-particle":"","parse-names":false,"suffix":""},{"dropping-particle":"","family":"Valipour","given":"Hashem","non-dropping-particle":"","parse-names":false,"suffix":""},{"dropping-particle":"","family":"Dowran","given":"Aida","non-dropping-particle":"","parse-names":false,"suffix":""}],"container-title":"Research Journal of Applied Sciences, Engineering and Technology","id":"ITEM-1","issue":"4","issued":{"date-parts":[["2013"]]},"page":"1134-1141","title":"Asymmetric information and the role of accounting in emerging markets evidences from TSE","type":"article-journal","volume":"5"},"uris":["http://www.mendeley.com/documents/?uuid=fba20c1f-d79c-4f18-bd60-513c452fad2c"]}],"mendeley":{"formattedCitation":"(Moradi et al., 2013)","plainTextFormattedCitation":"(Moradi et al., 2013)","previouslyFormattedCitation":"(Moradi et al., 2013)"},"properties":{"noteIndex":0},"schema":"https://github.com/citation-style-language/schema/raw/master/csl-citation.json"}</w:instrText>
      </w:r>
      <w:r>
        <w:rPr>
          <w:rFonts w:ascii="Arial" w:hAnsi="Arial" w:cs="Arial"/>
        </w:rPr>
        <w:fldChar w:fldCharType="separate"/>
      </w:r>
      <w:r w:rsidRPr="00D77A87">
        <w:rPr>
          <w:rFonts w:ascii="Arial" w:hAnsi="Arial" w:cs="Arial"/>
          <w:noProof/>
        </w:rPr>
        <w:t>(Moradi et al., 2013)</w:t>
      </w:r>
      <w:r>
        <w:rPr>
          <w:rFonts w:ascii="Arial" w:hAnsi="Arial" w:cs="Arial"/>
        </w:rPr>
        <w:fldChar w:fldCharType="end"/>
      </w:r>
      <w:r w:rsidRPr="00D77A87">
        <w:rPr>
          <w:rFonts w:ascii="Arial" w:hAnsi="Arial" w:cs="Arial"/>
        </w:rPr>
        <w:t xml:space="preserve">. Information asymmetry can cause investors to doubt the sustainability of high profits if it is not supported by financial transparency and long-term operational performance. Additionally, modern investors tend to pay attention to additional indicators such as asset growth, operational efficiency, and free cash flow to assess a company's potential </w:t>
      </w:r>
      <w:r>
        <w:rPr>
          <w:rFonts w:ascii="Arial" w:hAnsi="Arial" w:cs="Arial"/>
        </w:rPr>
        <w:fldChar w:fldCharType="begin" w:fldLock="1"/>
      </w:r>
      <w:r>
        <w:rPr>
          <w:rFonts w:ascii="Arial" w:hAnsi="Arial" w:cs="Arial"/>
        </w:rPr>
        <w:instrText>ADDIN CSL_CITATION {"citationItems":[{"id":"ITEM-1","itemData":{"DOI":"10.46367/jas.v8i2.2180","ISSN":"2549-3086","abstract":"This study aims to analyze the role of profitability in mediating the relationship between liquidity, leverage, and firm size on firm value. The data used in this study are secondary data obtained from the Indonesia Stock Exchange websites. The population comprises 71 companies listed in the LQ45 index for 2018-2022. The study sample includes 18 non-bank companies within the LQ45 index, selected through purposive sampling, yielding 90 observations over five years. Data analysis was conducted using panel data with EViews 13 software. Model selection was carried out through the Chow, Hausman, and Lagrange Multiplier tests. The study results show that liquidity does not affect profitability, while leverage negatively affects profitability, but company size positively affects profitability. Furthermore, leverage negatively affects firm value, liquidity, and company size do not affect firm value, but profitability positively affects firm value. Profitability cannot mediate the effect of liquidity and firm size on firm value, but profitability can mediate the effect of leverage on firm value. Theoretically, this research complements previous theories and serves as a reference for future studies. Practically, investors can utilize this information to exercise caution when assessing companies with high leverage levels but low profitability.","author":[{"dropping-particle":"","family":"Inrawan","given":"Ady","non-dropping-particle":"","parse-names":false,"suffix":""},{"dropping-particle":"","family":"Lie","given":"Darwin","non-dropping-particle":"","parse-names":false,"suffix":""}],"container-title":"JAS (Jurnal Akuntansi Syariah)","id":"ITEM-1","issue":"2","issued":{"date-parts":[["2024"]]},"page":"389-413","title":"The Role Of Profitability In Mediating Determinants Of Firm Value","type":"article-journal","volume":"8"},"uris":["http://www.mendeley.com/documents/?uuid=9f25fb68-a1de-4a84-89ed-b56ba1ba2c2a"]}],"mendeley":{"formattedCitation":"(Inrawan &amp; Lie, 2024)","plainTextFormattedCitation":"(Inrawan &amp; Lie, 2024)","previouslyFormattedCitation":"(Inrawan &amp; Lie, 2024)"},"properties":{"noteIndex":0},"schema":"https://github.com/citation-style-language/schema/raw/master/csl-citation.json"}</w:instrText>
      </w:r>
      <w:r>
        <w:rPr>
          <w:rFonts w:ascii="Arial" w:hAnsi="Arial" w:cs="Arial"/>
        </w:rPr>
        <w:fldChar w:fldCharType="separate"/>
      </w:r>
      <w:r w:rsidRPr="00D77A87">
        <w:rPr>
          <w:rFonts w:ascii="Arial" w:hAnsi="Arial" w:cs="Arial"/>
          <w:noProof/>
        </w:rPr>
        <w:t>(Inrawan &amp; Lie, 2024)</w:t>
      </w:r>
      <w:r>
        <w:rPr>
          <w:rFonts w:ascii="Arial" w:hAnsi="Arial" w:cs="Arial"/>
        </w:rPr>
        <w:fldChar w:fldCharType="end"/>
      </w:r>
      <w:r w:rsidRPr="00D77A87">
        <w:rPr>
          <w:rFonts w:ascii="Arial" w:hAnsi="Arial" w:cs="Arial"/>
        </w:rPr>
        <w:t>. This condition illustrates that profitability alone is not enough to be the basis for stock valuation decisions. Therefore, companies need to strengthen their financial communication strategies to increase investor confidence in profit performance. In this way, profits can again be an effective signal in increasing the perception of market value.</w:t>
      </w:r>
    </w:p>
    <w:p w14:paraId="132F7278" w14:textId="77777777" w:rsidR="0095062B" w:rsidRDefault="00D77A87" w:rsidP="0095062B">
      <w:pPr>
        <w:spacing w:after="60"/>
        <w:ind w:firstLine="720"/>
        <w:jc w:val="both"/>
        <w:rPr>
          <w:rFonts w:ascii="Arial" w:hAnsi="Arial" w:cs="Arial"/>
          <w:lang w:val="id-ID"/>
        </w:rPr>
      </w:pPr>
      <w:r w:rsidRPr="00D77A87">
        <w:rPr>
          <w:rFonts w:ascii="Arial" w:hAnsi="Arial" w:cs="Arial"/>
        </w:rPr>
        <w:t xml:space="preserve">On the other hand, these results are not in line with previous research by </w:t>
      </w:r>
      <w:r>
        <w:rPr>
          <w:rFonts w:ascii="Arial" w:hAnsi="Arial" w:cs="Arial"/>
        </w:rPr>
        <w:fldChar w:fldCharType="begin" w:fldLock="1"/>
      </w:r>
      <w:r w:rsidR="00A66568">
        <w:rPr>
          <w:rFonts w:ascii="Arial" w:hAnsi="Arial" w:cs="Arial"/>
        </w:rPr>
        <w:instrText>ADDIN CSL_CITATION {"citationItems":[{"id":"ITEM-1","itemData":{"ISSN":"2686-522X","abstract":"The cause of this research is to investigate and prove the impact of ROA, ROE, NPM, and GPM on firm’s value (Tobin's Q) either partially or simultaneously and decide which profitability ratio is more dominant in explaining Tobin's Q variance. The analysis was carried out on companies listed in the Jakarta Islamic Index (JII) for 2015-2020. The sample selected was issuers consistently registered with JII during the 2015-2020 period, and 11 issuers were selected. The results of the analysis show ROA and NPM partially sizeable good-sized effect on Tobin's Q, whilst ROE and GPM do not have any effect. ROA is positively correlated, and NPM is negatively correlated. However, all independent variables simultaneously have a significant impact on Tobin's Q. The R-square value of is 0.953648 shows that 95.37% of Tobin's Q variance can be explained by changes in ROA, ROE, GPM, and NPM, while other factors outside the model cause the remaining 4.43%. Of the four variables tested, ROA is the more dominant variable affecting Tobin's Q and can be used as the best proxy for corporate profitability.","author":[{"dropping-particle":"","family":"Jonnius","given":"Jonnius","non-dropping-particle":"","parse-names":false,"suffix":""},{"dropping-particle":"","family":"Almatius","given":"Marsudi","non-dropping-particle":"","parse-names":false,"suffix":""}],"container-title":"Dinasti International Journal of Management Science","id":"ITEM-1","issue":"1","issued":{"date-parts":[["2021"]]},"page":"23-47","title":"Profitability and the Firm's Value","type":"article-journal","volume":"3"},"uris":["http://www.mendeley.com/documents/?uuid=d28b8e49-be4d-4f33-84a1-00184a18a4a2"]},{"id":"ITEM-2","itemData":{"author":[{"dropping-particle":"","family":"Tinungki","given":"Georgina Maria","non-dropping-particle":"","parse-names":false,"suffix":""},{"dropping-particle":"","family":"Hartono","given":"Powell Gian","non-dropping-particle":"","parse-names":false,"suffix":""},{"dropping-particle":"","family":"Robiyanto","given":"Robiyanto","non-dropping-particle":"","parse-names":false,"suffix":""},{"dropping-particle":"","family":"Hartono","given":"Agus Budi","non-dropping-particle":"","parse-names":false,"suffix":""},{"dropping-particle":"","family":"Jakaria","given":"Jakaria","non-dropping-particle":"","parse-names":false,"suffix":""},{"dropping-particle":"","family":"Simanjuntak","given":"Lydia Rosintan","non-dropping-particle":"","parse-names":false,"suffix":""}],"id":"ITEM-2","issued":{"date-parts":[["2022"]]},"title":"The COVID-19 Pandemic Impact on Corporate Dividend Policy of Sustainable and Responsible Investment in Indonesia : Static and Dynamic Panel Data Model Comparison","type":"article-journal"},"uris":["http://www.mendeley.com/documents/?uuid=429231e8-0046-4b77-9ef3-46d2b02f700d"]}],"mendeley":{"formattedCitation":"(Jonnius &amp; Almatius, 2021; Tinungki et al., 2022)","manualFormatting":"Jonnius &amp; Almatius (2021) dan Tinungki et al (2022)","plainTextFormattedCitation":"(Jonnius &amp; Almatius, 2021; Tinungki et al., 2022)","previouslyFormattedCitation":"(Jonnius &amp; Almatius, 2021; Tinungki et al., 2022)"},"properties":{"noteIndex":0},"schema":"https://github.com/citation-style-language/schema/raw/master/csl-citation.json"}</w:instrText>
      </w:r>
      <w:r>
        <w:rPr>
          <w:rFonts w:ascii="Arial" w:hAnsi="Arial" w:cs="Arial"/>
        </w:rPr>
        <w:fldChar w:fldCharType="separate"/>
      </w:r>
      <w:r w:rsidR="00A66568">
        <w:rPr>
          <w:rFonts w:ascii="Arial" w:hAnsi="Arial" w:cs="Arial"/>
          <w:noProof/>
        </w:rPr>
        <w:t>Jonnius &amp; Almatius (2021) and Tinungki et al (2022)</w:t>
      </w:r>
      <w:r>
        <w:rPr>
          <w:rFonts w:ascii="Arial" w:hAnsi="Arial" w:cs="Arial"/>
        </w:rPr>
        <w:fldChar w:fldCharType="end"/>
      </w:r>
      <w:r w:rsidR="00A66568">
        <w:rPr>
          <w:rFonts w:ascii="Arial" w:hAnsi="Arial" w:cs="Arial"/>
        </w:rPr>
        <w:t xml:space="preserve"> who find the positive influence of profitability on the value of the company. This discrepancy can be caused by differences in sample characteristics and observation periods, where in the 2021–2024 period many financial firms face economic fluctuations due to global uncertainty. This condition affects profit stability and reduces the relevance of profitability as the main indicator of stock value valuation </w:t>
      </w:r>
      <w:r w:rsidR="00A66568">
        <w:rPr>
          <w:rFonts w:ascii="Arial" w:hAnsi="Arial" w:cs="Arial"/>
        </w:rPr>
        <w:fldChar w:fldCharType="begin" w:fldLock="1"/>
      </w:r>
      <w:r w:rsidR="00A66568">
        <w:rPr>
          <w:rFonts w:ascii="Arial" w:hAnsi="Arial" w:cs="Arial"/>
        </w:rPr>
        <w:instrText>ADDIN CSL_CITATION {"citationItems":[{"id":"ITEM-1","itemData":{"DOI":"10.55047/marginal.v4i4.1899","ISSN":"2809-8013","abstract":"Company value represents a key benchmark in measuring financial performance and long-term viability for investors. This study investigates how profitability, leverage, and firm size influence company value in non-cyclical consumer sector manufacturing firms listed on the Indonesia Stock Exchange between 2021 and 2023. Through purposive sampling method, 183 firm-year observations were obtained and analyzed using multiple linear regression after all classical assumption tests were fulfilled. The research results show that profitability (β = –0.004; p &lt; 0.001) and company size (β = –0.112; p &lt; 0.001) have a significant negative effect on company value, while leverage (β = 0.509; p &lt; 0.001) has a significant positive effect. The research model has strong explanatory power with an Adjusted R² of 0.904, meaning the three variables can explain 90.4% of the variation in company value. These findings confirm that in this sector, high profitability and large company scale do not always enhance investor perception, while optimal debt utilization can actually serve as a positive signal regarding the company's future prospects. This research expands understanding of Signaling Theory by showing that profitability and company size are not always perceived positively by investors, while leverage can serve as a signal of confidence in the company's prospects. Practically, these findings emphasize the importance of transparency, efficiency, and financial strategies that align with investor expectations in enhancing company value.","author":[{"dropping-particle":"","family":"Aushaf","given":"Wishal Dafa","non-dropping-particle":"","parse-names":false,"suffix":""},{"dropping-particle":"","family":"Azizah","given":"Siti Nur","non-dropping-particle":"","parse-names":false,"suffix":""},{"dropping-particle":"","family":"Amir","given":"Amir","non-dropping-particle":"","parse-names":false,"suffix":""},{"dropping-particle":"","family":"Fakhruddin","given":"Iwan","non-dropping-particle":"","parse-names":false,"suffix":""}],"container-title":"Journal of Management, Accounting, General Finance and International Economic Issues","id":"ITEM-1","issue":"4","issued":{"date-parts":[["2025","9","13"]]},"page":"1164-1176","title":"The Effect of Profitability, Leverage, and Firm Size on Firm Value in Non-Cyclical Consumer Sector Manufacturing Companies for 2021-2023","type":"article-journal","volume":"4"},"uris":["http://www.mendeley.com/documents/?uuid=e2495a8e-2d13-41dc-9b54-8e460b18255c"]}],"mendeley":{"formattedCitation":"(Aushaf et al., 2025)","plainTextFormattedCitation":"(Aushaf et al., 2025)","previouslyFormattedCitation":"(Aushaf et al., 2025)"},"properties":{"noteIndex":0},"schema":"https://github.com/citation-style-language/schema/raw/master/csl-citation.json"}</w:instrText>
      </w:r>
      <w:r w:rsidR="00A66568">
        <w:rPr>
          <w:rFonts w:ascii="Arial" w:hAnsi="Arial" w:cs="Arial"/>
        </w:rPr>
        <w:fldChar w:fldCharType="separate"/>
      </w:r>
      <w:r w:rsidR="00A66568" w:rsidRPr="00A66568">
        <w:rPr>
          <w:rFonts w:ascii="Arial" w:hAnsi="Arial" w:cs="Arial"/>
          <w:noProof/>
        </w:rPr>
        <w:t>(Aushaf et al., 2025)</w:t>
      </w:r>
      <w:r w:rsidR="00A66568">
        <w:rPr>
          <w:rFonts w:ascii="Arial" w:hAnsi="Arial" w:cs="Arial"/>
        </w:rPr>
        <w:fldChar w:fldCharType="end"/>
      </w:r>
      <w:r w:rsidRPr="00D77A87">
        <w:rPr>
          <w:rFonts w:ascii="Arial" w:hAnsi="Arial" w:cs="Arial"/>
        </w:rPr>
        <w:t xml:space="preserve">. In addition, modern investors now consider Environmental, Social, and Governance (ESG) factors and sustainable growth strategies in making investment decisions </w:t>
      </w:r>
      <w:r w:rsidR="00A66568">
        <w:rPr>
          <w:rFonts w:ascii="Arial" w:hAnsi="Arial" w:cs="Arial"/>
        </w:rPr>
        <w:fldChar w:fldCharType="begin" w:fldLock="1"/>
      </w:r>
      <w:r w:rsidR="00A66568">
        <w:rPr>
          <w:rFonts w:ascii="Arial" w:hAnsi="Arial" w:cs="Arial"/>
        </w:rPr>
        <w:instrText>ADDIN CSL_CITATION {"citationItems":[{"id":"ITEM-1","itemData":{"PMID":"38252772","abstract":"BACKGROUND: Despite a relative reduction in the hospitalization rate for heart failure (HF), the actual number of HF hospitalizations remains &gt;1 million annually. More than 80% of patients who are hospitalized are initially seen in the emergency department (ED). Importantly, the ED is the safety net for acute HF (AHF) care. Thus, it is the primary provider for vulnerable patients, including those with low socioeconomic status, minority populations, and those with poor health literacy. Hospitalized patients with HF are among those most frequently readmitted within 30 days; they have up to a 25% risk of readmission within a month and a 50% risk within 6 months of discharge. Events in patients with AHF discharged from the ED are reportedly much higher, and an even greater disparity exists between vulnerable and nonvulnerable patients. Self-care education and other strategies could improve this disparity gap. We proposed studying the impact of a self-care intervention on patients with AHF discharged from the ED. OBJECTIVES: We determined the impact of our self-care intervention on our primary outcome, a composite global rank prioritizing outcomes in the following order: cardiovascular (CV) death, HF event (first ED/clinic revisit or hospital admission), and Kansas City Cardiomyopathy Questionnaire (KCCQ) score at 90 days. We (1) determined the overall impact of our strategy regardless of vulnerable characteristics, (2) explored individual characteristics of vulnerability associated with the highest (and lowest) improvements from our intervention, and (3) assessed the reduction in disparities in our primary outcome between those with and without characteristics of vulnerability. Secondary end points included our primary composite outcome at 30 days, patient satisfaction, HF knowledge, and HF health status based on the KCCQ at 30 and 90 days. METHODS: Patients with AHF who were discharged after a brief ED stay at 15 sites were screened to ensure that they fulfilled our broad inclusion and exclusion criteria: history of HF, not on an outpatient inotrope infusion, systolic blood pressure (BP) &gt;100 mm Hg, and no evidence of an acute coronary syndrome. They were randomly assigned 1:1 to structured usual ED discharge care vs a tailored intervention strategy that focused on self-care strategies over the subsequent 90 days. This intervention was conducted by study team coordinators, nurses, and paramedics trained under an identical protocol. We stratified by site an…","author":[{"dropping-particle":"","family":"Joshua","given":"Yolanda","non-dropping-particle":"","parse-names":false,"suffix":""},{"dropping-particle":"","family":"Chalid","given":"dony Abdul","non-dropping-particle":"","parse-names":false,"suffix":""}],"container-title":"Indonesian Interdisciplinary Journal of Sharia Economics","id":"ITEM-1","issue":"3","issued":{"date-parts":[["2021"]]},"page":"167-186","title":"The Impact of ESG Score on Company Value in Southeast Asia: The Role of Competitive Advantage as a Moderating Variable","type":"article-journal","volume":"8"},"uris":["http://www.mendeley.com/documents/?uuid=71e80703-197b-4cb3-8d9b-4dc806d4becf"]}],"mendeley":{"formattedCitation":"(Joshua &amp; Chalid, 2021)","plainTextFormattedCitation":"(Joshua &amp; Chalid, 2021)","previouslyFormattedCitation":"(Joshua &amp; Chalid, 2021)"},"properties":{"noteIndex":0},"schema":"https://github.com/citation-style-language/schema/raw/master/csl-citation.json"}</w:instrText>
      </w:r>
      <w:r w:rsidR="00A66568">
        <w:rPr>
          <w:rFonts w:ascii="Arial" w:hAnsi="Arial" w:cs="Arial"/>
        </w:rPr>
        <w:fldChar w:fldCharType="separate"/>
      </w:r>
      <w:r w:rsidR="00A66568" w:rsidRPr="00A66568">
        <w:rPr>
          <w:rFonts w:ascii="Arial" w:hAnsi="Arial" w:cs="Arial"/>
          <w:noProof/>
        </w:rPr>
        <w:t>(Joshua &amp; Chalid, 2021)</w:t>
      </w:r>
      <w:r w:rsidR="00A66568">
        <w:rPr>
          <w:rFonts w:ascii="Arial" w:hAnsi="Arial" w:cs="Arial"/>
        </w:rPr>
        <w:fldChar w:fldCharType="end"/>
      </w:r>
      <w:r w:rsidR="00A66568">
        <w:rPr>
          <w:rFonts w:ascii="Arial" w:hAnsi="Arial" w:cs="Arial"/>
        </w:rPr>
        <w:t xml:space="preserve">. High profitability without long-term innovation or efficiency support may be considered unsustainable. Therefore, the results of this study reinforce the view that the valuation of stock values in an era of economic uncertainty requires a more comprehensive and multidimensional analytical approach. </w:t>
      </w:r>
    </w:p>
    <w:p w14:paraId="1E473133" w14:textId="77777777" w:rsidR="0095062B" w:rsidRDefault="0095062B" w:rsidP="0095062B">
      <w:pPr>
        <w:spacing w:after="60"/>
        <w:jc w:val="both"/>
        <w:rPr>
          <w:rFonts w:ascii="Arial" w:hAnsi="Arial" w:cs="Arial"/>
          <w:lang w:val="id-ID"/>
        </w:rPr>
      </w:pPr>
    </w:p>
    <w:p w14:paraId="2C372F92" w14:textId="77777777" w:rsidR="0095062B" w:rsidRDefault="00D77A87" w:rsidP="0095062B">
      <w:pPr>
        <w:spacing w:after="60"/>
        <w:jc w:val="both"/>
        <w:rPr>
          <w:rStyle w:val="Strong"/>
          <w:rFonts w:ascii="Arial" w:hAnsi="Arial" w:cs="Arial"/>
        </w:rPr>
      </w:pPr>
      <w:r w:rsidRPr="002D3907">
        <w:rPr>
          <w:rStyle w:val="Strong"/>
          <w:rFonts w:ascii="Arial" w:hAnsi="Arial" w:cs="Arial"/>
        </w:rPr>
        <w:t>H2: Stock Return affects Stock Price Valuation</w:t>
      </w:r>
    </w:p>
    <w:p w14:paraId="5C28B6CC" w14:textId="77777777" w:rsidR="0095062B" w:rsidRDefault="00A66568" w:rsidP="0095062B">
      <w:pPr>
        <w:spacing w:after="60"/>
        <w:ind w:firstLine="720"/>
        <w:jc w:val="both"/>
        <w:rPr>
          <w:rFonts w:ascii="Arial" w:hAnsi="Arial" w:cs="Arial"/>
        </w:rPr>
      </w:pPr>
      <w:r w:rsidRPr="00A66568">
        <w:rPr>
          <w:rFonts w:ascii="Arial" w:hAnsi="Arial" w:cs="Arial"/>
        </w:rPr>
        <w:t xml:space="preserve">The results of the partial test showed that the stock return had a significance value of 0.352 (&gt; 0.05), which means that it did not have a significant effect on the valuation of the </w:t>
      </w:r>
      <w:r w:rsidRPr="00A66568">
        <w:rPr>
          <w:rFonts w:ascii="Arial" w:hAnsi="Arial" w:cs="Arial"/>
        </w:rPr>
        <w:lastRenderedPageBreak/>
        <w:t xml:space="preserve">stock price. This finding indicates that the rate of return on shares received by investors has not yet become a key indicator in assessing the intrinsic value of a stock. In the context of the Indonesian capital market, this result can be explained by the high volatility of the market, which makes stock returns volatile and difficult to predict consistently </w:t>
      </w:r>
      <w:r>
        <w:rPr>
          <w:rFonts w:ascii="Arial" w:hAnsi="Arial" w:cs="Arial"/>
        </w:rPr>
        <w:fldChar w:fldCharType="begin" w:fldLock="1"/>
      </w:r>
      <w:r>
        <w:rPr>
          <w:rFonts w:ascii="Arial" w:hAnsi="Arial" w:cs="Arial"/>
        </w:rPr>
        <w:instrText>ADDIN CSL_CITATION {"citationItems":[{"id":"ITEM-1","itemData":{"DOI":"10.24912/ijaeb.v1i2.410-418","abstract":"Indonesia as the fourth largest country in the world as well as its status as emerging country has attracted many investors, especially foreign investors. Previous studies still debating whether these foreign investors are giving significant effect on Indonesia stock market volatility. Our study found that there is evidence on how foreign investors affecting the stock market. Evidence found suggest that foreign trading activity gives significant effect on Indonesia stock market volatility. Another evidence suggested that as market capitalization increases, trading volume will increase as well. However, our findings found that the percentage of foreign investor ownership does not give any significant effect towards market volatility.","author":[{"dropping-particle":"","family":"Kristian","given":"Michelle","non-dropping-particle":"","parse-names":false,"suffix":""},{"dropping-particle":"","family":"Adiwena","given":"Stevanus","non-dropping-particle":"","parse-names":false,"suffix":""},{"dropping-particle":"","family":"Laksana","given":"Yohanes Bayu","non-dropping-particle":"","parse-names":false,"suffix":""}],"container-title":"International Journal of Application on Economics and Business","id":"ITEM-1","issue":"2","issued":{"date-parts":[["2023"]]},"page":"410-418","title":"Foreign Investor and Market Volatility: Evidence on Indonesia Stock Market","type":"article-journal","volume":"1"},"uris":["http://www.mendeley.com/documents/?uuid=de631a12-f860-4710-b9ad-4482f34c0e58"]}],"mendeley":{"formattedCitation":"(Kristian et al., 2023)","plainTextFormattedCitation":"(Kristian et al., 2023)","previouslyFormattedCitation":"(Kristian et al., 2023)"},"properties":{"noteIndex":0},"schema":"https://github.com/citation-style-language/schema/raw/master/csl-citation.json"}</w:instrText>
      </w:r>
      <w:r>
        <w:rPr>
          <w:rFonts w:ascii="Arial" w:hAnsi="Arial" w:cs="Arial"/>
        </w:rPr>
        <w:fldChar w:fldCharType="separate"/>
      </w:r>
      <w:r w:rsidRPr="00A66568">
        <w:rPr>
          <w:rFonts w:ascii="Arial" w:hAnsi="Arial" w:cs="Arial"/>
          <w:noProof/>
        </w:rPr>
        <w:t>(Kristian et al., 2023)</w:t>
      </w:r>
      <w:r>
        <w:rPr>
          <w:rFonts w:ascii="Arial" w:hAnsi="Arial" w:cs="Arial"/>
        </w:rPr>
        <w:fldChar w:fldCharType="end"/>
      </w:r>
      <w:r w:rsidRPr="00A66568">
        <w:rPr>
          <w:rFonts w:ascii="Arial" w:hAnsi="Arial" w:cs="Arial"/>
        </w:rPr>
        <w:t>. Investors tend to view stock returns as short-term results, rather than as a reflection of a company's fundamental value. Therefore, investment decisions are more influenced by financial performance stability, growth prospects, and good corporate governance (</w:t>
      </w:r>
      <w:proofErr w:type="spellStart"/>
      <w:r w:rsidRPr="00A66568">
        <w:rPr>
          <w:rFonts w:ascii="Arial" w:hAnsi="Arial" w:cs="Arial"/>
        </w:rPr>
        <w:t>Gunawan</w:t>
      </w:r>
      <w:proofErr w:type="spellEnd"/>
      <w:r w:rsidRPr="00A66568">
        <w:rPr>
          <w:rFonts w:ascii="Arial" w:hAnsi="Arial" w:cs="Arial"/>
        </w:rPr>
        <w:t xml:space="preserve"> et al., 2024). External factors such as changes in interest rates, fiscal policy, and global economic dynamics also shape investors' perception of stock returns </w:t>
      </w:r>
      <w:r>
        <w:rPr>
          <w:rFonts w:ascii="Arial" w:hAnsi="Arial" w:cs="Arial"/>
        </w:rPr>
        <w:fldChar w:fldCharType="begin" w:fldLock="1"/>
      </w:r>
      <w:r>
        <w:rPr>
          <w:rFonts w:ascii="Arial" w:hAnsi="Arial" w:cs="Arial"/>
        </w:rPr>
        <w:instrText>ADDIN CSL_CITATION {"citationItems":[{"id":"ITEM-1","itemData":{"DOI":"10.47067/ramss.v7i4.423","ISSN":"2708-2024","abstract":" \r This study examines the macroeconomic factors of the financial performance of cement sector firms in Pakistan. For this purpose, the data from 2011 to 2020 of cement sector firms listed on PSX is used in a study. The financial performance of cement sector firms is measured using ROA, ROI and ROE. For data analysis, panel unit root test, correlation matrix and pooled ordinary least square method are applied. The outcomes also point out that interest rate is negatively and significantly related to the ROE. Similarly, inflation rate is negatively associated with the ROA and ROE. Similarly, exchange rate is negatively and significantly related to the ROA and ROI. Lastly, GDP growth rate is positively and significantly associated to the ROA, ROE and ROI. Based on the results, it is inferred that macroeconomic factors are crucial to influence the financial performance of the cement sector in Pakistan. Therefore, these firms should take into consideration the macroeconomic factors to improve their financial performance.","author":[{"dropping-particle":"","family":"Hanif","given":"Muhammad","non-dropping-particle":"","parse-names":false,"suffix":""},{"dropping-particle":"","family":"Ali","given":"Muhammad Sibt-e-","non-dropping-particle":"","parse-names":false,"suffix":""},{"dropping-particle":"","family":"Asghar","given":"Muhammad Muzammil","non-dropping-particle":"","parse-names":false,"suffix":""},{"dropping-particle":"","family":"Farhan","given":"Muhammad","non-dropping-particle":"","parse-names":false,"suffix":""}],"container-title":"Review of Applied Management and Social Sciences","id":"ITEM-1","issue":"4","issued":{"date-parts":[["2024"]]},"page":"929-937","title":"Macroeconomic Factors of Financial Performance: A Case Study of Cement Sector of Pakistan","type":"article-journal","volume":"7"},"uris":["http://www.mendeley.com/documents/?uuid=2d9d5bca-7a79-4f78-b8ed-1a61a71993fe"]}],"mendeley":{"formattedCitation":"(Hanif et al., 2024)","plainTextFormattedCitation":"(Hanif et al., 2024)","previouslyFormattedCitation":"(Hanif et al., 2024)"},"properties":{"noteIndex":0},"schema":"https://github.com/citation-style-language/schema/raw/master/csl-citation.json"}</w:instrText>
      </w:r>
      <w:r>
        <w:rPr>
          <w:rFonts w:ascii="Arial" w:hAnsi="Arial" w:cs="Arial"/>
        </w:rPr>
        <w:fldChar w:fldCharType="separate"/>
      </w:r>
      <w:r w:rsidRPr="00A66568">
        <w:rPr>
          <w:rFonts w:ascii="Arial" w:hAnsi="Arial" w:cs="Arial"/>
          <w:noProof/>
        </w:rPr>
        <w:t>(Hanif et al., 2024)</w:t>
      </w:r>
      <w:r>
        <w:rPr>
          <w:rFonts w:ascii="Arial" w:hAnsi="Arial" w:cs="Arial"/>
        </w:rPr>
        <w:fldChar w:fldCharType="end"/>
      </w:r>
      <w:r w:rsidRPr="00A66568">
        <w:rPr>
          <w:rFonts w:ascii="Arial" w:hAnsi="Arial" w:cs="Arial"/>
        </w:rPr>
        <w:t>. This causes the relationship between stock returns and stock price valuations to be weak and not statistically significant.</w:t>
      </w:r>
    </w:p>
    <w:p w14:paraId="20F9AA3F" w14:textId="77777777" w:rsidR="0095062B" w:rsidRDefault="00A66568" w:rsidP="0095062B">
      <w:pPr>
        <w:spacing w:after="60"/>
        <w:ind w:firstLine="720"/>
        <w:jc w:val="both"/>
        <w:rPr>
          <w:rFonts w:ascii="Arial" w:hAnsi="Arial" w:cs="Arial"/>
        </w:rPr>
      </w:pPr>
      <w:r w:rsidRPr="00A66568">
        <w:rPr>
          <w:rFonts w:ascii="Arial" w:hAnsi="Arial" w:cs="Arial"/>
        </w:rPr>
        <w:t xml:space="preserve">In addition, the characteristics of investors in Indonesia, which are still mostly behavioral and reactive to market sentiment, weaken the role of stock returns as an indicator of company value. Many institutional investors in the financial sector emphasize fundamental analysis over technical, so stock returns are not the main benchmark in assessing market value </w:t>
      </w:r>
      <w:r>
        <w:rPr>
          <w:rFonts w:ascii="Arial" w:hAnsi="Arial" w:cs="Arial"/>
        </w:rPr>
        <w:fldChar w:fldCharType="begin" w:fldLock="1"/>
      </w:r>
      <w:r>
        <w:rPr>
          <w:rFonts w:ascii="Arial" w:hAnsi="Arial" w:cs="Arial"/>
        </w:rPr>
        <w:instrText>ADDIN CSL_CITATION {"citationItems":[{"id":"ITEM-1","itemData":{"DOI":"10.3390/ijfs13030123","abstract":"This paper investigates the financial performance and corporate governance variables that influence firm valuation. This study analyzes 91 Spanish small and medium-sized enterprises (SMEs) listed on BME Growth using a fixed effects panel data model based on 5760 observations. This study covered a period of five years from 2015 to 2019. This study concludes that profitability, capital structure and ownership concentration are key value drivers, while liquidity and efficiency are not statistically significant and require further contextual examination. Regarding corporate governance, the presence of controlling shareholders was found to have a significant positive impact on firm value, reinforcing the importance of ownership concentration in reducing agency conflicts and enhancing oversight. Other governance frameworks, such as firm structure and managerial concentration, did not exhibit significant effects.","author":[{"dropping-particle":"","family":"Valencia","given":"Leslie Rodríguez","non-dropping-particle":"","parse-names":false,"suffix":""}],"container-title":"International Journal of Financial Studies","id":"ITEM-1","issue":"3","issued":{"date-parts":[["2025"]]},"page":"123","title":"Financial Performance and Corporate Governance on Firm Value: Evidence from Spain","type":"article-journal","volume":"13"},"uris":["http://www.mendeley.com/documents/?uuid=399d05a9-0b4b-4320-b2be-126d8f7aa90b"]}],"mendeley":{"formattedCitation":"(Valencia, 2025)","plainTextFormattedCitation":"(Valencia, 2025)","previouslyFormattedCitation":"(Valencia, 2025)"},"properties":{"noteIndex":0},"schema":"https://github.com/citation-style-language/schema/raw/master/csl-citation.json"}</w:instrText>
      </w:r>
      <w:r>
        <w:rPr>
          <w:rFonts w:ascii="Arial" w:hAnsi="Arial" w:cs="Arial"/>
        </w:rPr>
        <w:fldChar w:fldCharType="separate"/>
      </w:r>
      <w:r w:rsidRPr="00A66568">
        <w:rPr>
          <w:rFonts w:ascii="Arial" w:hAnsi="Arial" w:cs="Arial"/>
          <w:noProof/>
        </w:rPr>
        <w:t>(Valencia, 2025)</w:t>
      </w:r>
      <w:r>
        <w:rPr>
          <w:rFonts w:ascii="Arial" w:hAnsi="Arial" w:cs="Arial"/>
        </w:rPr>
        <w:fldChar w:fldCharType="end"/>
      </w:r>
      <w:r w:rsidRPr="00A66568">
        <w:rPr>
          <w:rFonts w:ascii="Arial" w:hAnsi="Arial" w:cs="Arial"/>
        </w:rPr>
        <w:t xml:space="preserve">. This phenomenon also illustrates that the Indonesian capital market is still in a semi-strong efficiency phase, where indirect financial information is fully reflected in the stock price </w:t>
      </w:r>
      <w:r>
        <w:rPr>
          <w:rFonts w:ascii="Arial" w:hAnsi="Arial" w:cs="Arial"/>
        </w:rPr>
        <w:fldChar w:fldCharType="begin" w:fldLock="1"/>
      </w:r>
      <w:r>
        <w:rPr>
          <w:rFonts w:ascii="Arial" w:hAnsi="Arial" w:cs="Arial"/>
        </w:rPr>
        <w:instrText>ADDIN CSL_CITATION {"citationItems":[{"id":"ITEM-1","itemData":{"DOI":"10.1016/0002-8703(53)90182-3","ISSN":"10976744","PMID":"13016479","abstract":"The electrocardiogram and the potassium metabolism were studied in cases of rheumatoid arthritis during administration of ACTH, cortisone and desoxycorticosterone acetate. ACTH protein (Li) was given in daily doses of 13 to 80 mg. for ten to twenty-two days, 200 mg. of cortisone per day was given for twenty-eight and seventy-six days, and desoxycorticosterone acetate in daily doses of 20 and 30 mg. for forty-three, sixty and thirty-four days. A significant decrease in the plasma potassium level to hypokalemic values was obtained. The change of intracellular potassium, not accounted for by changes in protoplasm, was not larger than 10 per cent of total body potassium. No typical hypokalemic electrocardiograms were observed. There was no correlation between changes in the electrocardiograms and the plasma potassium level. © 1953.","author":[{"dropping-particle":"","family":"Fama","given":"Eugene F.","non-dropping-particle":"","parse-names":false,"suffix":""}],"container-title":"American Heart Journal","id":"ITEM-1","issue":"2","issued":{"date-parts":[["1953"]]},"page":"216-226","title":"Efficient Capital Markets: A Review of Theory and Empirical Work","type":"article-journal","volume":"45"},"uris":["http://www.mendeley.com/documents/?uuid=19620dcd-9957-4f6f-b1a0-a4da75f85ee6"]}],"mendeley":{"formattedCitation":"(Fama, 1953)","plainTextFormattedCitation":"(Fama, 1953)","previouslyFormattedCitation":"(Fama, 1953)"},"properties":{"noteIndex":0},"schema":"https://github.com/citation-style-language/schema/raw/master/csl-citation.json"}</w:instrText>
      </w:r>
      <w:r>
        <w:rPr>
          <w:rFonts w:ascii="Arial" w:hAnsi="Arial" w:cs="Arial"/>
        </w:rPr>
        <w:fldChar w:fldCharType="separate"/>
      </w:r>
      <w:r w:rsidRPr="00A66568">
        <w:rPr>
          <w:rFonts w:ascii="Arial" w:hAnsi="Arial" w:cs="Arial"/>
          <w:noProof/>
        </w:rPr>
        <w:t>(Fama, 1953)</w:t>
      </w:r>
      <w:r>
        <w:rPr>
          <w:rFonts w:ascii="Arial" w:hAnsi="Arial" w:cs="Arial"/>
        </w:rPr>
        <w:fldChar w:fldCharType="end"/>
      </w:r>
      <w:r w:rsidRPr="00A66568">
        <w:rPr>
          <w:rFonts w:ascii="Arial" w:hAnsi="Arial" w:cs="Arial"/>
        </w:rPr>
        <w:t>. Domestic investors seem to be more focused on long-term growth potential rather than speculative short-term gains. Therefore, high stock return fluctuations are not always perceived as a positive signal by the market. These findings support the argument that investor behavior and market structure play an important role in explaining the insignificance of the relationship between stock returns and stock price valuations. In practical terms, these results confirm the need for a multi-factor analysis approach to understand the determinants of a company's value.</w:t>
      </w:r>
    </w:p>
    <w:p w14:paraId="2504E936" w14:textId="77777777" w:rsidR="00A66568" w:rsidRDefault="00A66568" w:rsidP="0095062B">
      <w:pPr>
        <w:spacing w:after="60"/>
        <w:ind w:firstLine="720"/>
        <w:jc w:val="both"/>
        <w:rPr>
          <w:rFonts w:ascii="Arial" w:hAnsi="Arial" w:cs="Arial"/>
        </w:rPr>
      </w:pPr>
      <w:r w:rsidRPr="00A66568">
        <w:rPr>
          <w:rFonts w:ascii="Arial" w:hAnsi="Arial" w:cs="Arial"/>
        </w:rPr>
        <w:t xml:space="preserve">These results are different from studies </w:t>
      </w:r>
      <w:r>
        <w:rPr>
          <w:rFonts w:ascii="Arial" w:hAnsi="Arial" w:cs="Arial"/>
        </w:rPr>
        <w:fldChar w:fldCharType="begin" w:fldLock="1"/>
      </w:r>
      <w:r w:rsidR="00102E5D">
        <w:rPr>
          <w:rFonts w:ascii="Arial" w:hAnsi="Arial" w:cs="Arial"/>
        </w:rPr>
        <w:instrText>ADDIN CSL_CITATION {"citationItems":[{"id":"ITEM-1","itemData":{"author":[{"dropping-particle":"","family":"Al-sumaiti","given":"Ameena Saad","non-dropping-particle":"","parse-names":false,"suffix":""},{"dropping-particle":"","family":"Kavousi-fard","given":"Abdollah","non-dropping-particle":"","parse-names":false,"suffix":""},{"dropping-particle":"","family":"Salama","given":"Magdy","non-dropping-particle":"","parse-names":false,"suffix":""}],"id":"ITEM-1","issued":{"date-parts":[["2020"]]},"title":"Economic Assessment of Distributed Generation Technologies : A Feasibility Study and Comparison with the Literature","type":"article-journal"},"uris":["http://www.mendeley.com/documents/?uuid=c6a32336-ae6e-4f64-a1c6-a88985539acd"]},{"id":"ITEM-2","itemData":{"ISBN":"9021222744","author":[{"dropping-particle":"","family":"Keskin","given":"Ay¸se ˙Irem","non-dropping-particle":"","parse-names":false,"suffix":""},{"dropping-particle":"","family":"Dincer","given":"Banu","non-dropping-particle":"","parse-names":false,"suffix":""},{"dropping-particle":"","family":"Dincer","given":"Caner","non-dropping-particle":"","parse-names":false,"suffix":""}],"id":"ITEM-2","issue":"2017","issued":{"date-parts":[["2020"]]},"title":"Exploring the Impact of Sustainability on Corporate Financial Performance Using Discriminant Analysis","type":"article-journal"},"uris":["http://www.mendeley.com/documents/?uuid=2aabb824-f3e3-4306-8eb4-54d2a86f5a95"]}],"mendeley":{"formattedCitation":"(Al-sumaiti et al., 2020; Keskin et al., 2020)","manualFormatting":"Al-sumaiti et al  (2020) dan Keskin et al (2020)","plainTextFormattedCitation":"(Al-sumaiti et al., 2020; Keskin et al., 2020)","previouslyFormattedCitation":"(Al-sumaiti et al., 2020; Keskin et al., 2020)"},"properties":{"noteIndex":0},"schema":"https://github.com/citation-style-language/schema/raw/master/csl-citation.json"}</w:instrText>
      </w:r>
      <w:r>
        <w:rPr>
          <w:rFonts w:ascii="Arial" w:hAnsi="Arial" w:cs="Arial"/>
        </w:rPr>
        <w:fldChar w:fldCharType="separate"/>
      </w:r>
      <w:r w:rsidRPr="00A66568">
        <w:rPr>
          <w:rFonts w:ascii="Arial" w:hAnsi="Arial" w:cs="Arial"/>
          <w:noProof/>
        </w:rPr>
        <w:t>Al-sumaiti et al (2020) and Keskin et al (2020)</w:t>
      </w:r>
      <w:r>
        <w:rPr>
          <w:rFonts w:ascii="Arial" w:hAnsi="Arial" w:cs="Arial"/>
        </w:rPr>
        <w:fldChar w:fldCharType="end"/>
      </w:r>
      <w:r>
        <w:rPr>
          <w:rFonts w:ascii="Arial" w:hAnsi="Arial" w:cs="Arial"/>
        </w:rPr>
        <w:t xml:space="preserve"> which found that stock returns have a significant effect on the value of a company in a more stable market. This discrepancy can be explained by differences in market conditions, where previous research was conducted in countries with more predictable return expectations. In contrast, in emerging markets such as Indonesia, market sentiment and investor psychological factors have a greater influence on stock prices </w:t>
      </w:r>
      <w:r w:rsidR="00102E5D">
        <w:rPr>
          <w:rFonts w:ascii="Arial" w:hAnsi="Arial" w:cs="Arial"/>
        </w:rPr>
        <w:fldChar w:fldCharType="begin" w:fldLock="1"/>
      </w:r>
      <w:r w:rsidR="00102E5D">
        <w:rPr>
          <w:rFonts w:ascii="Arial" w:hAnsi="Arial" w:cs="Arial"/>
        </w:rPr>
        <w:instrText>ADDIN CSL_CITATION {"citationItems":[{"id":"ITEM-1","itemData":{"DOI":"10.15549/jeecar.v10i6.1500","ISSN":"23288280","abstract":"This study aims to investigate investor sentiment and its effect on the industrial sector in Indonesia. In the study, investor sentiment was extracted from data obtained from search engines. Then the data were used to see how the sentiment affected the stock return in each listed industrial company. Fifteen industrial sector companies listed on the stock exchange were selected; each was analyzed for their search volume and the effect on stock returns using panel data regression from March 2020 to April 2022. The result shows that investor sentiment affects the level of stock returns in the industrial sector in Indonesia. This result indicates that with the increase in search volume on search engines, which reflects positive sentiment, there will be an increase in stock trading transactions and vice versa. This study's findings will help investors make investment decisions, especially in the industrial sector.","author":[{"dropping-particle":"","family":"Hidayat","given":"Yusuf Murtadlo","non-dropping-particle":"","parse-names":false,"suffix":""},{"dropping-particle":"","family":"Nugraha","given":"Nugraha","non-dropping-particle":"","parse-names":false,"suffix":""},{"dropping-particle":"","family":"Disman","given":"Disman","non-dropping-particle":"","parse-names":false,"suffix":""},{"dropping-particle":"","family":"Sari","given":"Maya","non-dropping-particle":"","parse-names":false,"suffix":""},{"dropping-particle":"","family":"Bustam","given":"Muhammad Rayhan","non-dropping-particle":"","parse-names":false,"suffix":""}],"container-title":"Journal of Eastern European and Central Asian Research","id":"ITEM-1","issue":"6","issued":{"date-parts":[["2023"]]},"page":"810-818","title":"Investor Sentiment Based on Search Engine Data for Predicting Stock Returns in Indonesia Industrial Sector","type":"article-journal","volume":"10"},"uris":["http://www.mendeley.com/documents/?uuid=69f07f90-46b1-4921-8dd8-d3db48e21432"]}],"mendeley":{"formattedCitation":"(Hidayat et al., 2023)","plainTextFormattedCitation":"(Hidayat et al., 2023)","previouslyFormattedCitation":"(Hidayat et al., 2023)"},"properties":{"noteIndex":0},"schema":"https://github.com/citation-style-language/schema/raw/master/csl-citation.json"}</w:instrText>
      </w:r>
      <w:r w:rsidR="00102E5D">
        <w:rPr>
          <w:rFonts w:ascii="Arial" w:hAnsi="Arial" w:cs="Arial"/>
        </w:rPr>
        <w:fldChar w:fldCharType="separate"/>
      </w:r>
      <w:r w:rsidR="00102E5D" w:rsidRPr="00102E5D">
        <w:rPr>
          <w:rFonts w:ascii="Arial" w:hAnsi="Arial" w:cs="Arial"/>
          <w:noProof/>
        </w:rPr>
        <w:t>(Hidayat et al., 2023)</w:t>
      </w:r>
      <w:r w:rsidR="00102E5D">
        <w:rPr>
          <w:rFonts w:ascii="Arial" w:hAnsi="Arial" w:cs="Arial"/>
        </w:rPr>
        <w:fldChar w:fldCharType="end"/>
      </w:r>
      <w:r w:rsidRPr="00A66568">
        <w:rPr>
          <w:rFonts w:ascii="Arial" w:hAnsi="Arial" w:cs="Arial"/>
        </w:rPr>
        <w:t xml:space="preserve">. Investors in this market also consider non-financial factors such as the company's reputation, product innovation, and sustainability commitment in determining long-term value </w:t>
      </w:r>
      <w:r w:rsidR="00102E5D">
        <w:rPr>
          <w:rFonts w:ascii="Arial" w:hAnsi="Arial" w:cs="Arial"/>
        </w:rPr>
        <w:fldChar w:fldCharType="begin" w:fldLock="1"/>
      </w:r>
      <w:r w:rsidR="00102E5D">
        <w:rPr>
          <w:rFonts w:ascii="Arial" w:hAnsi="Arial" w:cs="Arial"/>
        </w:rPr>
        <w:instrText>ADDIN CSL_CITATION {"citationItems":[{"id":"ITEM-1","itemData":{"DOI":"10.3390/su14031168","ISSN":"20711050","abstract":"The importance of corporate responsibility for society and environments is emphasized by increasing influence of firms on various stakeholders. Firms strengthen environmental, social, and governance (ESG) activities, which are critical elements for sustainable management. However, there are inconsistent findings on the relationship between ESG activities and firms’ financial performance in prior studies because of the lack of full consideration of internal mechanisms and external conditions. To overcome this limitation, this study investigates the mediating effect of non-financial performance and the moderating effect of the institutional environment on the relationship between firms’ ESG activities and their financial performance in a unified moderated mediation model. Sam-ples for empirical analyses were collected by a survey from 304 small and medium-sized Chinese manufacturers. The results of a mediation analysis reveal that each ESG activity has a positive effect on firms’ financial performance, and the impact of ESG activities on financial performance is completely mediated by non-financial performance. The results of a moderated mediation analysis further indicate that the mediating effect varies depending on the level of institutional pressure from the government, consumers, and competitors. The study suggests the need for interdisciplinary research in sustainable management and institutional theory and emphasizes the importance of sustainable management for performance improvement in a changing environment.","author":[{"dropping-particle":"","family":"Liu","given":"Yuhan","non-dropping-particle":"","parse-names":false,"suffix":""},{"dropping-particle":"","family":"Kim","given":"Choo Yeon","non-dropping-particle":"","parse-names":false,"suffix":""},{"dropping-particle":"","family":"Lee","given":"Eun Hwa","non-dropping-particle":"","parse-names":false,"suffix":""},{"dropping-particle":"","family":"Yoo","given":"Jae Wook","non-dropping-particle":"","parse-names":false,"suffix":""}],"container-title":"Sustainability (Switzerland)","id":"ITEM-1","issue":"3","issued":{"date-parts":[["2022"]]},"title":"Relationship between Sustainable Management Activities and Financial Performance: Mediating Effects of Non-Financial Performance and Moderating Effects of Institutional Environment","type":"article-journal","volume":"14"},"uris":["http://www.mendeley.com/documents/?uuid=06b2b6d1-b963-424d-b38a-296f3c4f2769"]}],"mendeley":{"formattedCitation":"(Liu et al., 2022)","plainTextFormattedCitation":"(Liu et al., 2022)","previouslyFormattedCitation":"(Liu et al., 2022)"},"properties":{"noteIndex":0},"schema":"https://github.com/citation-style-language/schema/raw/master/csl-citation.json"}</w:instrText>
      </w:r>
      <w:r w:rsidR="00102E5D">
        <w:rPr>
          <w:rFonts w:ascii="Arial" w:hAnsi="Arial" w:cs="Arial"/>
        </w:rPr>
        <w:fldChar w:fldCharType="separate"/>
      </w:r>
      <w:r w:rsidR="00102E5D" w:rsidRPr="00102E5D">
        <w:rPr>
          <w:rFonts w:ascii="Arial" w:hAnsi="Arial" w:cs="Arial"/>
          <w:noProof/>
        </w:rPr>
        <w:t>(Liu et al., 2022)</w:t>
      </w:r>
      <w:r w:rsidR="00102E5D">
        <w:rPr>
          <w:rFonts w:ascii="Arial" w:hAnsi="Arial" w:cs="Arial"/>
        </w:rPr>
        <w:fldChar w:fldCharType="end"/>
      </w:r>
      <w:r w:rsidRPr="00A66568">
        <w:rPr>
          <w:rFonts w:ascii="Arial" w:hAnsi="Arial" w:cs="Arial"/>
        </w:rPr>
        <w:t>. In addition, high stock returns do not necessarily come from healthy fundamental performance, but can be caused by short-term speculative activity. Thus, rational investors tend to be cautious in interpreting stock returns as a signal of the company's value. Theoretically, these results reinforce the view that market efficiency theory is not fully applicable in Indonesia and that macroeconomic variables and investor behavior play a crucial role in shaping stock valuations.</w:t>
      </w:r>
    </w:p>
    <w:p w14:paraId="48738A8B" w14:textId="77777777" w:rsidR="00A66568" w:rsidRDefault="00A66568" w:rsidP="00A66568">
      <w:pPr>
        <w:pStyle w:val="Heading3"/>
        <w:spacing w:before="0"/>
        <w:jc w:val="both"/>
        <w:rPr>
          <w:rFonts w:ascii="Arial" w:eastAsia="Times New Roman" w:hAnsi="Arial" w:cs="Arial"/>
          <w:color w:val="auto"/>
          <w:sz w:val="20"/>
        </w:rPr>
      </w:pPr>
    </w:p>
    <w:p w14:paraId="1396CCBE" w14:textId="77777777" w:rsidR="00D77A87" w:rsidRPr="00A246DF" w:rsidRDefault="00D77A87" w:rsidP="00A66568">
      <w:pPr>
        <w:pStyle w:val="Heading3"/>
        <w:spacing w:before="0"/>
        <w:jc w:val="both"/>
        <w:rPr>
          <w:rFonts w:ascii="Arial" w:hAnsi="Arial" w:cs="Arial"/>
          <w:color w:val="auto"/>
          <w:sz w:val="20"/>
          <w:szCs w:val="20"/>
        </w:rPr>
      </w:pPr>
      <w:r w:rsidRPr="00A246DF">
        <w:rPr>
          <w:rStyle w:val="Strong"/>
          <w:rFonts w:ascii="Arial" w:hAnsi="Arial" w:cs="Arial"/>
          <w:color w:val="auto"/>
          <w:sz w:val="20"/>
          <w:szCs w:val="20"/>
        </w:rPr>
        <w:t>H3: Dividend Policy Affects Stock Price Valuation</w:t>
      </w:r>
    </w:p>
    <w:p w14:paraId="1B394B20" w14:textId="77777777" w:rsidR="00102E5D" w:rsidRDefault="00102E5D" w:rsidP="0095062B">
      <w:pPr>
        <w:pStyle w:val="NormalWeb"/>
        <w:ind w:firstLine="720"/>
        <w:jc w:val="both"/>
        <w:rPr>
          <w:rFonts w:ascii="Arial" w:hAnsi="Arial" w:cs="Arial"/>
          <w:sz w:val="20"/>
          <w:szCs w:val="20"/>
        </w:rPr>
      </w:pPr>
      <w:r w:rsidRPr="00102E5D">
        <w:rPr>
          <w:rFonts w:ascii="Arial" w:hAnsi="Arial" w:cs="Arial"/>
          <w:sz w:val="20"/>
          <w:szCs w:val="20"/>
        </w:rPr>
        <w:t xml:space="preserve">Based on the results of the partial test, the dividend policy variable showed a significance value of 0.036 (&lt; 0.05), which means that it has a significant effect on the valuation of the stock price. These findings confirm that the company's decision to distribute profits to shareholders through dividends is an important signal for investors in assessing the value of the company </w:t>
      </w:r>
      <w:r>
        <w:rPr>
          <w:rFonts w:ascii="Arial" w:hAnsi="Arial" w:cs="Arial"/>
          <w:sz w:val="20"/>
          <w:szCs w:val="20"/>
        </w:rPr>
        <w:fldChar w:fldCharType="begin" w:fldLock="1"/>
      </w:r>
      <w:r>
        <w:rPr>
          <w:rFonts w:ascii="Arial" w:hAnsi="Arial" w:cs="Arial"/>
          <w:sz w:val="20"/>
          <w:szCs w:val="20"/>
        </w:rPr>
        <w:instrText>ADDIN CSL_CITATION {"citationItems":[{"id":"ITEM-1","itemData":{"DOI":"10.2478/ngoe-2021-0002","abstract":"Dividend policy is one of the most controversial areas of corporate finance. The paper presents the results of the research in the banking sector of the Republic of Serbia. The specific characteristics of the financial sector make the research on dividend policy determinants additionally complex. This study aims to determine the factors of dividend policy in the Serbian banking sector in the period 2009–2018. The model of random effects was chosen to test the relationship between dividend determinants and dividend payout. Empirical results show that previous years’ dividends have a significant positive effect on dividend policy. Individual investors can benefit from the research to a great extent, as well as bank managers, when creating dividend policies that would contribute to maximising profit and satisfying the needs of employees and shareholders in the long run.","author":[{"dropping-particle":"","family":"Jovković","given":"Biljana","non-dropping-particle":"","parse-names":false,"suffix":""},{"dropping-particle":"","family":"Vasić","given":"Aleksandra S.","non-dropping-particle":"","parse-names":false,"suffix":""},{"dropping-particle":"","family":"Bogićević","given":"Jasmina","non-dropping-particle":"","parse-names":false,"suffix":""}],"container-title":"Naše gospodarstvo/Our economy","id":"ITEM-1","issue":"1","issued":{"date-parts":[["2021"]]},"page":"13-22","title":"Determinants of Dividend Policy: A Case of Serbia’s Banking Sector","type":"article-journal","volume":"67"},"uris":["http://www.mendeley.com/documents/?uuid=e9c3416a-7e79-4fd1-92b0-fccafec63d07"]}],"mendeley":{"formattedCitation":"(Jovković et al., 2021)","plainTextFormattedCitation":"(Jovković et al., 2021)","previouslyFormattedCitation":"(Jovković et al., 2021)"},"properties":{"noteIndex":0},"schema":"https://github.com/citation-style-language/schema/raw/master/csl-citation.json"}</w:instrText>
      </w:r>
      <w:r>
        <w:rPr>
          <w:rFonts w:ascii="Arial" w:hAnsi="Arial" w:cs="Arial"/>
          <w:sz w:val="20"/>
          <w:szCs w:val="20"/>
        </w:rPr>
        <w:fldChar w:fldCharType="separate"/>
      </w:r>
      <w:r w:rsidRPr="00102E5D">
        <w:rPr>
          <w:rFonts w:ascii="Arial" w:hAnsi="Arial" w:cs="Arial"/>
          <w:noProof/>
          <w:sz w:val="20"/>
          <w:szCs w:val="20"/>
        </w:rPr>
        <w:t>(Jovković et al., 2021)</w:t>
      </w:r>
      <w:r>
        <w:rPr>
          <w:rFonts w:ascii="Arial" w:hAnsi="Arial" w:cs="Arial"/>
          <w:sz w:val="20"/>
          <w:szCs w:val="20"/>
        </w:rPr>
        <w:fldChar w:fldCharType="end"/>
      </w:r>
      <w:r w:rsidRPr="00102E5D">
        <w:rPr>
          <w:rFonts w:ascii="Arial" w:hAnsi="Arial" w:cs="Arial"/>
          <w:sz w:val="20"/>
          <w:szCs w:val="20"/>
        </w:rPr>
        <w:t xml:space="preserve">. In line with the signaling theory put forward by </w:t>
      </w:r>
      <w:r>
        <w:rPr>
          <w:rFonts w:ascii="Arial" w:hAnsi="Arial" w:cs="Arial"/>
          <w:sz w:val="20"/>
          <w:szCs w:val="20"/>
        </w:rPr>
        <w:fldChar w:fldCharType="begin" w:fldLock="1"/>
      </w:r>
      <w:r>
        <w:rPr>
          <w:rFonts w:ascii="Arial" w:hAnsi="Arial" w:cs="Arial"/>
          <w:sz w:val="20"/>
          <w:szCs w:val="20"/>
        </w:rPr>
        <w:instrText>ADDIN CSL_CITATION {"citationItems":[{"id":"ITEM-1","itemData":{"author":[{"dropping-particle":"","family":"Spence","given":"Michael","non-dropping-particle":"","parse-names":false,"suffix":""}],"container-title":"The Quarterly Journal of Economics","id":"ITEM-1","issue":"3","issued":{"date-parts":[["1973"]]},"page":"355-374","title":"Job Market Signaling","type":"article-journal","volume":"87"},"uris":["http://www.mendeley.com/documents/?uuid=3d39b43b-96cd-4663-8215-621fd86f7075"]}],"mendeley":{"formattedCitation":"(Spence, 1973)","manualFormatting":"Spence (1973)","plainTextFormattedCitation":"(Spence, 1973)","previouslyFormattedCitation":"(Spence, 1973)"},"properties":{"noteIndex":0},"schema":"https://github.com/citation-style-language/schema/raw/master/csl-citation.json"}</w:instrText>
      </w:r>
      <w:r>
        <w:rPr>
          <w:rFonts w:ascii="Arial" w:hAnsi="Arial" w:cs="Arial"/>
          <w:sz w:val="20"/>
          <w:szCs w:val="20"/>
        </w:rPr>
        <w:fldChar w:fldCharType="separate"/>
      </w:r>
      <w:r>
        <w:rPr>
          <w:rFonts w:ascii="Arial" w:hAnsi="Arial" w:cs="Arial"/>
          <w:noProof/>
          <w:sz w:val="20"/>
          <w:szCs w:val="20"/>
        </w:rPr>
        <w:t>Spence (1973)</w:t>
      </w:r>
      <w:r>
        <w:rPr>
          <w:rFonts w:ascii="Arial" w:hAnsi="Arial" w:cs="Arial"/>
          <w:sz w:val="20"/>
          <w:szCs w:val="20"/>
        </w:rPr>
        <w:fldChar w:fldCharType="end"/>
      </w:r>
      <w:r w:rsidRPr="00102E5D">
        <w:rPr>
          <w:rFonts w:ascii="Arial" w:hAnsi="Arial" w:cs="Arial"/>
          <w:sz w:val="20"/>
          <w:szCs w:val="20"/>
        </w:rPr>
        <w:t xml:space="preserve">, the dividend distribution reflects management's confidence in the stability and future earnings prospects. Therefore, companies that consistently distribute dividends are considered to have solid performance and promising prospects, thus being able to increase investor confidence </w:t>
      </w:r>
      <w:r>
        <w:rPr>
          <w:rFonts w:ascii="Arial" w:hAnsi="Arial" w:cs="Arial"/>
          <w:sz w:val="20"/>
          <w:szCs w:val="20"/>
        </w:rPr>
        <w:fldChar w:fldCharType="begin" w:fldLock="1"/>
      </w:r>
      <w:r>
        <w:rPr>
          <w:rFonts w:ascii="Arial" w:hAnsi="Arial" w:cs="Arial"/>
          <w:sz w:val="20"/>
          <w:szCs w:val="20"/>
        </w:rPr>
        <w:instrText>ADDIN CSL_CITATION {"citationItems":[{"id":"ITEM-1","itemData":{"DOI":"10.34010/jika.v11i1.5717","ISSN":"2089-2845","abstract":"This study aims to determine the effect of Dividend Policy and Capital Structure on Agricultural Sector’s Company Value. The research method used in this study is verification method with quantitative approach. The case study was conducted on agricultural sector companies listed on the Indonesia Stock Exchange in 2015-2019. The sample used is Price Book Value (PBV) and Debt to Equity Ratio (DER) in 14 agricultural sector companies obtained from Financial Statements published on the Indonesia Stock Exchange website: www.idx.co.id for the period 2015-2019. The results showed that the variables of Dividend Policy and Capital Structure had a negative and not significant effect on company value.","author":[{"dropping-particle":"","family":"Luckyardi","given":"Senny","non-dropping-particle":"","parse-names":false,"suffix":""},{"dropping-particle":"","family":"Agustini","given":"Kamelia","non-dropping-particle":"","parse-names":false,"suffix":""},{"dropping-particle":"","family":"Nugraha","given":"Nugraha","non-dropping-particle":"","parse-names":false,"suffix":""},{"dropping-particle":"","family":"Sari","given":"Maya","non-dropping-particle":"","parse-names":false,"suffix":""}],"container-title":"Jurnal Ilmu Keuangan dan Perbankan (JIKA)","id":"ITEM-1","issue":"1","issued":{"date-parts":[["2021"]]},"page":"1-20","title":"the Impact of Dividend Policy and Capital Structure on Firm Value in Agricultural Sector","type":"article-journal","volume":"11"},"uris":["http://www.mendeley.com/documents/?uuid=485c4675-4b17-40bd-a057-9e38b407aac7"]}],"mendeley":{"formattedCitation":"(Luckyardi et al., 2021)","plainTextFormattedCitation":"(Luckyardi et al., 2021)","previouslyFormattedCitation":"(Luckyardi et al., 2021)"},"properties":{"noteIndex":0},"schema":"https://github.com/citation-style-language/schema/raw/master/csl-citation.json"}</w:instrText>
      </w:r>
      <w:r>
        <w:rPr>
          <w:rFonts w:ascii="Arial" w:hAnsi="Arial" w:cs="Arial"/>
          <w:sz w:val="20"/>
          <w:szCs w:val="20"/>
        </w:rPr>
        <w:fldChar w:fldCharType="separate"/>
      </w:r>
      <w:r w:rsidRPr="00102E5D">
        <w:rPr>
          <w:rFonts w:ascii="Arial" w:hAnsi="Arial" w:cs="Arial"/>
          <w:noProof/>
          <w:sz w:val="20"/>
          <w:szCs w:val="20"/>
        </w:rPr>
        <w:t>(Luckyardi et al., 2021)</w:t>
      </w:r>
      <w:r>
        <w:rPr>
          <w:rFonts w:ascii="Arial" w:hAnsi="Arial" w:cs="Arial"/>
          <w:sz w:val="20"/>
          <w:szCs w:val="20"/>
        </w:rPr>
        <w:fldChar w:fldCharType="end"/>
      </w:r>
      <w:r w:rsidRPr="00102E5D">
        <w:rPr>
          <w:rFonts w:ascii="Arial" w:hAnsi="Arial" w:cs="Arial"/>
          <w:sz w:val="20"/>
          <w:szCs w:val="20"/>
        </w:rPr>
        <w:t xml:space="preserve">. In the context of the Indonesian capital market, dividends are often the main attraction for income-oriented investors, who prioritize cash flow certainty over potential capital gains </w:t>
      </w:r>
      <w:r>
        <w:rPr>
          <w:rFonts w:ascii="Arial" w:hAnsi="Arial" w:cs="Arial"/>
          <w:sz w:val="20"/>
          <w:szCs w:val="20"/>
        </w:rPr>
        <w:fldChar w:fldCharType="begin" w:fldLock="1"/>
      </w:r>
      <w:r>
        <w:rPr>
          <w:rFonts w:ascii="Arial" w:hAnsi="Arial" w:cs="Arial"/>
          <w:sz w:val="20"/>
          <w:szCs w:val="20"/>
        </w:rPr>
        <w:instrText>ADDIN CSL_CITATION {"citationItems":[{"id":"ITEM-1","itemData":{"DOI":"10.1371/journal.pone.0243080","ISBN":"1111111111","ISSN":"19326203","PMID":"33275622","abstract":"Investor sentiment is a research focus in behavior finance. This paper chooses five proxy variables according to China’s reality and uses a two-step principal component analysis to construct an investor sentiment index. The five proxy variables are the number of new stock accounts, turnover ratio, margin balance, net active purchasing amount, and investor attention. In the final part of this study, using the price data from the Shanghai and Shenzhen Security Exchange, this paper investigates the dynamic relationship between investor sentiment and stock market realized volatility based on the thermal optimal path. The empirical results show that when the market fluctuates severely, investor sentiment leads stock market realized volatility over one or two steps. The prediction power is also checked. The results indicate that investor sentiment indeed forecasts the realized volatility. This research supports regulators and financial institutions in taking advanced measures.","author":[{"dropping-particle":"","family":"Chen","given":"Yanhui","non-dropping-particle":"","parse-names":false,"suffix":""},{"dropping-particle":"","family":"Zhao","given":"Hanhui","non-dropping-particle":"","parse-names":false,"suffix":""},{"dropping-particle":"","family":"Li","given":"Ziyu","non-dropping-particle":"","parse-names":false,"suffix":""},{"dropping-particle":"","family":"Lu","given":"Jinrong","non-dropping-particle":"","parse-names":false,"suffix":""}],"container-title":"PLoS ONE","id":"ITEM-1","issue":"12 December","issued":{"date-parts":[["2020"]]},"page":"1-18","title":"A dynamic analysis of the relationship between investor sentiment and stock market realized volatility: Evidence from China","type":"article-journal","volume":"15"},"uris":["http://www.mendeley.com/documents/?uuid=773e3db8-c919-4dfc-ac6e-5d1e7412ee20"]}],"mendeley":{"formattedCitation":"(Chen et al., 2020)","plainTextFormattedCitation":"(Chen et al., 2020)","previouslyFormattedCitation":"(Chen et al., 2020)"},"properties":{"noteIndex":0},"schema":"https://github.com/citation-style-language/schema/raw/master/csl-citation.json"}</w:instrText>
      </w:r>
      <w:r>
        <w:rPr>
          <w:rFonts w:ascii="Arial" w:hAnsi="Arial" w:cs="Arial"/>
          <w:sz w:val="20"/>
          <w:szCs w:val="20"/>
        </w:rPr>
        <w:fldChar w:fldCharType="separate"/>
      </w:r>
      <w:r w:rsidRPr="00102E5D">
        <w:rPr>
          <w:rFonts w:ascii="Arial" w:hAnsi="Arial" w:cs="Arial"/>
          <w:noProof/>
          <w:sz w:val="20"/>
          <w:szCs w:val="20"/>
        </w:rPr>
        <w:t>(Chen et al., 2020)</w:t>
      </w:r>
      <w:r>
        <w:rPr>
          <w:rFonts w:ascii="Arial" w:hAnsi="Arial" w:cs="Arial"/>
          <w:sz w:val="20"/>
          <w:szCs w:val="20"/>
        </w:rPr>
        <w:fldChar w:fldCharType="end"/>
      </w:r>
      <w:r w:rsidRPr="00102E5D">
        <w:rPr>
          <w:rFonts w:ascii="Arial" w:hAnsi="Arial" w:cs="Arial"/>
          <w:sz w:val="20"/>
          <w:szCs w:val="20"/>
        </w:rPr>
        <w:t xml:space="preserve">. Thus, a stable and sustainable </w:t>
      </w:r>
      <w:r w:rsidRPr="00102E5D">
        <w:rPr>
          <w:rFonts w:ascii="Arial" w:hAnsi="Arial" w:cs="Arial"/>
          <w:sz w:val="20"/>
          <w:szCs w:val="20"/>
        </w:rPr>
        <w:lastRenderedPageBreak/>
        <w:t>dividend policy can strengthen the perception of a company's value in the eyes of investors and reflect the reliability of long-term financial performance.</w:t>
      </w:r>
    </w:p>
    <w:p w14:paraId="0003C3A6" w14:textId="77777777" w:rsidR="00102E5D" w:rsidRPr="00102E5D" w:rsidRDefault="00102E5D" w:rsidP="00102E5D">
      <w:pPr>
        <w:pStyle w:val="NormalWeb"/>
        <w:ind w:firstLine="720"/>
        <w:jc w:val="both"/>
        <w:rPr>
          <w:rFonts w:ascii="Arial" w:hAnsi="Arial" w:cs="Arial"/>
          <w:sz w:val="20"/>
          <w:szCs w:val="20"/>
        </w:rPr>
      </w:pPr>
      <w:r w:rsidRPr="00102E5D">
        <w:rPr>
          <w:rFonts w:ascii="Arial" w:hAnsi="Arial" w:cs="Arial"/>
          <w:sz w:val="20"/>
          <w:szCs w:val="20"/>
        </w:rPr>
        <w:t xml:space="preserve">This result also reinforces the view that cash flow certainty is valued more by investors than the potential for speculative capital gains </w:t>
      </w:r>
      <w:r>
        <w:rPr>
          <w:rFonts w:ascii="Arial" w:hAnsi="Arial" w:cs="Arial"/>
          <w:sz w:val="20"/>
          <w:szCs w:val="20"/>
        </w:rPr>
        <w:fldChar w:fldCharType="begin" w:fldLock="1"/>
      </w:r>
      <w:r>
        <w:rPr>
          <w:rFonts w:ascii="Arial" w:hAnsi="Arial" w:cs="Arial"/>
          <w:sz w:val="20"/>
          <w:szCs w:val="20"/>
        </w:rPr>
        <w:instrText>ADDIN CSL_CITATION {"citationItems":[{"id":"ITEM-1","itemData":{"DOI":"10.3390/ijfs12010022","ISSN":"22277072","abstract":"This study investigates the relationship between dividend policy, firm performance, and value within the Korean market, taking into account the unique context of Chaebol ownership structures. Utilizing a robust dataset of 5478 observations from the Korean Composite Stock Price Index, our empirical analysis employs advanced regression models, revealing distinctive effects of various dividend policy measures through the lenses of interest alignment and managerial entrenchment hypotheses. Surprisingly, while cash dividend payments exhibit a robust positive impact on Tobin’s Q and market-to-book ratios, suggesting an overall positive link with market valuations, a closer inspection reveals divergent impacts for Chaebol and non-Chaebol firms. In Chaebol entities, dividend policy proxies consistently demonstrate positive effects on performance metrics, aligning with the interest alignment hypothesis and highlighting strategic signaling efforts. Conversely, non-Chaebol firms exhibit intriguingly negative impacts, supporting the managerial entrenchment hypothesis and implying potential challenges to market value. Firms should prioritize transparent communication on dividend policies for improved investor decision making and enhanced corporate governance in the dynamic Korean market.","author":[{"dropping-particle":"","family":"Njoku","given":"Okechukwu Enyeribe","non-dropping-particle":"","parse-names":false,"suffix":""},{"dropping-particle":"","family":"Lee","given":"Younghwan","non-dropping-particle":"","parse-names":false,"suffix":""}],"container-title":"International Journal of Financial Studies","id":"ITEM-1","issue":"1","issued":{"date-parts":[["2024"]]},"title":"Revisiting the Effect of Dividend Policy on Firm Performance and Value: Empirical Evidence from the Korean Market","type":"article-journal","volume":"12"},"uris":["http://www.mendeley.com/documents/?uuid=e801d70f-20f6-4b22-b414-ccac0734dc24"]}],"mendeley":{"formattedCitation":"(Njoku &amp; Lee, 2024)","plainTextFormattedCitation":"(Njoku &amp; Lee, 2024)","previouslyFormattedCitation":"(Njoku &amp; Lee, 2024)"},"properties":{"noteIndex":0},"schema":"https://github.com/citation-style-language/schema/raw/master/csl-citation.json"}</w:instrText>
      </w:r>
      <w:r>
        <w:rPr>
          <w:rFonts w:ascii="Arial" w:hAnsi="Arial" w:cs="Arial"/>
          <w:sz w:val="20"/>
          <w:szCs w:val="20"/>
        </w:rPr>
        <w:fldChar w:fldCharType="separate"/>
      </w:r>
      <w:r w:rsidRPr="00102E5D">
        <w:rPr>
          <w:rFonts w:ascii="Arial" w:hAnsi="Arial" w:cs="Arial"/>
          <w:noProof/>
          <w:sz w:val="20"/>
          <w:szCs w:val="20"/>
        </w:rPr>
        <w:t>(Njoku &amp; Lee, 2024)</w:t>
      </w:r>
      <w:r>
        <w:rPr>
          <w:rFonts w:ascii="Arial" w:hAnsi="Arial" w:cs="Arial"/>
          <w:sz w:val="20"/>
          <w:szCs w:val="20"/>
        </w:rPr>
        <w:fldChar w:fldCharType="end"/>
      </w:r>
      <w:r w:rsidRPr="00102E5D">
        <w:rPr>
          <w:rFonts w:ascii="Arial" w:hAnsi="Arial" w:cs="Arial"/>
          <w:sz w:val="20"/>
          <w:szCs w:val="20"/>
        </w:rPr>
        <w:t xml:space="preserve">. Companies with consistent dividend policies show positive signals regarding the ability to generate cash flow and maintain financial stability, thus encouraging an increase in stock valuations. In addition, dividend distribution can reduce information asymmetry between management and investors, as it is considered a form of transparency and accountability of the company to shareholders </w:t>
      </w:r>
      <w:r>
        <w:rPr>
          <w:rFonts w:ascii="Arial" w:hAnsi="Arial" w:cs="Arial"/>
          <w:sz w:val="20"/>
          <w:szCs w:val="20"/>
        </w:rPr>
        <w:fldChar w:fldCharType="begin" w:fldLock="1"/>
      </w:r>
      <w:r w:rsidR="006025E6">
        <w:rPr>
          <w:rFonts w:ascii="Arial" w:hAnsi="Arial" w:cs="Arial"/>
          <w:sz w:val="20"/>
          <w:szCs w:val="20"/>
        </w:rPr>
        <w:instrText>ADDIN CSL_CITATION {"citationItems":[{"id":"ITEM-1","itemData":{"DOI":"10.24018/ejbmr.2025.10.1.2534","abstract":"This study aims to investigate determinants that impact a company’s dividend policy in the Vietnam and US markets by researching public nonbank financial firms from 2017 to 2021 by applying panel data of 30 businesses listed on the Vietnam Stock Exchange and 30 businesses listed on the American Stock Exchange during the reporting period. Panel data is constructed with four independent variables in the Vietnam market, including liquidity, size, profitability, and leverage, and five independent variables in the US market, including investment opportunities, liquidity, size, profitability, leverage. The model investigates the association between a firm’s dividend policy and the independent variables. The dependent variable in the panel model is the dividend yield, whereas the independent variables are Tobin’s Q (in the American market), current ratio, ln (total asset), return on equity, and debt-to-equity ratio. Other tests, including diagnostic tests (multicollinearity, heteroskedasticity, and Durbin-Watson), are also conducted in the study. This paper not only analyzes the determinants affecting dividend policy but also explores the dividend policy of the different researched markets. The first result implies that dividend yield changes in Vietnam can be explained by liquidity, size, and profitability; so, collected firms in Vietnam tend to pay dividends regularly. The second result shows that dividend yield changes in the US can be clarified by investment opportunities and liquidity, so collected firms in the US tend to reinvest in long-term growth objectives.","author":[{"dropping-particle":"","family":"Nguyen","given":"Yen Hai Thi","non-dropping-particle":"","parse-names":false,"suffix":""}],"container-title":"European Journal of Business and Management Research","id":"ITEM-1","issue":"1","issued":{"date-parts":[["2025"]]},"page":"56-68","title":"Analysis of Determinants of Dividend Policy in Vietnam and the US Markets","type":"article-journal","volume":"10"},"uris":["http://www.mendeley.com/documents/?uuid=7a512aec-b56a-4372-b23f-7ea767f4988d"]}],"mendeley":{"formattedCitation":"(Y. H. T. Nguyen, 2025)","plainTextFormattedCitation":"(Y. H. T. Nguyen, 2025)","previouslyFormattedCitation":"(Y. H. T. Nguyen, 2025)"},"properties":{"noteIndex":0},"schema":"https://github.com/citation-style-language/schema/raw/master/csl-citation.json"}</w:instrText>
      </w:r>
      <w:r>
        <w:rPr>
          <w:rFonts w:ascii="Arial" w:hAnsi="Arial" w:cs="Arial"/>
          <w:sz w:val="20"/>
          <w:szCs w:val="20"/>
        </w:rPr>
        <w:fldChar w:fldCharType="separate"/>
      </w:r>
      <w:r w:rsidR="006025E6" w:rsidRPr="006025E6">
        <w:rPr>
          <w:rFonts w:ascii="Arial" w:hAnsi="Arial" w:cs="Arial"/>
          <w:noProof/>
          <w:sz w:val="20"/>
          <w:szCs w:val="20"/>
        </w:rPr>
        <w:t>(Y. H. T. Nguyen, 2025)</w:t>
      </w:r>
      <w:r>
        <w:rPr>
          <w:rFonts w:ascii="Arial" w:hAnsi="Arial" w:cs="Arial"/>
          <w:sz w:val="20"/>
          <w:szCs w:val="20"/>
        </w:rPr>
        <w:fldChar w:fldCharType="end"/>
      </w:r>
      <w:r w:rsidRPr="00102E5D">
        <w:rPr>
          <w:rFonts w:ascii="Arial" w:hAnsi="Arial" w:cs="Arial"/>
          <w:sz w:val="20"/>
          <w:szCs w:val="20"/>
        </w:rPr>
        <w:t>. In volatile market conditions, investors tend to prioritize the factors of certainty and stability, making dividends the main indicator in investment decision-making. Therefore, dividend policy is not only a financial instrument, but also a management communication strategy to build investor trust and loyalty.</w:t>
      </w:r>
    </w:p>
    <w:p w14:paraId="49AA1F7D" w14:textId="77777777" w:rsidR="00BD1985" w:rsidRDefault="00102E5D" w:rsidP="00BD1985">
      <w:pPr>
        <w:pStyle w:val="NormalWeb"/>
        <w:spacing w:before="0" w:beforeAutospacing="0"/>
        <w:ind w:firstLine="720"/>
        <w:jc w:val="both"/>
        <w:rPr>
          <w:rFonts w:ascii="Arial" w:hAnsi="Arial" w:cs="Arial"/>
          <w:sz w:val="20"/>
          <w:szCs w:val="20"/>
        </w:rPr>
      </w:pPr>
      <w:r w:rsidRPr="00102E5D">
        <w:rPr>
          <w:rFonts w:ascii="Arial" w:hAnsi="Arial" w:cs="Arial"/>
          <w:sz w:val="20"/>
          <w:szCs w:val="20"/>
        </w:rPr>
        <w:t xml:space="preserve">This finding is in line with the results of the study stating that dividend policy has a significant effect on the value of stocks. They emphasized that dividends are not just a form of return on investment, but a communication tool for management to show optimism about the long-term prospects </w:t>
      </w:r>
      <w:r>
        <w:rPr>
          <w:rFonts w:ascii="Arial" w:hAnsi="Arial" w:cs="Arial"/>
          <w:sz w:val="20"/>
          <w:szCs w:val="20"/>
        </w:rPr>
        <w:fldChar w:fldCharType="begin" w:fldLock="1"/>
      </w:r>
      <w:r w:rsidR="006025E6">
        <w:rPr>
          <w:rFonts w:ascii="Arial" w:hAnsi="Arial" w:cs="Arial"/>
          <w:sz w:val="20"/>
          <w:szCs w:val="20"/>
        </w:rPr>
        <w:instrText>ADDIN CSL_CITATION {"citationItems":[{"id":"ITEM-1","itemData":{"DOI":"10.3390/ijfs12010022","ISSN":"22277072","abstract":"This study investigates the relationship between dividend policy, firm performance, and value within the Korean market, taking into account the unique context of Chaebol ownership structures. Utilizing a robust dataset of 5478 observations from the Korean Composite Stock Price Index, our empirical analysis employs advanced regression models, revealing distinctive effects of various dividend policy measures through the lenses of interest alignment and managerial entrenchment hypotheses. Surprisingly, while cash dividend payments exhibit a robust positive impact on Tobin’s Q and market-to-book ratios, suggesting an overall positive link with market valuations, a closer inspection reveals divergent impacts for Chaebol and non-Chaebol firms. In Chaebol entities, dividend policy proxies consistently demonstrate positive effects on performance metrics, aligning with the interest alignment hypothesis and highlighting strategic signaling efforts. Conversely, non-Chaebol firms exhibit intriguingly negative impacts, supporting the managerial entrenchment hypothesis and implying potential challenges to market value. Firms should prioritize transparent communication on dividend policies for improved investor decision making and enhanced corporate governance in the dynamic Korean market.","author":[{"dropping-particle":"","family":"Njoku","given":"Okechukwu Enyeribe","non-dropping-particle":"","parse-names":false,"suffix":""},{"dropping-particle":"","family":"Lee","given":"Younghwan","non-dropping-particle":"","parse-names":false,"suffix":""}],"container-title":"International Journal of Financial Studies","id":"ITEM-1","issue":"1","issued":{"date-parts":[["2024"]]},"title":"Revisiting the Effect of Dividend Policy on Firm Performance and Value: Empirical Evidence from the Korean Market","type":"article-journal","volume":"12"},"uris":["http://www.mendeley.com/documents/?uuid=e801d70f-20f6-4b22-b414-ccac0734dc24"]},{"id":"ITEM-2","itemData":{"DOI":"10.24018/ejbmr.2025.10.1.2534","abstract":"This study aims to investigate determinants that impact a company’s dividend policy in the Vietnam and US markets by researching public nonbank financial firms from 2017 to 2021 by applying panel data of 30 businesses listed on the Vietnam Stock Exchange and 30 businesses listed on the American Stock Exchange during the reporting period. Panel data is constructed with four independent variables in the Vietnam market, including liquidity, size, profitability, and leverage, and five independent variables in the US market, including investment opportunities, liquidity, size, profitability, leverage. The model investigates the association between a firm’s dividend policy and the independent variables. The dependent variable in the panel model is the dividend yield, whereas the independent variables are Tobin’s Q (in the American market), current ratio, ln (total asset), return on equity, and debt-to-equity ratio. Other tests, including diagnostic tests (multicollinearity, heteroskedasticity, and Durbin-Watson), are also conducted in the study. This paper not only analyzes the determinants affecting dividend policy but also explores the dividend policy of the different researched markets. The first result implies that dividend yield changes in Vietnam can be explained by liquidity, size, and profitability; so, collected firms in Vietnam tend to pay dividends regularly. The second result shows that dividend yield changes in the US can be clarified by investment opportunities and liquidity, so collected firms in the US tend to reinvest in long-term growth objectives.","author":[{"dropping-particle":"","family":"Nguyen","given":"Yen Hai Thi","non-dropping-particle":"","parse-names":false,"suffix":""}],"container-title":"European Journal of Business and Management Research","id":"ITEM-2","issue":"1","issued":{"date-parts":[["2025"]]},"page":"56-68","title":"Analysis of Determinants of Dividend Policy in Vietnam and the US Markets","type":"article-journal","volume":"10"},"uris":["http://www.mendeley.com/documents/?uuid=7a512aec-b56a-4372-b23f-7ea767f4988d"]}],"mendeley":{"formattedCitation":"(Y. H. T. Nguyen, 2025; Njoku &amp; Lee, 2024)","plainTextFormattedCitation":"(Y. H. T. Nguyen, 2025; Njoku &amp; Lee, 2024)","previouslyFormattedCitation":"(Y. H. T. Nguyen, 2025; Njoku &amp; Lee, 2024)"},"properties":{"noteIndex":0},"schema":"https://github.com/citation-style-language/schema/raw/master/csl-citation.json"}</w:instrText>
      </w:r>
      <w:r>
        <w:rPr>
          <w:rFonts w:ascii="Arial" w:hAnsi="Arial" w:cs="Arial"/>
          <w:sz w:val="20"/>
          <w:szCs w:val="20"/>
        </w:rPr>
        <w:fldChar w:fldCharType="separate"/>
      </w:r>
      <w:r w:rsidR="006025E6" w:rsidRPr="006025E6">
        <w:rPr>
          <w:rFonts w:ascii="Arial" w:hAnsi="Arial" w:cs="Arial"/>
          <w:noProof/>
          <w:sz w:val="20"/>
          <w:szCs w:val="20"/>
        </w:rPr>
        <w:t>(Y. H. T. Nguyen, 2025; Njoku &amp; Lee, 2024)</w:t>
      </w:r>
      <w:r>
        <w:rPr>
          <w:rFonts w:ascii="Arial" w:hAnsi="Arial" w:cs="Arial"/>
          <w:sz w:val="20"/>
          <w:szCs w:val="20"/>
        </w:rPr>
        <w:fldChar w:fldCharType="end"/>
      </w:r>
      <w:r w:rsidRPr="00102E5D">
        <w:rPr>
          <w:rFonts w:ascii="Arial" w:hAnsi="Arial" w:cs="Arial"/>
          <w:sz w:val="20"/>
          <w:szCs w:val="20"/>
        </w:rPr>
        <w:t xml:space="preserve">. In the framework of the bird in the hand theory, investors prefer fixed income in the form of dividends rather than unrealized capital gains </w:t>
      </w:r>
      <w:r>
        <w:rPr>
          <w:rFonts w:ascii="Arial" w:hAnsi="Arial" w:cs="Arial"/>
          <w:sz w:val="20"/>
          <w:szCs w:val="20"/>
        </w:rPr>
        <w:fldChar w:fldCharType="begin" w:fldLock="1"/>
      </w:r>
      <w:r w:rsidR="006025E6">
        <w:rPr>
          <w:rFonts w:ascii="Arial" w:hAnsi="Arial" w:cs="Arial"/>
          <w:sz w:val="20"/>
          <w:szCs w:val="20"/>
        </w:rPr>
        <w:instrText>ADDIN CSL_CITATION {"citationItems":[{"id":"ITEM-1","itemData":{"author":[{"dropping-particle":"","family":"Zare","given":"Reza","non-dropping-particle":"","parse-names":false,"suffix":""},{"dropping-particle":"","family":"Moradi","given":"Javad","non-dropping-particle":"","parse-names":false,"suffix":""},{"dropping-particle":"","family":"Valipour","given":"Hashem","non-dropping-particle":"","parse-names":false,"suffix":""}],"container-title":"Asian Economic and Financial Review","id":"ITEM-1","issue":"4","issued":{"date-parts":[["2013"]]},"page":"445-463","title":"Dividend Policy and Information Asymmetry from the Signaling Perspective","type":"article-journal","volume":"3"},"uris":["http://www.mendeley.com/documents/?uuid=1f58449a-2e37-4273-a7ff-0a517ad7640e"]}],"mendeley":{"formattedCitation":"(Zare et al., 2013)","plainTextFormattedCitation":"(Zare et al., 2013)","previouslyFormattedCitation":"(Zare et al., 2013)"},"properties":{"noteIndex":0},"schema":"https://github.com/citation-style-language/schema/raw/master/csl-citation.json"}</w:instrText>
      </w:r>
      <w:r>
        <w:rPr>
          <w:rFonts w:ascii="Arial" w:hAnsi="Arial" w:cs="Arial"/>
          <w:sz w:val="20"/>
          <w:szCs w:val="20"/>
        </w:rPr>
        <w:fldChar w:fldCharType="separate"/>
      </w:r>
      <w:r w:rsidRPr="00102E5D">
        <w:rPr>
          <w:rFonts w:ascii="Arial" w:hAnsi="Arial" w:cs="Arial"/>
          <w:noProof/>
          <w:sz w:val="20"/>
          <w:szCs w:val="20"/>
        </w:rPr>
        <w:t>(Zare et al., 2013)</w:t>
      </w:r>
      <w:r>
        <w:rPr>
          <w:rFonts w:ascii="Arial" w:hAnsi="Arial" w:cs="Arial"/>
          <w:sz w:val="20"/>
          <w:szCs w:val="20"/>
        </w:rPr>
        <w:fldChar w:fldCharType="end"/>
      </w:r>
      <w:r w:rsidRPr="00102E5D">
        <w:rPr>
          <w:rFonts w:ascii="Arial" w:hAnsi="Arial" w:cs="Arial"/>
          <w:sz w:val="20"/>
          <w:szCs w:val="20"/>
        </w:rPr>
        <w:t>. This is particularly relevant in emerging markets such as Indonesia, where macroeconomic uncertainty is still high. Thus, the results of this study provide managerial implications that companies need to maintain the consistency of dividend policies as part of the company's value-enhancing strategy. Companies that hold back profits without adequate explanation risk creating a negative perception among investors. Therefore, a planned and transparent dividend policy is an important element in building sustainable stock valuations in the Indonesian capital market.</w:t>
      </w:r>
    </w:p>
    <w:p w14:paraId="7EF3A644" w14:textId="77777777" w:rsidR="00BD1985" w:rsidRDefault="00D77A87" w:rsidP="00BD1985">
      <w:pPr>
        <w:pStyle w:val="NormalWeb"/>
        <w:spacing w:before="0" w:beforeAutospacing="0"/>
        <w:jc w:val="both"/>
        <w:rPr>
          <w:rStyle w:val="Strong"/>
          <w:rFonts w:ascii="Arial" w:hAnsi="Arial" w:cs="Arial"/>
          <w:sz w:val="20"/>
          <w:szCs w:val="20"/>
        </w:rPr>
      </w:pPr>
      <w:r w:rsidRPr="00A246DF">
        <w:rPr>
          <w:rStyle w:val="Strong"/>
          <w:rFonts w:ascii="Arial" w:hAnsi="Arial" w:cs="Arial"/>
          <w:sz w:val="20"/>
          <w:szCs w:val="20"/>
        </w:rPr>
        <w:t>H4: Dividend Policy moderates the effect of Profitability on Stock Price Valuation</w:t>
      </w:r>
    </w:p>
    <w:p w14:paraId="100F8034" w14:textId="77777777" w:rsidR="00BD1985" w:rsidRDefault="006025E6" w:rsidP="00BD1985">
      <w:pPr>
        <w:pStyle w:val="NormalWeb"/>
        <w:spacing w:before="0" w:beforeAutospacing="0"/>
        <w:ind w:firstLine="720"/>
        <w:jc w:val="both"/>
        <w:rPr>
          <w:rFonts w:ascii="Arial" w:hAnsi="Arial" w:cs="Arial"/>
          <w:sz w:val="20"/>
          <w:szCs w:val="20"/>
        </w:rPr>
      </w:pPr>
      <w:r w:rsidRPr="008A1BF0">
        <w:rPr>
          <w:rFonts w:ascii="Arial" w:hAnsi="Arial" w:cs="Arial"/>
          <w:sz w:val="20"/>
          <w:szCs w:val="20"/>
        </w:rPr>
        <w:t xml:space="preserve">Based on the results of the interaction test between profitability and dividend policy, a significance value of 0.968 (&gt; 0.05) was obtained, which shows that the interaction between the two variables does not have a significant effect on the valuation of the stock price. These findings indicate that dividend policy is not able to strengthen or weaken the influence of profitability on stock value </w:t>
      </w:r>
      <w:r w:rsidRPr="008A1BF0">
        <w:rPr>
          <w:rFonts w:ascii="Arial" w:hAnsi="Arial" w:cs="Arial"/>
          <w:sz w:val="20"/>
          <w:szCs w:val="20"/>
        </w:rPr>
        <w:fldChar w:fldCharType="begin" w:fldLock="1"/>
      </w:r>
      <w:r w:rsidRPr="008A1BF0">
        <w:rPr>
          <w:rFonts w:ascii="Arial" w:hAnsi="Arial" w:cs="Arial"/>
          <w:sz w:val="20"/>
          <w:szCs w:val="20"/>
        </w:rPr>
        <w:instrText>ADDIN CSL_CITATION {"citationItems":[{"id":"ITEM-1","itemData":{"author":[{"dropping-particle":"","family":"Zare","given":"Reza","non-dropping-particle":"","parse-names":false,"suffix":""},{"dropping-particle":"","family":"Moradi","given":"Javad","non-dropping-particle":"","parse-names":false,"suffix":""},{"dropping-particle":"","family":"Valipour","given":"Hashem","non-dropping-particle":"","parse-names":false,"suffix":""}],"container-title":"Asian Economic and Financial Review","id":"ITEM-1","issue":"4","issued":{"date-parts":[["2013"]]},"page":"445-463","title":"Dividend Policy and Information Asymmetry from the Signaling Perspective","type":"article-journal","volume":"3"},"uris":["http://www.mendeley.com/documents/?uuid=1f58449a-2e37-4273-a7ff-0a517ad7640e"]}],"mendeley":{"formattedCitation":"(Zare et al., 2013)","plainTextFormattedCitation":"(Zare et al., 2013)","previouslyFormattedCitation":"(Zare et al., 2013)"},"properties":{"noteIndex":0},"schema":"https://github.com/citation-style-language/schema/raw/master/csl-citation.json"}</w:instrText>
      </w:r>
      <w:r w:rsidRPr="008A1BF0">
        <w:rPr>
          <w:rFonts w:ascii="Arial" w:hAnsi="Arial" w:cs="Arial"/>
          <w:sz w:val="20"/>
          <w:szCs w:val="20"/>
        </w:rPr>
        <w:fldChar w:fldCharType="separate"/>
      </w:r>
      <w:r w:rsidRPr="008A1BF0">
        <w:rPr>
          <w:rFonts w:ascii="Arial" w:hAnsi="Arial" w:cs="Arial"/>
          <w:noProof/>
          <w:sz w:val="20"/>
          <w:szCs w:val="20"/>
        </w:rPr>
        <w:t>(Zare et al., 2013)</w:t>
      </w:r>
      <w:r w:rsidRPr="008A1BF0">
        <w:rPr>
          <w:rFonts w:ascii="Arial" w:hAnsi="Arial" w:cs="Arial"/>
          <w:sz w:val="20"/>
          <w:szCs w:val="20"/>
        </w:rPr>
        <w:fldChar w:fldCharType="end"/>
      </w:r>
      <w:r w:rsidRPr="008A1BF0">
        <w:rPr>
          <w:rFonts w:ascii="Arial" w:hAnsi="Arial" w:cs="Arial"/>
          <w:sz w:val="20"/>
          <w:szCs w:val="20"/>
        </w:rPr>
        <w:t xml:space="preserve">. In other words, a company's high profit rate does not automatically increase the valuation of the stock even if it is accompanied by a certain dividend policy. This condition suggests that investors may view profitability and dividends as two stand-alone signals, where profitability reflects internal operational efficiency, while dividends are seen as a form of external commitment to shareholders </w:t>
      </w:r>
      <w:r w:rsidRPr="008A1BF0">
        <w:rPr>
          <w:rFonts w:ascii="Arial" w:hAnsi="Arial" w:cs="Arial"/>
          <w:sz w:val="20"/>
          <w:szCs w:val="20"/>
        </w:rPr>
        <w:fldChar w:fldCharType="begin" w:fldLock="1"/>
      </w:r>
      <w:r w:rsidRPr="008A1BF0">
        <w:rPr>
          <w:rFonts w:ascii="Arial" w:hAnsi="Arial" w:cs="Arial"/>
          <w:sz w:val="20"/>
          <w:szCs w:val="20"/>
        </w:rPr>
        <w:instrText>ADDIN CSL_CITATION {"citationItems":[{"id":"ITEM-1","itemData":{"DOI":"10.3390/ijfs12010022","ISSN":"22277072","abstract":"This study investigates the relationship between dividend policy, firm performance, and value within the Korean market, taking into account the unique context of Chaebol ownership structures. Utilizing a robust dataset of 5478 observations from the Korean Composite Stock Price Index, our empirical analysis employs advanced regression models, revealing distinctive effects of various dividend policy measures through the lenses of interest alignment and managerial entrenchment hypotheses. Surprisingly, while cash dividend payments exhibit a robust positive impact on Tobin’s Q and market-to-book ratios, suggesting an overall positive link with market valuations, a closer inspection reveals divergent impacts for Chaebol and non-Chaebol firms. In Chaebol entities, dividend policy proxies consistently demonstrate positive effects on performance metrics, aligning with the interest alignment hypothesis and highlighting strategic signaling efforts. Conversely, non-Chaebol firms exhibit intriguingly negative impacts, supporting the managerial entrenchment hypothesis and implying potential challenges to market value. Firms should prioritize transparent communication on dividend policies for improved investor decision making and enhanced corporate governance in the dynamic Korean market.","author":[{"dropping-particle":"","family":"Njoku","given":"Okechukwu Enyeribe","non-dropping-particle":"","parse-names":false,"suffix":""},{"dropping-particle":"","family":"Lee","given":"Younghwan","non-dropping-particle":"","parse-names":false,"suffix":""}],"container-title":"International Journal of Financial Studies","id":"ITEM-1","issue":"1","issued":{"date-parts":[["2024"]]},"title":"Revisiting the Effect of Dividend Policy on Firm Performance and Value: Empirical Evidence from the Korean Market","type":"article-journal","volume":"12"},"uris":["http://www.mendeley.com/documents/?uuid=e801d70f-20f6-4b22-b414-ccac0734dc24"]}],"mendeley":{"formattedCitation":"(Njoku &amp; Lee, 2024)","plainTextFormattedCitation":"(Njoku &amp; Lee, 2024)","previouslyFormattedCitation":"(Njoku &amp; Lee, 2024)"},"properties":{"noteIndex":0},"schema":"https://github.com/citation-style-language/schema/raw/master/csl-citation.json"}</w:instrText>
      </w:r>
      <w:r w:rsidRPr="008A1BF0">
        <w:rPr>
          <w:rFonts w:ascii="Arial" w:hAnsi="Arial" w:cs="Arial"/>
          <w:sz w:val="20"/>
          <w:szCs w:val="20"/>
        </w:rPr>
        <w:fldChar w:fldCharType="separate"/>
      </w:r>
      <w:r w:rsidRPr="008A1BF0">
        <w:rPr>
          <w:rFonts w:ascii="Arial" w:hAnsi="Arial" w:cs="Arial"/>
          <w:noProof/>
          <w:sz w:val="20"/>
          <w:szCs w:val="20"/>
        </w:rPr>
        <w:t>(Njoku &amp; Lee, 2024)</w:t>
      </w:r>
      <w:r w:rsidRPr="008A1BF0">
        <w:rPr>
          <w:rFonts w:ascii="Arial" w:hAnsi="Arial" w:cs="Arial"/>
          <w:sz w:val="20"/>
          <w:szCs w:val="20"/>
        </w:rPr>
        <w:fldChar w:fldCharType="end"/>
      </w:r>
      <w:r w:rsidRPr="008A1BF0">
        <w:rPr>
          <w:rFonts w:ascii="Arial" w:hAnsi="Arial" w:cs="Arial"/>
          <w:sz w:val="20"/>
          <w:szCs w:val="20"/>
        </w:rPr>
        <w:t xml:space="preserve">. Therefore, the combination of the two does not always produce a synergistic effect in market perception. In addition, external factors such as macroeconomic uncertainty, market volatility, and volatile fiscal policy in the 2021–2024 period may obscure the interactive influence of the two variables </w:t>
      </w:r>
      <w:r w:rsidRPr="008A1BF0">
        <w:rPr>
          <w:rFonts w:ascii="Arial" w:hAnsi="Arial" w:cs="Arial"/>
          <w:sz w:val="20"/>
          <w:szCs w:val="20"/>
        </w:rPr>
        <w:fldChar w:fldCharType="begin" w:fldLock="1"/>
      </w:r>
      <w:r w:rsidRPr="008A1BF0">
        <w:rPr>
          <w:rFonts w:ascii="Arial" w:hAnsi="Arial" w:cs="Arial"/>
          <w:sz w:val="20"/>
          <w:szCs w:val="20"/>
        </w:rPr>
        <w:instrText>ADDIN CSL_CITATION {"citationItems":[{"id":"ITEM-1","itemData":{"DOI":"10.24018/ejbmr.2025.10.1.2534","abstract":"This study aims to investigate determinants that impact a company’s dividend policy in the Vietnam and US markets by researching public nonbank financial firms from 2017 to 2021 by applying panel data of 30 businesses listed on the Vietnam Stock Exchange and 30 businesses listed on the American Stock Exchange during the reporting period. Panel data is constructed with four independent variables in the Vietnam market, including liquidity, size, profitability, and leverage, and five independent variables in the US market, including investment opportunities, liquidity, size, profitability, leverage. The model investigates the association between a firm’s dividend policy and the independent variables. The dependent variable in the panel model is the dividend yield, whereas the independent variables are Tobin’s Q (in the American market), current ratio, ln (total asset), return on equity, and debt-to-equity ratio. Other tests, including diagnostic tests (multicollinearity, heteroskedasticity, and Durbin-Watson), are also conducted in the study. This paper not only analyzes the determinants affecting dividend policy but also explores the dividend policy of the different researched markets. The first result implies that dividend yield changes in Vietnam can be explained by liquidity, size, and profitability; so, collected firms in Vietnam tend to pay dividends regularly. The second result shows that dividend yield changes in the US can be clarified by investment opportunities and liquidity, so collected firms in the US tend to reinvest in long-term growth objectives.","author":[{"dropping-particle":"","family":"Nguyen","given":"Yen Hai Thi","non-dropping-particle":"","parse-names":false,"suffix":""}],"container-title":"European Journal of Business and Management Research","id":"ITEM-1","issue":"1","issued":{"date-parts":[["2025"]]},"page":"56-68","title":"Analysis of Determinants of Dividend Policy in Vietnam and the US Markets","type":"article-journal","volume":"10"},"uris":["http://www.mendeley.com/documents/?uuid=7a512aec-b56a-4372-b23f-7ea767f4988d"]}],"mendeley":{"formattedCitation":"(Y. H. T. Nguyen, 2025)","plainTextFormattedCitation":"(Y. H. T. Nguyen, 2025)","previouslyFormattedCitation":"(Y. H. T. Nguyen, 2025)"},"properties":{"noteIndex":0},"schema":"https://github.com/citation-style-language/schema/raw/master/csl-citation.json"}</w:instrText>
      </w:r>
      <w:r w:rsidRPr="008A1BF0">
        <w:rPr>
          <w:rFonts w:ascii="Arial" w:hAnsi="Arial" w:cs="Arial"/>
          <w:sz w:val="20"/>
          <w:szCs w:val="20"/>
        </w:rPr>
        <w:fldChar w:fldCharType="separate"/>
      </w:r>
      <w:r w:rsidRPr="008A1BF0">
        <w:rPr>
          <w:rFonts w:ascii="Arial" w:hAnsi="Arial" w:cs="Arial"/>
          <w:noProof/>
          <w:sz w:val="20"/>
          <w:szCs w:val="20"/>
        </w:rPr>
        <w:t>(Y. H. T. Nguyen, 2025)</w:t>
      </w:r>
      <w:r w:rsidRPr="008A1BF0">
        <w:rPr>
          <w:rFonts w:ascii="Arial" w:hAnsi="Arial" w:cs="Arial"/>
          <w:sz w:val="20"/>
          <w:szCs w:val="20"/>
        </w:rPr>
        <w:fldChar w:fldCharType="end"/>
      </w:r>
      <w:r w:rsidRPr="008A1BF0">
        <w:rPr>
          <w:rFonts w:ascii="Arial" w:hAnsi="Arial" w:cs="Arial"/>
          <w:sz w:val="20"/>
          <w:szCs w:val="20"/>
        </w:rPr>
        <w:t>. Thus, these results show that dividend policy has not played a role as an effective moderation variable in the relationship between profitability and stock valuation.</w:t>
      </w:r>
    </w:p>
    <w:p w14:paraId="51AF9168" w14:textId="64FB1989" w:rsidR="006025E6" w:rsidRPr="008A1BF0" w:rsidRDefault="008A1BF0" w:rsidP="00BD1985">
      <w:pPr>
        <w:pStyle w:val="NormalWeb"/>
        <w:spacing w:before="0" w:beforeAutospacing="0"/>
        <w:ind w:firstLine="720"/>
        <w:jc w:val="both"/>
        <w:rPr>
          <w:rFonts w:ascii="Arial" w:hAnsi="Arial" w:cs="Arial"/>
          <w:sz w:val="20"/>
          <w:szCs w:val="20"/>
        </w:rPr>
      </w:pPr>
      <w:r w:rsidRPr="008A1BF0">
        <w:rPr>
          <w:rFonts w:ascii="Arial" w:hAnsi="Arial" w:cs="Arial"/>
          <w:sz w:val="20"/>
          <w:szCs w:val="20"/>
        </w:rPr>
        <w:t xml:space="preserve">These findings are not in line with the signaling theory that dividend policy can reinforce positive signals of profitability to company value </w:t>
      </w:r>
      <w:r w:rsidR="006025E6" w:rsidRPr="008A1BF0">
        <w:rPr>
          <w:rFonts w:ascii="Arial" w:hAnsi="Arial" w:cs="Arial"/>
          <w:sz w:val="20"/>
          <w:szCs w:val="20"/>
        </w:rPr>
        <w:fldChar w:fldCharType="begin" w:fldLock="1"/>
      </w:r>
      <w:r w:rsidR="006025E6" w:rsidRPr="008A1BF0">
        <w:rPr>
          <w:rFonts w:ascii="Arial" w:hAnsi="Arial" w:cs="Arial"/>
          <w:sz w:val="20"/>
          <w:szCs w:val="20"/>
        </w:rPr>
        <w:instrText>ADDIN CSL_CITATION {"citationItems":[{"id":"ITEM-1","itemData":{"author":[{"dropping-particle":"","family":"Spence","given":"Michael","non-dropping-particle":"","parse-names":false,"suffix":""}],"container-title":"The Quarterly Journal of Economics","id":"ITEM-1","issue":"3","issued":{"date-parts":[["1973"]]},"page":"355-374","title":"Job Market Signaling","type":"article-journal","volume":"87"},"uris":["http://www.mendeley.com/documents/?uuid=3d39b43b-96cd-4663-8215-621fd86f7075"]},{"id":"ITEM-2","itemData":{"DOI":"10.31014/aior.1992.06.01.485","author":[{"dropping-particle":"","family":"Ayuningsih","given":"Risma","non-dropping-particle":"","parse-names":false,"suffix":""}],"id":"ITEM-2","issued":{"date-parts":[["2023"]]},"title":"Economics and Business Quarterly Reviews The Influence of Net Profit Margin and Debt to Asset Ratio on Profit Growth : Case Study of Coal Mining Subsector","type":"article-journal"},"uris":["http://www.mendeley.com/documents/?uuid=1dfa5981-85b6-425d-a0a6-47bd955854fd"]}],"mendeley":{"formattedCitation":"(Ayuningsih, 2023; Spence, 1973)","plainTextFormattedCitation":"(Ayuningsih, 2023; Spence, 1973)","previouslyFormattedCitation":"(Ayuningsih, 2023; Spence, 1973)"},"properties":{"noteIndex":0},"schema":"https://github.com/citation-style-language/schema/raw/master/csl-citation.json"}</w:instrText>
      </w:r>
      <w:r w:rsidR="006025E6" w:rsidRPr="008A1BF0">
        <w:rPr>
          <w:rFonts w:ascii="Arial" w:hAnsi="Arial" w:cs="Arial"/>
          <w:sz w:val="20"/>
          <w:szCs w:val="20"/>
        </w:rPr>
        <w:fldChar w:fldCharType="separate"/>
      </w:r>
      <w:r w:rsidR="006025E6" w:rsidRPr="008A1BF0">
        <w:rPr>
          <w:rFonts w:ascii="Arial" w:hAnsi="Arial" w:cs="Arial"/>
          <w:noProof/>
          <w:sz w:val="20"/>
          <w:szCs w:val="20"/>
        </w:rPr>
        <w:t>(Ayuningsih, 2023; Spence, 1973)</w:t>
      </w:r>
      <w:r w:rsidR="006025E6" w:rsidRPr="008A1BF0">
        <w:rPr>
          <w:rFonts w:ascii="Arial" w:hAnsi="Arial" w:cs="Arial"/>
          <w:sz w:val="20"/>
          <w:szCs w:val="20"/>
        </w:rPr>
        <w:fldChar w:fldCharType="end"/>
      </w:r>
      <w:r w:rsidR="006025E6" w:rsidRPr="008A1BF0">
        <w:rPr>
          <w:rFonts w:ascii="Arial" w:hAnsi="Arial" w:cs="Arial"/>
          <w:sz w:val="20"/>
          <w:szCs w:val="20"/>
        </w:rPr>
        <w:t>. According to the theory, the combination of high earnings and stable dividends should increase investors' positive perception of the company's prospects. However, the results of this study are different, which can be explained by the characteristics of investors in the Indonesian capital market who tend to be reactive to short-term signals and market sentiment compared to a comprehensive analysis of the interaction of fundamental indicators (</w:t>
      </w:r>
      <w:proofErr w:type="spellStart"/>
      <w:r w:rsidR="006025E6" w:rsidRPr="008A1BF0">
        <w:rPr>
          <w:rFonts w:ascii="Arial" w:hAnsi="Arial" w:cs="Arial"/>
          <w:sz w:val="20"/>
          <w:szCs w:val="20"/>
        </w:rPr>
        <w:t>Tinungki</w:t>
      </w:r>
      <w:proofErr w:type="spellEnd"/>
      <w:r w:rsidR="006025E6" w:rsidRPr="008A1BF0">
        <w:rPr>
          <w:rFonts w:ascii="Arial" w:hAnsi="Arial" w:cs="Arial"/>
          <w:sz w:val="20"/>
          <w:szCs w:val="20"/>
        </w:rPr>
        <w:t xml:space="preserve"> </w:t>
      </w:r>
      <w:r w:rsidR="006025E6" w:rsidRPr="008A1BF0">
        <w:rPr>
          <w:rFonts w:ascii="Arial" w:hAnsi="Arial" w:cs="Arial"/>
          <w:sz w:val="20"/>
          <w:szCs w:val="20"/>
        </w:rPr>
        <w:lastRenderedPageBreak/>
        <w:t xml:space="preserve">et al., 2022). In volatile economic conditions, investors may focus more on external risk factors and asset growth rather than the simultaneous relationship between profitability and dividend policy </w:t>
      </w:r>
      <w:r w:rsidR="006025E6" w:rsidRPr="008A1BF0">
        <w:rPr>
          <w:rFonts w:ascii="Arial" w:hAnsi="Arial" w:cs="Arial"/>
          <w:sz w:val="20"/>
          <w:szCs w:val="20"/>
        </w:rPr>
        <w:fldChar w:fldCharType="begin" w:fldLock="1"/>
      </w:r>
      <w:r w:rsidR="006025E6" w:rsidRPr="008A1BF0">
        <w:rPr>
          <w:rFonts w:ascii="Arial" w:hAnsi="Arial" w:cs="Arial"/>
          <w:sz w:val="20"/>
          <w:szCs w:val="20"/>
        </w:rPr>
        <w:instrText>ADDIN CSL_CITATION {"citationItems":[{"id":"ITEM-1","itemData":{"DOI":"10.1177/2158244020950363","author":[{"dropping-particle":"","family":"Li","given":"Kaodui","non-dropping-particle":"","parse-names":false,"suffix":""},{"dropping-particle":"","family":"Musah","given":"Mohammed","non-dropping-particle":"","parse-names":false,"suffix":""},{"dropping-particle":"","family":"Kong","given":"Yusheng","non-dropping-particle":"","parse-names":false,"suffix":""},{"dropping-particle":"","family":"Mensah","given":"Isaac Adjei","non-dropping-particle":"","parse-names":false,"suffix":""},{"dropping-particle":"","family":"Antwi","given":"Stephen Kwadwo","non-dropping-particle":"","parse-names":false,"suffix":""},{"dropping-particle":"","family":"Bawuah","given":"Jonas","non-dropping-particle":"","parse-names":false,"suffix":""},{"dropping-particle":"","family":"Donkor","given":"Mary","non-dropping-particle":"","parse-names":false,"suffix":""},{"dropping-particle":"","family":"Paa","given":"Cephas","non-dropping-particle":"","parse-names":false,"suffix":""},{"dropping-particle":"","family":"Coffie","given":"Kwasi","non-dropping-particle":"","parse-names":false,"suffix":""},{"dropping-particle":"","family":"Osei","given":"Agyemang Andrew","non-dropping-particle":"","parse-names":false,"suffix":""}],"id":"ITEM-1","issued":{"date-parts":[["2020"]]},"title":"Liquidity and Firms ’ Financial Performance Nexus : A Panel Evidence From Non-Financial Firms Listed on the Ghana Stock Exchange","type":"article-journal"},"uris":["http://www.mendeley.com/documents/?uuid=bad2e1f6-8d56-453e-a0a6-cfd5de8277f5"]}],"mendeley":{"formattedCitation":"(Li et al., 2020)","plainTextFormattedCitation":"(Li et al., 2020)","previouslyFormattedCitation":"(Li et al., 2020)"},"properties":{"noteIndex":0},"schema":"https://github.com/citation-style-language/schema/raw/master/csl-citation.json"}</w:instrText>
      </w:r>
      <w:r w:rsidR="006025E6" w:rsidRPr="008A1BF0">
        <w:rPr>
          <w:rFonts w:ascii="Arial" w:hAnsi="Arial" w:cs="Arial"/>
          <w:sz w:val="20"/>
          <w:szCs w:val="20"/>
        </w:rPr>
        <w:fldChar w:fldCharType="separate"/>
      </w:r>
      <w:r w:rsidR="006025E6" w:rsidRPr="008A1BF0">
        <w:rPr>
          <w:rFonts w:ascii="Arial" w:hAnsi="Arial" w:cs="Arial"/>
          <w:noProof/>
          <w:sz w:val="20"/>
          <w:szCs w:val="20"/>
        </w:rPr>
        <w:t>(Li et al., 2020)</w:t>
      </w:r>
      <w:r w:rsidR="006025E6" w:rsidRPr="008A1BF0">
        <w:rPr>
          <w:rFonts w:ascii="Arial" w:hAnsi="Arial" w:cs="Arial"/>
          <w:sz w:val="20"/>
          <w:szCs w:val="20"/>
        </w:rPr>
        <w:fldChar w:fldCharType="end"/>
      </w:r>
      <w:r w:rsidR="006025E6" w:rsidRPr="008A1BF0">
        <w:rPr>
          <w:rFonts w:ascii="Arial" w:hAnsi="Arial" w:cs="Arial"/>
          <w:sz w:val="20"/>
          <w:szCs w:val="20"/>
        </w:rPr>
        <w:t>. In addition, inconsistency in dividend policy amid changes in earnings can also reduce the clarity of the signals that investors receive. Therefore, the interactive relationship between these financial variables becomes weak and statistically insignificant.</w:t>
      </w:r>
    </w:p>
    <w:p w14:paraId="576A22EA" w14:textId="77777777" w:rsidR="00D77A87" w:rsidRPr="00A246DF" w:rsidRDefault="006025E6" w:rsidP="006025E6">
      <w:pPr>
        <w:pStyle w:val="NormalWeb"/>
        <w:spacing w:before="0" w:beforeAutospacing="0"/>
        <w:ind w:firstLine="720"/>
        <w:jc w:val="both"/>
        <w:rPr>
          <w:rFonts w:ascii="Arial" w:hAnsi="Arial" w:cs="Arial"/>
          <w:sz w:val="20"/>
          <w:szCs w:val="20"/>
        </w:rPr>
      </w:pPr>
      <w:r w:rsidRPr="006025E6">
        <w:rPr>
          <w:rFonts w:ascii="Arial" w:hAnsi="Arial" w:cs="Arial"/>
          <w:sz w:val="20"/>
          <w:szCs w:val="20"/>
        </w:rPr>
        <w:t xml:space="preserve">Theoretically, these results make an important contribution to the corporate finance literature by showing that not all fundamental variables are able to interact synergistically in shaping the perception of company value </w:t>
      </w:r>
      <w:r>
        <w:rPr>
          <w:rFonts w:ascii="Arial" w:hAnsi="Arial" w:cs="Arial"/>
          <w:sz w:val="20"/>
          <w:szCs w:val="20"/>
        </w:rPr>
        <w:fldChar w:fldCharType="begin" w:fldLock="1"/>
      </w:r>
      <w:r>
        <w:rPr>
          <w:rFonts w:ascii="Arial" w:hAnsi="Arial" w:cs="Arial"/>
          <w:sz w:val="20"/>
          <w:szCs w:val="20"/>
        </w:rPr>
        <w:instrText>ADDIN CSL_CITATION {"citationItems":[{"id":"ITEM-1","itemData":{"DOI":"10.35606/jabm.v32i1.1555","ISSN":"0854-4190","abstract":"This study aims to analyze the role of profitability as a mediating variable in the relationship between capital structure and dividend policy on firm value. To achieve these objectives, the population used in this study is the annual financial statements of food and beverage sector companies listed on the Indonesia Stock Exchange during the 2019-2023 period. The sampling technique is purposive sampling. The data obtained were analyzed using Eviews 12 software, including model selection test, hypothesis testing, and Sobel test. The results show that capital structure, dividend policy, and profitability have no significant effect on firm value. In addition, profitability is negatively and significantly affected by capital structure and dividend policy, but cannot mediate the relationship between capital structure and dividend policy with firm value.","author":[{"dropping-particle":"","family":"Imron","given":"Muhamad Ali","non-dropping-particle":"","parse-names":false,"suffix":""},{"dropping-particle":"","family":"Putra","given":"I Nyoman Nugraha Ardana","non-dropping-particle":"","parse-names":false,"suffix":""}],"container-title":"Akuntansi Bisnis &amp; Manajemen ( ABM )","id":"ITEM-1","issue":"1","issued":{"date-parts":[["2025"]]},"page":"1-16","title":"Peran Profitabilitas dalam Memediasi Nilai Perusahaan Sektor Makanan dan Minuman (The Role of Profitability in Mediating Value of Food and Beverage Companies)","type":"article-journal","volume":"32"},"uris":["http://www.mendeley.com/documents/?uuid=48c4bb96-8b9d-41ba-bc9f-590563935b8f"]}],"mendeley":{"formattedCitation":"(Imron &amp; Putra, 2025)","plainTextFormattedCitation":"(Imron &amp; Putra, 2025)","previouslyFormattedCitation":"(Imron &amp; Putra, 2025)"},"properties":{"noteIndex":0},"schema":"https://github.com/citation-style-language/schema/raw/master/csl-citation.json"}</w:instrText>
      </w:r>
      <w:r>
        <w:rPr>
          <w:rFonts w:ascii="Arial" w:hAnsi="Arial" w:cs="Arial"/>
          <w:sz w:val="20"/>
          <w:szCs w:val="20"/>
        </w:rPr>
        <w:fldChar w:fldCharType="separate"/>
      </w:r>
      <w:r w:rsidRPr="006025E6">
        <w:rPr>
          <w:rFonts w:ascii="Arial" w:hAnsi="Arial" w:cs="Arial"/>
          <w:noProof/>
          <w:sz w:val="20"/>
          <w:szCs w:val="20"/>
        </w:rPr>
        <w:t>(Imron &amp; Putra, 2025)</w:t>
      </w:r>
      <w:r>
        <w:rPr>
          <w:rFonts w:ascii="Arial" w:hAnsi="Arial" w:cs="Arial"/>
          <w:sz w:val="20"/>
          <w:szCs w:val="20"/>
        </w:rPr>
        <w:fldChar w:fldCharType="end"/>
      </w:r>
      <w:r w:rsidRPr="006025E6">
        <w:rPr>
          <w:rFonts w:ascii="Arial" w:hAnsi="Arial" w:cs="Arial"/>
          <w:sz w:val="20"/>
          <w:szCs w:val="20"/>
        </w:rPr>
        <w:t xml:space="preserve">. Investors in emerging markets such as Indonesia seem to assess profitability and dividend policy independently, depending on investment objectives and risk preferences. For example, companies with high profitability but low dividends can still be assessed positively if they have long-term growth prospects, while companies with high dividends but declining profitability can raise concerns about the sustainability of financial performance </w:t>
      </w:r>
      <w:r>
        <w:rPr>
          <w:rFonts w:ascii="Arial" w:hAnsi="Arial" w:cs="Arial"/>
          <w:sz w:val="20"/>
          <w:szCs w:val="20"/>
        </w:rPr>
        <w:fldChar w:fldCharType="begin" w:fldLock="1"/>
      </w:r>
      <w:r>
        <w:rPr>
          <w:rFonts w:ascii="Arial" w:hAnsi="Arial" w:cs="Arial"/>
          <w:sz w:val="20"/>
          <w:szCs w:val="20"/>
        </w:rPr>
        <w:instrText>ADDIN CSL_CITATION {"citationItems":[{"id":"ITEM-1","itemData":{"DOI":"10.34010/jika.v11i1.5717","ISSN":"2089-2845","abstract":"This study aims to determine the effect of Dividend Policy and Capital Structure on Agricultural Sector’s Company Value. The research method used in this study is verification method with quantitative approach. The case study was conducted on agricultural sector companies listed on the Indonesia Stock Exchange in 2015-2019. The sample used is Price Book Value (PBV) and Debt to Equity Ratio (DER) in 14 agricultural sector companies obtained from Financial Statements published on the Indonesia Stock Exchange website: www.idx.co.id for the period 2015-2019. The results showed that the variables of Dividend Policy and Capital Structure had a negative and not significant effect on company value.","author":[{"dropping-particle":"","family":"Luckyardi","given":"Senny","non-dropping-particle":"","parse-names":false,"suffix":""},{"dropping-particle":"","family":"Agustini","given":"Kamelia","non-dropping-particle":"","parse-names":false,"suffix":""},{"dropping-particle":"","family":"Nugraha","given":"Nugraha","non-dropping-particle":"","parse-names":false,"suffix":""},{"dropping-particle":"","family":"Sari","given":"Maya","non-dropping-particle":"","parse-names":false,"suffix":""}],"container-title":"Jurnal Ilmu Keuangan dan Perbankan (JIKA)","id":"ITEM-1","issue":"1","issued":{"date-parts":[["2021"]]},"page":"1-20","title":"the Impact of Dividend Policy and Capital Structure on Firm Value in Agricultural Sector","type":"article-journal","volume":"11"},"uris":["http://www.mendeley.com/documents/?uuid=485c4675-4b17-40bd-a057-9e38b407aac7"]}],"mendeley":{"formattedCitation":"(Luckyardi et al., 2021)","plainTextFormattedCitation":"(Luckyardi et al., 2021)","previouslyFormattedCitation":"(Luckyardi et al., 2021)"},"properties":{"noteIndex":0},"schema":"https://github.com/citation-style-language/schema/raw/master/csl-citation.json"}</w:instrText>
      </w:r>
      <w:r>
        <w:rPr>
          <w:rFonts w:ascii="Arial" w:hAnsi="Arial" w:cs="Arial"/>
          <w:sz w:val="20"/>
          <w:szCs w:val="20"/>
        </w:rPr>
        <w:fldChar w:fldCharType="separate"/>
      </w:r>
      <w:r w:rsidRPr="006025E6">
        <w:rPr>
          <w:rFonts w:ascii="Arial" w:hAnsi="Arial" w:cs="Arial"/>
          <w:noProof/>
          <w:sz w:val="20"/>
          <w:szCs w:val="20"/>
        </w:rPr>
        <w:t>(Luckyardi et al., 2021)</w:t>
      </w:r>
      <w:r>
        <w:rPr>
          <w:rFonts w:ascii="Arial" w:hAnsi="Arial" w:cs="Arial"/>
          <w:sz w:val="20"/>
          <w:szCs w:val="20"/>
        </w:rPr>
        <w:fldChar w:fldCharType="end"/>
      </w:r>
      <w:r w:rsidRPr="006025E6">
        <w:rPr>
          <w:rFonts w:ascii="Arial" w:hAnsi="Arial" w:cs="Arial"/>
          <w:sz w:val="20"/>
          <w:szCs w:val="20"/>
        </w:rPr>
        <w:t>. Thus, companies need to integrate dividend policies with effective financial communication strategies so that signals sent through earnings and dividends can be consistently accepted by the market. These findings underscore the importance of transparency and policy consistency in strengthening investor confidence amid dynamic economic conditions.</w:t>
      </w:r>
    </w:p>
    <w:p w14:paraId="1DCA4693" w14:textId="77777777" w:rsidR="00D77A87" w:rsidRPr="00A246DF" w:rsidRDefault="00D77A87" w:rsidP="00D77A87">
      <w:pPr>
        <w:pStyle w:val="Heading3"/>
        <w:spacing w:before="0"/>
        <w:jc w:val="both"/>
        <w:rPr>
          <w:rFonts w:ascii="Arial" w:hAnsi="Arial" w:cs="Arial"/>
          <w:color w:val="auto"/>
          <w:sz w:val="20"/>
          <w:szCs w:val="20"/>
        </w:rPr>
      </w:pPr>
      <w:r w:rsidRPr="00A246DF">
        <w:rPr>
          <w:rStyle w:val="Strong"/>
          <w:rFonts w:ascii="Arial" w:hAnsi="Arial" w:cs="Arial"/>
          <w:color w:val="auto"/>
          <w:sz w:val="20"/>
          <w:szCs w:val="20"/>
        </w:rPr>
        <w:t>H5: Dividend Policy moderates the effect of Share Return on Stock Price Valuation</w:t>
      </w:r>
    </w:p>
    <w:p w14:paraId="74022787" w14:textId="1075E427" w:rsidR="006025E6" w:rsidRDefault="006025E6" w:rsidP="006025E6">
      <w:pPr>
        <w:pStyle w:val="ConcHead"/>
        <w:ind w:firstLine="720"/>
        <w:jc w:val="both"/>
        <w:rPr>
          <w:rFonts w:ascii="Arial" w:hAnsi="Arial" w:cs="Arial"/>
          <w:b w:val="0"/>
          <w:caps w:val="0"/>
          <w:sz w:val="20"/>
        </w:rPr>
      </w:pPr>
      <w:r w:rsidRPr="006025E6">
        <w:rPr>
          <w:rFonts w:ascii="Arial" w:hAnsi="Arial" w:cs="Arial"/>
          <w:b w:val="0"/>
          <w:caps w:val="0"/>
          <w:sz w:val="20"/>
        </w:rPr>
        <w:t xml:space="preserve">Based on the results of the interaction analysis, the stock return variable moderated by the dividend policy showed a significance value of 0.055 (&lt; 0.10), which means that it has a marginally significant moderation effect on the stock price valuation. These findings indicate that dividend policy can strengthen the relationship between stock returns and company value, although the influence is not yet fully strong </w:t>
      </w:r>
      <w:r>
        <w:rPr>
          <w:rFonts w:ascii="Arial" w:hAnsi="Arial" w:cs="Arial"/>
          <w:b w:val="0"/>
          <w:caps w:val="0"/>
          <w:sz w:val="20"/>
        </w:rPr>
        <w:fldChar w:fldCharType="begin" w:fldLock="1"/>
      </w:r>
      <w:r>
        <w:rPr>
          <w:rFonts w:ascii="Arial" w:hAnsi="Arial" w:cs="Arial"/>
          <w:b w:val="0"/>
          <w:caps w:val="0"/>
          <w:sz w:val="20"/>
        </w:rPr>
        <w:instrText>ADDIN CSL_CITATION {"citationItems":[{"id":"ITEM-1","itemData":{"DOI":"10.1177/2158244020950363","author":[{"dropping-particle":"","family":"Li","given":"Kaodui","non-dropping-particle":"","parse-names":false,"suffix":""},{"dropping-particle":"","family":"Musah","given":"Mohammed","non-dropping-particle":"","parse-names":false,"suffix":""},{"dropping-particle":"","family":"Kong","given":"Yusheng","non-dropping-particle":"","parse-names":false,"suffix":""},{"dropping-particle":"","family":"Mensah","given":"Isaac Adjei","non-dropping-particle":"","parse-names":false,"suffix":""},{"dropping-particle":"","family":"Antwi","given":"Stephen Kwadwo","non-dropping-particle":"","parse-names":false,"suffix":""},{"dropping-particle":"","family":"Bawuah","given":"Jonas","non-dropping-particle":"","parse-names":false,"suffix":""},{"dropping-particle":"","family":"Donkor","given":"Mary","non-dropping-particle":"","parse-names":false,"suffix":""},{"dropping-particle":"","family":"Paa","given":"Cephas","non-dropping-particle":"","parse-names":false,"suffix":""},{"dropping-particle":"","family":"Coffie","given":"Kwasi","non-dropping-particle":"","parse-names":false,"suffix":""},{"dropping-particle":"","family":"Osei","given":"Agyemang Andrew","non-dropping-particle":"","parse-names":false,"suffix":""}],"id":"ITEM-1","issued":{"date-parts":[["2020"]]},"title":"Liquidity and Firms ’ Financial Performance Nexus : A Panel Evidence From Non-Financial Firms Listed on the Ghana Stock Exchange","type":"article-journal"},"uris":["http://www.mendeley.com/documents/?uuid=bad2e1f6-8d56-453e-a0a6-cfd5de8277f5"]}],"mendeley":{"formattedCitation":"(Li et al., 2020)","plainTextFormattedCitation":"(Li et al., 2020)","previouslyFormattedCitation":"(Li et al., 2020)"},"properties":{"noteIndex":0},"schema":"https://github.com/citation-style-language/schema/raw/master/csl-citation.json"}</w:instrText>
      </w:r>
      <w:r>
        <w:rPr>
          <w:rFonts w:ascii="Arial" w:hAnsi="Arial" w:cs="Arial"/>
          <w:b w:val="0"/>
          <w:caps w:val="0"/>
          <w:sz w:val="20"/>
        </w:rPr>
        <w:fldChar w:fldCharType="separate"/>
      </w:r>
      <w:r w:rsidRPr="006025E6">
        <w:rPr>
          <w:rFonts w:ascii="Arial" w:hAnsi="Arial" w:cs="Arial"/>
          <w:b w:val="0"/>
          <w:caps w:val="0"/>
          <w:noProof/>
          <w:sz w:val="20"/>
        </w:rPr>
        <w:t>(Li et al., 2020)</w:t>
      </w:r>
      <w:r>
        <w:rPr>
          <w:rFonts w:ascii="Arial" w:hAnsi="Arial" w:cs="Arial"/>
          <w:b w:val="0"/>
          <w:caps w:val="0"/>
          <w:sz w:val="20"/>
        </w:rPr>
        <w:fldChar w:fldCharType="end"/>
      </w:r>
      <w:r>
        <w:rPr>
          <w:rFonts w:ascii="Arial" w:hAnsi="Arial" w:cs="Arial"/>
          <w:b w:val="0"/>
          <w:caps w:val="0"/>
          <w:sz w:val="20"/>
        </w:rPr>
        <w:t xml:space="preserve">. In this context, investors consider that high stock returns will be more meaningful if accompanied by a consistent and sustainable dividend policy. The combination of stock price appreciation and stable dividend distribution provides a positive signal regarding the balance between growth and financial sustainability of the company </w:t>
      </w:r>
      <w:r>
        <w:rPr>
          <w:rFonts w:ascii="Arial" w:hAnsi="Arial" w:cs="Arial"/>
          <w:b w:val="0"/>
          <w:caps w:val="0"/>
          <w:sz w:val="20"/>
        </w:rPr>
        <w:fldChar w:fldCharType="begin" w:fldLock="1"/>
      </w:r>
      <w:r>
        <w:rPr>
          <w:rFonts w:ascii="Arial" w:hAnsi="Arial" w:cs="Arial"/>
          <w:b w:val="0"/>
          <w:caps w:val="0"/>
          <w:sz w:val="20"/>
        </w:rPr>
        <w:instrText>ADDIN CSL_CITATION {"citationItems":[{"id":"ITEM-1","itemData":{"DOI":"10.1108/JED-05-2022-0078","ISSN":"26325330","abstract":"Purpose: This study investigates the effect of global and domestic uncertainty on the dynamics of portfolio investment in 21 economies (mostly advanced and larger emerging economies) from 2001–2016. Design/methodology/approach: Specifically, the evolution of the net portfolio equity investment inflows (FPI net inflows) and the evolution of net portfolio investment (FPI net) are investigated in a context in which the degree and the volatility of domestic economic policy uncertainty (EPU) and world uncertainty index (WUI) varied. The authors provide an empirical analysis through the sequential (two-stage) estimation of linear panel data models for unbalanced panel data. Findings: An increase in the degree and volatility of domestic EPU has a significant negative influence on FPI net inflows, while an increase in WUI has a significant positive one. Notably, a simultaneous increase in the domestic EPU and WUI enhances the net inflows of FPI, whereas a simultaneous increase in the volatility of these indicators reduces the net inflows of FPI. An increase in the degree and volatility of both domestic EPU and WUI have a significant positive effect on the net portfolio investment, implying that a significant net portfolio investment is going out of the country. Research limitations/implications: The results of this study encourage international investors to consider uncertainty indicators (and, more specifically, their variations) in their portfolio strategy to optimize their position on the international markets. The findings of this study invite policy-makers from large countries to reduce the perceived domestic uncertainty since this parameter can influence international investors' sensitivity and willingness to diversify their position out of the country. Originality/value: The authors' approach focuses on the variations of uncertainty (existing literature mainly works with the indicators). While the results confirm the role played by large markets in international portfolio investment management, it nuances the changes in the portfolio management behaviors toward other markets when facing a changing uncertainty.","author":[{"dropping-particle":"","family":"Nguyen","given":"Phuc Canh","non-dropping-particle":"","parse-names":false,"suffix":""},{"dropping-particle":"","family":"Schinckus","given":"Christophe","non-dropping-particle":"","parse-names":false,"suffix":""},{"dropping-particle":"","family":"Nguyen","given":"Binh Quang","non-dropping-particle":"","parse-names":false,"suffix":""},{"dropping-particle":"","family":"Tran","given":"Duyen Le Thuy","non-dropping-particle":"","parse-names":false,"suffix":""}],"container-title":"Journal of Economics and Development","id":"ITEM-1","issue":"4","issued":{"date-parts":[["2022"]]},"page":"309-328","title":"International portfolio investment: does the uncertainty matter?","type":"article-journal","volume":"24"},"uris":["http://www.mendeley.com/documents/?uuid=dd0f71ad-f678-4663-b47f-d7a6253e44d5"]}],"mendeley":{"formattedCitation":"(P. C. Nguyen et al., 2022)","plainTextFormattedCitation":"(P. C. Nguyen et al., 2022)","previouslyFormattedCitation":"(P. C. Nguyen et al., 2022)"},"properties":{"noteIndex":0},"schema":"https://github.com/citation-style-language/schema/raw/master/csl-citation.json"}</w:instrText>
      </w:r>
      <w:r>
        <w:rPr>
          <w:rFonts w:ascii="Arial" w:hAnsi="Arial" w:cs="Arial"/>
          <w:b w:val="0"/>
          <w:caps w:val="0"/>
          <w:sz w:val="20"/>
        </w:rPr>
        <w:fldChar w:fldCharType="separate"/>
      </w:r>
      <w:r w:rsidR="00BD1985">
        <w:rPr>
          <w:rFonts w:ascii="Arial" w:hAnsi="Arial" w:cs="Arial"/>
          <w:b w:val="0"/>
          <w:caps w:val="0"/>
          <w:noProof/>
          <w:sz w:val="20"/>
        </w:rPr>
        <w:t>(</w:t>
      </w:r>
      <w:r w:rsidRPr="006025E6">
        <w:rPr>
          <w:rFonts w:ascii="Arial" w:hAnsi="Arial" w:cs="Arial"/>
          <w:b w:val="0"/>
          <w:caps w:val="0"/>
          <w:noProof/>
          <w:sz w:val="20"/>
        </w:rPr>
        <w:t>Nguyen et al., 2022)</w:t>
      </w:r>
      <w:r>
        <w:rPr>
          <w:rFonts w:ascii="Arial" w:hAnsi="Arial" w:cs="Arial"/>
          <w:b w:val="0"/>
          <w:caps w:val="0"/>
          <w:sz w:val="20"/>
        </w:rPr>
        <w:fldChar w:fldCharType="end"/>
      </w:r>
      <w:r>
        <w:rPr>
          <w:rFonts w:ascii="Arial" w:hAnsi="Arial" w:cs="Arial"/>
          <w:b w:val="0"/>
          <w:caps w:val="0"/>
          <w:sz w:val="20"/>
        </w:rPr>
        <w:t xml:space="preserve">. This result also shows that investors in the Indonesian capital market tend to appreciate companies that are able to provide high total returns, both through capital gains and dividend income </w:t>
      </w:r>
      <w:r>
        <w:rPr>
          <w:rFonts w:ascii="Arial" w:hAnsi="Arial" w:cs="Arial"/>
          <w:b w:val="0"/>
          <w:caps w:val="0"/>
          <w:sz w:val="20"/>
        </w:rPr>
        <w:fldChar w:fldCharType="begin" w:fldLock="1"/>
      </w:r>
      <w:r>
        <w:rPr>
          <w:rFonts w:ascii="Arial" w:hAnsi="Arial" w:cs="Arial"/>
          <w:b w:val="0"/>
          <w:caps w:val="0"/>
          <w:sz w:val="20"/>
        </w:rPr>
        <w:instrText>ADDIN CSL_CITATION {"citationItems":[{"id":"ITEM-1","itemData":{"DOI":"10.34010/jika.v11i1.5717","ISSN":"2089-2845","abstract":"This study aims to determine the effect of Dividend Policy and Capital Structure on Agricultural Sector’s Company Value. The research method used in this study is verification method with quantitative approach. The case study was conducted on agricultural sector companies listed on the Indonesia Stock Exchange in 2015-2019. The sample used is Price Book Value (PBV) and Debt to Equity Ratio (DER) in 14 agricultural sector companies obtained from Financial Statements published on the Indonesia Stock Exchange website: www.idx.co.id for the period 2015-2019. The results showed that the variables of Dividend Policy and Capital Structure had a negative and not significant effect on company value.","author":[{"dropping-particle":"","family":"Luckyardi","given":"Senny","non-dropping-particle":"","parse-names":false,"suffix":""},{"dropping-particle":"","family":"Agustini","given":"Kamelia","non-dropping-particle":"","parse-names":false,"suffix":""},{"dropping-particle":"","family":"Nugraha","given":"Nugraha","non-dropping-particle":"","parse-names":false,"suffix":""},{"dropping-particle":"","family":"Sari","given":"Maya","non-dropping-particle":"","parse-names":false,"suffix":""}],"container-title":"Jurnal Ilmu Keuangan dan Perbankan (JIKA)","id":"ITEM-1","issue":"1","issued":{"date-parts":[["2021"]]},"page":"1-20","title":"the Impact of Dividend Policy and Capital Structure on Firm Value in Agricultural Sector","type":"article-journal","volume":"11"},"uris":["http://www.mendeley.com/documents/?uuid=485c4675-4b17-40bd-a057-9e38b407aac7"]}],"mendeley":{"formattedCitation":"(Luckyardi et al., 2021)","plainTextFormattedCitation":"(Luckyardi et al., 2021)","previouslyFormattedCitation":"(Luckyardi et al., 2021)"},"properties":{"noteIndex":0},"schema":"https://github.com/citation-style-language/schema/raw/master/csl-citation.json"}</w:instrText>
      </w:r>
      <w:r>
        <w:rPr>
          <w:rFonts w:ascii="Arial" w:hAnsi="Arial" w:cs="Arial"/>
          <w:b w:val="0"/>
          <w:caps w:val="0"/>
          <w:sz w:val="20"/>
        </w:rPr>
        <w:fldChar w:fldCharType="separate"/>
      </w:r>
      <w:r w:rsidRPr="006025E6">
        <w:rPr>
          <w:rFonts w:ascii="Arial" w:hAnsi="Arial" w:cs="Arial"/>
          <w:b w:val="0"/>
          <w:caps w:val="0"/>
          <w:noProof/>
          <w:sz w:val="20"/>
        </w:rPr>
        <w:t>(Luckyardi et al., 2021)</w:t>
      </w:r>
      <w:r>
        <w:rPr>
          <w:rFonts w:ascii="Arial" w:hAnsi="Arial" w:cs="Arial"/>
          <w:b w:val="0"/>
          <w:caps w:val="0"/>
          <w:sz w:val="20"/>
        </w:rPr>
        <w:fldChar w:fldCharType="end"/>
      </w:r>
      <w:r>
        <w:rPr>
          <w:rFonts w:ascii="Arial" w:hAnsi="Arial" w:cs="Arial"/>
          <w:b w:val="0"/>
          <w:caps w:val="0"/>
          <w:sz w:val="20"/>
        </w:rPr>
        <w:t xml:space="preserve">. Thus, the dividend policy serves as a booster of investors' confidence in the stability and long-term prospects of the company. Support of signaling theory </w:t>
      </w:r>
      <w:r>
        <w:rPr>
          <w:rFonts w:ascii="Arial" w:hAnsi="Arial" w:cs="Arial"/>
          <w:b w:val="0"/>
          <w:caps w:val="0"/>
          <w:sz w:val="20"/>
        </w:rPr>
        <w:fldChar w:fldCharType="begin" w:fldLock="1"/>
      </w:r>
      <w:r w:rsidR="0095062B">
        <w:rPr>
          <w:rFonts w:ascii="Arial" w:hAnsi="Arial" w:cs="Arial"/>
          <w:b w:val="0"/>
          <w:caps w:val="0"/>
          <w:sz w:val="20"/>
        </w:rPr>
        <w:instrText>ADDIN CSL_CITATION {"citationItems":[{"id":"ITEM-1","itemData":{"author":[{"dropping-particle":"","family":"Spence","given":"Michael","non-dropping-particle":"","parse-names":false,"suffix":""}],"container-title":"The Quarterly Journal of Economics","id":"ITEM-1","issue":"3","issued":{"date-parts":[["1973"]]},"page":"355-374","title":"Job Market Signaling","type":"article-journal","volume":"87"},"uris":["http://www.mendeley.com/documents/?uuid=3d39b43b-96cd-4663-8215-621fd86f7075"]}],"mendeley":{"formattedCitation":"(Spence, 1973)","plainTextFormattedCitation":"(Spence, 1973)","previouslyFormattedCitation":"(Spence, 1973)"},"properties":{"noteIndex":0},"schema":"https://github.com/citation-style-language/schema/raw/master/csl-citation.json"}</w:instrText>
      </w:r>
      <w:r>
        <w:rPr>
          <w:rFonts w:ascii="Arial" w:hAnsi="Arial" w:cs="Arial"/>
          <w:b w:val="0"/>
          <w:caps w:val="0"/>
          <w:sz w:val="20"/>
        </w:rPr>
        <w:fldChar w:fldCharType="separate"/>
      </w:r>
      <w:r w:rsidRPr="006025E6">
        <w:rPr>
          <w:rFonts w:ascii="Arial" w:hAnsi="Arial" w:cs="Arial"/>
          <w:b w:val="0"/>
          <w:caps w:val="0"/>
          <w:noProof/>
          <w:sz w:val="20"/>
        </w:rPr>
        <w:t>(Spence, 1973)</w:t>
      </w:r>
      <w:r>
        <w:rPr>
          <w:rFonts w:ascii="Arial" w:hAnsi="Arial" w:cs="Arial"/>
          <w:b w:val="0"/>
          <w:caps w:val="0"/>
          <w:sz w:val="20"/>
        </w:rPr>
        <w:fldChar w:fldCharType="end"/>
      </w:r>
      <w:r>
        <w:rPr>
          <w:rFonts w:ascii="Arial" w:hAnsi="Arial" w:cs="Arial"/>
          <w:b w:val="0"/>
          <w:caps w:val="0"/>
          <w:sz w:val="20"/>
        </w:rPr>
        <w:t xml:space="preserve"> Dan Bird in the Hand </w:t>
      </w:r>
      <w:r w:rsidR="0095062B">
        <w:rPr>
          <w:rFonts w:ascii="Arial" w:hAnsi="Arial" w:cs="Arial"/>
          <w:b w:val="0"/>
          <w:caps w:val="0"/>
          <w:sz w:val="20"/>
        </w:rPr>
        <w:fldChar w:fldCharType="begin" w:fldLock="1"/>
      </w:r>
      <w:r w:rsidR="0095062B">
        <w:rPr>
          <w:rFonts w:ascii="Arial" w:hAnsi="Arial" w:cs="Arial"/>
          <w:b w:val="0"/>
          <w:caps w:val="0"/>
          <w:sz w:val="20"/>
        </w:rPr>
        <w:instrText>ADDIN CSL_CITATION {"citationItems":[{"id":"ITEM-1","itemData":{"abstract":"JSTOR is a not-for-profit service that helps scholars, researchers, and students discover, use, and build upon a wide range of content in a trusted digital archive. We use information technology and tools to increase productivity and facilitate new forms of scholarship. For more information about JSTOR, please contact support@jstor.org.","author":[{"dropping-particle":"","family":"John Lintner","given":"","non-dropping-particle":"","parse-names":false,"suffix":""}],"container-title":"The American Economic Review","id":"ITEM-1","issue":"2","issued":{"date-parts":[["1956"]]},"page":"97-113","title":"Distribution of Incomes of Corporations Among Dividends, Retained Earnings, and Taxes","type":"article-journal","volume":"46"},"uris":["http://www.mendeley.com/documents/?uuid=a4c9d533-db2d-48f9-bdb4-0e71ba8400a8"]}],"mendeley":{"formattedCitation":"(John Lintner, 1956)","plainTextFormattedCitation":"(John Lintner, 1956)","previouslyFormattedCitation":"(John Lintner, 1956)"},"properties":{"noteIndex":0},"schema":"https://github.com/citation-style-language/schema/raw/master/csl-citation.json"}</w:instrText>
      </w:r>
      <w:r w:rsidR="0095062B">
        <w:rPr>
          <w:rFonts w:ascii="Arial" w:hAnsi="Arial" w:cs="Arial"/>
          <w:b w:val="0"/>
          <w:caps w:val="0"/>
          <w:sz w:val="20"/>
        </w:rPr>
        <w:fldChar w:fldCharType="separate"/>
      </w:r>
      <w:r w:rsidR="0095062B" w:rsidRPr="0095062B">
        <w:rPr>
          <w:rFonts w:ascii="Arial" w:hAnsi="Arial" w:cs="Arial"/>
          <w:b w:val="0"/>
          <w:caps w:val="0"/>
          <w:noProof/>
          <w:sz w:val="20"/>
        </w:rPr>
        <w:t>(John Lintner, 1956)</w:t>
      </w:r>
      <w:r w:rsidR="0095062B">
        <w:rPr>
          <w:rFonts w:ascii="Arial" w:hAnsi="Arial" w:cs="Arial"/>
          <w:b w:val="0"/>
          <w:caps w:val="0"/>
          <w:sz w:val="20"/>
        </w:rPr>
        <w:fldChar w:fldCharType="end"/>
      </w:r>
      <w:r w:rsidR="0095062B">
        <w:rPr>
          <w:rFonts w:ascii="Arial" w:hAnsi="Arial" w:cs="Arial"/>
          <w:b w:val="0"/>
          <w:caps w:val="0"/>
          <w:sz w:val="20"/>
        </w:rPr>
        <w:t xml:space="preserve"> It is clear that dividends provide a sense of security in the midst of market volatility. In addition, the dividend policy can also act as a mechanism to control investors' expectations of investment risks. Therefore, companies that are able to maintain a balance between stock returns and dividends will gain a higher market valuation.</w:t>
      </w:r>
    </w:p>
    <w:p w14:paraId="11B353BE" w14:textId="77777777" w:rsidR="006025E6" w:rsidRDefault="006025E6" w:rsidP="006025E6">
      <w:pPr>
        <w:pStyle w:val="ConcHead"/>
        <w:ind w:firstLine="720"/>
        <w:jc w:val="both"/>
        <w:rPr>
          <w:rFonts w:ascii="Arial" w:hAnsi="Arial" w:cs="Arial"/>
          <w:b w:val="0"/>
          <w:caps w:val="0"/>
          <w:sz w:val="20"/>
        </w:rPr>
      </w:pPr>
      <w:r w:rsidRPr="006025E6">
        <w:rPr>
          <w:rFonts w:ascii="Arial" w:hAnsi="Arial" w:cs="Arial"/>
          <w:b w:val="0"/>
          <w:caps w:val="0"/>
          <w:sz w:val="20"/>
        </w:rPr>
        <w:t xml:space="preserve">These findings are in line with research </w:t>
      </w:r>
      <w:r w:rsidR="0095062B">
        <w:rPr>
          <w:rFonts w:ascii="Arial" w:hAnsi="Arial" w:cs="Arial"/>
          <w:b w:val="0"/>
          <w:caps w:val="0"/>
          <w:sz w:val="20"/>
        </w:rPr>
        <w:fldChar w:fldCharType="begin" w:fldLock="1"/>
      </w:r>
      <w:r w:rsidR="0095062B">
        <w:rPr>
          <w:rFonts w:ascii="Arial" w:hAnsi="Arial" w:cs="Arial"/>
          <w:b w:val="0"/>
          <w:caps w:val="0"/>
          <w:sz w:val="20"/>
        </w:rPr>
        <w:instrText>ADDIN CSL_CITATION {"citationItems":[{"id":"ITEM-1","itemData":{"DOI":"10.1177/2158244020950363","author":[{"dropping-particle":"","family":"Li","given":"Kaodui","non-dropping-particle":"","parse-names":false,"suffix":""},{"dropping-particle":"","family":"Musah","given":"Mohammed","non-dropping-particle":"","parse-names":false,"suffix":""},{"dropping-particle":"","family":"Kong","given":"Yusheng","non-dropping-particle":"","parse-names":false,"suffix":""},{"dropping-particle":"","family":"Mensah","given":"Isaac Adjei","non-dropping-particle":"","parse-names":false,"suffix":""},{"dropping-particle":"","family":"Antwi","given":"Stephen Kwadwo","non-dropping-particle":"","parse-names":false,"suffix":""},{"dropping-particle":"","family":"Bawuah","given":"Jonas","non-dropping-particle":"","parse-names":false,"suffix":""},{"dropping-particle":"","family":"Donkor","given":"Mary","non-dropping-particle":"","parse-names":false,"suffix":""},{"dropping-particle":"","family":"Paa","given":"Cephas","non-dropping-particle":"","parse-names":false,"suffix":""},{"dropping-particle":"","family":"Coffie","given":"Kwasi","non-dropping-particle":"","parse-names":false,"suffix":""},{"dropping-particle":"","family":"Osei","given":"Agyemang Andrew","non-dropping-particle":"","parse-names":false,"suffix":""}],"id":"ITEM-1","issued":{"date-parts":[["2020"]]},"title":"Liquidity and Firms ’ Financial Performance Nexus : A Panel Evidence From Non-Financial Firms Listed on the Ghana Stock Exchange","type":"article-journal"},"uris":["http://www.mendeley.com/documents/?uuid=bad2e1f6-8d56-453e-a0a6-cfd5de8277f5"]},{"id":"ITEM-2","itemData":{"author":[{"dropping-particle":"","family":"Blanco","given":"Teresa Pintado","non-dropping-particle":"","parse-names":false,"suffix":""}],"id":"ITEM-2","issue":"2","issued":{"date-parts":[["2023"]]},"page":"138-146","title":"The Side Effect of Political Standing : Corporate Activism and Its Impact on Stock Returns","type":"article-journal","volume":"11"},"uris":["http://www.mendeley.com/documents/?uuid=38a661fd-25d8-4f28-9910-e3af1cb03854"]}],"mendeley":{"formattedCitation":"(Blanco, 2023; Li et al., 2020)","manualFormatting":"Blanco (2023) dan Li et al (2020)","plainTextFormattedCitation":"(Blanco, 2023; Li et al., 2020)","previouslyFormattedCitation":"(Blanco, 2023; Li et al., 2020)"},"properties":{"noteIndex":0},"schema":"https://github.com/citation-style-language/schema/raw/master/csl-citation.json"}</w:instrText>
      </w:r>
      <w:r w:rsidR="0095062B">
        <w:rPr>
          <w:rFonts w:ascii="Arial" w:hAnsi="Arial" w:cs="Arial"/>
          <w:b w:val="0"/>
          <w:caps w:val="0"/>
          <w:sz w:val="20"/>
        </w:rPr>
        <w:fldChar w:fldCharType="separate"/>
      </w:r>
      <w:r w:rsidR="0095062B">
        <w:rPr>
          <w:rFonts w:ascii="Arial" w:hAnsi="Arial" w:cs="Arial"/>
          <w:b w:val="0"/>
          <w:caps w:val="0"/>
          <w:noProof/>
          <w:sz w:val="20"/>
        </w:rPr>
        <w:t>Blanco (2023) and Li et al (2020)</w:t>
      </w:r>
      <w:r w:rsidR="0095062B">
        <w:rPr>
          <w:rFonts w:ascii="Arial" w:hAnsi="Arial" w:cs="Arial"/>
          <w:b w:val="0"/>
          <w:caps w:val="0"/>
          <w:sz w:val="20"/>
        </w:rPr>
        <w:fldChar w:fldCharType="end"/>
      </w:r>
      <w:r w:rsidRPr="006025E6">
        <w:rPr>
          <w:rFonts w:ascii="Arial" w:hAnsi="Arial" w:cs="Arial"/>
          <w:b w:val="0"/>
          <w:caps w:val="0"/>
          <w:sz w:val="20"/>
        </w:rPr>
        <w:t xml:space="preserve">, which found that dividend policies can strengthen the relationship between market performance and the perception of a company's value. Investors consider the company to be disciplined in distributing dividends amid rising share prices as an entity with good governance and a commitment to shareholder welfare </w:t>
      </w:r>
      <w:r w:rsidR="0095062B">
        <w:rPr>
          <w:rFonts w:ascii="Arial" w:hAnsi="Arial" w:cs="Arial"/>
          <w:b w:val="0"/>
          <w:caps w:val="0"/>
          <w:sz w:val="20"/>
        </w:rPr>
        <w:fldChar w:fldCharType="begin" w:fldLock="1"/>
      </w:r>
      <w:r w:rsidR="0095062B">
        <w:rPr>
          <w:rFonts w:ascii="Arial" w:hAnsi="Arial" w:cs="Arial"/>
          <w:b w:val="0"/>
          <w:caps w:val="0"/>
          <w:sz w:val="20"/>
        </w:rPr>
        <w:instrText>ADDIN CSL_CITATION {"citationItems":[{"id":"ITEM-1","itemData":{"DOI":"10.2478/ngoe-2021-0002","abstract":"Dividend policy is one of the most controversial areas of corporate finance. The paper presents the results of the research in the banking sector of the Republic of Serbia. The specific characteristics of the financial sector make the research on dividend policy determinants additionally complex. This study aims to determine the factors of dividend policy in the Serbian banking sector in the period 2009–2018. The model of random effects was chosen to test the relationship between dividend determinants and dividend payout. Empirical results show that previous years’ dividends have a significant positive effect on dividend policy. Individual investors can benefit from the research to a great extent, as well as bank managers, when creating dividend policies that would contribute to maximising profit and satisfying the needs of employees and shareholders in the long run.","author":[{"dropping-particle":"","family":"Jovković","given":"Biljana","non-dropping-particle":"","parse-names":false,"suffix":""},{"dropping-particle":"","family":"Vasić","given":"Aleksandra S.","non-dropping-particle":"","parse-names":false,"suffix":""},{"dropping-particle":"","family":"Bogićević","given":"Jasmina","non-dropping-particle":"","parse-names":false,"suffix":""}],"container-title":"Naše gospodarstvo/Our economy","id":"ITEM-1","issue":"1","issued":{"date-parts":[["2021"]]},"page":"13-22","title":"Determinants of Dividend Policy: A Case of Serbia’s Banking Sector","type":"article-journal","volume":"67"},"uris":["http://www.mendeley.com/documents/?uuid=e9c3416a-7e79-4fd1-92b0-fccafec63d07"]}],"mendeley":{"formattedCitation":"(Jovković et al., 2021)","plainTextFormattedCitation":"(Jovković et al., 2021)","previouslyFormattedCitation":"(Jovković et al., 2021)"},"properties":{"noteIndex":0},"schema":"https://github.com/citation-style-language/schema/raw/master/csl-citation.json"}</w:instrText>
      </w:r>
      <w:r w:rsidR="0095062B">
        <w:rPr>
          <w:rFonts w:ascii="Arial" w:hAnsi="Arial" w:cs="Arial"/>
          <w:b w:val="0"/>
          <w:caps w:val="0"/>
          <w:sz w:val="20"/>
        </w:rPr>
        <w:fldChar w:fldCharType="separate"/>
      </w:r>
      <w:r w:rsidR="0095062B" w:rsidRPr="0095062B">
        <w:rPr>
          <w:rFonts w:ascii="Arial" w:hAnsi="Arial" w:cs="Arial"/>
          <w:b w:val="0"/>
          <w:caps w:val="0"/>
          <w:noProof/>
          <w:sz w:val="20"/>
        </w:rPr>
        <w:t>(Jovković et al., 2021)</w:t>
      </w:r>
      <w:r w:rsidR="0095062B">
        <w:rPr>
          <w:rFonts w:ascii="Arial" w:hAnsi="Arial" w:cs="Arial"/>
          <w:b w:val="0"/>
          <w:caps w:val="0"/>
          <w:sz w:val="20"/>
        </w:rPr>
        <w:fldChar w:fldCharType="end"/>
      </w:r>
      <w:r w:rsidRPr="006025E6">
        <w:rPr>
          <w:rFonts w:ascii="Arial" w:hAnsi="Arial" w:cs="Arial"/>
          <w:b w:val="0"/>
          <w:caps w:val="0"/>
          <w:sz w:val="20"/>
        </w:rPr>
        <w:t xml:space="preserve">. Conversely, high returns without dividend distribution are often associated with high-risk speculative companies </w:t>
      </w:r>
      <w:r w:rsidR="0095062B">
        <w:rPr>
          <w:rFonts w:ascii="Arial" w:hAnsi="Arial" w:cs="Arial"/>
          <w:b w:val="0"/>
          <w:caps w:val="0"/>
          <w:sz w:val="20"/>
        </w:rPr>
        <w:fldChar w:fldCharType="begin" w:fldLock="1"/>
      </w:r>
      <w:r w:rsidR="0095062B">
        <w:rPr>
          <w:rFonts w:ascii="Arial" w:hAnsi="Arial" w:cs="Arial"/>
          <w:b w:val="0"/>
          <w:caps w:val="0"/>
          <w:sz w:val="20"/>
        </w:rPr>
        <w:instrText>ADDIN CSL_CITATION {"citationItems":[{"id":"ITEM-1","itemData":{"DOI":"10.2196/54107","ISSN":"14388871","PMID":"38457223","abstract":"Background: Younger generations actively use social media to access health information. However, research shows that they also avoid obtaining health information online at times when confronted with uncertainty. Objective: This study aims to examine the phenomenon of health information avoidance among Generation Z, a representative cohort of active web users in this era. Methods: Drawing on the planned risk information avoidance model, we adopted a qualitative approach to explore the factors related to information avoidance within the context of health and risk communication. The researchers recruited 38 participants aged 16 to 25 years for the focus group discussion sessions. Results: In this study, we sought to perform a deductive qualitative analysis of the focus group interview content with open, focused, and theoretical coding. Our findings support several key components of the planned risk information avoidance model while highlighting the underlying influence of cognition on emotions. Specifically, socioculturally, group identity and social norms among peers lead some to avoid health information. Cognitively, mixed levels of risk perception, conflicting values, information overload, and low credibility of information sources elicited their information avoidance behaviors. Affectively, negative emotions such as anxiety, frustration, and the desire to stay positive contributed to avoidance. Conclusions: This study has implications for understanding young users' information avoidance behaviors in both academia and practice.","author":[{"dropping-particle":"","family":"Jia","given":"Chenjin","non-dropping-particle":"","parse-names":false,"suffix":""},{"dropping-particle":"","family":"Li","given":"Pengcheng","non-dropping-particle":"","parse-names":false,"suffix":""}],"container-title":"Journal of Medical Internet Research","id":"ITEM-1","issue":"1","issued":{"date-parts":[["2024"]]},"title":"Generation Z's Health Information Avoidance Behavior: Insights from Focus Group Discussions","type":"article-journal","volume":"26"},"uris":["http://www.mendeley.com/documents/?uuid=f73bd66b-90b4-4620-b4aa-0bac97cb428e"]}],"mendeley":{"formattedCitation":"(Jia &amp; Li, 2024)","plainTextFormattedCitation":"(Jia &amp; Li, 2024)","previouslyFormattedCitation":"(Jia &amp; Li, 2024)"},"properties":{"noteIndex":0},"schema":"https://github.com/citation-style-language/schema/raw/master/csl-citation.json"}</w:instrText>
      </w:r>
      <w:r w:rsidR="0095062B">
        <w:rPr>
          <w:rFonts w:ascii="Arial" w:hAnsi="Arial" w:cs="Arial"/>
          <w:b w:val="0"/>
          <w:caps w:val="0"/>
          <w:sz w:val="20"/>
        </w:rPr>
        <w:fldChar w:fldCharType="separate"/>
      </w:r>
      <w:r w:rsidR="0095062B" w:rsidRPr="0095062B">
        <w:rPr>
          <w:rFonts w:ascii="Arial" w:hAnsi="Arial" w:cs="Arial"/>
          <w:b w:val="0"/>
          <w:caps w:val="0"/>
          <w:noProof/>
          <w:sz w:val="20"/>
        </w:rPr>
        <w:t>(Jia &amp; Li, 2024)</w:t>
      </w:r>
      <w:r w:rsidR="0095062B">
        <w:rPr>
          <w:rFonts w:ascii="Arial" w:hAnsi="Arial" w:cs="Arial"/>
          <w:b w:val="0"/>
          <w:caps w:val="0"/>
          <w:sz w:val="20"/>
        </w:rPr>
        <w:fldChar w:fldCharType="end"/>
      </w:r>
      <w:r w:rsidRPr="006025E6">
        <w:rPr>
          <w:rFonts w:ascii="Arial" w:hAnsi="Arial" w:cs="Arial"/>
          <w:b w:val="0"/>
          <w:caps w:val="0"/>
          <w:sz w:val="20"/>
        </w:rPr>
        <w:t xml:space="preserve">. In this context, dividend policy serves as a strategic differentiation tool that helps investors differentiate companies with strong fundamental performance from companies that only benefit from market momentum. These results also suggest that dividend policy discipline can be an important instrument in building financial reputations and improving the perception of value in the eyes of institutional investors. Therefore, financial managers need to pay </w:t>
      </w:r>
      <w:r w:rsidRPr="006025E6">
        <w:rPr>
          <w:rFonts w:ascii="Arial" w:hAnsi="Arial" w:cs="Arial"/>
          <w:b w:val="0"/>
          <w:caps w:val="0"/>
          <w:sz w:val="20"/>
        </w:rPr>
        <w:lastRenderedPageBreak/>
        <w:t>attention to the synergy between dividend policies and market growth strategies as part of managing the company's value perception.</w:t>
      </w:r>
    </w:p>
    <w:p w14:paraId="27A05081" w14:textId="77777777" w:rsidR="006025E6" w:rsidRDefault="006025E6" w:rsidP="0095062B">
      <w:pPr>
        <w:pStyle w:val="ConcHead"/>
        <w:ind w:firstLine="720"/>
        <w:jc w:val="both"/>
        <w:rPr>
          <w:rFonts w:ascii="Arial" w:hAnsi="Arial" w:cs="Arial"/>
          <w:b w:val="0"/>
          <w:caps w:val="0"/>
          <w:sz w:val="20"/>
        </w:rPr>
      </w:pPr>
      <w:r w:rsidRPr="006025E6">
        <w:rPr>
          <w:rFonts w:ascii="Arial" w:hAnsi="Arial" w:cs="Arial"/>
          <w:b w:val="0"/>
          <w:caps w:val="0"/>
          <w:sz w:val="20"/>
        </w:rPr>
        <w:t xml:space="preserve">Theoretically, these results broaden the understanding of the role of dividend policy moderation in explaining the dynamics of stock valuations in emerging markets. In the Indonesian context, where market sentiment and financial signals have a strong influence, the combination of high returns and stable dividends can increase the company's credibility and attractiveness in the eyes of domestic and foreign investors </w:t>
      </w:r>
      <w:r w:rsidR="0095062B">
        <w:rPr>
          <w:rFonts w:ascii="Arial" w:hAnsi="Arial" w:cs="Arial"/>
          <w:b w:val="0"/>
          <w:caps w:val="0"/>
          <w:sz w:val="20"/>
        </w:rPr>
        <w:fldChar w:fldCharType="begin" w:fldLock="1"/>
      </w:r>
      <w:r w:rsidR="0095062B">
        <w:rPr>
          <w:rFonts w:ascii="Arial" w:hAnsi="Arial" w:cs="Arial"/>
          <w:b w:val="0"/>
          <w:caps w:val="0"/>
          <w:sz w:val="20"/>
        </w:rPr>
        <w:instrText>ADDIN CSL_CITATION {"citationItems":[{"id":"ITEM-1","itemData":{"DOI":"10.55643/fcaptp.6.59.2024.4591","ISSN":"23108770","abstract":"Many industries in Indonesia do not share profits in the form of dividends with investors, which affects the value of the company. This condition really determines the investor's decision to invest in the future as a reaction to the company's dividend policy. The study is aimed at analysing the dividend policy in relation to investor behaviour and its impact on the value of a firm with financial stability as a moderate variable. This study uses 360 IDX-listed businesses from 2018 to 2022 for properties. Smart PLS was used to test the model. The study shows that the dividend policy affects the value of the company, but does not affect the behaviour of investors. However, financial stability has a negative impact on the dividend policy and the value of the company. In addition, financial stability cannot mitigate the relationship between the dividend policy and the value of the firm; Conversely, economic resilience can mitigate investor behaviour and affect a firm's value. The article emphasizes that managers who develop dividend policy, that managers who develop dividend policy should pay attention to the behaviour of investors, as this can be a positive signal for the future value of the company.","author":[{"dropping-particle":"","family":"Murtadho","given":"Muis","non-dropping-particle":"","parse-names":false,"suffix":""},{"dropping-particle":"","family":"Ratnawati","given":"Tri","non-dropping-particle":"","parse-names":false,"suffix":""},{"dropping-particle":"","family":"Pristiana","given":"Ulfi","non-dropping-particle":"","parse-names":false,"suffix":""}],"container-title":"Financial and Credit Activity: Problems of Theory and Practice","id":"ITEM-1","issue":"59","issued":{"date-parts":[["2024"]]},"page":"283-292","title":"Dividend Policy To Improve Firm Value, Financial Sustainability Moderating Variable","type":"article-journal","volume":"6"},"uris":["http://www.mendeley.com/documents/?uuid=80eaa63f-c811-4262-96b4-40578a1817f8"]}],"mendeley":{"formattedCitation":"(Murtadho et al., 2024)","plainTextFormattedCitation":"(Murtadho et al., 2024)"},"properties":{"noteIndex":0},"schema":"https://github.com/citation-style-language/schema/raw/master/csl-citation.json"}</w:instrText>
      </w:r>
      <w:r w:rsidR="0095062B">
        <w:rPr>
          <w:rFonts w:ascii="Arial" w:hAnsi="Arial" w:cs="Arial"/>
          <w:b w:val="0"/>
          <w:caps w:val="0"/>
          <w:sz w:val="20"/>
        </w:rPr>
        <w:fldChar w:fldCharType="separate"/>
      </w:r>
      <w:r w:rsidR="0095062B" w:rsidRPr="0095062B">
        <w:rPr>
          <w:rFonts w:ascii="Arial" w:hAnsi="Arial" w:cs="Arial"/>
          <w:b w:val="0"/>
          <w:caps w:val="0"/>
          <w:noProof/>
          <w:sz w:val="20"/>
        </w:rPr>
        <w:t>(Murtadho et al., 2024)</w:t>
      </w:r>
      <w:r w:rsidR="0095062B">
        <w:rPr>
          <w:rFonts w:ascii="Arial" w:hAnsi="Arial" w:cs="Arial"/>
          <w:b w:val="0"/>
          <w:caps w:val="0"/>
          <w:sz w:val="20"/>
        </w:rPr>
        <w:fldChar w:fldCharType="end"/>
      </w:r>
      <w:r w:rsidRPr="006025E6">
        <w:rPr>
          <w:rFonts w:ascii="Arial" w:hAnsi="Arial" w:cs="Arial"/>
          <w:b w:val="0"/>
          <w:caps w:val="0"/>
          <w:sz w:val="20"/>
        </w:rPr>
        <w:t>. This reinforces the view that dividend policy is not just a profit distribution mechanism, but also a strategic communication tool that reflects management's confidence in the company's financial prospects. The practical implication of this outcome is the need for a unified financial policy, which takes into account market performance, investor expectations, and profit sustainability. Thus, the dividend policy can double function both as an instrument of return on investment and as a signal of market confidence that contributes to the increase in the value of companies in the Indonesian capital market.</w:t>
      </w:r>
    </w:p>
    <w:p w14:paraId="4C3D2C58" w14:textId="77777777" w:rsidR="00D77A87" w:rsidRPr="002D3907" w:rsidRDefault="00D77A87" w:rsidP="006025E6">
      <w:pPr>
        <w:pStyle w:val="ConcHead"/>
        <w:spacing w:after="0"/>
        <w:jc w:val="both"/>
        <w:rPr>
          <w:rFonts w:ascii="Arial" w:hAnsi="Arial" w:cs="Arial"/>
        </w:rPr>
      </w:pPr>
      <w:r w:rsidRPr="002D3907">
        <w:rPr>
          <w:rFonts w:ascii="Arial" w:hAnsi="Arial" w:cs="Arial"/>
        </w:rPr>
        <w:t>4. Conclusion</w:t>
      </w:r>
    </w:p>
    <w:p w14:paraId="61DB10BF" w14:textId="77777777" w:rsidR="00D77A87" w:rsidRPr="002D3907" w:rsidRDefault="00D77A87" w:rsidP="00D77A87">
      <w:pPr>
        <w:pStyle w:val="ConcHead"/>
        <w:spacing w:after="0"/>
        <w:jc w:val="both"/>
        <w:rPr>
          <w:rFonts w:ascii="Arial" w:hAnsi="Arial" w:cs="Arial"/>
          <w:highlight w:val="yellow"/>
        </w:rPr>
      </w:pPr>
    </w:p>
    <w:p w14:paraId="2C1E54FE" w14:textId="77777777" w:rsidR="00D77A87" w:rsidRDefault="00D77A87" w:rsidP="00D77A87">
      <w:pPr>
        <w:pStyle w:val="Body"/>
        <w:ind w:firstLine="720"/>
        <w:rPr>
          <w:rFonts w:ascii="Arial" w:hAnsi="Arial" w:cs="Arial"/>
        </w:rPr>
      </w:pPr>
      <w:r w:rsidRPr="00A246DF">
        <w:rPr>
          <w:rFonts w:ascii="Arial" w:hAnsi="Arial" w:cs="Arial"/>
        </w:rPr>
        <w:t>Based on the results of data analysis and discussions that have been conducted, this study concludes that profitability and stock returns do not have a significant effect on stock price valuation, while dividend policy has a negative and significant effect on stock price valuation. This finding indicates that the higher the dividend policy implemented by the company, the lower the investor perception of the company's value in the capital market. In addition, the results of the study also show that the dividend policy is not able to moderate the relationship between profitability and stock price valuation, but has a moderation effect that is close to significant on the relationship between stock returns and stock price valuation. In other words, dividend policy tends to strengthen the influence of stock returns on stock price valuations, although this effect has not been statistically significant. These results enrich the literature on the relationship between financial variables and dividend policy strategies in influencing company value, and show that internal company factors such as profitability and stock returns are not always the main indicators in the formation of stock price valuations when dividend policy factors play a role. Thus, dividend policy can serve as an important signal for investors in evaluating the outlook and value of the company, especially in the financial sector that is the focus of this research.</w:t>
      </w:r>
    </w:p>
    <w:p w14:paraId="22AF5371" w14:textId="77777777" w:rsidR="00D77A87" w:rsidRDefault="00D77A87" w:rsidP="00D77A87">
      <w:pPr>
        <w:pStyle w:val="Body"/>
        <w:ind w:firstLine="720"/>
        <w:rPr>
          <w:rFonts w:ascii="Arial" w:hAnsi="Arial" w:cs="Arial"/>
        </w:rPr>
      </w:pPr>
      <w:r w:rsidRPr="00A246DF">
        <w:rPr>
          <w:rFonts w:ascii="Arial" w:hAnsi="Arial" w:cs="Arial"/>
        </w:rPr>
        <w:t>Theoretically, this research contributes to the development of the financial literature, especially in the context of signal theory (signaling theory) and bird-in-the-hand theory. The results of the study showing that the dividend policy has a negative effect on the valuation of the stock price indicate a shift in investor perception of the signals sent through the dividend policy. Instead of being considered a positive signal, a high dividend payout can be interpreted as a limitation of the company's future investment opportunities, thereby lowering the value of the stock's valuation. In addition, the finding that profitability and stock returns have no significant effect strengthens the argument that a company's fundamental factors are not always the main determinants of market value, especially in the context of a dynamic capital market and influenced by external factors. The study also expands the conceptual model by including dividend policy as a moderation variable, where results showing weak moderation effects signal the need to re-test classical theories in the modern context, when investor behavior tends to be more rational and sensitive to non-financial information. Therefore, this study provides a theoretical foundation for future studies to explore other variables such as leverage, systematic risk, and growth expectations in influencing the company's valuation.</w:t>
      </w:r>
    </w:p>
    <w:p w14:paraId="3B20CE3F" w14:textId="77777777" w:rsidR="00D77A87" w:rsidRPr="00A246DF" w:rsidRDefault="00D77A87" w:rsidP="00D77A87">
      <w:pPr>
        <w:pStyle w:val="Body"/>
        <w:ind w:firstLine="720"/>
        <w:rPr>
          <w:rFonts w:ascii="Arial" w:hAnsi="Arial" w:cs="Arial"/>
        </w:rPr>
      </w:pPr>
      <w:r w:rsidRPr="00A246DF">
        <w:rPr>
          <w:rFonts w:ascii="Arial" w:hAnsi="Arial" w:cs="Arial"/>
        </w:rPr>
        <w:t xml:space="preserve">From a practical perspective, the results of this study provide important insights for financial managers, investors, and capital market regulators. For financial managers, these </w:t>
      </w:r>
      <w:r w:rsidRPr="00A246DF">
        <w:rPr>
          <w:rFonts w:ascii="Arial" w:hAnsi="Arial" w:cs="Arial"/>
        </w:rPr>
        <w:lastRenderedPageBreak/>
        <w:t xml:space="preserve">findings confirm that improving dividend policies does not necessarily increase the company's value in the eyes of investors. Therefore, the </w:t>
      </w:r>
      <w:proofErr w:type="gramStart"/>
      <w:r w:rsidRPr="00A246DF">
        <w:rPr>
          <w:rFonts w:ascii="Arial" w:hAnsi="Arial" w:cs="Arial"/>
        </w:rPr>
        <w:t>profit sharing</w:t>
      </w:r>
      <w:proofErr w:type="gramEnd"/>
      <w:r w:rsidRPr="00A246DF">
        <w:rPr>
          <w:rFonts w:ascii="Arial" w:hAnsi="Arial" w:cs="Arial"/>
        </w:rPr>
        <w:t xml:space="preserve"> strategy must be balanced with long-term investment needs so as not to reduce the company's growth opportunities in the future. Managers need to understand that today's investors value sustainable profitability signals and expansion strategies that support growth rather than high dividend payouts but limit internal capital accumulation. For investors, the results of this study provide an understanding that the company's value is not only influenced by profitability and stock returns, but also by the dividend policy strategy implemented by the company. Thus, in making investment decisions, investors need to consider the balance between the dividend policy and the company's growth prospects, not just the level of profit or return generated. In addition, for capital market regulators, these results can be a reference to evaluate the effectiveness of information disclosure policies, especially related to dividend distribution decisions that can affect investor perception and overall market stability.</w:t>
      </w:r>
    </w:p>
    <w:p w14:paraId="74952990" w14:textId="77777777" w:rsidR="00D77A87" w:rsidRDefault="00D77A87" w:rsidP="00D77A87">
      <w:pPr>
        <w:pStyle w:val="Body"/>
        <w:spacing w:after="0"/>
        <w:ind w:firstLine="720"/>
        <w:rPr>
          <w:rFonts w:ascii="Arial" w:hAnsi="Arial" w:cs="Arial"/>
        </w:rPr>
      </w:pPr>
      <w:r>
        <w:rPr>
          <w:rFonts w:ascii="Arial" w:hAnsi="Arial" w:cs="Arial"/>
        </w:rPr>
        <w:t>Limitations that need to be considered in the research include a relatively small sample number and the focus of research that is only on the financial sector, so that the results cannot be generalized to all industrial sectors. Therefore, further research is recommended to expand the scope of the sample by involving various sectors and add other variables such as company size, leverage, market risk, and asset growth in order to provide a more comprehensive picture of the factors that affect stock price valuations. Thus, the results of future research are expected to provide a deeper and more applicable understanding for the development of modern financial management theories and practices.</w:t>
      </w:r>
    </w:p>
    <w:p w14:paraId="196881FC" w14:textId="77777777" w:rsidR="00D77A87" w:rsidRPr="002D3907" w:rsidRDefault="00D77A87" w:rsidP="00D77A87">
      <w:pPr>
        <w:pStyle w:val="Body"/>
        <w:spacing w:after="0"/>
        <w:ind w:firstLine="720"/>
        <w:rPr>
          <w:rFonts w:ascii="Arial" w:hAnsi="Arial" w:cs="Arial"/>
        </w:rPr>
      </w:pPr>
    </w:p>
    <w:p w14:paraId="594F6003" w14:textId="3420F62D" w:rsidR="00D77A87" w:rsidRDefault="00BD1985" w:rsidP="00D77A87">
      <w:pPr>
        <w:pStyle w:val="ReferHead"/>
        <w:spacing w:after="0"/>
        <w:jc w:val="both"/>
        <w:rPr>
          <w:rFonts w:ascii="Arial" w:hAnsi="Arial" w:cs="Arial"/>
          <w:lang w:val="id-ID"/>
        </w:rPr>
      </w:pPr>
      <w:r>
        <w:rPr>
          <w:rFonts w:ascii="Arial" w:hAnsi="Arial" w:cs="Arial"/>
        </w:rPr>
        <w:t>5. References</w:t>
      </w:r>
    </w:p>
    <w:p w14:paraId="55232729" w14:textId="77777777" w:rsidR="00D77A87" w:rsidRPr="002D3907" w:rsidRDefault="00D77A87" w:rsidP="00D77A87">
      <w:pPr>
        <w:pStyle w:val="ReferHead"/>
        <w:spacing w:after="0"/>
        <w:jc w:val="both"/>
        <w:rPr>
          <w:rFonts w:ascii="Arial" w:hAnsi="Arial" w:cs="Arial"/>
        </w:rPr>
      </w:pPr>
      <w:r>
        <w:rPr>
          <w:rFonts w:ascii="Arial" w:hAnsi="Arial" w:cs="Arial"/>
        </w:rPr>
        <w:fldChar w:fldCharType="begin"/>
      </w:r>
      <w:r>
        <w:rPr>
          <w:rFonts w:ascii="Arial" w:hAnsi="Arial" w:cs="Arial"/>
        </w:rPr>
        <w:instrText xml:space="preserve">ADDIN Mendeley Bibliography CSL_BIBLIOGRAPHY </w:instrText>
      </w:r>
      <w:r>
        <w:rPr>
          <w:rFonts w:ascii="Arial" w:hAnsi="Arial" w:cs="Arial"/>
        </w:rPr>
        <w:fldChar w:fldCharType="end"/>
      </w:r>
      <w:r>
        <w:rPr>
          <w:rFonts w:ascii="Arial" w:hAnsi="Arial" w:cs="Arial"/>
        </w:rPr>
        <w:t xml:space="preserve"> </w:t>
      </w:r>
    </w:p>
    <w:p w14:paraId="40A22217" w14:textId="77777777" w:rsidR="0095062B" w:rsidRPr="0095062B" w:rsidRDefault="00D77A87" w:rsidP="0095062B">
      <w:pPr>
        <w:widowControl w:val="0"/>
        <w:autoSpaceDE w:val="0"/>
        <w:autoSpaceDN w:val="0"/>
        <w:adjustRightInd w:val="0"/>
        <w:ind w:left="480" w:hanging="480"/>
        <w:rPr>
          <w:rFonts w:cs="Helvetica"/>
          <w:noProof/>
          <w:szCs w:val="24"/>
        </w:rPr>
      </w:pPr>
      <w:r>
        <w:fldChar w:fldCharType="begin" w:fldLock="1"/>
      </w:r>
      <w:r>
        <w:instrText xml:space="preserve">ADDIN Mendeley Bibliography CSL_BIBLIOGRAPHY </w:instrText>
      </w:r>
      <w:r>
        <w:fldChar w:fldCharType="separate"/>
      </w:r>
      <w:r w:rsidR="0095062B" w:rsidRPr="0095062B">
        <w:rPr>
          <w:rFonts w:cs="Helvetica"/>
          <w:noProof/>
          <w:szCs w:val="24"/>
        </w:rPr>
        <w:t xml:space="preserve">Al-sumaiti, A. S., Kavousi- fard, A., &amp; Salama, M. (2020). </w:t>
      </w:r>
      <w:r w:rsidR="0095062B" w:rsidRPr="0095062B">
        <w:rPr>
          <w:rFonts w:cs="Helvetica"/>
          <w:i/>
          <w:iCs/>
          <w:noProof/>
          <w:szCs w:val="24"/>
        </w:rPr>
        <w:t>Economic Assessment of Distributed Generation Technologies : A Feasibility Study and Comparison with the Literature</w:t>
      </w:r>
      <w:r w:rsidR="0095062B" w:rsidRPr="0095062B">
        <w:rPr>
          <w:rFonts w:cs="Helvetica"/>
          <w:noProof/>
          <w:szCs w:val="24"/>
        </w:rPr>
        <w:t>.</w:t>
      </w:r>
    </w:p>
    <w:p w14:paraId="2702B029" w14:textId="77777777" w:rsidR="0095062B" w:rsidRPr="0095062B" w:rsidRDefault="0095062B" w:rsidP="0095062B">
      <w:pPr>
        <w:widowControl w:val="0"/>
        <w:autoSpaceDE w:val="0"/>
        <w:autoSpaceDN w:val="0"/>
        <w:adjustRightInd w:val="0"/>
        <w:ind w:left="480" w:hanging="480"/>
        <w:rPr>
          <w:rFonts w:cs="Helvetica"/>
          <w:noProof/>
          <w:szCs w:val="24"/>
        </w:rPr>
      </w:pPr>
      <w:r w:rsidRPr="0095062B">
        <w:rPr>
          <w:rFonts w:cs="Helvetica"/>
          <w:noProof/>
          <w:szCs w:val="24"/>
        </w:rPr>
        <w:t xml:space="preserve">Andleeb, R., &amp; Hassan, A. (2023). Predictive effect of investor sentiment on current and future returns in emerging equity markets. </w:t>
      </w:r>
      <w:r w:rsidRPr="0095062B">
        <w:rPr>
          <w:rFonts w:cs="Helvetica"/>
          <w:i/>
          <w:iCs/>
          <w:noProof/>
          <w:szCs w:val="24"/>
        </w:rPr>
        <w:t>PLoS ONE,</w:t>
      </w:r>
      <w:r w:rsidRPr="0095062B">
        <w:rPr>
          <w:rFonts w:cs="Helvetica"/>
          <w:noProof/>
          <w:szCs w:val="24"/>
        </w:rPr>
        <w:t xml:space="preserve"> </w:t>
      </w:r>
      <w:r w:rsidRPr="0095062B">
        <w:rPr>
          <w:rFonts w:cs="Helvetica"/>
          <w:i/>
          <w:iCs/>
          <w:noProof/>
          <w:szCs w:val="24"/>
        </w:rPr>
        <w:t>18</w:t>
      </w:r>
      <w:r w:rsidRPr="0095062B">
        <w:rPr>
          <w:rFonts w:cs="Helvetica"/>
          <w:noProof/>
          <w:szCs w:val="24"/>
        </w:rPr>
        <w:t>(5 May), 1–15. https://doi.org/10.1371/journal.pone.0281523</w:t>
      </w:r>
    </w:p>
    <w:p w14:paraId="2D2CECA3" w14:textId="77777777" w:rsidR="0095062B" w:rsidRPr="0095062B" w:rsidRDefault="0095062B" w:rsidP="0095062B">
      <w:pPr>
        <w:widowControl w:val="0"/>
        <w:autoSpaceDE w:val="0"/>
        <w:autoSpaceDN w:val="0"/>
        <w:adjustRightInd w:val="0"/>
        <w:ind w:left="480" w:hanging="480"/>
        <w:rPr>
          <w:rFonts w:cs="Helvetica"/>
          <w:noProof/>
          <w:szCs w:val="24"/>
        </w:rPr>
      </w:pPr>
      <w:r w:rsidRPr="0095062B">
        <w:rPr>
          <w:rFonts w:cs="Helvetica"/>
          <w:noProof/>
          <w:szCs w:val="24"/>
        </w:rPr>
        <w:t xml:space="preserve">Apriansyah, S., Kamaludin, K., Zoraya, I., Putra, M. T., &amp; Afandy, C. (2025). Economic Policy Uncertainty and Firm Value: The Role of Company Debt. </w:t>
      </w:r>
      <w:r w:rsidRPr="0095062B">
        <w:rPr>
          <w:rFonts w:cs="Helvetica"/>
          <w:i/>
          <w:iCs/>
          <w:noProof/>
          <w:szCs w:val="24"/>
        </w:rPr>
        <w:t>Asia Pacific Management and Business Application</w:t>
      </w:r>
      <w:r w:rsidRPr="0095062B">
        <w:rPr>
          <w:rFonts w:cs="Helvetica"/>
          <w:noProof/>
          <w:szCs w:val="24"/>
        </w:rPr>
        <w:t xml:space="preserve">, </w:t>
      </w:r>
      <w:r w:rsidRPr="0095062B">
        <w:rPr>
          <w:rFonts w:cs="Helvetica"/>
          <w:i/>
          <w:iCs/>
          <w:noProof/>
          <w:szCs w:val="24"/>
        </w:rPr>
        <w:t>13</w:t>
      </w:r>
      <w:r w:rsidRPr="0095062B">
        <w:rPr>
          <w:rFonts w:cs="Helvetica"/>
          <w:noProof/>
          <w:szCs w:val="24"/>
        </w:rPr>
        <w:t>(3), 249–272. https://doi.org/10.21776/ub.apmba.2025.013.03.4</w:t>
      </w:r>
    </w:p>
    <w:p w14:paraId="2F7EF797" w14:textId="77777777" w:rsidR="0095062B" w:rsidRPr="0095062B" w:rsidRDefault="0095062B" w:rsidP="0095062B">
      <w:pPr>
        <w:widowControl w:val="0"/>
        <w:autoSpaceDE w:val="0"/>
        <w:autoSpaceDN w:val="0"/>
        <w:adjustRightInd w:val="0"/>
        <w:ind w:left="480" w:hanging="480"/>
        <w:rPr>
          <w:rFonts w:cs="Helvetica"/>
          <w:noProof/>
          <w:szCs w:val="24"/>
        </w:rPr>
      </w:pPr>
      <w:r w:rsidRPr="0095062B">
        <w:rPr>
          <w:rFonts w:cs="Helvetica"/>
          <w:noProof/>
          <w:szCs w:val="24"/>
        </w:rPr>
        <w:t xml:space="preserve">Aushaf, W. D., Azizah, S. N., Amir, A., &amp; Fakhruddin, I. (2025). The Effect of Profitability, Leverage, and Firm Size on Firm Value in Non-Cyclical Consumer Sector Manufacturing Companies for 2021-2023. </w:t>
      </w:r>
      <w:r w:rsidRPr="0095062B">
        <w:rPr>
          <w:rFonts w:cs="Helvetica"/>
          <w:i/>
          <w:iCs/>
          <w:noProof/>
          <w:szCs w:val="24"/>
        </w:rPr>
        <w:t>Journal of Management, Accounting, General Finance and International Economic Issues</w:t>
      </w:r>
      <w:r w:rsidRPr="0095062B">
        <w:rPr>
          <w:rFonts w:cs="Helvetica"/>
          <w:noProof/>
          <w:szCs w:val="24"/>
        </w:rPr>
        <w:t xml:space="preserve">, </w:t>
      </w:r>
      <w:r w:rsidRPr="0095062B">
        <w:rPr>
          <w:rFonts w:cs="Helvetica"/>
          <w:i/>
          <w:iCs/>
          <w:noProof/>
          <w:szCs w:val="24"/>
        </w:rPr>
        <w:t>4</w:t>
      </w:r>
      <w:r w:rsidRPr="0095062B">
        <w:rPr>
          <w:rFonts w:cs="Helvetica"/>
          <w:noProof/>
          <w:szCs w:val="24"/>
        </w:rPr>
        <w:t>(4), 1164–1176. https://doi.org/10.55047/marginal.v4i4.1899</w:t>
      </w:r>
    </w:p>
    <w:p w14:paraId="34ED358C" w14:textId="77777777" w:rsidR="0095062B" w:rsidRPr="0095062B" w:rsidRDefault="0095062B" w:rsidP="0095062B">
      <w:pPr>
        <w:widowControl w:val="0"/>
        <w:autoSpaceDE w:val="0"/>
        <w:autoSpaceDN w:val="0"/>
        <w:adjustRightInd w:val="0"/>
        <w:ind w:left="480" w:hanging="480"/>
        <w:rPr>
          <w:rFonts w:cs="Helvetica"/>
          <w:noProof/>
          <w:szCs w:val="24"/>
        </w:rPr>
      </w:pPr>
      <w:r w:rsidRPr="0095062B">
        <w:rPr>
          <w:rFonts w:cs="Helvetica"/>
          <w:noProof/>
          <w:szCs w:val="24"/>
        </w:rPr>
        <w:t xml:space="preserve">Ayuningsih, R. (2023). </w:t>
      </w:r>
      <w:r w:rsidRPr="0095062B">
        <w:rPr>
          <w:rFonts w:cs="Helvetica"/>
          <w:i/>
          <w:iCs/>
          <w:noProof/>
          <w:szCs w:val="24"/>
        </w:rPr>
        <w:t>Economics and Business Quarterly Reviews The Influence of Net Profit Margin and Debt to Asset Ratio on Profit Growth : Case Study of Coal Mining Subsector</w:t>
      </w:r>
      <w:r w:rsidRPr="0095062B">
        <w:rPr>
          <w:rFonts w:cs="Helvetica"/>
          <w:noProof/>
          <w:szCs w:val="24"/>
        </w:rPr>
        <w:t>. https://doi.org/10.31014/aior.1992.06.01.485</w:t>
      </w:r>
    </w:p>
    <w:p w14:paraId="0B2BFF99" w14:textId="77777777" w:rsidR="0095062B" w:rsidRPr="0095062B" w:rsidRDefault="0095062B" w:rsidP="0095062B">
      <w:pPr>
        <w:widowControl w:val="0"/>
        <w:autoSpaceDE w:val="0"/>
        <w:autoSpaceDN w:val="0"/>
        <w:adjustRightInd w:val="0"/>
        <w:ind w:left="480" w:hanging="480"/>
        <w:rPr>
          <w:rFonts w:cs="Helvetica"/>
          <w:noProof/>
          <w:szCs w:val="24"/>
        </w:rPr>
      </w:pPr>
      <w:r w:rsidRPr="0095062B">
        <w:rPr>
          <w:rFonts w:cs="Helvetica"/>
          <w:noProof/>
          <w:szCs w:val="24"/>
        </w:rPr>
        <w:t xml:space="preserve">Blanco, T. P. (2023). </w:t>
      </w:r>
      <w:r w:rsidRPr="0095062B">
        <w:rPr>
          <w:rFonts w:cs="Helvetica"/>
          <w:i/>
          <w:iCs/>
          <w:noProof/>
          <w:szCs w:val="24"/>
        </w:rPr>
        <w:t>The Side Effect of Political Standing : Corporate Activism and Its Impact on Stock Returns</w:t>
      </w:r>
      <w:r w:rsidRPr="0095062B">
        <w:rPr>
          <w:rFonts w:cs="Helvetica"/>
          <w:noProof/>
          <w:szCs w:val="24"/>
        </w:rPr>
        <w:t xml:space="preserve">. </w:t>
      </w:r>
      <w:r w:rsidRPr="0095062B">
        <w:rPr>
          <w:rFonts w:cs="Helvetica"/>
          <w:i/>
          <w:iCs/>
          <w:noProof/>
          <w:szCs w:val="24"/>
        </w:rPr>
        <w:t>11</w:t>
      </w:r>
      <w:r w:rsidRPr="0095062B">
        <w:rPr>
          <w:rFonts w:cs="Helvetica"/>
          <w:noProof/>
          <w:szCs w:val="24"/>
        </w:rPr>
        <w:t>(2), 138–146.</w:t>
      </w:r>
    </w:p>
    <w:p w14:paraId="31F94BDA" w14:textId="77777777" w:rsidR="0095062B" w:rsidRPr="0095062B" w:rsidRDefault="0095062B" w:rsidP="0095062B">
      <w:pPr>
        <w:widowControl w:val="0"/>
        <w:autoSpaceDE w:val="0"/>
        <w:autoSpaceDN w:val="0"/>
        <w:adjustRightInd w:val="0"/>
        <w:ind w:left="480" w:hanging="480"/>
        <w:rPr>
          <w:rFonts w:cs="Helvetica"/>
          <w:noProof/>
          <w:szCs w:val="24"/>
        </w:rPr>
      </w:pPr>
      <w:r w:rsidRPr="0095062B">
        <w:rPr>
          <w:rFonts w:cs="Helvetica"/>
          <w:noProof/>
          <w:szCs w:val="24"/>
        </w:rPr>
        <w:t xml:space="preserve">Bottomley, C., Ooko, M., &amp; Gasparrini, A. (2023). </w:t>
      </w:r>
      <w:r w:rsidRPr="0095062B">
        <w:rPr>
          <w:rFonts w:cs="Helvetica"/>
          <w:i/>
          <w:iCs/>
          <w:noProof/>
          <w:szCs w:val="24"/>
        </w:rPr>
        <w:t>In praise of Prais-Winsten : An evaluation of methods used to account for autocorrelation in interrupted time series</w:t>
      </w:r>
      <w:r w:rsidRPr="0095062B">
        <w:rPr>
          <w:rFonts w:cs="Helvetica"/>
          <w:noProof/>
          <w:szCs w:val="24"/>
        </w:rPr>
        <w:t xml:space="preserve">. </w:t>
      </w:r>
      <w:r w:rsidRPr="0095062B">
        <w:rPr>
          <w:rFonts w:cs="Helvetica"/>
          <w:i/>
          <w:iCs/>
          <w:noProof/>
          <w:szCs w:val="24"/>
        </w:rPr>
        <w:t>September 2021</w:t>
      </w:r>
      <w:r w:rsidRPr="0095062B">
        <w:rPr>
          <w:rFonts w:cs="Helvetica"/>
          <w:noProof/>
          <w:szCs w:val="24"/>
        </w:rPr>
        <w:t>, 1277–1288. https://doi.org/10.1002/sim.9669</w:t>
      </w:r>
    </w:p>
    <w:p w14:paraId="43DFB7AC" w14:textId="77777777" w:rsidR="0095062B" w:rsidRPr="0095062B" w:rsidRDefault="0095062B" w:rsidP="0095062B">
      <w:pPr>
        <w:widowControl w:val="0"/>
        <w:autoSpaceDE w:val="0"/>
        <w:autoSpaceDN w:val="0"/>
        <w:adjustRightInd w:val="0"/>
        <w:ind w:left="480" w:hanging="480"/>
        <w:rPr>
          <w:rFonts w:cs="Helvetica"/>
          <w:noProof/>
          <w:szCs w:val="24"/>
        </w:rPr>
      </w:pPr>
      <w:r w:rsidRPr="0095062B">
        <w:rPr>
          <w:rFonts w:cs="Helvetica"/>
          <w:noProof/>
          <w:szCs w:val="24"/>
        </w:rPr>
        <w:t xml:space="preserve">Chen, Y., Zhao, H., Li, Z., &amp; Lu, J. (2020). A dynamic analysis of the relationship between investor sentiment and stock market realized volatility: Evidence from China. </w:t>
      </w:r>
      <w:r w:rsidRPr="0095062B">
        <w:rPr>
          <w:rFonts w:cs="Helvetica"/>
          <w:i/>
          <w:iCs/>
          <w:noProof/>
          <w:szCs w:val="24"/>
        </w:rPr>
        <w:t>PLoS ONE</w:t>
      </w:r>
      <w:r w:rsidRPr="0095062B">
        <w:rPr>
          <w:rFonts w:cs="Helvetica"/>
          <w:noProof/>
          <w:szCs w:val="24"/>
        </w:rPr>
        <w:t xml:space="preserve">, </w:t>
      </w:r>
      <w:r w:rsidRPr="0095062B">
        <w:rPr>
          <w:rFonts w:cs="Helvetica"/>
          <w:i/>
          <w:iCs/>
          <w:noProof/>
          <w:szCs w:val="24"/>
        </w:rPr>
        <w:t>15</w:t>
      </w:r>
      <w:r w:rsidRPr="0095062B">
        <w:rPr>
          <w:rFonts w:cs="Helvetica"/>
          <w:noProof/>
          <w:szCs w:val="24"/>
        </w:rPr>
        <w:t>(12 December), 1–18. https://doi.org/10.1371/journal.pone.0243080</w:t>
      </w:r>
    </w:p>
    <w:p w14:paraId="78961447" w14:textId="77777777" w:rsidR="0095062B" w:rsidRPr="0095062B" w:rsidRDefault="0095062B" w:rsidP="0095062B">
      <w:pPr>
        <w:widowControl w:val="0"/>
        <w:autoSpaceDE w:val="0"/>
        <w:autoSpaceDN w:val="0"/>
        <w:adjustRightInd w:val="0"/>
        <w:ind w:left="480" w:hanging="480"/>
        <w:rPr>
          <w:rFonts w:cs="Helvetica"/>
          <w:noProof/>
          <w:szCs w:val="24"/>
        </w:rPr>
      </w:pPr>
      <w:r w:rsidRPr="0095062B">
        <w:rPr>
          <w:rFonts w:cs="Helvetica"/>
          <w:noProof/>
          <w:szCs w:val="24"/>
        </w:rPr>
        <w:t xml:space="preserve">Cheng, J., Huang, K., &amp; Zheng, Z. (2024). </w:t>
      </w:r>
      <w:r w:rsidRPr="0095062B">
        <w:rPr>
          <w:rFonts w:cs="Helvetica"/>
          <w:i/>
          <w:iCs/>
          <w:noProof/>
          <w:szCs w:val="24"/>
        </w:rPr>
        <w:t>1 Can Perturbations Help Reduce Investment Risks? Risk-aware stock recommendation via split variational adversarial training</w:t>
      </w:r>
      <w:r w:rsidRPr="0095062B">
        <w:rPr>
          <w:rFonts w:cs="Helvetica"/>
          <w:noProof/>
          <w:szCs w:val="24"/>
        </w:rPr>
        <w:t xml:space="preserve">. </w:t>
      </w:r>
      <w:r w:rsidRPr="0095062B">
        <w:rPr>
          <w:rFonts w:cs="Helvetica"/>
          <w:i/>
          <w:iCs/>
          <w:noProof/>
          <w:szCs w:val="24"/>
        </w:rPr>
        <w:t>1</w:t>
      </w:r>
      <w:r w:rsidRPr="0095062B">
        <w:rPr>
          <w:rFonts w:cs="Helvetica"/>
          <w:noProof/>
          <w:szCs w:val="24"/>
        </w:rPr>
        <w:t xml:space="preserve">(1), </w:t>
      </w:r>
      <w:r w:rsidRPr="0095062B">
        <w:rPr>
          <w:rFonts w:cs="Helvetica"/>
          <w:noProof/>
          <w:szCs w:val="24"/>
        </w:rPr>
        <w:lastRenderedPageBreak/>
        <w:t>1–29. https://doi.org/10.1145/3643131</w:t>
      </w:r>
    </w:p>
    <w:p w14:paraId="3094DCFB" w14:textId="77777777" w:rsidR="0095062B" w:rsidRPr="0095062B" w:rsidRDefault="0095062B" w:rsidP="0095062B">
      <w:pPr>
        <w:widowControl w:val="0"/>
        <w:autoSpaceDE w:val="0"/>
        <w:autoSpaceDN w:val="0"/>
        <w:adjustRightInd w:val="0"/>
        <w:ind w:left="480" w:hanging="480"/>
        <w:rPr>
          <w:rFonts w:cs="Helvetica"/>
          <w:noProof/>
          <w:szCs w:val="24"/>
        </w:rPr>
      </w:pPr>
      <w:r w:rsidRPr="0095062B">
        <w:rPr>
          <w:rFonts w:cs="Helvetica"/>
          <w:noProof/>
          <w:szCs w:val="24"/>
        </w:rPr>
        <w:t xml:space="preserve">Chi, C. (2024). Study On the Relationship Between Corporate Financial Risk Management and Financial Robustness. </w:t>
      </w:r>
      <w:r w:rsidRPr="0095062B">
        <w:rPr>
          <w:rFonts w:cs="Helvetica"/>
          <w:i/>
          <w:iCs/>
          <w:noProof/>
          <w:szCs w:val="24"/>
        </w:rPr>
        <w:t>Highlights in Business, Economics and Management</w:t>
      </w:r>
      <w:r w:rsidRPr="0095062B">
        <w:rPr>
          <w:rFonts w:cs="Helvetica"/>
          <w:noProof/>
          <w:szCs w:val="24"/>
        </w:rPr>
        <w:t xml:space="preserve">, </w:t>
      </w:r>
      <w:r w:rsidRPr="0095062B">
        <w:rPr>
          <w:rFonts w:cs="Helvetica"/>
          <w:i/>
          <w:iCs/>
          <w:noProof/>
          <w:szCs w:val="24"/>
        </w:rPr>
        <w:t>37</w:t>
      </w:r>
      <w:r w:rsidRPr="0095062B">
        <w:rPr>
          <w:rFonts w:cs="Helvetica"/>
          <w:noProof/>
          <w:szCs w:val="24"/>
        </w:rPr>
        <w:t>, 306–311. https://doi.org/10.54097/hq906084</w:t>
      </w:r>
    </w:p>
    <w:p w14:paraId="59EE6651" w14:textId="77777777" w:rsidR="0095062B" w:rsidRPr="0095062B" w:rsidRDefault="0095062B" w:rsidP="0095062B">
      <w:pPr>
        <w:widowControl w:val="0"/>
        <w:autoSpaceDE w:val="0"/>
        <w:autoSpaceDN w:val="0"/>
        <w:adjustRightInd w:val="0"/>
        <w:ind w:left="480" w:hanging="480"/>
        <w:rPr>
          <w:rFonts w:cs="Helvetica"/>
          <w:noProof/>
          <w:szCs w:val="24"/>
        </w:rPr>
      </w:pPr>
      <w:r w:rsidRPr="0095062B">
        <w:rPr>
          <w:rFonts w:cs="Helvetica"/>
          <w:noProof/>
          <w:szCs w:val="24"/>
        </w:rPr>
        <w:t xml:space="preserve">Farmer, E. F. (1953). Efficient Capital Markets: A Review of Theory and Empirical Work. </w:t>
      </w:r>
      <w:r w:rsidRPr="0095062B">
        <w:rPr>
          <w:rFonts w:cs="Helvetica"/>
          <w:i/>
          <w:iCs/>
          <w:noProof/>
          <w:szCs w:val="24"/>
        </w:rPr>
        <w:t>American Heart Journal</w:t>
      </w:r>
      <w:r w:rsidRPr="0095062B">
        <w:rPr>
          <w:rFonts w:cs="Helvetica"/>
          <w:noProof/>
          <w:szCs w:val="24"/>
        </w:rPr>
        <w:t xml:space="preserve">, </w:t>
      </w:r>
      <w:r w:rsidRPr="0095062B">
        <w:rPr>
          <w:rFonts w:cs="Helvetica"/>
          <w:i/>
          <w:iCs/>
          <w:noProof/>
          <w:szCs w:val="24"/>
        </w:rPr>
        <w:t>45</w:t>
      </w:r>
      <w:r w:rsidRPr="0095062B">
        <w:rPr>
          <w:rFonts w:cs="Helvetica"/>
          <w:noProof/>
          <w:szCs w:val="24"/>
        </w:rPr>
        <w:t>(2), 216–226. https://doi.org/10.1016/0002-8703(53)90182-3</w:t>
      </w:r>
    </w:p>
    <w:p w14:paraId="29D8292A" w14:textId="77777777" w:rsidR="0095062B" w:rsidRPr="0095062B" w:rsidRDefault="0095062B" w:rsidP="0095062B">
      <w:pPr>
        <w:widowControl w:val="0"/>
        <w:autoSpaceDE w:val="0"/>
        <w:autoSpaceDN w:val="0"/>
        <w:adjustRightInd w:val="0"/>
        <w:ind w:left="480" w:hanging="480"/>
        <w:rPr>
          <w:rFonts w:cs="Helvetica"/>
          <w:noProof/>
          <w:szCs w:val="24"/>
        </w:rPr>
      </w:pPr>
      <w:r w:rsidRPr="0095062B">
        <w:rPr>
          <w:rFonts w:cs="Helvetica"/>
          <w:noProof/>
          <w:szCs w:val="24"/>
        </w:rPr>
        <w:t xml:space="preserve">Ghozali, I. (2016). </w:t>
      </w:r>
      <w:r w:rsidRPr="0095062B">
        <w:rPr>
          <w:rFonts w:cs="Helvetica"/>
          <w:i/>
          <w:iCs/>
          <w:noProof/>
          <w:szCs w:val="24"/>
        </w:rPr>
        <w:t>Quantitative and Qualitative Research Design for Accounting, Business, and Other Social Sciences</w:t>
      </w:r>
      <w:r w:rsidRPr="0095062B">
        <w:rPr>
          <w:rFonts w:cs="Helvetica"/>
          <w:noProof/>
          <w:szCs w:val="24"/>
        </w:rPr>
        <w:t>. Primary Yoga.</w:t>
      </w:r>
    </w:p>
    <w:p w14:paraId="64AFEDC6" w14:textId="77777777" w:rsidR="0095062B" w:rsidRPr="0095062B" w:rsidRDefault="0095062B" w:rsidP="0095062B">
      <w:pPr>
        <w:widowControl w:val="0"/>
        <w:autoSpaceDE w:val="0"/>
        <w:autoSpaceDN w:val="0"/>
        <w:adjustRightInd w:val="0"/>
        <w:ind w:left="480" w:hanging="480"/>
        <w:rPr>
          <w:rFonts w:cs="Helvetica"/>
          <w:noProof/>
          <w:szCs w:val="24"/>
        </w:rPr>
      </w:pPr>
      <w:r w:rsidRPr="0095062B">
        <w:rPr>
          <w:rFonts w:cs="Helvetica"/>
          <w:noProof/>
          <w:szCs w:val="24"/>
        </w:rPr>
        <w:t xml:space="preserve">Gujarati, D. N., &amp; Porter, D. C. (2013). Single-equation regression models. In </w:t>
      </w:r>
      <w:r w:rsidRPr="0095062B">
        <w:rPr>
          <w:rFonts w:cs="Helvetica"/>
          <w:i/>
          <w:iCs/>
          <w:noProof/>
          <w:szCs w:val="24"/>
        </w:rPr>
        <w:t>Introductory Econometrics: A Practical Approach</w:t>
      </w:r>
      <w:r w:rsidRPr="0095062B">
        <w:rPr>
          <w:rFonts w:cs="Helvetica"/>
          <w:noProof/>
          <w:szCs w:val="24"/>
        </w:rPr>
        <w:t>.</w:t>
      </w:r>
    </w:p>
    <w:p w14:paraId="4C41A3A3" w14:textId="77777777" w:rsidR="0095062B" w:rsidRPr="0095062B" w:rsidRDefault="0095062B" w:rsidP="0095062B">
      <w:pPr>
        <w:widowControl w:val="0"/>
        <w:autoSpaceDE w:val="0"/>
        <w:autoSpaceDN w:val="0"/>
        <w:adjustRightInd w:val="0"/>
        <w:ind w:left="480" w:hanging="480"/>
        <w:rPr>
          <w:rFonts w:cs="Helvetica"/>
          <w:noProof/>
          <w:szCs w:val="24"/>
        </w:rPr>
      </w:pPr>
      <w:r w:rsidRPr="0095062B">
        <w:rPr>
          <w:rFonts w:cs="Helvetica"/>
          <w:noProof/>
          <w:szCs w:val="24"/>
        </w:rPr>
        <w:t xml:space="preserve">Hair, J. F., Hult, G. T. M., Ringle, C. M., Sarstedt, M., Danks, N. P., &amp; Ray, S. (2021). </w:t>
      </w:r>
      <w:r w:rsidRPr="0095062B">
        <w:rPr>
          <w:rFonts w:cs="Helvetica"/>
          <w:i/>
          <w:iCs/>
          <w:noProof/>
          <w:szCs w:val="24"/>
        </w:rPr>
        <w:t>Evaluation of Formative Measurement Models</w:t>
      </w:r>
      <w:r w:rsidRPr="0095062B">
        <w:rPr>
          <w:rFonts w:cs="Helvetica"/>
          <w:noProof/>
          <w:szCs w:val="24"/>
        </w:rPr>
        <w:t>. https://doi.org/10.1007/978-3-030-80519-7_5</w:t>
      </w:r>
    </w:p>
    <w:p w14:paraId="0D2F94D6" w14:textId="77777777" w:rsidR="0095062B" w:rsidRPr="0095062B" w:rsidRDefault="0095062B" w:rsidP="0095062B">
      <w:pPr>
        <w:widowControl w:val="0"/>
        <w:autoSpaceDE w:val="0"/>
        <w:autoSpaceDN w:val="0"/>
        <w:adjustRightInd w:val="0"/>
        <w:ind w:left="480" w:hanging="480"/>
        <w:rPr>
          <w:rFonts w:cs="Helvetica"/>
          <w:noProof/>
          <w:szCs w:val="24"/>
        </w:rPr>
      </w:pPr>
      <w:r w:rsidRPr="0095062B">
        <w:rPr>
          <w:rFonts w:cs="Helvetica"/>
          <w:noProof/>
          <w:szCs w:val="24"/>
        </w:rPr>
        <w:t xml:space="preserve">Hanif, M., Ali, M. S.-, Asghar, M. M., &amp; Farhan, M. (2024). Macroeconomic Factors of Financial Performance: A Case Study of Cement Sector of Pakistan. </w:t>
      </w:r>
      <w:r w:rsidRPr="0095062B">
        <w:rPr>
          <w:rFonts w:cs="Helvetica"/>
          <w:i/>
          <w:iCs/>
          <w:noProof/>
          <w:szCs w:val="24"/>
        </w:rPr>
        <w:t>Review of Applied Management and Social Sciences</w:t>
      </w:r>
      <w:r w:rsidRPr="0095062B">
        <w:rPr>
          <w:rFonts w:cs="Helvetica"/>
          <w:noProof/>
          <w:szCs w:val="24"/>
        </w:rPr>
        <w:t xml:space="preserve">, </w:t>
      </w:r>
      <w:r w:rsidRPr="0095062B">
        <w:rPr>
          <w:rFonts w:cs="Helvetica"/>
          <w:i/>
          <w:iCs/>
          <w:noProof/>
          <w:szCs w:val="24"/>
        </w:rPr>
        <w:t>7</w:t>
      </w:r>
      <w:r w:rsidRPr="0095062B">
        <w:rPr>
          <w:rFonts w:cs="Helvetica"/>
          <w:noProof/>
          <w:szCs w:val="24"/>
        </w:rPr>
        <w:t>(4), 929–937. https://doi.org/10.47067/ramss.v7i4.423</w:t>
      </w:r>
    </w:p>
    <w:p w14:paraId="756D8971" w14:textId="77777777" w:rsidR="0095062B" w:rsidRPr="0095062B" w:rsidRDefault="0095062B" w:rsidP="0095062B">
      <w:pPr>
        <w:widowControl w:val="0"/>
        <w:autoSpaceDE w:val="0"/>
        <w:autoSpaceDN w:val="0"/>
        <w:adjustRightInd w:val="0"/>
        <w:ind w:left="480" w:hanging="480"/>
        <w:rPr>
          <w:rFonts w:cs="Helvetica"/>
          <w:noProof/>
          <w:szCs w:val="24"/>
        </w:rPr>
      </w:pPr>
      <w:r w:rsidRPr="0095062B">
        <w:rPr>
          <w:rFonts w:cs="Helvetica"/>
          <w:noProof/>
          <w:szCs w:val="24"/>
        </w:rPr>
        <w:t xml:space="preserve">Hassan, N. C., Abdul-Rahman, A., Mohd Amin, S. I., &amp; Ab Hamid, S. N. (2023). Investment Intention and Decision Making: A Systematic Literature Review and Future Research Agenda. </w:t>
      </w:r>
      <w:r w:rsidRPr="0095062B">
        <w:rPr>
          <w:rFonts w:cs="Helvetica"/>
          <w:i/>
          <w:iCs/>
          <w:noProof/>
          <w:szCs w:val="24"/>
        </w:rPr>
        <w:t>Sustainability (Switzerland),</w:t>
      </w:r>
      <w:r w:rsidRPr="0095062B">
        <w:rPr>
          <w:rFonts w:cs="Helvetica"/>
          <w:noProof/>
          <w:szCs w:val="24"/>
        </w:rPr>
        <w:t xml:space="preserve"> </w:t>
      </w:r>
      <w:r w:rsidRPr="0095062B">
        <w:rPr>
          <w:rFonts w:cs="Helvetica"/>
          <w:i/>
          <w:iCs/>
          <w:noProof/>
          <w:szCs w:val="24"/>
        </w:rPr>
        <w:t>15</w:t>
      </w:r>
      <w:r w:rsidRPr="0095062B">
        <w:rPr>
          <w:rFonts w:cs="Helvetica"/>
          <w:noProof/>
          <w:szCs w:val="24"/>
        </w:rPr>
        <w:t>(5), 1–22. https://doi.org/10.3390/su15053949</w:t>
      </w:r>
    </w:p>
    <w:p w14:paraId="063E9AA2" w14:textId="77777777" w:rsidR="0095062B" w:rsidRPr="0095062B" w:rsidRDefault="0095062B" w:rsidP="0095062B">
      <w:pPr>
        <w:widowControl w:val="0"/>
        <w:autoSpaceDE w:val="0"/>
        <w:autoSpaceDN w:val="0"/>
        <w:adjustRightInd w:val="0"/>
        <w:ind w:left="480" w:hanging="480"/>
        <w:rPr>
          <w:rFonts w:cs="Helvetica"/>
          <w:noProof/>
          <w:szCs w:val="24"/>
        </w:rPr>
      </w:pPr>
      <w:r w:rsidRPr="0095062B">
        <w:rPr>
          <w:rFonts w:cs="Helvetica"/>
          <w:noProof/>
          <w:szCs w:val="24"/>
        </w:rPr>
        <w:t xml:space="preserve">Hidayat, Y. M., Nugraha, N., Disman, D., Sari, M., &amp; Bustam, M. R. (2023). Investor Sentiment Based on Search Engine Data for Predicting Stock Returns in Indonesia Industrial Sector. </w:t>
      </w:r>
      <w:r w:rsidRPr="0095062B">
        <w:rPr>
          <w:rFonts w:cs="Helvetica"/>
          <w:i/>
          <w:iCs/>
          <w:noProof/>
          <w:szCs w:val="24"/>
        </w:rPr>
        <w:t>Journal of Eastern European and Central Asian Research</w:t>
      </w:r>
      <w:r w:rsidRPr="0095062B">
        <w:rPr>
          <w:rFonts w:cs="Helvetica"/>
          <w:noProof/>
          <w:szCs w:val="24"/>
        </w:rPr>
        <w:t xml:space="preserve">, </w:t>
      </w:r>
      <w:r w:rsidRPr="0095062B">
        <w:rPr>
          <w:rFonts w:cs="Helvetica"/>
          <w:i/>
          <w:iCs/>
          <w:noProof/>
          <w:szCs w:val="24"/>
        </w:rPr>
        <w:t>10</w:t>
      </w:r>
      <w:r w:rsidRPr="0095062B">
        <w:rPr>
          <w:rFonts w:cs="Helvetica"/>
          <w:noProof/>
          <w:szCs w:val="24"/>
        </w:rPr>
        <w:t>(6), 810–818. https://doi.org/10.15549/jeecar.v10i6.1500</w:t>
      </w:r>
    </w:p>
    <w:p w14:paraId="2ABEDF97" w14:textId="77777777" w:rsidR="0095062B" w:rsidRPr="0095062B" w:rsidRDefault="0095062B" w:rsidP="0095062B">
      <w:pPr>
        <w:widowControl w:val="0"/>
        <w:autoSpaceDE w:val="0"/>
        <w:autoSpaceDN w:val="0"/>
        <w:adjustRightInd w:val="0"/>
        <w:ind w:left="480" w:hanging="480"/>
        <w:rPr>
          <w:rFonts w:cs="Helvetica"/>
          <w:noProof/>
          <w:szCs w:val="24"/>
        </w:rPr>
      </w:pPr>
      <w:r w:rsidRPr="0095062B">
        <w:rPr>
          <w:rFonts w:cs="Helvetica"/>
          <w:noProof/>
          <w:szCs w:val="24"/>
        </w:rPr>
        <w:t xml:space="preserve">Imron, M. A., &amp; Putra, I. N. N. A. (2025). The Role of Profitability in Mediating Value of Food and Beverage Companies. </w:t>
      </w:r>
      <w:r w:rsidRPr="0095062B">
        <w:rPr>
          <w:rFonts w:cs="Helvetica"/>
          <w:i/>
          <w:iCs/>
          <w:noProof/>
          <w:szCs w:val="24"/>
        </w:rPr>
        <w:t>Business Accounting &amp; Management (ABM),</w:t>
      </w:r>
      <w:r w:rsidRPr="0095062B">
        <w:rPr>
          <w:rFonts w:cs="Helvetica"/>
          <w:noProof/>
          <w:szCs w:val="24"/>
        </w:rPr>
        <w:t xml:space="preserve"> </w:t>
      </w:r>
      <w:r w:rsidRPr="0095062B">
        <w:rPr>
          <w:rFonts w:cs="Helvetica"/>
          <w:i/>
          <w:iCs/>
          <w:noProof/>
          <w:szCs w:val="24"/>
        </w:rPr>
        <w:t>32</w:t>
      </w:r>
      <w:r w:rsidRPr="0095062B">
        <w:rPr>
          <w:rFonts w:cs="Helvetica"/>
          <w:noProof/>
          <w:szCs w:val="24"/>
        </w:rPr>
        <w:t>(1), 1–16. https://doi.org/10.35606/jabm.v32i1.1555</w:t>
      </w:r>
    </w:p>
    <w:p w14:paraId="77947A2B" w14:textId="77777777" w:rsidR="0095062B" w:rsidRPr="0095062B" w:rsidRDefault="0095062B" w:rsidP="0095062B">
      <w:pPr>
        <w:widowControl w:val="0"/>
        <w:autoSpaceDE w:val="0"/>
        <w:autoSpaceDN w:val="0"/>
        <w:adjustRightInd w:val="0"/>
        <w:ind w:left="480" w:hanging="480"/>
        <w:rPr>
          <w:rFonts w:cs="Helvetica"/>
          <w:noProof/>
          <w:szCs w:val="24"/>
        </w:rPr>
      </w:pPr>
      <w:r w:rsidRPr="0095062B">
        <w:rPr>
          <w:rFonts w:cs="Helvetica"/>
          <w:noProof/>
          <w:szCs w:val="24"/>
        </w:rPr>
        <w:t xml:space="preserve">Inrawan, A., &amp; Lie, D. (2024). The Role Of Profitability In Mediating Determinants Of Firm Value. </w:t>
      </w:r>
      <w:r w:rsidRPr="0095062B">
        <w:rPr>
          <w:rFonts w:cs="Helvetica"/>
          <w:i/>
          <w:iCs/>
          <w:noProof/>
          <w:szCs w:val="24"/>
        </w:rPr>
        <w:t>JAS (Journal of Sharia Accounting),</w:t>
      </w:r>
      <w:r w:rsidRPr="0095062B">
        <w:rPr>
          <w:rFonts w:cs="Helvetica"/>
          <w:noProof/>
          <w:szCs w:val="24"/>
        </w:rPr>
        <w:t xml:space="preserve"> </w:t>
      </w:r>
      <w:r w:rsidRPr="0095062B">
        <w:rPr>
          <w:rFonts w:cs="Helvetica"/>
          <w:i/>
          <w:iCs/>
          <w:noProof/>
          <w:szCs w:val="24"/>
        </w:rPr>
        <w:t>8</w:t>
      </w:r>
      <w:r w:rsidRPr="0095062B">
        <w:rPr>
          <w:rFonts w:cs="Helvetica"/>
          <w:noProof/>
          <w:szCs w:val="24"/>
        </w:rPr>
        <w:t>(2), 389–413. https://doi.org/10.46367/jas.v8i2.2180</w:t>
      </w:r>
    </w:p>
    <w:p w14:paraId="161FCD6B" w14:textId="77777777" w:rsidR="0095062B" w:rsidRPr="0095062B" w:rsidRDefault="0095062B" w:rsidP="0095062B">
      <w:pPr>
        <w:widowControl w:val="0"/>
        <w:autoSpaceDE w:val="0"/>
        <w:autoSpaceDN w:val="0"/>
        <w:adjustRightInd w:val="0"/>
        <w:ind w:left="480" w:hanging="480"/>
        <w:rPr>
          <w:rFonts w:cs="Helvetica"/>
          <w:noProof/>
          <w:szCs w:val="24"/>
        </w:rPr>
      </w:pPr>
      <w:r w:rsidRPr="0095062B">
        <w:rPr>
          <w:rFonts w:cs="Helvetica"/>
          <w:noProof/>
          <w:szCs w:val="24"/>
        </w:rPr>
        <w:t xml:space="preserve">Jia, C., &amp; Li, P. (2024). Generation Z's Health Information Avoidance Behavior: Insights from Focus Group Discussions. </w:t>
      </w:r>
      <w:r w:rsidRPr="0095062B">
        <w:rPr>
          <w:rFonts w:cs="Helvetica"/>
          <w:i/>
          <w:iCs/>
          <w:noProof/>
          <w:szCs w:val="24"/>
        </w:rPr>
        <w:t>Journal of Medical Internet Research</w:t>
      </w:r>
      <w:r w:rsidRPr="0095062B">
        <w:rPr>
          <w:rFonts w:cs="Helvetica"/>
          <w:noProof/>
          <w:szCs w:val="24"/>
        </w:rPr>
        <w:t xml:space="preserve">, </w:t>
      </w:r>
      <w:r w:rsidRPr="0095062B">
        <w:rPr>
          <w:rFonts w:cs="Helvetica"/>
          <w:i/>
          <w:iCs/>
          <w:noProof/>
          <w:szCs w:val="24"/>
        </w:rPr>
        <w:t>26</w:t>
      </w:r>
      <w:r w:rsidRPr="0095062B">
        <w:rPr>
          <w:rFonts w:cs="Helvetica"/>
          <w:noProof/>
          <w:szCs w:val="24"/>
        </w:rPr>
        <w:t>(1). https://doi.org/10.2196/54107</w:t>
      </w:r>
    </w:p>
    <w:p w14:paraId="5D1836D8" w14:textId="77777777" w:rsidR="0095062B" w:rsidRPr="0095062B" w:rsidRDefault="0095062B" w:rsidP="0095062B">
      <w:pPr>
        <w:widowControl w:val="0"/>
        <w:autoSpaceDE w:val="0"/>
        <w:autoSpaceDN w:val="0"/>
        <w:adjustRightInd w:val="0"/>
        <w:ind w:left="480" w:hanging="480"/>
        <w:rPr>
          <w:rFonts w:cs="Helvetica"/>
          <w:noProof/>
          <w:szCs w:val="24"/>
        </w:rPr>
      </w:pPr>
      <w:r w:rsidRPr="0095062B">
        <w:rPr>
          <w:rFonts w:cs="Helvetica"/>
          <w:noProof/>
          <w:szCs w:val="24"/>
        </w:rPr>
        <w:t xml:space="preserve">Jing, D., Imeni, M., Edalatpanah, S. A., Alburaikan, A., Khalifa, H. A. E. W., Negara, I. N. W., Langi, Y. A. R., &amp; Manurung, T. (2023). Optimal Selection of Stock Portfolios Using Multi-Criteria Decision-Making Methods. </w:t>
      </w:r>
      <w:r w:rsidRPr="0095062B">
        <w:rPr>
          <w:rFonts w:cs="Helvetica"/>
          <w:i/>
          <w:iCs/>
          <w:noProof/>
          <w:szCs w:val="24"/>
        </w:rPr>
        <w:t>Mathematics</w:t>
      </w:r>
      <w:r w:rsidRPr="0095062B">
        <w:rPr>
          <w:rFonts w:cs="Helvetica"/>
          <w:noProof/>
          <w:szCs w:val="24"/>
        </w:rPr>
        <w:t xml:space="preserve">, </w:t>
      </w:r>
      <w:r w:rsidRPr="0095062B">
        <w:rPr>
          <w:rFonts w:cs="Helvetica"/>
          <w:i/>
          <w:iCs/>
          <w:noProof/>
          <w:szCs w:val="24"/>
        </w:rPr>
        <w:t>9</w:t>
      </w:r>
      <w:r w:rsidRPr="0095062B">
        <w:rPr>
          <w:rFonts w:cs="Helvetica"/>
          <w:noProof/>
          <w:szCs w:val="24"/>
        </w:rPr>
        <w:t>(2), 173. https://doi.org/10.35799/dc.9.2.2020.29656</w:t>
      </w:r>
    </w:p>
    <w:p w14:paraId="04FCE66C" w14:textId="77777777" w:rsidR="0095062B" w:rsidRPr="0095062B" w:rsidRDefault="0095062B" w:rsidP="0095062B">
      <w:pPr>
        <w:widowControl w:val="0"/>
        <w:autoSpaceDE w:val="0"/>
        <w:autoSpaceDN w:val="0"/>
        <w:adjustRightInd w:val="0"/>
        <w:ind w:left="480" w:hanging="480"/>
        <w:rPr>
          <w:rFonts w:cs="Helvetica"/>
          <w:noProof/>
          <w:szCs w:val="24"/>
        </w:rPr>
      </w:pPr>
      <w:r w:rsidRPr="0095062B">
        <w:rPr>
          <w:rFonts w:cs="Helvetica"/>
          <w:noProof/>
          <w:szCs w:val="24"/>
        </w:rPr>
        <w:t xml:space="preserve">John Lintner. (1956). Distribution of Revenues of Corporations Among Dividends, Retained Earnings, and Taxes. </w:t>
      </w:r>
      <w:r w:rsidRPr="0095062B">
        <w:rPr>
          <w:rFonts w:cs="Helvetica"/>
          <w:i/>
          <w:iCs/>
          <w:noProof/>
          <w:szCs w:val="24"/>
        </w:rPr>
        <w:t>The American Economic Review</w:t>
      </w:r>
      <w:r w:rsidRPr="0095062B">
        <w:rPr>
          <w:rFonts w:cs="Helvetica"/>
          <w:noProof/>
          <w:szCs w:val="24"/>
        </w:rPr>
        <w:t xml:space="preserve">, </w:t>
      </w:r>
      <w:r w:rsidRPr="0095062B">
        <w:rPr>
          <w:rFonts w:cs="Helvetica"/>
          <w:i/>
          <w:iCs/>
          <w:noProof/>
          <w:szCs w:val="24"/>
        </w:rPr>
        <w:t>46</w:t>
      </w:r>
      <w:r w:rsidRPr="0095062B">
        <w:rPr>
          <w:rFonts w:cs="Helvetica"/>
          <w:noProof/>
          <w:szCs w:val="24"/>
        </w:rPr>
        <w:t>(2), 97–113.</w:t>
      </w:r>
    </w:p>
    <w:p w14:paraId="75206A90" w14:textId="77777777" w:rsidR="0095062B" w:rsidRPr="0095062B" w:rsidRDefault="0095062B" w:rsidP="0095062B">
      <w:pPr>
        <w:widowControl w:val="0"/>
        <w:autoSpaceDE w:val="0"/>
        <w:autoSpaceDN w:val="0"/>
        <w:adjustRightInd w:val="0"/>
        <w:ind w:left="480" w:hanging="480"/>
        <w:rPr>
          <w:rFonts w:cs="Helvetica"/>
          <w:noProof/>
          <w:szCs w:val="24"/>
        </w:rPr>
      </w:pPr>
      <w:r w:rsidRPr="0095062B">
        <w:rPr>
          <w:rFonts w:cs="Helvetica"/>
          <w:noProof/>
          <w:szCs w:val="24"/>
        </w:rPr>
        <w:t xml:space="preserve">Jonnius, J., &amp; Almatius, M. (2021). Profitability and the Firm's Value. </w:t>
      </w:r>
      <w:r w:rsidRPr="0095062B">
        <w:rPr>
          <w:rFonts w:cs="Helvetica"/>
          <w:i/>
          <w:iCs/>
          <w:noProof/>
          <w:szCs w:val="24"/>
        </w:rPr>
        <w:t>Dynasty International Journal of Management Science</w:t>
      </w:r>
      <w:r w:rsidRPr="0095062B">
        <w:rPr>
          <w:rFonts w:cs="Helvetica"/>
          <w:noProof/>
          <w:szCs w:val="24"/>
        </w:rPr>
        <w:t xml:space="preserve">, </w:t>
      </w:r>
      <w:r w:rsidRPr="0095062B">
        <w:rPr>
          <w:rFonts w:cs="Helvetica"/>
          <w:i/>
          <w:iCs/>
          <w:noProof/>
          <w:szCs w:val="24"/>
        </w:rPr>
        <w:t>3</w:t>
      </w:r>
      <w:r w:rsidRPr="0095062B">
        <w:rPr>
          <w:rFonts w:cs="Helvetica"/>
          <w:noProof/>
          <w:szCs w:val="24"/>
        </w:rPr>
        <w:t>(1), 23–47.</w:t>
      </w:r>
    </w:p>
    <w:p w14:paraId="77A51264" w14:textId="77777777" w:rsidR="0095062B" w:rsidRPr="0095062B" w:rsidRDefault="0095062B" w:rsidP="0095062B">
      <w:pPr>
        <w:widowControl w:val="0"/>
        <w:autoSpaceDE w:val="0"/>
        <w:autoSpaceDN w:val="0"/>
        <w:adjustRightInd w:val="0"/>
        <w:ind w:left="480" w:hanging="480"/>
        <w:rPr>
          <w:rFonts w:cs="Helvetica"/>
          <w:noProof/>
          <w:szCs w:val="24"/>
        </w:rPr>
      </w:pPr>
      <w:r w:rsidRPr="0095062B">
        <w:rPr>
          <w:rFonts w:cs="Helvetica"/>
          <w:noProof/>
          <w:szCs w:val="24"/>
        </w:rPr>
        <w:t xml:space="preserve">Joshua, Y., &amp; Chalid, Dony A. (2021). The Impact of ESG Score on Company Value in Southeast Asia: The Role of Competitive Advantage as a Moderating Variable. </w:t>
      </w:r>
      <w:r w:rsidRPr="0095062B">
        <w:rPr>
          <w:rFonts w:cs="Helvetica"/>
          <w:i/>
          <w:iCs/>
          <w:noProof/>
          <w:szCs w:val="24"/>
        </w:rPr>
        <w:t>Indonesian Interdisciplinary Journal of Sharia Economics</w:t>
      </w:r>
      <w:r w:rsidRPr="0095062B">
        <w:rPr>
          <w:rFonts w:cs="Helvetica"/>
          <w:noProof/>
          <w:szCs w:val="24"/>
        </w:rPr>
        <w:t xml:space="preserve">, </w:t>
      </w:r>
      <w:r w:rsidRPr="0095062B">
        <w:rPr>
          <w:rFonts w:cs="Helvetica"/>
          <w:i/>
          <w:iCs/>
          <w:noProof/>
          <w:szCs w:val="24"/>
        </w:rPr>
        <w:t>8</w:t>
      </w:r>
      <w:r w:rsidRPr="0095062B">
        <w:rPr>
          <w:rFonts w:cs="Helvetica"/>
          <w:noProof/>
          <w:szCs w:val="24"/>
        </w:rPr>
        <w:t>(3), 167–186.</w:t>
      </w:r>
    </w:p>
    <w:p w14:paraId="12BF7EBE" w14:textId="77777777" w:rsidR="0095062B" w:rsidRPr="0095062B" w:rsidRDefault="0095062B" w:rsidP="0095062B">
      <w:pPr>
        <w:widowControl w:val="0"/>
        <w:autoSpaceDE w:val="0"/>
        <w:autoSpaceDN w:val="0"/>
        <w:adjustRightInd w:val="0"/>
        <w:ind w:left="480" w:hanging="480"/>
        <w:rPr>
          <w:rFonts w:cs="Helvetica"/>
          <w:noProof/>
          <w:szCs w:val="24"/>
        </w:rPr>
      </w:pPr>
      <w:r w:rsidRPr="0095062B">
        <w:rPr>
          <w:rFonts w:cs="Helvetica"/>
          <w:noProof/>
          <w:szCs w:val="24"/>
        </w:rPr>
        <w:t xml:space="preserve">Jovković, B., Vasić, A. S., &amp; Bogićević, J. (2021). Determinants of Dividend Policy: A Case of Serbia's Banking Sector. </w:t>
      </w:r>
      <w:r w:rsidRPr="0095062B">
        <w:rPr>
          <w:rFonts w:cs="Helvetica"/>
          <w:i/>
          <w:iCs/>
          <w:noProof/>
          <w:szCs w:val="24"/>
        </w:rPr>
        <w:t>Naše Gospodarstvo/Our Economy</w:t>
      </w:r>
      <w:r w:rsidRPr="0095062B">
        <w:rPr>
          <w:rFonts w:cs="Helvetica"/>
          <w:noProof/>
          <w:szCs w:val="24"/>
        </w:rPr>
        <w:t xml:space="preserve">, </w:t>
      </w:r>
      <w:r w:rsidRPr="0095062B">
        <w:rPr>
          <w:rFonts w:cs="Helvetica"/>
          <w:i/>
          <w:iCs/>
          <w:noProof/>
          <w:szCs w:val="24"/>
        </w:rPr>
        <w:t>67</w:t>
      </w:r>
      <w:r w:rsidRPr="0095062B">
        <w:rPr>
          <w:rFonts w:cs="Helvetica"/>
          <w:noProof/>
          <w:szCs w:val="24"/>
        </w:rPr>
        <w:t>(1), 13–22. https://doi.org/10.2478/ngoe-2021-0002</w:t>
      </w:r>
    </w:p>
    <w:p w14:paraId="576DEE9A" w14:textId="77777777" w:rsidR="0095062B" w:rsidRPr="0095062B" w:rsidRDefault="0095062B" w:rsidP="0095062B">
      <w:pPr>
        <w:widowControl w:val="0"/>
        <w:autoSpaceDE w:val="0"/>
        <w:autoSpaceDN w:val="0"/>
        <w:adjustRightInd w:val="0"/>
        <w:ind w:left="480" w:hanging="480"/>
        <w:rPr>
          <w:rFonts w:cs="Helvetica"/>
          <w:noProof/>
          <w:szCs w:val="24"/>
        </w:rPr>
      </w:pPr>
      <w:r w:rsidRPr="0095062B">
        <w:rPr>
          <w:rFonts w:cs="Helvetica"/>
          <w:noProof/>
          <w:szCs w:val="24"/>
        </w:rPr>
        <w:t xml:space="preserve">Keskin, A. ̇Irem, Dincer, B., &amp; Dincer, C. (2020). </w:t>
      </w:r>
      <w:r w:rsidRPr="0095062B">
        <w:rPr>
          <w:rFonts w:cs="Helvetica"/>
          <w:i/>
          <w:iCs/>
          <w:noProof/>
          <w:szCs w:val="24"/>
        </w:rPr>
        <w:t>Exploring the Impact of Sustainability on Corporate Financial Performance Using Discriminant Analysis</w:t>
      </w:r>
      <w:r w:rsidRPr="0095062B">
        <w:rPr>
          <w:rFonts w:cs="Helvetica"/>
          <w:noProof/>
          <w:szCs w:val="24"/>
        </w:rPr>
        <w:t xml:space="preserve">. </w:t>
      </w:r>
      <w:r w:rsidRPr="0095062B">
        <w:rPr>
          <w:rFonts w:cs="Helvetica"/>
          <w:i/>
          <w:iCs/>
          <w:noProof/>
          <w:szCs w:val="24"/>
        </w:rPr>
        <w:t>2017</w:t>
      </w:r>
      <w:r w:rsidRPr="0095062B">
        <w:rPr>
          <w:rFonts w:cs="Helvetica"/>
          <w:noProof/>
          <w:szCs w:val="24"/>
        </w:rPr>
        <w:t>.</w:t>
      </w:r>
    </w:p>
    <w:p w14:paraId="2F6770E6" w14:textId="77777777" w:rsidR="0095062B" w:rsidRPr="0095062B" w:rsidRDefault="0095062B" w:rsidP="0095062B">
      <w:pPr>
        <w:widowControl w:val="0"/>
        <w:autoSpaceDE w:val="0"/>
        <w:autoSpaceDN w:val="0"/>
        <w:adjustRightInd w:val="0"/>
        <w:ind w:left="480" w:hanging="480"/>
        <w:rPr>
          <w:rFonts w:cs="Helvetica"/>
          <w:noProof/>
          <w:szCs w:val="24"/>
        </w:rPr>
      </w:pPr>
      <w:r w:rsidRPr="0095062B">
        <w:rPr>
          <w:rFonts w:cs="Helvetica"/>
          <w:noProof/>
          <w:szCs w:val="24"/>
        </w:rPr>
        <w:t xml:space="preserve">Kristian, M., Adiwena, S., &amp; Laksana, Y. B. (2023). Foreign Investor and Market Volatility: Evidence on Indonesia Stock Market. </w:t>
      </w:r>
      <w:r w:rsidRPr="0095062B">
        <w:rPr>
          <w:rFonts w:cs="Helvetica"/>
          <w:i/>
          <w:iCs/>
          <w:noProof/>
          <w:szCs w:val="24"/>
        </w:rPr>
        <w:t>International Journal of Application on Economics and Business</w:t>
      </w:r>
      <w:r w:rsidRPr="0095062B">
        <w:rPr>
          <w:rFonts w:cs="Helvetica"/>
          <w:noProof/>
          <w:szCs w:val="24"/>
        </w:rPr>
        <w:t xml:space="preserve">, </w:t>
      </w:r>
      <w:r w:rsidRPr="0095062B">
        <w:rPr>
          <w:rFonts w:cs="Helvetica"/>
          <w:i/>
          <w:iCs/>
          <w:noProof/>
          <w:szCs w:val="24"/>
        </w:rPr>
        <w:t>1</w:t>
      </w:r>
      <w:r w:rsidRPr="0095062B">
        <w:rPr>
          <w:rFonts w:cs="Helvetica"/>
          <w:noProof/>
          <w:szCs w:val="24"/>
        </w:rPr>
        <w:t>(2), 410–418. https://doi.org/10.24912/ijaeb.v1i2.410-418</w:t>
      </w:r>
    </w:p>
    <w:p w14:paraId="2E62F110" w14:textId="77777777" w:rsidR="0095062B" w:rsidRPr="0095062B" w:rsidRDefault="0095062B" w:rsidP="0095062B">
      <w:pPr>
        <w:widowControl w:val="0"/>
        <w:autoSpaceDE w:val="0"/>
        <w:autoSpaceDN w:val="0"/>
        <w:adjustRightInd w:val="0"/>
        <w:ind w:left="480" w:hanging="480"/>
        <w:rPr>
          <w:rFonts w:cs="Helvetica"/>
          <w:noProof/>
          <w:szCs w:val="24"/>
        </w:rPr>
      </w:pPr>
      <w:r w:rsidRPr="0095062B">
        <w:rPr>
          <w:rFonts w:cs="Helvetica"/>
          <w:noProof/>
          <w:szCs w:val="24"/>
        </w:rPr>
        <w:lastRenderedPageBreak/>
        <w:t xml:space="preserve">Lalevic, A. F., &amp; Selma, D. (2022). </w:t>
      </w:r>
      <w:r w:rsidRPr="0095062B">
        <w:rPr>
          <w:rFonts w:cs="Helvetica"/>
          <w:i/>
          <w:iCs/>
          <w:noProof/>
          <w:szCs w:val="24"/>
        </w:rPr>
        <w:t>The relationship between debt and profitability of stock companies in Montenegro</w:t>
      </w:r>
      <w:r w:rsidRPr="0095062B">
        <w:rPr>
          <w:rFonts w:cs="Helvetica"/>
          <w:noProof/>
          <w:szCs w:val="24"/>
        </w:rPr>
        <w:t>.</w:t>
      </w:r>
    </w:p>
    <w:p w14:paraId="24C6AD8F" w14:textId="77777777" w:rsidR="0095062B" w:rsidRPr="0095062B" w:rsidRDefault="0095062B" w:rsidP="0095062B">
      <w:pPr>
        <w:widowControl w:val="0"/>
        <w:autoSpaceDE w:val="0"/>
        <w:autoSpaceDN w:val="0"/>
        <w:adjustRightInd w:val="0"/>
        <w:ind w:left="480" w:hanging="480"/>
        <w:rPr>
          <w:rFonts w:cs="Helvetica"/>
          <w:noProof/>
          <w:szCs w:val="24"/>
        </w:rPr>
      </w:pPr>
      <w:r w:rsidRPr="0095062B">
        <w:rPr>
          <w:rFonts w:cs="Helvetica"/>
          <w:noProof/>
          <w:szCs w:val="24"/>
        </w:rPr>
        <w:t xml:space="preserve">Li, K., Musah, M., Kong, Y., Mensah, I. A., Antwi, S. K., Bawuah, J., Donkor, M., Paa, C., Coffie, K., &amp; Osei, A. A. (2020). </w:t>
      </w:r>
      <w:r w:rsidRPr="0095062B">
        <w:rPr>
          <w:rFonts w:cs="Helvetica"/>
          <w:i/>
          <w:iCs/>
          <w:noProof/>
          <w:szCs w:val="24"/>
        </w:rPr>
        <w:t>Liquidity and Firms' Financial Performance Nexus : A Panel Evidence from Non-Financial Firms Listed on the Ghana Stock Exchange</w:t>
      </w:r>
      <w:r w:rsidRPr="0095062B">
        <w:rPr>
          <w:rFonts w:cs="Helvetica"/>
          <w:noProof/>
          <w:szCs w:val="24"/>
        </w:rPr>
        <w:t>. https://doi.org/10.1177/2158244020950363</w:t>
      </w:r>
    </w:p>
    <w:p w14:paraId="74FD0A02" w14:textId="77777777" w:rsidR="0095062B" w:rsidRPr="0095062B" w:rsidRDefault="0095062B" w:rsidP="0095062B">
      <w:pPr>
        <w:widowControl w:val="0"/>
        <w:autoSpaceDE w:val="0"/>
        <w:autoSpaceDN w:val="0"/>
        <w:adjustRightInd w:val="0"/>
        <w:ind w:left="480" w:hanging="480"/>
        <w:rPr>
          <w:rFonts w:cs="Helvetica"/>
          <w:noProof/>
          <w:szCs w:val="24"/>
        </w:rPr>
      </w:pPr>
      <w:r w:rsidRPr="0095062B">
        <w:rPr>
          <w:rFonts w:cs="Helvetica"/>
          <w:noProof/>
          <w:szCs w:val="24"/>
        </w:rPr>
        <w:t xml:space="preserve">Liu, Y., Kim, C. Y., Lee, E. H., &amp; Yoo, J. W. (2022). Relationship between Sustainable Management Activities and Financial Performance: Mediating Effects of Non-Financial Performance and Moderating Effects of Institutional Environment. </w:t>
      </w:r>
      <w:r w:rsidRPr="0095062B">
        <w:rPr>
          <w:rFonts w:cs="Helvetica"/>
          <w:i/>
          <w:iCs/>
          <w:noProof/>
          <w:szCs w:val="24"/>
        </w:rPr>
        <w:t>Sustainability (Switzerland),</w:t>
      </w:r>
      <w:r w:rsidRPr="0095062B">
        <w:rPr>
          <w:rFonts w:cs="Helvetica"/>
          <w:noProof/>
          <w:szCs w:val="24"/>
        </w:rPr>
        <w:t xml:space="preserve"> </w:t>
      </w:r>
      <w:r w:rsidRPr="0095062B">
        <w:rPr>
          <w:rFonts w:cs="Helvetica"/>
          <w:i/>
          <w:iCs/>
          <w:noProof/>
          <w:szCs w:val="24"/>
        </w:rPr>
        <w:t>14</w:t>
      </w:r>
      <w:r w:rsidRPr="0095062B">
        <w:rPr>
          <w:rFonts w:cs="Helvetica"/>
          <w:noProof/>
          <w:szCs w:val="24"/>
        </w:rPr>
        <w:t>(3). https://doi.org/10.3390/su14031168</w:t>
      </w:r>
    </w:p>
    <w:p w14:paraId="2A75DE5F" w14:textId="77777777" w:rsidR="0095062B" w:rsidRPr="0095062B" w:rsidRDefault="0095062B" w:rsidP="0095062B">
      <w:pPr>
        <w:widowControl w:val="0"/>
        <w:autoSpaceDE w:val="0"/>
        <w:autoSpaceDN w:val="0"/>
        <w:adjustRightInd w:val="0"/>
        <w:ind w:left="480" w:hanging="480"/>
        <w:rPr>
          <w:rFonts w:cs="Helvetica"/>
          <w:noProof/>
          <w:szCs w:val="24"/>
        </w:rPr>
      </w:pPr>
      <w:r w:rsidRPr="0095062B">
        <w:rPr>
          <w:rFonts w:cs="Helvetica"/>
          <w:noProof/>
          <w:szCs w:val="24"/>
        </w:rPr>
        <w:t xml:space="preserve">Luckyardi, S., Agustini, K., Nugraha, N., &amp; Sari, M. (2021). The Impact of Dividend Policy and Capital Structure on Firm Value in Agricultural Sector. </w:t>
      </w:r>
      <w:r w:rsidRPr="0095062B">
        <w:rPr>
          <w:rFonts w:cs="Helvetica"/>
          <w:i/>
          <w:iCs/>
          <w:noProof/>
          <w:szCs w:val="24"/>
        </w:rPr>
        <w:t>Journal of Financial and Banking Sciences (JIKA),</w:t>
      </w:r>
      <w:r w:rsidRPr="0095062B">
        <w:rPr>
          <w:rFonts w:cs="Helvetica"/>
          <w:noProof/>
          <w:szCs w:val="24"/>
        </w:rPr>
        <w:t xml:space="preserve"> </w:t>
      </w:r>
      <w:r w:rsidRPr="0095062B">
        <w:rPr>
          <w:rFonts w:cs="Helvetica"/>
          <w:i/>
          <w:iCs/>
          <w:noProof/>
          <w:szCs w:val="24"/>
        </w:rPr>
        <w:t>11</w:t>
      </w:r>
      <w:r w:rsidRPr="0095062B">
        <w:rPr>
          <w:rFonts w:cs="Helvetica"/>
          <w:noProof/>
          <w:szCs w:val="24"/>
        </w:rPr>
        <w:t>(1), 1–20. https://doi.org/10.34010/jika.v11i1.5717</w:t>
      </w:r>
    </w:p>
    <w:p w14:paraId="06E0AEDE" w14:textId="77777777" w:rsidR="0095062B" w:rsidRPr="0095062B" w:rsidRDefault="0095062B" w:rsidP="0095062B">
      <w:pPr>
        <w:widowControl w:val="0"/>
        <w:autoSpaceDE w:val="0"/>
        <w:autoSpaceDN w:val="0"/>
        <w:adjustRightInd w:val="0"/>
        <w:ind w:left="480" w:hanging="480"/>
        <w:rPr>
          <w:rFonts w:cs="Helvetica"/>
          <w:noProof/>
          <w:szCs w:val="24"/>
        </w:rPr>
      </w:pPr>
      <w:r w:rsidRPr="0095062B">
        <w:rPr>
          <w:rFonts w:cs="Helvetica"/>
          <w:noProof/>
          <w:szCs w:val="24"/>
        </w:rPr>
        <w:t xml:space="preserve">Moradi, J., Valipour, H., &amp; Dowran, A. (2013). Asymmetric information and the role of accounting in emerging markets evidences from TSE. </w:t>
      </w:r>
      <w:r w:rsidRPr="0095062B">
        <w:rPr>
          <w:rFonts w:cs="Helvetica"/>
          <w:i/>
          <w:iCs/>
          <w:noProof/>
          <w:szCs w:val="24"/>
        </w:rPr>
        <w:t>Research Journal of Applied Sciences, Engineering and Technology</w:t>
      </w:r>
      <w:r w:rsidRPr="0095062B">
        <w:rPr>
          <w:rFonts w:cs="Helvetica"/>
          <w:noProof/>
          <w:szCs w:val="24"/>
        </w:rPr>
        <w:t xml:space="preserve">, </w:t>
      </w:r>
      <w:r w:rsidRPr="0095062B">
        <w:rPr>
          <w:rFonts w:cs="Helvetica"/>
          <w:i/>
          <w:iCs/>
          <w:noProof/>
          <w:szCs w:val="24"/>
        </w:rPr>
        <w:t>5</w:t>
      </w:r>
      <w:r w:rsidRPr="0095062B">
        <w:rPr>
          <w:rFonts w:cs="Helvetica"/>
          <w:noProof/>
          <w:szCs w:val="24"/>
        </w:rPr>
        <w:t>(4), 1134–1141. https://doi.org/10.19026/rjaset.5.4827</w:t>
      </w:r>
    </w:p>
    <w:p w14:paraId="74A131A5" w14:textId="77777777" w:rsidR="0095062B" w:rsidRPr="0095062B" w:rsidRDefault="0095062B" w:rsidP="0095062B">
      <w:pPr>
        <w:widowControl w:val="0"/>
        <w:autoSpaceDE w:val="0"/>
        <w:autoSpaceDN w:val="0"/>
        <w:adjustRightInd w:val="0"/>
        <w:ind w:left="480" w:hanging="480"/>
        <w:rPr>
          <w:rFonts w:cs="Helvetica"/>
          <w:noProof/>
          <w:szCs w:val="24"/>
        </w:rPr>
      </w:pPr>
      <w:r w:rsidRPr="0095062B">
        <w:rPr>
          <w:rFonts w:cs="Helvetica"/>
          <w:noProof/>
          <w:szCs w:val="24"/>
        </w:rPr>
        <w:t xml:space="preserve">Murtadho, M., Ratnawati, T., &amp; Pristiana, U. (2024). Dividend Policy To Improve Firm Value, Financial Sustainability Moderating Variable. </w:t>
      </w:r>
      <w:r w:rsidRPr="0095062B">
        <w:rPr>
          <w:rFonts w:cs="Helvetica"/>
          <w:i/>
          <w:iCs/>
          <w:noProof/>
          <w:szCs w:val="24"/>
        </w:rPr>
        <w:t>Financial and Credit Activity: Problems of Theory and Practice</w:t>
      </w:r>
      <w:r w:rsidRPr="0095062B">
        <w:rPr>
          <w:rFonts w:cs="Helvetica"/>
          <w:noProof/>
          <w:szCs w:val="24"/>
        </w:rPr>
        <w:t xml:space="preserve">, </w:t>
      </w:r>
      <w:r w:rsidRPr="0095062B">
        <w:rPr>
          <w:rFonts w:cs="Helvetica"/>
          <w:i/>
          <w:iCs/>
          <w:noProof/>
          <w:szCs w:val="24"/>
        </w:rPr>
        <w:t>6</w:t>
      </w:r>
      <w:r w:rsidRPr="0095062B">
        <w:rPr>
          <w:rFonts w:cs="Helvetica"/>
          <w:noProof/>
          <w:szCs w:val="24"/>
        </w:rPr>
        <w:t>(59), 283–292. https://doi.org/10.55643/fcaptp.6.59.2024.4591</w:t>
      </w:r>
    </w:p>
    <w:p w14:paraId="66FA6D37" w14:textId="77777777" w:rsidR="0095062B" w:rsidRPr="0095062B" w:rsidRDefault="0095062B" w:rsidP="0095062B">
      <w:pPr>
        <w:widowControl w:val="0"/>
        <w:autoSpaceDE w:val="0"/>
        <w:autoSpaceDN w:val="0"/>
        <w:adjustRightInd w:val="0"/>
        <w:ind w:left="480" w:hanging="480"/>
        <w:rPr>
          <w:rFonts w:cs="Helvetica"/>
          <w:noProof/>
          <w:szCs w:val="24"/>
        </w:rPr>
      </w:pPr>
      <w:r w:rsidRPr="0095062B">
        <w:rPr>
          <w:rFonts w:cs="Helvetica"/>
          <w:noProof/>
          <w:szCs w:val="24"/>
        </w:rPr>
        <w:t xml:space="preserve">Nair, S. S., &amp; Prem, S. S. (2020). </w:t>
      </w:r>
      <w:r w:rsidRPr="0095062B">
        <w:rPr>
          <w:rFonts w:cs="Helvetica"/>
          <w:i/>
          <w:iCs/>
          <w:noProof/>
          <w:szCs w:val="24"/>
        </w:rPr>
        <w:t>A Framework for Mixed-method</w:t>
      </w:r>
      <w:r w:rsidRPr="0095062B">
        <w:rPr>
          <w:rFonts w:cs="Helvetica"/>
          <w:noProof/>
          <w:szCs w:val="24"/>
        </w:rPr>
        <w:t>. 45–53.</w:t>
      </w:r>
    </w:p>
    <w:p w14:paraId="303CD4F0" w14:textId="77777777" w:rsidR="0095062B" w:rsidRPr="0095062B" w:rsidRDefault="0095062B" w:rsidP="0095062B">
      <w:pPr>
        <w:widowControl w:val="0"/>
        <w:autoSpaceDE w:val="0"/>
        <w:autoSpaceDN w:val="0"/>
        <w:adjustRightInd w:val="0"/>
        <w:ind w:left="480" w:hanging="480"/>
        <w:rPr>
          <w:rFonts w:cs="Helvetica"/>
          <w:noProof/>
          <w:szCs w:val="24"/>
        </w:rPr>
      </w:pPr>
      <w:r w:rsidRPr="0095062B">
        <w:rPr>
          <w:rFonts w:cs="Helvetica"/>
          <w:noProof/>
          <w:szCs w:val="24"/>
        </w:rPr>
        <w:t xml:space="preserve">Nguyen, P. C., Schinckus, C., Nguyen, B. Q., &amp; Tran, D. L. T. (2022). International portfolio investment: does the uncertainty matter? </w:t>
      </w:r>
      <w:r w:rsidRPr="0095062B">
        <w:rPr>
          <w:rFonts w:cs="Helvetica"/>
          <w:i/>
          <w:iCs/>
          <w:noProof/>
          <w:szCs w:val="24"/>
        </w:rPr>
        <w:t>Journal of Economics and Development</w:t>
      </w:r>
      <w:r w:rsidRPr="0095062B">
        <w:rPr>
          <w:rFonts w:cs="Helvetica"/>
          <w:noProof/>
          <w:szCs w:val="24"/>
        </w:rPr>
        <w:t xml:space="preserve">, </w:t>
      </w:r>
      <w:r w:rsidRPr="0095062B">
        <w:rPr>
          <w:rFonts w:cs="Helvetica"/>
          <w:i/>
          <w:iCs/>
          <w:noProof/>
          <w:szCs w:val="24"/>
        </w:rPr>
        <w:t>24</w:t>
      </w:r>
      <w:r w:rsidRPr="0095062B">
        <w:rPr>
          <w:rFonts w:cs="Helvetica"/>
          <w:noProof/>
          <w:szCs w:val="24"/>
        </w:rPr>
        <w:t>(4), 309–328. https://doi.org/10.1108/JED-05-2022-0078</w:t>
      </w:r>
    </w:p>
    <w:p w14:paraId="28C1BBA1" w14:textId="77777777" w:rsidR="0095062B" w:rsidRPr="0095062B" w:rsidRDefault="0095062B" w:rsidP="0095062B">
      <w:pPr>
        <w:widowControl w:val="0"/>
        <w:autoSpaceDE w:val="0"/>
        <w:autoSpaceDN w:val="0"/>
        <w:adjustRightInd w:val="0"/>
        <w:ind w:left="480" w:hanging="480"/>
        <w:rPr>
          <w:rFonts w:cs="Helvetica"/>
          <w:noProof/>
          <w:szCs w:val="24"/>
        </w:rPr>
      </w:pPr>
      <w:r w:rsidRPr="0095062B">
        <w:rPr>
          <w:rFonts w:cs="Helvetica"/>
          <w:noProof/>
          <w:szCs w:val="24"/>
        </w:rPr>
        <w:t xml:space="preserve">Nguyen, Y. H. T. (2025). Analysis of Determinants of Dividend Policy in Vietnam and the US Markets. </w:t>
      </w:r>
      <w:r w:rsidRPr="0095062B">
        <w:rPr>
          <w:rFonts w:cs="Helvetica"/>
          <w:i/>
          <w:iCs/>
          <w:noProof/>
          <w:szCs w:val="24"/>
        </w:rPr>
        <w:t>European Journal of Business and Management Research</w:t>
      </w:r>
      <w:r w:rsidRPr="0095062B">
        <w:rPr>
          <w:rFonts w:cs="Helvetica"/>
          <w:noProof/>
          <w:szCs w:val="24"/>
        </w:rPr>
        <w:t xml:space="preserve">, </w:t>
      </w:r>
      <w:r w:rsidRPr="0095062B">
        <w:rPr>
          <w:rFonts w:cs="Helvetica"/>
          <w:i/>
          <w:iCs/>
          <w:noProof/>
          <w:szCs w:val="24"/>
        </w:rPr>
        <w:t>10</w:t>
      </w:r>
      <w:r w:rsidRPr="0095062B">
        <w:rPr>
          <w:rFonts w:cs="Helvetica"/>
          <w:noProof/>
          <w:szCs w:val="24"/>
        </w:rPr>
        <w:t>(1), 56–68. https://doi.org/10.24018/ejbmr.2025.10.1.2534</w:t>
      </w:r>
    </w:p>
    <w:p w14:paraId="2B47CB0F" w14:textId="77777777" w:rsidR="0095062B" w:rsidRPr="0095062B" w:rsidRDefault="0095062B" w:rsidP="0095062B">
      <w:pPr>
        <w:widowControl w:val="0"/>
        <w:autoSpaceDE w:val="0"/>
        <w:autoSpaceDN w:val="0"/>
        <w:adjustRightInd w:val="0"/>
        <w:ind w:left="480" w:hanging="480"/>
        <w:rPr>
          <w:rFonts w:cs="Helvetica"/>
          <w:noProof/>
          <w:szCs w:val="24"/>
        </w:rPr>
      </w:pPr>
      <w:r w:rsidRPr="0095062B">
        <w:rPr>
          <w:rFonts w:cs="Helvetica"/>
          <w:noProof/>
          <w:szCs w:val="24"/>
        </w:rPr>
        <w:t xml:space="preserve">Njoku, O. E., &amp; Lee, Y. (2024). Revisiting the Effect of Dividend Policy on Firm Performance and Value: Empirical Evidence from the Korean Market. </w:t>
      </w:r>
      <w:r w:rsidRPr="0095062B">
        <w:rPr>
          <w:rFonts w:cs="Helvetica"/>
          <w:i/>
          <w:iCs/>
          <w:noProof/>
          <w:szCs w:val="24"/>
        </w:rPr>
        <w:t>International Journal of Financial Studies</w:t>
      </w:r>
      <w:r w:rsidRPr="0095062B">
        <w:rPr>
          <w:rFonts w:cs="Helvetica"/>
          <w:noProof/>
          <w:szCs w:val="24"/>
        </w:rPr>
        <w:t xml:space="preserve">, </w:t>
      </w:r>
      <w:r w:rsidRPr="0095062B">
        <w:rPr>
          <w:rFonts w:cs="Helvetica"/>
          <w:i/>
          <w:iCs/>
          <w:noProof/>
          <w:szCs w:val="24"/>
        </w:rPr>
        <w:t>12</w:t>
      </w:r>
      <w:r w:rsidRPr="0095062B">
        <w:rPr>
          <w:rFonts w:cs="Helvetica"/>
          <w:noProof/>
          <w:szCs w:val="24"/>
        </w:rPr>
        <w:t>(1). https://doi.org/10.3390/ijfs12010022</w:t>
      </w:r>
    </w:p>
    <w:p w14:paraId="7C45C16F" w14:textId="77777777" w:rsidR="0095062B" w:rsidRPr="0095062B" w:rsidRDefault="0095062B" w:rsidP="0095062B">
      <w:pPr>
        <w:widowControl w:val="0"/>
        <w:autoSpaceDE w:val="0"/>
        <w:autoSpaceDN w:val="0"/>
        <w:adjustRightInd w:val="0"/>
        <w:ind w:left="480" w:hanging="480"/>
        <w:rPr>
          <w:rFonts w:cs="Helvetica"/>
          <w:noProof/>
          <w:szCs w:val="24"/>
        </w:rPr>
      </w:pPr>
      <w:r w:rsidRPr="0095062B">
        <w:rPr>
          <w:rFonts w:cs="Helvetica"/>
          <w:noProof/>
          <w:szCs w:val="24"/>
        </w:rPr>
        <w:t xml:space="preserve">Popa, D. N., Bogdan, V., Diana, C., Popa, S., &amp; Badulescu, A. (2022). </w:t>
      </w:r>
      <w:r w:rsidRPr="0095062B">
        <w:rPr>
          <w:rFonts w:cs="Helvetica"/>
          <w:i/>
          <w:iCs/>
          <w:noProof/>
          <w:szCs w:val="24"/>
        </w:rPr>
        <w:t>Performance mapping in two-step cluster analysis through ESEG disclosures and EPS.</w:t>
      </w:r>
      <w:r w:rsidRPr="0095062B">
        <w:rPr>
          <w:rFonts w:cs="Helvetica"/>
          <w:noProof/>
          <w:szCs w:val="24"/>
        </w:rPr>
        <w:t xml:space="preserve"> </w:t>
      </w:r>
      <w:r w:rsidRPr="0095062B">
        <w:rPr>
          <w:rFonts w:cs="Helvetica"/>
          <w:i/>
          <w:iCs/>
          <w:noProof/>
          <w:szCs w:val="24"/>
        </w:rPr>
        <w:t>September</w:t>
      </w:r>
      <w:r w:rsidRPr="0095062B">
        <w:rPr>
          <w:rFonts w:cs="Helvetica"/>
          <w:noProof/>
          <w:szCs w:val="24"/>
        </w:rPr>
        <w:t>. https://doi.org/10.1108/K-08-2021-0672</w:t>
      </w:r>
    </w:p>
    <w:p w14:paraId="1B1AA800" w14:textId="77777777" w:rsidR="0095062B" w:rsidRPr="0095062B" w:rsidRDefault="0095062B" w:rsidP="0095062B">
      <w:pPr>
        <w:widowControl w:val="0"/>
        <w:autoSpaceDE w:val="0"/>
        <w:autoSpaceDN w:val="0"/>
        <w:adjustRightInd w:val="0"/>
        <w:ind w:left="480" w:hanging="480"/>
        <w:rPr>
          <w:rFonts w:cs="Helvetica"/>
          <w:noProof/>
          <w:szCs w:val="24"/>
        </w:rPr>
      </w:pPr>
      <w:r w:rsidRPr="0095062B">
        <w:rPr>
          <w:rFonts w:cs="Helvetica"/>
          <w:noProof/>
          <w:szCs w:val="24"/>
        </w:rPr>
        <w:t xml:space="preserve">Rabah, B., &amp; Shammout, T. (2020). </w:t>
      </w:r>
      <w:r w:rsidRPr="0095062B">
        <w:rPr>
          <w:rFonts w:cs="Helvetica"/>
          <w:i/>
          <w:iCs/>
          <w:noProof/>
          <w:szCs w:val="24"/>
        </w:rPr>
        <w:t>The Impact of Stock Characteristics on Its Market Price in Jordanian Commercial Banks</w:t>
      </w:r>
      <w:r w:rsidRPr="0095062B">
        <w:rPr>
          <w:rFonts w:cs="Helvetica"/>
          <w:noProof/>
          <w:szCs w:val="24"/>
        </w:rPr>
        <w:t xml:space="preserve">. </w:t>
      </w:r>
      <w:r w:rsidRPr="0095062B">
        <w:rPr>
          <w:rFonts w:cs="Helvetica"/>
          <w:i/>
          <w:iCs/>
          <w:noProof/>
          <w:szCs w:val="24"/>
        </w:rPr>
        <w:t>14</w:t>
      </w:r>
      <w:r w:rsidRPr="0095062B">
        <w:rPr>
          <w:rFonts w:cs="Helvetica"/>
          <w:noProof/>
          <w:szCs w:val="24"/>
        </w:rPr>
        <w:t>(3), 45–55. https://doi.org/10.5539/mas.v14n3p45</w:t>
      </w:r>
    </w:p>
    <w:p w14:paraId="68ABD865" w14:textId="77777777" w:rsidR="0095062B" w:rsidRPr="0095062B" w:rsidRDefault="0095062B" w:rsidP="0095062B">
      <w:pPr>
        <w:widowControl w:val="0"/>
        <w:autoSpaceDE w:val="0"/>
        <w:autoSpaceDN w:val="0"/>
        <w:adjustRightInd w:val="0"/>
        <w:ind w:left="480" w:hanging="480"/>
        <w:rPr>
          <w:rFonts w:cs="Helvetica"/>
          <w:noProof/>
          <w:szCs w:val="24"/>
        </w:rPr>
      </w:pPr>
      <w:r w:rsidRPr="0095062B">
        <w:rPr>
          <w:rFonts w:cs="Helvetica"/>
          <w:noProof/>
          <w:szCs w:val="24"/>
        </w:rPr>
        <w:t xml:space="preserve">Rukmana, E., Hendri, E., &amp; Rismansyah, R. (2020). The Effect of Profitability and Company Size on Corporate Social Responsibility (CSR) Disclosure in Mining Companies on the Indonesia Stock Exchange. </w:t>
      </w:r>
      <w:r w:rsidRPr="0095062B">
        <w:rPr>
          <w:rFonts w:cs="Helvetica"/>
          <w:i/>
          <w:iCs/>
          <w:noProof/>
          <w:szCs w:val="24"/>
        </w:rPr>
        <w:t>Journal of Media Accounting (Mediation),</w:t>
      </w:r>
      <w:r w:rsidRPr="0095062B">
        <w:rPr>
          <w:rFonts w:cs="Helvetica"/>
          <w:noProof/>
          <w:szCs w:val="24"/>
        </w:rPr>
        <w:t xml:space="preserve"> </w:t>
      </w:r>
      <w:r w:rsidRPr="0095062B">
        <w:rPr>
          <w:rFonts w:cs="Helvetica"/>
          <w:i/>
          <w:iCs/>
          <w:noProof/>
          <w:szCs w:val="24"/>
        </w:rPr>
        <w:t>3</w:t>
      </w:r>
      <w:r w:rsidRPr="0095062B">
        <w:rPr>
          <w:rFonts w:cs="Helvetica"/>
          <w:noProof/>
          <w:szCs w:val="24"/>
        </w:rPr>
        <w:t>(1), 1–12. https://doi.org/10.31851/jmediasi.v3i1.5216</w:t>
      </w:r>
    </w:p>
    <w:p w14:paraId="23999713" w14:textId="77777777" w:rsidR="0095062B" w:rsidRPr="0095062B" w:rsidRDefault="0095062B" w:rsidP="0095062B">
      <w:pPr>
        <w:widowControl w:val="0"/>
        <w:autoSpaceDE w:val="0"/>
        <w:autoSpaceDN w:val="0"/>
        <w:adjustRightInd w:val="0"/>
        <w:ind w:left="480" w:hanging="480"/>
        <w:rPr>
          <w:rFonts w:cs="Helvetica"/>
          <w:noProof/>
          <w:szCs w:val="24"/>
        </w:rPr>
      </w:pPr>
      <w:r w:rsidRPr="0095062B">
        <w:rPr>
          <w:rFonts w:cs="Helvetica"/>
          <w:noProof/>
          <w:szCs w:val="24"/>
        </w:rPr>
        <w:t xml:space="preserve">Sawitri, N. N., &amp; Eprianto, I. (2025). Determining Sustainability Growth: Analysis of Dividend Policy, Capital Structure, Liquidity, and Financial Statement Digitalization Mediated by Profitability. </w:t>
      </w:r>
      <w:r w:rsidRPr="0095062B">
        <w:rPr>
          <w:rFonts w:cs="Helvetica"/>
          <w:i/>
          <w:iCs/>
          <w:noProof/>
          <w:szCs w:val="24"/>
        </w:rPr>
        <w:t>Greenation International Journal of Economics and Accounting</w:t>
      </w:r>
      <w:r w:rsidRPr="0095062B">
        <w:rPr>
          <w:rFonts w:cs="Helvetica"/>
          <w:noProof/>
          <w:szCs w:val="24"/>
        </w:rPr>
        <w:t xml:space="preserve">, </w:t>
      </w:r>
      <w:r w:rsidRPr="0095062B">
        <w:rPr>
          <w:rFonts w:cs="Helvetica"/>
          <w:i/>
          <w:iCs/>
          <w:noProof/>
          <w:szCs w:val="24"/>
        </w:rPr>
        <w:t>3</w:t>
      </w:r>
      <w:r w:rsidRPr="0095062B">
        <w:rPr>
          <w:rFonts w:cs="Helvetica"/>
          <w:noProof/>
          <w:szCs w:val="24"/>
        </w:rPr>
        <w:t>(2), 217–236. https://doi.org/https://doi.org/10.38035/gijea.v3i2</w:t>
      </w:r>
    </w:p>
    <w:p w14:paraId="56457B75" w14:textId="77777777" w:rsidR="0095062B" w:rsidRPr="0095062B" w:rsidRDefault="0095062B" w:rsidP="0095062B">
      <w:pPr>
        <w:widowControl w:val="0"/>
        <w:autoSpaceDE w:val="0"/>
        <w:autoSpaceDN w:val="0"/>
        <w:adjustRightInd w:val="0"/>
        <w:ind w:left="480" w:hanging="480"/>
        <w:rPr>
          <w:rFonts w:cs="Helvetica"/>
          <w:noProof/>
          <w:szCs w:val="24"/>
        </w:rPr>
      </w:pPr>
      <w:r w:rsidRPr="0095062B">
        <w:rPr>
          <w:rFonts w:cs="Helvetica"/>
          <w:noProof/>
          <w:szCs w:val="24"/>
        </w:rPr>
        <w:t xml:space="preserve">Sekaran, U., &amp; Bougie, R. (2013). Research Methods for Business: A Skill-Building Approach. </w:t>
      </w:r>
      <w:r w:rsidRPr="0095062B">
        <w:rPr>
          <w:rFonts w:cs="Helvetica"/>
          <w:i/>
          <w:iCs/>
          <w:noProof/>
          <w:szCs w:val="24"/>
        </w:rPr>
        <w:t>Leadership &amp; Organizational Development Journal</w:t>
      </w:r>
      <w:r w:rsidRPr="0095062B">
        <w:rPr>
          <w:rFonts w:cs="Helvetica"/>
          <w:noProof/>
          <w:szCs w:val="24"/>
        </w:rPr>
        <w:t xml:space="preserve">, </w:t>
      </w:r>
      <w:r w:rsidRPr="0095062B">
        <w:rPr>
          <w:rFonts w:cs="Helvetica"/>
          <w:i/>
          <w:iCs/>
          <w:noProof/>
          <w:szCs w:val="24"/>
        </w:rPr>
        <w:t>34</w:t>
      </w:r>
      <w:r w:rsidRPr="0095062B">
        <w:rPr>
          <w:rFonts w:cs="Helvetica"/>
          <w:noProof/>
          <w:szCs w:val="24"/>
        </w:rPr>
        <w:t>(7), 700–701. https://doi.org/10.1108/lodj-06-2013-0079</w:t>
      </w:r>
    </w:p>
    <w:p w14:paraId="429E2340" w14:textId="77777777" w:rsidR="0095062B" w:rsidRPr="0095062B" w:rsidRDefault="0095062B" w:rsidP="0095062B">
      <w:pPr>
        <w:widowControl w:val="0"/>
        <w:autoSpaceDE w:val="0"/>
        <w:autoSpaceDN w:val="0"/>
        <w:adjustRightInd w:val="0"/>
        <w:ind w:left="480" w:hanging="480"/>
        <w:rPr>
          <w:rFonts w:cs="Helvetica"/>
          <w:noProof/>
          <w:szCs w:val="24"/>
        </w:rPr>
      </w:pPr>
      <w:r w:rsidRPr="0095062B">
        <w:rPr>
          <w:rFonts w:cs="Helvetica"/>
          <w:noProof/>
          <w:szCs w:val="24"/>
        </w:rPr>
        <w:t xml:space="preserve">Spence, M. (1973). Job Market Signaling. </w:t>
      </w:r>
      <w:r w:rsidRPr="0095062B">
        <w:rPr>
          <w:rFonts w:cs="Helvetica"/>
          <w:i/>
          <w:iCs/>
          <w:noProof/>
          <w:szCs w:val="24"/>
        </w:rPr>
        <w:t>The Quarterly Journal of Economics</w:t>
      </w:r>
      <w:r w:rsidRPr="0095062B">
        <w:rPr>
          <w:rFonts w:cs="Helvetica"/>
          <w:noProof/>
          <w:szCs w:val="24"/>
        </w:rPr>
        <w:t xml:space="preserve">, </w:t>
      </w:r>
      <w:r w:rsidRPr="0095062B">
        <w:rPr>
          <w:rFonts w:cs="Helvetica"/>
          <w:i/>
          <w:iCs/>
          <w:noProof/>
          <w:szCs w:val="24"/>
        </w:rPr>
        <w:t>87</w:t>
      </w:r>
      <w:r w:rsidRPr="0095062B">
        <w:rPr>
          <w:rFonts w:cs="Helvetica"/>
          <w:noProof/>
          <w:szCs w:val="24"/>
        </w:rPr>
        <w:t>(3), 355–374. http://www.jstor.org/stable/1882010</w:t>
      </w:r>
    </w:p>
    <w:p w14:paraId="47BB2FBB" w14:textId="77777777" w:rsidR="0095062B" w:rsidRPr="0095062B" w:rsidRDefault="0095062B" w:rsidP="0095062B">
      <w:pPr>
        <w:widowControl w:val="0"/>
        <w:autoSpaceDE w:val="0"/>
        <w:autoSpaceDN w:val="0"/>
        <w:adjustRightInd w:val="0"/>
        <w:ind w:left="480" w:hanging="480"/>
        <w:rPr>
          <w:rFonts w:cs="Helvetica"/>
          <w:noProof/>
          <w:szCs w:val="24"/>
        </w:rPr>
      </w:pPr>
      <w:r w:rsidRPr="0095062B">
        <w:rPr>
          <w:rFonts w:cs="Helvetica"/>
          <w:noProof/>
          <w:szCs w:val="24"/>
        </w:rPr>
        <w:t xml:space="preserve">Tinungki, G. M., Hartono, P. G., Robiyanto, R., Hartono, A. B., Jakaria, J., &amp; Simanjuntak, L. R. (2022). </w:t>
      </w:r>
      <w:r w:rsidRPr="0095062B">
        <w:rPr>
          <w:rFonts w:cs="Helvetica"/>
          <w:i/>
          <w:iCs/>
          <w:noProof/>
          <w:szCs w:val="24"/>
        </w:rPr>
        <w:t>The COVID-19 Pandemic Impact on Corporate Dividend Policy of Sustainable and Responsible Investment in Indonesia : Static and Dynamic Panel Data Model Comparison</w:t>
      </w:r>
      <w:r w:rsidRPr="0095062B">
        <w:rPr>
          <w:rFonts w:cs="Helvetica"/>
          <w:noProof/>
          <w:szCs w:val="24"/>
        </w:rPr>
        <w:t>.</w:t>
      </w:r>
    </w:p>
    <w:p w14:paraId="7322FED5" w14:textId="77777777" w:rsidR="0095062B" w:rsidRPr="0095062B" w:rsidRDefault="0095062B" w:rsidP="0095062B">
      <w:pPr>
        <w:widowControl w:val="0"/>
        <w:autoSpaceDE w:val="0"/>
        <w:autoSpaceDN w:val="0"/>
        <w:adjustRightInd w:val="0"/>
        <w:ind w:left="480" w:hanging="480"/>
        <w:rPr>
          <w:rFonts w:cs="Helvetica"/>
          <w:noProof/>
          <w:szCs w:val="24"/>
        </w:rPr>
      </w:pPr>
      <w:r w:rsidRPr="0095062B">
        <w:rPr>
          <w:rFonts w:cs="Helvetica"/>
          <w:noProof/>
          <w:szCs w:val="24"/>
        </w:rPr>
        <w:t xml:space="preserve">Trong, N. N. (2025). </w:t>
      </w:r>
      <w:r w:rsidRPr="0095062B">
        <w:rPr>
          <w:rFonts w:cs="Helvetica"/>
          <w:i/>
          <w:iCs/>
          <w:noProof/>
          <w:szCs w:val="24"/>
        </w:rPr>
        <w:t xml:space="preserve">Firm performance : the moderation impact of debt and dividend policies </w:t>
      </w:r>
      <w:r w:rsidRPr="0095062B">
        <w:rPr>
          <w:rFonts w:cs="Helvetica"/>
          <w:i/>
          <w:iCs/>
          <w:noProof/>
          <w:szCs w:val="24"/>
        </w:rPr>
        <w:lastRenderedPageBreak/>
        <w:t>on overinvestment</w:t>
      </w:r>
      <w:r w:rsidRPr="0095062B">
        <w:rPr>
          <w:rFonts w:cs="Helvetica"/>
          <w:noProof/>
          <w:szCs w:val="24"/>
        </w:rPr>
        <w:t xml:space="preserve">. </w:t>
      </w:r>
      <w:r w:rsidRPr="0095062B">
        <w:rPr>
          <w:rFonts w:cs="Helvetica"/>
          <w:i/>
          <w:iCs/>
          <w:noProof/>
          <w:szCs w:val="24"/>
        </w:rPr>
        <w:t>28</w:t>
      </w:r>
      <w:r w:rsidRPr="0095062B">
        <w:rPr>
          <w:rFonts w:cs="Helvetica"/>
          <w:noProof/>
          <w:szCs w:val="24"/>
        </w:rPr>
        <w:t>(1), 47–63. https://doi.org/10.1108/JABES-12-2019-0128</w:t>
      </w:r>
    </w:p>
    <w:p w14:paraId="209732C8" w14:textId="77777777" w:rsidR="0095062B" w:rsidRPr="0095062B" w:rsidRDefault="0095062B" w:rsidP="0095062B">
      <w:pPr>
        <w:widowControl w:val="0"/>
        <w:autoSpaceDE w:val="0"/>
        <w:autoSpaceDN w:val="0"/>
        <w:adjustRightInd w:val="0"/>
        <w:ind w:left="480" w:hanging="480"/>
        <w:rPr>
          <w:rFonts w:cs="Helvetica"/>
          <w:noProof/>
          <w:szCs w:val="24"/>
        </w:rPr>
      </w:pPr>
      <w:r w:rsidRPr="0095062B">
        <w:rPr>
          <w:rFonts w:cs="Helvetica"/>
          <w:noProof/>
          <w:szCs w:val="24"/>
        </w:rPr>
        <w:t xml:space="preserve">Valencia, L. R. (2025). Financial Performance and Corporate Governance on Firm Value: Evidence from Spain. </w:t>
      </w:r>
      <w:r w:rsidRPr="0095062B">
        <w:rPr>
          <w:rFonts w:cs="Helvetica"/>
          <w:i/>
          <w:iCs/>
          <w:noProof/>
          <w:szCs w:val="24"/>
        </w:rPr>
        <w:t>International Journal of Financial Studies</w:t>
      </w:r>
      <w:r w:rsidRPr="0095062B">
        <w:rPr>
          <w:rFonts w:cs="Helvetica"/>
          <w:noProof/>
          <w:szCs w:val="24"/>
        </w:rPr>
        <w:t xml:space="preserve">, </w:t>
      </w:r>
      <w:r w:rsidRPr="0095062B">
        <w:rPr>
          <w:rFonts w:cs="Helvetica"/>
          <w:i/>
          <w:iCs/>
          <w:noProof/>
          <w:szCs w:val="24"/>
        </w:rPr>
        <w:t>13</w:t>
      </w:r>
      <w:r w:rsidRPr="0095062B">
        <w:rPr>
          <w:rFonts w:cs="Helvetica"/>
          <w:noProof/>
          <w:szCs w:val="24"/>
        </w:rPr>
        <w:t>(3), 123. https://doi.org/10.3390/ijfs13030123</w:t>
      </w:r>
    </w:p>
    <w:p w14:paraId="6383F0CE" w14:textId="77777777" w:rsidR="0095062B" w:rsidRPr="0095062B" w:rsidRDefault="0095062B" w:rsidP="0095062B">
      <w:pPr>
        <w:widowControl w:val="0"/>
        <w:autoSpaceDE w:val="0"/>
        <w:autoSpaceDN w:val="0"/>
        <w:adjustRightInd w:val="0"/>
        <w:ind w:left="480" w:hanging="480"/>
        <w:rPr>
          <w:rFonts w:cs="Helvetica"/>
          <w:noProof/>
        </w:rPr>
      </w:pPr>
      <w:r w:rsidRPr="0095062B">
        <w:rPr>
          <w:rFonts w:cs="Helvetica"/>
          <w:noProof/>
          <w:szCs w:val="24"/>
        </w:rPr>
        <w:t xml:space="preserve">Zare, R., Moradi, J., &amp; Valipour, H. (2013). Dividend Policy and Information Asymmetry from the Signaling Perspective. </w:t>
      </w:r>
      <w:r w:rsidRPr="0095062B">
        <w:rPr>
          <w:rFonts w:cs="Helvetica"/>
          <w:i/>
          <w:iCs/>
          <w:noProof/>
          <w:szCs w:val="24"/>
        </w:rPr>
        <w:t>Asian Economic and Financial Review</w:t>
      </w:r>
      <w:r w:rsidRPr="0095062B">
        <w:rPr>
          <w:rFonts w:cs="Helvetica"/>
          <w:noProof/>
          <w:szCs w:val="24"/>
        </w:rPr>
        <w:t xml:space="preserve">, </w:t>
      </w:r>
      <w:r w:rsidRPr="0095062B">
        <w:rPr>
          <w:rFonts w:cs="Helvetica"/>
          <w:i/>
          <w:iCs/>
          <w:noProof/>
          <w:szCs w:val="24"/>
        </w:rPr>
        <w:t>3</w:t>
      </w:r>
      <w:r w:rsidRPr="0095062B">
        <w:rPr>
          <w:rFonts w:cs="Helvetica"/>
          <w:noProof/>
          <w:szCs w:val="24"/>
        </w:rPr>
        <w:t>(4), 445–463.</w:t>
      </w:r>
    </w:p>
    <w:p w14:paraId="57B9F9FB" w14:textId="3A53C2E0" w:rsidR="0052796A" w:rsidRDefault="00D77A87" w:rsidP="00D77A87">
      <w:pPr>
        <w:jc w:val="both"/>
      </w:pPr>
      <w:r>
        <w:fldChar w:fldCharType="end"/>
      </w:r>
    </w:p>
    <w:sectPr w:rsidR="0052796A" w:rsidSect="0095062B">
      <w:headerReference w:type="even" r:id="rId10"/>
      <w:headerReference w:type="default" r:id="rId11"/>
      <w:footerReference w:type="default" r:id="rId12"/>
      <w:headerReference w:type="first" r:id="rId13"/>
      <w:type w:val="continuous"/>
      <w:pgSz w:w="12240" w:h="15840"/>
      <w:pgMar w:top="1440" w:right="2019" w:bottom="2019" w:left="20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8D488" w14:textId="77777777" w:rsidR="0003420F" w:rsidRDefault="0003420F">
      <w:r>
        <w:separator/>
      </w:r>
    </w:p>
  </w:endnote>
  <w:endnote w:type="continuationSeparator" w:id="0">
    <w:p w14:paraId="6AD7C116" w14:textId="77777777" w:rsidR="0003420F" w:rsidRDefault="00034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DDDC9" w14:textId="77777777" w:rsidR="00102E5D" w:rsidRPr="00C37E61" w:rsidRDefault="00102E5D" w:rsidP="00102E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DFBDC" w14:textId="77777777" w:rsidR="0003420F" w:rsidRDefault="0003420F">
      <w:r>
        <w:separator/>
      </w:r>
    </w:p>
  </w:footnote>
  <w:footnote w:type="continuationSeparator" w:id="0">
    <w:p w14:paraId="6015393D" w14:textId="77777777" w:rsidR="0003420F" w:rsidRDefault="000342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03FA6" w14:textId="77777777" w:rsidR="00102E5D" w:rsidRDefault="0003420F">
    <w:pPr>
      <w:pStyle w:val="Header"/>
    </w:pPr>
    <w:r>
      <w:rPr>
        <w:noProof/>
      </w:rPr>
      <w:pict w14:anchorId="1CBEB8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636251" o:spid="_x0000_s2050" type="#_x0000_t136" style="position:absolute;margin-left:0;margin-top:0;width:520.65pt;height:57.85pt;rotation:315;z-index:-25165926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81CBA" w14:textId="77777777" w:rsidR="00102E5D" w:rsidRDefault="0003420F">
    <w:pPr>
      <w:pStyle w:val="Header"/>
    </w:pPr>
    <w:r>
      <w:rPr>
        <w:noProof/>
      </w:rPr>
      <w:pict w14:anchorId="5BCA05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636252" o:spid="_x0000_s2051"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A9288" w14:textId="77777777" w:rsidR="00102E5D" w:rsidRPr="00296529" w:rsidRDefault="0003420F" w:rsidP="00102E5D">
    <w:pPr>
      <w:ind w:left="2160"/>
      <w:jc w:val="center"/>
      <w:rPr>
        <w:rFonts w:ascii="Times New Roman" w:eastAsia="Calibri" w:hAnsi="Times New Roman"/>
        <w:i/>
        <w:sz w:val="18"/>
        <w:szCs w:val="22"/>
      </w:rPr>
    </w:pPr>
    <w:r>
      <w:rPr>
        <w:noProof/>
      </w:rPr>
      <w:pict w14:anchorId="704723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636250" o:spid="_x0000_s2049" type="#_x0000_t136" style="position:absolute;left:0;text-align:left;margin-left:0;margin-top:0;width:520.65pt;height:57.85pt;rotation:315;z-index:-25166131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5E46670" w14:textId="77777777" w:rsidR="00102E5D" w:rsidRPr="00296529" w:rsidRDefault="00102E5D" w:rsidP="00102E5D">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363ABA45" w14:textId="77777777" w:rsidR="00102E5D" w:rsidRPr="00296529" w:rsidRDefault="00102E5D" w:rsidP="00102E5D">
    <w:pPr>
      <w:jc w:val="center"/>
      <w:rPr>
        <w:rFonts w:ascii="Times New Roman" w:eastAsia="Calibri" w:hAnsi="Times New Roman"/>
        <w:i/>
        <w:sz w:val="18"/>
        <w:szCs w:val="22"/>
      </w:rPr>
    </w:pPr>
    <w:r>
      <w:rPr>
        <w:rFonts w:ascii="Times New Roman" w:eastAsia="Calibri" w:hAnsi="Times New Roman"/>
        <w:i/>
        <w:sz w:val="18"/>
        <w:szCs w:val="22"/>
      </w:rPr>
      <w:t>.</w:t>
    </w:r>
  </w:p>
  <w:p w14:paraId="0608ABE8" w14:textId="77777777" w:rsidR="00102E5D" w:rsidRPr="00296529" w:rsidRDefault="00102E5D" w:rsidP="00102E5D">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 </w:t>
    </w:r>
  </w:p>
  <w:p w14:paraId="15B797A9" w14:textId="77777777" w:rsidR="00102E5D" w:rsidRDefault="00102E5D" w:rsidP="00102E5D">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F41E099" w14:textId="77777777" w:rsidR="00102E5D" w:rsidRDefault="00102E5D" w:rsidP="00102E5D">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D521BE1" w14:textId="77777777" w:rsidR="00102E5D" w:rsidRDefault="00102E5D">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88982" w14:textId="77777777" w:rsidR="00102E5D" w:rsidRDefault="0003420F">
    <w:pPr>
      <w:pStyle w:val="Header"/>
    </w:pPr>
    <w:r>
      <w:rPr>
        <w:noProof/>
      </w:rPr>
      <w:pict w14:anchorId="7424AF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636254" o:spid="_x0000_s2053" type="#_x0000_t136" style="position:absolute;margin-left:0;margin-top:0;width:520.65pt;height:57.85pt;rotation:315;z-index:-25165824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16332" w14:textId="77777777" w:rsidR="00102E5D" w:rsidRDefault="0003420F">
    <w:pPr>
      <w:pStyle w:val="Header"/>
    </w:pPr>
    <w:r>
      <w:rPr>
        <w:noProof/>
      </w:rPr>
      <w:pict w14:anchorId="3E633B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636255" o:spid="_x0000_s2054" type="#_x0000_t136" style="position:absolute;margin-left:0;margin-top:0;width:520.65pt;height:57.85pt;rotation:315;z-index:-25165619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42139" w14:textId="77777777" w:rsidR="00102E5D" w:rsidRDefault="0003420F">
    <w:pPr>
      <w:pStyle w:val="Header"/>
    </w:pPr>
    <w:r>
      <w:rPr>
        <w:noProof/>
      </w:rPr>
      <w:pict w14:anchorId="7FEBD2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636253" o:spid="_x0000_s2052" type="#_x0000_t136" style="position:absolute;margin-left:0;margin-top:0;width:520.65pt;height:57.85pt;rotation:315;z-index:-25166028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A87"/>
    <w:rsid w:val="0003420F"/>
    <w:rsid w:val="000F1111"/>
    <w:rsid w:val="000F2315"/>
    <w:rsid w:val="00102E5D"/>
    <w:rsid w:val="003B6FF5"/>
    <w:rsid w:val="0052796A"/>
    <w:rsid w:val="0055319A"/>
    <w:rsid w:val="00576640"/>
    <w:rsid w:val="00580187"/>
    <w:rsid w:val="006025E6"/>
    <w:rsid w:val="007D0859"/>
    <w:rsid w:val="00847421"/>
    <w:rsid w:val="008A1BF0"/>
    <w:rsid w:val="0095062B"/>
    <w:rsid w:val="009E51B8"/>
    <w:rsid w:val="00A66568"/>
    <w:rsid w:val="00BD1985"/>
    <w:rsid w:val="00D77A87"/>
    <w:rsid w:val="00F67C54"/>
    <w:rsid w:val="00FC2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23FB2EF"/>
  <w15:chartTrackingRefBased/>
  <w15:docId w15:val="{65B02BEA-CB53-4D82-973E-843E4156A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A87"/>
    <w:pPr>
      <w:spacing w:after="0" w:line="240" w:lineRule="auto"/>
    </w:pPr>
    <w:rPr>
      <w:rFonts w:ascii="Helvetica" w:eastAsia="Times New Roman" w:hAnsi="Helvetica" w:cs="Times New Roman"/>
      <w:sz w:val="20"/>
      <w:szCs w:val="20"/>
    </w:rPr>
  </w:style>
  <w:style w:type="paragraph" w:styleId="Heading3">
    <w:name w:val="heading 3"/>
    <w:basedOn w:val="Normal"/>
    <w:next w:val="Normal"/>
    <w:link w:val="Heading3Char"/>
    <w:unhideWhenUsed/>
    <w:qFormat/>
    <w:rsid w:val="00D77A87"/>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nhideWhenUsed/>
    <w:qFormat/>
    <w:rsid w:val="00D77A8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77A87"/>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rsid w:val="00D77A87"/>
    <w:rPr>
      <w:rFonts w:asciiTheme="majorHAnsi" w:eastAsiaTheme="majorEastAsia" w:hAnsiTheme="majorHAnsi" w:cstheme="majorBidi"/>
      <w:i/>
      <w:iCs/>
      <w:color w:val="2E74B5" w:themeColor="accent1" w:themeShade="BF"/>
      <w:sz w:val="20"/>
      <w:szCs w:val="20"/>
    </w:rPr>
  </w:style>
  <w:style w:type="paragraph" w:customStyle="1" w:styleId="Author">
    <w:name w:val="Author"/>
    <w:basedOn w:val="Normal"/>
    <w:rsid w:val="00D77A87"/>
    <w:pPr>
      <w:spacing w:line="280" w:lineRule="exact"/>
      <w:jc w:val="right"/>
    </w:pPr>
    <w:rPr>
      <w:b/>
      <w:sz w:val="24"/>
    </w:rPr>
  </w:style>
  <w:style w:type="paragraph" w:customStyle="1" w:styleId="Affiliation">
    <w:name w:val="Affiliation"/>
    <w:basedOn w:val="Normal"/>
    <w:rsid w:val="00D77A87"/>
    <w:pPr>
      <w:spacing w:after="240" w:line="240" w:lineRule="exact"/>
      <w:jc w:val="right"/>
    </w:pPr>
  </w:style>
  <w:style w:type="paragraph" w:customStyle="1" w:styleId="Body">
    <w:name w:val="Body"/>
    <w:basedOn w:val="Normal"/>
    <w:rsid w:val="00D77A87"/>
    <w:pPr>
      <w:spacing w:after="240"/>
      <w:jc w:val="both"/>
    </w:pPr>
  </w:style>
  <w:style w:type="paragraph" w:customStyle="1" w:styleId="AbstHead">
    <w:name w:val="Abst Head"/>
    <w:basedOn w:val="Normal"/>
    <w:rsid w:val="00D77A87"/>
    <w:pPr>
      <w:keepNext/>
      <w:spacing w:after="240"/>
    </w:pPr>
    <w:rPr>
      <w:b/>
      <w:caps/>
      <w:sz w:val="22"/>
    </w:rPr>
  </w:style>
  <w:style w:type="paragraph" w:customStyle="1" w:styleId="ConcHead">
    <w:name w:val="Conc Head"/>
    <w:basedOn w:val="Normal"/>
    <w:rsid w:val="00D77A87"/>
    <w:pPr>
      <w:keepNext/>
      <w:spacing w:after="240"/>
    </w:pPr>
    <w:rPr>
      <w:b/>
      <w:caps/>
      <w:sz w:val="22"/>
    </w:rPr>
  </w:style>
  <w:style w:type="paragraph" w:customStyle="1" w:styleId="ReferHead">
    <w:name w:val="Refer Head"/>
    <w:basedOn w:val="Normal"/>
    <w:rsid w:val="00D77A87"/>
    <w:pPr>
      <w:keepNext/>
      <w:spacing w:after="240"/>
    </w:pPr>
    <w:rPr>
      <w:b/>
      <w:caps/>
      <w:sz w:val="22"/>
    </w:rPr>
  </w:style>
  <w:style w:type="paragraph" w:customStyle="1" w:styleId="Copyright">
    <w:name w:val="Copyright"/>
    <w:basedOn w:val="Normal"/>
    <w:rsid w:val="00D77A87"/>
    <w:pPr>
      <w:spacing w:after="960" w:line="200" w:lineRule="exact"/>
    </w:pPr>
    <w:rPr>
      <w:sz w:val="16"/>
    </w:rPr>
  </w:style>
  <w:style w:type="paragraph" w:customStyle="1" w:styleId="Head1">
    <w:name w:val="Head1"/>
    <w:basedOn w:val="Normal"/>
    <w:rsid w:val="00D77A87"/>
    <w:pPr>
      <w:keepNext/>
      <w:spacing w:after="240"/>
    </w:pPr>
    <w:rPr>
      <w:b/>
      <w:caps/>
      <w:sz w:val="22"/>
    </w:rPr>
  </w:style>
  <w:style w:type="paragraph" w:styleId="Footer">
    <w:name w:val="footer"/>
    <w:basedOn w:val="Normal"/>
    <w:link w:val="FooterChar"/>
    <w:rsid w:val="00D77A87"/>
    <w:pPr>
      <w:tabs>
        <w:tab w:val="center" w:pos="4320"/>
        <w:tab w:val="right" w:pos="8640"/>
      </w:tabs>
    </w:pPr>
  </w:style>
  <w:style w:type="character" w:customStyle="1" w:styleId="FooterChar">
    <w:name w:val="Footer Char"/>
    <w:basedOn w:val="DefaultParagraphFont"/>
    <w:link w:val="Footer"/>
    <w:rsid w:val="00D77A87"/>
    <w:rPr>
      <w:rFonts w:ascii="Helvetica" w:eastAsia="Times New Roman" w:hAnsi="Helvetica" w:cs="Times New Roman"/>
      <w:sz w:val="20"/>
      <w:szCs w:val="20"/>
    </w:rPr>
  </w:style>
  <w:style w:type="paragraph" w:styleId="Header">
    <w:name w:val="header"/>
    <w:basedOn w:val="Normal"/>
    <w:link w:val="HeaderChar"/>
    <w:rsid w:val="00D77A87"/>
    <w:pPr>
      <w:tabs>
        <w:tab w:val="center" w:pos="4320"/>
        <w:tab w:val="right" w:pos="8640"/>
      </w:tabs>
    </w:pPr>
  </w:style>
  <w:style w:type="character" w:customStyle="1" w:styleId="HeaderChar">
    <w:name w:val="Header Char"/>
    <w:basedOn w:val="DefaultParagraphFont"/>
    <w:link w:val="Header"/>
    <w:rsid w:val="00D77A87"/>
    <w:rPr>
      <w:rFonts w:ascii="Helvetica" w:eastAsia="Times New Roman" w:hAnsi="Helvetica" w:cs="Times New Roman"/>
      <w:sz w:val="20"/>
      <w:szCs w:val="20"/>
    </w:rPr>
  </w:style>
  <w:style w:type="character" w:styleId="Emphasis">
    <w:name w:val="Emphasis"/>
    <w:basedOn w:val="DefaultParagraphFont"/>
    <w:uiPriority w:val="20"/>
    <w:qFormat/>
    <w:rsid w:val="00D77A87"/>
    <w:rPr>
      <w:i/>
      <w:iCs/>
    </w:rPr>
  </w:style>
  <w:style w:type="table" w:styleId="PlainTable2">
    <w:name w:val="Plain Table 2"/>
    <w:basedOn w:val="TableNormal"/>
    <w:uiPriority w:val="42"/>
    <w:rsid w:val="00D77A87"/>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D77A87"/>
    <w:rPr>
      <w:b/>
      <w:bCs/>
    </w:rPr>
  </w:style>
  <w:style w:type="paragraph" w:styleId="NormalWeb">
    <w:name w:val="Normal (Web)"/>
    <w:basedOn w:val="Normal"/>
    <w:uiPriority w:val="99"/>
    <w:unhideWhenUsed/>
    <w:rsid w:val="00D77A87"/>
    <w:pPr>
      <w:spacing w:before="100" w:beforeAutospacing="1" w:after="100" w:afterAutospacing="1"/>
    </w:pPr>
    <w:rPr>
      <w:rFonts w:ascii="Times New Roman" w:hAnsi="Times New Roman"/>
      <w:sz w:val="24"/>
      <w:szCs w:val="24"/>
    </w:rPr>
  </w:style>
  <w:style w:type="paragraph" w:customStyle="1" w:styleId="TableParagraph">
    <w:name w:val="Table Paragraph"/>
    <w:basedOn w:val="Normal"/>
    <w:uiPriority w:val="1"/>
    <w:qFormat/>
    <w:rsid w:val="00D77A87"/>
    <w:pPr>
      <w:widowControl w:val="0"/>
      <w:autoSpaceDE w:val="0"/>
      <w:autoSpaceDN w:val="0"/>
      <w:jc w:val="right"/>
    </w:pPr>
    <w:rPr>
      <w:rFonts w:ascii="Times New Roman" w:hAnsi="Times New Roman"/>
      <w:sz w:val="22"/>
      <w:szCs w:val="22"/>
      <w:lang w:val="id"/>
    </w:rPr>
  </w:style>
  <w:style w:type="paragraph" w:styleId="ListParagraph">
    <w:name w:val="List Paragraph"/>
    <w:basedOn w:val="Normal"/>
    <w:uiPriority w:val="34"/>
    <w:qFormat/>
    <w:rsid w:val="00D77A87"/>
    <w:pPr>
      <w:ind w:left="720"/>
      <w:contextualSpacing/>
    </w:pPr>
  </w:style>
  <w:style w:type="character" w:styleId="PlaceholderText">
    <w:name w:val="Placeholder Text"/>
    <w:basedOn w:val="DefaultParagraphFont"/>
    <w:uiPriority w:val="99"/>
    <w:semiHidden/>
    <w:rsid w:val="007D085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9BB75-59F6-4941-AD50-D18EB0BDB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24898</Words>
  <Characters>141923</Characters>
  <Application>Microsoft Office Word</Application>
  <DocSecurity>0</DocSecurity>
  <Lines>1182</Lines>
  <Paragraphs>332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Istutik</cp:lastModifiedBy>
  <cp:revision>2</cp:revision>
  <dcterms:created xsi:type="dcterms:W3CDTF">2025-10-06T04:10:00Z</dcterms:created>
  <dcterms:modified xsi:type="dcterms:W3CDTF">2025-10-06T04:10:00Z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http://www.zotero.org/styles/harvard-cite-them-right-no-et-al</vt:lpwstr>
  </property>
  <property fmtid="{D5CDD505-2E9C-101B-9397-08002B2CF9AE}" pid="11" name="Mendeley Recent Style Name 4_1">
    <vt:lpwstr>Cite Them Right 10th edition - Harvard (no "et al.")</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4th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vt:lpwstr>
  </property>
  <property fmtid="{D5CDD505-2E9C-101B-9397-08002B2CF9AE}" pid="22" name="Mendeley Document_1">
    <vt:lpwstr>True</vt:lpwstr>
  </property>
  <property fmtid="{D5CDD505-2E9C-101B-9397-08002B2CF9AE}" pid="23" name="Mendeley Unique User Id_1">
    <vt:lpwstr>b5b9450e-e0b0-3dcd-98c8-f0b8e520ae6a</vt:lpwstr>
  </property>
  <property fmtid="{D5CDD505-2E9C-101B-9397-08002B2CF9AE}" pid="24" name="Mendeley Citation Style_1">
    <vt:lpwstr>http://www.zotero.org/styles/apa</vt:lpwstr>
  </property>
  <property fmtid="{D5CDD505-2E9C-101B-9397-08002B2CF9AE}" pid="25" name="GrammarlyDocumentId">
    <vt:lpwstr>4ca1aa9f-ca72-4a26-ac2e-e046d13544e5</vt:lpwstr>
  </property>
</Properties>
</file>